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4A" w:rsidRPr="00897989" w:rsidRDefault="00C75E4A" w:rsidP="00C75E4A">
      <w:pPr>
        <w:autoSpaceDE w:val="0"/>
        <w:autoSpaceDN w:val="0"/>
        <w:adjustRightInd w:val="0"/>
        <w:spacing w:after="0" w:line="240" w:lineRule="auto"/>
        <w:jc w:val="center"/>
        <w:rPr>
          <w:rFonts w:cs="Times New Roman"/>
          <w:b/>
          <w:bCs/>
          <w:sz w:val="36"/>
          <w:szCs w:val="36"/>
        </w:rPr>
      </w:pPr>
      <w:r w:rsidRPr="00897989">
        <w:rPr>
          <w:rFonts w:cs="Times New Roman"/>
          <w:b/>
          <w:bCs/>
          <w:sz w:val="36"/>
          <w:szCs w:val="36"/>
        </w:rPr>
        <w:t>UNIVERZITA PALACKÉHO V OLOMOUCI</w:t>
      </w: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rPr>
          <w:rFonts w:cs="Times New Roman"/>
          <w:b/>
          <w:bCs/>
          <w:sz w:val="48"/>
          <w:szCs w:val="48"/>
        </w:rPr>
      </w:pPr>
    </w:p>
    <w:p w:rsidR="00C75E4A" w:rsidRPr="00897989" w:rsidRDefault="00C75E4A" w:rsidP="00C75E4A">
      <w:pPr>
        <w:rPr>
          <w:rFonts w:cs="Times New Roman"/>
          <w:b/>
          <w:bCs/>
          <w:sz w:val="48"/>
          <w:szCs w:val="48"/>
        </w:rPr>
      </w:pPr>
    </w:p>
    <w:p w:rsidR="00C75E4A" w:rsidRPr="00897989" w:rsidRDefault="00C75E4A" w:rsidP="00C75E4A">
      <w:pPr>
        <w:rPr>
          <w:rFonts w:cs="Times New Roman"/>
          <w:b/>
          <w:bCs/>
          <w:sz w:val="48"/>
          <w:szCs w:val="48"/>
        </w:rPr>
      </w:pPr>
    </w:p>
    <w:p w:rsidR="00C75E4A" w:rsidRPr="00897989" w:rsidRDefault="00C75E4A" w:rsidP="00C75E4A">
      <w:pPr>
        <w:rPr>
          <w:rFonts w:cs="Times New Roman"/>
          <w:b/>
          <w:bCs/>
          <w:sz w:val="48"/>
          <w:szCs w:val="48"/>
        </w:rPr>
      </w:pPr>
    </w:p>
    <w:p w:rsidR="00C75E4A" w:rsidRPr="00897989" w:rsidRDefault="00C75E4A" w:rsidP="00C75E4A">
      <w:pPr>
        <w:rPr>
          <w:rFonts w:cs="Times New Roman"/>
          <w:b/>
          <w:bCs/>
          <w:sz w:val="48"/>
          <w:szCs w:val="48"/>
        </w:rPr>
      </w:pPr>
    </w:p>
    <w:p w:rsidR="00C75E4A" w:rsidRPr="00897989" w:rsidRDefault="00C75E4A" w:rsidP="00C75E4A">
      <w:pPr>
        <w:rPr>
          <w:rFonts w:cs="Times New Roman"/>
          <w:b/>
          <w:bCs/>
          <w:sz w:val="48"/>
          <w:szCs w:val="48"/>
        </w:rPr>
      </w:pPr>
    </w:p>
    <w:p w:rsidR="00A426A2" w:rsidRPr="00897989" w:rsidRDefault="00C75E4A" w:rsidP="00C75E4A">
      <w:pPr>
        <w:jc w:val="center"/>
        <w:rPr>
          <w:rFonts w:cs="Times New Roman"/>
          <w:b/>
          <w:bCs/>
          <w:sz w:val="48"/>
          <w:szCs w:val="48"/>
        </w:rPr>
      </w:pPr>
      <w:r w:rsidRPr="00897989">
        <w:rPr>
          <w:rFonts w:cs="Times New Roman"/>
          <w:b/>
          <w:bCs/>
          <w:sz w:val="48"/>
          <w:szCs w:val="48"/>
        </w:rPr>
        <w:t>Bakalářská práce</w:t>
      </w:r>
    </w:p>
    <w:p w:rsidR="00C75E4A" w:rsidRPr="00897989" w:rsidRDefault="00C75E4A" w:rsidP="00C75E4A">
      <w:pPr>
        <w:jc w:val="center"/>
        <w:rPr>
          <w:rFonts w:cs="Times New Roman"/>
          <w:b/>
          <w:bCs/>
          <w:sz w:val="48"/>
          <w:szCs w:val="48"/>
        </w:rPr>
      </w:pPr>
    </w:p>
    <w:p w:rsidR="00C75E4A" w:rsidRPr="00897989" w:rsidRDefault="00C75E4A" w:rsidP="00C75E4A">
      <w:pPr>
        <w:jc w:val="center"/>
        <w:rPr>
          <w:rFonts w:cs="Times New Roman"/>
          <w:b/>
          <w:bCs/>
          <w:sz w:val="48"/>
          <w:szCs w:val="48"/>
        </w:rPr>
      </w:pPr>
    </w:p>
    <w:p w:rsidR="00C75E4A" w:rsidRPr="00897989" w:rsidRDefault="00C75E4A" w:rsidP="00C75E4A">
      <w:pPr>
        <w:jc w:val="center"/>
        <w:rPr>
          <w:rFonts w:cs="Times New Roman"/>
          <w:b/>
          <w:bCs/>
          <w:sz w:val="48"/>
          <w:szCs w:val="48"/>
        </w:rPr>
      </w:pPr>
    </w:p>
    <w:p w:rsidR="00C75E4A" w:rsidRPr="00897989" w:rsidRDefault="00C75E4A" w:rsidP="00C75E4A">
      <w:pPr>
        <w:jc w:val="center"/>
        <w:rPr>
          <w:rFonts w:cs="Times New Roman"/>
          <w:b/>
          <w:bCs/>
          <w:sz w:val="48"/>
          <w:szCs w:val="48"/>
        </w:rPr>
      </w:pPr>
    </w:p>
    <w:p w:rsidR="00C75E4A" w:rsidRPr="00897989" w:rsidRDefault="00C75E4A" w:rsidP="00C75E4A">
      <w:pPr>
        <w:jc w:val="center"/>
        <w:rPr>
          <w:rFonts w:cs="Times New Roman"/>
          <w:b/>
          <w:bCs/>
          <w:sz w:val="48"/>
          <w:szCs w:val="48"/>
        </w:rPr>
      </w:pPr>
    </w:p>
    <w:p w:rsidR="00C75E4A" w:rsidRPr="00897989" w:rsidRDefault="00C75E4A" w:rsidP="00C75E4A">
      <w:pPr>
        <w:jc w:val="center"/>
        <w:rPr>
          <w:rFonts w:cs="Times New Roman"/>
          <w:b/>
          <w:bCs/>
          <w:sz w:val="48"/>
          <w:szCs w:val="48"/>
        </w:rPr>
      </w:pPr>
    </w:p>
    <w:p w:rsidR="00C75E4A" w:rsidRPr="00897989" w:rsidRDefault="00C75E4A" w:rsidP="00C75E4A">
      <w:pPr>
        <w:rPr>
          <w:rFonts w:cs="Times New Roman"/>
          <w:b/>
          <w:bCs/>
          <w:sz w:val="32"/>
          <w:szCs w:val="32"/>
        </w:rPr>
      </w:pPr>
      <w:r w:rsidRPr="00897989">
        <w:rPr>
          <w:rFonts w:cs="Times New Roman"/>
          <w:b/>
          <w:bCs/>
          <w:sz w:val="32"/>
          <w:szCs w:val="32"/>
        </w:rPr>
        <w:t xml:space="preserve">Olomouc 2015 </w:t>
      </w:r>
      <w:r w:rsidRPr="00897989">
        <w:rPr>
          <w:rFonts w:cs="Times New Roman"/>
          <w:b/>
          <w:bCs/>
          <w:sz w:val="32"/>
          <w:szCs w:val="32"/>
        </w:rPr>
        <w:tab/>
      </w:r>
      <w:r w:rsidRPr="00897989">
        <w:rPr>
          <w:rFonts w:cs="Times New Roman"/>
          <w:b/>
          <w:bCs/>
          <w:sz w:val="32"/>
          <w:szCs w:val="32"/>
        </w:rPr>
        <w:tab/>
      </w:r>
      <w:r w:rsidRPr="00897989">
        <w:rPr>
          <w:rFonts w:cs="Times New Roman"/>
          <w:b/>
          <w:bCs/>
          <w:sz w:val="32"/>
          <w:szCs w:val="32"/>
        </w:rPr>
        <w:tab/>
      </w:r>
      <w:r w:rsidRPr="00897989">
        <w:rPr>
          <w:rFonts w:cs="Times New Roman"/>
          <w:b/>
          <w:bCs/>
          <w:sz w:val="32"/>
          <w:szCs w:val="32"/>
        </w:rPr>
        <w:tab/>
      </w:r>
      <w:r w:rsidRPr="00897989">
        <w:rPr>
          <w:rFonts w:cs="Times New Roman"/>
          <w:b/>
          <w:bCs/>
          <w:sz w:val="32"/>
          <w:szCs w:val="32"/>
        </w:rPr>
        <w:tab/>
        <w:t xml:space="preserve"> Mariana Rýznarová</w:t>
      </w:r>
      <w:r w:rsidRPr="00897989">
        <w:rPr>
          <w:rFonts w:cs="Times New Roman"/>
          <w:b/>
          <w:bCs/>
          <w:sz w:val="32"/>
          <w:szCs w:val="32"/>
        </w:rPr>
        <w:br w:type="page"/>
      </w:r>
    </w:p>
    <w:p w:rsidR="00C75E4A" w:rsidRPr="00897989" w:rsidRDefault="00C75E4A" w:rsidP="00C75E4A">
      <w:pPr>
        <w:autoSpaceDE w:val="0"/>
        <w:autoSpaceDN w:val="0"/>
        <w:adjustRightInd w:val="0"/>
        <w:spacing w:after="0" w:line="360" w:lineRule="auto"/>
        <w:jc w:val="center"/>
        <w:rPr>
          <w:rFonts w:cs="Times New Roman"/>
          <w:b/>
          <w:bCs/>
          <w:sz w:val="44"/>
          <w:szCs w:val="44"/>
        </w:rPr>
      </w:pPr>
      <w:r w:rsidRPr="00897989">
        <w:rPr>
          <w:rFonts w:cs="Times New Roman"/>
          <w:b/>
          <w:bCs/>
          <w:sz w:val="44"/>
          <w:szCs w:val="44"/>
        </w:rPr>
        <w:lastRenderedPageBreak/>
        <w:t>UNIVERZITA PALACKÉHO V OLOMOUCI</w:t>
      </w:r>
    </w:p>
    <w:p w:rsidR="00C75E4A" w:rsidRPr="00897989" w:rsidRDefault="00C75E4A" w:rsidP="00C75E4A">
      <w:pPr>
        <w:autoSpaceDE w:val="0"/>
        <w:autoSpaceDN w:val="0"/>
        <w:adjustRightInd w:val="0"/>
        <w:spacing w:after="0" w:line="360" w:lineRule="auto"/>
        <w:jc w:val="center"/>
        <w:rPr>
          <w:rFonts w:cs="Times New Roman"/>
          <w:sz w:val="32"/>
          <w:szCs w:val="32"/>
        </w:rPr>
      </w:pPr>
      <w:r w:rsidRPr="00897989">
        <w:rPr>
          <w:rFonts w:cs="Times New Roman"/>
          <w:sz w:val="32"/>
          <w:szCs w:val="32"/>
        </w:rPr>
        <w:t>Přírodovědecká fakulta</w:t>
      </w:r>
    </w:p>
    <w:p w:rsidR="00C75E4A" w:rsidRPr="00897989" w:rsidRDefault="00C75E4A" w:rsidP="00C75E4A">
      <w:pPr>
        <w:spacing w:line="360" w:lineRule="auto"/>
        <w:jc w:val="center"/>
        <w:rPr>
          <w:rFonts w:cs="Times New Roman"/>
          <w:sz w:val="32"/>
          <w:szCs w:val="32"/>
        </w:rPr>
      </w:pPr>
      <w:r w:rsidRPr="00897989">
        <w:rPr>
          <w:rFonts w:cs="Times New Roman"/>
          <w:sz w:val="32"/>
          <w:szCs w:val="32"/>
        </w:rPr>
        <w:t>Katedra buněčné biologie a genetiky</w:t>
      </w:r>
    </w:p>
    <w:p w:rsidR="00C75E4A" w:rsidRPr="00897989" w:rsidRDefault="00C75E4A" w:rsidP="00C75E4A">
      <w:pPr>
        <w:spacing w:line="360" w:lineRule="auto"/>
        <w:jc w:val="center"/>
        <w:rPr>
          <w:rFonts w:cs="Times New Roman"/>
        </w:rPr>
      </w:pPr>
      <w:r w:rsidRPr="00897989">
        <w:rPr>
          <w:rFonts w:cs="Times New Roman"/>
          <w:noProof/>
          <w:lang w:eastAsia="cs-CZ"/>
        </w:rPr>
        <w:drawing>
          <wp:inline distT="0" distB="0" distL="0" distR="0" wp14:anchorId="71AE0B51" wp14:editId="3CF51FDB">
            <wp:extent cx="2051685" cy="1971675"/>
            <wp:effectExtent l="0" t="0" r="571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p w:rsidR="00C75E4A" w:rsidRPr="00897989" w:rsidRDefault="00C75E4A" w:rsidP="00C75E4A">
      <w:pPr>
        <w:autoSpaceDE w:val="0"/>
        <w:autoSpaceDN w:val="0"/>
        <w:adjustRightInd w:val="0"/>
        <w:spacing w:after="0" w:line="240" w:lineRule="auto"/>
        <w:jc w:val="center"/>
        <w:rPr>
          <w:rFonts w:cs="Times New Roman"/>
          <w:b/>
          <w:bCs/>
          <w:sz w:val="36"/>
          <w:szCs w:val="36"/>
        </w:rPr>
      </w:pPr>
      <w:r w:rsidRPr="00897989">
        <w:rPr>
          <w:rFonts w:cs="Times New Roman"/>
          <w:b/>
          <w:bCs/>
          <w:sz w:val="36"/>
          <w:szCs w:val="36"/>
        </w:rPr>
        <w:t xml:space="preserve">Úloha fytochromů v expresi genů </w:t>
      </w:r>
    </w:p>
    <w:p w:rsidR="00C75E4A" w:rsidRPr="00897989" w:rsidRDefault="00C75E4A" w:rsidP="00C75E4A">
      <w:pPr>
        <w:autoSpaceDE w:val="0"/>
        <w:autoSpaceDN w:val="0"/>
        <w:adjustRightInd w:val="0"/>
        <w:spacing w:after="0" w:line="240" w:lineRule="auto"/>
        <w:jc w:val="center"/>
        <w:rPr>
          <w:rFonts w:cs="Times New Roman"/>
          <w:b/>
          <w:bCs/>
          <w:sz w:val="36"/>
          <w:szCs w:val="36"/>
        </w:rPr>
      </w:pPr>
      <w:r w:rsidRPr="00897989">
        <w:rPr>
          <w:rFonts w:cs="Times New Roman"/>
          <w:b/>
          <w:bCs/>
          <w:sz w:val="36"/>
          <w:szCs w:val="36"/>
        </w:rPr>
        <w:t xml:space="preserve">pro auxin-binding proteiny </w:t>
      </w:r>
    </w:p>
    <w:p w:rsidR="00C75E4A" w:rsidRPr="00897989" w:rsidRDefault="00C75E4A" w:rsidP="00C75E4A">
      <w:pPr>
        <w:autoSpaceDE w:val="0"/>
        <w:autoSpaceDN w:val="0"/>
        <w:adjustRightInd w:val="0"/>
        <w:spacing w:after="0" w:line="240" w:lineRule="auto"/>
        <w:jc w:val="center"/>
        <w:rPr>
          <w:rFonts w:cs="Times New Roman"/>
          <w:b/>
          <w:bCs/>
          <w:sz w:val="36"/>
          <w:szCs w:val="36"/>
        </w:rPr>
      </w:pPr>
      <w:r w:rsidRPr="00897989">
        <w:rPr>
          <w:rFonts w:cs="Times New Roman"/>
          <w:b/>
          <w:bCs/>
          <w:sz w:val="36"/>
          <w:szCs w:val="36"/>
        </w:rPr>
        <w:t xml:space="preserve">u kukuřice </w:t>
      </w:r>
      <w:r w:rsidRPr="00897989">
        <w:rPr>
          <w:rFonts w:cs="Times New Roman"/>
          <w:b/>
          <w:bCs/>
          <w:i/>
          <w:sz w:val="36"/>
          <w:szCs w:val="36"/>
        </w:rPr>
        <w:t>Zea mays L.</w:t>
      </w: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240" w:lineRule="auto"/>
        <w:rPr>
          <w:rFonts w:cs="Times New Roman"/>
          <w:b/>
          <w:bCs/>
          <w:sz w:val="36"/>
          <w:szCs w:val="36"/>
        </w:rPr>
      </w:pPr>
    </w:p>
    <w:p w:rsidR="00C75E4A" w:rsidRPr="00897989" w:rsidRDefault="00C75E4A" w:rsidP="00C75E4A">
      <w:pPr>
        <w:autoSpaceDE w:val="0"/>
        <w:autoSpaceDN w:val="0"/>
        <w:adjustRightInd w:val="0"/>
        <w:spacing w:after="0" w:line="360" w:lineRule="auto"/>
        <w:jc w:val="center"/>
        <w:rPr>
          <w:rFonts w:cs="Times New Roman"/>
          <w:szCs w:val="24"/>
        </w:rPr>
      </w:pPr>
      <w:r w:rsidRPr="00897989">
        <w:rPr>
          <w:rFonts w:cs="Times New Roman"/>
          <w:szCs w:val="24"/>
        </w:rPr>
        <w:t>Bakalářská práce</w:t>
      </w:r>
    </w:p>
    <w:p w:rsidR="00C75E4A" w:rsidRPr="00897989" w:rsidRDefault="00C75E4A" w:rsidP="00C75E4A">
      <w:pPr>
        <w:autoSpaceDE w:val="0"/>
        <w:autoSpaceDN w:val="0"/>
        <w:adjustRightInd w:val="0"/>
        <w:spacing w:after="0" w:line="360" w:lineRule="auto"/>
        <w:jc w:val="center"/>
        <w:rPr>
          <w:rFonts w:cs="Times New Roman"/>
          <w:szCs w:val="24"/>
        </w:rPr>
      </w:pPr>
    </w:p>
    <w:p w:rsidR="00C75E4A" w:rsidRPr="00897989" w:rsidRDefault="00C75E4A" w:rsidP="00C75E4A">
      <w:pPr>
        <w:autoSpaceDE w:val="0"/>
        <w:autoSpaceDN w:val="0"/>
        <w:adjustRightInd w:val="0"/>
        <w:spacing w:after="0" w:line="360" w:lineRule="auto"/>
        <w:jc w:val="center"/>
        <w:rPr>
          <w:rFonts w:cs="Times New Roman"/>
          <w:b/>
          <w:bCs/>
          <w:sz w:val="32"/>
          <w:szCs w:val="32"/>
        </w:rPr>
      </w:pPr>
      <w:r w:rsidRPr="00897989">
        <w:rPr>
          <w:rFonts w:cs="Times New Roman"/>
          <w:b/>
          <w:bCs/>
          <w:sz w:val="32"/>
          <w:szCs w:val="32"/>
        </w:rPr>
        <w:t>Mariana Rýznarová</w:t>
      </w:r>
    </w:p>
    <w:p w:rsidR="00C75E4A" w:rsidRPr="00897989" w:rsidRDefault="00C75E4A" w:rsidP="00C75E4A">
      <w:pPr>
        <w:autoSpaceDE w:val="0"/>
        <w:autoSpaceDN w:val="0"/>
        <w:adjustRightInd w:val="0"/>
        <w:spacing w:after="0" w:line="360" w:lineRule="auto"/>
        <w:jc w:val="center"/>
        <w:rPr>
          <w:rFonts w:cs="Times New Roman"/>
          <w:b/>
          <w:bCs/>
          <w:sz w:val="32"/>
          <w:szCs w:val="32"/>
        </w:rPr>
      </w:pPr>
    </w:p>
    <w:p w:rsidR="00C75E4A" w:rsidRPr="00897989" w:rsidRDefault="00C75E4A" w:rsidP="00C75E4A">
      <w:pPr>
        <w:autoSpaceDE w:val="0"/>
        <w:autoSpaceDN w:val="0"/>
        <w:adjustRightInd w:val="0"/>
        <w:spacing w:after="0" w:line="360" w:lineRule="auto"/>
        <w:jc w:val="center"/>
        <w:rPr>
          <w:rFonts w:cs="Times New Roman"/>
          <w:b/>
          <w:bCs/>
          <w:sz w:val="32"/>
          <w:szCs w:val="32"/>
        </w:rPr>
      </w:pPr>
    </w:p>
    <w:p w:rsidR="00C75E4A" w:rsidRPr="00897989" w:rsidRDefault="00C75E4A" w:rsidP="00C75E4A">
      <w:pPr>
        <w:autoSpaceDE w:val="0"/>
        <w:autoSpaceDN w:val="0"/>
        <w:adjustRightInd w:val="0"/>
        <w:spacing w:after="0" w:line="360" w:lineRule="auto"/>
        <w:jc w:val="center"/>
        <w:rPr>
          <w:rFonts w:cs="Times New Roman"/>
          <w:szCs w:val="24"/>
        </w:rPr>
      </w:pPr>
      <w:r w:rsidRPr="00897989">
        <w:rPr>
          <w:rFonts w:cs="Times New Roman"/>
          <w:szCs w:val="24"/>
        </w:rPr>
        <w:t>Studijní program: Biologie</w:t>
      </w:r>
    </w:p>
    <w:p w:rsidR="00C75E4A" w:rsidRPr="00897989" w:rsidRDefault="00C75E4A" w:rsidP="00C75E4A">
      <w:pPr>
        <w:autoSpaceDE w:val="0"/>
        <w:autoSpaceDN w:val="0"/>
        <w:adjustRightInd w:val="0"/>
        <w:spacing w:after="0" w:line="360" w:lineRule="auto"/>
        <w:jc w:val="center"/>
        <w:rPr>
          <w:rFonts w:cs="Times New Roman"/>
          <w:szCs w:val="24"/>
        </w:rPr>
      </w:pPr>
      <w:r w:rsidRPr="00897989">
        <w:rPr>
          <w:rFonts w:cs="Times New Roman"/>
          <w:szCs w:val="24"/>
        </w:rPr>
        <w:t>Studijní obor: Molekulární a buněčná biologie</w:t>
      </w:r>
    </w:p>
    <w:p w:rsidR="00C75E4A" w:rsidRPr="00897989" w:rsidRDefault="00C75E4A" w:rsidP="00C75E4A">
      <w:pPr>
        <w:autoSpaceDE w:val="0"/>
        <w:autoSpaceDN w:val="0"/>
        <w:adjustRightInd w:val="0"/>
        <w:spacing w:after="0" w:line="360" w:lineRule="auto"/>
        <w:jc w:val="center"/>
        <w:rPr>
          <w:rFonts w:cs="Times New Roman"/>
          <w:szCs w:val="24"/>
        </w:rPr>
      </w:pPr>
      <w:r w:rsidRPr="00897989">
        <w:rPr>
          <w:rFonts w:cs="Times New Roman"/>
          <w:szCs w:val="24"/>
        </w:rPr>
        <w:t>Forma studia: prezenční</w:t>
      </w:r>
    </w:p>
    <w:p w:rsidR="00C75E4A" w:rsidRPr="00897989" w:rsidRDefault="00C75E4A" w:rsidP="00C75E4A">
      <w:pPr>
        <w:autoSpaceDE w:val="0"/>
        <w:autoSpaceDN w:val="0"/>
        <w:adjustRightInd w:val="0"/>
        <w:spacing w:after="0" w:line="360" w:lineRule="auto"/>
        <w:jc w:val="center"/>
        <w:rPr>
          <w:rFonts w:cs="Times New Roman"/>
          <w:szCs w:val="24"/>
        </w:rPr>
      </w:pPr>
    </w:p>
    <w:p w:rsidR="00C75E4A" w:rsidRPr="00897989" w:rsidRDefault="00C75E4A" w:rsidP="00C75E4A">
      <w:pPr>
        <w:autoSpaceDE w:val="0"/>
        <w:autoSpaceDN w:val="0"/>
        <w:adjustRightInd w:val="0"/>
        <w:spacing w:after="0" w:line="360" w:lineRule="auto"/>
        <w:jc w:val="center"/>
        <w:rPr>
          <w:rFonts w:cs="Times New Roman"/>
          <w:szCs w:val="24"/>
        </w:rPr>
      </w:pPr>
    </w:p>
    <w:p w:rsidR="00C75E4A" w:rsidRPr="00897989" w:rsidRDefault="00C75E4A" w:rsidP="00C75E4A">
      <w:pPr>
        <w:autoSpaceDE w:val="0"/>
        <w:autoSpaceDN w:val="0"/>
        <w:adjustRightInd w:val="0"/>
        <w:spacing w:after="0" w:line="360" w:lineRule="auto"/>
        <w:jc w:val="center"/>
        <w:rPr>
          <w:rFonts w:cs="Times New Roman"/>
          <w:szCs w:val="24"/>
        </w:rPr>
      </w:pPr>
    </w:p>
    <w:p w:rsidR="00C75E4A" w:rsidRPr="00897989" w:rsidRDefault="00C75E4A" w:rsidP="00C75E4A">
      <w:pPr>
        <w:autoSpaceDE w:val="0"/>
        <w:autoSpaceDN w:val="0"/>
        <w:adjustRightInd w:val="0"/>
        <w:spacing w:after="0" w:line="360" w:lineRule="auto"/>
        <w:jc w:val="center"/>
        <w:rPr>
          <w:rFonts w:cs="Times New Roman"/>
          <w:szCs w:val="24"/>
        </w:rPr>
      </w:pPr>
    </w:p>
    <w:p w:rsidR="00C75E4A" w:rsidRPr="00897989" w:rsidRDefault="00C75E4A" w:rsidP="00C75E4A">
      <w:pPr>
        <w:autoSpaceDE w:val="0"/>
        <w:autoSpaceDN w:val="0"/>
        <w:adjustRightInd w:val="0"/>
        <w:spacing w:after="0" w:line="360" w:lineRule="auto"/>
        <w:jc w:val="center"/>
        <w:rPr>
          <w:rFonts w:cs="Times New Roman"/>
          <w:szCs w:val="24"/>
        </w:rPr>
      </w:pPr>
    </w:p>
    <w:p w:rsidR="00897989" w:rsidRPr="00897989" w:rsidRDefault="00C75E4A" w:rsidP="00C75E4A">
      <w:pPr>
        <w:spacing w:line="360" w:lineRule="auto"/>
        <w:rPr>
          <w:rFonts w:cs="Times New Roman"/>
          <w:b/>
          <w:bCs/>
          <w:szCs w:val="24"/>
        </w:rPr>
      </w:pPr>
      <w:r w:rsidRPr="00897989">
        <w:rPr>
          <w:rFonts w:cs="Times New Roman"/>
          <w:b/>
          <w:bCs/>
          <w:szCs w:val="24"/>
        </w:rPr>
        <w:t xml:space="preserve">Olomouc 2015 </w:t>
      </w:r>
      <w:r w:rsidRPr="00897989">
        <w:rPr>
          <w:rFonts w:cs="Times New Roman"/>
          <w:b/>
          <w:bCs/>
          <w:szCs w:val="24"/>
        </w:rPr>
        <w:tab/>
      </w:r>
      <w:r w:rsidRPr="00897989">
        <w:rPr>
          <w:rFonts w:cs="Times New Roman"/>
          <w:b/>
          <w:bCs/>
          <w:szCs w:val="24"/>
        </w:rPr>
        <w:tab/>
      </w:r>
      <w:r w:rsidRPr="00897989">
        <w:rPr>
          <w:rFonts w:cs="Times New Roman"/>
          <w:b/>
          <w:bCs/>
          <w:szCs w:val="24"/>
        </w:rPr>
        <w:tab/>
      </w:r>
      <w:r w:rsidRPr="00897989">
        <w:rPr>
          <w:rFonts w:cs="Times New Roman"/>
          <w:szCs w:val="24"/>
        </w:rPr>
        <w:t xml:space="preserve">Vedoucí práce: </w:t>
      </w:r>
      <w:r w:rsidRPr="00897989">
        <w:rPr>
          <w:rFonts w:cs="Times New Roman"/>
          <w:b/>
          <w:bCs/>
          <w:szCs w:val="24"/>
        </w:rPr>
        <w:t>doc. RNDr. Martin Fellner, Ph.D</w:t>
      </w:r>
      <w:r w:rsidR="00897989" w:rsidRPr="00897989">
        <w:rPr>
          <w:rFonts w:cs="Times New Roman"/>
          <w:b/>
          <w:bCs/>
          <w:szCs w:val="24"/>
        </w:rPr>
        <w:br w:type="page"/>
      </w:r>
    </w:p>
    <w:p w:rsidR="00C75E4A" w:rsidRPr="00897989" w:rsidRDefault="00C75E4A"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Cs w:val="24"/>
        </w:rPr>
      </w:pPr>
    </w:p>
    <w:p w:rsidR="00897989" w:rsidRPr="00897989" w:rsidRDefault="00897989" w:rsidP="00C75E4A">
      <w:pPr>
        <w:spacing w:line="360" w:lineRule="auto"/>
        <w:rPr>
          <w:rFonts w:cs="Times New Roman"/>
          <w:b/>
          <w:bCs/>
          <w:sz w:val="32"/>
          <w:szCs w:val="24"/>
        </w:rPr>
      </w:pPr>
      <w:r w:rsidRPr="00897989">
        <w:rPr>
          <w:rFonts w:cs="Times New Roman"/>
          <w:b/>
          <w:bCs/>
          <w:sz w:val="32"/>
          <w:szCs w:val="24"/>
        </w:rPr>
        <w:t>Prohlášení</w:t>
      </w:r>
    </w:p>
    <w:p w:rsidR="00897989" w:rsidRDefault="00897989" w:rsidP="00897989">
      <w:pPr>
        <w:spacing w:line="360" w:lineRule="auto"/>
        <w:ind w:firstLine="708"/>
        <w:jc w:val="both"/>
        <w:rPr>
          <w:rFonts w:cs="Times New Roman"/>
          <w:bCs/>
          <w:szCs w:val="24"/>
        </w:rPr>
      </w:pPr>
      <w:r w:rsidRPr="00897989">
        <w:rPr>
          <w:rFonts w:cs="Times New Roman"/>
          <w:bCs/>
          <w:szCs w:val="24"/>
        </w:rPr>
        <w:t>Prohlašuji, že tuto bakalářskou práci jsem vypracovala samostatně pod vedením doc. Martina Fellnera</w:t>
      </w:r>
      <w:r>
        <w:rPr>
          <w:rFonts w:cs="Times New Roman"/>
          <w:bCs/>
          <w:szCs w:val="24"/>
        </w:rPr>
        <w:t xml:space="preserve"> a všechna použitá literatura je uvedena v kapitole Seznam použité literatury.</w:t>
      </w:r>
    </w:p>
    <w:p w:rsidR="00897989" w:rsidRDefault="00897989" w:rsidP="00897989">
      <w:pPr>
        <w:spacing w:line="360" w:lineRule="auto"/>
        <w:ind w:firstLine="708"/>
        <w:jc w:val="both"/>
        <w:rPr>
          <w:rFonts w:cs="Times New Roman"/>
          <w:bCs/>
          <w:szCs w:val="24"/>
        </w:rPr>
      </w:pPr>
    </w:p>
    <w:p w:rsidR="00897989" w:rsidRDefault="00897989" w:rsidP="00897989">
      <w:pPr>
        <w:autoSpaceDE w:val="0"/>
        <w:autoSpaceDN w:val="0"/>
        <w:adjustRightInd w:val="0"/>
        <w:spacing w:after="0" w:line="240" w:lineRule="auto"/>
        <w:jc w:val="right"/>
        <w:rPr>
          <w:rFonts w:cs="Times New Roman"/>
          <w:szCs w:val="24"/>
        </w:rPr>
      </w:pPr>
      <w:r>
        <w:rPr>
          <w:rFonts w:cs="Times New Roman"/>
          <w:szCs w:val="24"/>
        </w:rPr>
        <w:t>V Olomouci dne 30. července 2015</w:t>
      </w:r>
    </w:p>
    <w:p w:rsidR="00897989" w:rsidRDefault="00897989" w:rsidP="00897989">
      <w:pPr>
        <w:autoSpaceDE w:val="0"/>
        <w:autoSpaceDN w:val="0"/>
        <w:adjustRightInd w:val="0"/>
        <w:spacing w:after="0" w:line="240" w:lineRule="auto"/>
        <w:jc w:val="right"/>
        <w:rPr>
          <w:rFonts w:cs="Times New Roman"/>
          <w:szCs w:val="24"/>
        </w:rPr>
      </w:pPr>
    </w:p>
    <w:p w:rsidR="00897989" w:rsidRDefault="00897989" w:rsidP="00897989">
      <w:pPr>
        <w:autoSpaceDE w:val="0"/>
        <w:autoSpaceDN w:val="0"/>
        <w:adjustRightInd w:val="0"/>
        <w:spacing w:after="0" w:line="240" w:lineRule="auto"/>
        <w:jc w:val="right"/>
        <w:rPr>
          <w:rFonts w:cs="Times New Roman"/>
          <w:szCs w:val="24"/>
        </w:rPr>
      </w:pPr>
    </w:p>
    <w:p w:rsidR="00897989" w:rsidRDefault="00897989" w:rsidP="00897989">
      <w:pPr>
        <w:autoSpaceDE w:val="0"/>
        <w:autoSpaceDN w:val="0"/>
        <w:adjustRightInd w:val="0"/>
        <w:spacing w:after="0" w:line="240" w:lineRule="auto"/>
        <w:jc w:val="right"/>
        <w:rPr>
          <w:rFonts w:cs="Times New Roman"/>
          <w:szCs w:val="24"/>
        </w:rPr>
      </w:pPr>
      <w:r>
        <w:rPr>
          <w:rFonts w:cs="Times New Roman"/>
          <w:szCs w:val="24"/>
        </w:rPr>
        <w:t>..........……………………………</w:t>
      </w:r>
    </w:p>
    <w:p w:rsidR="00897989" w:rsidRDefault="00897989" w:rsidP="00897989">
      <w:pPr>
        <w:spacing w:line="360" w:lineRule="auto"/>
        <w:ind w:left="4956" w:firstLine="708"/>
        <w:jc w:val="center"/>
        <w:rPr>
          <w:rFonts w:cs="Times New Roman"/>
          <w:szCs w:val="24"/>
        </w:rPr>
      </w:pPr>
      <w:r>
        <w:rPr>
          <w:rFonts w:cs="Times New Roman"/>
          <w:szCs w:val="24"/>
        </w:rPr>
        <w:t>Podpis</w:t>
      </w:r>
      <w:r>
        <w:rPr>
          <w:rFonts w:cs="Times New Roman"/>
          <w:szCs w:val="24"/>
        </w:rPr>
        <w:br w:type="page"/>
      </w: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915416" w:rsidRDefault="00915416" w:rsidP="00897989">
      <w:pPr>
        <w:spacing w:line="360" w:lineRule="auto"/>
        <w:rPr>
          <w:rFonts w:cs="Times New Roman"/>
          <w:szCs w:val="24"/>
        </w:rPr>
      </w:pPr>
    </w:p>
    <w:p w:rsidR="00897989" w:rsidRPr="00915416" w:rsidRDefault="00897989" w:rsidP="00915416">
      <w:pPr>
        <w:spacing w:line="360" w:lineRule="auto"/>
        <w:jc w:val="both"/>
        <w:rPr>
          <w:rFonts w:cs="Times New Roman"/>
          <w:b/>
          <w:sz w:val="36"/>
          <w:szCs w:val="24"/>
        </w:rPr>
      </w:pPr>
      <w:r w:rsidRPr="00915416">
        <w:rPr>
          <w:rFonts w:cs="Times New Roman"/>
          <w:b/>
          <w:sz w:val="36"/>
          <w:szCs w:val="24"/>
        </w:rPr>
        <w:t>Poděkování</w:t>
      </w:r>
    </w:p>
    <w:p w:rsidR="00897989" w:rsidRDefault="00897989" w:rsidP="00915416">
      <w:pPr>
        <w:spacing w:line="360" w:lineRule="auto"/>
        <w:ind w:firstLine="708"/>
        <w:jc w:val="both"/>
        <w:rPr>
          <w:rFonts w:cs="Times New Roman"/>
          <w:szCs w:val="24"/>
        </w:rPr>
      </w:pPr>
      <w:r>
        <w:rPr>
          <w:rFonts w:cs="Times New Roman"/>
          <w:szCs w:val="24"/>
        </w:rPr>
        <w:t xml:space="preserve">Chtěla bych poděkovat doc. Martinu Fellnerovi za odborné vedení a možnost získání praxe v biologickém výzkumu. Dále bych poděkovala </w:t>
      </w:r>
      <w:r w:rsidR="00915416">
        <w:rPr>
          <w:rFonts w:cs="Times New Roman"/>
          <w:szCs w:val="24"/>
        </w:rPr>
        <w:t xml:space="preserve">Renátě Plotzové, Janě Balarynové a ostatním členům </w:t>
      </w:r>
      <w:r w:rsidR="00915416">
        <w:rPr>
          <w:szCs w:val="24"/>
        </w:rPr>
        <w:t>Skupiny</w:t>
      </w:r>
      <w:r w:rsidR="00915416" w:rsidRPr="00724ABB">
        <w:rPr>
          <w:szCs w:val="24"/>
        </w:rPr>
        <w:t xml:space="preserve"> molekulární fyziologie</w:t>
      </w:r>
      <w:r w:rsidR="00915416">
        <w:rPr>
          <w:szCs w:val="24"/>
        </w:rPr>
        <w:t xml:space="preserve"> za odborné rady a připomínky k mé bakalářské práci</w:t>
      </w:r>
      <w:r w:rsidR="00915416">
        <w:rPr>
          <w:rFonts w:cs="Times New Roman"/>
          <w:szCs w:val="24"/>
        </w:rPr>
        <w:t>.</w:t>
      </w:r>
    </w:p>
    <w:p w:rsidR="00915416" w:rsidRDefault="00915416" w:rsidP="00915416">
      <w:pPr>
        <w:spacing w:line="360" w:lineRule="auto"/>
        <w:jc w:val="both"/>
        <w:rPr>
          <w:rFonts w:cs="Times New Roman"/>
          <w:b/>
          <w:sz w:val="36"/>
          <w:szCs w:val="24"/>
        </w:rPr>
      </w:pPr>
      <w:r w:rsidRPr="00915416">
        <w:rPr>
          <w:rFonts w:cs="Times New Roman"/>
          <w:b/>
          <w:sz w:val="36"/>
          <w:szCs w:val="24"/>
        </w:rPr>
        <w:lastRenderedPageBreak/>
        <w:t xml:space="preserve">Shrnutí </w:t>
      </w:r>
    </w:p>
    <w:p w:rsidR="00915416" w:rsidRPr="00BF3B65" w:rsidRDefault="00915416" w:rsidP="00915416">
      <w:pPr>
        <w:autoSpaceDE w:val="0"/>
        <w:autoSpaceDN w:val="0"/>
        <w:adjustRightInd w:val="0"/>
        <w:spacing w:after="0" w:line="360" w:lineRule="auto"/>
        <w:ind w:firstLine="708"/>
        <w:jc w:val="both"/>
        <w:rPr>
          <w:rFonts w:cs="Times New Roman"/>
          <w:szCs w:val="24"/>
        </w:rPr>
      </w:pPr>
      <w:r w:rsidRPr="00303F72">
        <w:rPr>
          <w:rFonts w:cs="Times New Roman"/>
          <w:szCs w:val="24"/>
        </w:rPr>
        <w:t xml:space="preserve">Tato bakalářská práce se zabývá </w:t>
      </w:r>
      <w:r>
        <w:rPr>
          <w:rFonts w:cs="Times New Roman"/>
          <w:szCs w:val="24"/>
        </w:rPr>
        <w:t xml:space="preserve">úlohou fytochromů na expresi auxin-binding proteinů </w:t>
      </w:r>
      <w:r w:rsidRPr="009F7BD8">
        <w:rPr>
          <w:rFonts w:cs="Times New Roman"/>
          <w:i/>
          <w:szCs w:val="24"/>
        </w:rPr>
        <w:t>ABP1</w:t>
      </w:r>
      <w:r>
        <w:rPr>
          <w:rFonts w:cs="Times New Roman"/>
          <w:szCs w:val="24"/>
        </w:rPr>
        <w:t xml:space="preserve"> a </w:t>
      </w:r>
      <w:r w:rsidRPr="009F7BD8">
        <w:rPr>
          <w:rFonts w:cs="Times New Roman"/>
          <w:i/>
          <w:szCs w:val="24"/>
        </w:rPr>
        <w:t>ABP4</w:t>
      </w:r>
      <w:r w:rsidRPr="00303F72">
        <w:rPr>
          <w:rFonts w:cs="Times New Roman"/>
          <w:szCs w:val="24"/>
        </w:rPr>
        <w:t xml:space="preserve"> </w:t>
      </w:r>
      <w:r>
        <w:rPr>
          <w:rFonts w:cs="Times New Roman"/>
          <w:szCs w:val="24"/>
        </w:rPr>
        <w:t xml:space="preserve">u kukuřice seté </w:t>
      </w:r>
      <w:r w:rsidRPr="009F7BD8">
        <w:rPr>
          <w:rFonts w:cs="Times New Roman"/>
          <w:i/>
          <w:szCs w:val="24"/>
        </w:rPr>
        <w:t>Zea mays</w:t>
      </w:r>
      <w:r>
        <w:rPr>
          <w:rFonts w:cs="Times New Roman"/>
          <w:szCs w:val="24"/>
        </w:rPr>
        <w:t xml:space="preserve"> L.</w:t>
      </w:r>
      <w:r w:rsidRPr="00303F72">
        <w:rPr>
          <w:rFonts w:cs="Times New Roman"/>
          <w:szCs w:val="24"/>
        </w:rPr>
        <w:t xml:space="preserve"> </w:t>
      </w:r>
      <w:r>
        <w:rPr>
          <w:rFonts w:cs="Times New Roman"/>
          <w:szCs w:val="24"/>
        </w:rPr>
        <w:t xml:space="preserve">Fytochromy jsou rostlinné fotoreceptory, které snímají především červené a daleko-červené spektrum světla. Podle toho, kterému světlu jsou vystaveny, se objevují v aktivní nebo neaktivní formě, které ovlivňují růst a vývoj rostliny. Různá spektra světla ovlivňují růst rostliny, světlo tedy funguje jako exogenní regulátor růstu.   Auxin-binding proteiny jsou receptory pro auxin. Cílem mé bakalářské práce bylo vypracovat literární rešerši na dané téma. V experimentální části jsem zjišťovala, jak fytochromy zprostředkují vliv světla na růst rostlin kukuřice v podmínkách </w:t>
      </w:r>
      <w:r w:rsidRPr="00944A41">
        <w:rPr>
          <w:rFonts w:cs="Times New Roman"/>
          <w:i/>
          <w:szCs w:val="24"/>
        </w:rPr>
        <w:t>in vitro</w:t>
      </w:r>
      <w:r>
        <w:rPr>
          <w:rFonts w:cs="Times New Roman"/>
          <w:szCs w:val="24"/>
        </w:rPr>
        <w:t xml:space="preserve"> a na expresi genů kódujících kukuřičné proteiny </w:t>
      </w:r>
      <w:r w:rsidRPr="00915416">
        <w:rPr>
          <w:rFonts w:cs="Times New Roman"/>
          <w:i/>
          <w:szCs w:val="24"/>
        </w:rPr>
        <w:t>ABP1</w:t>
      </w:r>
      <w:r>
        <w:rPr>
          <w:rFonts w:cs="Times New Roman"/>
          <w:szCs w:val="24"/>
        </w:rPr>
        <w:t xml:space="preserve"> a </w:t>
      </w:r>
      <w:r w:rsidRPr="00915416">
        <w:rPr>
          <w:rFonts w:cs="Times New Roman"/>
          <w:i/>
          <w:szCs w:val="24"/>
        </w:rPr>
        <w:t>ABP4</w:t>
      </w:r>
      <w:r>
        <w:rPr>
          <w:rFonts w:cs="Times New Roman"/>
          <w:szCs w:val="24"/>
        </w:rPr>
        <w:t>. Studovala jsem tedy, zda jsou ve vývoji a růstu rostlin kukuřice fytochromové a auxinové signální dráhy vzájemně propojeny.  K experimentům byla použita semena</w:t>
      </w:r>
      <w:r w:rsidRPr="00E927A6">
        <w:rPr>
          <w:rFonts w:cs="Times New Roman"/>
          <w:szCs w:val="24"/>
        </w:rPr>
        <w:t xml:space="preserve"> mutant</w:t>
      </w:r>
      <w:r>
        <w:rPr>
          <w:rFonts w:cs="Times New Roman"/>
          <w:szCs w:val="24"/>
        </w:rPr>
        <w:t>a kukuřice</w:t>
      </w:r>
      <w:r w:rsidRPr="00E927A6">
        <w:rPr>
          <w:rFonts w:cs="Times New Roman"/>
          <w:szCs w:val="24"/>
        </w:rPr>
        <w:t xml:space="preserve"> </w:t>
      </w:r>
      <w:r w:rsidRPr="00E927A6">
        <w:rPr>
          <w:rFonts w:cs="Times New Roman"/>
          <w:i/>
          <w:szCs w:val="24"/>
        </w:rPr>
        <w:t>elm-1</w:t>
      </w:r>
      <w:r>
        <w:rPr>
          <w:rFonts w:cs="Times New Roman"/>
          <w:szCs w:val="24"/>
        </w:rPr>
        <w:t xml:space="preserve"> (</w:t>
      </w:r>
      <w:r>
        <w:rPr>
          <w:rFonts w:cs="Times New Roman"/>
          <w:i/>
          <w:szCs w:val="24"/>
        </w:rPr>
        <w:t>elongated mesoc</w:t>
      </w:r>
      <w:r w:rsidRPr="0013568C">
        <w:rPr>
          <w:rFonts w:cs="Times New Roman"/>
          <w:i/>
          <w:szCs w:val="24"/>
        </w:rPr>
        <w:t>otyl 1</w:t>
      </w:r>
      <w:r>
        <w:rPr>
          <w:rFonts w:cs="Times New Roman"/>
          <w:szCs w:val="24"/>
        </w:rPr>
        <w:t xml:space="preserve">) </w:t>
      </w:r>
      <w:r w:rsidRPr="00E927A6">
        <w:rPr>
          <w:rFonts w:cs="Times New Roman"/>
          <w:szCs w:val="24"/>
        </w:rPr>
        <w:t>a</w:t>
      </w:r>
      <w:r>
        <w:rPr>
          <w:rFonts w:cs="Times New Roman"/>
          <w:szCs w:val="24"/>
        </w:rPr>
        <w:t xml:space="preserve"> semena příslušné</w:t>
      </w:r>
      <w:r w:rsidRPr="00E927A6">
        <w:rPr>
          <w:rFonts w:cs="Times New Roman"/>
          <w:szCs w:val="24"/>
        </w:rPr>
        <w:t xml:space="preserve"> kontrolní </w:t>
      </w:r>
      <w:r>
        <w:rPr>
          <w:rFonts w:cs="Times New Roman"/>
          <w:szCs w:val="24"/>
        </w:rPr>
        <w:t xml:space="preserve">izogenické linie </w:t>
      </w:r>
      <w:r w:rsidRPr="00E927A6">
        <w:rPr>
          <w:rFonts w:cs="Times New Roman"/>
          <w:szCs w:val="24"/>
        </w:rPr>
        <w:t>B-73</w:t>
      </w:r>
      <w:r>
        <w:rPr>
          <w:rFonts w:cs="Times New Roman"/>
          <w:szCs w:val="24"/>
        </w:rPr>
        <w:t xml:space="preserve"> (WT)</w:t>
      </w:r>
      <w:r w:rsidRPr="00E927A6">
        <w:rPr>
          <w:rFonts w:cs="Times New Roman"/>
          <w:szCs w:val="24"/>
        </w:rPr>
        <w:t>.</w:t>
      </w:r>
      <w:r>
        <w:rPr>
          <w:rFonts w:cs="Times New Roman"/>
          <w:szCs w:val="24"/>
        </w:rPr>
        <w:t xml:space="preserve">  </w:t>
      </w:r>
      <w:r>
        <w:rPr>
          <w:rFonts w:cs="Times New Roman"/>
          <w:i/>
          <w:szCs w:val="24"/>
        </w:rPr>
        <w:t>E</w:t>
      </w:r>
      <w:r w:rsidRPr="00A91D82">
        <w:rPr>
          <w:rFonts w:cs="Times New Roman"/>
          <w:i/>
          <w:szCs w:val="24"/>
        </w:rPr>
        <w:t>ml-1</w:t>
      </w:r>
      <w:r>
        <w:rPr>
          <w:rFonts w:cs="Times New Roman"/>
          <w:szCs w:val="24"/>
        </w:rPr>
        <w:t xml:space="preserve"> je mutant, který má omezenou schopnost vytvářet aktivní fytochromy. Ve fyziologických experimentech jsme potvrdili, že světlo prostřednictvím fytochromů inhibuje prodlužování mezokotylu. Ve druhé, molekulární části jsem zjistila, že přítomnost fytochromů je nutná k expresi genů </w:t>
      </w:r>
      <w:r w:rsidRPr="00944A41">
        <w:rPr>
          <w:rFonts w:cs="Times New Roman"/>
          <w:i/>
          <w:szCs w:val="24"/>
        </w:rPr>
        <w:t>ABP1</w:t>
      </w:r>
      <w:r>
        <w:rPr>
          <w:rFonts w:cs="Times New Roman"/>
          <w:szCs w:val="24"/>
        </w:rPr>
        <w:t xml:space="preserve"> a </w:t>
      </w:r>
      <w:r w:rsidRPr="00944A41">
        <w:rPr>
          <w:rFonts w:cs="Times New Roman"/>
          <w:i/>
          <w:szCs w:val="24"/>
        </w:rPr>
        <w:t>ABP4</w:t>
      </w:r>
      <w:r>
        <w:rPr>
          <w:rFonts w:cs="Times New Roman"/>
          <w:szCs w:val="24"/>
        </w:rPr>
        <w:t xml:space="preserve">. Současně je však zřejmé, že modré a červené světlo hraje prostřednictvím fytochromů negativní úlohu v expresi těchto auxin-binding proteinů. Výsledky předkládané bakalářské práce podporují nejnovější literární údaje, které ukazují, že v rostlinách kukuřice jsou světelné signální dráhy a auxinová signalizace zprostředkovaná ABP vzájemně propojeny. </w:t>
      </w:r>
    </w:p>
    <w:p w:rsidR="00915416" w:rsidRDefault="00915416" w:rsidP="00915416">
      <w:pPr>
        <w:spacing w:line="360" w:lineRule="auto"/>
        <w:jc w:val="both"/>
        <w:rPr>
          <w:rFonts w:cs="Times New Roman"/>
          <w:szCs w:val="24"/>
        </w:rPr>
      </w:pPr>
      <w:r>
        <w:rPr>
          <w:rFonts w:cs="Times New Roman"/>
          <w:szCs w:val="24"/>
        </w:rPr>
        <w:br w:type="page"/>
      </w:r>
    </w:p>
    <w:p w:rsidR="00915416" w:rsidRPr="00915416" w:rsidRDefault="00915416" w:rsidP="00915416">
      <w:pPr>
        <w:spacing w:line="360" w:lineRule="auto"/>
        <w:jc w:val="both"/>
        <w:rPr>
          <w:rFonts w:cs="Times New Roman"/>
          <w:b/>
          <w:sz w:val="36"/>
          <w:szCs w:val="24"/>
        </w:rPr>
      </w:pPr>
      <w:r w:rsidRPr="00915416">
        <w:rPr>
          <w:rFonts w:cs="Times New Roman"/>
          <w:b/>
          <w:sz w:val="36"/>
          <w:szCs w:val="24"/>
        </w:rPr>
        <w:lastRenderedPageBreak/>
        <w:t>Summary</w:t>
      </w:r>
    </w:p>
    <w:p w:rsidR="00915416" w:rsidRDefault="00915416" w:rsidP="00915416">
      <w:pPr>
        <w:spacing w:line="360" w:lineRule="auto"/>
        <w:jc w:val="both"/>
        <w:rPr>
          <w:rFonts w:cs="Times New Roman"/>
          <w:szCs w:val="24"/>
        </w:rPr>
      </w:pPr>
      <w:r w:rsidRPr="00437B25">
        <w:rPr>
          <w:rFonts w:cs="Times New Roman"/>
          <w:szCs w:val="24"/>
          <w:lang w:val="en-US"/>
        </w:rPr>
        <w:t xml:space="preserve">This thesis bachelor describes role of phytochromes in expression of auxin-binding proteins </w:t>
      </w:r>
      <w:r w:rsidRPr="00437B25">
        <w:rPr>
          <w:rFonts w:cs="Times New Roman"/>
          <w:i/>
          <w:szCs w:val="24"/>
          <w:lang w:val="en-US"/>
        </w:rPr>
        <w:t>ABP1</w:t>
      </w:r>
      <w:r w:rsidRPr="00437B25">
        <w:rPr>
          <w:rFonts w:cs="Times New Roman"/>
          <w:szCs w:val="24"/>
          <w:lang w:val="en-US"/>
        </w:rPr>
        <w:t xml:space="preserve"> and </w:t>
      </w:r>
      <w:r w:rsidRPr="00437B25">
        <w:rPr>
          <w:rFonts w:cs="Times New Roman"/>
          <w:i/>
          <w:szCs w:val="24"/>
          <w:lang w:val="en-US"/>
        </w:rPr>
        <w:t>ABP</w:t>
      </w:r>
      <w:r>
        <w:rPr>
          <w:rFonts w:cs="Times New Roman"/>
          <w:i/>
          <w:szCs w:val="24"/>
          <w:lang w:val="en-US"/>
        </w:rPr>
        <w:t xml:space="preserve">4 </w:t>
      </w:r>
      <w:r w:rsidRPr="00437B25">
        <w:rPr>
          <w:rFonts w:cs="Times New Roman"/>
          <w:szCs w:val="24"/>
          <w:lang w:val="en-US"/>
        </w:rPr>
        <w:t xml:space="preserve">in maize </w:t>
      </w:r>
      <w:r w:rsidRPr="00437B25">
        <w:rPr>
          <w:rFonts w:cs="Times New Roman"/>
          <w:i/>
          <w:szCs w:val="24"/>
          <w:lang w:val="en-US"/>
        </w:rPr>
        <w:t>Zea mays</w:t>
      </w:r>
      <w:r w:rsidRPr="00437B25">
        <w:rPr>
          <w:rFonts w:cs="Times New Roman"/>
          <w:szCs w:val="24"/>
          <w:lang w:val="en-US"/>
        </w:rPr>
        <w:t xml:space="preserve"> L. Phytochromes are plant photoreceptors which primarily capture red and far-red light. Dependent on light exposure, phytochromes occur in active or inactive form, which differentially influence plant growth and development. Various parts of light spectrum influence plant growth, thus light function</w:t>
      </w:r>
      <w:r>
        <w:rPr>
          <w:rFonts w:cs="Times New Roman"/>
          <w:szCs w:val="24"/>
          <w:lang w:val="en-US"/>
        </w:rPr>
        <w:t>s</w:t>
      </w:r>
      <w:r w:rsidRPr="00437B25">
        <w:rPr>
          <w:rFonts w:cs="Times New Roman"/>
          <w:szCs w:val="24"/>
          <w:lang w:val="en-US"/>
        </w:rPr>
        <w:t xml:space="preserve"> as exogenous growth regulator. Auxin-binding proteins serve as auxin receptors. The aim of the thesis was to write a literary review on the topic of this bachelor thesis. In the experimental part of the thesis, I studied how phytochromes mediate </w:t>
      </w:r>
      <w:r>
        <w:rPr>
          <w:rFonts w:cs="Times New Roman"/>
          <w:szCs w:val="24"/>
          <w:lang w:val="en-US"/>
        </w:rPr>
        <w:t>the effect</w:t>
      </w:r>
      <w:r w:rsidRPr="00437B25">
        <w:rPr>
          <w:rFonts w:cs="Times New Roman"/>
          <w:szCs w:val="24"/>
          <w:lang w:val="en-US"/>
        </w:rPr>
        <w:t xml:space="preserve"> of light on maize growth in conditions </w:t>
      </w:r>
      <w:r w:rsidRPr="00437B25">
        <w:rPr>
          <w:rFonts w:cs="Times New Roman"/>
          <w:i/>
          <w:szCs w:val="24"/>
          <w:lang w:val="en-US"/>
        </w:rPr>
        <w:t>in vitro</w:t>
      </w:r>
      <w:r w:rsidRPr="00437B25">
        <w:rPr>
          <w:rFonts w:cs="Times New Roman"/>
          <w:szCs w:val="24"/>
          <w:lang w:val="en-US"/>
        </w:rPr>
        <w:t xml:space="preserve"> and on </w:t>
      </w:r>
      <w:r>
        <w:rPr>
          <w:rFonts w:cs="Times New Roman"/>
          <w:szCs w:val="24"/>
          <w:lang w:val="en-US"/>
        </w:rPr>
        <w:t xml:space="preserve">the </w:t>
      </w:r>
      <w:r w:rsidRPr="00437B25">
        <w:rPr>
          <w:rFonts w:cs="Times New Roman"/>
          <w:szCs w:val="24"/>
          <w:lang w:val="en-US"/>
        </w:rPr>
        <w:t xml:space="preserve">expression of genes encoding maize proteins </w:t>
      </w:r>
      <w:r w:rsidRPr="00484B3A">
        <w:rPr>
          <w:rFonts w:cs="Times New Roman"/>
          <w:i/>
          <w:szCs w:val="24"/>
          <w:lang w:val="en-US"/>
        </w:rPr>
        <w:t>ABP1</w:t>
      </w:r>
      <w:r w:rsidRPr="00437B25">
        <w:rPr>
          <w:rFonts w:cs="Times New Roman"/>
          <w:szCs w:val="24"/>
          <w:lang w:val="en-US"/>
        </w:rPr>
        <w:t xml:space="preserve"> and </w:t>
      </w:r>
      <w:r w:rsidRPr="00484B3A">
        <w:rPr>
          <w:rFonts w:cs="Times New Roman"/>
          <w:i/>
          <w:szCs w:val="24"/>
          <w:lang w:val="en-US"/>
        </w:rPr>
        <w:t>ABP4</w:t>
      </w:r>
      <w:r w:rsidRPr="00437B25">
        <w:rPr>
          <w:rFonts w:cs="Times New Roman"/>
          <w:szCs w:val="24"/>
          <w:lang w:val="en-US"/>
        </w:rPr>
        <w:t>. I have studied whether phytochrome and auxin signalling pathways are connected in the process of maize growth and development. For experiments, seeds of corn mutant e</w:t>
      </w:r>
      <w:r w:rsidRPr="00437B25">
        <w:rPr>
          <w:rFonts w:cs="Times New Roman"/>
          <w:i/>
          <w:szCs w:val="24"/>
          <w:lang w:val="en-US"/>
        </w:rPr>
        <w:t>lm-1</w:t>
      </w:r>
      <w:r w:rsidRPr="00437B25">
        <w:rPr>
          <w:rFonts w:cs="Times New Roman"/>
          <w:szCs w:val="24"/>
          <w:lang w:val="en-US"/>
        </w:rPr>
        <w:t xml:space="preserve"> (</w:t>
      </w:r>
      <w:r w:rsidRPr="00437B25">
        <w:rPr>
          <w:rFonts w:cs="Times New Roman"/>
          <w:i/>
          <w:szCs w:val="24"/>
          <w:lang w:val="en-US"/>
        </w:rPr>
        <w:t>elongated mesocotyl 1</w:t>
      </w:r>
      <w:r w:rsidRPr="00437B25">
        <w:rPr>
          <w:rFonts w:cs="Times New Roman"/>
          <w:szCs w:val="24"/>
          <w:lang w:val="en-US"/>
        </w:rPr>
        <w:t xml:space="preserve">) and control isogenic line B-73 (WT) were used. </w:t>
      </w:r>
      <w:r w:rsidRPr="00437B25">
        <w:rPr>
          <w:rFonts w:cs="Times New Roman"/>
          <w:i/>
          <w:szCs w:val="24"/>
          <w:lang w:val="en-US"/>
        </w:rPr>
        <w:t xml:space="preserve">Elm-1 </w:t>
      </w:r>
      <w:r w:rsidRPr="00437B25">
        <w:rPr>
          <w:rFonts w:cs="Times New Roman"/>
          <w:szCs w:val="24"/>
          <w:lang w:val="en-US"/>
        </w:rPr>
        <w:t>is mutant that has limited ability to synthesize active forms of phytochrome. In physiological experiments, we</w:t>
      </w:r>
      <w:r>
        <w:rPr>
          <w:rFonts w:cs="Times New Roman"/>
          <w:szCs w:val="24"/>
          <w:lang w:val="en-US"/>
        </w:rPr>
        <w:t xml:space="preserve"> </w:t>
      </w:r>
      <w:r w:rsidRPr="00437B25">
        <w:rPr>
          <w:rFonts w:cs="Times New Roman"/>
          <w:szCs w:val="24"/>
          <w:lang w:val="en-US"/>
        </w:rPr>
        <w:t xml:space="preserve">proved that light inhibits mesocotyl elongation via phytochromes. In the second molecular part of the thesis, I revealed that </w:t>
      </w:r>
      <w:r>
        <w:rPr>
          <w:rFonts w:cs="Times New Roman"/>
          <w:szCs w:val="24"/>
          <w:lang w:val="en-US"/>
        </w:rPr>
        <w:t xml:space="preserve">the </w:t>
      </w:r>
      <w:r w:rsidRPr="00437B25">
        <w:rPr>
          <w:rFonts w:cs="Times New Roman"/>
          <w:szCs w:val="24"/>
          <w:lang w:val="en-US"/>
        </w:rPr>
        <w:t xml:space="preserve">presence of phytochromes is essential for expression of genes </w:t>
      </w:r>
      <w:r w:rsidRPr="00437B25">
        <w:rPr>
          <w:rFonts w:cs="Times New Roman"/>
          <w:i/>
          <w:szCs w:val="24"/>
          <w:lang w:val="en-US"/>
        </w:rPr>
        <w:t xml:space="preserve">ABP1 </w:t>
      </w:r>
      <w:r w:rsidRPr="00437B25">
        <w:rPr>
          <w:rFonts w:cs="Times New Roman"/>
          <w:szCs w:val="24"/>
          <w:lang w:val="en-US"/>
        </w:rPr>
        <w:t xml:space="preserve">and </w:t>
      </w:r>
      <w:r w:rsidRPr="00437B25">
        <w:rPr>
          <w:rFonts w:cs="Times New Roman"/>
          <w:i/>
          <w:szCs w:val="24"/>
          <w:lang w:val="en-US"/>
        </w:rPr>
        <w:t>ABP4</w:t>
      </w:r>
      <w:r w:rsidRPr="00437B25">
        <w:rPr>
          <w:rFonts w:cs="Times New Roman"/>
          <w:szCs w:val="24"/>
          <w:lang w:val="en-US"/>
        </w:rPr>
        <w:t>. Concurrently, it is obvious that via phytochromes, blue and red light play a negative role in the expression of the auxin-binding proteins. Results presented in this bachelor thesis support the newest scientific data, which show that in maize light signalling and auxin signalling mediated by ABP are mutually connected.</w:t>
      </w:r>
    </w:p>
    <w:p w:rsidR="00484B3A" w:rsidRDefault="00484B3A" w:rsidP="00915416">
      <w:pPr>
        <w:spacing w:line="360" w:lineRule="auto"/>
        <w:jc w:val="both"/>
        <w:rPr>
          <w:rFonts w:cs="Times New Roman"/>
          <w:szCs w:val="24"/>
        </w:rPr>
      </w:pPr>
      <w:r>
        <w:rPr>
          <w:rFonts w:cs="Times New Roman"/>
          <w:szCs w:val="24"/>
        </w:rPr>
        <w:br w:type="page"/>
      </w:r>
    </w:p>
    <w:sdt>
      <w:sdtPr>
        <w:id w:val="1707678833"/>
        <w:docPartObj>
          <w:docPartGallery w:val="Table of Contents"/>
          <w:docPartUnique/>
        </w:docPartObj>
      </w:sdtPr>
      <w:sdtEndPr>
        <w:rPr>
          <w:rFonts w:eastAsiaTheme="minorHAnsi" w:cstheme="minorBidi"/>
          <w:sz w:val="24"/>
          <w:szCs w:val="22"/>
          <w:lang w:eastAsia="en-US"/>
        </w:rPr>
      </w:sdtEndPr>
      <w:sdtContent>
        <w:p w:rsidR="00484B3A" w:rsidRDefault="00484B3A">
          <w:pPr>
            <w:pStyle w:val="Nadpisobsahu"/>
          </w:pPr>
          <w:r>
            <w:t>Obsah</w:t>
          </w:r>
        </w:p>
        <w:p w:rsidR="006F7DF2" w:rsidRDefault="00484B3A">
          <w:pPr>
            <w:pStyle w:val="Obsah1"/>
            <w:rPr>
              <w:rFonts w:eastAsiaTheme="minorEastAsia"/>
              <w:noProof/>
              <w:lang w:eastAsia="cs-CZ"/>
            </w:rPr>
          </w:pPr>
          <w:r>
            <w:fldChar w:fldCharType="begin"/>
          </w:r>
          <w:r>
            <w:instrText xml:space="preserve"> TOC \o "1-3" \h \z \u </w:instrText>
          </w:r>
          <w:r>
            <w:fldChar w:fldCharType="separate"/>
          </w:r>
          <w:hyperlink w:anchor="_Toc426029800" w:history="1">
            <w:r w:rsidR="006F7DF2" w:rsidRPr="003A48E6">
              <w:rPr>
                <w:rStyle w:val="Hypertextovodkaz"/>
                <w:noProof/>
              </w:rPr>
              <w:t>1.</w:t>
            </w:r>
            <w:r w:rsidR="006F7DF2">
              <w:rPr>
                <w:rFonts w:eastAsiaTheme="minorEastAsia"/>
                <w:noProof/>
                <w:lang w:eastAsia="cs-CZ"/>
              </w:rPr>
              <w:tab/>
            </w:r>
            <w:r w:rsidR="006F7DF2" w:rsidRPr="003A48E6">
              <w:rPr>
                <w:rStyle w:val="Hypertextovodkaz"/>
                <w:noProof/>
              </w:rPr>
              <w:t>Úvod</w:t>
            </w:r>
            <w:r w:rsidR="006F7DF2">
              <w:rPr>
                <w:noProof/>
                <w:webHidden/>
              </w:rPr>
              <w:tab/>
            </w:r>
            <w:r w:rsidR="006F7DF2">
              <w:rPr>
                <w:noProof/>
                <w:webHidden/>
              </w:rPr>
              <w:fldChar w:fldCharType="begin"/>
            </w:r>
            <w:r w:rsidR="006F7DF2">
              <w:rPr>
                <w:noProof/>
                <w:webHidden/>
              </w:rPr>
              <w:instrText xml:space="preserve"> PAGEREF _Toc426029800 \h </w:instrText>
            </w:r>
            <w:r w:rsidR="006F7DF2">
              <w:rPr>
                <w:noProof/>
                <w:webHidden/>
              </w:rPr>
            </w:r>
            <w:r w:rsidR="006F7DF2">
              <w:rPr>
                <w:noProof/>
                <w:webHidden/>
              </w:rPr>
              <w:fldChar w:fldCharType="separate"/>
            </w:r>
            <w:r w:rsidR="006F7DF2">
              <w:rPr>
                <w:noProof/>
                <w:webHidden/>
              </w:rPr>
              <w:t>8</w:t>
            </w:r>
            <w:r w:rsidR="006F7DF2">
              <w:rPr>
                <w:noProof/>
                <w:webHidden/>
              </w:rPr>
              <w:fldChar w:fldCharType="end"/>
            </w:r>
          </w:hyperlink>
        </w:p>
        <w:p w:rsidR="006F7DF2" w:rsidRDefault="006F7DF2">
          <w:pPr>
            <w:pStyle w:val="Obsah1"/>
            <w:rPr>
              <w:rFonts w:eastAsiaTheme="minorEastAsia"/>
              <w:noProof/>
              <w:lang w:eastAsia="cs-CZ"/>
            </w:rPr>
          </w:pPr>
          <w:hyperlink w:anchor="_Toc426029801" w:history="1">
            <w:r w:rsidRPr="003A48E6">
              <w:rPr>
                <w:rStyle w:val="Hypertextovodkaz"/>
                <w:noProof/>
              </w:rPr>
              <w:t>2.</w:t>
            </w:r>
            <w:r>
              <w:rPr>
                <w:rFonts w:eastAsiaTheme="minorEastAsia"/>
                <w:noProof/>
                <w:lang w:eastAsia="cs-CZ"/>
              </w:rPr>
              <w:tab/>
            </w:r>
            <w:r w:rsidRPr="003A48E6">
              <w:rPr>
                <w:rStyle w:val="Hypertextovodkaz"/>
                <w:noProof/>
              </w:rPr>
              <w:t>Úvod do problematiky</w:t>
            </w:r>
            <w:r>
              <w:rPr>
                <w:noProof/>
                <w:webHidden/>
              </w:rPr>
              <w:tab/>
            </w:r>
            <w:r>
              <w:rPr>
                <w:noProof/>
                <w:webHidden/>
              </w:rPr>
              <w:fldChar w:fldCharType="begin"/>
            </w:r>
            <w:r>
              <w:rPr>
                <w:noProof/>
                <w:webHidden/>
              </w:rPr>
              <w:instrText xml:space="preserve"> PAGEREF _Toc426029801 \h </w:instrText>
            </w:r>
            <w:r>
              <w:rPr>
                <w:noProof/>
                <w:webHidden/>
              </w:rPr>
            </w:r>
            <w:r>
              <w:rPr>
                <w:noProof/>
                <w:webHidden/>
              </w:rPr>
              <w:fldChar w:fldCharType="separate"/>
            </w:r>
            <w:r>
              <w:rPr>
                <w:noProof/>
                <w:webHidden/>
              </w:rPr>
              <w:t>9</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02" w:history="1">
            <w:r w:rsidRPr="003A48E6">
              <w:rPr>
                <w:rStyle w:val="Hypertextovodkaz"/>
                <w:noProof/>
              </w:rPr>
              <w:t>2.1.</w:t>
            </w:r>
            <w:r>
              <w:rPr>
                <w:rFonts w:eastAsiaTheme="minorEastAsia"/>
                <w:noProof/>
                <w:lang w:eastAsia="cs-CZ"/>
              </w:rPr>
              <w:tab/>
            </w:r>
            <w:r w:rsidRPr="003A48E6">
              <w:rPr>
                <w:rStyle w:val="Hypertextovodkaz"/>
                <w:noProof/>
              </w:rPr>
              <w:t>Auxin</w:t>
            </w:r>
            <w:r>
              <w:rPr>
                <w:noProof/>
                <w:webHidden/>
              </w:rPr>
              <w:tab/>
            </w:r>
            <w:r>
              <w:rPr>
                <w:noProof/>
                <w:webHidden/>
              </w:rPr>
              <w:fldChar w:fldCharType="begin"/>
            </w:r>
            <w:r>
              <w:rPr>
                <w:noProof/>
                <w:webHidden/>
              </w:rPr>
              <w:instrText xml:space="preserve"> PAGEREF _Toc426029802 \h </w:instrText>
            </w:r>
            <w:r>
              <w:rPr>
                <w:noProof/>
                <w:webHidden/>
              </w:rPr>
            </w:r>
            <w:r>
              <w:rPr>
                <w:noProof/>
                <w:webHidden/>
              </w:rPr>
              <w:fldChar w:fldCharType="separate"/>
            </w:r>
            <w:r>
              <w:rPr>
                <w:noProof/>
                <w:webHidden/>
              </w:rPr>
              <w:t>9</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3" w:history="1">
            <w:r w:rsidRPr="003A48E6">
              <w:rPr>
                <w:rStyle w:val="Hypertextovodkaz"/>
                <w:noProof/>
              </w:rPr>
              <w:t>2.1.1.</w:t>
            </w:r>
            <w:r>
              <w:rPr>
                <w:rFonts w:eastAsiaTheme="minorEastAsia"/>
                <w:noProof/>
                <w:lang w:eastAsia="cs-CZ"/>
              </w:rPr>
              <w:tab/>
            </w:r>
            <w:r w:rsidRPr="003A48E6">
              <w:rPr>
                <w:rStyle w:val="Hypertextovodkaz"/>
                <w:noProof/>
              </w:rPr>
              <w:t>Objev auxinu</w:t>
            </w:r>
            <w:r>
              <w:rPr>
                <w:noProof/>
                <w:webHidden/>
              </w:rPr>
              <w:tab/>
            </w:r>
            <w:r>
              <w:rPr>
                <w:noProof/>
                <w:webHidden/>
              </w:rPr>
              <w:fldChar w:fldCharType="begin"/>
            </w:r>
            <w:r>
              <w:rPr>
                <w:noProof/>
                <w:webHidden/>
              </w:rPr>
              <w:instrText xml:space="preserve"> PAGEREF _Toc426029803 \h </w:instrText>
            </w:r>
            <w:r>
              <w:rPr>
                <w:noProof/>
                <w:webHidden/>
              </w:rPr>
            </w:r>
            <w:r>
              <w:rPr>
                <w:noProof/>
                <w:webHidden/>
              </w:rPr>
              <w:fldChar w:fldCharType="separate"/>
            </w:r>
            <w:r>
              <w:rPr>
                <w:noProof/>
                <w:webHidden/>
              </w:rPr>
              <w:t>9</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4" w:history="1">
            <w:r w:rsidRPr="003A48E6">
              <w:rPr>
                <w:rStyle w:val="Hypertextovodkaz"/>
                <w:noProof/>
              </w:rPr>
              <w:t>2.1.2.</w:t>
            </w:r>
            <w:r>
              <w:rPr>
                <w:rFonts w:eastAsiaTheme="minorEastAsia"/>
                <w:noProof/>
                <w:lang w:eastAsia="cs-CZ"/>
              </w:rPr>
              <w:tab/>
            </w:r>
            <w:r w:rsidRPr="003A48E6">
              <w:rPr>
                <w:rStyle w:val="Hypertextovodkaz"/>
                <w:noProof/>
              </w:rPr>
              <w:t>Chemická podstata</w:t>
            </w:r>
            <w:r>
              <w:rPr>
                <w:noProof/>
                <w:webHidden/>
              </w:rPr>
              <w:tab/>
            </w:r>
            <w:r>
              <w:rPr>
                <w:noProof/>
                <w:webHidden/>
              </w:rPr>
              <w:fldChar w:fldCharType="begin"/>
            </w:r>
            <w:r>
              <w:rPr>
                <w:noProof/>
                <w:webHidden/>
              </w:rPr>
              <w:instrText xml:space="preserve"> PAGEREF _Toc426029804 \h </w:instrText>
            </w:r>
            <w:r>
              <w:rPr>
                <w:noProof/>
                <w:webHidden/>
              </w:rPr>
            </w:r>
            <w:r>
              <w:rPr>
                <w:noProof/>
                <w:webHidden/>
              </w:rPr>
              <w:fldChar w:fldCharType="separate"/>
            </w:r>
            <w:r>
              <w:rPr>
                <w:noProof/>
                <w:webHidden/>
              </w:rPr>
              <w:t>9</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5" w:history="1">
            <w:r w:rsidRPr="003A48E6">
              <w:rPr>
                <w:rStyle w:val="Hypertextovodkaz"/>
                <w:noProof/>
              </w:rPr>
              <w:t>2.1.3.</w:t>
            </w:r>
            <w:r>
              <w:rPr>
                <w:rFonts w:eastAsiaTheme="minorEastAsia"/>
                <w:noProof/>
                <w:lang w:eastAsia="cs-CZ"/>
              </w:rPr>
              <w:tab/>
            </w:r>
            <w:r w:rsidRPr="003A48E6">
              <w:rPr>
                <w:rStyle w:val="Hypertextovodkaz"/>
                <w:noProof/>
              </w:rPr>
              <w:t>Biosyntéza auxinu</w:t>
            </w:r>
            <w:r>
              <w:rPr>
                <w:noProof/>
                <w:webHidden/>
              </w:rPr>
              <w:tab/>
            </w:r>
            <w:r>
              <w:rPr>
                <w:noProof/>
                <w:webHidden/>
              </w:rPr>
              <w:fldChar w:fldCharType="begin"/>
            </w:r>
            <w:r>
              <w:rPr>
                <w:noProof/>
                <w:webHidden/>
              </w:rPr>
              <w:instrText xml:space="preserve"> PAGEREF _Toc426029805 \h </w:instrText>
            </w:r>
            <w:r>
              <w:rPr>
                <w:noProof/>
                <w:webHidden/>
              </w:rPr>
            </w:r>
            <w:r>
              <w:rPr>
                <w:noProof/>
                <w:webHidden/>
              </w:rPr>
              <w:fldChar w:fldCharType="separate"/>
            </w:r>
            <w:r>
              <w:rPr>
                <w:noProof/>
                <w:webHidden/>
              </w:rPr>
              <w:t>10</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6" w:history="1">
            <w:r w:rsidRPr="003A48E6">
              <w:rPr>
                <w:rStyle w:val="Hypertextovodkaz"/>
                <w:noProof/>
              </w:rPr>
              <w:t>2.1.4.</w:t>
            </w:r>
            <w:r>
              <w:rPr>
                <w:rFonts w:eastAsiaTheme="minorEastAsia"/>
                <w:noProof/>
                <w:lang w:eastAsia="cs-CZ"/>
              </w:rPr>
              <w:tab/>
            </w:r>
            <w:r w:rsidRPr="003A48E6">
              <w:rPr>
                <w:rStyle w:val="Hypertextovodkaz"/>
                <w:noProof/>
              </w:rPr>
              <w:t>Transport auxinu</w:t>
            </w:r>
            <w:r>
              <w:rPr>
                <w:noProof/>
                <w:webHidden/>
              </w:rPr>
              <w:tab/>
            </w:r>
            <w:r>
              <w:rPr>
                <w:noProof/>
                <w:webHidden/>
              </w:rPr>
              <w:fldChar w:fldCharType="begin"/>
            </w:r>
            <w:r>
              <w:rPr>
                <w:noProof/>
                <w:webHidden/>
              </w:rPr>
              <w:instrText xml:space="preserve"> PAGEREF _Toc426029806 \h </w:instrText>
            </w:r>
            <w:r>
              <w:rPr>
                <w:noProof/>
                <w:webHidden/>
              </w:rPr>
            </w:r>
            <w:r>
              <w:rPr>
                <w:noProof/>
                <w:webHidden/>
              </w:rPr>
              <w:fldChar w:fldCharType="separate"/>
            </w:r>
            <w:r>
              <w:rPr>
                <w:noProof/>
                <w:webHidden/>
              </w:rPr>
              <w:t>10</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7" w:history="1">
            <w:r w:rsidRPr="003A48E6">
              <w:rPr>
                <w:rStyle w:val="Hypertextovodkaz"/>
                <w:noProof/>
              </w:rPr>
              <w:t>2.1.5.</w:t>
            </w:r>
            <w:r>
              <w:rPr>
                <w:rFonts w:eastAsiaTheme="minorEastAsia"/>
                <w:noProof/>
                <w:lang w:eastAsia="cs-CZ"/>
              </w:rPr>
              <w:tab/>
            </w:r>
            <w:r w:rsidRPr="003A48E6">
              <w:rPr>
                <w:rStyle w:val="Hypertextovodkaz"/>
                <w:noProof/>
              </w:rPr>
              <w:t>Auxin-bindig protein 1 (ABP1)</w:t>
            </w:r>
            <w:r>
              <w:rPr>
                <w:noProof/>
                <w:webHidden/>
              </w:rPr>
              <w:tab/>
            </w:r>
            <w:r>
              <w:rPr>
                <w:noProof/>
                <w:webHidden/>
              </w:rPr>
              <w:fldChar w:fldCharType="begin"/>
            </w:r>
            <w:r>
              <w:rPr>
                <w:noProof/>
                <w:webHidden/>
              </w:rPr>
              <w:instrText xml:space="preserve"> PAGEREF _Toc426029807 \h </w:instrText>
            </w:r>
            <w:r>
              <w:rPr>
                <w:noProof/>
                <w:webHidden/>
              </w:rPr>
            </w:r>
            <w:r>
              <w:rPr>
                <w:noProof/>
                <w:webHidden/>
              </w:rPr>
              <w:fldChar w:fldCharType="separate"/>
            </w:r>
            <w:r>
              <w:rPr>
                <w:noProof/>
                <w:webHidden/>
              </w:rPr>
              <w:t>11</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08" w:history="1">
            <w:r w:rsidRPr="003A48E6">
              <w:rPr>
                <w:rStyle w:val="Hypertextovodkaz"/>
                <w:noProof/>
              </w:rPr>
              <w:t>2.2.</w:t>
            </w:r>
            <w:r>
              <w:rPr>
                <w:rFonts w:eastAsiaTheme="minorEastAsia"/>
                <w:noProof/>
                <w:lang w:eastAsia="cs-CZ"/>
              </w:rPr>
              <w:tab/>
            </w:r>
            <w:r w:rsidRPr="003A48E6">
              <w:rPr>
                <w:rStyle w:val="Hypertextovodkaz"/>
                <w:noProof/>
              </w:rPr>
              <w:t>Světlo</w:t>
            </w:r>
            <w:r>
              <w:rPr>
                <w:noProof/>
                <w:webHidden/>
              </w:rPr>
              <w:tab/>
            </w:r>
            <w:r>
              <w:rPr>
                <w:noProof/>
                <w:webHidden/>
              </w:rPr>
              <w:fldChar w:fldCharType="begin"/>
            </w:r>
            <w:r>
              <w:rPr>
                <w:noProof/>
                <w:webHidden/>
              </w:rPr>
              <w:instrText xml:space="preserve"> PAGEREF _Toc426029808 \h </w:instrText>
            </w:r>
            <w:r>
              <w:rPr>
                <w:noProof/>
                <w:webHidden/>
              </w:rPr>
            </w:r>
            <w:r>
              <w:rPr>
                <w:noProof/>
                <w:webHidden/>
              </w:rPr>
              <w:fldChar w:fldCharType="separate"/>
            </w:r>
            <w:r>
              <w:rPr>
                <w:noProof/>
                <w:webHidden/>
              </w:rPr>
              <w:t>12</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09" w:history="1">
            <w:r w:rsidRPr="003A48E6">
              <w:rPr>
                <w:rStyle w:val="Hypertextovodkaz"/>
                <w:noProof/>
              </w:rPr>
              <w:t>2.2.1.</w:t>
            </w:r>
            <w:r>
              <w:rPr>
                <w:rFonts w:eastAsiaTheme="minorEastAsia"/>
                <w:noProof/>
                <w:lang w:eastAsia="cs-CZ"/>
              </w:rPr>
              <w:tab/>
            </w:r>
            <w:r w:rsidRPr="003A48E6">
              <w:rPr>
                <w:rStyle w:val="Hypertextovodkaz"/>
                <w:noProof/>
              </w:rPr>
              <w:t>Fotomorfogeneze</w:t>
            </w:r>
            <w:r>
              <w:rPr>
                <w:noProof/>
                <w:webHidden/>
              </w:rPr>
              <w:tab/>
            </w:r>
            <w:r>
              <w:rPr>
                <w:noProof/>
                <w:webHidden/>
              </w:rPr>
              <w:fldChar w:fldCharType="begin"/>
            </w:r>
            <w:r>
              <w:rPr>
                <w:noProof/>
                <w:webHidden/>
              </w:rPr>
              <w:instrText xml:space="preserve"> PAGEREF _Toc426029809 \h </w:instrText>
            </w:r>
            <w:r>
              <w:rPr>
                <w:noProof/>
                <w:webHidden/>
              </w:rPr>
            </w:r>
            <w:r>
              <w:rPr>
                <w:noProof/>
                <w:webHidden/>
              </w:rPr>
              <w:fldChar w:fldCharType="separate"/>
            </w:r>
            <w:r>
              <w:rPr>
                <w:noProof/>
                <w:webHidden/>
              </w:rPr>
              <w:t>12</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0" w:history="1">
            <w:r w:rsidRPr="003A48E6">
              <w:rPr>
                <w:rStyle w:val="Hypertextovodkaz"/>
                <w:noProof/>
              </w:rPr>
              <w:t>2.2.2.</w:t>
            </w:r>
            <w:r>
              <w:rPr>
                <w:rFonts w:eastAsiaTheme="minorEastAsia"/>
                <w:noProof/>
                <w:lang w:eastAsia="cs-CZ"/>
              </w:rPr>
              <w:tab/>
            </w:r>
            <w:r w:rsidRPr="003A48E6">
              <w:rPr>
                <w:rStyle w:val="Hypertextovodkaz"/>
                <w:noProof/>
              </w:rPr>
              <w:t>Receptory modrého světla</w:t>
            </w:r>
            <w:r>
              <w:rPr>
                <w:noProof/>
                <w:webHidden/>
              </w:rPr>
              <w:tab/>
            </w:r>
            <w:r>
              <w:rPr>
                <w:noProof/>
                <w:webHidden/>
              </w:rPr>
              <w:fldChar w:fldCharType="begin"/>
            </w:r>
            <w:r>
              <w:rPr>
                <w:noProof/>
                <w:webHidden/>
              </w:rPr>
              <w:instrText xml:space="preserve"> PAGEREF _Toc426029810 \h </w:instrText>
            </w:r>
            <w:r>
              <w:rPr>
                <w:noProof/>
                <w:webHidden/>
              </w:rPr>
            </w:r>
            <w:r>
              <w:rPr>
                <w:noProof/>
                <w:webHidden/>
              </w:rPr>
              <w:fldChar w:fldCharType="separate"/>
            </w:r>
            <w:r>
              <w:rPr>
                <w:noProof/>
                <w:webHidden/>
              </w:rPr>
              <w:t>13</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1" w:history="1">
            <w:r w:rsidRPr="003A48E6">
              <w:rPr>
                <w:rStyle w:val="Hypertextovodkaz"/>
                <w:noProof/>
              </w:rPr>
              <w:t>2.2.3.</w:t>
            </w:r>
            <w:r>
              <w:rPr>
                <w:rFonts w:eastAsiaTheme="minorEastAsia"/>
                <w:noProof/>
                <w:lang w:eastAsia="cs-CZ"/>
              </w:rPr>
              <w:tab/>
            </w:r>
            <w:r w:rsidRPr="003A48E6">
              <w:rPr>
                <w:rStyle w:val="Hypertextovodkaz"/>
                <w:noProof/>
              </w:rPr>
              <w:t>Receptory červeného světla</w:t>
            </w:r>
            <w:r>
              <w:rPr>
                <w:noProof/>
                <w:webHidden/>
              </w:rPr>
              <w:tab/>
            </w:r>
            <w:r>
              <w:rPr>
                <w:noProof/>
                <w:webHidden/>
              </w:rPr>
              <w:fldChar w:fldCharType="begin"/>
            </w:r>
            <w:r>
              <w:rPr>
                <w:noProof/>
                <w:webHidden/>
              </w:rPr>
              <w:instrText xml:space="preserve"> PAGEREF _Toc426029811 \h </w:instrText>
            </w:r>
            <w:r>
              <w:rPr>
                <w:noProof/>
                <w:webHidden/>
              </w:rPr>
            </w:r>
            <w:r>
              <w:rPr>
                <w:noProof/>
                <w:webHidden/>
              </w:rPr>
              <w:fldChar w:fldCharType="separate"/>
            </w:r>
            <w:r>
              <w:rPr>
                <w:noProof/>
                <w:webHidden/>
              </w:rPr>
              <w:t>14</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2" w:history="1">
            <w:r w:rsidRPr="003A48E6">
              <w:rPr>
                <w:rStyle w:val="Hypertextovodkaz"/>
                <w:noProof/>
              </w:rPr>
              <w:t>2.2.4.</w:t>
            </w:r>
            <w:r>
              <w:rPr>
                <w:rFonts w:eastAsiaTheme="minorEastAsia"/>
                <w:noProof/>
                <w:lang w:eastAsia="cs-CZ"/>
              </w:rPr>
              <w:tab/>
            </w:r>
            <w:r w:rsidRPr="003A48E6">
              <w:rPr>
                <w:rStyle w:val="Hypertextovodkaz"/>
                <w:noProof/>
              </w:rPr>
              <w:t>Struktura fytochromů</w:t>
            </w:r>
            <w:r>
              <w:rPr>
                <w:noProof/>
                <w:webHidden/>
              </w:rPr>
              <w:tab/>
            </w:r>
            <w:r>
              <w:rPr>
                <w:noProof/>
                <w:webHidden/>
              </w:rPr>
              <w:fldChar w:fldCharType="begin"/>
            </w:r>
            <w:r>
              <w:rPr>
                <w:noProof/>
                <w:webHidden/>
              </w:rPr>
              <w:instrText xml:space="preserve"> PAGEREF _Toc426029812 \h </w:instrText>
            </w:r>
            <w:r>
              <w:rPr>
                <w:noProof/>
                <w:webHidden/>
              </w:rPr>
            </w:r>
            <w:r>
              <w:rPr>
                <w:noProof/>
                <w:webHidden/>
              </w:rPr>
              <w:fldChar w:fldCharType="separate"/>
            </w:r>
            <w:r>
              <w:rPr>
                <w:noProof/>
                <w:webHidden/>
              </w:rPr>
              <w:t>14</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3" w:history="1">
            <w:r w:rsidRPr="003A48E6">
              <w:rPr>
                <w:rStyle w:val="Hypertextovodkaz"/>
                <w:noProof/>
              </w:rPr>
              <w:t>2.2.5.</w:t>
            </w:r>
            <w:r>
              <w:rPr>
                <w:rFonts w:eastAsiaTheme="minorEastAsia"/>
                <w:noProof/>
                <w:lang w:eastAsia="cs-CZ"/>
              </w:rPr>
              <w:tab/>
            </w:r>
            <w:r w:rsidRPr="003A48E6">
              <w:rPr>
                <w:rStyle w:val="Hypertextovodkaz"/>
                <w:noProof/>
              </w:rPr>
              <w:t>Iterakce auxinu a světla</w:t>
            </w:r>
            <w:r>
              <w:rPr>
                <w:noProof/>
                <w:webHidden/>
              </w:rPr>
              <w:tab/>
            </w:r>
            <w:r>
              <w:rPr>
                <w:noProof/>
                <w:webHidden/>
              </w:rPr>
              <w:fldChar w:fldCharType="begin"/>
            </w:r>
            <w:r>
              <w:rPr>
                <w:noProof/>
                <w:webHidden/>
              </w:rPr>
              <w:instrText xml:space="preserve"> PAGEREF _Toc426029813 \h </w:instrText>
            </w:r>
            <w:r>
              <w:rPr>
                <w:noProof/>
                <w:webHidden/>
              </w:rPr>
            </w:r>
            <w:r>
              <w:rPr>
                <w:noProof/>
                <w:webHidden/>
              </w:rPr>
              <w:fldChar w:fldCharType="separate"/>
            </w:r>
            <w:r>
              <w:rPr>
                <w:noProof/>
                <w:webHidden/>
              </w:rPr>
              <w:t>16</w:t>
            </w:r>
            <w:r>
              <w:rPr>
                <w:noProof/>
                <w:webHidden/>
              </w:rPr>
              <w:fldChar w:fldCharType="end"/>
            </w:r>
          </w:hyperlink>
        </w:p>
        <w:p w:rsidR="006F7DF2" w:rsidRDefault="006F7DF2">
          <w:pPr>
            <w:pStyle w:val="Obsah1"/>
            <w:rPr>
              <w:rFonts w:eastAsiaTheme="minorEastAsia"/>
              <w:noProof/>
              <w:lang w:eastAsia="cs-CZ"/>
            </w:rPr>
          </w:pPr>
          <w:hyperlink w:anchor="_Toc426029814" w:history="1">
            <w:r w:rsidRPr="003A48E6">
              <w:rPr>
                <w:rStyle w:val="Hypertextovodkaz"/>
                <w:noProof/>
              </w:rPr>
              <w:t>3.</w:t>
            </w:r>
            <w:r>
              <w:rPr>
                <w:rFonts w:eastAsiaTheme="minorEastAsia"/>
                <w:noProof/>
                <w:lang w:eastAsia="cs-CZ"/>
              </w:rPr>
              <w:tab/>
            </w:r>
            <w:r w:rsidRPr="003A48E6">
              <w:rPr>
                <w:rStyle w:val="Hypertextovodkaz"/>
                <w:noProof/>
              </w:rPr>
              <w:t>Materiál a metody</w:t>
            </w:r>
            <w:r>
              <w:rPr>
                <w:noProof/>
                <w:webHidden/>
              </w:rPr>
              <w:tab/>
            </w:r>
            <w:r>
              <w:rPr>
                <w:noProof/>
                <w:webHidden/>
              </w:rPr>
              <w:fldChar w:fldCharType="begin"/>
            </w:r>
            <w:r>
              <w:rPr>
                <w:noProof/>
                <w:webHidden/>
              </w:rPr>
              <w:instrText xml:space="preserve"> PAGEREF _Toc426029814 \h </w:instrText>
            </w:r>
            <w:r>
              <w:rPr>
                <w:noProof/>
                <w:webHidden/>
              </w:rPr>
            </w:r>
            <w:r>
              <w:rPr>
                <w:noProof/>
                <w:webHidden/>
              </w:rPr>
              <w:fldChar w:fldCharType="separate"/>
            </w:r>
            <w:r>
              <w:rPr>
                <w:noProof/>
                <w:webHidden/>
              </w:rPr>
              <w:t>18</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15" w:history="1">
            <w:r w:rsidRPr="003A48E6">
              <w:rPr>
                <w:rStyle w:val="Hypertextovodkaz"/>
                <w:noProof/>
              </w:rPr>
              <w:t>3.1.</w:t>
            </w:r>
            <w:r>
              <w:rPr>
                <w:rFonts w:eastAsiaTheme="minorEastAsia"/>
                <w:noProof/>
                <w:lang w:eastAsia="cs-CZ"/>
              </w:rPr>
              <w:tab/>
            </w:r>
            <w:r w:rsidRPr="003A48E6">
              <w:rPr>
                <w:rStyle w:val="Hypertextovodkaz"/>
                <w:noProof/>
              </w:rPr>
              <w:t>Rostlinný materiál</w:t>
            </w:r>
            <w:r>
              <w:rPr>
                <w:noProof/>
                <w:webHidden/>
              </w:rPr>
              <w:tab/>
            </w:r>
            <w:r>
              <w:rPr>
                <w:noProof/>
                <w:webHidden/>
              </w:rPr>
              <w:fldChar w:fldCharType="begin"/>
            </w:r>
            <w:r>
              <w:rPr>
                <w:noProof/>
                <w:webHidden/>
              </w:rPr>
              <w:instrText xml:space="preserve"> PAGEREF _Toc426029815 \h </w:instrText>
            </w:r>
            <w:r>
              <w:rPr>
                <w:noProof/>
                <w:webHidden/>
              </w:rPr>
            </w:r>
            <w:r>
              <w:rPr>
                <w:noProof/>
                <w:webHidden/>
              </w:rPr>
              <w:fldChar w:fldCharType="separate"/>
            </w:r>
            <w:r>
              <w:rPr>
                <w:noProof/>
                <w:webHidden/>
              </w:rPr>
              <w:t>18</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16" w:history="1">
            <w:r w:rsidRPr="003A48E6">
              <w:rPr>
                <w:rStyle w:val="Hypertextovodkaz"/>
                <w:noProof/>
              </w:rPr>
              <w:t>3.2.</w:t>
            </w:r>
            <w:r>
              <w:rPr>
                <w:rFonts w:eastAsiaTheme="minorEastAsia"/>
                <w:noProof/>
                <w:lang w:eastAsia="cs-CZ"/>
              </w:rPr>
              <w:tab/>
            </w:r>
            <w:r w:rsidRPr="003A48E6">
              <w:rPr>
                <w:rStyle w:val="Hypertextovodkaz"/>
                <w:noProof/>
              </w:rPr>
              <w:t xml:space="preserve">Růstové experimenty </w:t>
            </w:r>
            <w:r w:rsidRPr="003A48E6">
              <w:rPr>
                <w:rStyle w:val="Hypertextovodkaz"/>
                <w:i/>
                <w:noProof/>
              </w:rPr>
              <w:t>in vitro</w:t>
            </w:r>
            <w:r>
              <w:rPr>
                <w:noProof/>
                <w:webHidden/>
              </w:rPr>
              <w:tab/>
            </w:r>
            <w:r>
              <w:rPr>
                <w:noProof/>
                <w:webHidden/>
              </w:rPr>
              <w:fldChar w:fldCharType="begin"/>
            </w:r>
            <w:r>
              <w:rPr>
                <w:noProof/>
                <w:webHidden/>
              </w:rPr>
              <w:instrText xml:space="preserve"> PAGEREF _Toc426029816 \h </w:instrText>
            </w:r>
            <w:r>
              <w:rPr>
                <w:noProof/>
                <w:webHidden/>
              </w:rPr>
            </w:r>
            <w:r>
              <w:rPr>
                <w:noProof/>
                <w:webHidden/>
              </w:rPr>
              <w:fldChar w:fldCharType="separate"/>
            </w:r>
            <w:r>
              <w:rPr>
                <w:noProof/>
                <w:webHidden/>
              </w:rPr>
              <w:t>18</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17" w:history="1">
            <w:r w:rsidRPr="003A48E6">
              <w:rPr>
                <w:rStyle w:val="Hypertextovodkaz"/>
                <w:noProof/>
              </w:rPr>
              <w:t>3.3.</w:t>
            </w:r>
            <w:r>
              <w:rPr>
                <w:rFonts w:eastAsiaTheme="minorEastAsia"/>
                <w:noProof/>
                <w:lang w:eastAsia="cs-CZ"/>
              </w:rPr>
              <w:tab/>
            </w:r>
            <w:r w:rsidRPr="003A48E6">
              <w:rPr>
                <w:rStyle w:val="Hypertextovodkaz"/>
                <w:noProof/>
              </w:rPr>
              <w:t>Studium genové exprese</w:t>
            </w:r>
            <w:r>
              <w:rPr>
                <w:noProof/>
                <w:webHidden/>
              </w:rPr>
              <w:tab/>
            </w:r>
            <w:r>
              <w:rPr>
                <w:noProof/>
                <w:webHidden/>
              </w:rPr>
              <w:fldChar w:fldCharType="begin"/>
            </w:r>
            <w:r>
              <w:rPr>
                <w:noProof/>
                <w:webHidden/>
              </w:rPr>
              <w:instrText xml:space="preserve"> PAGEREF _Toc426029817 \h </w:instrText>
            </w:r>
            <w:r>
              <w:rPr>
                <w:noProof/>
                <w:webHidden/>
              </w:rPr>
            </w:r>
            <w:r>
              <w:rPr>
                <w:noProof/>
                <w:webHidden/>
              </w:rPr>
              <w:fldChar w:fldCharType="separate"/>
            </w:r>
            <w:r>
              <w:rPr>
                <w:noProof/>
                <w:webHidden/>
              </w:rPr>
              <w:t>19</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8" w:history="1">
            <w:r w:rsidRPr="003A48E6">
              <w:rPr>
                <w:rStyle w:val="Hypertextovodkaz"/>
                <w:noProof/>
              </w:rPr>
              <w:t>3.3.1.</w:t>
            </w:r>
            <w:r>
              <w:rPr>
                <w:rFonts w:eastAsiaTheme="minorEastAsia"/>
                <w:noProof/>
                <w:lang w:eastAsia="cs-CZ"/>
              </w:rPr>
              <w:tab/>
            </w:r>
            <w:r w:rsidRPr="003A48E6">
              <w:rPr>
                <w:rStyle w:val="Hypertextovodkaz"/>
                <w:noProof/>
              </w:rPr>
              <w:t>Izolace RNA</w:t>
            </w:r>
            <w:r>
              <w:rPr>
                <w:noProof/>
                <w:webHidden/>
              </w:rPr>
              <w:tab/>
            </w:r>
            <w:r>
              <w:rPr>
                <w:noProof/>
                <w:webHidden/>
              </w:rPr>
              <w:fldChar w:fldCharType="begin"/>
            </w:r>
            <w:r>
              <w:rPr>
                <w:noProof/>
                <w:webHidden/>
              </w:rPr>
              <w:instrText xml:space="preserve"> PAGEREF _Toc426029818 \h </w:instrText>
            </w:r>
            <w:r>
              <w:rPr>
                <w:noProof/>
                <w:webHidden/>
              </w:rPr>
            </w:r>
            <w:r>
              <w:rPr>
                <w:noProof/>
                <w:webHidden/>
              </w:rPr>
              <w:fldChar w:fldCharType="separate"/>
            </w:r>
            <w:r>
              <w:rPr>
                <w:noProof/>
                <w:webHidden/>
              </w:rPr>
              <w:t>19</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19" w:history="1">
            <w:r w:rsidRPr="003A48E6">
              <w:rPr>
                <w:rStyle w:val="Hypertextovodkaz"/>
                <w:noProof/>
              </w:rPr>
              <w:t>3.3.2.</w:t>
            </w:r>
            <w:r>
              <w:rPr>
                <w:rFonts w:eastAsiaTheme="minorEastAsia"/>
                <w:noProof/>
                <w:lang w:eastAsia="cs-CZ"/>
              </w:rPr>
              <w:tab/>
            </w:r>
            <w:r w:rsidRPr="003A48E6">
              <w:rPr>
                <w:rStyle w:val="Hypertextovodkaz"/>
                <w:noProof/>
              </w:rPr>
              <w:t>Syntéza cDNA</w:t>
            </w:r>
            <w:r>
              <w:rPr>
                <w:noProof/>
                <w:webHidden/>
              </w:rPr>
              <w:tab/>
            </w:r>
            <w:r>
              <w:rPr>
                <w:noProof/>
                <w:webHidden/>
              </w:rPr>
              <w:fldChar w:fldCharType="begin"/>
            </w:r>
            <w:r>
              <w:rPr>
                <w:noProof/>
                <w:webHidden/>
              </w:rPr>
              <w:instrText xml:space="preserve"> PAGEREF _Toc426029819 \h </w:instrText>
            </w:r>
            <w:r>
              <w:rPr>
                <w:noProof/>
                <w:webHidden/>
              </w:rPr>
            </w:r>
            <w:r>
              <w:rPr>
                <w:noProof/>
                <w:webHidden/>
              </w:rPr>
              <w:fldChar w:fldCharType="separate"/>
            </w:r>
            <w:r>
              <w:rPr>
                <w:noProof/>
                <w:webHidden/>
              </w:rPr>
              <w:t>20</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0" w:history="1">
            <w:r w:rsidRPr="003A48E6">
              <w:rPr>
                <w:rStyle w:val="Hypertextovodkaz"/>
                <w:noProof/>
              </w:rPr>
              <w:t>3.3.3.</w:t>
            </w:r>
            <w:r>
              <w:rPr>
                <w:rFonts w:eastAsiaTheme="minorEastAsia"/>
                <w:noProof/>
                <w:lang w:eastAsia="cs-CZ"/>
              </w:rPr>
              <w:tab/>
            </w:r>
            <w:r w:rsidRPr="003A48E6">
              <w:rPr>
                <w:rStyle w:val="Hypertextovodkaz"/>
                <w:noProof/>
              </w:rPr>
              <w:t>Genová exprese</w:t>
            </w:r>
            <w:r>
              <w:rPr>
                <w:noProof/>
                <w:webHidden/>
              </w:rPr>
              <w:tab/>
            </w:r>
            <w:r>
              <w:rPr>
                <w:noProof/>
                <w:webHidden/>
              </w:rPr>
              <w:fldChar w:fldCharType="begin"/>
            </w:r>
            <w:r>
              <w:rPr>
                <w:noProof/>
                <w:webHidden/>
              </w:rPr>
              <w:instrText xml:space="preserve"> PAGEREF _Toc426029820 \h </w:instrText>
            </w:r>
            <w:r>
              <w:rPr>
                <w:noProof/>
                <w:webHidden/>
              </w:rPr>
            </w:r>
            <w:r>
              <w:rPr>
                <w:noProof/>
                <w:webHidden/>
              </w:rPr>
              <w:fldChar w:fldCharType="separate"/>
            </w:r>
            <w:r>
              <w:rPr>
                <w:noProof/>
                <w:webHidden/>
              </w:rPr>
              <w:t>21</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1" w:history="1">
            <w:r w:rsidRPr="003A48E6">
              <w:rPr>
                <w:rStyle w:val="Hypertextovodkaz"/>
                <w:noProof/>
              </w:rPr>
              <w:t>3.3.4.</w:t>
            </w:r>
            <w:r>
              <w:rPr>
                <w:rFonts w:eastAsiaTheme="minorEastAsia"/>
                <w:noProof/>
                <w:lang w:eastAsia="cs-CZ"/>
              </w:rPr>
              <w:tab/>
            </w:r>
            <w:r w:rsidRPr="003A48E6">
              <w:rPr>
                <w:rStyle w:val="Hypertextovodkaz"/>
                <w:noProof/>
              </w:rPr>
              <w:t>Elektroforéza</w:t>
            </w:r>
            <w:r>
              <w:rPr>
                <w:noProof/>
                <w:webHidden/>
              </w:rPr>
              <w:tab/>
            </w:r>
            <w:r>
              <w:rPr>
                <w:noProof/>
                <w:webHidden/>
              </w:rPr>
              <w:fldChar w:fldCharType="begin"/>
            </w:r>
            <w:r>
              <w:rPr>
                <w:noProof/>
                <w:webHidden/>
              </w:rPr>
              <w:instrText xml:space="preserve"> PAGEREF _Toc426029821 \h </w:instrText>
            </w:r>
            <w:r>
              <w:rPr>
                <w:noProof/>
                <w:webHidden/>
              </w:rPr>
            </w:r>
            <w:r>
              <w:rPr>
                <w:noProof/>
                <w:webHidden/>
              </w:rPr>
              <w:fldChar w:fldCharType="separate"/>
            </w:r>
            <w:r>
              <w:rPr>
                <w:noProof/>
                <w:webHidden/>
              </w:rPr>
              <w:t>22</w:t>
            </w:r>
            <w:r>
              <w:rPr>
                <w:noProof/>
                <w:webHidden/>
              </w:rPr>
              <w:fldChar w:fldCharType="end"/>
            </w:r>
          </w:hyperlink>
        </w:p>
        <w:p w:rsidR="006F7DF2" w:rsidRDefault="006F7DF2">
          <w:pPr>
            <w:pStyle w:val="Obsah1"/>
            <w:rPr>
              <w:rFonts w:eastAsiaTheme="minorEastAsia"/>
              <w:noProof/>
              <w:lang w:eastAsia="cs-CZ"/>
            </w:rPr>
          </w:pPr>
          <w:hyperlink w:anchor="_Toc426029822" w:history="1">
            <w:r w:rsidRPr="003A48E6">
              <w:rPr>
                <w:rStyle w:val="Hypertextovodkaz"/>
                <w:noProof/>
              </w:rPr>
              <w:t>4.</w:t>
            </w:r>
            <w:r>
              <w:rPr>
                <w:rFonts w:eastAsiaTheme="minorEastAsia"/>
                <w:noProof/>
                <w:lang w:eastAsia="cs-CZ"/>
              </w:rPr>
              <w:tab/>
            </w:r>
            <w:r w:rsidRPr="003A48E6">
              <w:rPr>
                <w:rStyle w:val="Hypertextovodkaz"/>
                <w:noProof/>
              </w:rPr>
              <w:t>Výsledky</w:t>
            </w:r>
            <w:r>
              <w:rPr>
                <w:noProof/>
                <w:webHidden/>
              </w:rPr>
              <w:tab/>
            </w:r>
            <w:r>
              <w:rPr>
                <w:noProof/>
                <w:webHidden/>
              </w:rPr>
              <w:fldChar w:fldCharType="begin"/>
            </w:r>
            <w:r>
              <w:rPr>
                <w:noProof/>
                <w:webHidden/>
              </w:rPr>
              <w:instrText xml:space="preserve"> PAGEREF _Toc426029822 \h </w:instrText>
            </w:r>
            <w:r>
              <w:rPr>
                <w:noProof/>
                <w:webHidden/>
              </w:rPr>
            </w:r>
            <w:r>
              <w:rPr>
                <w:noProof/>
                <w:webHidden/>
              </w:rPr>
              <w:fldChar w:fldCharType="separate"/>
            </w:r>
            <w:r>
              <w:rPr>
                <w:noProof/>
                <w:webHidden/>
              </w:rPr>
              <w:t>23</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23" w:history="1">
            <w:r w:rsidRPr="003A48E6">
              <w:rPr>
                <w:rStyle w:val="Hypertextovodkaz"/>
                <w:noProof/>
              </w:rPr>
              <w:t>4.1.</w:t>
            </w:r>
            <w:r>
              <w:rPr>
                <w:rFonts w:eastAsiaTheme="minorEastAsia"/>
                <w:noProof/>
                <w:lang w:eastAsia="cs-CZ"/>
              </w:rPr>
              <w:tab/>
            </w:r>
            <w:r w:rsidRPr="003A48E6">
              <w:rPr>
                <w:rStyle w:val="Hypertextovodkaz"/>
                <w:noProof/>
              </w:rPr>
              <w:t>Růstové pokusy</w:t>
            </w:r>
            <w:r>
              <w:rPr>
                <w:noProof/>
                <w:webHidden/>
              </w:rPr>
              <w:tab/>
            </w:r>
            <w:r>
              <w:rPr>
                <w:noProof/>
                <w:webHidden/>
              </w:rPr>
              <w:fldChar w:fldCharType="begin"/>
            </w:r>
            <w:r>
              <w:rPr>
                <w:noProof/>
                <w:webHidden/>
              </w:rPr>
              <w:instrText xml:space="preserve"> PAGEREF _Toc426029823 \h </w:instrText>
            </w:r>
            <w:r>
              <w:rPr>
                <w:noProof/>
                <w:webHidden/>
              </w:rPr>
            </w:r>
            <w:r>
              <w:rPr>
                <w:noProof/>
                <w:webHidden/>
              </w:rPr>
              <w:fldChar w:fldCharType="separate"/>
            </w:r>
            <w:r>
              <w:rPr>
                <w:noProof/>
                <w:webHidden/>
              </w:rPr>
              <w:t>23</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4" w:history="1">
            <w:r w:rsidRPr="003A48E6">
              <w:rPr>
                <w:rStyle w:val="Hypertextovodkaz"/>
                <w:noProof/>
              </w:rPr>
              <w:t>4.1.1.</w:t>
            </w:r>
            <w:r>
              <w:rPr>
                <w:rFonts w:eastAsiaTheme="minorEastAsia"/>
                <w:noProof/>
                <w:lang w:eastAsia="cs-CZ"/>
              </w:rPr>
              <w:tab/>
            </w:r>
            <w:r w:rsidRPr="003A48E6">
              <w:rPr>
                <w:rStyle w:val="Hypertextovodkaz"/>
                <w:noProof/>
              </w:rPr>
              <w:t>Vliv světla na růst koleoptile</w:t>
            </w:r>
            <w:r>
              <w:rPr>
                <w:noProof/>
                <w:webHidden/>
              </w:rPr>
              <w:tab/>
            </w:r>
            <w:r>
              <w:rPr>
                <w:noProof/>
                <w:webHidden/>
              </w:rPr>
              <w:fldChar w:fldCharType="begin"/>
            </w:r>
            <w:r>
              <w:rPr>
                <w:noProof/>
                <w:webHidden/>
              </w:rPr>
              <w:instrText xml:space="preserve"> PAGEREF _Toc426029824 \h </w:instrText>
            </w:r>
            <w:r>
              <w:rPr>
                <w:noProof/>
                <w:webHidden/>
              </w:rPr>
            </w:r>
            <w:r>
              <w:rPr>
                <w:noProof/>
                <w:webHidden/>
              </w:rPr>
              <w:fldChar w:fldCharType="separate"/>
            </w:r>
            <w:r>
              <w:rPr>
                <w:noProof/>
                <w:webHidden/>
              </w:rPr>
              <w:t>23</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5" w:history="1">
            <w:r w:rsidRPr="003A48E6">
              <w:rPr>
                <w:rStyle w:val="Hypertextovodkaz"/>
                <w:noProof/>
              </w:rPr>
              <w:t>4.1.2.</w:t>
            </w:r>
            <w:r>
              <w:rPr>
                <w:rFonts w:eastAsiaTheme="minorEastAsia"/>
                <w:noProof/>
                <w:lang w:eastAsia="cs-CZ"/>
              </w:rPr>
              <w:tab/>
            </w:r>
            <w:r w:rsidRPr="003A48E6">
              <w:rPr>
                <w:rStyle w:val="Hypertextovodkaz"/>
                <w:noProof/>
              </w:rPr>
              <w:t>Vliv světla na růst  mezokotylu</w:t>
            </w:r>
            <w:r>
              <w:rPr>
                <w:noProof/>
                <w:webHidden/>
              </w:rPr>
              <w:tab/>
            </w:r>
            <w:r>
              <w:rPr>
                <w:noProof/>
                <w:webHidden/>
              </w:rPr>
              <w:fldChar w:fldCharType="begin"/>
            </w:r>
            <w:r>
              <w:rPr>
                <w:noProof/>
                <w:webHidden/>
              </w:rPr>
              <w:instrText xml:space="preserve"> PAGEREF _Toc426029825 \h </w:instrText>
            </w:r>
            <w:r>
              <w:rPr>
                <w:noProof/>
                <w:webHidden/>
              </w:rPr>
            </w:r>
            <w:r>
              <w:rPr>
                <w:noProof/>
                <w:webHidden/>
              </w:rPr>
              <w:fldChar w:fldCharType="separate"/>
            </w:r>
            <w:r>
              <w:rPr>
                <w:noProof/>
                <w:webHidden/>
              </w:rPr>
              <w:t>24</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6" w:history="1">
            <w:r w:rsidRPr="003A48E6">
              <w:rPr>
                <w:rStyle w:val="Hypertextovodkaz"/>
                <w:noProof/>
              </w:rPr>
              <w:t>4.1.3.</w:t>
            </w:r>
            <w:r>
              <w:rPr>
                <w:rFonts w:eastAsiaTheme="minorEastAsia"/>
                <w:noProof/>
                <w:lang w:eastAsia="cs-CZ"/>
              </w:rPr>
              <w:tab/>
            </w:r>
            <w:r w:rsidRPr="003A48E6">
              <w:rPr>
                <w:rStyle w:val="Hypertextovodkaz"/>
                <w:noProof/>
              </w:rPr>
              <w:t>Účinky světla na počet seminálních kořenů</w:t>
            </w:r>
            <w:r>
              <w:rPr>
                <w:noProof/>
                <w:webHidden/>
              </w:rPr>
              <w:tab/>
            </w:r>
            <w:r>
              <w:rPr>
                <w:noProof/>
                <w:webHidden/>
              </w:rPr>
              <w:fldChar w:fldCharType="begin"/>
            </w:r>
            <w:r>
              <w:rPr>
                <w:noProof/>
                <w:webHidden/>
              </w:rPr>
              <w:instrText xml:space="preserve"> PAGEREF _Toc426029826 \h </w:instrText>
            </w:r>
            <w:r>
              <w:rPr>
                <w:noProof/>
                <w:webHidden/>
              </w:rPr>
            </w:r>
            <w:r>
              <w:rPr>
                <w:noProof/>
                <w:webHidden/>
              </w:rPr>
              <w:fldChar w:fldCharType="separate"/>
            </w:r>
            <w:r>
              <w:rPr>
                <w:noProof/>
                <w:webHidden/>
              </w:rPr>
              <w:t>25</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7" w:history="1">
            <w:r w:rsidRPr="003A48E6">
              <w:rPr>
                <w:rStyle w:val="Hypertextovodkaz"/>
                <w:noProof/>
              </w:rPr>
              <w:t>4.1.4.</w:t>
            </w:r>
            <w:r>
              <w:rPr>
                <w:rFonts w:eastAsiaTheme="minorEastAsia"/>
                <w:noProof/>
                <w:lang w:eastAsia="cs-CZ"/>
              </w:rPr>
              <w:tab/>
            </w:r>
            <w:r w:rsidRPr="003A48E6">
              <w:rPr>
                <w:rStyle w:val="Hypertextovodkaz"/>
                <w:noProof/>
              </w:rPr>
              <w:t>Vliv světla na délku seminálních kořenů</w:t>
            </w:r>
            <w:r>
              <w:rPr>
                <w:noProof/>
                <w:webHidden/>
              </w:rPr>
              <w:tab/>
            </w:r>
            <w:r>
              <w:rPr>
                <w:noProof/>
                <w:webHidden/>
              </w:rPr>
              <w:fldChar w:fldCharType="begin"/>
            </w:r>
            <w:r>
              <w:rPr>
                <w:noProof/>
                <w:webHidden/>
              </w:rPr>
              <w:instrText xml:space="preserve"> PAGEREF _Toc426029827 \h </w:instrText>
            </w:r>
            <w:r>
              <w:rPr>
                <w:noProof/>
                <w:webHidden/>
              </w:rPr>
            </w:r>
            <w:r>
              <w:rPr>
                <w:noProof/>
                <w:webHidden/>
              </w:rPr>
              <w:fldChar w:fldCharType="separate"/>
            </w:r>
            <w:r>
              <w:rPr>
                <w:noProof/>
                <w:webHidden/>
              </w:rPr>
              <w:t>26</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28" w:history="1">
            <w:r w:rsidRPr="003A48E6">
              <w:rPr>
                <w:rStyle w:val="Hypertextovodkaz"/>
                <w:noProof/>
              </w:rPr>
              <w:t>4.1.5.</w:t>
            </w:r>
            <w:r>
              <w:rPr>
                <w:rFonts w:eastAsiaTheme="minorEastAsia"/>
                <w:noProof/>
                <w:lang w:eastAsia="cs-CZ"/>
              </w:rPr>
              <w:tab/>
            </w:r>
            <w:r w:rsidRPr="003A48E6">
              <w:rPr>
                <w:rStyle w:val="Hypertextovodkaz"/>
                <w:noProof/>
              </w:rPr>
              <w:t>Vliv světla na délku primárního kořene</w:t>
            </w:r>
            <w:r>
              <w:rPr>
                <w:noProof/>
                <w:webHidden/>
              </w:rPr>
              <w:tab/>
            </w:r>
            <w:r>
              <w:rPr>
                <w:noProof/>
                <w:webHidden/>
              </w:rPr>
              <w:fldChar w:fldCharType="begin"/>
            </w:r>
            <w:r>
              <w:rPr>
                <w:noProof/>
                <w:webHidden/>
              </w:rPr>
              <w:instrText xml:space="preserve"> PAGEREF _Toc426029828 \h </w:instrText>
            </w:r>
            <w:r>
              <w:rPr>
                <w:noProof/>
                <w:webHidden/>
              </w:rPr>
            </w:r>
            <w:r>
              <w:rPr>
                <w:noProof/>
                <w:webHidden/>
              </w:rPr>
              <w:fldChar w:fldCharType="separate"/>
            </w:r>
            <w:r>
              <w:rPr>
                <w:noProof/>
                <w:webHidden/>
              </w:rPr>
              <w:t>27</w:t>
            </w:r>
            <w:r>
              <w:rPr>
                <w:noProof/>
                <w:webHidden/>
              </w:rPr>
              <w:fldChar w:fldCharType="end"/>
            </w:r>
          </w:hyperlink>
        </w:p>
        <w:p w:rsidR="006F7DF2" w:rsidRDefault="006F7DF2">
          <w:pPr>
            <w:pStyle w:val="Obsah2"/>
            <w:tabs>
              <w:tab w:val="left" w:pos="880"/>
              <w:tab w:val="right" w:leader="dot" w:pos="9062"/>
            </w:tabs>
            <w:rPr>
              <w:rFonts w:eastAsiaTheme="minorEastAsia"/>
              <w:noProof/>
              <w:lang w:eastAsia="cs-CZ"/>
            </w:rPr>
          </w:pPr>
          <w:hyperlink w:anchor="_Toc426029829" w:history="1">
            <w:r w:rsidRPr="003A48E6">
              <w:rPr>
                <w:rStyle w:val="Hypertextovodkaz"/>
                <w:noProof/>
              </w:rPr>
              <w:t>4.2.</w:t>
            </w:r>
            <w:r>
              <w:rPr>
                <w:rFonts w:eastAsiaTheme="minorEastAsia"/>
                <w:noProof/>
                <w:lang w:eastAsia="cs-CZ"/>
              </w:rPr>
              <w:tab/>
            </w:r>
            <w:r w:rsidRPr="003A48E6">
              <w:rPr>
                <w:rStyle w:val="Hypertextovodkaz"/>
                <w:noProof/>
              </w:rPr>
              <w:t>Expresní experimenty</w:t>
            </w:r>
            <w:r>
              <w:rPr>
                <w:noProof/>
                <w:webHidden/>
              </w:rPr>
              <w:tab/>
            </w:r>
            <w:r>
              <w:rPr>
                <w:noProof/>
                <w:webHidden/>
              </w:rPr>
              <w:fldChar w:fldCharType="begin"/>
            </w:r>
            <w:r>
              <w:rPr>
                <w:noProof/>
                <w:webHidden/>
              </w:rPr>
              <w:instrText xml:space="preserve"> PAGEREF _Toc426029829 \h </w:instrText>
            </w:r>
            <w:r>
              <w:rPr>
                <w:noProof/>
                <w:webHidden/>
              </w:rPr>
            </w:r>
            <w:r>
              <w:rPr>
                <w:noProof/>
                <w:webHidden/>
              </w:rPr>
              <w:fldChar w:fldCharType="separate"/>
            </w:r>
            <w:r>
              <w:rPr>
                <w:noProof/>
                <w:webHidden/>
              </w:rPr>
              <w:t>27</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30" w:history="1">
            <w:r w:rsidRPr="003A48E6">
              <w:rPr>
                <w:rStyle w:val="Hypertextovodkaz"/>
                <w:noProof/>
              </w:rPr>
              <w:t>4.2.1.</w:t>
            </w:r>
            <w:r>
              <w:rPr>
                <w:rFonts w:eastAsiaTheme="minorEastAsia"/>
                <w:noProof/>
                <w:lang w:eastAsia="cs-CZ"/>
              </w:rPr>
              <w:tab/>
            </w:r>
            <w:r w:rsidRPr="003A48E6">
              <w:rPr>
                <w:rStyle w:val="Hypertextovodkaz"/>
                <w:noProof/>
              </w:rPr>
              <w:t xml:space="preserve">Vliv světla na expresi genu </w:t>
            </w:r>
            <w:r w:rsidRPr="003A48E6">
              <w:rPr>
                <w:rStyle w:val="Hypertextovodkaz"/>
                <w:i/>
                <w:noProof/>
              </w:rPr>
              <w:t>ABP1</w:t>
            </w:r>
            <w:r>
              <w:rPr>
                <w:noProof/>
                <w:webHidden/>
              </w:rPr>
              <w:tab/>
            </w:r>
            <w:r>
              <w:rPr>
                <w:noProof/>
                <w:webHidden/>
              </w:rPr>
              <w:fldChar w:fldCharType="begin"/>
            </w:r>
            <w:r>
              <w:rPr>
                <w:noProof/>
                <w:webHidden/>
              </w:rPr>
              <w:instrText xml:space="preserve"> PAGEREF _Toc426029830 \h </w:instrText>
            </w:r>
            <w:r>
              <w:rPr>
                <w:noProof/>
                <w:webHidden/>
              </w:rPr>
            </w:r>
            <w:r>
              <w:rPr>
                <w:noProof/>
                <w:webHidden/>
              </w:rPr>
              <w:fldChar w:fldCharType="separate"/>
            </w:r>
            <w:r>
              <w:rPr>
                <w:noProof/>
                <w:webHidden/>
              </w:rPr>
              <w:t>27</w:t>
            </w:r>
            <w:r>
              <w:rPr>
                <w:noProof/>
                <w:webHidden/>
              </w:rPr>
              <w:fldChar w:fldCharType="end"/>
            </w:r>
          </w:hyperlink>
        </w:p>
        <w:p w:rsidR="006F7DF2" w:rsidRDefault="006F7DF2">
          <w:pPr>
            <w:pStyle w:val="Obsah3"/>
            <w:tabs>
              <w:tab w:val="left" w:pos="1320"/>
              <w:tab w:val="right" w:leader="dot" w:pos="9062"/>
            </w:tabs>
            <w:rPr>
              <w:rFonts w:eastAsiaTheme="minorEastAsia"/>
              <w:noProof/>
              <w:lang w:eastAsia="cs-CZ"/>
            </w:rPr>
          </w:pPr>
          <w:hyperlink w:anchor="_Toc426029831" w:history="1">
            <w:r w:rsidRPr="003A48E6">
              <w:rPr>
                <w:rStyle w:val="Hypertextovodkaz"/>
                <w:noProof/>
              </w:rPr>
              <w:t>4.2.2.</w:t>
            </w:r>
            <w:r>
              <w:rPr>
                <w:rFonts w:eastAsiaTheme="minorEastAsia"/>
                <w:noProof/>
                <w:lang w:eastAsia="cs-CZ"/>
              </w:rPr>
              <w:tab/>
            </w:r>
            <w:r w:rsidRPr="003A48E6">
              <w:rPr>
                <w:rStyle w:val="Hypertextovodkaz"/>
                <w:noProof/>
              </w:rPr>
              <w:t xml:space="preserve">Vliv světla na expresi genu </w:t>
            </w:r>
            <w:r w:rsidRPr="003A48E6">
              <w:rPr>
                <w:rStyle w:val="Hypertextovodkaz"/>
                <w:i/>
                <w:noProof/>
              </w:rPr>
              <w:t>ABP4</w:t>
            </w:r>
            <w:r>
              <w:rPr>
                <w:noProof/>
                <w:webHidden/>
              </w:rPr>
              <w:tab/>
            </w:r>
            <w:r>
              <w:rPr>
                <w:noProof/>
                <w:webHidden/>
              </w:rPr>
              <w:fldChar w:fldCharType="begin"/>
            </w:r>
            <w:r>
              <w:rPr>
                <w:noProof/>
                <w:webHidden/>
              </w:rPr>
              <w:instrText xml:space="preserve"> PAGEREF _Toc426029831 \h </w:instrText>
            </w:r>
            <w:r>
              <w:rPr>
                <w:noProof/>
                <w:webHidden/>
              </w:rPr>
            </w:r>
            <w:r>
              <w:rPr>
                <w:noProof/>
                <w:webHidden/>
              </w:rPr>
              <w:fldChar w:fldCharType="separate"/>
            </w:r>
            <w:r>
              <w:rPr>
                <w:noProof/>
                <w:webHidden/>
              </w:rPr>
              <w:t>28</w:t>
            </w:r>
            <w:r>
              <w:rPr>
                <w:noProof/>
                <w:webHidden/>
              </w:rPr>
              <w:fldChar w:fldCharType="end"/>
            </w:r>
          </w:hyperlink>
        </w:p>
        <w:p w:rsidR="006F7DF2" w:rsidRDefault="006F7DF2">
          <w:pPr>
            <w:pStyle w:val="Obsah1"/>
            <w:rPr>
              <w:rFonts w:eastAsiaTheme="minorEastAsia"/>
              <w:noProof/>
              <w:lang w:eastAsia="cs-CZ"/>
            </w:rPr>
          </w:pPr>
          <w:hyperlink w:anchor="_Toc426029832" w:history="1">
            <w:r w:rsidRPr="003A48E6">
              <w:rPr>
                <w:rStyle w:val="Hypertextovodkaz"/>
                <w:noProof/>
              </w:rPr>
              <w:t>5.</w:t>
            </w:r>
            <w:r>
              <w:rPr>
                <w:rFonts w:eastAsiaTheme="minorEastAsia"/>
                <w:noProof/>
                <w:lang w:eastAsia="cs-CZ"/>
              </w:rPr>
              <w:tab/>
            </w:r>
            <w:r w:rsidRPr="003A48E6">
              <w:rPr>
                <w:rStyle w:val="Hypertextovodkaz"/>
                <w:noProof/>
              </w:rPr>
              <w:t>Diskuze</w:t>
            </w:r>
            <w:r>
              <w:rPr>
                <w:noProof/>
                <w:webHidden/>
              </w:rPr>
              <w:tab/>
            </w:r>
            <w:r>
              <w:rPr>
                <w:noProof/>
                <w:webHidden/>
              </w:rPr>
              <w:fldChar w:fldCharType="begin"/>
            </w:r>
            <w:r>
              <w:rPr>
                <w:noProof/>
                <w:webHidden/>
              </w:rPr>
              <w:instrText xml:space="preserve"> PAGEREF _Toc426029832 \h </w:instrText>
            </w:r>
            <w:r>
              <w:rPr>
                <w:noProof/>
                <w:webHidden/>
              </w:rPr>
            </w:r>
            <w:r>
              <w:rPr>
                <w:noProof/>
                <w:webHidden/>
              </w:rPr>
              <w:fldChar w:fldCharType="separate"/>
            </w:r>
            <w:r>
              <w:rPr>
                <w:noProof/>
                <w:webHidden/>
              </w:rPr>
              <w:t>30</w:t>
            </w:r>
            <w:r>
              <w:rPr>
                <w:noProof/>
                <w:webHidden/>
              </w:rPr>
              <w:fldChar w:fldCharType="end"/>
            </w:r>
          </w:hyperlink>
        </w:p>
        <w:p w:rsidR="006F7DF2" w:rsidRDefault="006F7DF2">
          <w:pPr>
            <w:pStyle w:val="Obsah1"/>
            <w:rPr>
              <w:rFonts w:eastAsiaTheme="minorEastAsia"/>
              <w:noProof/>
              <w:lang w:eastAsia="cs-CZ"/>
            </w:rPr>
          </w:pPr>
          <w:hyperlink w:anchor="_Toc426029833" w:history="1">
            <w:r w:rsidRPr="003A48E6">
              <w:rPr>
                <w:rStyle w:val="Hypertextovodkaz"/>
                <w:noProof/>
              </w:rPr>
              <w:t>6.</w:t>
            </w:r>
            <w:r>
              <w:rPr>
                <w:rFonts w:eastAsiaTheme="minorEastAsia"/>
                <w:noProof/>
                <w:lang w:eastAsia="cs-CZ"/>
              </w:rPr>
              <w:tab/>
            </w:r>
            <w:r w:rsidRPr="003A48E6">
              <w:rPr>
                <w:rStyle w:val="Hypertextovodkaz"/>
                <w:noProof/>
              </w:rPr>
              <w:t>Závěr</w:t>
            </w:r>
            <w:r>
              <w:rPr>
                <w:noProof/>
                <w:webHidden/>
              </w:rPr>
              <w:tab/>
            </w:r>
            <w:r>
              <w:rPr>
                <w:noProof/>
                <w:webHidden/>
              </w:rPr>
              <w:fldChar w:fldCharType="begin"/>
            </w:r>
            <w:r>
              <w:rPr>
                <w:noProof/>
                <w:webHidden/>
              </w:rPr>
              <w:instrText xml:space="preserve"> PAGEREF _Toc426029833 \h </w:instrText>
            </w:r>
            <w:r>
              <w:rPr>
                <w:noProof/>
                <w:webHidden/>
              </w:rPr>
            </w:r>
            <w:r>
              <w:rPr>
                <w:noProof/>
                <w:webHidden/>
              </w:rPr>
              <w:fldChar w:fldCharType="separate"/>
            </w:r>
            <w:r>
              <w:rPr>
                <w:noProof/>
                <w:webHidden/>
              </w:rPr>
              <w:t>32</w:t>
            </w:r>
            <w:r>
              <w:rPr>
                <w:noProof/>
                <w:webHidden/>
              </w:rPr>
              <w:fldChar w:fldCharType="end"/>
            </w:r>
          </w:hyperlink>
        </w:p>
        <w:p w:rsidR="006F7DF2" w:rsidRDefault="006F7DF2">
          <w:pPr>
            <w:pStyle w:val="Obsah1"/>
            <w:rPr>
              <w:rFonts w:eastAsiaTheme="minorEastAsia"/>
              <w:noProof/>
              <w:lang w:eastAsia="cs-CZ"/>
            </w:rPr>
          </w:pPr>
          <w:hyperlink w:anchor="_Toc426029834" w:history="1">
            <w:r w:rsidRPr="003A48E6">
              <w:rPr>
                <w:rStyle w:val="Hypertextovodkaz"/>
                <w:noProof/>
              </w:rPr>
              <w:t>7.</w:t>
            </w:r>
            <w:r>
              <w:rPr>
                <w:rFonts w:eastAsiaTheme="minorEastAsia"/>
                <w:noProof/>
                <w:lang w:eastAsia="cs-CZ"/>
              </w:rPr>
              <w:tab/>
            </w:r>
            <w:r w:rsidRPr="003A48E6">
              <w:rPr>
                <w:rStyle w:val="Hypertextovodkaz"/>
                <w:noProof/>
              </w:rPr>
              <w:t>Seznam použité literatury</w:t>
            </w:r>
            <w:r>
              <w:rPr>
                <w:noProof/>
                <w:webHidden/>
              </w:rPr>
              <w:tab/>
            </w:r>
            <w:r>
              <w:rPr>
                <w:noProof/>
                <w:webHidden/>
              </w:rPr>
              <w:fldChar w:fldCharType="begin"/>
            </w:r>
            <w:r>
              <w:rPr>
                <w:noProof/>
                <w:webHidden/>
              </w:rPr>
              <w:instrText xml:space="preserve"> PAGEREF _Toc426029834 \h </w:instrText>
            </w:r>
            <w:r>
              <w:rPr>
                <w:noProof/>
                <w:webHidden/>
              </w:rPr>
            </w:r>
            <w:r>
              <w:rPr>
                <w:noProof/>
                <w:webHidden/>
              </w:rPr>
              <w:fldChar w:fldCharType="separate"/>
            </w:r>
            <w:r>
              <w:rPr>
                <w:noProof/>
                <w:webHidden/>
              </w:rPr>
              <w:t>33</w:t>
            </w:r>
            <w:r>
              <w:rPr>
                <w:noProof/>
                <w:webHidden/>
              </w:rPr>
              <w:fldChar w:fldCharType="end"/>
            </w:r>
          </w:hyperlink>
        </w:p>
        <w:p w:rsidR="006F7DF2" w:rsidRDefault="006F7DF2">
          <w:pPr>
            <w:pStyle w:val="Obsah1"/>
            <w:rPr>
              <w:rFonts w:eastAsiaTheme="minorEastAsia"/>
              <w:noProof/>
              <w:lang w:eastAsia="cs-CZ"/>
            </w:rPr>
          </w:pPr>
          <w:hyperlink w:anchor="_Toc426029835" w:history="1">
            <w:r w:rsidRPr="003A48E6">
              <w:rPr>
                <w:rStyle w:val="Hypertextovodkaz"/>
                <w:noProof/>
              </w:rPr>
              <w:t>8.</w:t>
            </w:r>
            <w:r>
              <w:rPr>
                <w:rFonts w:eastAsiaTheme="minorEastAsia"/>
                <w:noProof/>
                <w:lang w:eastAsia="cs-CZ"/>
              </w:rPr>
              <w:tab/>
            </w:r>
            <w:r w:rsidRPr="003A48E6">
              <w:rPr>
                <w:rStyle w:val="Hypertextovodkaz"/>
                <w:noProof/>
              </w:rPr>
              <w:t>Seznam použitých zkratek</w:t>
            </w:r>
            <w:r>
              <w:rPr>
                <w:noProof/>
                <w:webHidden/>
              </w:rPr>
              <w:tab/>
            </w:r>
            <w:r>
              <w:rPr>
                <w:noProof/>
                <w:webHidden/>
              </w:rPr>
              <w:fldChar w:fldCharType="begin"/>
            </w:r>
            <w:r>
              <w:rPr>
                <w:noProof/>
                <w:webHidden/>
              </w:rPr>
              <w:instrText xml:space="preserve"> PAGEREF _Toc426029835 \h </w:instrText>
            </w:r>
            <w:r>
              <w:rPr>
                <w:noProof/>
                <w:webHidden/>
              </w:rPr>
            </w:r>
            <w:r>
              <w:rPr>
                <w:noProof/>
                <w:webHidden/>
              </w:rPr>
              <w:fldChar w:fldCharType="separate"/>
            </w:r>
            <w:r>
              <w:rPr>
                <w:noProof/>
                <w:webHidden/>
              </w:rPr>
              <w:t>39</w:t>
            </w:r>
            <w:r>
              <w:rPr>
                <w:noProof/>
                <w:webHidden/>
              </w:rPr>
              <w:fldChar w:fldCharType="end"/>
            </w:r>
          </w:hyperlink>
        </w:p>
        <w:p w:rsidR="00484B3A" w:rsidRDefault="00484B3A">
          <w:r>
            <w:rPr>
              <w:b/>
              <w:bCs/>
            </w:rPr>
            <w:fldChar w:fldCharType="end"/>
          </w:r>
        </w:p>
      </w:sdtContent>
    </w:sdt>
    <w:p w:rsidR="00FE78A8" w:rsidRDefault="00484B3A" w:rsidP="00915416">
      <w:pPr>
        <w:spacing w:line="360" w:lineRule="auto"/>
        <w:jc w:val="both"/>
        <w:rPr>
          <w:rFonts w:cs="Times New Roman"/>
          <w:szCs w:val="24"/>
        </w:rPr>
        <w:sectPr w:rsidR="00FE78A8" w:rsidSect="00A1351C">
          <w:pgSz w:w="11906" w:h="16838"/>
          <w:pgMar w:top="1417" w:right="1417" w:bottom="1417" w:left="1417" w:header="708" w:footer="708" w:gutter="0"/>
          <w:pgNumType w:start="1"/>
          <w:cols w:space="708"/>
          <w:docGrid w:linePitch="360"/>
        </w:sectPr>
      </w:pPr>
      <w:r>
        <w:rPr>
          <w:rFonts w:cs="Times New Roman"/>
          <w:szCs w:val="24"/>
        </w:rPr>
        <w:br w:type="page"/>
      </w:r>
    </w:p>
    <w:p w:rsidR="00484B3A" w:rsidRDefault="00484B3A" w:rsidP="00915416">
      <w:pPr>
        <w:spacing w:line="360" w:lineRule="auto"/>
        <w:jc w:val="both"/>
        <w:rPr>
          <w:rFonts w:cs="Times New Roman"/>
          <w:szCs w:val="24"/>
        </w:rPr>
      </w:pPr>
    </w:p>
    <w:p w:rsidR="00484B3A" w:rsidRPr="00484B3A" w:rsidRDefault="00484B3A" w:rsidP="00207B63">
      <w:pPr>
        <w:pStyle w:val="Nadpis1"/>
        <w:numPr>
          <w:ilvl w:val="0"/>
          <w:numId w:val="1"/>
        </w:numPr>
        <w:spacing w:after="100" w:afterAutospacing="1"/>
      </w:pPr>
      <w:bookmarkStart w:id="0" w:name="_Toc426029800"/>
      <w:r w:rsidRPr="00484B3A">
        <w:t>Úvod</w:t>
      </w:r>
      <w:bookmarkEnd w:id="0"/>
      <w:r w:rsidRPr="00484B3A">
        <w:t xml:space="preserve"> </w:t>
      </w:r>
    </w:p>
    <w:p w:rsidR="00484B3A" w:rsidRDefault="00484B3A" w:rsidP="00207B63">
      <w:pPr>
        <w:autoSpaceDE w:val="0"/>
        <w:autoSpaceDN w:val="0"/>
        <w:adjustRightInd w:val="0"/>
        <w:spacing w:after="0" w:line="360" w:lineRule="auto"/>
        <w:ind w:firstLine="708"/>
        <w:jc w:val="both"/>
        <w:rPr>
          <w:rFonts w:cs="Times New Roman"/>
          <w:szCs w:val="24"/>
        </w:rPr>
      </w:pPr>
      <w:r>
        <w:rPr>
          <w:szCs w:val="24"/>
        </w:rPr>
        <w:t>Moje b</w:t>
      </w:r>
      <w:r w:rsidRPr="00724ABB">
        <w:rPr>
          <w:szCs w:val="24"/>
        </w:rPr>
        <w:t xml:space="preserve">akalářská práce byla vypracována ve Skupině molekulární fyziologie, Laboratoř růstových regulátorů Univerzity Palackého v Olomouci a Ústav experimentálních botaniky Akademie věd České republiky. </w:t>
      </w:r>
      <w:r w:rsidRPr="00F25387">
        <w:rPr>
          <w:szCs w:val="24"/>
        </w:rPr>
        <w:t>Experimenty byly finančně podpořeny</w:t>
      </w:r>
      <w:r>
        <w:rPr>
          <w:szCs w:val="24"/>
        </w:rPr>
        <w:t xml:space="preserve"> </w:t>
      </w:r>
      <w:r w:rsidRPr="00724ABB">
        <w:rPr>
          <w:szCs w:val="24"/>
        </w:rPr>
        <w:t>Evropským sociálním fondem (projekt č. CZ.1.07/2.3.00/30.0004) a MŠMT (projekt č. LO1204).</w:t>
      </w:r>
    </w:p>
    <w:p w:rsidR="00484B3A" w:rsidRDefault="00484B3A" w:rsidP="00207B63">
      <w:pPr>
        <w:autoSpaceDE w:val="0"/>
        <w:autoSpaceDN w:val="0"/>
        <w:adjustRightInd w:val="0"/>
        <w:spacing w:after="0" w:line="360" w:lineRule="auto"/>
        <w:ind w:firstLine="708"/>
        <w:jc w:val="both"/>
        <w:rPr>
          <w:rFonts w:cs="Times New Roman"/>
          <w:szCs w:val="24"/>
        </w:rPr>
      </w:pPr>
      <w:r>
        <w:rPr>
          <w:rFonts w:cs="Times New Roman"/>
          <w:szCs w:val="24"/>
        </w:rPr>
        <w:t xml:space="preserve">Ve své bakalářské práci jsem se zabývala úlohou fytochromů na expresi auxin-binding proteinů. Světlo je hlavním exogenní faktorem, který ovlivňuje růst rostlin. Rostliny mají pro vnímání intenzity a kvality světla mnoho receptorů jedním z nich jsou fytochromy. Jedná se o rostlinné receptory, které vnímají kvalitu červeného a daleko-červeného světla a tím ovlivňují růst jednotlivých částí rostliny. Dalším důležitým faktorem, který ovlivňuje růst rostliny, jsou endogenní rostlinné hormony, mezi které patří auxiny, cytokininy, gibereliny, a další. Vzájemný poměr jednotlivých hormonů zajišťuje správný vývoj a růst rostlin. Signální dráhy rostlinných hormonů a světla jsou vzájemně propojeny a byly již částečně prozkoumány. Nejvíce však víme o propojení drah auxinů a světla, i když zdaleka nebylo objasněno vše. Mezi takové dráhy patří i auxinová signalizace zprostředkovaná </w:t>
      </w:r>
      <w:r w:rsidRPr="00271C51">
        <w:rPr>
          <w:rFonts w:cs="Times New Roman"/>
          <w:i/>
          <w:szCs w:val="24"/>
        </w:rPr>
        <w:t>auxin-binding proteinem 1</w:t>
      </w:r>
      <w:r>
        <w:rPr>
          <w:rFonts w:cs="Times New Roman"/>
          <w:szCs w:val="24"/>
        </w:rPr>
        <w:t xml:space="preserve"> (</w:t>
      </w:r>
      <w:r w:rsidRPr="00271C51">
        <w:rPr>
          <w:rFonts w:cs="Times New Roman"/>
          <w:i/>
          <w:szCs w:val="24"/>
        </w:rPr>
        <w:t>ABP1</w:t>
      </w:r>
      <w:r>
        <w:rPr>
          <w:rFonts w:cs="Times New Roman"/>
          <w:szCs w:val="24"/>
        </w:rPr>
        <w:t xml:space="preserve">), což je jeden z receptorů auxinu. Role </w:t>
      </w:r>
      <w:r w:rsidRPr="00271C51">
        <w:rPr>
          <w:rFonts w:cs="Times New Roman"/>
          <w:i/>
          <w:szCs w:val="24"/>
        </w:rPr>
        <w:t>ABP1</w:t>
      </w:r>
      <w:r>
        <w:rPr>
          <w:rFonts w:cs="Times New Roman"/>
          <w:szCs w:val="24"/>
        </w:rPr>
        <w:t xml:space="preserve"> byla již částečně objasněna u </w:t>
      </w:r>
      <w:r w:rsidRPr="00404081">
        <w:rPr>
          <w:rFonts w:cs="Times New Roman"/>
          <w:i/>
          <w:szCs w:val="24"/>
        </w:rPr>
        <w:t>Arabidopsis</w:t>
      </w:r>
      <w:r>
        <w:rPr>
          <w:rFonts w:cs="Times New Roman"/>
          <w:szCs w:val="24"/>
        </w:rPr>
        <w:t xml:space="preserve">, kukuřice a rajčete, kde víme, že je nezbytný pro správný embryonální vývoj semene a poté pro správný vývoj listů a stonku. </w:t>
      </w:r>
    </w:p>
    <w:p w:rsidR="00915416" w:rsidRDefault="00484B3A" w:rsidP="00207B63">
      <w:pPr>
        <w:spacing w:after="0" w:line="360" w:lineRule="auto"/>
        <w:jc w:val="both"/>
        <w:rPr>
          <w:rFonts w:cs="Times New Roman"/>
          <w:szCs w:val="24"/>
        </w:rPr>
      </w:pPr>
      <w:r>
        <w:rPr>
          <w:rFonts w:cs="Times New Roman"/>
          <w:szCs w:val="24"/>
        </w:rPr>
        <w:tab/>
        <w:t xml:space="preserve">Cílem mé bakalářské práce bylo vypracovat literární rešerši na dané téma a dále provést experimenty, které by objasnily, jak fytochromy zprostředkují vliv světla na růst rostlin kukuřice v podmínkách </w:t>
      </w:r>
      <w:r w:rsidRPr="009F7BD8">
        <w:rPr>
          <w:rFonts w:cs="Times New Roman"/>
          <w:i/>
          <w:szCs w:val="24"/>
        </w:rPr>
        <w:t>in vitro</w:t>
      </w:r>
      <w:r>
        <w:rPr>
          <w:rFonts w:cs="Times New Roman"/>
          <w:szCs w:val="24"/>
        </w:rPr>
        <w:t xml:space="preserve"> a na expresi genů kódujících kukuřičné proteiny ABP1 a ABP4. K tomu jsem využila genetického přístupu, který spočíval ve využití mutantní rostliny </w:t>
      </w:r>
      <w:r w:rsidRPr="009F7BD8">
        <w:rPr>
          <w:rFonts w:cs="Times New Roman"/>
          <w:i/>
          <w:szCs w:val="24"/>
        </w:rPr>
        <w:t>elm-1</w:t>
      </w:r>
      <w:r>
        <w:rPr>
          <w:rFonts w:cs="Times New Roman"/>
          <w:szCs w:val="24"/>
        </w:rPr>
        <w:t>, která se vyznačovala defektem ve vytváření aktivních fytochromů.</w:t>
      </w:r>
    </w:p>
    <w:p w:rsidR="007B67DF" w:rsidRDefault="007B67DF" w:rsidP="00207B63">
      <w:pPr>
        <w:pStyle w:val="Nadpis1"/>
      </w:pPr>
      <w:r>
        <w:br w:type="page"/>
      </w:r>
    </w:p>
    <w:p w:rsidR="00E40B2B" w:rsidRPr="00E40B2B" w:rsidRDefault="00E40B2B" w:rsidP="00E40B2B">
      <w:pPr>
        <w:pStyle w:val="Nadpis1"/>
        <w:numPr>
          <w:ilvl w:val="0"/>
          <w:numId w:val="1"/>
        </w:numPr>
        <w:jc w:val="both"/>
      </w:pPr>
      <w:bookmarkStart w:id="1" w:name="_Toc426029801"/>
      <w:r w:rsidRPr="00E40B2B">
        <w:lastRenderedPageBreak/>
        <w:t>Úvod do problematiky</w:t>
      </w:r>
      <w:bookmarkEnd w:id="1"/>
      <w:r w:rsidRPr="00E40B2B">
        <w:t xml:space="preserve"> </w:t>
      </w:r>
    </w:p>
    <w:p w:rsidR="007B67DF" w:rsidRDefault="00E40B2B" w:rsidP="00E40B2B">
      <w:pPr>
        <w:pStyle w:val="Nadpis2"/>
        <w:numPr>
          <w:ilvl w:val="1"/>
          <w:numId w:val="1"/>
        </w:numPr>
        <w:jc w:val="both"/>
      </w:pPr>
      <w:bookmarkStart w:id="2" w:name="_Toc426029802"/>
      <w:r>
        <w:t>Auxin</w:t>
      </w:r>
      <w:bookmarkEnd w:id="2"/>
    </w:p>
    <w:p w:rsidR="00E40B2B" w:rsidRPr="00E40B2B" w:rsidRDefault="00E40B2B" w:rsidP="00DE1ED7">
      <w:pPr>
        <w:pStyle w:val="Nadpis3"/>
        <w:numPr>
          <w:ilvl w:val="2"/>
          <w:numId w:val="1"/>
        </w:numPr>
        <w:spacing w:after="100" w:afterAutospacing="1"/>
        <w:jc w:val="both"/>
      </w:pPr>
      <w:bookmarkStart w:id="3" w:name="_Toc426029803"/>
      <w:r w:rsidRPr="00E40B2B">
        <w:t>O</w:t>
      </w:r>
      <w:r>
        <w:t>bje</w:t>
      </w:r>
      <w:r w:rsidRPr="00E40B2B">
        <w:t>v auxinu</w:t>
      </w:r>
      <w:bookmarkEnd w:id="3"/>
      <w:r w:rsidRPr="00E40B2B">
        <w:t xml:space="preserve"> </w:t>
      </w:r>
    </w:p>
    <w:p w:rsidR="00DE1ED7" w:rsidRDefault="007B67DF" w:rsidP="00DE1ED7">
      <w:pPr>
        <w:spacing w:after="0" w:line="360" w:lineRule="auto"/>
        <w:ind w:firstLine="709"/>
        <w:jc w:val="both"/>
        <w:rPr>
          <w:rFonts w:cs="Times New Roman"/>
          <w:szCs w:val="24"/>
        </w:rPr>
      </w:pPr>
      <w:r w:rsidRPr="00D06A7F">
        <w:rPr>
          <w:rFonts w:cs="Times New Roman"/>
          <w:szCs w:val="24"/>
        </w:rPr>
        <w:t xml:space="preserve">Objev auxinu můžeme datovat to druhé poloviny 19. století, kdy Charles Darwin a jeho syn studovali mechanismus, jakým se rostliny ohýbají směrem ke světlu. Tento jev se nazývá fototropismus. Pokusy byly prováděny na trávě </w:t>
      </w:r>
      <w:r w:rsidRPr="00D06A7F">
        <w:rPr>
          <w:rFonts w:cs="Times New Roman"/>
          <w:i/>
          <w:szCs w:val="24"/>
        </w:rPr>
        <w:t>Phalaris canariensis</w:t>
      </w:r>
      <w:r w:rsidRPr="00D06A7F">
        <w:rPr>
          <w:rFonts w:cs="Times New Roman"/>
          <w:szCs w:val="24"/>
        </w:rPr>
        <w:t>. Experiment byl prováděn tak, že jedna část rostliny byla nasvícena modrým světlem a druhá byla ve stínu. Při pozorování bylo zjištěno, že část koleoptile, která byla zastíněna byla o několik milimetrů delší, než část, která byla osvícena modrým světlem. Darwin však také vypozoroval, že pokud zakryje</w:t>
      </w:r>
      <w:r w:rsidR="00207B63">
        <w:rPr>
          <w:rFonts w:cs="Times New Roman"/>
          <w:szCs w:val="24"/>
        </w:rPr>
        <w:t>me</w:t>
      </w:r>
      <w:r w:rsidRPr="00D06A7F">
        <w:rPr>
          <w:rFonts w:cs="Times New Roman"/>
          <w:szCs w:val="24"/>
        </w:rPr>
        <w:t xml:space="preserve"> vrcholovou špičku koleoptile tak k prodlužování na zastíněné části nedojde. Z těchto výsledků usoudil, že oblast koleoptile, která je odpovědná za ohyb rostliny ke světlu je umístěna několik milimetrů pod vrcholovou špičkou. Tato část se nazývá růstová zóna. Darwin proto došel k závěrům, že ve vrcholové špičce vzniká nějaký druh signálu, který je transportován do růstové části a proto zastíněná část koleoptile roste rychleji než část osvětlená modrým světlem. Své poznatky poté popsal v knize The Power of Movement in Plants (Darwin </w:t>
      </w:r>
      <w:r w:rsidRPr="00D06A7F">
        <w:rPr>
          <w:rFonts w:cs="Times New Roman"/>
          <w:i/>
          <w:szCs w:val="24"/>
        </w:rPr>
        <w:t xml:space="preserve">et </w:t>
      </w:r>
      <w:r w:rsidR="00BE6442">
        <w:rPr>
          <w:rFonts w:cs="Times New Roman"/>
          <w:szCs w:val="24"/>
        </w:rPr>
        <w:t>Darwin, 1881).</w:t>
      </w:r>
    </w:p>
    <w:p w:rsidR="00DE1ED7" w:rsidRPr="00D06A7F" w:rsidRDefault="007B67DF" w:rsidP="00207B63">
      <w:pPr>
        <w:spacing w:after="0" w:line="360" w:lineRule="auto"/>
        <w:ind w:firstLine="709"/>
        <w:jc w:val="both"/>
        <w:rPr>
          <w:rFonts w:cs="Times New Roman"/>
          <w:szCs w:val="24"/>
        </w:rPr>
      </w:pPr>
      <w:r w:rsidRPr="00D06A7F">
        <w:rPr>
          <w:rFonts w:cs="Times New Roman"/>
          <w:szCs w:val="24"/>
        </w:rPr>
        <w:t xml:space="preserve">Dalším vědcem, který přispěl ke zkoumání auxinu, byl Fritz Went v roce 1926. Ten prováděl pokus na ovsu </w:t>
      </w:r>
      <w:r w:rsidRPr="00D06A7F">
        <w:rPr>
          <w:rFonts w:cs="Times New Roman"/>
          <w:i/>
          <w:szCs w:val="24"/>
        </w:rPr>
        <w:t>Avena sativa</w:t>
      </w:r>
      <w:r w:rsidRPr="00D06A7F">
        <w:rPr>
          <w:rFonts w:cs="Times New Roman"/>
          <w:szCs w:val="24"/>
        </w:rPr>
        <w:t>, kdy odříznul špičku koleoptile, kterou posléze přemístil na želatinový bloček. Auxin ze špičky koleoptile difundoval do želatinového bločku a po přiložení bločku na stonek opět začal růst. Tímto pokusem byla potvrzena hypotéza, že do bločku z koleoptile difundovala chemická substance, která je odpovědná za prodlužování a růst rostliny. Později se zjistilo, že touto látku je au</w:t>
      </w:r>
      <w:r w:rsidR="00207B63">
        <w:rPr>
          <w:rFonts w:cs="Times New Roman"/>
          <w:szCs w:val="24"/>
        </w:rPr>
        <w:t xml:space="preserve">xin. Název je odvozen z řeckého </w:t>
      </w:r>
      <w:r w:rsidRPr="00D06A7F">
        <w:rPr>
          <w:rFonts w:cs="Times New Roman"/>
          <w:szCs w:val="24"/>
        </w:rPr>
        <w:t>,,</w:t>
      </w:r>
      <w:r w:rsidRPr="00D06A7F">
        <w:rPr>
          <w:rFonts w:cs="Times New Roman"/>
          <w:i/>
          <w:szCs w:val="24"/>
        </w:rPr>
        <w:t xml:space="preserve">auxein,, </w:t>
      </w:r>
      <w:r w:rsidRPr="00D06A7F">
        <w:rPr>
          <w:rFonts w:cs="Times New Roman"/>
          <w:szCs w:val="24"/>
        </w:rPr>
        <w:t xml:space="preserve">což znamená růst (Zeiger </w:t>
      </w:r>
      <w:r w:rsidRPr="00D06A7F">
        <w:rPr>
          <w:rFonts w:cs="Times New Roman"/>
          <w:i/>
          <w:szCs w:val="24"/>
        </w:rPr>
        <w:t>et</w:t>
      </w:r>
      <w:r w:rsidRPr="00D06A7F">
        <w:rPr>
          <w:rFonts w:cs="Times New Roman"/>
          <w:szCs w:val="24"/>
        </w:rPr>
        <w:t xml:space="preserve"> Taiz, 2006</w:t>
      </w:r>
      <w:r w:rsidR="00BE6442">
        <w:rPr>
          <w:rFonts w:cs="Times New Roman"/>
          <w:szCs w:val="24"/>
        </w:rPr>
        <w:t>).</w:t>
      </w:r>
    </w:p>
    <w:p w:rsidR="00DE1ED7" w:rsidRPr="00DE1ED7" w:rsidRDefault="007B67DF" w:rsidP="00DE1ED7">
      <w:pPr>
        <w:pStyle w:val="Nadpis3"/>
        <w:numPr>
          <w:ilvl w:val="2"/>
          <w:numId w:val="1"/>
        </w:numPr>
        <w:spacing w:after="100" w:afterAutospacing="1"/>
      </w:pPr>
      <w:bookmarkStart w:id="4" w:name="_Toc426029804"/>
      <w:r w:rsidRPr="00DE1ED7">
        <w:t>Chemická podstata</w:t>
      </w:r>
      <w:bookmarkEnd w:id="4"/>
      <w:r w:rsidRPr="00DE1ED7">
        <w:t xml:space="preserve"> </w:t>
      </w:r>
    </w:p>
    <w:p w:rsidR="007B67DF" w:rsidRPr="00D06A7F" w:rsidRDefault="007B67DF" w:rsidP="00DE1ED7">
      <w:pPr>
        <w:spacing w:after="100" w:afterAutospacing="1" w:line="360" w:lineRule="auto"/>
        <w:ind w:firstLine="708"/>
        <w:jc w:val="both"/>
        <w:rPr>
          <w:rFonts w:cs="Times New Roman"/>
          <w:szCs w:val="24"/>
        </w:rPr>
      </w:pPr>
      <w:r w:rsidRPr="00D06A7F">
        <w:rPr>
          <w:rFonts w:cs="Times New Roman"/>
          <w:szCs w:val="24"/>
        </w:rPr>
        <w:t>Auxin je rostlinný endogenní hormon, který podporuje růst a prodlužování rostlin. Hlavním auxinem u vyšších rostlin je indol-3octová kyseliny (IAA). Dalšími endogenními auxiny jsou 4-chloro-indolyl-3-octová kyselina, indolyl-3-máselná kyselina a kyselina fenyloctová. Rostlinné endogenní auxiny jsou chemicky velmi různorodé, jejich jediným společným znakem je molekulární vzdálenost</w:t>
      </w:r>
      <w:r w:rsidR="00CE006F">
        <w:rPr>
          <w:rFonts w:cs="Times New Roman"/>
          <w:szCs w:val="24"/>
        </w:rPr>
        <w:t>,</w:t>
      </w:r>
      <w:r w:rsidRPr="00D06A7F">
        <w:rPr>
          <w:rFonts w:cs="Times New Roman"/>
          <w:szCs w:val="24"/>
        </w:rPr>
        <w:t xml:space="preserve"> asi 0,5 nm</w:t>
      </w:r>
      <w:r w:rsidR="00CE006F">
        <w:rPr>
          <w:rFonts w:cs="Times New Roman"/>
          <w:szCs w:val="24"/>
        </w:rPr>
        <w:t>,</w:t>
      </w:r>
      <w:r w:rsidRPr="00D06A7F">
        <w:rPr>
          <w:rFonts w:cs="Times New Roman"/>
          <w:szCs w:val="24"/>
        </w:rPr>
        <w:t xml:space="preserve"> mezi kladným nábojem na aromatickém kruhu a záporně nabitou karboxylovou skupinou. Auxiny mají relativně </w:t>
      </w:r>
      <w:r w:rsidRPr="00D06A7F">
        <w:rPr>
          <w:rFonts w:cs="Times New Roman"/>
          <w:szCs w:val="24"/>
        </w:rPr>
        <w:lastRenderedPageBreak/>
        <w:t xml:space="preserve">jednoduchou strukturu, díky které se mohou syntetizovat i uměle a to i se svou biologickou aktivitou (Korasick, Enders, </w:t>
      </w:r>
      <w:r w:rsidRPr="00D06A7F">
        <w:rPr>
          <w:rFonts w:cs="Times New Roman"/>
          <w:i/>
          <w:szCs w:val="24"/>
        </w:rPr>
        <w:t>et</w:t>
      </w:r>
      <w:r w:rsidRPr="00D06A7F">
        <w:rPr>
          <w:rFonts w:cs="Times New Roman"/>
          <w:szCs w:val="24"/>
        </w:rPr>
        <w:t xml:space="preserve"> Strader, 2013) </w:t>
      </w:r>
    </w:p>
    <w:p w:rsidR="007B67DF" w:rsidRPr="00D06A7F" w:rsidRDefault="007B67DF" w:rsidP="00DE1ED7">
      <w:pPr>
        <w:pStyle w:val="Nadpis3"/>
        <w:numPr>
          <w:ilvl w:val="2"/>
          <w:numId w:val="1"/>
        </w:numPr>
        <w:spacing w:after="100" w:afterAutospacing="1"/>
      </w:pPr>
      <w:bookmarkStart w:id="5" w:name="_Toc426029805"/>
      <w:r w:rsidRPr="00D06A7F">
        <w:t>Biosyntéza</w:t>
      </w:r>
      <w:r w:rsidR="00DE1ED7">
        <w:t xml:space="preserve"> auxinu</w:t>
      </w:r>
      <w:bookmarkEnd w:id="5"/>
    </w:p>
    <w:p w:rsidR="00DE1ED7" w:rsidRDefault="007B67DF" w:rsidP="00DE1ED7">
      <w:pPr>
        <w:spacing w:after="0" w:line="360" w:lineRule="auto"/>
        <w:ind w:firstLine="709"/>
        <w:jc w:val="both"/>
        <w:rPr>
          <w:rFonts w:cs="Times New Roman"/>
          <w:szCs w:val="24"/>
        </w:rPr>
      </w:pPr>
      <w:r w:rsidRPr="00D06A7F">
        <w:rPr>
          <w:rFonts w:cs="Times New Roman"/>
          <w:szCs w:val="24"/>
        </w:rPr>
        <w:t xml:space="preserve">Biosyntéza auxinu probíhá zejména v rychle se dělících pletivech. Primárně je syntetizován ve stonkovém </w:t>
      </w:r>
      <w:r w:rsidR="00CE006F" w:rsidRPr="00D06A7F">
        <w:rPr>
          <w:rFonts w:cs="Times New Roman"/>
          <w:szCs w:val="24"/>
        </w:rPr>
        <w:t>apikálním</w:t>
      </w:r>
      <w:r w:rsidRPr="00D06A7F">
        <w:rPr>
          <w:rFonts w:cs="Times New Roman"/>
          <w:szCs w:val="24"/>
        </w:rPr>
        <w:t xml:space="preserve"> meristému a mladých listech, ale menší část IAA se syntetizuje i v ostatních pletivech (Ljung </w:t>
      </w:r>
      <w:r w:rsidRPr="00D06A7F">
        <w:rPr>
          <w:rFonts w:cs="Times New Roman"/>
          <w:i/>
          <w:szCs w:val="24"/>
        </w:rPr>
        <w:t>et al</w:t>
      </w:r>
      <w:r w:rsidR="00271C51">
        <w:rPr>
          <w:rFonts w:cs="Times New Roman"/>
          <w:szCs w:val="24"/>
        </w:rPr>
        <w:t xml:space="preserve">., 2001). </w:t>
      </w:r>
      <w:r w:rsidRPr="00D06A7F">
        <w:rPr>
          <w:rFonts w:cs="Times New Roman"/>
          <w:szCs w:val="24"/>
        </w:rPr>
        <w:t xml:space="preserve">IAA se v rostlině syntetizuje z tryptofanu prostřednictvím Trp-dependentních drah, ale také z idolových prekurzorů tryptofanu přes Trp-independentní dráhy. Trp-dependentních drah je několik a většina je pojmenována podle meziproduktů: kyselina indol-3-pyrohroznová (IPA) dráhy, indol-3-acetamidu (IAM) dráhu, tryptaminu dráhu, a indol-3 -acetaldoxime (IAOx) cesta.  U IPA dráhy je tryptofan převáděn pomocí Trp-aminotransferázy na IPA, který je převáděn na idol-3-acetyldehyd, který je dále převáděn na IAA. Podrobné mechanizmy nejsou zatím známy (Woodward </w:t>
      </w:r>
      <w:r w:rsidRPr="00D06A7F">
        <w:rPr>
          <w:rFonts w:cs="Times New Roman"/>
          <w:i/>
          <w:szCs w:val="24"/>
        </w:rPr>
        <w:t>et</w:t>
      </w:r>
      <w:r w:rsidRPr="00D06A7F">
        <w:rPr>
          <w:rFonts w:cs="Times New Roman"/>
          <w:szCs w:val="24"/>
        </w:rPr>
        <w:t xml:space="preserve"> Bartel, 2005). IAA dráha byla nalezena i semenáčků Arabidopsis (Tam </w:t>
      </w:r>
      <w:r w:rsidRPr="00D06A7F">
        <w:rPr>
          <w:rFonts w:cs="Times New Roman"/>
          <w:i/>
          <w:szCs w:val="24"/>
        </w:rPr>
        <w:t>et</w:t>
      </w:r>
      <w:r w:rsidR="00DE1ED7">
        <w:rPr>
          <w:rFonts w:cs="Times New Roman"/>
          <w:szCs w:val="24"/>
        </w:rPr>
        <w:t xml:space="preserve"> Normanly, 1998). </w:t>
      </w:r>
    </w:p>
    <w:p w:rsidR="00DE1ED7" w:rsidRPr="00D06A7F" w:rsidRDefault="007B67DF" w:rsidP="00DE1ED7">
      <w:pPr>
        <w:spacing w:after="0" w:line="360" w:lineRule="auto"/>
        <w:ind w:firstLine="709"/>
        <w:jc w:val="both"/>
        <w:rPr>
          <w:rFonts w:cs="Times New Roman"/>
          <w:szCs w:val="24"/>
        </w:rPr>
      </w:pPr>
      <w:r w:rsidRPr="00D06A7F">
        <w:rPr>
          <w:rFonts w:cs="Times New Roman"/>
          <w:szCs w:val="24"/>
        </w:rPr>
        <w:t>Dal</w:t>
      </w:r>
      <w:r w:rsidR="00CE006F">
        <w:rPr>
          <w:rFonts w:cs="Times New Roman"/>
          <w:szCs w:val="24"/>
        </w:rPr>
        <w:t>ší dráha, která byla potvrzena u</w:t>
      </w:r>
      <w:r w:rsidRPr="00D06A7F">
        <w:rPr>
          <w:rFonts w:cs="Times New Roman"/>
          <w:szCs w:val="24"/>
        </w:rPr>
        <w:t xml:space="preserve"> rostlin je IAM dráha. Při zkoumání IAM dráhy bylo objeveno, že hladina IAM u semenáčků </w:t>
      </w:r>
      <w:r w:rsidRPr="00CE006F">
        <w:rPr>
          <w:rFonts w:cs="Times New Roman"/>
          <w:i/>
          <w:szCs w:val="24"/>
        </w:rPr>
        <w:t>Arabidopsis</w:t>
      </w:r>
      <w:r w:rsidRPr="00D06A7F">
        <w:rPr>
          <w:rFonts w:cs="Times New Roman"/>
          <w:szCs w:val="24"/>
        </w:rPr>
        <w:t xml:space="preserve"> je stejná jako hladina volné IAA (Pollmann </w:t>
      </w:r>
      <w:r w:rsidRPr="00D06A7F">
        <w:rPr>
          <w:rFonts w:cs="Times New Roman"/>
          <w:i/>
          <w:szCs w:val="24"/>
        </w:rPr>
        <w:t>et al</w:t>
      </w:r>
      <w:r w:rsidRPr="00D06A7F">
        <w:rPr>
          <w:rFonts w:cs="Times New Roman"/>
          <w:szCs w:val="24"/>
        </w:rPr>
        <w:t xml:space="preserve">., 2002). Tryptofan je přeměněn na IAM pomocí Trp-monooxidázou, IAM je poté převeden aminohydrolázou na IAA. Tato dráha se vyskytuje u Arabidopsis (Pollmann </w:t>
      </w:r>
      <w:r w:rsidRPr="00D06A7F">
        <w:rPr>
          <w:rFonts w:cs="Times New Roman"/>
          <w:i/>
          <w:szCs w:val="24"/>
        </w:rPr>
        <w:t>et al</w:t>
      </w:r>
      <w:r w:rsidRPr="00D06A7F">
        <w:rPr>
          <w:rFonts w:cs="Times New Roman"/>
          <w:szCs w:val="24"/>
        </w:rPr>
        <w:t>., 2003)</w:t>
      </w:r>
    </w:p>
    <w:p w:rsidR="007B67DF" w:rsidRPr="00D06A7F" w:rsidRDefault="007B67DF" w:rsidP="00DE1ED7">
      <w:pPr>
        <w:pStyle w:val="Nadpis3"/>
        <w:numPr>
          <w:ilvl w:val="2"/>
          <w:numId w:val="1"/>
        </w:numPr>
        <w:spacing w:after="100" w:afterAutospacing="1"/>
      </w:pPr>
      <w:bookmarkStart w:id="6" w:name="_Toc426029806"/>
      <w:r w:rsidRPr="00D06A7F">
        <w:t>Transport auxinu</w:t>
      </w:r>
      <w:bookmarkEnd w:id="6"/>
    </w:p>
    <w:p w:rsidR="007B67DF" w:rsidRPr="00D06A7F" w:rsidRDefault="007B67DF" w:rsidP="00DE1ED7">
      <w:pPr>
        <w:spacing w:after="100" w:afterAutospacing="1" w:line="360" w:lineRule="auto"/>
        <w:ind w:firstLine="708"/>
        <w:jc w:val="both"/>
        <w:rPr>
          <w:rFonts w:cs="Times New Roman"/>
          <w:szCs w:val="24"/>
        </w:rPr>
      </w:pPr>
      <w:r w:rsidRPr="00D06A7F">
        <w:rPr>
          <w:rFonts w:cs="Times New Roman"/>
          <w:szCs w:val="24"/>
        </w:rPr>
        <w:t xml:space="preserve">Auxin je syntetizován v mnoha tkáních, nejvíce však ve vrcholových oblastech výhonků. IAA je akumulován ve stonkovém apexu a odtud je poté transportován do jiných oblastí rostliny, zejména do mladých listů (Ljung </w:t>
      </w:r>
      <w:r w:rsidRPr="00D06A7F">
        <w:rPr>
          <w:rFonts w:cs="Times New Roman"/>
          <w:i/>
          <w:szCs w:val="24"/>
        </w:rPr>
        <w:t>et al</w:t>
      </w:r>
      <w:r w:rsidRPr="00D06A7F">
        <w:rPr>
          <w:rFonts w:cs="Times New Roman"/>
          <w:szCs w:val="24"/>
        </w:rPr>
        <w:t xml:space="preserve">, 2001). Auxin je transportován dvěma různými cestami. První transport je na dlouhé vzdálenosti a jedná se o transport auxinu do mladých částí rostliny zásobních pletiv. Druhou cestou je pomalý transport zvaný polární transport auxinu, který zprostředkovává pomalý transport auxinu (Marchant, 2002). Polární transport auxinu vede k vytvoření podélného gradientu, který ovlivňuje prodlužování stonku, apikální dominanci, senescenci listů a hojení ran. Transport auxinu do buněk je zprostředkováván pomocí AUX1 proteinů, které jsou lokalizované v plazmatických membránách některých buněk (Swarup </w:t>
      </w:r>
      <w:r w:rsidRPr="00D06A7F">
        <w:rPr>
          <w:rFonts w:cs="Times New Roman"/>
          <w:i/>
          <w:szCs w:val="24"/>
        </w:rPr>
        <w:t>et al</w:t>
      </w:r>
      <w:r w:rsidRPr="00D06A7F">
        <w:rPr>
          <w:rFonts w:cs="Times New Roman"/>
          <w:szCs w:val="24"/>
        </w:rPr>
        <w:t>., 2001, 2004).</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lastRenderedPageBreak/>
        <w:t xml:space="preserve">Poté, co IAA vstoupí do buňky přes AUX1 protein je jeho tok regulován pomocí PIN proteinů. PIN proteiny byly objeveny u Arabidopsis v několika formách (Okada </w:t>
      </w:r>
      <w:r w:rsidRPr="00D06A7F">
        <w:rPr>
          <w:rFonts w:cs="Times New Roman"/>
          <w:i/>
          <w:szCs w:val="24"/>
        </w:rPr>
        <w:t>et al</w:t>
      </w:r>
      <w:r w:rsidRPr="00D06A7F">
        <w:rPr>
          <w:rFonts w:cs="Times New Roman"/>
          <w:szCs w:val="24"/>
        </w:rPr>
        <w:t xml:space="preserve">., 1991), jedná se o proteiny, které regulují výtok auxinu z buňky (Zažímalová </w:t>
      </w:r>
      <w:r w:rsidRPr="00D06A7F">
        <w:rPr>
          <w:rFonts w:cs="Times New Roman"/>
          <w:i/>
          <w:szCs w:val="24"/>
        </w:rPr>
        <w:t>et al</w:t>
      </w:r>
      <w:r w:rsidRPr="00D06A7F">
        <w:rPr>
          <w:rFonts w:cs="Times New Roman"/>
          <w:szCs w:val="24"/>
        </w:rPr>
        <w:t xml:space="preserve">. 2007) a stejně jako AUX1 jsou lokalizovány v buňce asymetricky (Gälweiler </w:t>
      </w:r>
      <w:r w:rsidRPr="00D06A7F">
        <w:rPr>
          <w:rFonts w:cs="Times New Roman"/>
          <w:i/>
          <w:szCs w:val="24"/>
        </w:rPr>
        <w:t>et al</w:t>
      </w:r>
      <w:r w:rsidRPr="00D06A7F">
        <w:rPr>
          <w:rFonts w:cs="Times New Roman"/>
          <w:szCs w:val="24"/>
        </w:rPr>
        <w:t>., 1998).</w:t>
      </w:r>
    </w:p>
    <w:p w:rsidR="00DE1ED7" w:rsidRPr="00D06A7F" w:rsidRDefault="007B67DF" w:rsidP="00DE1ED7">
      <w:pPr>
        <w:spacing w:after="0" w:line="360" w:lineRule="auto"/>
        <w:ind w:firstLine="708"/>
        <w:jc w:val="both"/>
        <w:rPr>
          <w:rFonts w:cs="Times New Roman"/>
          <w:szCs w:val="24"/>
        </w:rPr>
      </w:pPr>
      <w:r w:rsidRPr="00D06A7F">
        <w:rPr>
          <w:rFonts w:cs="Times New Roman"/>
          <w:szCs w:val="24"/>
        </w:rPr>
        <w:t xml:space="preserve">Transport auxinu je regulován více aspekty. Zdá se, že na regulaci polárního transportu auxinu se podílí samotný auxin. Byla navrhnuta teorie, kdy počáteční difúze auxinu od zdroje pozitivně ovlivňuje vlastní dopravu. Dalším faktorem, který ovlivňuje polární transport auxinu je počet přenašečů na membráně. Transkripci přenašečů zajišťuje signální dráha, kterou spouští auxin, a která zahrnuje i auxinové receptory TIR1 a </w:t>
      </w:r>
      <w:r w:rsidRPr="00AA3CDA">
        <w:rPr>
          <w:rFonts w:cs="Times New Roman"/>
          <w:i/>
          <w:szCs w:val="24"/>
        </w:rPr>
        <w:t>ABP1</w:t>
      </w:r>
      <w:r w:rsidRPr="00D06A7F">
        <w:rPr>
          <w:rFonts w:cs="Times New Roman"/>
          <w:szCs w:val="24"/>
        </w:rPr>
        <w:t>. Dalším faktorem jsou ostatní fytohormony, jako jsou etylén a cytokinin</w:t>
      </w:r>
      <w:r w:rsidR="00A65525">
        <w:rPr>
          <w:rFonts w:cs="Times New Roman"/>
          <w:szCs w:val="24"/>
        </w:rPr>
        <w:t xml:space="preserve">, které kontrolují expresi PIN </w:t>
      </w:r>
      <w:r w:rsidRPr="00D06A7F">
        <w:rPr>
          <w:rFonts w:cs="Times New Roman"/>
          <w:szCs w:val="24"/>
        </w:rPr>
        <w:t xml:space="preserve">a AUX1 proteinů (Petrášek </w:t>
      </w:r>
      <w:r w:rsidRPr="00D06A7F">
        <w:rPr>
          <w:rFonts w:cs="Times New Roman"/>
          <w:i/>
          <w:szCs w:val="24"/>
        </w:rPr>
        <w:t>et</w:t>
      </w:r>
      <w:r w:rsidRPr="00D06A7F">
        <w:rPr>
          <w:rFonts w:cs="Times New Roman"/>
          <w:szCs w:val="24"/>
        </w:rPr>
        <w:t xml:space="preserve"> Friml, 2009). </w:t>
      </w:r>
    </w:p>
    <w:p w:rsidR="007B67DF" w:rsidRPr="00D06A7F" w:rsidRDefault="007B67DF" w:rsidP="00DE1ED7">
      <w:pPr>
        <w:pStyle w:val="Nadpis3"/>
        <w:numPr>
          <w:ilvl w:val="2"/>
          <w:numId w:val="1"/>
        </w:numPr>
        <w:spacing w:after="100" w:afterAutospacing="1"/>
      </w:pPr>
      <w:bookmarkStart w:id="7" w:name="_Toc426029807"/>
      <w:r w:rsidRPr="00D06A7F">
        <w:t>Auxin-bindi</w:t>
      </w:r>
      <w:r w:rsidR="00AA3CDA">
        <w:t>n</w:t>
      </w:r>
      <w:r w:rsidRPr="00D06A7F">
        <w:t>g protein 1 (ABP1)</w:t>
      </w:r>
      <w:bookmarkEnd w:id="7"/>
    </w:p>
    <w:p w:rsidR="007B67DF" w:rsidRPr="00D06A7F" w:rsidRDefault="007B67DF" w:rsidP="00DE1ED7">
      <w:pPr>
        <w:spacing w:after="0" w:line="360" w:lineRule="auto"/>
        <w:ind w:firstLine="709"/>
        <w:jc w:val="both"/>
        <w:rPr>
          <w:rFonts w:cs="Times New Roman"/>
          <w:szCs w:val="24"/>
        </w:rPr>
      </w:pPr>
      <w:r w:rsidRPr="00D06A7F">
        <w:rPr>
          <w:rFonts w:cs="Times New Roman"/>
          <w:szCs w:val="24"/>
        </w:rPr>
        <w:t>Auxin-binding protein 1 (</w:t>
      </w:r>
      <w:r w:rsidRPr="00D06A7F">
        <w:rPr>
          <w:rFonts w:cs="Times New Roman"/>
          <w:i/>
          <w:szCs w:val="24"/>
        </w:rPr>
        <w:t>ABP1</w:t>
      </w:r>
      <w:r w:rsidRPr="00D06A7F">
        <w:rPr>
          <w:rFonts w:cs="Times New Roman"/>
          <w:szCs w:val="24"/>
        </w:rPr>
        <w:t xml:space="preserve">) byl jeden z prvních proteinů, které byly charakterizovány jako proteiny vázané na auxin. </w:t>
      </w:r>
      <w:r w:rsidRPr="00D06A7F">
        <w:rPr>
          <w:rFonts w:cs="Times New Roman"/>
          <w:i/>
          <w:szCs w:val="24"/>
        </w:rPr>
        <w:t>ABP1</w:t>
      </w:r>
      <w:r w:rsidRPr="00D06A7F">
        <w:rPr>
          <w:rFonts w:cs="Times New Roman"/>
          <w:szCs w:val="24"/>
        </w:rPr>
        <w:t xml:space="preserve"> zprostředkovává mnoho odpovědí na auxin a reguluje buněčné odpovědi (Sauera et Kleine-Vehnb, 2011). Auxin-binding protein byl objeven v koleoptile kukuřice (</w:t>
      </w:r>
      <w:r w:rsidRPr="00D06A7F">
        <w:rPr>
          <w:rFonts w:cs="Times New Roman"/>
          <w:i/>
          <w:szCs w:val="24"/>
        </w:rPr>
        <w:t>Zea mays L.</w:t>
      </w:r>
      <w:r w:rsidRPr="00D06A7F">
        <w:rPr>
          <w:rFonts w:cs="Times New Roman"/>
          <w:szCs w:val="24"/>
        </w:rPr>
        <w:t xml:space="preserve">) a to v 70. letech minulého století a byl lokalizován na vnější membráně buněk koleptile (Hertel </w:t>
      </w:r>
      <w:r w:rsidRPr="00D06A7F">
        <w:rPr>
          <w:rFonts w:cs="Times New Roman"/>
          <w:i/>
          <w:szCs w:val="24"/>
        </w:rPr>
        <w:t>et al</w:t>
      </w:r>
      <w:r w:rsidRPr="00D06A7F">
        <w:rPr>
          <w:rFonts w:cs="Times New Roman"/>
          <w:szCs w:val="24"/>
        </w:rPr>
        <w:t xml:space="preserve">., 1972). Následně byly charakterizovány jeho vazebné vlastnosti a na konci 80. let bylo prokázáno, že se váže na auxin (Jones et Venis, 1989). Přítomnost </w:t>
      </w:r>
      <w:r w:rsidRPr="00D06A7F">
        <w:rPr>
          <w:rFonts w:cs="Times New Roman"/>
          <w:i/>
          <w:szCs w:val="24"/>
        </w:rPr>
        <w:t>ABP1</w:t>
      </w:r>
      <w:r w:rsidRPr="00D06A7F">
        <w:rPr>
          <w:rFonts w:cs="Times New Roman"/>
          <w:szCs w:val="24"/>
        </w:rPr>
        <w:t xml:space="preserve"> byla postupně potvrzena u kukuřice, Arabidopsis, tabáku, jahod a slunečnice. Fylogenetickou analýzou bylo zjištěno, že </w:t>
      </w:r>
      <w:r w:rsidRPr="00D06A7F">
        <w:rPr>
          <w:rFonts w:cs="Times New Roman"/>
          <w:i/>
          <w:szCs w:val="24"/>
        </w:rPr>
        <w:t>ABP1</w:t>
      </w:r>
      <w:r w:rsidRPr="00D06A7F">
        <w:rPr>
          <w:rFonts w:cs="Times New Roman"/>
          <w:szCs w:val="24"/>
        </w:rPr>
        <w:t xml:space="preserve"> se poprvé objevil už u prvních řas (Tromas </w:t>
      </w:r>
      <w:r w:rsidRPr="00D06A7F">
        <w:rPr>
          <w:rFonts w:cs="Times New Roman"/>
          <w:i/>
          <w:szCs w:val="24"/>
        </w:rPr>
        <w:t>et al</w:t>
      </w:r>
      <w:r w:rsidRPr="00D06A7F">
        <w:rPr>
          <w:rFonts w:cs="Times New Roman"/>
          <w:szCs w:val="24"/>
        </w:rPr>
        <w:t xml:space="preserve">., 2009). U Arabidopsis byl prokázán pouze </w:t>
      </w:r>
      <w:r w:rsidRPr="00A65525">
        <w:rPr>
          <w:rFonts w:cs="Times New Roman"/>
          <w:i/>
          <w:szCs w:val="24"/>
        </w:rPr>
        <w:t>ABP1</w:t>
      </w:r>
      <w:r w:rsidRPr="00D06A7F">
        <w:rPr>
          <w:rFonts w:cs="Times New Roman"/>
          <w:szCs w:val="24"/>
        </w:rPr>
        <w:t xml:space="preserve">, avšak u kukuřice bylo nalezeno další </w:t>
      </w:r>
      <w:r w:rsidR="00AA3CDA">
        <w:rPr>
          <w:rFonts w:cs="Times New Roman"/>
          <w:szCs w:val="24"/>
        </w:rPr>
        <w:t>pět typů</w:t>
      </w:r>
      <w:r w:rsidRPr="00D06A7F">
        <w:rPr>
          <w:rFonts w:cs="Times New Roman"/>
          <w:szCs w:val="24"/>
        </w:rPr>
        <w:t xml:space="preserve"> ABP a to včetně </w:t>
      </w:r>
      <w:r w:rsidRPr="00D06A7F">
        <w:rPr>
          <w:rFonts w:cs="Times New Roman"/>
          <w:i/>
          <w:szCs w:val="24"/>
        </w:rPr>
        <w:t>ABP1</w:t>
      </w:r>
      <w:r w:rsidRPr="00D06A7F">
        <w:rPr>
          <w:rFonts w:cs="Times New Roman"/>
          <w:szCs w:val="24"/>
        </w:rPr>
        <w:t xml:space="preserve"> (Schwob E </w:t>
      </w:r>
      <w:r w:rsidRPr="00D06A7F">
        <w:rPr>
          <w:rFonts w:cs="Times New Roman"/>
          <w:i/>
          <w:szCs w:val="24"/>
        </w:rPr>
        <w:t>et al</w:t>
      </w:r>
      <w:r w:rsidRPr="00D06A7F">
        <w:rPr>
          <w:rFonts w:cs="Times New Roman"/>
          <w:szCs w:val="24"/>
        </w:rPr>
        <w:t xml:space="preserve">., 1993).   </w:t>
      </w:r>
    </w:p>
    <w:p w:rsidR="007B67DF" w:rsidRPr="00D06A7F" w:rsidRDefault="007B67DF" w:rsidP="00DE1ED7">
      <w:pPr>
        <w:spacing w:after="0" w:line="360" w:lineRule="auto"/>
        <w:ind w:firstLine="709"/>
        <w:jc w:val="both"/>
        <w:rPr>
          <w:rFonts w:cs="Times New Roman"/>
          <w:szCs w:val="24"/>
        </w:rPr>
      </w:pPr>
      <w:r w:rsidRPr="00D06A7F">
        <w:rPr>
          <w:rFonts w:cs="Times New Roman"/>
          <w:szCs w:val="24"/>
        </w:rPr>
        <w:t xml:space="preserve">Gen </w:t>
      </w:r>
      <w:r w:rsidRPr="00D06A7F">
        <w:rPr>
          <w:rFonts w:cs="Times New Roman"/>
          <w:i/>
          <w:szCs w:val="24"/>
        </w:rPr>
        <w:t>ABP1</w:t>
      </w:r>
      <w:r w:rsidRPr="00D06A7F">
        <w:rPr>
          <w:rFonts w:cs="Times New Roman"/>
          <w:szCs w:val="24"/>
        </w:rPr>
        <w:t xml:space="preserve"> kóduje protein o velikosti 201 aminokyselin a konečný protein je tvořen dvěma podjednotkami (dimery), které</w:t>
      </w:r>
      <w:r w:rsidR="00AA3CDA">
        <w:rPr>
          <w:rFonts w:cs="Times New Roman"/>
          <w:szCs w:val="24"/>
        </w:rPr>
        <w:t xml:space="preserve"> dohromady</w:t>
      </w:r>
      <w:r w:rsidRPr="00D06A7F">
        <w:rPr>
          <w:rFonts w:cs="Times New Roman"/>
          <w:szCs w:val="24"/>
        </w:rPr>
        <w:t xml:space="preserve"> mají velikost 22</w:t>
      </w:r>
      <w:r w:rsidR="00AA3CDA">
        <w:rPr>
          <w:rFonts w:cs="Times New Roman"/>
          <w:szCs w:val="24"/>
        </w:rPr>
        <w:t xml:space="preserve"> </w:t>
      </w:r>
      <w:r w:rsidRPr="00D06A7F">
        <w:rPr>
          <w:rFonts w:cs="Times New Roman"/>
          <w:szCs w:val="24"/>
        </w:rPr>
        <w:t xml:space="preserve">kDa. Peptid obsahuje N-terminální signální peptid, jehož sekvence je různorodá u většiny ABP proteinů. Jako u prvního rostlinného peptidu zde byla objevena C-terminální KDEL sekvence, která zřejmě lokalizuje </w:t>
      </w:r>
      <w:r w:rsidRPr="00AA3CDA">
        <w:rPr>
          <w:rFonts w:cs="Times New Roman"/>
          <w:i/>
          <w:szCs w:val="24"/>
        </w:rPr>
        <w:t>ABP1</w:t>
      </w:r>
      <w:r w:rsidRPr="00D06A7F">
        <w:rPr>
          <w:rFonts w:cs="Times New Roman"/>
          <w:szCs w:val="24"/>
        </w:rPr>
        <w:t xml:space="preserve"> do endoplazmatického retikula. Dále peptid obsahuje několik konzervativních domén – Box A, B, C. Podle všech dostupných poznatků je Box A místem pro navázání auxinu (Davies, 2004). </w:t>
      </w:r>
    </w:p>
    <w:p w:rsidR="007B67DF" w:rsidRPr="00D06A7F" w:rsidRDefault="007B67DF" w:rsidP="00DE1ED7">
      <w:pPr>
        <w:spacing w:after="0" w:line="360" w:lineRule="auto"/>
        <w:ind w:firstLine="709"/>
        <w:jc w:val="both"/>
        <w:rPr>
          <w:rFonts w:cs="Times New Roman"/>
          <w:szCs w:val="24"/>
        </w:rPr>
      </w:pPr>
      <w:r w:rsidRPr="00D06A7F">
        <w:rPr>
          <w:rFonts w:cs="Times New Roman"/>
          <w:szCs w:val="24"/>
        </w:rPr>
        <w:t xml:space="preserve">Většina </w:t>
      </w:r>
      <w:r w:rsidRPr="006569E6">
        <w:rPr>
          <w:rFonts w:cs="Times New Roman"/>
          <w:i/>
          <w:szCs w:val="24"/>
        </w:rPr>
        <w:t>ABP1</w:t>
      </w:r>
      <w:r w:rsidRPr="00D06A7F">
        <w:rPr>
          <w:rFonts w:cs="Times New Roman"/>
          <w:szCs w:val="24"/>
        </w:rPr>
        <w:t xml:space="preserve"> je lokalizovaná v lumenu endoplazmatického retikula, v Golgiho aparátu a na plazmatické membráně (Jones </w:t>
      </w:r>
      <w:r w:rsidRPr="00AA3CDA">
        <w:rPr>
          <w:rFonts w:cs="Times New Roman"/>
          <w:i/>
          <w:szCs w:val="24"/>
        </w:rPr>
        <w:t>et</w:t>
      </w:r>
      <w:r w:rsidRPr="00D06A7F">
        <w:rPr>
          <w:rFonts w:cs="Times New Roman"/>
          <w:szCs w:val="24"/>
        </w:rPr>
        <w:t xml:space="preserve"> Herman, 1993). Byly prokázány účinky na růst a vývoj buněk (Fellner </w:t>
      </w:r>
      <w:r w:rsidRPr="00D06A7F">
        <w:rPr>
          <w:rFonts w:cs="Times New Roman"/>
          <w:i/>
          <w:szCs w:val="24"/>
        </w:rPr>
        <w:t>et al</w:t>
      </w:r>
      <w:r w:rsidRPr="00D06A7F">
        <w:rPr>
          <w:rFonts w:cs="Times New Roman"/>
          <w:szCs w:val="24"/>
        </w:rPr>
        <w:t xml:space="preserve">., 1996; David </w:t>
      </w:r>
      <w:r w:rsidRPr="00D06A7F">
        <w:rPr>
          <w:rFonts w:cs="Times New Roman"/>
          <w:i/>
          <w:szCs w:val="24"/>
        </w:rPr>
        <w:t>et al</w:t>
      </w:r>
      <w:r w:rsidRPr="00D06A7F">
        <w:rPr>
          <w:rFonts w:cs="Times New Roman"/>
          <w:szCs w:val="24"/>
        </w:rPr>
        <w:t xml:space="preserve">., 2007). </w:t>
      </w:r>
      <w:r w:rsidRPr="006569E6">
        <w:rPr>
          <w:rFonts w:cs="Times New Roman"/>
          <w:i/>
          <w:szCs w:val="24"/>
        </w:rPr>
        <w:t>ABP1</w:t>
      </w:r>
      <w:r w:rsidRPr="00D06A7F">
        <w:rPr>
          <w:rFonts w:cs="Times New Roman"/>
          <w:szCs w:val="24"/>
        </w:rPr>
        <w:t xml:space="preserve"> ovlivňuje buněčné dělení, po </w:t>
      </w:r>
      <w:r w:rsidRPr="00D06A7F">
        <w:rPr>
          <w:rFonts w:cs="Times New Roman"/>
          <w:szCs w:val="24"/>
        </w:rPr>
        <w:lastRenderedPageBreak/>
        <w:t xml:space="preserve">ztrátě činnosti </w:t>
      </w:r>
      <w:r w:rsidRPr="00AA3CDA">
        <w:rPr>
          <w:rFonts w:cs="Times New Roman"/>
          <w:i/>
          <w:szCs w:val="24"/>
        </w:rPr>
        <w:t>ABP1</w:t>
      </w:r>
      <w:r w:rsidRPr="00D06A7F">
        <w:rPr>
          <w:rFonts w:cs="Times New Roman"/>
          <w:szCs w:val="24"/>
        </w:rPr>
        <w:t xml:space="preserve"> došlo ke snížení transkriptu kódující cyklin D, který je kontrolním bodem pro vstup buňky do další fáze dělení (David </w:t>
      </w:r>
      <w:r w:rsidRPr="00D06A7F">
        <w:rPr>
          <w:rFonts w:cs="Times New Roman"/>
          <w:i/>
          <w:szCs w:val="24"/>
        </w:rPr>
        <w:t>et al</w:t>
      </w:r>
      <w:r w:rsidRPr="00D06A7F">
        <w:rPr>
          <w:rFonts w:cs="Times New Roman"/>
          <w:szCs w:val="24"/>
        </w:rPr>
        <w:t xml:space="preserve">. 2007). Také bylo prokázáno, že </w:t>
      </w:r>
      <w:r w:rsidRPr="006569E6">
        <w:rPr>
          <w:rFonts w:cs="Times New Roman"/>
          <w:i/>
          <w:szCs w:val="24"/>
        </w:rPr>
        <w:t>ABP1</w:t>
      </w:r>
      <w:r w:rsidRPr="00D06A7F">
        <w:rPr>
          <w:rFonts w:cs="Times New Roman"/>
          <w:szCs w:val="24"/>
        </w:rPr>
        <w:t xml:space="preserve"> se značně podílí na regulaci polárního transportu auxinu (Effendi </w:t>
      </w:r>
      <w:r w:rsidRPr="00D06A7F">
        <w:rPr>
          <w:rFonts w:cs="Times New Roman"/>
          <w:i/>
          <w:szCs w:val="24"/>
        </w:rPr>
        <w:t>et al</w:t>
      </w:r>
      <w:r w:rsidRPr="00D06A7F">
        <w:rPr>
          <w:rFonts w:cs="Times New Roman"/>
          <w:szCs w:val="24"/>
        </w:rPr>
        <w:t xml:space="preserve">. 2011). </w:t>
      </w:r>
      <w:r w:rsidRPr="006569E6">
        <w:rPr>
          <w:rFonts w:cs="Times New Roman"/>
          <w:i/>
          <w:szCs w:val="24"/>
        </w:rPr>
        <w:t>ABP1</w:t>
      </w:r>
      <w:r w:rsidRPr="00D06A7F">
        <w:rPr>
          <w:rFonts w:cs="Times New Roman"/>
          <w:szCs w:val="24"/>
        </w:rPr>
        <w:t xml:space="preserve"> dokáže rozlišit mezi fyziologicky aktivním a neaktivním auxinem a tím aktivovat tok iontů do buňky, poté zprostředkovává buněčnou expanzi a také růst jednotlivých tkání rostliny. Proto zvýšená indukce exprese </w:t>
      </w:r>
      <w:r w:rsidRPr="00AA3CDA">
        <w:rPr>
          <w:rFonts w:cs="Times New Roman"/>
          <w:i/>
          <w:szCs w:val="24"/>
        </w:rPr>
        <w:t>ABP1</w:t>
      </w:r>
      <w:r w:rsidRPr="00D06A7F">
        <w:rPr>
          <w:rFonts w:cs="Times New Roman"/>
          <w:szCs w:val="24"/>
        </w:rPr>
        <w:t xml:space="preserve"> v buňce vede k vyšší citlivosti buněk na auxin (Effendi </w:t>
      </w:r>
      <w:r w:rsidRPr="00D06A7F">
        <w:rPr>
          <w:rFonts w:cs="Times New Roman"/>
          <w:i/>
          <w:szCs w:val="24"/>
        </w:rPr>
        <w:t>et al</w:t>
      </w:r>
      <w:r w:rsidRPr="00D06A7F">
        <w:rPr>
          <w:rFonts w:cs="Times New Roman"/>
          <w:szCs w:val="24"/>
        </w:rPr>
        <w:t>. 2011).</w:t>
      </w:r>
    </w:p>
    <w:p w:rsidR="007B67DF" w:rsidRPr="00D06A7F" w:rsidRDefault="007B67DF" w:rsidP="00DE1ED7">
      <w:pPr>
        <w:spacing w:after="0" w:line="360" w:lineRule="auto"/>
        <w:ind w:firstLine="709"/>
        <w:jc w:val="both"/>
        <w:rPr>
          <w:rFonts w:cs="Times New Roman"/>
          <w:szCs w:val="24"/>
        </w:rPr>
      </w:pPr>
      <w:r w:rsidRPr="00AA3CDA">
        <w:rPr>
          <w:rFonts w:cs="Times New Roman"/>
          <w:i/>
          <w:szCs w:val="24"/>
        </w:rPr>
        <w:t>ABP1</w:t>
      </w:r>
      <w:r w:rsidRPr="00D06A7F">
        <w:rPr>
          <w:rFonts w:cs="Times New Roman"/>
          <w:szCs w:val="24"/>
        </w:rPr>
        <w:t xml:space="preserve"> hraje zásadní roli v e</w:t>
      </w:r>
      <w:r w:rsidR="00AA3CDA">
        <w:rPr>
          <w:rFonts w:cs="Times New Roman"/>
          <w:szCs w:val="24"/>
        </w:rPr>
        <w:t xml:space="preserve">mbryonálním vývoji rostlin, </w:t>
      </w:r>
      <w:r w:rsidRPr="00D06A7F">
        <w:rPr>
          <w:rFonts w:cs="Times New Roman"/>
          <w:szCs w:val="24"/>
        </w:rPr>
        <w:t xml:space="preserve">pokud je </w:t>
      </w:r>
      <w:r w:rsidRPr="00AA3CDA">
        <w:rPr>
          <w:rFonts w:cs="Times New Roman"/>
          <w:i/>
          <w:szCs w:val="24"/>
        </w:rPr>
        <w:t>ABP1</w:t>
      </w:r>
      <w:r w:rsidRPr="00D06A7F">
        <w:rPr>
          <w:rFonts w:cs="Times New Roman"/>
          <w:szCs w:val="24"/>
        </w:rPr>
        <w:t xml:space="preserve"> inaktivován je zásadně narušen vývoj rostliny </w:t>
      </w:r>
      <w:r w:rsidRPr="00D06A7F">
        <w:rPr>
          <w:rFonts w:cs="Times New Roman"/>
          <w:sz w:val="26"/>
          <w:szCs w:val="24"/>
        </w:rPr>
        <w:t>(</w:t>
      </w:r>
      <w:r w:rsidRPr="00D06A7F">
        <w:rPr>
          <w:rFonts w:cs="Times New Roman"/>
          <w:szCs w:val="24"/>
        </w:rPr>
        <w:t xml:space="preserve">Chen </w:t>
      </w:r>
      <w:r w:rsidRPr="00D06A7F">
        <w:rPr>
          <w:rFonts w:cs="Times New Roman"/>
          <w:i/>
          <w:szCs w:val="24"/>
        </w:rPr>
        <w:t>et al</w:t>
      </w:r>
      <w:r w:rsidRPr="00D06A7F">
        <w:rPr>
          <w:rFonts w:cs="Times New Roman"/>
          <w:szCs w:val="24"/>
        </w:rPr>
        <w:t xml:space="preserve">., 2001). V postembryonálním vývoji bylo prokázáno, že zablokováním exprese ABP1 vedlo k rychlému potlačení růstu výhonů, dále byl změněn tvar a velikost listů (Braun </w:t>
      </w:r>
      <w:r w:rsidRPr="00D06A7F">
        <w:rPr>
          <w:rFonts w:cs="Times New Roman"/>
          <w:i/>
          <w:szCs w:val="24"/>
        </w:rPr>
        <w:t>et al</w:t>
      </w:r>
      <w:r w:rsidRPr="00D06A7F">
        <w:rPr>
          <w:rFonts w:cs="Times New Roman"/>
          <w:szCs w:val="24"/>
        </w:rPr>
        <w:t>,. 2008).</w:t>
      </w:r>
    </w:p>
    <w:p w:rsidR="007B67DF" w:rsidRPr="00D06A7F" w:rsidRDefault="007B67DF" w:rsidP="00DE1ED7">
      <w:pPr>
        <w:spacing w:after="0" w:line="360" w:lineRule="auto"/>
        <w:ind w:firstLine="709"/>
        <w:jc w:val="both"/>
        <w:rPr>
          <w:rFonts w:cs="Times New Roman"/>
          <w:szCs w:val="24"/>
        </w:rPr>
      </w:pPr>
      <w:r w:rsidRPr="00D06A7F">
        <w:rPr>
          <w:rFonts w:cs="Times New Roman"/>
          <w:szCs w:val="24"/>
        </w:rPr>
        <w:t xml:space="preserve">Malá část </w:t>
      </w:r>
      <w:r w:rsidRPr="00AA3CDA">
        <w:rPr>
          <w:rFonts w:cs="Times New Roman"/>
          <w:i/>
          <w:szCs w:val="24"/>
        </w:rPr>
        <w:t xml:space="preserve">ABP1 </w:t>
      </w:r>
      <w:r w:rsidRPr="00D06A7F">
        <w:rPr>
          <w:rFonts w:cs="Times New Roman"/>
          <w:szCs w:val="24"/>
        </w:rPr>
        <w:t>je lokalizov</w:t>
      </w:r>
      <w:r w:rsidR="00AA3CDA">
        <w:rPr>
          <w:rFonts w:cs="Times New Roman"/>
          <w:szCs w:val="24"/>
        </w:rPr>
        <w:t>ána na plazmatické membráně, avšak</w:t>
      </w:r>
      <w:r w:rsidRPr="00D06A7F">
        <w:rPr>
          <w:rFonts w:cs="Times New Roman"/>
          <w:szCs w:val="24"/>
        </w:rPr>
        <w:t xml:space="preserve"> nemůže se vázat na plazmatickou membránu přímo, ale přes další ukotvovací protein (Tromas </w:t>
      </w:r>
      <w:r w:rsidRPr="00D06A7F">
        <w:rPr>
          <w:rFonts w:cs="Times New Roman"/>
          <w:i/>
          <w:szCs w:val="24"/>
        </w:rPr>
        <w:t>et al.</w:t>
      </w:r>
      <w:r w:rsidRPr="00D06A7F">
        <w:rPr>
          <w:rFonts w:cs="Times New Roman"/>
          <w:szCs w:val="24"/>
        </w:rPr>
        <w:t xml:space="preserve">, 2010). Jedním z ukotvovacích proteinů pro </w:t>
      </w:r>
      <w:r w:rsidRPr="00AA3CDA">
        <w:rPr>
          <w:rFonts w:cs="Times New Roman"/>
          <w:i/>
          <w:szCs w:val="24"/>
        </w:rPr>
        <w:t>ABP1</w:t>
      </w:r>
      <w:r w:rsidRPr="00D06A7F">
        <w:rPr>
          <w:rFonts w:cs="Times New Roman"/>
          <w:szCs w:val="24"/>
        </w:rPr>
        <w:t xml:space="preserve">, který byl objeven, je CBP1 (C-terminální peptid-vázající protein 1) (Shimomura, 2006). Navázání auxinu na </w:t>
      </w:r>
      <w:r w:rsidRPr="00AA3CDA">
        <w:rPr>
          <w:rFonts w:cs="Times New Roman"/>
          <w:i/>
          <w:szCs w:val="24"/>
        </w:rPr>
        <w:t>ABP1</w:t>
      </w:r>
      <w:r w:rsidRPr="00D06A7F">
        <w:rPr>
          <w:rFonts w:cs="Times New Roman"/>
          <w:szCs w:val="24"/>
        </w:rPr>
        <w:t xml:space="preserve">, spojeném s ukotvovacím proteinem na plazmatické membrány, vede k různým molekulárním procesům, jako je aktivace protonové pumpy nebo aktivace draslíkových kanálů. Dále byl u Arabidopsis izolován mutant s vypnutým genem </w:t>
      </w:r>
      <w:r w:rsidRPr="00AA3CDA">
        <w:rPr>
          <w:rFonts w:cs="Times New Roman"/>
          <w:i/>
          <w:szCs w:val="24"/>
        </w:rPr>
        <w:t>ABP1</w:t>
      </w:r>
      <w:r w:rsidRPr="00D06A7F">
        <w:rPr>
          <w:rFonts w:cs="Times New Roman"/>
          <w:szCs w:val="24"/>
        </w:rPr>
        <w:t xml:space="preserve">, který dokazuje, že vyřazení </w:t>
      </w:r>
      <w:r w:rsidRPr="00AA3CDA">
        <w:rPr>
          <w:rFonts w:cs="Times New Roman"/>
          <w:i/>
          <w:szCs w:val="24"/>
        </w:rPr>
        <w:t>ABP1</w:t>
      </w:r>
      <w:r w:rsidRPr="00D06A7F">
        <w:rPr>
          <w:rFonts w:cs="Times New Roman"/>
          <w:szCs w:val="24"/>
        </w:rPr>
        <w:t xml:space="preserve"> vede k zastavení embryonálního vývoje rostliny. Tímto pokusem bylo potvrzeno, že </w:t>
      </w:r>
      <w:r w:rsidRPr="00AA3CDA">
        <w:rPr>
          <w:rFonts w:cs="Times New Roman"/>
          <w:i/>
          <w:szCs w:val="24"/>
        </w:rPr>
        <w:t>ABP1</w:t>
      </w:r>
      <w:r w:rsidRPr="00D06A7F">
        <w:rPr>
          <w:rFonts w:cs="Times New Roman"/>
          <w:szCs w:val="24"/>
        </w:rPr>
        <w:t xml:space="preserve"> je důležitý po celou dobu vývoje rostliny (Tromas </w:t>
      </w:r>
      <w:r w:rsidRPr="00D06A7F">
        <w:rPr>
          <w:rFonts w:cs="Times New Roman"/>
          <w:i/>
          <w:szCs w:val="24"/>
        </w:rPr>
        <w:t>et al.</w:t>
      </w:r>
      <w:r w:rsidRPr="00D06A7F">
        <w:rPr>
          <w:rFonts w:cs="Times New Roman"/>
          <w:szCs w:val="24"/>
        </w:rPr>
        <w:t>, 2009).</w:t>
      </w:r>
    </w:p>
    <w:p w:rsidR="00273779" w:rsidRDefault="007B67DF" w:rsidP="00AA3CDA">
      <w:pPr>
        <w:spacing w:after="0" w:line="360" w:lineRule="auto"/>
        <w:ind w:firstLine="709"/>
        <w:jc w:val="both"/>
        <w:rPr>
          <w:rFonts w:cs="Times New Roman"/>
          <w:szCs w:val="24"/>
        </w:rPr>
      </w:pPr>
      <w:r w:rsidRPr="00D06A7F">
        <w:rPr>
          <w:rFonts w:cs="Times New Roman"/>
          <w:szCs w:val="24"/>
        </w:rPr>
        <w:t xml:space="preserve">Auxin kromě </w:t>
      </w:r>
      <w:r w:rsidRPr="006569E6">
        <w:rPr>
          <w:rFonts w:cs="Times New Roman"/>
          <w:i/>
          <w:szCs w:val="24"/>
        </w:rPr>
        <w:t>ABP1</w:t>
      </w:r>
      <w:r w:rsidRPr="00D06A7F">
        <w:rPr>
          <w:rFonts w:cs="Times New Roman"/>
          <w:szCs w:val="24"/>
        </w:rPr>
        <w:t xml:space="preserve"> odpovědí iniciuje i odpovědi přes receptor TIR1. TIR1 zprostředkovává změny v genové expresi prostřednictvím odbourávání jeho transkripčních signálů. Hladina auxinu ovlivňuje zapojení </w:t>
      </w:r>
      <w:r w:rsidRPr="006569E6">
        <w:rPr>
          <w:rFonts w:cs="Times New Roman"/>
          <w:i/>
          <w:szCs w:val="24"/>
        </w:rPr>
        <w:t>ABP1</w:t>
      </w:r>
      <w:r w:rsidRPr="00D06A7F">
        <w:rPr>
          <w:rFonts w:cs="Times New Roman"/>
          <w:szCs w:val="24"/>
        </w:rPr>
        <w:t xml:space="preserve"> nebo TIR1. Pokud je hladina auxinu relativně nízká, </w:t>
      </w:r>
      <w:r w:rsidRPr="006569E6">
        <w:rPr>
          <w:rFonts w:cs="Times New Roman"/>
          <w:i/>
          <w:szCs w:val="24"/>
        </w:rPr>
        <w:t>ABP1</w:t>
      </w:r>
      <w:r w:rsidRPr="00D06A7F">
        <w:rPr>
          <w:rFonts w:cs="Times New Roman"/>
          <w:szCs w:val="24"/>
        </w:rPr>
        <w:t xml:space="preserve"> zprostředkováv</w:t>
      </w:r>
      <w:r w:rsidR="00AA3CDA">
        <w:rPr>
          <w:rFonts w:cs="Times New Roman"/>
          <w:szCs w:val="24"/>
        </w:rPr>
        <w:t xml:space="preserve">á expanzi buňky. Naproti tomu, </w:t>
      </w:r>
      <w:r w:rsidRPr="00D06A7F">
        <w:rPr>
          <w:rFonts w:cs="Times New Roman"/>
          <w:szCs w:val="24"/>
        </w:rPr>
        <w:t xml:space="preserve">vysoká hladina auxinu stimuluje dělení buňky, které je potenciálně zprostředkováváno pomocí TIR1. Avšak úlohu při buněčném dělení má i </w:t>
      </w:r>
      <w:r w:rsidRPr="00AA3CDA">
        <w:rPr>
          <w:rFonts w:cs="Times New Roman"/>
          <w:i/>
          <w:szCs w:val="24"/>
        </w:rPr>
        <w:t>ABP1</w:t>
      </w:r>
      <w:r w:rsidRPr="00D06A7F">
        <w:rPr>
          <w:rFonts w:cs="Times New Roman"/>
          <w:szCs w:val="24"/>
        </w:rPr>
        <w:t xml:space="preserve">, což bylo identifikováno u tabáku. Bylo také prokázáno, že </w:t>
      </w:r>
      <w:r w:rsidRPr="00AA3CDA">
        <w:rPr>
          <w:rFonts w:cs="Times New Roman"/>
          <w:i/>
          <w:szCs w:val="24"/>
        </w:rPr>
        <w:t>ABP1</w:t>
      </w:r>
      <w:r w:rsidRPr="00D06A7F">
        <w:rPr>
          <w:rFonts w:cs="Times New Roman"/>
          <w:szCs w:val="24"/>
        </w:rPr>
        <w:t xml:space="preserve"> je určitou funkci i při kontrole buněčného cyklu (Scherer, 2011)</w:t>
      </w:r>
    </w:p>
    <w:p w:rsidR="00AA3CDA" w:rsidRDefault="00AA3CDA" w:rsidP="00AA3CDA">
      <w:pPr>
        <w:spacing w:after="0" w:line="360" w:lineRule="auto"/>
        <w:ind w:firstLine="709"/>
        <w:jc w:val="both"/>
        <w:rPr>
          <w:rFonts w:cs="Times New Roman"/>
          <w:szCs w:val="24"/>
        </w:rPr>
      </w:pPr>
    </w:p>
    <w:p w:rsidR="00DE1ED7" w:rsidRPr="00273779" w:rsidRDefault="00273779" w:rsidP="00273779">
      <w:pPr>
        <w:pStyle w:val="Nadpis2"/>
        <w:numPr>
          <w:ilvl w:val="1"/>
          <w:numId w:val="1"/>
        </w:numPr>
      </w:pPr>
      <w:bookmarkStart w:id="8" w:name="_Toc426029808"/>
      <w:r w:rsidRPr="00273779">
        <w:t>Světlo</w:t>
      </w:r>
      <w:bookmarkEnd w:id="8"/>
    </w:p>
    <w:p w:rsidR="007B67DF" w:rsidRPr="00D06A7F" w:rsidRDefault="007B67DF" w:rsidP="00273779">
      <w:pPr>
        <w:pStyle w:val="Nadpis3"/>
        <w:numPr>
          <w:ilvl w:val="2"/>
          <w:numId w:val="1"/>
        </w:numPr>
        <w:spacing w:after="100" w:afterAutospacing="1"/>
      </w:pPr>
      <w:bookmarkStart w:id="9" w:name="_Toc426029809"/>
      <w:r w:rsidRPr="00D06A7F">
        <w:t>Fotomorfogeneze</w:t>
      </w:r>
      <w:bookmarkEnd w:id="9"/>
    </w:p>
    <w:p w:rsidR="007B67DF" w:rsidRPr="00D06A7F" w:rsidRDefault="007B67DF" w:rsidP="00273779">
      <w:pPr>
        <w:spacing w:after="0" w:line="360" w:lineRule="auto"/>
        <w:ind w:firstLine="709"/>
        <w:jc w:val="both"/>
        <w:rPr>
          <w:rFonts w:cs="Times New Roman"/>
          <w:szCs w:val="24"/>
        </w:rPr>
      </w:pPr>
      <w:r w:rsidRPr="00D06A7F">
        <w:rPr>
          <w:rFonts w:cs="Times New Roman"/>
          <w:szCs w:val="24"/>
        </w:rPr>
        <w:t xml:space="preserve">Světlo výrazně ovlivňuje vývoj rostliny, využívá světlo jako zdroj energie. U sazenic, které rostou ve tmě, je pozorován růst vrcholového háku, uzavření a pozastavení expanze </w:t>
      </w:r>
      <w:r w:rsidRPr="00D06A7F">
        <w:rPr>
          <w:rFonts w:cs="Times New Roman"/>
          <w:szCs w:val="24"/>
        </w:rPr>
        <w:lastRenderedPageBreak/>
        <w:t xml:space="preserve">dělohy a prodlužovací růst hypokotylu, tento vývojový program je nezbytný pro sazenice, které jsou v zemi. Poté, co je rostlina vystavena světlu, tak se děloha otevírá, je potlačeno prodlužování hypokotylu, je zahájena diferenciace buněk ve vegetativním meristému, stimulován růst listů a tvorba chloroplastů. Tento stav se nazývá fotomorfogeneze (Schäfer </w:t>
      </w:r>
      <w:r w:rsidRPr="00D06A7F">
        <w:rPr>
          <w:rFonts w:cs="Times New Roman"/>
          <w:i/>
          <w:szCs w:val="24"/>
        </w:rPr>
        <w:t>et</w:t>
      </w:r>
      <w:r w:rsidRPr="00D06A7F">
        <w:rPr>
          <w:rFonts w:cs="Times New Roman"/>
          <w:szCs w:val="24"/>
        </w:rPr>
        <w:t xml:space="preserve"> Nagy, 2006). Proces fotomorfogeneze je zprostředkován speciálními fotoreceptory.</w:t>
      </w:r>
    </w:p>
    <w:p w:rsidR="00273779" w:rsidRPr="00D06A7F" w:rsidRDefault="007B67DF" w:rsidP="00C61DE0">
      <w:pPr>
        <w:spacing w:after="0" w:line="360" w:lineRule="auto"/>
        <w:ind w:firstLine="709"/>
        <w:jc w:val="both"/>
        <w:rPr>
          <w:rFonts w:cs="Times New Roman"/>
          <w:szCs w:val="24"/>
        </w:rPr>
      </w:pPr>
      <w:r w:rsidRPr="00D06A7F">
        <w:rPr>
          <w:rFonts w:cs="Times New Roman"/>
          <w:szCs w:val="24"/>
        </w:rPr>
        <w:t>Rostlinné fotoreceptory</w:t>
      </w:r>
      <w:r w:rsidR="00C61DE0">
        <w:rPr>
          <w:rFonts w:cs="Times New Roman"/>
          <w:szCs w:val="24"/>
        </w:rPr>
        <w:t xml:space="preserve"> </w:t>
      </w:r>
      <w:r w:rsidRPr="00D06A7F">
        <w:rPr>
          <w:rFonts w:cs="Times New Roman"/>
          <w:szCs w:val="24"/>
        </w:rPr>
        <w:t xml:space="preserve">se dělí podle toho, kterou vlnovou délku světla vnímají (Zeiger </w:t>
      </w:r>
      <w:r w:rsidRPr="00D06A7F">
        <w:rPr>
          <w:rFonts w:cs="Times New Roman"/>
          <w:i/>
          <w:szCs w:val="24"/>
        </w:rPr>
        <w:t>et</w:t>
      </w:r>
      <w:r w:rsidRPr="00D06A7F">
        <w:rPr>
          <w:rFonts w:cs="Times New Roman"/>
          <w:szCs w:val="24"/>
        </w:rPr>
        <w:t xml:space="preserve"> Taiz, 2006). Fotoreceptory modrého světla jsou kryptochromy, fototropiny a zeaxantiny. Odpovědi k modrému světlu zahrnují stimulaci rozvoje dělohy, regulaci doby kvetení, otvírání stomat aj. (Lin, 2002, Lin </w:t>
      </w:r>
      <w:r w:rsidRPr="00D06A7F">
        <w:rPr>
          <w:rFonts w:cs="Times New Roman"/>
          <w:i/>
          <w:szCs w:val="24"/>
        </w:rPr>
        <w:t>et</w:t>
      </w:r>
      <w:r w:rsidRPr="00D06A7F">
        <w:rPr>
          <w:rFonts w:cs="Times New Roman"/>
          <w:szCs w:val="24"/>
        </w:rPr>
        <w:t xml:space="preserve"> Shalitin 2003). Druhým typem fotoreceptorů jsou fytochromy, což jsou primárně receptory pro červené spektrum světla. Odpovědi na červené světlo jsou regulace buněčného dělení, růst stonku a listů, regulace klíčení semene.</w:t>
      </w:r>
    </w:p>
    <w:p w:rsidR="007B67DF" w:rsidRPr="00D06A7F" w:rsidRDefault="007B67DF" w:rsidP="00437626">
      <w:pPr>
        <w:pStyle w:val="Nadpis3"/>
        <w:numPr>
          <w:ilvl w:val="2"/>
          <w:numId w:val="1"/>
        </w:numPr>
        <w:spacing w:after="100" w:afterAutospacing="1"/>
        <w:jc w:val="both"/>
      </w:pPr>
      <w:bookmarkStart w:id="10" w:name="_Toc426029810"/>
      <w:r w:rsidRPr="00D06A7F">
        <w:t>Receptory modrého světla</w:t>
      </w:r>
      <w:bookmarkEnd w:id="10"/>
    </w:p>
    <w:p w:rsidR="007B67DF" w:rsidRPr="00D06A7F" w:rsidRDefault="007B67DF" w:rsidP="00273779">
      <w:pPr>
        <w:spacing w:after="100" w:afterAutospacing="1" w:line="360" w:lineRule="auto"/>
        <w:jc w:val="both"/>
        <w:rPr>
          <w:rFonts w:cs="Times New Roman"/>
          <w:szCs w:val="24"/>
        </w:rPr>
      </w:pPr>
      <w:r w:rsidRPr="00D06A7F">
        <w:rPr>
          <w:rFonts w:cs="Times New Roman"/>
          <w:b/>
          <w:szCs w:val="24"/>
        </w:rPr>
        <w:tab/>
      </w:r>
      <w:r w:rsidRPr="00D06A7F">
        <w:rPr>
          <w:rFonts w:cs="Times New Roman"/>
          <w:szCs w:val="24"/>
        </w:rPr>
        <w:t>Fotoreceptorů modrého světla je více. Patří mezi ně kryptochromy, fototropiny a zeaxantiny, které mají významný vliv na spoustu aspektů života rostliny.</w:t>
      </w:r>
    </w:p>
    <w:p w:rsidR="007B67DF" w:rsidRPr="00273779" w:rsidRDefault="007B67DF" w:rsidP="00437626">
      <w:pPr>
        <w:pStyle w:val="Nadpis4"/>
        <w:numPr>
          <w:ilvl w:val="3"/>
          <w:numId w:val="1"/>
        </w:numPr>
        <w:spacing w:after="100" w:afterAutospacing="1"/>
        <w:jc w:val="both"/>
        <w:rPr>
          <w:i w:val="0"/>
        </w:rPr>
      </w:pPr>
      <w:r w:rsidRPr="00273779">
        <w:rPr>
          <w:i w:val="0"/>
        </w:rPr>
        <w:t>Kryptochromy</w:t>
      </w:r>
    </w:p>
    <w:p w:rsidR="007B67DF" w:rsidRPr="00D06A7F" w:rsidRDefault="007B67DF" w:rsidP="00273779">
      <w:pPr>
        <w:spacing w:after="100" w:afterAutospacing="1" w:line="360" w:lineRule="auto"/>
        <w:jc w:val="both"/>
        <w:rPr>
          <w:rFonts w:cs="Times New Roman"/>
          <w:szCs w:val="24"/>
        </w:rPr>
      </w:pPr>
      <w:r w:rsidRPr="00D06A7F">
        <w:rPr>
          <w:rFonts w:cs="Times New Roman"/>
          <w:szCs w:val="24"/>
        </w:rPr>
        <w:tab/>
        <w:t xml:space="preserve">Jedná se o receptory kontrolující fotomorfogenezi v reakci na modré nebo ultrafialové (UV-A) záření. Evolučně se zřejmě jedná o potomky DNA fotolyázy. Kryptochromy a fotolyázy mají podobnou trojrozměrnou strukturu. Struktura obsahuje chromofor a flavin adenin dinukleotid (FAD). U </w:t>
      </w:r>
      <w:r w:rsidRPr="00D06A7F">
        <w:rPr>
          <w:rFonts w:cs="Times New Roman"/>
          <w:i/>
          <w:szCs w:val="24"/>
        </w:rPr>
        <w:t xml:space="preserve">Arabidopsis </w:t>
      </w:r>
      <w:r w:rsidRPr="00D06A7F">
        <w:rPr>
          <w:rFonts w:cs="Times New Roman"/>
          <w:szCs w:val="24"/>
        </w:rPr>
        <w:t xml:space="preserve">jsou CRY1 a CRY2 převážně jaderné proteiny. Hrají důležitou roly v rostlinné fotomorfogenezi. Modré světlo prostřednictvím kryptochromů stimuluje prodlužování stonku, expanzi listů a regulují kvetení. Je možné, že kryptochromy ovládají vývojové změny v rostlině díky změně genové exprese vyvolané světlem (Lin </w:t>
      </w:r>
      <w:r w:rsidRPr="00D06A7F">
        <w:rPr>
          <w:rFonts w:cs="Times New Roman"/>
          <w:i/>
          <w:szCs w:val="24"/>
        </w:rPr>
        <w:t>et</w:t>
      </w:r>
      <w:r w:rsidRPr="00D06A7F">
        <w:rPr>
          <w:rFonts w:cs="Times New Roman"/>
          <w:szCs w:val="24"/>
        </w:rPr>
        <w:t xml:space="preserve"> Todo, 2005).</w:t>
      </w:r>
    </w:p>
    <w:p w:rsidR="007B67DF" w:rsidRPr="00273779" w:rsidRDefault="007B67DF" w:rsidP="00273779">
      <w:pPr>
        <w:pStyle w:val="Nadpis4"/>
        <w:numPr>
          <w:ilvl w:val="3"/>
          <w:numId w:val="1"/>
        </w:numPr>
        <w:spacing w:after="100" w:afterAutospacing="1"/>
        <w:rPr>
          <w:i w:val="0"/>
        </w:rPr>
      </w:pPr>
      <w:r w:rsidRPr="00273779">
        <w:rPr>
          <w:i w:val="0"/>
        </w:rPr>
        <w:t>Fototropiny</w:t>
      </w:r>
    </w:p>
    <w:p w:rsidR="007B67DF" w:rsidRPr="00BE6442" w:rsidRDefault="007B67DF" w:rsidP="00273779">
      <w:pPr>
        <w:spacing w:after="0" w:line="360" w:lineRule="auto"/>
        <w:jc w:val="both"/>
        <w:rPr>
          <w:rFonts w:cs="Times New Roman"/>
          <w:szCs w:val="24"/>
        </w:rPr>
      </w:pPr>
      <w:r w:rsidRPr="00D06A7F">
        <w:rPr>
          <w:rFonts w:cs="Times New Roman"/>
          <w:szCs w:val="24"/>
        </w:rPr>
        <w:tab/>
        <w:t xml:space="preserve">Jedná se o další fotoreceptory modrého světla. Fototropiny se skládají z C-terminální oblasti, v jejím středu se nachází serin/threonin kináza, a z N-terminální oblasti, která je složena ze dvou LOV domén. Na LOV doménu se ve tmě nekovalentně váže flavinmononukleotid (FMN), až po ozáření modrým světlem vzniká kovalentní vazba mezi FMN a a molekulou fototropinu (Schwartz </w:t>
      </w:r>
      <w:r w:rsidRPr="00D06A7F">
        <w:rPr>
          <w:rFonts w:cs="Times New Roman"/>
          <w:i/>
          <w:szCs w:val="24"/>
        </w:rPr>
        <w:t>et</w:t>
      </w:r>
      <w:r w:rsidRPr="00D06A7F">
        <w:rPr>
          <w:rFonts w:cs="Times New Roman"/>
          <w:szCs w:val="24"/>
        </w:rPr>
        <w:t xml:space="preserve"> Zeiger</w:t>
      </w:r>
      <w:r w:rsidRPr="00D06A7F">
        <w:rPr>
          <w:rFonts w:cs="Times New Roman"/>
          <w:i/>
          <w:iCs/>
          <w:szCs w:val="24"/>
        </w:rPr>
        <w:t>.</w:t>
      </w:r>
      <w:r w:rsidRPr="00D06A7F">
        <w:rPr>
          <w:rFonts w:cs="Times New Roman"/>
          <w:szCs w:val="24"/>
        </w:rPr>
        <w:t>, 1984). U Arabidopsis byly objeveny dva fototropiny PHOT1 a</w:t>
      </w:r>
      <w:r w:rsidRPr="00BE6442">
        <w:rPr>
          <w:rFonts w:cs="Times New Roman"/>
          <w:szCs w:val="24"/>
        </w:rPr>
        <w:t xml:space="preserve"> </w:t>
      </w:r>
      <w:r w:rsidRPr="00D06A7F">
        <w:rPr>
          <w:rFonts w:cs="Times New Roman"/>
          <w:szCs w:val="24"/>
        </w:rPr>
        <w:t>PHOT2</w:t>
      </w:r>
      <w:r w:rsidR="00BE6442">
        <w:rPr>
          <w:rFonts w:cs="Times New Roman"/>
          <w:szCs w:val="24"/>
        </w:rPr>
        <w:t>.</w:t>
      </w:r>
    </w:p>
    <w:p w:rsidR="00273779" w:rsidRPr="00D06A7F" w:rsidRDefault="007B67DF" w:rsidP="00273779">
      <w:pPr>
        <w:spacing w:after="0" w:line="360" w:lineRule="auto"/>
        <w:ind w:firstLine="708"/>
        <w:jc w:val="both"/>
        <w:rPr>
          <w:rFonts w:cs="Times New Roman"/>
          <w:szCs w:val="24"/>
        </w:rPr>
      </w:pPr>
      <w:r w:rsidRPr="00D06A7F">
        <w:rPr>
          <w:rFonts w:cs="Times New Roman"/>
          <w:szCs w:val="24"/>
        </w:rPr>
        <w:lastRenderedPageBreak/>
        <w:t xml:space="preserve">Mutantní rostlina </w:t>
      </w:r>
      <w:r w:rsidRPr="00D06A7F">
        <w:rPr>
          <w:rFonts w:cs="Times New Roman"/>
          <w:i/>
          <w:szCs w:val="24"/>
        </w:rPr>
        <w:t>phot1</w:t>
      </w:r>
      <w:r w:rsidRPr="00D06A7F">
        <w:rPr>
          <w:rFonts w:cs="Times New Roman"/>
          <w:szCs w:val="24"/>
        </w:rPr>
        <w:t xml:space="preserve"> postrádá fototropní reakci při ozáření nízkou intenzitou modrého světla. Mutant </w:t>
      </w:r>
      <w:r w:rsidRPr="00D06A7F">
        <w:rPr>
          <w:rFonts w:cs="Times New Roman"/>
          <w:i/>
          <w:szCs w:val="24"/>
        </w:rPr>
        <w:t>phot2</w:t>
      </w:r>
      <w:r w:rsidRPr="00D06A7F">
        <w:rPr>
          <w:rFonts w:cs="Times New Roman"/>
          <w:szCs w:val="24"/>
        </w:rPr>
        <w:t xml:space="preserve"> vykazoval normální fototropní reakci, avšak mutantní rostlina </w:t>
      </w:r>
      <w:r w:rsidRPr="00D06A7F">
        <w:rPr>
          <w:rFonts w:cs="Times New Roman"/>
          <w:i/>
          <w:szCs w:val="24"/>
        </w:rPr>
        <w:t>phot1/phot2</w:t>
      </w:r>
      <w:r w:rsidRPr="00D06A7F">
        <w:rPr>
          <w:rFonts w:cs="Times New Roman"/>
          <w:szCs w:val="24"/>
        </w:rPr>
        <w:t xml:space="preserve"> postrádala fototropní reakci, jak při ozáření nízkou intenzitou, tak vysokou intenzitou modrého světla. (Sakai </w:t>
      </w:r>
      <w:r w:rsidRPr="00D06A7F">
        <w:rPr>
          <w:rFonts w:cs="Times New Roman"/>
          <w:i/>
          <w:iCs/>
          <w:szCs w:val="24"/>
        </w:rPr>
        <w:t>et al.</w:t>
      </w:r>
      <w:r w:rsidRPr="00D06A7F">
        <w:rPr>
          <w:rFonts w:cs="Times New Roman"/>
          <w:szCs w:val="24"/>
        </w:rPr>
        <w:t xml:space="preserve">, 2001). </w:t>
      </w:r>
    </w:p>
    <w:p w:rsidR="007B67DF" w:rsidRPr="00D06A7F" w:rsidRDefault="007B67DF" w:rsidP="00273779">
      <w:pPr>
        <w:pStyle w:val="Nadpis3"/>
        <w:numPr>
          <w:ilvl w:val="2"/>
          <w:numId w:val="1"/>
        </w:numPr>
        <w:spacing w:after="100" w:afterAutospacing="1"/>
      </w:pPr>
      <w:bookmarkStart w:id="11" w:name="_Toc426029811"/>
      <w:r w:rsidRPr="00D06A7F">
        <w:t>Receptory červeného světla</w:t>
      </w:r>
      <w:bookmarkEnd w:id="11"/>
    </w:p>
    <w:p w:rsidR="007B67DF" w:rsidRPr="00D06A7F" w:rsidRDefault="007B67DF" w:rsidP="00273779">
      <w:pPr>
        <w:autoSpaceDE w:val="0"/>
        <w:autoSpaceDN w:val="0"/>
        <w:adjustRightInd w:val="0"/>
        <w:spacing w:after="100" w:afterAutospacing="1" w:line="360" w:lineRule="auto"/>
        <w:ind w:firstLine="708"/>
        <w:jc w:val="both"/>
        <w:rPr>
          <w:rFonts w:cs="Times New Roman"/>
          <w:szCs w:val="24"/>
        </w:rPr>
      </w:pPr>
      <w:r w:rsidRPr="00D06A7F">
        <w:rPr>
          <w:rFonts w:cs="Times New Roman"/>
          <w:szCs w:val="24"/>
        </w:rPr>
        <w:t>Fytochromy byly identifikovány jako receptory pro červené světlo. (Sullivan a Deng, 2003). Odpovědi těchto receptorů, které reagují na červené světlo a na dlouhovlnné červené světlo (far-red), zahrnují regulaci klíčení semen a deetiolizaci, regulaci velikosti stonků a listů. Mezi další patří reakce na za</w:t>
      </w:r>
      <w:r w:rsidR="00C61DE0">
        <w:rPr>
          <w:rFonts w:cs="Times New Roman"/>
          <w:szCs w:val="24"/>
        </w:rPr>
        <w:t xml:space="preserve">stínění (Schäfer </w:t>
      </w:r>
      <w:r w:rsidR="00C61DE0" w:rsidRPr="00C61DE0">
        <w:rPr>
          <w:rFonts w:cs="Times New Roman"/>
          <w:i/>
          <w:szCs w:val="24"/>
        </w:rPr>
        <w:t>et</w:t>
      </w:r>
      <w:r w:rsidR="00BE6442">
        <w:rPr>
          <w:rFonts w:cs="Times New Roman"/>
          <w:szCs w:val="24"/>
        </w:rPr>
        <w:t xml:space="preserve"> Nagy, 2006).</w:t>
      </w:r>
    </w:p>
    <w:p w:rsidR="007B67DF" w:rsidRPr="00D06A7F" w:rsidRDefault="007B67DF" w:rsidP="00273779">
      <w:pPr>
        <w:pStyle w:val="Nadpis3"/>
        <w:numPr>
          <w:ilvl w:val="2"/>
          <w:numId w:val="1"/>
        </w:numPr>
        <w:spacing w:after="100" w:afterAutospacing="1"/>
      </w:pPr>
      <w:bookmarkStart w:id="12" w:name="_Toc426029812"/>
      <w:r w:rsidRPr="00D06A7F">
        <w:t>Struktura fytochromů</w:t>
      </w:r>
      <w:bookmarkEnd w:id="12"/>
    </w:p>
    <w:p w:rsidR="007B67DF" w:rsidRPr="00D06A7F" w:rsidRDefault="007B67DF" w:rsidP="00273779">
      <w:pPr>
        <w:spacing w:after="0" w:line="360" w:lineRule="auto"/>
        <w:ind w:firstLine="709"/>
        <w:jc w:val="both"/>
        <w:rPr>
          <w:rFonts w:cs="Times New Roman"/>
          <w:szCs w:val="24"/>
        </w:rPr>
      </w:pPr>
      <w:r w:rsidRPr="00D06A7F">
        <w:rPr>
          <w:rFonts w:cs="Times New Roman"/>
          <w:szCs w:val="24"/>
        </w:rPr>
        <w:t xml:space="preserve">Fytochromy reagují na červené světlo intenzivněji než na modré světlo. Fytochromy jsou v rostlině regulační fotoreceptory, které zprostředkovávají účinky červeného světla na molekulární a fyziologické reakce. Absorbují světelné záření o délce 600 až 750 nm, což odpovídá červenému světlu. Fytochrom se vyskytuje jako dimer, který je tvořen ze dvou podjednotek. Jedna jednotka je apoprotein, což je polypeptidový řetězec o velikosti asi 125 kDa, druhá podjednotka je světlo absorbující pigmentová molekula chromofor – lineární tetrapyrrol.  Fytochrom je tvořen N-terminálním koncem, který obsahuje chromofor vázající bilin lyase doménu a PHY doménu, která stabilizuje fytochrom v Pfr formě. C-terminální konec je tvořen histamin kinase related doménou, která hraje důležitou roli v autentické fytochromové odpovědi. Mezi terminálními konci se nachází PAS doména, ve které se nachází jaderné lokalizační sekvence (NLSs), které umožňují transport aktivní formy fytochromu Pfr k jádru (Sullivan </w:t>
      </w:r>
      <w:r w:rsidRPr="00D06A7F">
        <w:rPr>
          <w:rFonts w:cs="Times New Roman"/>
          <w:i/>
          <w:szCs w:val="24"/>
        </w:rPr>
        <w:t>et</w:t>
      </w:r>
      <w:r w:rsidR="00BE6442">
        <w:rPr>
          <w:rFonts w:cs="Times New Roman"/>
          <w:szCs w:val="24"/>
        </w:rPr>
        <w:t xml:space="preserve"> Deng, 2003).</w:t>
      </w:r>
    </w:p>
    <w:p w:rsidR="007B67DF" w:rsidRPr="00D06A7F" w:rsidRDefault="007B67DF" w:rsidP="00273779">
      <w:pPr>
        <w:spacing w:after="0" w:line="360" w:lineRule="auto"/>
        <w:ind w:firstLine="709"/>
        <w:jc w:val="both"/>
        <w:rPr>
          <w:rFonts w:cs="Times New Roman"/>
          <w:szCs w:val="24"/>
        </w:rPr>
      </w:pPr>
      <w:r w:rsidRPr="00D06A7F">
        <w:rPr>
          <w:rFonts w:cs="Times New Roman"/>
          <w:szCs w:val="24"/>
        </w:rPr>
        <w:t xml:space="preserve">Fytochrom je syntetizován ve tmě v biologicky neaktivní formě Pr – absorbující červené světlo. Po ozáření červeným světlem se forma Pr mění na formu Pfr – absorbující far-red – tato forma je biologicky aktivní. Jednotlivé formy fytochromu se mohou přeměňovat v závislosti na vlnové délce záření. Například denní světlo je obohaceno o červené spektrum, a proto jsou fytochromy převážně ve formě Pfr, která se v období tmy mění na formu Pr. (Zeiger </w:t>
      </w:r>
      <w:r w:rsidRPr="00D06A7F">
        <w:rPr>
          <w:rFonts w:cs="Times New Roman"/>
          <w:i/>
          <w:szCs w:val="24"/>
        </w:rPr>
        <w:t>et</w:t>
      </w:r>
      <w:r w:rsidRPr="00D06A7F">
        <w:rPr>
          <w:rFonts w:cs="Times New Roman"/>
          <w:szCs w:val="24"/>
        </w:rPr>
        <w:t xml:space="preserve"> Taiz 2006)</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t xml:space="preserve">Geny pro PHYA jsou nejvíce přepisovány u sazenic, které rostou ve tmě, avšak pokud je sazenice vystavena světlu, jsou degradovány. Tedy světlo potlačuje expresi genu pro PHYA (Sineshchekov, 2004). Geny pro PHYB-E jsou přepisovány v mnohem nižších </w:t>
      </w:r>
      <w:r w:rsidRPr="00D06A7F">
        <w:rPr>
          <w:rFonts w:cs="Times New Roman"/>
          <w:szCs w:val="24"/>
        </w:rPr>
        <w:lastRenderedPageBreak/>
        <w:t xml:space="preserve">hodnotách, ale jejich hladina se při vystavení sazenic světlu nemění. Proto u sazenic rostoucích na světle jsou nejvíce přepisovány geny pro PHYB (Chen </w:t>
      </w:r>
      <w:r w:rsidRPr="00D06A7F">
        <w:rPr>
          <w:rFonts w:cs="Times New Roman"/>
          <w:i/>
          <w:szCs w:val="24"/>
        </w:rPr>
        <w:t xml:space="preserve">et </w:t>
      </w:r>
      <w:r w:rsidRPr="00D06A7F">
        <w:rPr>
          <w:rFonts w:cs="Times New Roman"/>
          <w:szCs w:val="24"/>
        </w:rPr>
        <w:t xml:space="preserve">Chory, 2011)      </w:t>
      </w:r>
    </w:p>
    <w:p w:rsidR="007B67DF" w:rsidRPr="00D06A7F" w:rsidRDefault="007B67DF" w:rsidP="007B67DF">
      <w:pPr>
        <w:spacing w:after="0" w:line="360" w:lineRule="auto"/>
        <w:jc w:val="both"/>
        <w:rPr>
          <w:rFonts w:cs="Times New Roman"/>
          <w:szCs w:val="24"/>
        </w:rPr>
      </w:pPr>
      <w:r w:rsidRPr="00D06A7F">
        <w:rPr>
          <w:rFonts w:cs="Times New Roman"/>
          <w:szCs w:val="24"/>
        </w:rPr>
        <w:t xml:space="preserve"> </w:t>
      </w:r>
      <w:r w:rsidRPr="00D06A7F">
        <w:rPr>
          <w:rFonts w:cs="Times New Roman"/>
          <w:szCs w:val="24"/>
        </w:rPr>
        <w:tab/>
        <w:t xml:space="preserve">Z toho odvozujeme, že existuje více forem fytochromů. Jsou fytochromy typu I, které jsou fotonestabilní, což znamená, že pokud jsou ozářeny bílým nebo červeným světlem, tak rychle degradují; do této skupiny patří PHYA. Dále máme fytochromy typu II, které jsou fotostabilní, do této skupiny patří PHYB-E. Každý z fytochromů má svoji vlastní funkci. (Clough </w:t>
      </w:r>
      <w:r w:rsidRPr="00D06A7F">
        <w:rPr>
          <w:rFonts w:cs="Times New Roman"/>
          <w:i/>
          <w:szCs w:val="24"/>
        </w:rPr>
        <w:t xml:space="preserve">et </w:t>
      </w:r>
      <w:r w:rsidRPr="00D06A7F">
        <w:rPr>
          <w:rFonts w:cs="Times New Roman"/>
          <w:szCs w:val="24"/>
        </w:rPr>
        <w:t>Vierstra, 1997; Quail, 1997)</w:t>
      </w:r>
    </w:p>
    <w:p w:rsidR="00654A4E" w:rsidRPr="00D06A7F" w:rsidRDefault="007B67DF" w:rsidP="00C61DE0">
      <w:pPr>
        <w:spacing w:after="0" w:line="360" w:lineRule="auto"/>
        <w:ind w:firstLine="708"/>
        <w:jc w:val="both"/>
        <w:rPr>
          <w:rFonts w:cs="Times New Roman"/>
          <w:szCs w:val="24"/>
        </w:rPr>
      </w:pPr>
      <w:r w:rsidRPr="00D06A7F">
        <w:rPr>
          <w:rFonts w:cs="Times New Roman"/>
          <w:szCs w:val="24"/>
        </w:rPr>
        <w:t xml:space="preserve">U </w:t>
      </w:r>
      <w:r w:rsidRPr="00C61DE0">
        <w:rPr>
          <w:rFonts w:cs="Times New Roman"/>
          <w:i/>
          <w:szCs w:val="24"/>
        </w:rPr>
        <w:t>Arabidopsis</w:t>
      </w:r>
      <w:r w:rsidRPr="00D06A7F">
        <w:rPr>
          <w:rFonts w:cs="Times New Roman"/>
          <w:szCs w:val="24"/>
        </w:rPr>
        <w:t xml:space="preserve"> byly objeveny geny kódující pět fytochromů, PHYA-PHYE. (Li et Chinnappa, 2003). U většiny rostlin jsou fytochromy přítomny pouze v jedné kopii, avšak u kukuřice je každý fytochrom duplikován. Kukuřice má tři typy fytochromů ve dvou kopiích, PHYA1, PHYA2, PHYB1, PHYB2, PHYC1, PHYC2. A z toho je pouze fytochromy A1, B1 a C1, které jsou exprimovány ve všech tkáních. Z těchto fytochromů jsou jen fytochromy A1 a B1 ovlivňováni světlem (Nagatani, 2010).</w:t>
      </w:r>
    </w:p>
    <w:p w:rsidR="007B67DF" w:rsidRPr="00654A4E" w:rsidRDefault="007B67DF" w:rsidP="00654A4E">
      <w:pPr>
        <w:pStyle w:val="Nadpis4"/>
        <w:numPr>
          <w:ilvl w:val="3"/>
          <w:numId w:val="1"/>
        </w:numPr>
        <w:spacing w:after="100" w:afterAutospacing="1"/>
        <w:rPr>
          <w:i w:val="0"/>
        </w:rPr>
      </w:pPr>
      <w:r w:rsidRPr="00654A4E">
        <w:rPr>
          <w:i w:val="0"/>
        </w:rPr>
        <w:t>Fytochrom B</w:t>
      </w:r>
    </w:p>
    <w:p w:rsidR="007B67DF" w:rsidRPr="00D06A7F" w:rsidRDefault="007B67DF" w:rsidP="00654A4E">
      <w:pPr>
        <w:spacing w:after="0" w:line="360" w:lineRule="auto"/>
        <w:ind w:firstLine="709"/>
        <w:jc w:val="both"/>
        <w:rPr>
          <w:rFonts w:cs="Times New Roman"/>
          <w:szCs w:val="24"/>
        </w:rPr>
      </w:pPr>
      <w:r w:rsidRPr="00D06A7F">
        <w:rPr>
          <w:rFonts w:cs="Times New Roman"/>
          <w:szCs w:val="24"/>
        </w:rPr>
        <w:t xml:space="preserve">Fytochrom B je v buňce rozdělen do cytoplazmy a jádra. Z poznatků je zřejmé, že biologicky neaktivní fytochrom B ve formě Pr je lokalizován v cytoplazmě, a to ve tmě. Pokud je však buňka vystavena světlu, tak se Pr mění na biologicky aktivní formu Pfr a je transportována do jádra. Ale i při těch nejoptimálnějších světelných podmínkách, které vyvolávají translokaci PHYB do jádra, je pouze 30% PHYB transportováno do jádra (Nagy </w:t>
      </w:r>
      <w:r w:rsidRPr="00D06A7F">
        <w:rPr>
          <w:rFonts w:cs="Times New Roman"/>
          <w:i/>
          <w:szCs w:val="24"/>
        </w:rPr>
        <w:t>et</w:t>
      </w:r>
      <w:r w:rsidRPr="00D06A7F">
        <w:rPr>
          <w:rFonts w:cs="Times New Roman"/>
          <w:szCs w:val="24"/>
        </w:rPr>
        <w:t xml:space="preserve"> Schafer, 2002). Mutanti, kteří mají vyřazený gen pro PHYB, byli izolováni už před mnoha lety. Bylo zjištěnou, že PHYB hraje zásadní roli u sazenic, které rostly pouze na červeném světle, ale nemají zásadní roli u sazenic, které rostlina na světle FR nebo na modrém světle. Fytochrom B má také zásadní roli v reakci nazývané únik ze stínu (shade avoidance response) způsobeném jinou rostlinou. Pokud je rostlina zastíněna, snižuje se množství červeného světla a tím pádem se Prf mění na Pr a hladina Prf a fytochromů klesá. Efekt vyhýbání se stínu byl zkoumán u rostlin, které mají inaktivovaný PHYB a bylo zjištěno, že rostliny ukazují značné oslabení ve vyhýbání se stínu (Franklin, 2009).</w:t>
      </w:r>
    </w:p>
    <w:p w:rsidR="007B67DF" w:rsidRPr="00D06A7F" w:rsidRDefault="007B67DF" w:rsidP="00654A4E">
      <w:pPr>
        <w:spacing w:after="0" w:line="360" w:lineRule="auto"/>
        <w:ind w:firstLine="709"/>
        <w:jc w:val="both"/>
        <w:rPr>
          <w:rFonts w:cs="Times New Roman"/>
          <w:szCs w:val="24"/>
        </w:rPr>
      </w:pPr>
      <w:r w:rsidRPr="00D06A7F">
        <w:rPr>
          <w:rFonts w:cs="Times New Roman"/>
          <w:szCs w:val="24"/>
        </w:rPr>
        <w:t xml:space="preserve">Mutanti ve fytochromech mají specifický znak ve dlouhém hypokotylu. Někteří mutanti, kteří mají defekt na odpovědi vyvolané R světlem (dlouhý hypokotyl), ale nemají souvislost s PHYB byli také izolováni. Například mutanti </w:t>
      </w:r>
      <w:r w:rsidRPr="00D06A7F">
        <w:rPr>
          <w:rFonts w:cs="Times New Roman"/>
          <w:i/>
          <w:szCs w:val="24"/>
        </w:rPr>
        <w:t>pef2</w:t>
      </w:r>
      <w:r w:rsidRPr="00D06A7F">
        <w:rPr>
          <w:rFonts w:cs="Times New Roman"/>
          <w:szCs w:val="24"/>
        </w:rPr>
        <w:t xml:space="preserve"> a </w:t>
      </w:r>
      <w:r w:rsidRPr="00D06A7F">
        <w:rPr>
          <w:rFonts w:cs="Times New Roman"/>
          <w:i/>
          <w:szCs w:val="24"/>
        </w:rPr>
        <w:t>pef3</w:t>
      </w:r>
      <w:r w:rsidRPr="00D06A7F">
        <w:rPr>
          <w:rFonts w:cs="Times New Roman"/>
          <w:szCs w:val="24"/>
        </w:rPr>
        <w:t xml:space="preserve">, kteří se také vyznačují dlouhým hypokotylem. Proto je tu možnost, že </w:t>
      </w:r>
      <w:r w:rsidRPr="00D06A7F">
        <w:rPr>
          <w:rFonts w:cs="Times New Roman"/>
          <w:i/>
          <w:szCs w:val="24"/>
        </w:rPr>
        <w:t>pef2</w:t>
      </w:r>
      <w:r w:rsidRPr="00D06A7F">
        <w:rPr>
          <w:rFonts w:cs="Times New Roman"/>
          <w:szCs w:val="24"/>
        </w:rPr>
        <w:t xml:space="preserve"> a </w:t>
      </w:r>
      <w:r w:rsidRPr="00D06A7F">
        <w:rPr>
          <w:rFonts w:cs="Times New Roman"/>
          <w:i/>
          <w:szCs w:val="24"/>
        </w:rPr>
        <w:t>pef3</w:t>
      </w:r>
      <w:r w:rsidRPr="00D06A7F">
        <w:rPr>
          <w:rFonts w:cs="Times New Roman"/>
          <w:szCs w:val="24"/>
        </w:rPr>
        <w:t xml:space="preserve"> mohou kódovat proteiny, které mají vliv na signální dráhu PHYB (Nagy </w:t>
      </w:r>
      <w:r w:rsidRPr="00D06A7F">
        <w:rPr>
          <w:rFonts w:cs="Times New Roman"/>
          <w:i/>
          <w:szCs w:val="24"/>
        </w:rPr>
        <w:t>et</w:t>
      </w:r>
      <w:r w:rsidRPr="00D06A7F">
        <w:rPr>
          <w:rFonts w:cs="Times New Roman"/>
          <w:szCs w:val="24"/>
        </w:rPr>
        <w:t xml:space="preserve"> Schafer, 2002). Další mutant, který se vyznačuje dlouhým hypokotylem je </w:t>
      </w:r>
      <w:r w:rsidRPr="00D06A7F">
        <w:rPr>
          <w:rFonts w:cs="Times New Roman"/>
          <w:i/>
          <w:szCs w:val="24"/>
        </w:rPr>
        <w:t>red1</w:t>
      </w:r>
      <w:r w:rsidRPr="00D06A7F">
        <w:rPr>
          <w:rFonts w:cs="Times New Roman"/>
          <w:szCs w:val="24"/>
        </w:rPr>
        <w:t xml:space="preserve">, tento mutant také nadměrně exprimuje PHYB a také je </w:t>
      </w:r>
      <w:r w:rsidRPr="00D06A7F">
        <w:rPr>
          <w:rFonts w:cs="Times New Roman"/>
          <w:szCs w:val="24"/>
        </w:rPr>
        <w:lastRenderedPageBreak/>
        <w:t xml:space="preserve">hypersenzitivní na R světlo. Mutanti </w:t>
      </w:r>
      <w:r w:rsidRPr="00D06A7F">
        <w:rPr>
          <w:rFonts w:cs="Times New Roman"/>
          <w:i/>
          <w:szCs w:val="24"/>
        </w:rPr>
        <w:t>red1</w:t>
      </w:r>
      <w:r w:rsidRPr="00D06A7F">
        <w:rPr>
          <w:rFonts w:cs="Times New Roman"/>
          <w:szCs w:val="24"/>
        </w:rPr>
        <w:t xml:space="preserve"> také špatně reagují na FR světelnou terapii. Toto naznačuje, že </w:t>
      </w:r>
      <w:r w:rsidRPr="00D06A7F">
        <w:rPr>
          <w:rFonts w:cs="Times New Roman"/>
          <w:i/>
          <w:szCs w:val="24"/>
        </w:rPr>
        <w:t>RED1</w:t>
      </w:r>
      <w:r w:rsidRPr="00D06A7F">
        <w:rPr>
          <w:rFonts w:cs="Times New Roman"/>
          <w:szCs w:val="24"/>
        </w:rPr>
        <w:t xml:space="preserve"> kóduje protein, který působí jako meziprodukt v signálních drahách zprostředkovaných PHYB (Wagner, 1997).</w:t>
      </w:r>
    </w:p>
    <w:p w:rsidR="007B67DF" w:rsidRPr="00D06A7F" w:rsidRDefault="007B67DF" w:rsidP="00C61DE0">
      <w:pPr>
        <w:spacing w:after="0" w:line="360" w:lineRule="auto"/>
        <w:ind w:firstLine="708"/>
        <w:jc w:val="both"/>
        <w:rPr>
          <w:rFonts w:cs="Times New Roman"/>
          <w:szCs w:val="24"/>
        </w:rPr>
      </w:pPr>
      <w:r w:rsidRPr="00D06A7F">
        <w:rPr>
          <w:rFonts w:cs="Times New Roman"/>
          <w:szCs w:val="24"/>
        </w:rPr>
        <w:t xml:space="preserve">Při výzkumu světelné signalizace byly objeveny tzv. PIF proteiny, které byly popsány jako ústřední hráči v transdukci červeného a daleko červeného světla, které je detekováno fytochromy (Castillon </w:t>
      </w:r>
      <w:r w:rsidRPr="00D06A7F">
        <w:rPr>
          <w:rFonts w:cs="Times New Roman"/>
          <w:i/>
          <w:szCs w:val="24"/>
        </w:rPr>
        <w:t>et al</w:t>
      </w:r>
      <w:r w:rsidRPr="00D06A7F">
        <w:rPr>
          <w:rFonts w:cs="Times New Roman"/>
          <w:szCs w:val="24"/>
        </w:rPr>
        <w:t xml:space="preserve">., 2007). PIF proteiny se váží na fytochromy a regulují tím buněčný růst (Leiver </w:t>
      </w:r>
      <w:r w:rsidRPr="00D06A7F">
        <w:rPr>
          <w:rFonts w:cs="Times New Roman"/>
          <w:i/>
          <w:szCs w:val="24"/>
        </w:rPr>
        <w:t>et</w:t>
      </w:r>
      <w:r w:rsidRPr="00D06A7F">
        <w:rPr>
          <w:rFonts w:cs="Times New Roman"/>
          <w:szCs w:val="24"/>
        </w:rPr>
        <w:t xml:space="preserve"> Monte, 2014). Pokud je rostlina ve tmě a tedy nejsou přítomny aktivní fytochromy, dochází k akumulaci PIF proteinu v jádře, což má za následek dlouhý hypokotyl a uzavřené háčky. Jakmile se však rostlina dostane na světlo, jsou neaktivní fytochromy převáděny na aktivní fytochromy, které jsou translokovány do jádra, kde vytváří fyzickou vazbu s PIF proteiny. Toto spojení má za následek přeprogramování transkripčních faktorů v buňce a iniciuje fotomorfologické změny, což je například otevření háčků, inhibice prodlužování hypokotylu (Leivar </w:t>
      </w:r>
      <w:r w:rsidRPr="00D06A7F">
        <w:rPr>
          <w:rFonts w:cs="Times New Roman"/>
          <w:i/>
          <w:szCs w:val="24"/>
        </w:rPr>
        <w:t>et</w:t>
      </w:r>
      <w:r w:rsidR="00C61DE0">
        <w:rPr>
          <w:rFonts w:cs="Times New Roman"/>
          <w:szCs w:val="24"/>
        </w:rPr>
        <w:t xml:space="preserve"> Quail, 2011).</w:t>
      </w:r>
    </w:p>
    <w:p w:rsidR="007B67DF" w:rsidRPr="00D06A7F" w:rsidRDefault="00C61DE0" w:rsidP="00654A4E">
      <w:pPr>
        <w:pStyle w:val="Nadpis3"/>
        <w:numPr>
          <w:ilvl w:val="2"/>
          <w:numId w:val="1"/>
        </w:numPr>
        <w:spacing w:after="100" w:afterAutospacing="1"/>
      </w:pPr>
      <w:bookmarkStart w:id="13" w:name="_Toc426029813"/>
      <w:r w:rsidRPr="00D06A7F">
        <w:t>Interakce</w:t>
      </w:r>
      <w:r w:rsidR="007B67DF" w:rsidRPr="00D06A7F">
        <w:t xml:space="preserve"> auxinu a světla</w:t>
      </w:r>
      <w:bookmarkEnd w:id="13"/>
    </w:p>
    <w:p w:rsidR="007B67DF" w:rsidRPr="00D06A7F" w:rsidRDefault="007B67DF" w:rsidP="00654A4E">
      <w:pPr>
        <w:spacing w:after="0" w:line="360" w:lineRule="auto"/>
        <w:ind w:firstLine="709"/>
        <w:jc w:val="both"/>
        <w:rPr>
          <w:rFonts w:cs="Times New Roman"/>
          <w:szCs w:val="24"/>
        </w:rPr>
      </w:pPr>
      <w:r w:rsidRPr="00D06A7F">
        <w:rPr>
          <w:rFonts w:cs="Times New Roman"/>
          <w:szCs w:val="24"/>
        </w:rPr>
        <w:t xml:space="preserve">Rostlinný vývoj je závislý na světle nebo na střídání světla a tmy. Světlo přímo ovlivňuje růst mezokotylu, koleptile, hypokotylu, klíčení semen a mnoho dalších procesů v růstu a vývoji rostliny. Dalším významným faktorem ve vývoji rostlin jsou hormony, a to především auxiny. Auxiny ovlivňují mnoho morfogenetických odpovědí a je zde předpoklad, že hladina auxinu v různých částech rostliny je ovlivněna množstvím a typem světla. Například, pokud je zdravá rostlina ovsa vystavena přímému záření červeného světla, je její koleoptile delší, než u rostliny, která byla vystavena modrému světlu. Zdá se tedy, že červené světlo ovlivňuje signál, díky kterému se tvoří ve tkáních rostlin auxin-receptorový komplex, který je odpovědný za růst těch částí rostliny, které jsou regulovány auxinem (Liverman </w:t>
      </w:r>
      <w:r w:rsidRPr="00D06A7F">
        <w:rPr>
          <w:rFonts w:cs="Times New Roman"/>
          <w:i/>
          <w:szCs w:val="24"/>
        </w:rPr>
        <w:t>et</w:t>
      </w:r>
      <w:r w:rsidRPr="00D06A7F">
        <w:rPr>
          <w:rFonts w:cs="Times New Roman"/>
          <w:szCs w:val="24"/>
        </w:rPr>
        <w:t xml:space="preserve"> Bonner 1953). </w:t>
      </w:r>
    </w:p>
    <w:p w:rsidR="007B67DF" w:rsidRPr="00D06A7F" w:rsidRDefault="007B67DF" w:rsidP="00654A4E">
      <w:pPr>
        <w:spacing w:after="0" w:line="360" w:lineRule="auto"/>
        <w:ind w:firstLine="709"/>
        <w:jc w:val="both"/>
        <w:rPr>
          <w:rFonts w:cs="Times New Roman"/>
          <w:szCs w:val="24"/>
        </w:rPr>
      </w:pPr>
      <w:r w:rsidRPr="00D06A7F">
        <w:rPr>
          <w:rFonts w:cs="Times New Roman"/>
          <w:szCs w:val="24"/>
        </w:rPr>
        <w:t xml:space="preserve">Zkoumání bylo prováděno například na slunečnici, kdy sledovanou částí rostliny byl hypokotyl. I zde se ukázalo, že světlo, a to zejména červené světlo, má vliv na hladiny auxinu v rostlině. Slunečnice byla vystavena tmě, červenému a modrému světlu. Podle očekávání délka hypokotylu a obsah auxinu ve tmě byl nejvyšší, avšak rozdíl mezi hladinami auxinu a délkou hypokotylu u červeného a modrého světla byl různý. Pokud byla rostlina vystavena po sedm dní červenému světlu, byl obsah auxinu a délka hypokotylu větší, než u rostlin, které byli vystaveny modrému světlu (Kurepin </w:t>
      </w:r>
      <w:r w:rsidRPr="00D06A7F">
        <w:rPr>
          <w:rFonts w:cs="Times New Roman"/>
          <w:i/>
          <w:szCs w:val="24"/>
        </w:rPr>
        <w:t>et al.</w:t>
      </w:r>
      <w:r w:rsidR="00BE6442">
        <w:rPr>
          <w:rFonts w:cs="Times New Roman"/>
          <w:szCs w:val="24"/>
        </w:rPr>
        <w:t>, 2007).</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lastRenderedPageBreak/>
        <w:t>Světlo rovněž snižuje intenzitu polárního transportu auxinu v koleoptilu rajčete (Liu,2011) a také bylo zjištěno, že světlo snižuje transport auxinu v me</w:t>
      </w:r>
      <w:r w:rsidR="00BE6442">
        <w:rPr>
          <w:rFonts w:cs="Times New Roman"/>
          <w:szCs w:val="24"/>
        </w:rPr>
        <w:t>zokotylu kukuřice (Iino, 1985).</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t xml:space="preserve">Vztah mezi endogenním auxinem a </w:t>
      </w:r>
      <w:r w:rsidRPr="002E06C1">
        <w:rPr>
          <w:rFonts w:cs="Times New Roman"/>
          <w:i/>
          <w:szCs w:val="24"/>
        </w:rPr>
        <w:t>ABP1</w:t>
      </w:r>
      <w:r w:rsidRPr="00D06A7F">
        <w:rPr>
          <w:rFonts w:cs="Times New Roman"/>
          <w:szCs w:val="24"/>
        </w:rPr>
        <w:t xml:space="preserve"> byl zkoumán Jones </w:t>
      </w:r>
      <w:r w:rsidRPr="00D06A7F">
        <w:rPr>
          <w:rFonts w:cs="Times New Roman"/>
          <w:i/>
          <w:iCs/>
          <w:szCs w:val="24"/>
        </w:rPr>
        <w:t xml:space="preserve">et al. </w:t>
      </w:r>
      <w:r w:rsidRPr="00D06A7F">
        <w:rPr>
          <w:rFonts w:cs="Times New Roman"/>
          <w:szCs w:val="24"/>
        </w:rPr>
        <w:t xml:space="preserve">(1998), který pozoroval růst koleoptile kukuřice na červeném světle. Rostliny, které byly pěstovány při kontinuálním červeném světla, měly hladinu endogenního auxinu podstatně nižší, než kontrolní rostliny. Z počátku nedocházelo ke změnám hladiny </w:t>
      </w:r>
      <w:r w:rsidRPr="002E06C1">
        <w:rPr>
          <w:rFonts w:cs="Times New Roman"/>
          <w:i/>
          <w:szCs w:val="24"/>
        </w:rPr>
        <w:t>ABP1</w:t>
      </w:r>
      <w:r w:rsidRPr="00D06A7F">
        <w:rPr>
          <w:rFonts w:cs="Times New Roman"/>
          <w:szCs w:val="24"/>
        </w:rPr>
        <w:t xml:space="preserve">, až po dvanáctihodinovém intenzivním záření se hladina </w:t>
      </w:r>
      <w:r w:rsidRPr="002E06C1">
        <w:rPr>
          <w:rFonts w:cs="Times New Roman"/>
          <w:i/>
          <w:szCs w:val="24"/>
        </w:rPr>
        <w:t>ABP1</w:t>
      </w:r>
      <w:r w:rsidRPr="00D06A7F">
        <w:rPr>
          <w:rFonts w:cs="Times New Roman"/>
          <w:szCs w:val="24"/>
        </w:rPr>
        <w:t xml:space="preserve"> snížila o 60% z původní hodnoty a tím se snížila i možnost vazby auxinu.</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t xml:space="preserve">Fellner </w:t>
      </w:r>
      <w:r w:rsidRPr="00D06A7F">
        <w:rPr>
          <w:rFonts w:cs="Times New Roman"/>
          <w:i/>
          <w:szCs w:val="24"/>
        </w:rPr>
        <w:t>et al</w:t>
      </w:r>
      <w:r w:rsidRPr="00D06A7F">
        <w:rPr>
          <w:rFonts w:cs="Times New Roman"/>
          <w:szCs w:val="24"/>
        </w:rPr>
        <w:t xml:space="preserve">. (2012) studovali interakci mezi expresí genů ABPs a expresí genů fytochromu B, a to pomocí mutantů s nefunkčními geny </w:t>
      </w:r>
      <w:r w:rsidRPr="00D06A7F">
        <w:rPr>
          <w:rFonts w:cs="Times New Roman"/>
          <w:i/>
          <w:szCs w:val="24"/>
        </w:rPr>
        <w:t>ABP1</w:t>
      </w:r>
      <w:r w:rsidRPr="00D06A7F">
        <w:rPr>
          <w:rFonts w:cs="Times New Roman"/>
          <w:szCs w:val="24"/>
        </w:rPr>
        <w:t xml:space="preserve"> nebo </w:t>
      </w:r>
      <w:r w:rsidRPr="00D06A7F">
        <w:rPr>
          <w:rFonts w:cs="Times New Roman"/>
          <w:i/>
          <w:szCs w:val="24"/>
        </w:rPr>
        <w:t>ABP4</w:t>
      </w:r>
      <w:r w:rsidRPr="00D06A7F">
        <w:rPr>
          <w:rFonts w:cs="Times New Roman"/>
          <w:szCs w:val="24"/>
        </w:rPr>
        <w:t xml:space="preserve">. Autoři došli k závěrům, že ABP neovlivňuje expresi </w:t>
      </w:r>
      <w:r w:rsidRPr="00D06A7F">
        <w:rPr>
          <w:rFonts w:cs="Times New Roman"/>
          <w:i/>
          <w:szCs w:val="24"/>
        </w:rPr>
        <w:t>PHYA</w:t>
      </w:r>
      <w:r w:rsidRPr="00D06A7F">
        <w:rPr>
          <w:rFonts w:cs="Times New Roman"/>
          <w:szCs w:val="24"/>
        </w:rPr>
        <w:t xml:space="preserve">, ale byla potlačena exprese genu pro </w:t>
      </w:r>
      <w:r w:rsidRPr="00D06A7F">
        <w:rPr>
          <w:rFonts w:cs="Times New Roman"/>
          <w:i/>
          <w:szCs w:val="24"/>
        </w:rPr>
        <w:t>PHYB</w:t>
      </w:r>
      <w:r w:rsidRPr="00D06A7F">
        <w:rPr>
          <w:rFonts w:cs="Times New Roman"/>
          <w:szCs w:val="24"/>
        </w:rPr>
        <w:t xml:space="preserve">. </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t xml:space="preserve">Vliv světla na expresi </w:t>
      </w:r>
      <w:r w:rsidRPr="00A1779F">
        <w:rPr>
          <w:rFonts w:cs="Times New Roman"/>
          <w:i/>
          <w:szCs w:val="24"/>
        </w:rPr>
        <w:t>ABP1</w:t>
      </w:r>
      <w:r w:rsidRPr="00D06A7F">
        <w:rPr>
          <w:rFonts w:cs="Times New Roman"/>
          <w:szCs w:val="24"/>
        </w:rPr>
        <w:t xml:space="preserve"> v mezokotylu nebyl nijak prokázán, protože exprese genů </w:t>
      </w:r>
      <w:r w:rsidRPr="00D06A7F">
        <w:rPr>
          <w:rFonts w:cs="Times New Roman"/>
          <w:i/>
          <w:szCs w:val="24"/>
        </w:rPr>
        <w:t xml:space="preserve">ABP1 </w:t>
      </w:r>
      <w:r w:rsidRPr="00D06A7F">
        <w:rPr>
          <w:rFonts w:cs="Times New Roman"/>
          <w:szCs w:val="24"/>
        </w:rPr>
        <w:t xml:space="preserve">byla stejná u všech typů světla (tma, červené a far-red světlo). Avšak exprese </w:t>
      </w:r>
      <w:r w:rsidRPr="00D06A7F">
        <w:rPr>
          <w:rFonts w:cs="Times New Roman"/>
          <w:i/>
          <w:szCs w:val="24"/>
        </w:rPr>
        <w:t>ABP4</w:t>
      </w:r>
      <w:r w:rsidRPr="00D06A7F">
        <w:rPr>
          <w:rFonts w:cs="Times New Roman"/>
          <w:szCs w:val="24"/>
        </w:rPr>
        <w:t xml:space="preserve"> v mezokotylu kukuřice byla výrazně vyšší u rostlin, které byly vystaveny červenému nebo far-red světlu. Poté bylo prokázáno, že pokud je exprese </w:t>
      </w:r>
      <w:r w:rsidRPr="00D06A7F">
        <w:rPr>
          <w:rFonts w:cs="Times New Roman"/>
          <w:i/>
          <w:szCs w:val="24"/>
        </w:rPr>
        <w:t>APB4</w:t>
      </w:r>
      <w:r w:rsidRPr="00D06A7F">
        <w:rPr>
          <w:rFonts w:cs="Times New Roman"/>
          <w:szCs w:val="24"/>
        </w:rPr>
        <w:t xml:space="preserve"> potlačena je potlačen i prodlužovací růst, který je regulován červeným nebo fer-red světlem (Fellner et kol, 2012.)</w:t>
      </w:r>
    </w:p>
    <w:p w:rsidR="007B67DF" w:rsidRPr="00D06A7F" w:rsidRDefault="007B67DF" w:rsidP="007B67DF">
      <w:pPr>
        <w:spacing w:after="0" w:line="360" w:lineRule="auto"/>
        <w:ind w:firstLine="708"/>
        <w:jc w:val="both"/>
        <w:rPr>
          <w:rFonts w:cs="Times New Roman"/>
          <w:szCs w:val="24"/>
        </w:rPr>
      </w:pPr>
      <w:r w:rsidRPr="00D06A7F">
        <w:rPr>
          <w:rFonts w:cs="Times New Roman"/>
          <w:szCs w:val="24"/>
        </w:rPr>
        <w:t xml:space="preserve">Fotomorfogeneze a PAT jsou zřejmě spojeny přes protein BIG/DOC1/TIR3. Transkripce proteinu BIG/DOC1/TIR3 je regulována světlem. </w:t>
      </w:r>
      <w:r w:rsidRPr="00D06A7F">
        <w:rPr>
          <w:rFonts w:cs="Times New Roman"/>
          <w:i/>
          <w:szCs w:val="24"/>
        </w:rPr>
        <w:t>Doc1</w:t>
      </w:r>
      <w:r w:rsidRPr="00D06A7F">
        <w:rPr>
          <w:rFonts w:cs="Times New Roman"/>
          <w:szCs w:val="24"/>
        </w:rPr>
        <w:t xml:space="preserve"> mutant poté způsobuje transkripci genů ovládané světlem i ve tmě, což naznačuje, že DOC1 protein hraje určitou úlohu ve fotomorfogenezi. Mutanti </w:t>
      </w:r>
      <w:r w:rsidRPr="00D06A7F">
        <w:rPr>
          <w:rFonts w:cs="Times New Roman"/>
          <w:i/>
          <w:szCs w:val="24"/>
        </w:rPr>
        <w:t>tir3</w:t>
      </w:r>
      <w:r w:rsidRPr="00D06A7F">
        <w:rPr>
          <w:rFonts w:cs="Times New Roman"/>
          <w:szCs w:val="24"/>
        </w:rPr>
        <w:t xml:space="preserve"> jsou známí mnohočetnými fenotypy, což je zřejmě díky jeho význačné roli v transportu auxinu vně buňky (Schäfer a Nagy, 2006).</w:t>
      </w:r>
    </w:p>
    <w:p w:rsidR="00E6053D" w:rsidRDefault="00E6053D" w:rsidP="00A1351C">
      <w:pPr>
        <w:spacing w:after="0" w:line="360" w:lineRule="auto"/>
        <w:jc w:val="both"/>
        <w:rPr>
          <w:rFonts w:cs="Times New Roman"/>
          <w:szCs w:val="24"/>
        </w:rPr>
      </w:pPr>
      <w:r>
        <w:rPr>
          <w:rFonts w:cs="Times New Roman"/>
          <w:szCs w:val="24"/>
        </w:rPr>
        <w:br w:type="page"/>
      </w:r>
    </w:p>
    <w:p w:rsidR="00E6053D" w:rsidRPr="00E927A6" w:rsidRDefault="00E6053D" w:rsidP="00E6053D">
      <w:pPr>
        <w:pStyle w:val="Nadpis1"/>
        <w:numPr>
          <w:ilvl w:val="0"/>
          <w:numId w:val="1"/>
        </w:numPr>
      </w:pPr>
      <w:bookmarkStart w:id="14" w:name="_Toc426029814"/>
      <w:r w:rsidRPr="00E927A6">
        <w:lastRenderedPageBreak/>
        <w:t>Materiál a metody</w:t>
      </w:r>
      <w:bookmarkEnd w:id="14"/>
    </w:p>
    <w:p w:rsidR="00E6053D" w:rsidRPr="00E927A6" w:rsidRDefault="00E6053D" w:rsidP="00E6053D">
      <w:pPr>
        <w:pStyle w:val="Nadpis2"/>
        <w:numPr>
          <w:ilvl w:val="1"/>
          <w:numId w:val="1"/>
        </w:numPr>
        <w:spacing w:after="100" w:afterAutospacing="1"/>
      </w:pPr>
      <w:bookmarkStart w:id="15" w:name="_Toc426029815"/>
      <w:r w:rsidRPr="00E927A6">
        <w:t>Rostlinný materiál</w:t>
      </w:r>
      <w:bookmarkEnd w:id="15"/>
    </w:p>
    <w:p w:rsidR="00E6053D" w:rsidRPr="00E927A6" w:rsidRDefault="00E6053D" w:rsidP="00E6053D">
      <w:pPr>
        <w:spacing w:after="100" w:afterAutospacing="1" w:line="360" w:lineRule="auto"/>
        <w:ind w:firstLine="708"/>
        <w:jc w:val="both"/>
        <w:rPr>
          <w:rFonts w:cs="Times New Roman"/>
          <w:szCs w:val="24"/>
        </w:rPr>
      </w:pPr>
      <w:r>
        <w:rPr>
          <w:rFonts w:cs="Times New Roman"/>
          <w:szCs w:val="24"/>
        </w:rPr>
        <w:t>K experimentům byla použita semena</w:t>
      </w:r>
      <w:r w:rsidRPr="00E927A6">
        <w:rPr>
          <w:rFonts w:cs="Times New Roman"/>
          <w:szCs w:val="24"/>
        </w:rPr>
        <w:t xml:space="preserve"> mutant</w:t>
      </w:r>
      <w:r>
        <w:rPr>
          <w:rFonts w:cs="Times New Roman"/>
          <w:szCs w:val="24"/>
        </w:rPr>
        <w:t>a</w:t>
      </w:r>
      <w:r w:rsidRPr="00E927A6">
        <w:rPr>
          <w:rFonts w:cs="Times New Roman"/>
          <w:szCs w:val="24"/>
        </w:rPr>
        <w:t xml:space="preserve"> </w:t>
      </w:r>
      <w:r w:rsidRPr="00E927A6">
        <w:rPr>
          <w:rFonts w:cs="Times New Roman"/>
          <w:i/>
          <w:szCs w:val="24"/>
        </w:rPr>
        <w:t>elm-1</w:t>
      </w:r>
      <w:r>
        <w:rPr>
          <w:rFonts w:cs="Times New Roman"/>
          <w:szCs w:val="24"/>
        </w:rPr>
        <w:t xml:space="preserve"> (</w:t>
      </w:r>
      <w:r>
        <w:rPr>
          <w:rFonts w:cs="Times New Roman"/>
          <w:i/>
          <w:szCs w:val="24"/>
        </w:rPr>
        <w:t>elongated mezoc</w:t>
      </w:r>
      <w:r w:rsidRPr="0013568C">
        <w:rPr>
          <w:rFonts w:cs="Times New Roman"/>
          <w:i/>
          <w:szCs w:val="24"/>
        </w:rPr>
        <w:t>otyl 1</w:t>
      </w:r>
      <w:r>
        <w:rPr>
          <w:rFonts w:cs="Times New Roman"/>
          <w:szCs w:val="24"/>
        </w:rPr>
        <w:t xml:space="preserve">) kukuřice seté </w:t>
      </w:r>
      <w:r>
        <w:rPr>
          <w:rFonts w:cs="Times New Roman"/>
          <w:i/>
          <w:szCs w:val="24"/>
        </w:rPr>
        <w:t>Zea ma</w:t>
      </w:r>
      <w:r w:rsidRPr="0013568C">
        <w:rPr>
          <w:rFonts w:cs="Times New Roman"/>
          <w:i/>
          <w:szCs w:val="24"/>
        </w:rPr>
        <w:t>ys L.</w:t>
      </w:r>
      <w:r w:rsidRPr="00E927A6">
        <w:rPr>
          <w:rFonts w:cs="Times New Roman"/>
          <w:szCs w:val="24"/>
        </w:rPr>
        <w:t xml:space="preserve"> a</w:t>
      </w:r>
      <w:r>
        <w:rPr>
          <w:rFonts w:cs="Times New Roman"/>
          <w:szCs w:val="24"/>
        </w:rPr>
        <w:t xml:space="preserve"> semena příslušné</w:t>
      </w:r>
      <w:r w:rsidRPr="00E927A6">
        <w:rPr>
          <w:rFonts w:cs="Times New Roman"/>
          <w:szCs w:val="24"/>
        </w:rPr>
        <w:t xml:space="preserve"> kontrolní </w:t>
      </w:r>
      <w:r>
        <w:rPr>
          <w:rFonts w:cs="Times New Roman"/>
          <w:szCs w:val="24"/>
        </w:rPr>
        <w:t xml:space="preserve">izogenické linie </w:t>
      </w:r>
      <w:r w:rsidRPr="00E927A6">
        <w:rPr>
          <w:rFonts w:cs="Times New Roman"/>
          <w:szCs w:val="24"/>
        </w:rPr>
        <w:t>B-73</w:t>
      </w:r>
      <w:r>
        <w:rPr>
          <w:rFonts w:cs="Times New Roman"/>
          <w:szCs w:val="24"/>
        </w:rPr>
        <w:t xml:space="preserve"> (WT)</w:t>
      </w:r>
      <w:r w:rsidRPr="00E927A6">
        <w:rPr>
          <w:rFonts w:cs="Times New Roman"/>
          <w:szCs w:val="24"/>
        </w:rPr>
        <w:t>.</w:t>
      </w:r>
      <w:r>
        <w:rPr>
          <w:rFonts w:cs="Times New Roman"/>
          <w:szCs w:val="24"/>
        </w:rPr>
        <w:t xml:space="preserve"> Mutant </w:t>
      </w:r>
      <w:r w:rsidRPr="0013568C">
        <w:rPr>
          <w:rFonts w:cs="Times New Roman"/>
          <w:i/>
          <w:szCs w:val="24"/>
        </w:rPr>
        <w:t>elm1</w:t>
      </w:r>
      <w:r>
        <w:rPr>
          <w:rFonts w:cs="Times New Roman"/>
          <w:szCs w:val="24"/>
        </w:rPr>
        <w:t xml:space="preserve"> je mutant s deficitem ve fytochromu. Tento typ mutanta nemá schopnost převést biliverdin </w:t>
      </w:r>
      <w:r w:rsidRPr="00F75F1A">
        <w:rPr>
          <w:rFonts w:cs="Times New Roman"/>
          <w:szCs w:val="24"/>
        </w:rPr>
        <w:t>IXα</w:t>
      </w:r>
      <w:r>
        <w:rPr>
          <w:rFonts w:cs="Times New Roman"/>
          <w:szCs w:val="24"/>
        </w:rPr>
        <w:t xml:space="preserve">  na </w:t>
      </w:r>
      <w:r w:rsidRPr="00F75F1A">
        <w:rPr>
          <w:rFonts w:cs="Times New Roman"/>
          <w:szCs w:val="24"/>
        </w:rPr>
        <w:t>3Z-phytochromobilin</w:t>
      </w:r>
      <w:r>
        <w:rPr>
          <w:rFonts w:cs="Times New Roman"/>
          <w:szCs w:val="24"/>
        </w:rPr>
        <w:t xml:space="preserve"> a zabraňuje tedy syntéze aktivních fytochromů (Sawers </w:t>
      </w:r>
      <w:r w:rsidRPr="00A1779F">
        <w:rPr>
          <w:rFonts w:cs="Times New Roman"/>
          <w:i/>
          <w:szCs w:val="24"/>
        </w:rPr>
        <w:t>et al</w:t>
      </w:r>
      <w:r>
        <w:rPr>
          <w:rFonts w:cs="Times New Roman"/>
          <w:szCs w:val="24"/>
        </w:rPr>
        <w:t>.</w:t>
      </w:r>
      <w:r w:rsidR="00A1779F">
        <w:rPr>
          <w:rFonts w:cs="Times New Roman"/>
          <w:szCs w:val="24"/>
        </w:rPr>
        <w:t>,</w:t>
      </w:r>
      <w:r>
        <w:rPr>
          <w:rFonts w:cs="Times New Roman"/>
          <w:szCs w:val="24"/>
        </w:rPr>
        <w:t xml:space="preserve"> 2002). Semena mutanta i kontrolní linie byla laskavě poskytnuta </w:t>
      </w:r>
      <w:r w:rsidRPr="006053D1">
        <w:rPr>
          <w:rFonts w:cs="Times New Roman"/>
          <w:szCs w:val="24"/>
        </w:rPr>
        <w:t>Thomas</w:t>
      </w:r>
      <w:r>
        <w:rPr>
          <w:rFonts w:cs="Times New Roman"/>
          <w:szCs w:val="24"/>
        </w:rPr>
        <w:t>em</w:t>
      </w:r>
      <w:r w:rsidRPr="006053D1">
        <w:rPr>
          <w:rFonts w:cs="Times New Roman"/>
          <w:szCs w:val="24"/>
        </w:rPr>
        <w:t xml:space="preserve"> P. Brutnell</w:t>
      </w:r>
      <w:r>
        <w:rPr>
          <w:rFonts w:cs="Times New Roman"/>
          <w:szCs w:val="24"/>
        </w:rPr>
        <w:t>em</w:t>
      </w:r>
      <w:r w:rsidRPr="006053D1">
        <w:rPr>
          <w:rFonts w:cs="Times New Roman"/>
          <w:szCs w:val="24"/>
        </w:rPr>
        <w:t xml:space="preserve"> (Cornell University, Ithaca, NY).</w:t>
      </w:r>
    </w:p>
    <w:p w:rsidR="00E6053D" w:rsidRPr="00E927A6" w:rsidRDefault="00E6053D" w:rsidP="00E6053D">
      <w:pPr>
        <w:pStyle w:val="Nadpis2"/>
        <w:numPr>
          <w:ilvl w:val="1"/>
          <w:numId w:val="1"/>
        </w:numPr>
        <w:spacing w:after="100" w:afterAutospacing="1"/>
      </w:pPr>
      <w:bookmarkStart w:id="16" w:name="_Toc426029816"/>
      <w:r w:rsidRPr="00E927A6">
        <w:t xml:space="preserve">Růstové experimenty </w:t>
      </w:r>
      <w:r w:rsidRPr="00D22BA1">
        <w:rPr>
          <w:i/>
        </w:rPr>
        <w:t>in vitro</w:t>
      </w:r>
      <w:bookmarkEnd w:id="16"/>
    </w:p>
    <w:p w:rsidR="00E6053D" w:rsidRDefault="00E6053D" w:rsidP="00E6053D">
      <w:pPr>
        <w:spacing w:after="100" w:afterAutospacing="1" w:line="360" w:lineRule="auto"/>
        <w:jc w:val="both"/>
        <w:rPr>
          <w:rFonts w:cs="Times New Roman"/>
          <w:szCs w:val="24"/>
        </w:rPr>
      </w:pPr>
      <w:r w:rsidRPr="00E927A6">
        <w:rPr>
          <w:rFonts w:cs="Times New Roman"/>
          <w:szCs w:val="24"/>
        </w:rPr>
        <w:tab/>
        <w:t>Semena kontrolní rostliny (WT) a mutanta</w:t>
      </w:r>
      <w:r>
        <w:rPr>
          <w:rFonts w:cs="Times New Roman"/>
          <w:szCs w:val="24"/>
        </w:rPr>
        <w:t xml:space="preserve"> </w:t>
      </w:r>
      <w:r>
        <w:rPr>
          <w:rFonts w:cs="Times New Roman"/>
          <w:i/>
          <w:szCs w:val="24"/>
        </w:rPr>
        <w:t>elm1</w:t>
      </w:r>
      <w:r w:rsidRPr="00E927A6">
        <w:rPr>
          <w:rFonts w:cs="Times New Roman"/>
          <w:szCs w:val="24"/>
        </w:rPr>
        <w:t xml:space="preserve"> byla sterilizována ve sterilní plastové zkumavce. Sterilizace probíhala v několika krocích. Nejprve</w:t>
      </w:r>
      <w:r>
        <w:rPr>
          <w:rFonts w:cs="Times New Roman"/>
          <w:szCs w:val="24"/>
        </w:rPr>
        <w:t xml:space="preserve"> byla semena sterilizována v 70% etanolu</w:t>
      </w:r>
      <w:r w:rsidRPr="00E927A6">
        <w:rPr>
          <w:rFonts w:cs="Times New Roman"/>
          <w:szCs w:val="24"/>
        </w:rPr>
        <w:t xml:space="preserve"> po dobu 3 minut intenzivního třepání. Poté byl etanol </w:t>
      </w:r>
      <w:r>
        <w:rPr>
          <w:rFonts w:cs="Times New Roman"/>
          <w:szCs w:val="24"/>
        </w:rPr>
        <w:t>odstraněn a semena byla 6-</w:t>
      </w:r>
      <w:r w:rsidRPr="00E927A6">
        <w:rPr>
          <w:rFonts w:cs="Times New Roman"/>
          <w:szCs w:val="24"/>
        </w:rPr>
        <w:t xml:space="preserve">krát promyta sterilní destilovanou vodou. </w:t>
      </w:r>
      <w:r>
        <w:rPr>
          <w:rFonts w:cs="Times New Roman"/>
          <w:szCs w:val="24"/>
        </w:rPr>
        <w:t>Poté byla semena přemístěna do</w:t>
      </w:r>
      <w:r w:rsidRPr="00E927A6">
        <w:rPr>
          <w:rFonts w:cs="Times New Roman"/>
          <w:szCs w:val="24"/>
        </w:rPr>
        <w:t xml:space="preserve"> </w:t>
      </w:r>
      <w:r>
        <w:rPr>
          <w:rFonts w:cs="Times New Roman"/>
          <w:szCs w:val="24"/>
        </w:rPr>
        <w:t>Erlenmayerovy baňky, zalita roztokem Savo (2,8% NaClO - 0,6 l savo, 0,4 l voda, Biochemie).</w:t>
      </w:r>
      <w:r w:rsidRPr="00E927A6">
        <w:rPr>
          <w:rFonts w:cs="Times New Roman"/>
          <w:szCs w:val="24"/>
        </w:rPr>
        <w:t xml:space="preserve"> </w:t>
      </w:r>
      <w:r>
        <w:rPr>
          <w:rFonts w:cs="Times New Roman"/>
          <w:szCs w:val="24"/>
        </w:rPr>
        <w:t>Erlenmayerova</w:t>
      </w:r>
      <w:r w:rsidRPr="00E927A6">
        <w:rPr>
          <w:rFonts w:cs="Times New Roman"/>
          <w:szCs w:val="24"/>
        </w:rPr>
        <w:t xml:space="preserve"> baňka byl</w:t>
      </w:r>
      <w:r>
        <w:rPr>
          <w:rFonts w:cs="Times New Roman"/>
          <w:szCs w:val="24"/>
        </w:rPr>
        <w:t>a umístěna na třepačku, kde byla</w:t>
      </w:r>
      <w:r w:rsidRPr="00E927A6">
        <w:rPr>
          <w:rFonts w:cs="Times New Roman"/>
          <w:szCs w:val="24"/>
        </w:rPr>
        <w:t xml:space="preserve"> semena intenzivně třepána po dobu 35 minut.</w:t>
      </w:r>
      <w:r>
        <w:rPr>
          <w:rFonts w:cs="Times New Roman"/>
          <w:szCs w:val="24"/>
        </w:rPr>
        <w:t xml:space="preserve"> Po uplynutí dané doby byl roztok Sava odlit</w:t>
      </w:r>
      <w:r w:rsidRPr="00E927A6">
        <w:rPr>
          <w:rFonts w:cs="Times New Roman"/>
          <w:szCs w:val="24"/>
        </w:rPr>
        <w:t xml:space="preserve"> a semena byla promyta 6-10 krát sterilní destilov</w:t>
      </w:r>
      <w:r>
        <w:rPr>
          <w:rFonts w:cs="Times New Roman"/>
          <w:szCs w:val="24"/>
        </w:rPr>
        <w:t>anou vodou. Poté se pracovalo ve</w:t>
      </w:r>
      <w:r w:rsidRPr="00E927A6">
        <w:rPr>
          <w:rFonts w:cs="Times New Roman"/>
          <w:szCs w:val="24"/>
        </w:rPr>
        <w:t xml:space="preserve"> sterilní</w:t>
      </w:r>
      <w:r>
        <w:rPr>
          <w:rFonts w:cs="Times New Roman"/>
          <w:szCs w:val="24"/>
        </w:rPr>
        <w:t>m prostředí. Semena byla vyseta</w:t>
      </w:r>
      <w:r w:rsidRPr="00E927A6">
        <w:rPr>
          <w:rFonts w:cs="Times New Roman"/>
          <w:szCs w:val="24"/>
        </w:rPr>
        <w:t xml:space="preserve"> pomocí pinzety do steriln</w:t>
      </w:r>
      <w:r>
        <w:rPr>
          <w:rFonts w:cs="Times New Roman"/>
          <w:szCs w:val="24"/>
        </w:rPr>
        <w:t>ích Magenta GA7 boxů (77x77x196mm</w:t>
      </w:r>
      <w:r w:rsidRPr="00E927A6">
        <w:rPr>
          <w:rFonts w:cs="Times New Roman"/>
          <w:szCs w:val="24"/>
        </w:rPr>
        <w:t>,</w:t>
      </w:r>
      <w:r>
        <w:rPr>
          <w:rFonts w:cs="Times New Roman"/>
          <w:szCs w:val="24"/>
        </w:rPr>
        <w:t xml:space="preserve"> Sigma-Aldrich, Praha, Česká republika), na základní růstové médium Murashige and Skoog </w:t>
      </w:r>
      <w:r w:rsidRPr="00E927A6">
        <w:rPr>
          <w:rFonts w:cs="Times New Roman"/>
          <w:szCs w:val="24"/>
        </w:rPr>
        <w:t>(Murashige a Skoog, 1962</w:t>
      </w:r>
      <w:r>
        <w:rPr>
          <w:rFonts w:cs="Times New Roman"/>
          <w:szCs w:val="24"/>
        </w:rPr>
        <w:t>; Caisson-labs, USA, MSP01-50LT). V každém boxu bylo</w:t>
      </w:r>
      <w:r w:rsidRPr="00E927A6">
        <w:rPr>
          <w:rFonts w:cs="Times New Roman"/>
          <w:szCs w:val="24"/>
        </w:rPr>
        <w:t xml:space="preserve"> 80</w:t>
      </w:r>
      <w:r>
        <w:rPr>
          <w:rFonts w:cs="Times New Roman"/>
          <w:szCs w:val="24"/>
        </w:rPr>
        <w:t xml:space="preserve"> </w:t>
      </w:r>
      <w:r w:rsidRPr="00E927A6">
        <w:rPr>
          <w:rFonts w:cs="Times New Roman"/>
          <w:szCs w:val="24"/>
        </w:rPr>
        <w:t>ml</w:t>
      </w:r>
      <w:r>
        <w:rPr>
          <w:rFonts w:cs="Times New Roman"/>
          <w:szCs w:val="24"/>
        </w:rPr>
        <w:t xml:space="preserve"> média</w:t>
      </w:r>
      <w:r w:rsidRPr="00E927A6">
        <w:rPr>
          <w:rFonts w:cs="Times New Roman"/>
          <w:szCs w:val="24"/>
        </w:rPr>
        <w:t xml:space="preserve">. </w:t>
      </w:r>
      <w:r>
        <w:rPr>
          <w:rFonts w:cs="Times New Roman"/>
          <w:szCs w:val="24"/>
        </w:rPr>
        <w:t xml:space="preserve">Pro přípravu média bylo použito 2l destilované vody, 20 g sacharózy, 8,66 g MS média (Sigma-Aldrich, USA, M5524), 390,4 mg MES pufru (Caisson-labs, USA, MSP01-50LT). Do třílitrové Erlenmayerovy baňky byla nalita destilovaná voda a za stálého míchání byly přidávány jednotlivé složky média, dokud se úplně nerozpustily. Po rozpuštění jednotlivých složek bylo pH média upraveno pomocí 1M KOH na hodnotu pH 6,1. Médium bylo rozděleno po 400 ml do půllitrových termoláhví, do kterých byl před nalitím média nasypáno 2,8 g phytoagaru (Duchefa Biochemie, Nizozemsko, P1003). Médium bylo sterilizováno autoklávováním. Po vysetí semen byly Magenta boxy uzavřeny a vloženy do růstových komor s kontinuální červeným nebo modrým světlem.  Magenta boxy se semeny, která měla klíčit ve tmě, byly zabaleny do hliníkové fólie a uloženy do jedné z růstových komor. Po 3-4 dnech byla na stěně boxu označena vyklíčená semena. Po sedmi dnech od vysetí byly rostlinky, které vyrostly ze semen klíčících ve stejnou dobu, </w:t>
      </w:r>
      <w:r>
        <w:rPr>
          <w:rFonts w:cs="Times New Roman"/>
          <w:szCs w:val="24"/>
        </w:rPr>
        <w:lastRenderedPageBreak/>
        <w:t>vyjmuty pinzetou a změřeny pravítkem s přesností na 1 mm. Na rostlině byla měřena délka koleoptile, mezokotylu, hlavního kořene, dé</w:t>
      </w:r>
      <w:r w:rsidR="00BE6442">
        <w:rPr>
          <w:rFonts w:cs="Times New Roman"/>
          <w:szCs w:val="24"/>
        </w:rPr>
        <w:t>lka a počet seminálních kořenů.</w:t>
      </w:r>
    </w:p>
    <w:p w:rsidR="00E6053D" w:rsidRPr="0058168B" w:rsidRDefault="00E6053D" w:rsidP="00E6053D">
      <w:pPr>
        <w:pStyle w:val="Nadpis2"/>
        <w:numPr>
          <w:ilvl w:val="1"/>
          <w:numId w:val="1"/>
        </w:numPr>
        <w:spacing w:after="100" w:afterAutospacing="1"/>
      </w:pPr>
      <w:bookmarkStart w:id="17" w:name="_Toc426029817"/>
      <w:r w:rsidRPr="0058168B">
        <w:t>Studium genové exprese</w:t>
      </w:r>
      <w:bookmarkEnd w:id="17"/>
    </w:p>
    <w:p w:rsidR="00E6053D" w:rsidRDefault="00E6053D" w:rsidP="00E6053D">
      <w:pPr>
        <w:spacing w:after="100" w:afterAutospacing="1" w:line="360" w:lineRule="auto"/>
        <w:jc w:val="both"/>
        <w:rPr>
          <w:rFonts w:cs="Times New Roman"/>
          <w:szCs w:val="24"/>
        </w:rPr>
      </w:pPr>
      <w:r>
        <w:rPr>
          <w:rFonts w:cs="Times New Roman"/>
          <w:szCs w:val="24"/>
        </w:rPr>
        <w:tab/>
        <w:t xml:space="preserve">Pro vyhodnocení exprese genu </w:t>
      </w:r>
      <w:r w:rsidRPr="00C73D4D">
        <w:rPr>
          <w:rFonts w:cs="Times New Roman"/>
          <w:i/>
          <w:szCs w:val="24"/>
        </w:rPr>
        <w:t>ABP1</w:t>
      </w:r>
      <w:r>
        <w:rPr>
          <w:rFonts w:cs="Times New Roman"/>
          <w:szCs w:val="24"/>
        </w:rPr>
        <w:t xml:space="preserve"> a </w:t>
      </w:r>
      <w:r w:rsidRPr="00C73D4D">
        <w:rPr>
          <w:rFonts w:cs="Times New Roman"/>
          <w:i/>
          <w:szCs w:val="24"/>
        </w:rPr>
        <w:t xml:space="preserve">ABP4 </w:t>
      </w:r>
      <w:r>
        <w:rPr>
          <w:rFonts w:cs="Times New Roman"/>
          <w:szCs w:val="24"/>
        </w:rPr>
        <w:t xml:space="preserve">u mutanta </w:t>
      </w:r>
      <w:r w:rsidRPr="0058168B">
        <w:rPr>
          <w:rFonts w:cs="Times New Roman"/>
          <w:i/>
          <w:szCs w:val="24"/>
        </w:rPr>
        <w:t>elm-1</w:t>
      </w:r>
      <w:r>
        <w:rPr>
          <w:rFonts w:cs="Times New Roman"/>
          <w:szCs w:val="24"/>
        </w:rPr>
        <w:t xml:space="preserve"> a kontrolní rostliny byla použita metoda RT-PCR (Reverse-</w:t>
      </w:r>
      <w:r w:rsidRPr="00D22BA1">
        <w:rPr>
          <w:rFonts w:cs="Times New Roman"/>
          <w:szCs w:val="24"/>
        </w:rPr>
        <w:t xml:space="preserve"> </w:t>
      </w:r>
      <w:r w:rsidR="00BE6442">
        <w:rPr>
          <w:rFonts w:cs="Times New Roman"/>
          <w:szCs w:val="24"/>
        </w:rPr>
        <w:t>transcription  PCR).</w:t>
      </w:r>
    </w:p>
    <w:p w:rsidR="00E6053D" w:rsidRPr="00D02F6E" w:rsidRDefault="00E6053D" w:rsidP="00E6053D">
      <w:pPr>
        <w:pStyle w:val="Nadpis3"/>
        <w:numPr>
          <w:ilvl w:val="2"/>
          <w:numId w:val="1"/>
        </w:numPr>
        <w:spacing w:after="100" w:afterAutospacing="1"/>
      </w:pPr>
      <w:bookmarkStart w:id="18" w:name="_Toc426029818"/>
      <w:r w:rsidRPr="00D02F6E">
        <w:t>Izolace RNA</w:t>
      </w:r>
      <w:bookmarkEnd w:id="18"/>
    </w:p>
    <w:p w:rsidR="00E6053D" w:rsidRDefault="00E6053D" w:rsidP="00E6053D">
      <w:pPr>
        <w:spacing w:after="100" w:afterAutospacing="1" w:line="360" w:lineRule="auto"/>
        <w:ind w:firstLine="708"/>
        <w:jc w:val="both"/>
        <w:rPr>
          <w:rFonts w:cs="Times New Roman"/>
          <w:szCs w:val="24"/>
        </w:rPr>
      </w:pPr>
      <w:r>
        <w:rPr>
          <w:rFonts w:cs="Times New Roman"/>
          <w:szCs w:val="24"/>
        </w:rPr>
        <w:t xml:space="preserve">K izolaci celkové RNA byly použity mezokotyly rostlin mutanta </w:t>
      </w:r>
      <w:r w:rsidRPr="00261C3A">
        <w:rPr>
          <w:rFonts w:cs="Times New Roman"/>
          <w:i/>
          <w:szCs w:val="24"/>
        </w:rPr>
        <w:t>elm-1</w:t>
      </w:r>
      <w:r>
        <w:rPr>
          <w:rFonts w:cs="Times New Roman"/>
          <w:szCs w:val="24"/>
        </w:rPr>
        <w:t xml:space="preserve"> a WT, které byly vypěstovány dle stejného postupu jako v předchozím bodě. Sedm dní po výsevu byly mezokotyly odříznuty a zmraženy v tekutém dusíku. Sklizeň mezokotylů probíhala vždy za stejných světelných podmínek, při kterých byly rostliny pěstovány. V případě etiolovaných rostlin byly mezokotyly sklízeny pod slabým zeleným světlem.  Izolace RNA byla provedena pomocí Isolate II RNA Plant Kit (Bioline, Velká Británie) dle postupu uvedeného v protokolu od výrobce. Mezokotyly byly rozdrceny ve třecí misce s tekutým dusíkem. Získaný prášek byl poté přenesen do mikrozkumavky a uložen do mražáků (-80</w:t>
      </w:r>
      <w:r>
        <w:rPr>
          <w:rFonts w:cs="Times New Roman"/>
          <w:szCs w:val="24"/>
          <w:vertAlign w:val="superscript"/>
        </w:rPr>
        <w:t>o</w:t>
      </w:r>
      <w:r>
        <w:rPr>
          <w:rFonts w:cs="Times New Roman"/>
          <w:szCs w:val="24"/>
        </w:rPr>
        <w:t>C). Pro izolaci RNA byly použity roztoky Lysis Buffer RLS a markaptoethanol. Na pročištění získané RNA byla použita DNAsaI, směs byla inkubována v tepelné lázni po dobu 15 minut. Poté byla DNAsaI inaktivována a izolovaná RNA byla rozpuštěna v RNAse-free vodě. Poté byla změřena koncentrace celkové izolované RNA na spektrofotometru (</w:t>
      </w:r>
      <w:r w:rsidRPr="00261C3A">
        <w:rPr>
          <w:rFonts w:cs="Times New Roman"/>
          <w:szCs w:val="24"/>
        </w:rPr>
        <w:t>SmartSpec Plus Spectrophotometer</w:t>
      </w:r>
      <w:r>
        <w:rPr>
          <w:rFonts w:cs="Times New Roman"/>
          <w:szCs w:val="24"/>
        </w:rPr>
        <w:t>, Bio-Rad, Czech Republic) a čistota vzorků byla ověřena pomocí PCR a elektroforézy.</w:t>
      </w:r>
      <w:r w:rsidRPr="00954020">
        <w:rPr>
          <w:rFonts w:cs="Times New Roman"/>
          <w:szCs w:val="24"/>
        </w:rPr>
        <w:t xml:space="preserve"> </w:t>
      </w:r>
      <w:r>
        <w:rPr>
          <w:rFonts w:cs="Times New Roman"/>
          <w:szCs w:val="24"/>
        </w:rPr>
        <w:t>Pro PCR byly použity primery ZmAct81:</w:t>
      </w:r>
    </w:p>
    <w:p w:rsidR="00E6053D" w:rsidRDefault="00E6053D" w:rsidP="00E6053D">
      <w:pPr>
        <w:spacing w:after="0" w:line="360" w:lineRule="auto"/>
        <w:ind w:firstLine="709"/>
        <w:jc w:val="both"/>
        <w:rPr>
          <w:rFonts w:cs="Times New Roman"/>
          <w:szCs w:val="24"/>
        </w:rPr>
      </w:pPr>
      <w:r>
        <w:rPr>
          <w:rFonts w:cs="Times New Roman"/>
          <w:szCs w:val="24"/>
        </w:rPr>
        <w:t>F primer: 5´- ACACAGTGCCAATCT - 3´</w:t>
      </w:r>
    </w:p>
    <w:p w:rsidR="00E6053D" w:rsidRDefault="00E6053D" w:rsidP="00E6053D">
      <w:pPr>
        <w:spacing w:after="0" w:line="360" w:lineRule="auto"/>
        <w:ind w:firstLine="709"/>
        <w:jc w:val="both"/>
        <w:rPr>
          <w:rFonts w:cs="Times New Roman"/>
          <w:szCs w:val="24"/>
        </w:rPr>
      </w:pPr>
      <w:r>
        <w:rPr>
          <w:rFonts w:cs="Times New Roman"/>
          <w:szCs w:val="24"/>
        </w:rPr>
        <w:t>R primer: 5´- ACTGAGCACAATGTTAC - 3´</w:t>
      </w:r>
    </w:p>
    <w:p w:rsidR="00437626" w:rsidRDefault="00437626">
      <w:pPr>
        <w:rPr>
          <w:rFonts w:cs="Times New Roman"/>
          <w:szCs w:val="24"/>
        </w:rPr>
      </w:pPr>
      <w:r>
        <w:rPr>
          <w:rFonts w:cs="Times New Roman"/>
          <w:szCs w:val="24"/>
        </w:rPr>
        <w:br w:type="page"/>
      </w:r>
    </w:p>
    <w:p w:rsidR="00755EA6" w:rsidRDefault="00755EA6" w:rsidP="00755EA6">
      <w:pPr>
        <w:pStyle w:val="Bezmezer"/>
      </w:pPr>
      <w:bookmarkStart w:id="19" w:name="_Toc426030739"/>
      <w:r>
        <w:lastRenderedPageBreak/>
        <w:t>Tabulka</w:t>
      </w:r>
      <w:r w:rsidR="00A1779F">
        <w:t xml:space="preserve"> č.</w:t>
      </w:r>
      <w:r>
        <w:t xml:space="preserve"> </w:t>
      </w:r>
      <w:r>
        <w:fldChar w:fldCharType="begin"/>
      </w:r>
      <w:r>
        <w:instrText xml:space="preserve"> SEQ Tabulka \* ARABIC </w:instrText>
      </w:r>
      <w:r>
        <w:fldChar w:fldCharType="separate"/>
      </w:r>
      <w:r>
        <w:rPr>
          <w:noProof/>
        </w:rPr>
        <w:t>1</w:t>
      </w:r>
      <w:r>
        <w:fldChar w:fldCharType="end"/>
      </w:r>
      <w:r>
        <w:t xml:space="preserve"> Složení </w:t>
      </w:r>
      <w:r w:rsidRPr="00755EA6">
        <w:rPr>
          <w:rFonts w:cs="Times New Roman"/>
        </w:rPr>
        <w:t>reakční</w:t>
      </w:r>
      <w:r>
        <w:t xml:space="preserve"> směsi pro PCR</w:t>
      </w:r>
      <w:bookmarkEnd w:id="19"/>
    </w:p>
    <w:tbl>
      <w:tblPr>
        <w:tblStyle w:val="Mkatabulky"/>
        <w:tblW w:w="0" w:type="auto"/>
        <w:tblLook w:val="04A0" w:firstRow="1" w:lastRow="0" w:firstColumn="1" w:lastColumn="0" w:noHBand="0" w:noVBand="1"/>
      </w:tblPr>
      <w:tblGrid>
        <w:gridCol w:w="2262"/>
        <w:gridCol w:w="870"/>
      </w:tblGrid>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Položka</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Objem</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5x My Taq buffer</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4ul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F primer 10uM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0,5ul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R primer 10uM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0,5ul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My Taq Polymerase</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0,1ul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Nuclease free - water</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13ul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RNA</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2ul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Celkový objem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20ul</w:t>
            </w:r>
          </w:p>
        </w:tc>
      </w:tr>
    </w:tbl>
    <w:p w:rsidR="00E247E5" w:rsidRDefault="00E247E5" w:rsidP="00E6053D">
      <w:pPr>
        <w:spacing w:after="0" w:line="360" w:lineRule="auto"/>
        <w:jc w:val="both"/>
        <w:rPr>
          <w:rFonts w:cs="Times New Roman"/>
          <w:szCs w:val="24"/>
        </w:rPr>
      </w:pPr>
    </w:p>
    <w:p w:rsidR="00755EA6" w:rsidRDefault="00755EA6" w:rsidP="00755EA6">
      <w:pPr>
        <w:pStyle w:val="Bezmezer"/>
      </w:pPr>
      <w:bookmarkStart w:id="20" w:name="_Toc426030740"/>
      <w:r>
        <w:t>Tabulka</w:t>
      </w:r>
      <w:r w:rsidR="00A1779F">
        <w:t xml:space="preserve"> č.</w:t>
      </w:r>
      <w:r>
        <w:t xml:space="preserve"> </w:t>
      </w:r>
      <w:r>
        <w:fldChar w:fldCharType="begin"/>
      </w:r>
      <w:r>
        <w:instrText xml:space="preserve"> SEQ Tabulka \* ARABIC </w:instrText>
      </w:r>
      <w:r>
        <w:fldChar w:fldCharType="separate"/>
      </w:r>
      <w:r>
        <w:rPr>
          <w:noProof/>
        </w:rPr>
        <w:t>2</w:t>
      </w:r>
      <w:r>
        <w:fldChar w:fldCharType="end"/>
      </w:r>
      <w:r>
        <w:t xml:space="preserve"> </w:t>
      </w:r>
      <w:r w:rsidRPr="00396CCE">
        <w:t>Časový rozpis kroků PCR</w:t>
      </w:r>
      <w:bookmarkEnd w:id="20"/>
    </w:p>
    <w:tbl>
      <w:tblPr>
        <w:tblStyle w:val="Mkatabulky"/>
        <w:tblW w:w="0" w:type="auto"/>
        <w:tblLook w:val="04A0" w:firstRow="1" w:lastRow="0" w:firstColumn="1" w:lastColumn="0" w:noHBand="0" w:noVBand="1"/>
      </w:tblPr>
      <w:tblGrid>
        <w:gridCol w:w="1425"/>
        <w:gridCol w:w="1296"/>
        <w:gridCol w:w="1343"/>
      </w:tblGrid>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Teplota (°C)</w:t>
            </w:r>
          </w:p>
        </w:tc>
        <w:tc>
          <w:tcPr>
            <w:tcW w:w="0" w:type="auto"/>
          </w:tcPr>
          <w:p w:rsidR="00E6053D" w:rsidRDefault="00E6053D" w:rsidP="00E6053D">
            <w:pPr>
              <w:spacing w:line="360" w:lineRule="auto"/>
              <w:jc w:val="both"/>
              <w:rPr>
                <w:rFonts w:cs="Times New Roman"/>
                <w:szCs w:val="24"/>
              </w:rPr>
            </w:pPr>
            <w:r>
              <w:rPr>
                <w:rFonts w:cs="Times New Roman"/>
                <w:szCs w:val="24"/>
              </w:rPr>
              <w:t>Čas (min)</w:t>
            </w:r>
          </w:p>
        </w:tc>
        <w:tc>
          <w:tcPr>
            <w:tcW w:w="0" w:type="auto"/>
          </w:tcPr>
          <w:p w:rsidR="00E6053D" w:rsidRDefault="00E6053D" w:rsidP="00E6053D">
            <w:pPr>
              <w:spacing w:line="360" w:lineRule="auto"/>
              <w:jc w:val="both"/>
              <w:rPr>
                <w:rFonts w:cs="Times New Roman"/>
                <w:szCs w:val="24"/>
              </w:rPr>
            </w:pPr>
            <w:r>
              <w:rPr>
                <w:rFonts w:cs="Times New Roman"/>
                <w:szCs w:val="24"/>
              </w:rPr>
              <w:t>Počet cyklů</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94°C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5min</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94°C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30sec</w:t>
            </w:r>
          </w:p>
        </w:tc>
        <w:tc>
          <w:tcPr>
            <w:tcW w:w="0" w:type="auto"/>
            <w:vMerge w:val="restart"/>
            <w:vAlign w:val="center"/>
          </w:tcPr>
          <w:p w:rsidR="00E6053D" w:rsidRDefault="00E6053D" w:rsidP="00E6053D">
            <w:pPr>
              <w:spacing w:line="360" w:lineRule="auto"/>
              <w:jc w:val="center"/>
              <w:rPr>
                <w:rFonts w:cs="Times New Roman"/>
                <w:szCs w:val="24"/>
              </w:rPr>
            </w:pPr>
          </w:p>
          <w:p w:rsidR="00E6053D" w:rsidRDefault="00E6053D" w:rsidP="00E6053D">
            <w:pPr>
              <w:spacing w:line="360" w:lineRule="auto"/>
              <w:jc w:val="center"/>
              <w:rPr>
                <w:rFonts w:cs="Times New Roman"/>
                <w:szCs w:val="24"/>
              </w:rPr>
            </w:pPr>
            <w:r>
              <w:rPr>
                <w:rFonts w:cs="Times New Roman"/>
                <w:szCs w:val="24"/>
              </w:rPr>
              <w:t>45</w:t>
            </w:r>
          </w:p>
        </w:tc>
      </w:tr>
      <w:tr w:rsidR="00E6053D" w:rsidTr="00E6053D">
        <w:trPr>
          <w:trHeight w:val="48"/>
        </w:trPr>
        <w:tc>
          <w:tcPr>
            <w:tcW w:w="0" w:type="auto"/>
            <w:vAlign w:val="center"/>
          </w:tcPr>
          <w:p w:rsidR="00E6053D" w:rsidRDefault="00E6053D" w:rsidP="00E6053D">
            <w:pPr>
              <w:spacing w:line="360" w:lineRule="auto"/>
              <w:jc w:val="center"/>
              <w:rPr>
                <w:rFonts w:cs="Times New Roman"/>
                <w:szCs w:val="24"/>
              </w:rPr>
            </w:pPr>
            <w:r>
              <w:rPr>
                <w:rFonts w:cs="Times New Roman"/>
                <w:szCs w:val="24"/>
              </w:rPr>
              <w:t>45°C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30sec</w:t>
            </w:r>
          </w:p>
        </w:tc>
        <w:tc>
          <w:tcPr>
            <w:tcW w:w="0" w:type="auto"/>
            <w:vMerge/>
            <w:vAlign w:val="center"/>
          </w:tcPr>
          <w:p w:rsidR="00E6053D" w:rsidRDefault="00E6053D" w:rsidP="00E6053D">
            <w:pPr>
              <w:spacing w:line="360" w:lineRule="auto"/>
              <w:jc w:val="center"/>
              <w:rPr>
                <w:rFonts w:cs="Times New Roman"/>
                <w:szCs w:val="24"/>
              </w:rPr>
            </w:pP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72°C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45sec</w:t>
            </w:r>
          </w:p>
        </w:tc>
        <w:tc>
          <w:tcPr>
            <w:tcW w:w="0" w:type="auto"/>
            <w:vMerge/>
            <w:vAlign w:val="center"/>
          </w:tcPr>
          <w:p w:rsidR="00E6053D" w:rsidRDefault="00E6053D" w:rsidP="00E6053D">
            <w:pPr>
              <w:spacing w:line="360" w:lineRule="auto"/>
              <w:jc w:val="center"/>
              <w:rPr>
                <w:rFonts w:cs="Times New Roman"/>
                <w:szCs w:val="24"/>
              </w:rPr>
            </w:pP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72°C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5min</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15°C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neomezeně</w:t>
            </w:r>
          </w:p>
        </w:tc>
        <w:tc>
          <w:tcPr>
            <w:tcW w:w="0" w:type="auto"/>
            <w:vAlign w:val="center"/>
          </w:tcPr>
          <w:p w:rsidR="00E6053D" w:rsidRDefault="00E6053D" w:rsidP="00E6053D">
            <w:pPr>
              <w:spacing w:line="360" w:lineRule="auto"/>
              <w:jc w:val="center"/>
              <w:rPr>
                <w:rFonts w:cs="Times New Roman"/>
                <w:szCs w:val="24"/>
              </w:rPr>
            </w:pPr>
          </w:p>
        </w:tc>
      </w:tr>
    </w:tbl>
    <w:p w:rsidR="00E6053D" w:rsidRDefault="00E6053D" w:rsidP="00E6053D">
      <w:pPr>
        <w:spacing w:line="360" w:lineRule="auto"/>
        <w:ind w:firstLine="708"/>
        <w:jc w:val="both"/>
        <w:rPr>
          <w:rFonts w:cs="Times New Roman"/>
          <w:szCs w:val="24"/>
        </w:rPr>
      </w:pPr>
    </w:p>
    <w:p w:rsidR="00E6053D" w:rsidRDefault="00E6053D" w:rsidP="00E6053D">
      <w:pPr>
        <w:spacing w:line="360" w:lineRule="auto"/>
        <w:ind w:firstLine="708"/>
        <w:jc w:val="both"/>
        <w:rPr>
          <w:rFonts w:cs="Times New Roman"/>
          <w:szCs w:val="24"/>
        </w:rPr>
      </w:pPr>
      <w:r>
        <w:rPr>
          <w:rFonts w:cs="Times New Roman"/>
          <w:szCs w:val="24"/>
        </w:rPr>
        <w:t>kdy výsledný produkt by měl mít velikost 419 bp, pokud však byl gel čistý</w:t>
      </w:r>
      <w:r w:rsidR="00E247E5">
        <w:rPr>
          <w:rFonts w:cs="Times New Roman"/>
          <w:szCs w:val="24"/>
        </w:rPr>
        <w:t>,</w:t>
      </w:r>
      <w:r>
        <w:rPr>
          <w:rFonts w:cs="Times New Roman"/>
          <w:szCs w:val="24"/>
        </w:rPr>
        <w:t xml:space="preserve"> vyextrahovali jsme čistou RNA bez DNA. </w:t>
      </w:r>
    </w:p>
    <w:p w:rsidR="00E6053D" w:rsidRPr="008B31C3" w:rsidRDefault="00E6053D" w:rsidP="00E247E5">
      <w:pPr>
        <w:pStyle w:val="Nadpis3"/>
        <w:numPr>
          <w:ilvl w:val="2"/>
          <w:numId w:val="1"/>
        </w:numPr>
      </w:pPr>
      <w:bookmarkStart w:id="21" w:name="_Toc426029819"/>
      <w:r w:rsidRPr="008B31C3">
        <w:t>Syntéza cDNA</w:t>
      </w:r>
      <w:bookmarkEnd w:id="21"/>
      <w:r w:rsidRPr="008B31C3">
        <w:t xml:space="preserve"> </w:t>
      </w:r>
    </w:p>
    <w:p w:rsidR="00E6053D" w:rsidRDefault="00E6053D" w:rsidP="00E6053D">
      <w:pPr>
        <w:spacing w:line="360" w:lineRule="auto"/>
        <w:jc w:val="both"/>
        <w:rPr>
          <w:rFonts w:cs="Times New Roman"/>
          <w:szCs w:val="24"/>
        </w:rPr>
      </w:pPr>
      <w:r>
        <w:rPr>
          <w:rFonts w:cs="Times New Roman"/>
          <w:szCs w:val="24"/>
        </w:rPr>
        <w:tab/>
        <w:t>Komplementární DNA (cDNA) byla syntetizována z 1µg izolované RNA. Na spektrofotometru byla změřena koncentrace RNA, která byla uvedena v ng/µl. Z těchto hodnot byl vypočítán objem, ve kterém se nachází 1 µg RNA. Objem vzorku byl doplněn sterilní vodou na objem 8 µl. cDNA byla syntetizováno pomocí Prime Script 1st strand cDNA Synthesis kit (Takara-bio, Japonsko). Syntéza cDNA probíhala v několika krocích. V prvním kroku byla použita reakční směs pro denaturaci a mikrozkumavka se vzorkem a reakční směsí byla vložena do termocykleru (MJ mini, Personal Thermal Cycler, Bio-Rad, Czech Republic) a zahřátá na 65</w:t>
      </w:r>
      <w:r w:rsidRPr="00BC5DB5">
        <w:rPr>
          <w:rFonts w:cs="Times New Roman"/>
          <w:szCs w:val="24"/>
          <w:vertAlign w:val="superscript"/>
        </w:rPr>
        <w:t>o</w:t>
      </w:r>
      <w:r>
        <w:rPr>
          <w:rFonts w:cs="Times New Roman"/>
          <w:szCs w:val="24"/>
        </w:rPr>
        <w:t xml:space="preserve">C na dobu 5 minut (Tab. 3). Po uplynutí času byla mikrozkumavka s denaturovaným vzorkem vyjmuta z termocykleru a vložena na led. Ve druhém kroku byla do mikrozkumavky s denaturovaným vzorkem a první reakční směsí přidána druhá reakční </w:t>
      </w:r>
      <w:r>
        <w:rPr>
          <w:rFonts w:cs="Times New Roman"/>
          <w:szCs w:val="24"/>
        </w:rPr>
        <w:lastRenderedPageBreak/>
        <w:t>směs (Tab. 4). Mikrozkumavka byla vložena termocykleru. Směs byla zahřátá na teplotu 42</w:t>
      </w:r>
      <w:r w:rsidRPr="0033756E">
        <w:rPr>
          <w:rFonts w:cs="Times New Roman"/>
          <w:szCs w:val="24"/>
          <w:vertAlign w:val="superscript"/>
        </w:rPr>
        <w:t>o</w:t>
      </w:r>
      <w:r>
        <w:rPr>
          <w:rFonts w:cs="Times New Roman"/>
          <w:szCs w:val="24"/>
        </w:rPr>
        <w:t>C po dobu 60 min a po té na teplotu 70</w:t>
      </w:r>
      <w:r w:rsidRPr="0013294C">
        <w:rPr>
          <w:rFonts w:cs="Times New Roman"/>
          <w:szCs w:val="24"/>
          <w:vertAlign w:val="superscript"/>
        </w:rPr>
        <w:t xml:space="preserve"> </w:t>
      </w:r>
      <w:r w:rsidRPr="0033756E">
        <w:rPr>
          <w:rFonts w:cs="Times New Roman"/>
          <w:szCs w:val="24"/>
          <w:vertAlign w:val="superscript"/>
        </w:rPr>
        <w:t>o</w:t>
      </w:r>
      <w:r>
        <w:rPr>
          <w:rFonts w:cs="Times New Roman"/>
          <w:szCs w:val="24"/>
        </w:rPr>
        <w:t xml:space="preserve">C na dobu 15 min. </w:t>
      </w:r>
    </w:p>
    <w:p w:rsidR="00E6053D" w:rsidRDefault="00A1779F" w:rsidP="00E6053D">
      <w:pPr>
        <w:spacing w:after="0" w:line="360" w:lineRule="auto"/>
        <w:jc w:val="both"/>
        <w:rPr>
          <w:rFonts w:cs="Times New Roman"/>
          <w:szCs w:val="24"/>
        </w:rPr>
      </w:pPr>
      <w:r>
        <w:rPr>
          <w:rFonts w:cs="Times New Roman"/>
          <w:szCs w:val="24"/>
        </w:rPr>
        <w:t xml:space="preserve">Tabulka č. </w:t>
      </w:r>
      <w:r w:rsidR="00E6053D">
        <w:rPr>
          <w:rFonts w:cs="Times New Roman"/>
          <w:szCs w:val="24"/>
        </w:rPr>
        <w:t>3 Rozpis reakční směsi pro denaturaci</w:t>
      </w:r>
    </w:p>
    <w:tbl>
      <w:tblPr>
        <w:tblStyle w:val="Mkatabulky"/>
        <w:tblW w:w="0" w:type="auto"/>
        <w:tblLook w:val="04A0" w:firstRow="1" w:lastRow="0" w:firstColumn="1" w:lastColumn="0" w:noHBand="0" w:noVBand="1"/>
      </w:tblPr>
      <w:tblGrid>
        <w:gridCol w:w="2583"/>
        <w:gridCol w:w="870"/>
      </w:tblGrid>
      <w:tr w:rsidR="00E6053D" w:rsidTr="00E6053D">
        <w:tc>
          <w:tcPr>
            <w:tcW w:w="0" w:type="auto"/>
          </w:tcPr>
          <w:p w:rsidR="00E6053D" w:rsidRDefault="00E6053D" w:rsidP="00E6053D">
            <w:pPr>
              <w:spacing w:line="360" w:lineRule="auto"/>
              <w:rPr>
                <w:rFonts w:cs="Times New Roman"/>
                <w:szCs w:val="24"/>
              </w:rPr>
            </w:pPr>
            <w:r>
              <w:rPr>
                <w:rFonts w:cs="Times New Roman"/>
                <w:szCs w:val="24"/>
              </w:rPr>
              <w:t>Položka</w:t>
            </w:r>
          </w:p>
        </w:tc>
        <w:tc>
          <w:tcPr>
            <w:tcW w:w="0" w:type="auto"/>
          </w:tcPr>
          <w:p w:rsidR="00E6053D" w:rsidRDefault="00E6053D" w:rsidP="00E6053D">
            <w:pPr>
              <w:spacing w:line="360" w:lineRule="auto"/>
              <w:rPr>
                <w:rFonts w:cs="Times New Roman"/>
                <w:szCs w:val="24"/>
              </w:rPr>
            </w:pPr>
            <w:r>
              <w:rPr>
                <w:rFonts w:cs="Times New Roman"/>
                <w:szCs w:val="24"/>
              </w:rPr>
              <w:t>Objem</w:t>
            </w:r>
          </w:p>
        </w:tc>
      </w:tr>
      <w:tr w:rsidR="00E6053D" w:rsidTr="00E6053D">
        <w:tc>
          <w:tcPr>
            <w:tcW w:w="0" w:type="auto"/>
          </w:tcPr>
          <w:p w:rsidR="00E6053D" w:rsidRDefault="00E6053D" w:rsidP="00E6053D">
            <w:pPr>
              <w:spacing w:line="360" w:lineRule="auto"/>
              <w:rPr>
                <w:rFonts w:cs="Times New Roman"/>
                <w:szCs w:val="24"/>
              </w:rPr>
            </w:pPr>
            <w:r>
              <w:rPr>
                <w:rFonts w:cs="Times New Roman"/>
                <w:szCs w:val="24"/>
              </w:rPr>
              <w:t>Oligo dT primer (50uM)</w:t>
            </w:r>
          </w:p>
        </w:tc>
        <w:tc>
          <w:tcPr>
            <w:tcW w:w="0" w:type="auto"/>
          </w:tcPr>
          <w:p w:rsidR="00E6053D" w:rsidRDefault="00E6053D" w:rsidP="00E6053D">
            <w:pPr>
              <w:spacing w:line="360" w:lineRule="auto"/>
              <w:rPr>
                <w:rFonts w:cs="Times New Roman"/>
                <w:szCs w:val="24"/>
              </w:rPr>
            </w:pPr>
            <w:r>
              <w:rPr>
                <w:rFonts w:cs="Times New Roman"/>
                <w:szCs w:val="24"/>
              </w:rPr>
              <w:t>1ul</w:t>
            </w:r>
          </w:p>
        </w:tc>
      </w:tr>
      <w:tr w:rsidR="00E6053D" w:rsidTr="00E6053D">
        <w:tc>
          <w:tcPr>
            <w:tcW w:w="0" w:type="auto"/>
          </w:tcPr>
          <w:p w:rsidR="00E6053D" w:rsidRDefault="00E6053D" w:rsidP="00E6053D">
            <w:pPr>
              <w:spacing w:line="360" w:lineRule="auto"/>
              <w:rPr>
                <w:rFonts w:cs="Times New Roman"/>
                <w:szCs w:val="24"/>
              </w:rPr>
            </w:pPr>
            <w:r>
              <w:rPr>
                <w:rFonts w:cs="Times New Roman"/>
                <w:szCs w:val="24"/>
              </w:rPr>
              <w:t>dNTP (10mM)</w:t>
            </w:r>
          </w:p>
        </w:tc>
        <w:tc>
          <w:tcPr>
            <w:tcW w:w="0" w:type="auto"/>
          </w:tcPr>
          <w:p w:rsidR="00E6053D" w:rsidRDefault="00E6053D" w:rsidP="00E6053D">
            <w:pPr>
              <w:spacing w:line="360" w:lineRule="auto"/>
              <w:rPr>
                <w:rFonts w:cs="Times New Roman"/>
                <w:szCs w:val="24"/>
              </w:rPr>
            </w:pPr>
            <w:r>
              <w:rPr>
                <w:rFonts w:cs="Times New Roman"/>
                <w:szCs w:val="24"/>
              </w:rPr>
              <w:t>1ul</w:t>
            </w:r>
          </w:p>
        </w:tc>
      </w:tr>
      <w:tr w:rsidR="00E6053D" w:rsidTr="00E6053D">
        <w:tc>
          <w:tcPr>
            <w:tcW w:w="0" w:type="auto"/>
          </w:tcPr>
          <w:p w:rsidR="00E6053D" w:rsidRDefault="00E6053D" w:rsidP="00E6053D">
            <w:pPr>
              <w:spacing w:line="360" w:lineRule="auto"/>
              <w:rPr>
                <w:rFonts w:cs="Times New Roman"/>
                <w:szCs w:val="24"/>
              </w:rPr>
            </w:pPr>
            <w:r>
              <w:rPr>
                <w:rFonts w:cs="Times New Roman"/>
                <w:szCs w:val="24"/>
              </w:rPr>
              <w:t>RNA</w:t>
            </w:r>
          </w:p>
        </w:tc>
        <w:tc>
          <w:tcPr>
            <w:tcW w:w="0" w:type="auto"/>
          </w:tcPr>
          <w:p w:rsidR="00E6053D" w:rsidRDefault="00E6053D" w:rsidP="00E6053D">
            <w:pPr>
              <w:spacing w:line="360" w:lineRule="auto"/>
              <w:rPr>
                <w:rFonts w:cs="Times New Roman"/>
                <w:szCs w:val="24"/>
              </w:rPr>
            </w:pPr>
            <w:r>
              <w:rPr>
                <w:rFonts w:cs="Times New Roman"/>
                <w:szCs w:val="24"/>
              </w:rPr>
              <w:t>8ul</w:t>
            </w:r>
          </w:p>
        </w:tc>
      </w:tr>
      <w:tr w:rsidR="00E6053D" w:rsidTr="00E6053D">
        <w:tc>
          <w:tcPr>
            <w:tcW w:w="0" w:type="auto"/>
          </w:tcPr>
          <w:p w:rsidR="00E6053D" w:rsidRDefault="00E6053D" w:rsidP="00E6053D">
            <w:pPr>
              <w:spacing w:line="360" w:lineRule="auto"/>
              <w:rPr>
                <w:rFonts w:cs="Times New Roman"/>
                <w:szCs w:val="24"/>
              </w:rPr>
            </w:pPr>
            <w:r>
              <w:rPr>
                <w:rFonts w:cs="Times New Roman"/>
                <w:szCs w:val="24"/>
              </w:rPr>
              <w:t>Celkový objem</w:t>
            </w:r>
          </w:p>
        </w:tc>
        <w:tc>
          <w:tcPr>
            <w:tcW w:w="0" w:type="auto"/>
          </w:tcPr>
          <w:p w:rsidR="00E6053D" w:rsidRDefault="00E6053D" w:rsidP="00E6053D">
            <w:pPr>
              <w:spacing w:line="360" w:lineRule="auto"/>
              <w:rPr>
                <w:rFonts w:cs="Times New Roman"/>
                <w:szCs w:val="24"/>
              </w:rPr>
            </w:pPr>
            <w:r>
              <w:rPr>
                <w:rFonts w:cs="Times New Roman"/>
                <w:szCs w:val="24"/>
              </w:rPr>
              <w:t>10ul</w:t>
            </w:r>
          </w:p>
        </w:tc>
      </w:tr>
    </w:tbl>
    <w:p w:rsidR="00E6053D" w:rsidRDefault="00E6053D" w:rsidP="00E6053D">
      <w:pPr>
        <w:spacing w:line="360" w:lineRule="auto"/>
        <w:jc w:val="both"/>
        <w:rPr>
          <w:rFonts w:cs="Times New Roman"/>
          <w:szCs w:val="24"/>
        </w:rPr>
      </w:pPr>
    </w:p>
    <w:p w:rsidR="00E6053D" w:rsidRDefault="00A1779F" w:rsidP="00A1779F">
      <w:pPr>
        <w:spacing w:after="0" w:line="360" w:lineRule="auto"/>
        <w:jc w:val="both"/>
        <w:rPr>
          <w:rFonts w:cs="Times New Roman"/>
          <w:szCs w:val="24"/>
        </w:rPr>
      </w:pPr>
      <w:r>
        <w:rPr>
          <w:rFonts w:cs="Times New Roman"/>
          <w:szCs w:val="24"/>
        </w:rPr>
        <w:t xml:space="preserve">Tabulka č. </w:t>
      </w:r>
      <w:r w:rsidR="00E6053D">
        <w:rPr>
          <w:rFonts w:cs="Times New Roman"/>
          <w:szCs w:val="24"/>
        </w:rPr>
        <w:t>4 Rozpis reakční směsi pro syntézu cDNA</w:t>
      </w:r>
    </w:p>
    <w:tbl>
      <w:tblPr>
        <w:tblStyle w:val="Mkatabulky"/>
        <w:tblW w:w="0" w:type="auto"/>
        <w:tblLook w:val="04A0" w:firstRow="1" w:lastRow="0" w:firstColumn="1" w:lastColumn="0" w:noHBand="0" w:noVBand="1"/>
      </w:tblPr>
      <w:tblGrid>
        <w:gridCol w:w="2963"/>
        <w:gridCol w:w="870"/>
      </w:tblGrid>
      <w:tr w:rsidR="00E6053D" w:rsidTr="00E6053D">
        <w:tc>
          <w:tcPr>
            <w:tcW w:w="0" w:type="auto"/>
          </w:tcPr>
          <w:p w:rsidR="00E6053D" w:rsidRDefault="00E6053D" w:rsidP="00A1779F">
            <w:pPr>
              <w:spacing w:line="360" w:lineRule="auto"/>
              <w:jc w:val="both"/>
              <w:rPr>
                <w:rFonts w:cs="Times New Roman"/>
                <w:szCs w:val="24"/>
              </w:rPr>
            </w:pPr>
            <w:r>
              <w:rPr>
                <w:rFonts w:cs="Times New Roman"/>
                <w:szCs w:val="24"/>
              </w:rPr>
              <w:t>Položka</w:t>
            </w:r>
          </w:p>
        </w:tc>
        <w:tc>
          <w:tcPr>
            <w:tcW w:w="0" w:type="auto"/>
          </w:tcPr>
          <w:p w:rsidR="00E6053D" w:rsidRDefault="00E6053D" w:rsidP="00A1779F">
            <w:pPr>
              <w:spacing w:line="360" w:lineRule="auto"/>
              <w:jc w:val="both"/>
              <w:rPr>
                <w:rFonts w:cs="Times New Roman"/>
                <w:szCs w:val="24"/>
              </w:rPr>
            </w:pPr>
            <w:r>
              <w:rPr>
                <w:rFonts w:cs="Times New Roman"/>
                <w:szCs w:val="24"/>
              </w:rPr>
              <w:t xml:space="preserve">Objem </w:t>
            </w:r>
          </w:p>
        </w:tc>
      </w:tr>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5x PrimeScript buffer</w:t>
            </w:r>
          </w:p>
        </w:tc>
        <w:tc>
          <w:tcPr>
            <w:tcW w:w="0" w:type="auto"/>
          </w:tcPr>
          <w:p w:rsidR="00E6053D" w:rsidRDefault="00E6053D" w:rsidP="00E6053D">
            <w:pPr>
              <w:spacing w:line="360" w:lineRule="auto"/>
              <w:jc w:val="both"/>
              <w:rPr>
                <w:rFonts w:cs="Times New Roman"/>
                <w:szCs w:val="24"/>
              </w:rPr>
            </w:pPr>
            <w:r>
              <w:rPr>
                <w:rFonts w:cs="Times New Roman"/>
                <w:szCs w:val="24"/>
              </w:rPr>
              <w:t>4ul</w:t>
            </w:r>
          </w:p>
        </w:tc>
      </w:tr>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Rnase Inhibitor (40U/ul)</w:t>
            </w:r>
          </w:p>
        </w:tc>
        <w:tc>
          <w:tcPr>
            <w:tcW w:w="0" w:type="auto"/>
          </w:tcPr>
          <w:p w:rsidR="00E6053D" w:rsidRDefault="00E6053D" w:rsidP="00E6053D">
            <w:pPr>
              <w:spacing w:line="360" w:lineRule="auto"/>
              <w:jc w:val="both"/>
              <w:rPr>
                <w:rFonts w:cs="Times New Roman"/>
                <w:szCs w:val="24"/>
              </w:rPr>
            </w:pPr>
            <w:r>
              <w:rPr>
                <w:rFonts w:cs="Times New Roman"/>
                <w:szCs w:val="24"/>
              </w:rPr>
              <w:t>0,5ul</w:t>
            </w:r>
          </w:p>
        </w:tc>
      </w:tr>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PrimeScript Rtase (200U/ul)</w:t>
            </w:r>
          </w:p>
        </w:tc>
        <w:tc>
          <w:tcPr>
            <w:tcW w:w="0" w:type="auto"/>
          </w:tcPr>
          <w:p w:rsidR="00E6053D" w:rsidRDefault="00E6053D" w:rsidP="00E6053D">
            <w:pPr>
              <w:spacing w:line="360" w:lineRule="auto"/>
              <w:jc w:val="both"/>
              <w:rPr>
                <w:rFonts w:cs="Times New Roman"/>
                <w:szCs w:val="24"/>
              </w:rPr>
            </w:pPr>
            <w:r>
              <w:rPr>
                <w:rFonts w:cs="Times New Roman"/>
                <w:szCs w:val="24"/>
              </w:rPr>
              <w:t>1ul</w:t>
            </w:r>
          </w:p>
        </w:tc>
      </w:tr>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Rnase-free water</w:t>
            </w:r>
          </w:p>
        </w:tc>
        <w:tc>
          <w:tcPr>
            <w:tcW w:w="0" w:type="auto"/>
          </w:tcPr>
          <w:p w:rsidR="00E6053D" w:rsidRDefault="00E6053D" w:rsidP="00E6053D">
            <w:pPr>
              <w:spacing w:line="360" w:lineRule="auto"/>
              <w:jc w:val="both"/>
              <w:rPr>
                <w:rFonts w:cs="Times New Roman"/>
                <w:szCs w:val="24"/>
              </w:rPr>
            </w:pPr>
            <w:r>
              <w:rPr>
                <w:rFonts w:cs="Times New Roman"/>
                <w:szCs w:val="24"/>
              </w:rPr>
              <w:t>4,5ul</w:t>
            </w:r>
          </w:p>
        </w:tc>
      </w:tr>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 xml:space="preserve">Celkový objem </w:t>
            </w:r>
          </w:p>
        </w:tc>
        <w:tc>
          <w:tcPr>
            <w:tcW w:w="0" w:type="auto"/>
          </w:tcPr>
          <w:p w:rsidR="00E6053D" w:rsidRDefault="00E6053D" w:rsidP="00E6053D">
            <w:pPr>
              <w:spacing w:line="360" w:lineRule="auto"/>
              <w:jc w:val="both"/>
              <w:rPr>
                <w:rFonts w:cs="Times New Roman"/>
                <w:szCs w:val="24"/>
              </w:rPr>
            </w:pPr>
            <w:r>
              <w:rPr>
                <w:rFonts w:cs="Times New Roman"/>
                <w:szCs w:val="24"/>
              </w:rPr>
              <w:t>10ul</w:t>
            </w:r>
          </w:p>
        </w:tc>
      </w:tr>
    </w:tbl>
    <w:p w:rsidR="00E6053D" w:rsidRDefault="00E6053D" w:rsidP="00E6053D">
      <w:pPr>
        <w:spacing w:line="360" w:lineRule="auto"/>
        <w:jc w:val="both"/>
        <w:rPr>
          <w:rFonts w:cs="Times New Roman"/>
          <w:szCs w:val="24"/>
        </w:rPr>
      </w:pPr>
    </w:p>
    <w:p w:rsidR="00E6053D" w:rsidRDefault="00E6053D" w:rsidP="00E247E5">
      <w:pPr>
        <w:pStyle w:val="Nadpis3"/>
        <w:numPr>
          <w:ilvl w:val="2"/>
          <w:numId w:val="1"/>
        </w:numPr>
      </w:pPr>
      <w:bookmarkStart w:id="22" w:name="_Toc426029820"/>
      <w:r w:rsidRPr="00344E93">
        <w:t>Genová exprese</w:t>
      </w:r>
      <w:bookmarkEnd w:id="22"/>
      <w:r w:rsidRPr="00344E93">
        <w:t xml:space="preserve"> </w:t>
      </w:r>
    </w:p>
    <w:p w:rsidR="00E247E5" w:rsidRDefault="00E6053D" w:rsidP="00E6053D">
      <w:pPr>
        <w:spacing w:line="360" w:lineRule="auto"/>
        <w:ind w:firstLine="708"/>
        <w:jc w:val="both"/>
        <w:rPr>
          <w:rFonts w:cs="Times New Roman"/>
          <w:szCs w:val="24"/>
        </w:rPr>
      </w:pPr>
      <w:r>
        <w:rPr>
          <w:rFonts w:cs="Times New Roman"/>
          <w:szCs w:val="24"/>
        </w:rPr>
        <w:t xml:space="preserve">Ke studiu exprese genů pro </w:t>
      </w:r>
      <w:r w:rsidRPr="00851783">
        <w:rPr>
          <w:rFonts w:cs="Times New Roman"/>
          <w:i/>
          <w:szCs w:val="24"/>
        </w:rPr>
        <w:t>ABP1</w:t>
      </w:r>
      <w:r>
        <w:rPr>
          <w:rFonts w:cs="Times New Roman"/>
          <w:szCs w:val="24"/>
        </w:rPr>
        <w:t xml:space="preserve"> a </w:t>
      </w:r>
      <w:r w:rsidRPr="00851783">
        <w:rPr>
          <w:rFonts w:cs="Times New Roman"/>
          <w:i/>
          <w:szCs w:val="24"/>
        </w:rPr>
        <w:t xml:space="preserve">ABP4 </w:t>
      </w:r>
      <w:r>
        <w:rPr>
          <w:rFonts w:cs="Times New Roman"/>
          <w:szCs w:val="24"/>
        </w:rPr>
        <w:t xml:space="preserve">pomocí metody PCR bylo použito specifických primerů pro jednotlivé geny. V tabulce č. 5 jsou uvedeny jednotlivé roztoky (reakční směs), které byly použity při PCR a v tabulce č. 6 je uveden program v termocykleru (DNA Engine, Peltier ThermalCycler, Bio-rad, Velká Británie). Program pro PCR byl stejný pro oba geny, také jednotlivé roztoky byly totožné, ale byly použity různé primery. </w:t>
      </w:r>
    </w:p>
    <w:p w:rsidR="00E6053D" w:rsidRDefault="00E6053D" w:rsidP="00E247E5">
      <w:pPr>
        <w:spacing w:line="360" w:lineRule="auto"/>
        <w:jc w:val="both"/>
        <w:rPr>
          <w:rFonts w:cs="Times New Roman"/>
          <w:szCs w:val="24"/>
        </w:rPr>
      </w:pPr>
      <w:r>
        <w:rPr>
          <w:rFonts w:cs="Times New Roman"/>
          <w:szCs w:val="24"/>
        </w:rPr>
        <w:t xml:space="preserve">Pro </w:t>
      </w:r>
      <w:r w:rsidRPr="00851783">
        <w:rPr>
          <w:rFonts w:cs="Times New Roman"/>
          <w:i/>
          <w:szCs w:val="24"/>
        </w:rPr>
        <w:t>ABP1</w:t>
      </w:r>
      <w:r>
        <w:rPr>
          <w:rFonts w:cs="Times New Roman"/>
          <w:szCs w:val="24"/>
        </w:rPr>
        <w:t xml:space="preserve"> byly použity primery:</w:t>
      </w:r>
    </w:p>
    <w:p w:rsidR="00E6053D" w:rsidRDefault="00E6053D" w:rsidP="00E6053D">
      <w:pPr>
        <w:spacing w:after="0" w:line="360" w:lineRule="auto"/>
        <w:jc w:val="both"/>
        <w:rPr>
          <w:rFonts w:cs="Times New Roman"/>
          <w:szCs w:val="24"/>
        </w:rPr>
      </w:pPr>
      <w:r>
        <w:rPr>
          <w:rFonts w:cs="Times New Roman"/>
          <w:szCs w:val="24"/>
        </w:rPr>
        <w:tab/>
        <w:t>F primer: 5´-CCG CAA AGC TAT GGG ATT-3´</w:t>
      </w:r>
    </w:p>
    <w:p w:rsidR="00E6053D" w:rsidRDefault="00E6053D" w:rsidP="00E6053D">
      <w:pPr>
        <w:spacing w:after="240" w:line="360" w:lineRule="auto"/>
        <w:jc w:val="both"/>
        <w:rPr>
          <w:rFonts w:cs="Times New Roman"/>
          <w:szCs w:val="24"/>
        </w:rPr>
      </w:pPr>
      <w:r>
        <w:rPr>
          <w:rFonts w:cs="Times New Roman"/>
          <w:szCs w:val="24"/>
        </w:rPr>
        <w:tab/>
        <w:t>R primer: 5´-CGA AGG GGA TTT CAG TAC CGC G-3´</w:t>
      </w:r>
    </w:p>
    <w:p w:rsidR="00E6053D" w:rsidRDefault="00E6053D" w:rsidP="00E6053D">
      <w:pPr>
        <w:spacing w:after="240" w:line="360" w:lineRule="auto"/>
        <w:jc w:val="both"/>
        <w:rPr>
          <w:rFonts w:cs="Times New Roman"/>
          <w:szCs w:val="24"/>
        </w:rPr>
      </w:pPr>
      <w:r>
        <w:rPr>
          <w:rFonts w:cs="Times New Roman"/>
          <w:szCs w:val="24"/>
        </w:rPr>
        <w:t xml:space="preserve">Pro </w:t>
      </w:r>
      <w:r w:rsidRPr="00122639">
        <w:rPr>
          <w:rFonts w:cs="Times New Roman"/>
          <w:i/>
          <w:szCs w:val="24"/>
        </w:rPr>
        <w:t>ABP4</w:t>
      </w:r>
      <w:r>
        <w:rPr>
          <w:rFonts w:cs="Times New Roman"/>
          <w:szCs w:val="24"/>
        </w:rPr>
        <w:t xml:space="preserve"> byly použity primery:</w:t>
      </w:r>
    </w:p>
    <w:p w:rsidR="00E6053D" w:rsidRDefault="00E6053D" w:rsidP="00E6053D">
      <w:pPr>
        <w:spacing w:after="0" w:line="360" w:lineRule="auto"/>
        <w:jc w:val="both"/>
        <w:rPr>
          <w:rFonts w:cs="Times New Roman"/>
          <w:szCs w:val="24"/>
        </w:rPr>
      </w:pPr>
      <w:r>
        <w:rPr>
          <w:rFonts w:cs="Times New Roman"/>
          <w:szCs w:val="24"/>
        </w:rPr>
        <w:t xml:space="preserve">  </w:t>
      </w:r>
      <w:r>
        <w:rPr>
          <w:rFonts w:cs="Times New Roman"/>
          <w:szCs w:val="24"/>
        </w:rPr>
        <w:tab/>
        <w:t>F primer: 5´-CAG CAG CGC AAC TAC GGG AGG-3´</w:t>
      </w:r>
    </w:p>
    <w:p w:rsidR="00E6053D" w:rsidRDefault="00E6053D" w:rsidP="00E6053D">
      <w:pPr>
        <w:spacing w:after="0" w:line="360" w:lineRule="auto"/>
        <w:jc w:val="both"/>
        <w:rPr>
          <w:rFonts w:cs="Times New Roman"/>
          <w:szCs w:val="24"/>
        </w:rPr>
      </w:pPr>
      <w:r>
        <w:rPr>
          <w:rFonts w:cs="Times New Roman"/>
          <w:szCs w:val="24"/>
        </w:rPr>
        <w:tab/>
        <w:t>R primer: 5´- AGT AGG GGA ATT TCA GCT TTG CA-3´</w:t>
      </w:r>
    </w:p>
    <w:p w:rsidR="00E6053D" w:rsidRDefault="00E6053D" w:rsidP="00E6053D">
      <w:pPr>
        <w:spacing w:after="0" w:line="360" w:lineRule="auto"/>
        <w:jc w:val="both"/>
        <w:rPr>
          <w:rFonts w:cs="Times New Roman"/>
          <w:szCs w:val="24"/>
        </w:rPr>
      </w:pPr>
    </w:p>
    <w:p w:rsidR="00E6053D" w:rsidRDefault="00E6053D" w:rsidP="00E6053D">
      <w:pPr>
        <w:spacing w:after="0" w:line="360" w:lineRule="auto"/>
        <w:jc w:val="both"/>
        <w:rPr>
          <w:rFonts w:cs="Times New Roman"/>
          <w:szCs w:val="24"/>
        </w:rPr>
      </w:pPr>
      <w:r>
        <w:rPr>
          <w:rFonts w:cs="Times New Roman"/>
          <w:szCs w:val="24"/>
        </w:rPr>
        <w:lastRenderedPageBreak/>
        <w:t>Tabulka č. 5 Složení reakční směsi pro PCR</w:t>
      </w:r>
    </w:p>
    <w:tbl>
      <w:tblPr>
        <w:tblStyle w:val="Mkatabulky"/>
        <w:tblW w:w="0" w:type="auto"/>
        <w:tblLook w:val="04A0" w:firstRow="1" w:lastRow="0" w:firstColumn="1" w:lastColumn="0" w:noHBand="0" w:noVBand="1"/>
      </w:tblPr>
      <w:tblGrid>
        <w:gridCol w:w="2262"/>
        <w:gridCol w:w="870"/>
      </w:tblGrid>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Položka</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Objem</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5x My Taq buffer</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4ul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F primer 10uM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0,5ul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R primer 10uM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0,5ul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My Taq Polymerase</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0,1ul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Nuclease free - water</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13ul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cDNA 1/10</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2ul</w:t>
            </w:r>
          </w:p>
        </w:tc>
      </w:tr>
      <w:tr w:rsidR="00E6053D" w:rsidTr="00E6053D">
        <w:tc>
          <w:tcPr>
            <w:tcW w:w="0" w:type="auto"/>
            <w:vAlign w:val="center"/>
          </w:tcPr>
          <w:p w:rsidR="00E6053D" w:rsidRDefault="00E6053D" w:rsidP="00E6053D">
            <w:pPr>
              <w:spacing w:line="360" w:lineRule="auto"/>
              <w:rPr>
                <w:rFonts w:cs="Times New Roman"/>
                <w:szCs w:val="24"/>
              </w:rPr>
            </w:pPr>
            <w:r>
              <w:rPr>
                <w:rFonts w:cs="Times New Roman"/>
                <w:szCs w:val="24"/>
              </w:rPr>
              <w:t>Celkový objem</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20ul</w:t>
            </w:r>
          </w:p>
        </w:tc>
      </w:tr>
    </w:tbl>
    <w:p w:rsidR="00E6053D" w:rsidRDefault="00E6053D" w:rsidP="00E6053D">
      <w:pPr>
        <w:spacing w:after="0" w:line="360" w:lineRule="auto"/>
        <w:jc w:val="both"/>
        <w:rPr>
          <w:rFonts w:cs="Times New Roman"/>
          <w:szCs w:val="24"/>
        </w:rPr>
      </w:pPr>
    </w:p>
    <w:p w:rsidR="00E6053D" w:rsidRDefault="00E6053D" w:rsidP="00E6053D">
      <w:pPr>
        <w:spacing w:after="0" w:line="360" w:lineRule="auto"/>
        <w:jc w:val="both"/>
        <w:rPr>
          <w:rFonts w:cs="Times New Roman"/>
          <w:szCs w:val="24"/>
        </w:rPr>
      </w:pPr>
      <w:r>
        <w:rPr>
          <w:rFonts w:cs="Times New Roman"/>
          <w:szCs w:val="24"/>
        </w:rPr>
        <w:t>Tabulka č. 6 Časový rozpis kroků PCR</w:t>
      </w:r>
    </w:p>
    <w:tbl>
      <w:tblPr>
        <w:tblStyle w:val="Mkatabulky"/>
        <w:tblW w:w="0" w:type="auto"/>
        <w:tblLook w:val="04A0" w:firstRow="1" w:lastRow="0" w:firstColumn="1" w:lastColumn="0" w:noHBand="0" w:noVBand="1"/>
      </w:tblPr>
      <w:tblGrid>
        <w:gridCol w:w="1425"/>
        <w:gridCol w:w="1296"/>
        <w:gridCol w:w="1343"/>
      </w:tblGrid>
      <w:tr w:rsidR="00E6053D" w:rsidTr="00E6053D">
        <w:tc>
          <w:tcPr>
            <w:tcW w:w="0" w:type="auto"/>
          </w:tcPr>
          <w:p w:rsidR="00E6053D" w:rsidRDefault="00E6053D" w:rsidP="00E6053D">
            <w:pPr>
              <w:spacing w:line="360" w:lineRule="auto"/>
              <w:jc w:val="both"/>
              <w:rPr>
                <w:rFonts w:cs="Times New Roman"/>
                <w:szCs w:val="24"/>
              </w:rPr>
            </w:pPr>
            <w:r>
              <w:rPr>
                <w:rFonts w:cs="Times New Roman"/>
                <w:szCs w:val="24"/>
              </w:rPr>
              <w:t>Teplota (°C)</w:t>
            </w:r>
          </w:p>
        </w:tc>
        <w:tc>
          <w:tcPr>
            <w:tcW w:w="0" w:type="auto"/>
          </w:tcPr>
          <w:p w:rsidR="00E6053D" w:rsidRDefault="00E6053D" w:rsidP="00E6053D">
            <w:pPr>
              <w:spacing w:line="360" w:lineRule="auto"/>
              <w:jc w:val="both"/>
              <w:rPr>
                <w:rFonts w:cs="Times New Roman"/>
                <w:szCs w:val="24"/>
              </w:rPr>
            </w:pPr>
            <w:r>
              <w:rPr>
                <w:rFonts w:cs="Times New Roman"/>
                <w:szCs w:val="24"/>
              </w:rPr>
              <w:t>Čas (min)</w:t>
            </w:r>
          </w:p>
        </w:tc>
        <w:tc>
          <w:tcPr>
            <w:tcW w:w="0" w:type="auto"/>
          </w:tcPr>
          <w:p w:rsidR="00E6053D" w:rsidRDefault="00E6053D" w:rsidP="00E6053D">
            <w:pPr>
              <w:spacing w:line="360" w:lineRule="auto"/>
              <w:jc w:val="both"/>
              <w:rPr>
                <w:rFonts w:cs="Times New Roman"/>
                <w:szCs w:val="24"/>
              </w:rPr>
            </w:pPr>
            <w:r>
              <w:rPr>
                <w:rFonts w:cs="Times New Roman"/>
                <w:szCs w:val="24"/>
              </w:rPr>
              <w:t>Počet cyklů</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94°C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3min</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94°C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30sec</w:t>
            </w:r>
          </w:p>
        </w:tc>
        <w:tc>
          <w:tcPr>
            <w:tcW w:w="0" w:type="auto"/>
            <w:vMerge w:val="restart"/>
            <w:vAlign w:val="center"/>
          </w:tcPr>
          <w:p w:rsidR="00E6053D" w:rsidRDefault="00E6053D" w:rsidP="00E6053D">
            <w:pPr>
              <w:spacing w:line="360" w:lineRule="auto"/>
              <w:jc w:val="center"/>
              <w:rPr>
                <w:rFonts w:cs="Times New Roman"/>
                <w:szCs w:val="24"/>
              </w:rPr>
            </w:pPr>
          </w:p>
          <w:p w:rsidR="00E6053D" w:rsidRDefault="00E6053D" w:rsidP="00E6053D">
            <w:pPr>
              <w:spacing w:line="360" w:lineRule="auto"/>
              <w:jc w:val="center"/>
              <w:rPr>
                <w:rFonts w:cs="Times New Roman"/>
                <w:szCs w:val="24"/>
              </w:rPr>
            </w:pPr>
            <w:r>
              <w:rPr>
                <w:rFonts w:cs="Times New Roman"/>
                <w:szCs w:val="24"/>
              </w:rPr>
              <w:t>25</w:t>
            </w:r>
          </w:p>
        </w:tc>
      </w:tr>
      <w:tr w:rsidR="00E6053D" w:rsidTr="00E6053D">
        <w:trPr>
          <w:trHeight w:val="48"/>
        </w:trPr>
        <w:tc>
          <w:tcPr>
            <w:tcW w:w="0" w:type="auto"/>
            <w:vAlign w:val="center"/>
          </w:tcPr>
          <w:p w:rsidR="00E6053D" w:rsidRDefault="00E6053D" w:rsidP="00E6053D">
            <w:pPr>
              <w:spacing w:line="360" w:lineRule="auto"/>
              <w:jc w:val="center"/>
              <w:rPr>
                <w:rFonts w:cs="Times New Roman"/>
                <w:szCs w:val="24"/>
              </w:rPr>
            </w:pPr>
            <w:r>
              <w:rPr>
                <w:rFonts w:cs="Times New Roman"/>
                <w:szCs w:val="24"/>
              </w:rPr>
              <w:t>60°C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30sec</w:t>
            </w:r>
          </w:p>
        </w:tc>
        <w:tc>
          <w:tcPr>
            <w:tcW w:w="0" w:type="auto"/>
            <w:vMerge/>
            <w:vAlign w:val="center"/>
          </w:tcPr>
          <w:p w:rsidR="00E6053D" w:rsidRDefault="00E6053D" w:rsidP="00E6053D">
            <w:pPr>
              <w:spacing w:line="360" w:lineRule="auto"/>
              <w:jc w:val="center"/>
              <w:rPr>
                <w:rFonts w:cs="Times New Roman"/>
                <w:szCs w:val="24"/>
              </w:rPr>
            </w:pP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72°C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45sec</w:t>
            </w:r>
          </w:p>
        </w:tc>
        <w:tc>
          <w:tcPr>
            <w:tcW w:w="0" w:type="auto"/>
            <w:vMerge/>
            <w:vAlign w:val="center"/>
          </w:tcPr>
          <w:p w:rsidR="00E6053D" w:rsidRDefault="00E6053D" w:rsidP="00E6053D">
            <w:pPr>
              <w:spacing w:line="360" w:lineRule="auto"/>
              <w:jc w:val="center"/>
              <w:rPr>
                <w:rFonts w:cs="Times New Roman"/>
                <w:szCs w:val="24"/>
              </w:rPr>
            </w:pP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72°C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5min</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1</w:t>
            </w:r>
          </w:p>
        </w:tc>
      </w:tr>
      <w:tr w:rsidR="00E6053D" w:rsidTr="00E6053D">
        <w:tc>
          <w:tcPr>
            <w:tcW w:w="0" w:type="auto"/>
            <w:vAlign w:val="center"/>
          </w:tcPr>
          <w:p w:rsidR="00E6053D" w:rsidRDefault="00E6053D" w:rsidP="00E6053D">
            <w:pPr>
              <w:spacing w:line="360" w:lineRule="auto"/>
              <w:jc w:val="center"/>
              <w:rPr>
                <w:rFonts w:cs="Times New Roman"/>
                <w:szCs w:val="24"/>
              </w:rPr>
            </w:pPr>
            <w:r>
              <w:rPr>
                <w:rFonts w:cs="Times New Roman"/>
                <w:szCs w:val="24"/>
              </w:rPr>
              <w:t>15°C</w:t>
            </w:r>
          </w:p>
        </w:tc>
        <w:tc>
          <w:tcPr>
            <w:tcW w:w="0" w:type="auto"/>
            <w:vAlign w:val="center"/>
          </w:tcPr>
          <w:p w:rsidR="00E6053D" w:rsidRDefault="00E6053D" w:rsidP="00E6053D">
            <w:pPr>
              <w:spacing w:line="360" w:lineRule="auto"/>
              <w:jc w:val="center"/>
              <w:rPr>
                <w:rFonts w:cs="Times New Roman"/>
                <w:szCs w:val="24"/>
              </w:rPr>
            </w:pPr>
            <w:r>
              <w:rPr>
                <w:rFonts w:cs="Times New Roman"/>
                <w:szCs w:val="24"/>
              </w:rPr>
              <w:t>neomezeně</w:t>
            </w:r>
          </w:p>
        </w:tc>
        <w:tc>
          <w:tcPr>
            <w:tcW w:w="0" w:type="auto"/>
            <w:vAlign w:val="center"/>
          </w:tcPr>
          <w:p w:rsidR="00E6053D" w:rsidRDefault="00E6053D" w:rsidP="00E6053D">
            <w:pPr>
              <w:spacing w:line="360" w:lineRule="auto"/>
              <w:jc w:val="center"/>
              <w:rPr>
                <w:rFonts w:cs="Times New Roman"/>
                <w:szCs w:val="24"/>
              </w:rPr>
            </w:pPr>
          </w:p>
        </w:tc>
      </w:tr>
    </w:tbl>
    <w:p w:rsidR="00E6053D" w:rsidRDefault="00E6053D" w:rsidP="00E6053D">
      <w:pPr>
        <w:spacing w:after="0" w:line="360" w:lineRule="auto"/>
        <w:jc w:val="both"/>
        <w:rPr>
          <w:rFonts w:cs="Times New Roman"/>
          <w:szCs w:val="24"/>
        </w:rPr>
      </w:pPr>
    </w:p>
    <w:p w:rsidR="00E6053D" w:rsidRPr="007D7B16" w:rsidRDefault="00E6053D" w:rsidP="00D027D0">
      <w:pPr>
        <w:pStyle w:val="Nadpis3"/>
        <w:numPr>
          <w:ilvl w:val="2"/>
          <w:numId w:val="1"/>
        </w:numPr>
      </w:pPr>
      <w:bookmarkStart w:id="23" w:name="_Toc426029821"/>
      <w:r w:rsidRPr="007D7B16">
        <w:t>Elektroforéza</w:t>
      </w:r>
      <w:bookmarkEnd w:id="23"/>
      <w:r w:rsidRPr="007D7B16">
        <w:t xml:space="preserve"> </w:t>
      </w:r>
    </w:p>
    <w:p w:rsidR="007B67DF" w:rsidRDefault="00E6053D" w:rsidP="00E6053D">
      <w:pPr>
        <w:spacing w:after="0" w:line="360" w:lineRule="auto"/>
        <w:ind w:firstLine="708"/>
        <w:jc w:val="both"/>
        <w:rPr>
          <w:rFonts w:cs="Times New Roman"/>
          <w:szCs w:val="24"/>
        </w:rPr>
      </w:pPr>
      <w:r>
        <w:rPr>
          <w:rFonts w:cs="Times New Roman"/>
          <w:szCs w:val="24"/>
        </w:rPr>
        <w:tab/>
        <w:t>Elektroforéza byla prováděna ve všech případech v 1,5% agarózovém gelu. Na přípravu středního gelu jsem používala 80 ml 0,5xTBE pufru, ve kterém jsem rozpustila 1,2g agarosy a přidala jsem 5 µl ba</w:t>
      </w:r>
      <w:r w:rsidR="00437626">
        <w:rPr>
          <w:rFonts w:cs="Times New Roman"/>
          <w:szCs w:val="24"/>
        </w:rPr>
        <w:t>rviva GelRed (Biotium, CA, USA)</w:t>
      </w:r>
      <w:r>
        <w:rPr>
          <w:rFonts w:cs="Times New Roman"/>
          <w:szCs w:val="24"/>
        </w:rPr>
        <w:t xml:space="preserve">. Gel jsem nechala vychladnut cca 30 min. Do mikrozkumavek s reakční směsí jsem přidala 1 µl 6x loading Dye pro zviditelnění vzorku. Do jamek jsem napipetovala 21 µl směsi a vložila do elektroforetické vany s 0,5x TBE pufrem. Elektroforéza probíhala při 80 voltech přibližně 60 minut. </w:t>
      </w:r>
      <w:r w:rsidRPr="00122639">
        <w:rPr>
          <w:rFonts w:cs="Times New Roman"/>
          <w:szCs w:val="24"/>
        </w:rPr>
        <w:t>Po elektroforéze byl pořízen snímek gelu na GelDocTM EZ Imager, Bio-Rad) a intenzita signálu byla určena pomocí algoritmu ImageJ (Abramoff et al. 2004 ). Normalizace hodnot exprese byla provedena pomocí expr</w:t>
      </w:r>
      <w:r>
        <w:rPr>
          <w:rFonts w:cs="Times New Roman"/>
          <w:szCs w:val="24"/>
        </w:rPr>
        <w:t>e</w:t>
      </w:r>
      <w:r w:rsidRPr="00122639">
        <w:rPr>
          <w:rFonts w:cs="Times New Roman"/>
          <w:szCs w:val="24"/>
        </w:rPr>
        <w:t>sních hodnot provozního genu GAPDG (accession no. Zm3765). V směsi PCR pro gen GAPDG byla použita cDNA 10 krát naředěná. Exprese genů ABP1 a ABP4 v mutantu elm1 pak byla vztažena k hodnotám exprese zjištěným u kontrolního genotypu WT.</w:t>
      </w:r>
    </w:p>
    <w:p w:rsidR="00D027D0" w:rsidRPr="00A82FD1" w:rsidRDefault="00D027D0" w:rsidP="00D027D0">
      <w:pPr>
        <w:pStyle w:val="Nadpis1"/>
        <w:numPr>
          <w:ilvl w:val="0"/>
          <w:numId w:val="1"/>
        </w:numPr>
        <w:spacing w:after="100" w:afterAutospacing="1"/>
      </w:pPr>
      <w:bookmarkStart w:id="24" w:name="_Toc426029822"/>
      <w:r w:rsidRPr="00A82FD1">
        <w:lastRenderedPageBreak/>
        <w:t>Výsledky</w:t>
      </w:r>
      <w:bookmarkEnd w:id="24"/>
      <w:r w:rsidRPr="00A82FD1">
        <w:t xml:space="preserve"> </w:t>
      </w:r>
    </w:p>
    <w:p w:rsidR="00D027D0" w:rsidRPr="00D027D0" w:rsidRDefault="00D027D0" w:rsidP="00D027D0">
      <w:pPr>
        <w:pStyle w:val="Nadpis2"/>
        <w:numPr>
          <w:ilvl w:val="1"/>
          <w:numId w:val="1"/>
        </w:numPr>
        <w:spacing w:after="100" w:afterAutospacing="1"/>
      </w:pPr>
      <w:bookmarkStart w:id="25" w:name="_Toc426029823"/>
      <w:r w:rsidRPr="00D027D0">
        <w:t>Růstové pokusy</w:t>
      </w:r>
      <w:bookmarkEnd w:id="25"/>
      <w:r w:rsidRPr="00D027D0">
        <w:t xml:space="preserve"> </w:t>
      </w:r>
    </w:p>
    <w:p w:rsidR="00D027D0" w:rsidRDefault="00D027D0" w:rsidP="00CA7878">
      <w:pPr>
        <w:spacing w:after="100" w:afterAutospacing="1" w:line="360" w:lineRule="auto"/>
        <w:jc w:val="both"/>
        <w:rPr>
          <w:rFonts w:cs="Times New Roman"/>
          <w:szCs w:val="24"/>
        </w:rPr>
      </w:pPr>
      <w:r>
        <w:rPr>
          <w:rFonts w:cs="Times New Roman"/>
          <w:szCs w:val="24"/>
        </w:rPr>
        <w:tab/>
        <w:t xml:space="preserve">Cílem růstových pokusů bylo zjistit, jak se fytochromy podílí na prodlužování jednotlivých částí rostliny, a to v závislosti na kvalitě světla. Cílem rovněž bylo potvrdit fenotypové znaky mutanta </w:t>
      </w:r>
      <w:r>
        <w:rPr>
          <w:rFonts w:cs="Times New Roman"/>
          <w:i/>
          <w:szCs w:val="24"/>
        </w:rPr>
        <w:t>elm-1</w:t>
      </w:r>
      <w:r>
        <w:rPr>
          <w:rFonts w:cs="Times New Roman"/>
          <w:szCs w:val="24"/>
        </w:rPr>
        <w:t xml:space="preserve">. Pro experimenty byla použita mutovaná rostlina kukuřice </w:t>
      </w:r>
      <w:r>
        <w:rPr>
          <w:rFonts w:cs="Times New Roman"/>
          <w:i/>
          <w:szCs w:val="24"/>
        </w:rPr>
        <w:t>elm-1</w:t>
      </w:r>
      <w:r>
        <w:rPr>
          <w:rFonts w:cs="Times New Roman"/>
          <w:szCs w:val="24"/>
        </w:rPr>
        <w:t xml:space="preserve">, která má mutaci v expresi genu pro syntézu chromoforu fytochromobilinu, které pohlcují červené světlo. V první části byly mutantní a kontrolní rostliny pěstovány při různé kvalitě světla, a to konkrétně na červeném a modrém světle, a ve tmě. Ze srovnání fenotypů kontrolní rostliny a mutanta by mělo být patrné, jak mutace v syntéze chromoforu ovlivňuje růst rostlin kukuřice. Pozorovala jsem rovněž, jak různé vlnové délky ovlivňují růst jednotlivých částí rostliny. </w:t>
      </w:r>
    </w:p>
    <w:p w:rsidR="00D027D0" w:rsidRDefault="00D027D0" w:rsidP="00D027D0">
      <w:pPr>
        <w:pStyle w:val="Nadpis3"/>
        <w:numPr>
          <w:ilvl w:val="2"/>
          <w:numId w:val="1"/>
        </w:numPr>
        <w:spacing w:after="100" w:afterAutospacing="1"/>
      </w:pPr>
      <w:bookmarkStart w:id="26" w:name="_Toc426029824"/>
      <w:r w:rsidRPr="00EE758C">
        <w:t>Vliv světla na růst koleoptile</w:t>
      </w:r>
      <w:bookmarkEnd w:id="26"/>
    </w:p>
    <w:p w:rsidR="00D027D0" w:rsidRPr="001906D4" w:rsidRDefault="00D027D0" w:rsidP="00D027D0">
      <w:pPr>
        <w:spacing w:after="100" w:afterAutospacing="1" w:line="360" w:lineRule="auto"/>
        <w:ind w:firstLine="708"/>
        <w:jc w:val="both"/>
        <w:rPr>
          <w:rFonts w:cs="Times New Roman"/>
          <w:szCs w:val="24"/>
        </w:rPr>
      </w:pPr>
      <w:r>
        <w:rPr>
          <w:rFonts w:cs="Times New Roman"/>
          <w:szCs w:val="24"/>
        </w:rPr>
        <w:t xml:space="preserve">V experimentech bylo zjištěno, že u kontrolní rostliny B73 (WT) modré světlo částečně inhibuje prodlužování koleptile, konkrétně asi o 21%. Na rozdíl od modrého světla, červené světlo nemělo na růst koleoptile žádný vliv </w:t>
      </w:r>
      <w:r w:rsidRPr="00122639">
        <w:rPr>
          <w:rFonts w:cs="Times New Roman"/>
          <w:szCs w:val="24"/>
        </w:rPr>
        <w:t>(Obr.1).</w:t>
      </w:r>
      <w:r>
        <w:rPr>
          <w:rFonts w:cs="Times New Roman"/>
          <w:szCs w:val="24"/>
        </w:rPr>
        <w:t xml:space="preserve"> Mutovaná rostlina se vyznačovala tím, že ve tmě vytvářela mírně kratší koleoptili. Dále u mutantní rostliny nebyl dále pozorován vliv modrého světla na růst koleoptile, ale bylo zřejmé, že červené světlo růst koleoptile </w:t>
      </w:r>
      <w:r w:rsidRPr="00BC5DB5">
        <w:rPr>
          <w:rFonts w:cs="Times New Roman"/>
          <w:i/>
          <w:szCs w:val="24"/>
        </w:rPr>
        <w:t>elm</w:t>
      </w:r>
      <w:r>
        <w:rPr>
          <w:rFonts w:cs="Times New Roman"/>
          <w:i/>
          <w:szCs w:val="24"/>
        </w:rPr>
        <w:t>-</w:t>
      </w:r>
      <w:r w:rsidRPr="00BC5DB5">
        <w:rPr>
          <w:rFonts w:cs="Times New Roman"/>
          <w:i/>
          <w:szCs w:val="24"/>
        </w:rPr>
        <w:t>1</w:t>
      </w:r>
      <w:r>
        <w:rPr>
          <w:rFonts w:cs="Times New Roman"/>
          <w:szCs w:val="24"/>
        </w:rPr>
        <w:t xml:space="preserve"> mírně stimulovalo </w:t>
      </w:r>
      <w:r w:rsidRPr="00122639">
        <w:rPr>
          <w:rFonts w:cs="Times New Roman"/>
          <w:szCs w:val="24"/>
        </w:rPr>
        <w:t>(Obr.1)</w:t>
      </w:r>
      <w:r>
        <w:rPr>
          <w:rFonts w:cs="Times New Roman"/>
          <w:szCs w:val="24"/>
        </w:rPr>
        <w:t xml:space="preserve">. </w:t>
      </w:r>
    </w:p>
    <w:p w:rsidR="00D027D0" w:rsidRDefault="00D027D0" w:rsidP="00D027D0">
      <w:pPr>
        <w:spacing w:line="360" w:lineRule="auto"/>
        <w:jc w:val="center"/>
        <w:rPr>
          <w:rFonts w:cs="Times New Roman"/>
          <w:szCs w:val="24"/>
        </w:rPr>
      </w:pPr>
      <w:r>
        <w:rPr>
          <w:noProof/>
          <w:lang w:eastAsia="cs-CZ"/>
        </w:rPr>
        <w:drawing>
          <wp:inline distT="0" distB="0" distL="0" distR="0" wp14:anchorId="22D3F0F3" wp14:editId="37CF4C55">
            <wp:extent cx="4157472" cy="2395728"/>
            <wp:effectExtent l="0" t="0" r="14605" b="2413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27D0" w:rsidRPr="00386AC9" w:rsidRDefault="00D027D0" w:rsidP="00D027D0">
      <w:pPr>
        <w:spacing w:after="0" w:line="360" w:lineRule="auto"/>
        <w:rPr>
          <w:rFonts w:cs="Times New Roman"/>
          <w:b/>
          <w:szCs w:val="24"/>
        </w:rPr>
      </w:pPr>
      <w:r>
        <w:rPr>
          <w:rFonts w:cs="Times New Roman"/>
          <w:b/>
          <w:szCs w:val="24"/>
        </w:rPr>
        <w:t xml:space="preserve">Obr. </w:t>
      </w:r>
      <w:r w:rsidRPr="00386AC9">
        <w:rPr>
          <w:rFonts w:cs="Times New Roman"/>
          <w:b/>
          <w:szCs w:val="24"/>
        </w:rPr>
        <w:t>1.</w:t>
      </w:r>
      <w:r>
        <w:rPr>
          <w:rFonts w:cs="Times New Roman"/>
          <w:b/>
          <w:szCs w:val="24"/>
        </w:rPr>
        <w:t xml:space="preserve"> Délka</w:t>
      </w:r>
      <w:r w:rsidRPr="00386AC9">
        <w:rPr>
          <w:rFonts w:cs="Times New Roman"/>
          <w:b/>
          <w:szCs w:val="24"/>
        </w:rPr>
        <w:t xml:space="preserve"> koleoptile </w:t>
      </w:r>
      <w:r w:rsidRPr="00386AC9">
        <w:rPr>
          <w:rFonts w:cs="Times New Roman"/>
          <w:b/>
          <w:i/>
          <w:szCs w:val="24"/>
        </w:rPr>
        <w:t>eml-1</w:t>
      </w:r>
      <w:r w:rsidRPr="00386AC9">
        <w:rPr>
          <w:rFonts w:cs="Times New Roman"/>
          <w:b/>
          <w:szCs w:val="24"/>
        </w:rPr>
        <w:t xml:space="preserve"> a WT pěstovaných 7 dní při různé kvalitě světla.</w:t>
      </w:r>
    </w:p>
    <w:p w:rsidR="00D027D0" w:rsidRPr="00122639" w:rsidRDefault="00D027D0" w:rsidP="00A1779F">
      <w:pPr>
        <w:spacing w:after="0" w:line="360" w:lineRule="auto"/>
        <w:ind w:firstLine="708"/>
        <w:rPr>
          <w:rFonts w:cs="Times New Roman"/>
          <w:szCs w:val="24"/>
        </w:rPr>
      </w:pPr>
      <w:r>
        <w:rPr>
          <w:rFonts w:cs="Times New Roman"/>
          <w:szCs w:val="24"/>
        </w:rPr>
        <w:lastRenderedPageBreak/>
        <w:t xml:space="preserve">Data ukazují průměrnou délku koleoptile + SE. Hodnoty byly vypočítány jako průměr z 5 na sobě nezávislých experimentů. V každém experimentu bylo na každé světelné podmínce změřeno průměrně 10 rostlin WT a 9 rostlin </w:t>
      </w:r>
      <w:r>
        <w:rPr>
          <w:rFonts w:cs="Times New Roman"/>
          <w:i/>
          <w:szCs w:val="24"/>
        </w:rPr>
        <w:t>elm-1</w:t>
      </w:r>
      <w:r w:rsidR="00A1779F">
        <w:rPr>
          <w:rFonts w:cs="Times New Roman"/>
          <w:szCs w:val="24"/>
        </w:rPr>
        <w:t xml:space="preserve">.  </w:t>
      </w:r>
    </w:p>
    <w:p w:rsidR="00D027D0" w:rsidRPr="0075738B" w:rsidRDefault="00D027D0" w:rsidP="00D027D0">
      <w:pPr>
        <w:pStyle w:val="Nadpis3"/>
        <w:numPr>
          <w:ilvl w:val="2"/>
          <w:numId w:val="1"/>
        </w:numPr>
        <w:spacing w:after="100" w:afterAutospacing="1"/>
      </w:pPr>
      <w:bookmarkStart w:id="27" w:name="_Toc426029825"/>
      <w:r w:rsidRPr="0075738B">
        <w:t>Vliv světla na</w:t>
      </w:r>
      <w:r>
        <w:t xml:space="preserve"> růst </w:t>
      </w:r>
      <w:r w:rsidRPr="0075738B">
        <w:t xml:space="preserve"> mezokotyl</w:t>
      </w:r>
      <w:r>
        <w:t>u</w:t>
      </w:r>
      <w:bookmarkEnd w:id="27"/>
    </w:p>
    <w:p w:rsidR="00D027D0" w:rsidRDefault="00D027D0" w:rsidP="00D027D0">
      <w:pPr>
        <w:spacing w:after="100" w:afterAutospacing="1" w:line="360" w:lineRule="auto"/>
        <w:ind w:firstLine="708"/>
        <w:jc w:val="both"/>
        <w:rPr>
          <w:rFonts w:cs="Times New Roman"/>
          <w:szCs w:val="24"/>
        </w:rPr>
      </w:pPr>
      <w:r>
        <w:rPr>
          <w:rFonts w:cs="Times New Roman"/>
          <w:szCs w:val="24"/>
        </w:rPr>
        <w:t xml:space="preserve">Je známo, že mezokotyl je velice citlivý na přísun světla. Pokud má světla dostatek, jeho prodlužování se výrazně zpomaluje, na rozdíl od rostlin rostoucích ve tmě, kdy je prodlužování výrazné.  Na Obr. 2 je vidět, že v případě kontrolní rostliny má světlo, jak červené, tak modré, inhibiční vliv na růst mezokotylu. Červené světlo má asi 62% inhibiční účinek na růst mezokotylu, modré světlo mělo inhibiční účinek ještě větší, a to 73%. U mutantní rostliny </w:t>
      </w:r>
      <w:r>
        <w:rPr>
          <w:rFonts w:cs="Times New Roman"/>
          <w:i/>
          <w:szCs w:val="24"/>
        </w:rPr>
        <w:t>elm-1</w:t>
      </w:r>
      <w:r>
        <w:rPr>
          <w:rFonts w:cs="Times New Roman"/>
          <w:szCs w:val="24"/>
        </w:rPr>
        <w:t xml:space="preserve">nebyla inhibice růstu mezokotylu vlivem světla znatelná na červeném světle. V případě modrého světla byla inhibice růstu mezokotylu </w:t>
      </w:r>
      <w:r>
        <w:rPr>
          <w:rFonts w:cs="Times New Roman"/>
          <w:i/>
          <w:szCs w:val="24"/>
        </w:rPr>
        <w:t>elm-1</w:t>
      </w:r>
      <w:r>
        <w:rPr>
          <w:rFonts w:cs="Times New Roman"/>
          <w:szCs w:val="24"/>
        </w:rPr>
        <w:t xml:space="preserve"> pozorována. Konkrétně, mezokotyl na modrém světle byl asi o 47% kratší než mezokotyl rostlin rostoucích ve tmě (Obr. 2). Je tedy zřejmé, že inhibice růstu mezokotylu vlivem světla je u mutantní rostliny nižší než u kontrolní rostliny. Na Obr. 2 lze rovněž vidět, že u rostlin rostoucích ve tmě je mezokotyl mutanta </w:t>
      </w:r>
      <w:r>
        <w:rPr>
          <w:rFonts w:cs="Times New Roman"/>
          <w:i/>
          <w:szCs w:val="24"/>
        </w:rPr>
        <w:t xml:space="preserve">elm-1 </w:t>
      </w:r>
      <w:r>
        <w:rPr>
          <w:rFonts w:cs="Times New Roman"/>
          <w:szCs w:val="24"/>
        </w:rPr>
        <w:t xml:space="preserve">výrazně delší než mezokotyl WT.      </w:t>
      </w:r>
    </w:p>
    <w:p w:rsidR="00D027D0" w:rsidRDefault="00D027D0" w:rsidP="00D027D0">
      <w:pPr>
        <w:spacing w:line="360" w:lineRule="auto"/>
        <w:jc w:val="center"/>
        <w:rPr>
          <w:rFonts w:cs="Times New Roman"/>
          <w:szCs w:val="24"/>
        </w:rPr>
      </w:pPr>
      <w:r>
        <w:rPr>
          <w:noProof/>
          <w:lang w:eastAsia="cs-CZ"/>
        </w:rPr>
        <w:drawing>
          <wp:inline distT="0" distB="0" distL="0" distR="0" wp14:anchorId="26B0193F" wp14:editId="4CC53A7C">
            <wp:extent cx="4126992" cy="2346960"/>
            <wp:effectExtent l="0" t="0" r="26035" b="152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27D0" w:rsidRPr="00386AC9" w:rsidRDefault="00D027D0" w:rsidP="00D027D0">
      <w:pPr>
        <w:spacing w:after="0" w:line="360" w:lineRule="auto"/>
        <w:rPr>
          <w:rFonts w:cs="Times New Roman"/>
          <w:b/>
          <w:szCs w:val="24"/>
        </w:rPr>
      </w:pPr>
      <w:r w:rsidRPr="00386AC9">
        <w:rPr>
          <w:rFonts w:cs="Times New Roman"/>
          <w:b/>
          <w:szCs w:val="24"/>
        </w:rPr>
        <w:t>Obr.</w:t>
      </w:r>
      <w:r>
        <w:rPr>
          <w:rFonts w:cs="Times New Roman"/>
          <w:b/>
          <w:szCs w:val="24"/>
        </w:rPr>
        <w:t xml:space="preserve"> </w:t>
      </w:r>
      <w:r w:rsidRPr="00386AC9">
        <w:rPr>
          <w:rFonts w:cs="Times New Roman"/>
          <w:b/>
          <w:szCs w:val="24"/>
        </w:rPr>
        <w:t xml:space="preserve">2. Délka mezokotylu </w:t>
      </w:r>
      <w:r w:rsidRPr="00386AC9">
        <w:rPr>
          <w:rFonts w:cs="Times New Roman"/>
          <w:b/>
          <w:i/>
          <w:szCs w:val="24"/>
        </w:rPr>
        <w:t>eml-1</w:t>
      </w:r>
      <w:r w:rsidRPr="00386AC9">
        <w:rPr>
          <w:rFonts w:cs="Times New Roman"/>
          <w:b/>
          <w:szCs w:val="24"/>
        </w:rPr>
        <w:t xml:space="preserve"> a WT pěstovaných 7 dní při různé kvalitě světla.</w:t>
      </w:r>
    </w:p>
    <w:p w:rsidR="00D027D0" w:rsidRDefault="00D027D0" w:rsidP="00D027D0">
      <w:pPr>
        <w:spacing w:after="0" w:line="360" w:lineRule="auto"/>
        <w:ind w:firstLine="708"/>
        <w:rPr>
          <w:rFonts w:cs="Times New Roman"/>
          <w:szCs w:val="24"/>
        </w:rPr>
      </w:pPr>
      <w:r>
        <w:rPr>
          <w:rFonts w:cs="Times New Roman"/>
          <w:szCs w:val="24"/>
        </w:rPr>
        <w:t xml:space="preserve">Data ukazují průměrné délky mezokotylů + SE, získané v 5 na sobě nezávislých experimentech. V každém experimentu bylo na každé světelné podmínce změřeno průměrně 10 rostlin WT a 9 rostlin </w:t>
      </w:r>
      <w:r>
        <w:rPr>
          <w:rFonts w:cs="Times New Roman"/>
          <w:i/>
          <w:szCs w:val="24"/>
        </w:rPr>
        <w:t>elm-1</w:t>
      </w:r>
      <w:r>
        <w:rPr>
          <w:rFonts w:cs="Times New Roman"/>
          <w:szCs w:val="24"/>
        </w:rPr>
        <w:t xml:space="preserve">.  </w:t>
      </w:r>
    </w:p>
    <w:p w:rsidR="00D027D0" w:rsidRDefault="00D027D0" w:rsidP="00D027D0">
      <w:pPr>
        <w:pStyle w:val="Nadpis3"/>
        <w:numPr>
          <w:ilvl w:val="2"/>
          <w:numId w:val="1"/>
        </w:numPr>
        <w:spacing w:after="100" w:afterAutospacing="1"/>
      </w:pPr>
      <w:bookmarkStart w:id="28" w:name="_Toc426029826"/>
      <w:r>
        <w:lastRenderedPageBreak/>
        <w:t>Účinky světla na počet seminálních kořenů</w:t>
      </w:r>
      <w:bookmarkEnd w:id="28"/>
    </w:p>
    <w:p w:rsidR="00D027D0" w:rsidRDefault="00D027D0" w:rsidP="00D027D0">
      <w:pPr>
        <w:spacing w:after="100" w:afterAutospacing="1" w:line="360" w:lineRule="auto"/>
        <w:ind w:firstLine="708"/>
        <w:jc w:val="both"/>
        <w:rPr>
          <w:rFonts w:cs="Times New Roman"/>
          <w:szCs w:val="24"/>
        </w:rPr>
      </w:pPr>
      <w:r>
        <w:rPr>
          <w:rFonts w:cs="Times New Roman"/>
          <w:szCs w:val="24"/>
        </w:rPr>
        <w:t xml:space="preserve">U obou testovaných genotypů nemělo světlo zásadní vliv na počet seminálních kořenů (Obr.3). Zároveň je zřejmé, že u </w:t>
      </w:r>
      <w:r>
        <w:rPr>
          <w:rFonts w:cs="Times New Roman"/>
          <w:i/>
          <w:szCs w:val="24"/>
        </w:rPr>
        <w:t>elm-1</w:t>
      </w:r>
      <w:r>
        <w:rPr>
          <w:rFonts w:cs="Times New Roman"/>
          <w:szCs w:val="24"/>
        </w:rPr>
        <w:t xml:space="preserve"> byl počet seminálních kořenů o třetinu nižší, oproti počtu pozorovanému u WT (Obr. 3).</w:t>
      </w:r>
    </w:p>
    <w:p w:rsidR="00D027D0" w:rsidRDefault="00D027D0" w:rsidP="00D027D0">
      <w:pPr>
        <w:spacing w:line="360" w:lineRule="auto"/>
        <w:jc w:val="center"/>
        <w:rPr>
          <w:rFonts w:cs="Times New Roman"/>
          <w:szCs w:val="24"/>
        </w:rPr>
      </w:pPr>
      <w:r>
        <w:rPr>
          <w:noProof/>
          <w:lang w:eastAsia="cs-CZ"/>
        </w:rPr>
        <w:drawing>
          <wp:inline distT="0" distB="0" distL="0" distR="0" wp14:anchorId="45619484" wp14:editId="4B8B7441">
            <wp:extent cx="4373217" cy="2830665"/>
            <wp:effectExtent l="0" t="0" r="27940" b="2730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27D0" w:rsidRPr="00386AC9" w:rsidRDefault="00D027D0" w:rsidP="00D027D0">
      <w:pPr>
        <w:spacing w:after="0" w:line="360" w:lineRule="auto"/>
        <w:rPr>
          <w:rFonts w:cs="Times New Roman"/>
          <w:b/>
          <w:szCs w:val="24"/>
        </w:rPr>
      </w:pPr>
      <w:r w:rsidRPr="00386AC9">
        <w:rPr>
          <w:rFonts w:cs="Times New Roman"/>
          <w:b/>
          <w:szCs w:val="24"/>
        </w:rPr>
        <w:t>Obr.</w:t>
      </w:r>
      <w:r>
        <w:rPr>
          <w:rFonts w:cs="Times New Roman"/>
          <w:b/>
          <w:szCs w:val="24"/>
        </w:rPr>
        <w:t xml:space="preserve"> 3. Počet seminálních kořenů</w:t>
      </w:r>
      <w:r w:rsidRPr="00386AC9">
        <w:rPr>
          <w:rFonts w:cs="Times New Roman"/>
          <w:b/>
          <w:szCs w:val="24"/>
        </w:rPr>
        <w:t xml:space="preserve"> </w:t>
      </w:r>
      <w:r w:rsidRPr="00386AC9">
        <w:rPr>
          <w:rFonts w:cs="Times New Roman"/>
          <w:b/>
          <w:i/>
          <w:szCs w:val="24"/>
        </w:rPr>
        <w:t>eml-1</w:t>
      </w:r>
      <w:r w:rsidRPr="00386AC9">
        <w:rPr>
          <w:rFonts w:cs="Times New Roman"/>
          <w:b/>
          <w:szCs w:val="24"/>
        </w:rPr>
        <w:t xml:space="preserve"> a WT pěstovaných 7 dní při různé kvalitě světla.</w:t>
      </w:r>
    </w:p>
    <w:p w:rsidR="00D027D0" w:rsidRDefault="00D027D0" w:rsidP="00437626">
      <w:pPr>
        <w:spacing w:after="0" w:line="360" w:lineRule="auto"/>
        <w:ind w:firstLine="708"/>
        <w:rPr>
          <w:rFonts w:cs="Times New Roman"/>
          <w:szCs w:val="24"/>
        </w:rPr>
      </w:pPr>
      <w:r>
        <w:rPr>
          <w:rFonts w:cs="Times New Roman"/>
          <w:szCs w:val="24"/>
        </w:rPr>
        <w:t xml:space="preserve">Data ukazují průměrný počet seminálních kořenů + SE. Hodnoty byly vypočítány jako průměr z 5 na sobě nezávislých experimentů. V každém experimentu bylo na každé světelné podmínce změřeno průměrně 10 rostlin WT a 9 rostlin </w:t>
      </w:r>
      <w:r>
        <w:rPr>
          <w:rFonts w:cs="Times New Roman"/>
          <w:i/>
          <w:szCs w:val="24"/>
        </w:rPr>
        <w:t>elm-1</w:t>
      </w:r>
      <w:r>
        <w:rPr>
          <w:rFonts w:cs="Times New Roman"/>
          <w:szCs w:val="24"/>
        </w:rPr>
        <w:t>.</w:t>
      </w:r>
      <w:r>
        <w:rPr>
          <w:rFonts w:cs="Times New Roman"/>
          <w:szCs w:val="24"/>
        </w:rPr>
        <w:br w:type="page"/>
      </w:r>
    </w:p>
    <w:p w:rsidR="00D027D0" w:rsidRPr="007C6F12" w:rsidRDefault="00D027D0" w:rsidP="00D027D0">
      <w:pPr>
        <w:pStyle w:val="Nadpis3"/>
        <w:numPr>
          <w:ilvl w:val="2"/>
          <w:numId w:val="1"/>
        </w:numPr>
        <w:spacing w:after="100" w:afterAutospacing="1"/>
      </w:pPr>
      <w:bookmarkStart w:id="29" w:name="_Toc426029827"/>
      <w:r>
        <w:lastRenderedPageBreak/>
        <w:t>Vliv světla na délku seminálních</w:t>
      </w:r>
      <w:r w:rsidRPr="007C6F12">
        <w:t xml:space="preserve"> kořenů</w:t>
      </w:r>
      <w:bookmarkEnd w:id="29"/>
    </w:p>
    <w:p w:rsidR="00D027D0" w:rsidRDefault="00D027D0" w:rsidP="00D027D0">
      <w:pPr>
        <w:spacing w:after="100" w:afterAutospacing="1" w:line="360" w:lineRule="auto"/>
        <w:ind w:firstLine="708"/>
        <w:jc w:val="both"/>
        <w:rPr>
          <w:rFonts w:cs="Times New Roman"/>
          <w:szCs w:val="24"/>
        </w:rPr>
      </w:pPr>
      <w:r>
        <w:rPr>
          <w:rFonts w:cs="Times New Roman"/>
          <w:szCs w:val="24"/>
        </w:rPr>
        <w:t xml:space="preserve">Z grafu na Obr. 4 je zřejmé, že modré ani červené světlo nemělo výrazný vliv na délku seminálních kořenů, a to jak u kontrolní rostliny, tak u mutantní rostliny. Současně se ukázalo, že mutace </w:t>
      </w:r>
      <w:r>
        <w:rPr>
          <w:rFonts w:cs="Times New Roman"/>
          <w:i/>
          <w:szCs w:val="24"/>
        </w:rPr>
        <w:t>elm-1</w:t>
      </w:r>
      <w:r>
        <w:rPr>
          <w:rFonts w:cs="Times New Roman"/>
          <w:szCs w:val="24"/>
        </w:rPr>
        <w:t xml:space="preserve"> nemá na délku seminálních kořenů vliv (Obr. 4).</w:t>
      </w:r>
    </w:p>
    <w:p w:rsidR="00D027D0" w:rsidRDefault="00D027D0" w:rsidP="00D027D0">
      <w:pPr>
        <w:spacing w:line="360" w:lineRule="auto"/>
        <w:jc w:val="center"/>
        <w:rPr>
          <w:rFonts w:cs="Times New Roman"/>
          <w:szCs w:val="24"/>
        </w:rPr>
      </w:pPr>
      <w:r>
        <w:rPr>
          <w:noProof/>
          <w:lang w:eastAsia="cs-CZ"/>
        </w:rPr>
        <w:drawing>
          <wp:inline distT="0" distB="0" distL="0" distR="0" wp14:anchorId="3FF7B575" wp14:editId="1CF92D29">
            <wp:extent cx="4301656" cy="2751152"/>
            <wp:effectExtent l="0" t="0" r="2286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27D0" w:rsidRPr="00386AC9" w:rsidRDefault="00D027D0" w:rsidP="00D027D0">
      <w:pPr>
        <w:spacing w:after="0" w:line="360" w:lineRule="auto"/>
        <w:rPr>
          <w:rFonts w:cs="Times New Roman"/>
          <w:b/>
          <w:szCs w:val="24"/>
        </w:rPr>
      </w:pPr>
      <w:r w:rsidRPr="00386AC9">
        <w:rPr>
          <w:rFonts w:cs="Times New Roman"/>
          <w:b/>
          <w:szCs w:val="24"/>
        </w:rPr>
        <w:t>Obr.</w:t>
      </w:r>
      <w:r>
        <w:rPr>
          <w:rFonts w:cs="Times New Roman"/>
          <w:b/>
          <w:szCs w:val="24"/>
        </w:rPr>
        <w:t xml:space="preserve"> 4. Délka seminálních kořenů</w:t>
      </w:r>
      <w:r w:rsidRPr="00386AC9">
        <w:rPr>
          <w:rFonts w:cs="Times New Roman"/>
          <w:b/>
          <w:szCs w:val="24"/>
        </w:rPr>
        <w:t xml:space="preserve"> </w:t>
      </w:r>
      <w:r w:rsidRPr="00386AC9">
        <w:rPr>
          <w:rFonts w:cs="Times New Roman"/>
          <w:b/>
          <w:i/>
          <w:szCs w:val="24"/>
        </w:rPr>
        <w:t>eml-1</w:t>
      </w:r>
      <w:r w:rsidRPr="00386AC9">
        <w:rPr>
          <w:rFonts w:cs="Times New Roman"/>
          <w:b/>
          <w:szCs w:val="24"/>
        </w:rPr>
        <w:t xml:space="preserve"> a WT pěstovaných 7 dní při různé kvalitě světla.</w:t>
      </w:r>
    </w:p>
    <w:p w:rsidR="00437626" w:rsidRDefault="00D027D0" w:rsidP="00437626">
      <w:pPr>
        <w:spacing w:after="0" w:line="360" w:lineRule="auto"/>
        <w:ind w:firstLine="708"/>
        <w:jc w:val="both"/>
        <w:rPr>
          <w:rFonts w:cs="Times New Roman"/>
          <w:szCs w:val="24"/>
        </w:rPr>
      </w:pPr>
      <w:r>
        <w:rPr>
          <w:rFonts w:cs="Times New Roman"/>
          <w:szCs w:val="24"/>
        </w:rPr>
        <w:t xml:space="preserve">Data ukazují průměrnou délku seminálních kořenů + SE. Hodnoty byly vypočítány jako průměr z 5 na sobě nezávislých experimentů. V každém experimentu bylo na každé světelné podmínce změřeno průměrně 10 rostlin WT a 9 rostlin </w:t>
      </w:r>
      <w:r>
        <w:rPr>
          <w:rFonts w:cs="Times New Roman"/>
          <w:i/>
          <w:szCs w:val="24"/>
        </w:rPr>
        <w:t>elm-1</w:t>
      </w:r>
      <w:r>
        <w:rPr>
          <w:rFonts w:cs="Times New Roman"/>
          <w:szCs w:val="24"/>
        </w:rPr>
        <w:t>.</w:t>
      </w:r>
    </w:p>
    <w:p w:rsidR="00D027D0" w:rsidRDefault="00D027D0" w:rsidP="00437626">
      <w:pPr>
        <w:spacing w:after="0" w:line="360" w:lineRule="auto"/>
        <w:ind w:firstLine="708"/>
        <w:jc w:val="both"/>
        <w:rPr>
          <w:rFonts w:cs="Times New Roman"/>
          <w:szCs w:val="24"/>
        </w:rPr>
      </w:pPr>
      <w:r>
        <w:rPr>
          <w:rFonts w:cs="Times New Roman"/>
          <w:szCs w:val="24"/>
        </w:rPr>
        <w:br w:type="page"/>
      </w:r>
    </w:p>
    <w:p w:rsidR="00D027D0" w:rsidRDefault="00D027D0" w:rsidP="00D027D0">
      <w:pPr>
        <w:pStyle w:val="Nadpis3"/>
        <w:numPr>
          <w:ilvl w:val="2"/>
          <w:numId w:val="1"/>
        </w:numPr>
        <w:spacing w:after="100" w:afterAutospacing="1"/>
      </w:pPr>
      <w:bookmarkStart w:id="30" w:name="_Toc426029828"/>
      <w:r w:rsidRPr="00193913">
        <w:lastRenderedPageBreak/>
        <w:t>Vliv světla na délku primárního kořene</w:t>
      </w:r>
      <w:bookmarkEnd w:id="30"/>
      <w:r w:rsidRPr="00193913">
        <w:t xml:space="preserve"> </w:t>
      </w:r>
    </w:p>
    <w:p w:rsidR="00D027D0" w:rsidRPr="00193913" w:rsidRDefault="00D027D0" w:rsidP="00D027D0">
      <w:pPr>
        <w:spacing w:after="100" w:afterAutospacing="1" w:line="360" w:lineRule="auto"/>
        <w:ind w:firstLine="708"/>
        <w:jc w:val="both"/>
        <w:rPr>
          <w:rFonts w:cs="Times New Roman"/>
          <w:szCs w:val="24"/>
        </w:rPr>
      </w:pPr>
      <w:r>
        <w:rPr>
          <w:rFonts w:cs="Times New Roman"/>
          <w:szCs w:val="24"/>
        </w:rPr>
        <w:t xml:space="preserve">Na Obr. 5 je vidět, že WT i mutant </w:t>
      </w:r>
      <w:r>
        <w:rPr>
          <w:rFonts w:cs="Times New Roman"/>
          <w:i/>
          <w:szCs w:val="24"/>
        </w:rPr>
        <w:t>elm1</w:t>
      </w:r>
      <w:r>
        <w:rPr>
          <w:rFonts w:cs="Times New Roman"/>
          <w:szCs w:val="24"/>
        </w:rPr>
        <w:t xml:space="preserve"> měly primární kořen podobné délky a dále je zřejmé, že kvalita světla neměla na délku hlavního kořene vliv, a to jak v případě kontrolní rostliny, tak mutanta </w:t>
      </w:r>
      <w:r>
        <w:rPr>
          <w:rFonts w:cs="Times New Roman"/>
          <w:i/>
          <w:szCs w:val="24"/>
        </w:rPr>
        <w:t>elm1</w:t>
      </w:r>
      <w:r>
        <w:rPr>
          <w:rFonts w:cs="Times New Roman"/>
          <w:szCs w:val="24"/>
        </w:rPr>
        <w:t xml:space="preserve">. </w:t>
      </w:r>
    </w:p>
    <w:p w:rsidR="00D027D0" w:rsidRDefault="00D027D0" w:rsidP="00D027D0">
      <w:pPr>
        <w:spacing w:line="360" w:lineRule="auto"/>
        <w:jc w:val="center"/>
        <w:rPr>
          <w:rFonts w:cs="Times New Roman"/>
          <w:szCs w:val="24"/>
        </w:rPr>
      </w:pPr>
      <w:r>
        <w:rPr>
          <w:noProof/>
          <w:lang w:eastAsia="cs-CZ"/>
        </w:rPr>
        <w:drawing>
          <wp:inline distT="0" distB="0" distL="0" distR="0" wp14:anchorId="1E4647B4" wp14:editId="093974A6">
            <wp:extent cx="4428876" cy="2790908"/>
            <wp:effectExtent l="0" t="0" r="10160"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27D0" w:rsidRPr="00386AC9" w:rsidRDefault="00D027D0" w:rsidP="00D027D0">
      <w:pPr>
        <w:spacing w:after="0" w:line="360" w:lineRule="auto"/>
        <w:rPr>
          <w:rFonts w:cs="Times New Roman"/>
          <w:b/>
          <w:szCs w:val="24"/>
        </w:rPr>
      </w:pPr>
      <w:r w:rsidRPr="00386AC9">
        <w:rPr>
          <w:rFonts w:cs="Times New Roman"/>
          <w:b/>
          <w:szCs w:val="24"/>
        </w:rPr>
        <w:t>Obr.</w:t>
      </w:r>
      <w:r>
        <w:rPr>
          <w:rFonts w:cs="Times New Roman"/>
          <w:b/>
          <w:szCs w:val="24"/>
        </w:rPr>
        <w:t xml:space="preserve"> 5. Délka primárních kořenů</w:t>
      </w:r>
      <w:r w:rsidRPr="00386AC9">
        <w:rPr>
          <w:rFonts w:cs="Times New Roman"/>
          <w:b/>
          <w:szCs w:val="24"/>
        </w:rPr>
        <w:t xml:space="preserve"> </w:t>
      </w:r>
      <w:r w:rsidRPr="00386AC9">
        <w:rPr>
          <w:rFonts w:cs="Times New Roman"/>
          <w:b/>
          <w:i/>
          <w:szCs w:val="24"/>
        </w:rPr>
        <w:t>eml-1</w:t>
      </w:r>
      <w:r w:rsidRPr="00386AC9">
        <w:rPr>
          <w:rFonts w:cs="Times New Roman"/>
          <w:b/>
          <w:szCs w:val="24"/>
        </w:rPr>
        <w:t xml:space="preserve"> a WT pěstovaných 7 dní při různé kvalitě světla.</w:t>
      </w:r>
    </w:p>
    <w:p w:rsidR="00D027D0" w:rsidRDefault="00D027D0" w:rsidP="00CA7878">
      <w:pPr>
        <w:spacing w:after="0" w:line="360" w:lineRule="auto"/>
        <w:ind w:firstLine="708"/>
        <w:jc w:val="both"/>
        <w:rPr>
          <w:rFonts w:cs="Times New Roman"/>
          <w:szCs w:val="24"/>
        </w:rPr>
      </w:pPr>
      <w:r>
        <w:rPr>
          <w:rFonts w:cs="Times New Roman"/>
          <w:szCs w:val="24"/>
        </w:rPr>
        <w:t xml:space="preserve">Data ukazují průměrné délky primárních kořenů + SE, získané v 5 na sobě nezávislých experimentech. V každém experimentu bylo na každé světelné podmínce změřeno průměrně 10 rostlin WT a 9 rostlin </w:t>
      </w:r>
      <w:r>
        <w:rPr>
          <w:rFonts w:cs="Times New Roman"/>
          <w:i/>
          <w:szCs w:val="24"/>
        </w:rPr>
        <w:t>elm-1</w:t>
      </w:r>
      <w:r w:rsidR="00CA7878">
        <w:rPr>
          <w:rFonts w:cs="Times New Roman"/>
          <w:szCs w:val="24"/>
        </w:rPr>
        <w:t>.</w:t>
      </w:r>
    </w:p>
    <w:p w:rsidR="00CA7878" w:rsidRDefault="00CA7878" w:rsidP="00CA7878">
      <w:pPr>
        <w:spacing w:after="0" w:line="360" w:lineRule="auto"/>
        <w:ind w:firstLine="708"/>
        <w:jc w:val="both"/>
        <w:rPr>
          <w:rFonts w:cs="Times New Roman"/>
          <w:szCs w:val="24"/>
        </w:rPr>
      </w:pPr>
    </w:p>
    <w:p w:rsidR="00D027D0" w:rsidRDefault="00D027D0" w:rsidP="00D027D0">
      <w:pPr>
        <w:pStyle w:val="Nadpis2"/>
        <w:numPr>
          <w:ilvl w:val="1"/>
          <w:numId w:val="1"/>
        </w:numPr>
        <w:spacing w:after="100" w:afterAutospacing="1"/>
      </w:pPr>
      <w:bookmarkStart w:id="31" w:name="_Toc426029829"/>
      <w:r w:rsidRPr="00666EBF">
        <w:t>Expresní experimenty</w:t>
      </w:r>
      <w:bookmarkEnd w:id="31"/>
    </w:p>
    <w:p w:rsidR="00D027D0" w:rsidRPr="001056FD" w:rsidRDefault="00D027D0" w:rsidP="00CA7878">
      <w:pPr>
        <w:spacing w:after="100" w:afterAutospacing="1" w:line="360" w:lineRule="auto"/>
        <w:jc w:val="both"/>
        <w:rPr>
          <w:rFonts w:cs="Times New Roman"/>
          <w:szCs w:val="24"/>
        </w:rPr>
      </w:pPr>
      <w:r>
        <w:rPr>
          <w:rFonts w:cs="Times New Roman"/>
          <w:b/>
          <w:szCs w:val="24"/>
        </w:rPr>
        <w:tab/>
      </w:r>
      <w:r>
        <w:rPr>
          <w:rFonts w:cs="Times New Roman"/>
          <w:szCs w:val="24"/>
        </w:rPr>
        <w:t xml:space="preserve">Cílem expresních experimentů bylo zjistit, zda světelné signální dráhy zprostředkované chromofory ovlivňují auxinové signální dráhy zprostředkované  auxin-binding proteiny. Prakticky bylo zjišťováno, zda mutace v syntéze chromoforu fytochromobilinu, tedy redukované množství funkčních fytochromů, má vliv na expresi genů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K experimentu byl opět použit mutant kukuřice </w:t>
      </w:r>
      <w:r>
        <w:rPr>
          <w:rFonts w:cs="Times New Roman"/>
          <w:i/>
          <w:szCs w:val="24"/>
        </w:rPr>
        <w:t>elm-1</w:t>
      </w:r>
      <w:r>
        <w:rPr>
          <w:rFonts w:cs="Times New Roman"/>
          <w:szCs w:val="24"/>
        </w:rPr>
        <w:t xml:space="preserve">. Exprese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byla studována v mezokotylech rostlin pěstovaných ve tmě, na modrém a červeném světle. </w:t>
      </w:r>
    </w:p>
    <w:p w:rsidR="00D027D0" w:rsidRDefault="00D027D0" w:rsidP="00633585">
      <w:pPr>
        <w:pStyle w:val="Nadpis3"/>
        <w:numPr>
          <w:ilvl w:val="2"/>
          <w:numId w:val="1"/>
        </w:numPr>
        <w:spacing w:after="100" w:afterAutospacing="1"/>
      </w:pPr>
      <w:bookmarkStart w:id="32" w:name="_Toc426029830"/>
      <w:r>
        <w:t>Vliv světla na expresi</w:t>
      </w:r>
      <w:r w:rsidRPr="00AF5E77">
        <w:t xml:space="preserve"> genu </w:t>
      </w:r>
      <w:r w:rsidRPr="005B49A3">
        <w:rPr>
          <w:i/>
        </w:rPr>
        <w:t>ABP1</w:t>
      </w:r>
      <w:bookmarkEnd w:id="32"/>
    </w:p>
    <w:p w:rsidR="00633585" w:rsidRDefault="00D027D0" w:rsidP="00633585">
      <w:pPr>
        <w:spacing w:after="100" w:afterAutospacing="1" w:line="360" w:lineRule="auto"/>
        <w:ind w:firstLine="708"/>
        <w:jc w:val="both"/>
        <w:rPr>
          <w:rFonts w:cs="Times New Roman"/>
          <w:szCs w:val="24"/>
        </w:rPr>
      </w:pPr>
      <w:r>
        <w:rPr>
          <w:rFonts w:cs="Times New Roman"/>
          <w:szCs w:val="24"/>
        </w:rPr>
        <w:t xml:space="preserve">Cílem tohoto experimentu bylo zjistit, zda světlo a fytochromy ovlivňují expresi genu </w:t>
      </w:r>
      <w:r>
        <w:rPr>
          <w:rFonts w:cs="Times New Roman"/>
          <w:i/>
          <w:szCs w:val="24"/>
        </w:rPr>
        <w:t>ABP1</w:t>
      </w:r>
      <w:r>
        <w:rPr>
          <w:rFonts w:cs="Times New Roman"/>
          <w:szCs w:val="24"/>
        </w:rPr>
        <w:t xml:space="preserve">v mezokotylu kukuřice.  Na Obr. 6 je vidět, že mutace </w:t>
      </w:r>
      <w:r>
        <w:rPr>
          <w:rFonts w:cs="Times New Roman"/>
          <w:i/>
          <w:szCs w:val="24"/>
        </w:rPr>
        <w:t>elm-1</w:t>
      </w:r>
      <w:r>
        <w:rPr>
          <w:rFonts w:cs="Times New Roman"/>
          <w:szCs w:val="24"/>
        </w:rPr>
        <w:t xml:space="preserve"> vedla k výraznému snížení </w:t>
      </w:r>
      <w:r>
        <w:rPr>
          <w:rFonts w:cs="Times New Roman"/>
          <w:szCs w:val="24"/>
        </w:rPr>
        <w:lastRenderedPageBreak/>
        <w:t xml:space="preserve">exprese genu </w:t>
      </w:r>
      <w:r>
        <w:rPr>
          <w:rFonts w:cs="Times New Roman"/>
          <w:i/>
          <w:szCs w:val="24"/>
        </w:rPr>
        <w:t>ABP1</w:t>
      </w:r>
      <w:r>
        <w:rPr>
          <w:rFonts w:cs="Times New Roman"/>
          <w:szCs w:val="24"/>
        </w:rPr>
        <w:t xml:space="preserve"> (asi o 70% oproti kontrolní rostlině) v etiolovaných rostlinách. Dále je vidět, že u kontrolní rostliny, světlo (červené a modré) inhibuje expresi </w:t>
      </w:r>
      <w:r>
        <w:rPr>
          <w:rFonts w:cs="Times New Roman"/>
          <w:i/>
          <w:szCs w:val="24"/>
        </w:rPr>
        <w:t>ABP1</w:t>
      </w:r>
      <w:r>
        <w:rPr>
          <w:rFonts w:cs="Times New Roman"/>
          <w:szCs w:val="24"/>
        </w:rPr>
        <w:t xml:space="preserve">, a to o 20% u obou typů světla. U mutantní rostliny, byla exprese </w:t>
      </w:r>
      <w:r>
        <w:rPr>
          <w:rFonts w:cs="Times New Roman"/>
          <w:i/>
          <w:szCs w:val="24"/>
        </w:rPr>
        <w:t>ABP1</w:t>
      </w:r>
      <w:r>
        <w:rPr>
          <w:rFonts w:cs="Times New Roman"/>
          <w:szCs w:val="24"/>
        </w:rPr>
        <w:t xml:space="preserve"> na modrém a červeném světle rovněž potlačena. Pokud však srovnáme citlivost WT a </w:t>
      </w:r>
      <w:r>
        <w:rPr>
          <w:rFonts w:cs="Times New Roman"/>
          <w:i/>
          <w:szCs w:val="24"/>
        </w:rPr>
        <w:t>elm1</w:t>
      </w:r>
      <w:r>
        <w:rPr>
          <w:rFonts w:cs="Times New Roman"/>
          <w:szCs w:val="24"/>
        </w:rPr>
        <w:t xml:space="preserve"> ke světlu, co se týče exprese </w:t>
      </w:r>
      <w:r>
        <w:rPr>
          <w:rFonts w:cs="Times New Roman"/>
          <w:i/>
          <w:szCs w:val="24"/>
        </w:rPr>
        <w:t>ABP1</w:t>
      </w:r>
      <w:r>
        <w:rPr>
          <w:rFonts w:cs="Times New Roman"/>
          <w:szCs w:val="24"/>
        </w:rPr>
        <w:t xml:space="preserve">, je vidět, že modré světlo mělo u mutanta </w:t>
      </w:r>
      <w:r>
        <w:rPr>
          <w:rFonts w:cs="Times New Roman"/>
          <w:i/>
          <w:szCs w:val="24"/>
        </w:rPr>
        <w:t>elm1</w:t>
      </w:r>
      <w:r>
        <w:rPr>
          <w:rFonts w:cs="Times New Roman"/>
          <w:szCs w:val="24"/>
        </w:rPr>
        <w:t xml:space="preserve"> na expresi </w:t>
      </w:r>
      <w:r>
        <w:rPr>
          <w:rFonts w:cs="Times New Roman"/>
          <w:i/>
          <w:szCs w:val="24"/>
        </w:rPr>
        <w:t>ABP1</w:t>
      </w:r>
      <w:r>
        <w:rPr>
          <w:rFonts w:cs="Times New Roman"/>
          <w:szCs w:val="24"/>
        </w:rPr>
        <w:t xml:space="preserve"> jen nepatrný inhibiční vliv (oproti 20% u WT) a červené světlo naopak stimulovalo expresi (asi o 50%) (Obr. 6.)</w:t>
      </w:r>
    </w:p>
    <w:p w:rsidR="00D027D0" w:rsidRDefault="00D027D0" w:rsidP="00633585">
      <w:pPr>
        <w:spacing w:after="100" w:afterAutospacing="1" w:line="360" w:lineRule="auto"/>
        <w:ind w:firstLine="708"/>
        <w:jc w:val="center"/>
        <w:rPr>
          <w:rFonts w:cs="Times New Roman"/>
          <w:szCs w:val="24"/>
        </w:rPr>
      </w:pPr>
      <w:r>
        <w:rPr>
          <w:noProof/>
          <w:lang w:eastAsia="cs-CZ"/>
        </w:rPr>
        <w:drawing>
          <wp:inline distT="0" distB="0" distL="0" distR="0" wp14:anchorId="7C3CB6E1" wp14:editId="4040C6E1">
            <wp:extent cx="4620768" cy="2420112"/>
            <wp:effectExtent l="0" t="0" r="27940" b="1841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27D0" w:rsidRDefault="00D027D0" w:rsidP="00D027D0">
      <w:pPr>
        <w:spacing w:after="0" w:line="360" w:lineRule="auto"/>
        <w:rPr>
          <w:rFonts w:cs="Times New Roman"/>
          <w:b/>
          <w:szCs w:val="24"/>
        </w:rPr>
      </w:pPr>
      <w:r w:rsidRPr="005B49A3">
        <w:rPr>
          <w:rFonts w:cs="Times New Roman"/>
          <w:b/>
          <w:szCs w:val="24"/>
        </w:rPr>
        <w:t xml:space="preserve">Obr.6. </w:t>
      </w:r>
      <w:r>
        <w:rPr>
          <w:rFonts w:cs="Times New Roman"/>
          <w:b/>
          <w:szCs w:val="24"/>
        </w:rPr>
        <w:t xml:space="preserve">Inhibice exprese </w:t>
      </w:r>
      <w:r w:rsidRPr="00AA4BE4">
        <w:rPr>
          <w:rFonts w:cs="Times New Roman"/>
          <w:b/>
          <w:i/>
          <w:szCs w:val="24"/>
        </w:rPr>
        <w:t>ABP1</w:t>
      </w:r>
      <w:r>
        <w:rPr>
          <w:rFonts w:cs="Times New Roman"/>
          <w:b/>
          <w:szCs w:val="24"/>
        </w:rPr>
        <w:t xml:space="preserve"> v </w:t>
      </w:r>
      <w:r w:rsidRPr="005B49A3">
        <w:rPr>
          <w:rFonts w:cs="Times New Roman"/>
          <w:b/>
          <w:szCs w:val="24"/>
        </w:rPr>
        <w:t xml:space="preserve">mezokotylu </w:t>
      </w:r>
      <w:r w:rsidRPr="005B49A3">
        <w:rPr>
          <w:rFonts w:cs="Times New Roman"/>
          <w:b/>
          <w:i/>
          <w:szCs w:val="24"/>
        </w:rPr>
        <w:t>eml-1</w:t>
      </w:r>
      <w:r w:rsidRPr="005B49A3">
        <w:rPr>
          <w:rFonts w:cs="Times New Roman"/>
          <w:b/>
          <w:szCs w:val="24"/>
        </w:rPr>
        <w:t xml:space="preserve"> a WT pěstovaných 7 dní při různé kvalitě světla</w:t>
      </w:r>
    </w:p>
    <w:p w:rsidR="00D027D0" w:rsidRDefault="00D027D0" w:rsidP="00D027D0">
      <w:pPr>
        <w:spacing w:after="0" w:line="360" w:lineRule="auto"/>
        <w:ind w:firstLine="708"/>
        <w:jc w:val="both"/>
        <w:rPr>
          <w:rFonts w:cs="Times New Roman"/>
          <w:szCs w:val="24"/>
          <w:lang w:eastAsia="cs-CZ"/>
        </w:rPr>
      </w:pPr>
      <w:r>
        <w:rPr>
          <w:rFonts w:cs="Times New Roman"/>
          <w:szCs w:val="24"/>
        </w:rPr>
        <w:t xml:space="preserve">Data ukazují relativní expresi </w:t>
      </w:r>
      <w:r>
        <w:rPr>
          <w:rFonts w:cs="Times New Roman"/>
          <w:i/>
          <w:szCs w:val="24"/>
        </w:rPr>
        <w:t>ABP1</w:t>
      </w:r>
      <w:r>
        <w:rPr>
          <w:rFonts w:cs="Times New Roman"/>
          <w:szCs w:val="24"/>
        </w:rPr>
        <w:t xml:space="preserve"> v mezokotylu +SE. Hodnoty byly vypočítány jako průměr ze 3 nezávislých experimentů. </w:t>
      </w:r>
      <w:r>
        <w:rPr>
          <w:rFonts w:cs="Times New Roman"/>
          <w:szCs w:val="24"/>
          <w:lang w:eastAsia="cs-CZ"/>
        </w:rPr>
        <w:t xml:space="preserve"> </w:t>
      </w:r>
    </w:p>
    <w:p w:rsidR="00D027D0" w:rsidRDefault="00D027D0" w:rsidP="00D027D0">
      <w:pPr>
        <w:spacing w:after="0" w:line="360" w:lineRule="auto"/>
        <w:ind w:firstLine="708"/>
        <w:jc w:val="both"/>
        <w:rPr>
          <w:rFonts w:cs="Times New Roman"/>
          <w:szCs w:val="24"/>
        </w:rPr>
      </w:pPr>
      <w:r>
        <w:rPr>
          <w:rFonts w:cs="Times New Roman"/>
          <w:szCs w:val="24"/>
        </w:rPr>
        <w:t>U kontrolní rostliny na modrém světle bylo použito 4-5 mezokotylů, u červeného světla bylo použito 3-4 mezokotylů a ve tmě byl použit jeden mezokotyl.</w:t>
      </w:r>
    </w:p>
    <w:p w:rsidR="00D027D0" w:rsidRDefault="00D027D0" w:rsidP="00D027D0">
      <w:pPr>
        <w:spacing w:after="0" w:line="360" w:lineRule="auto"/>
        <w:ind w:firstLine="708"/>
        <w:jc w:val="both"/>
        <w:rPr>
          <w:rFonts w:cs="Times New Roman"/>
          <w:szCs w:val="24"/>
        </w:rPr>
      </w:pPr>
      <w:r>
        <w:rPr>
          <w:rFonts w:cs="Times New Roman"/>
          <w:szCs w:val="24"/>
        </w:rPr>
        <w:t>U mutantní rostliny na modrém světle bylo použito 4-5 mezokotylů, u červeného jeden mezokotyl a ve tmě byl také použit pouze jeden mezokotyl.</w:t>
      </w:r>
    </w:p>
    <w:p w:rsidR="00D027D0" w:rsidRPr="005B49A3" w:rsidRDefault="00D027D0" w:rsidP="00D027D0">
      <w:pPr>
        <w:spacing w:after="0" w:line="360" w:lineRule="auto"/>
        <w:ind w:firstLine="708"/>
        <w:jc w:val="both"/>
        <w:rPr>
          <w:rFonts w:cs="Times New Roman"/>
          <w:szCs w:val="24"/>
        </w:rPr>
      </w:pPr>
      <w:r>
        <w:rPr>
          <w:rFonts w:cs="Times New Roman"/>
          <w:szCs w:val="24"/>
        </w:rPr>
        <w:t xml:space="preserve"> </w:t>
      </w:r>
    </w:p>
    <w:p w:rsidR="00D027D0" w:rsidRPr="004D51C0" w:rsidRDefault="00D027D0" w:rsidP="00633585">
      <w:pPr>
        <w:pStyle w:val="Nadpis3"/>
        <w:numPr>
          <w:ilvl w:val="2"/>
          <w:numId w:val="1"/>
        </w:numPr>
        <w:spacing w:after="100" w:afterAutospacing="1"/>
      </w:pPr>
      <w:bookmarkStart w:id="33" w:name="_Toc426029831"/>
      <w:r w:rsidRPr="004D51C0">
        <w:t xml:space="preserve">Vliv světla na expresi genu </w:t>
      </w:r>
      <w:r w:rsidRPr="005B49A3">
        <w:rPr>
          <w:i/>
        </w:rPr>
        <w:t>ABP4</w:t>
      </w:r>
      <w:bookmarkEnd w:id="33"/>
    </w:p>
    <w:p w:rsidR="00D027D0" w:rsidRDefault="00D027D0" w:rsidP="00633585">
      <w:pPr>
        <w:spacing w:after="0" w:line="360" w:lineRule="auto"/>
        <w:rPr>
          <w:rFonts w:cs="Times New Roman"/>
          <w:szCs w:val="24"/>
        </w:rPr>
      </w:pPr>
      <w:r>
        <w:rPr>
          <w:rFonts w:cs="Times New Roman"/>
          <w:szCs w:val="24"/>
        </w:rPr>
        <w:tab/>
        <w:t xml:space="preserve">Cílem experimentu bylo zjistit, zda světlo a fytochrom mají vliv na expresi genu </w:t>
      </w:r>
      <w:r>
        <w:rPr>
          <w:rFonts w:cs="Times New Roman"/>
          <w:i/>
          <w:szCs w:val="24"/>
        </w:rPr>
        <w:t xml:space="preserve">ABP4 </w:t>
      </w:r>
      <w:r>
        <w:rPr>
          <w:rFonts w:cs="Times New Roman"/>
          <w:szCs w:val="24"/>
        </w:rPr>
        <w:t xml:space="preserve">v mezokotylu kukuřice. Z grafu na Obr. 7 je zřejmé, že, podobně jako v případě genu </w:t>
      </w:r>
      <w:r>
        <w:rPr>
          <w:rFonts w:cs="Times New Roman"/>
          <w:i/>
          <w:szCs w:val="24"/>
        </w:rPr>
        <w:t>ABP1</w:t>
      </w:r>
      <w:r>
        <w:rPr>
          <w:rFonts w:cs="Times New Roman"/>
          <w:szCs w:val="24"/>
        </w:rPr>
        <w:t xml:space="preserve">, byla exprese </w:t>
      </w:r>
      <w:r>
        <w:rPr>
          <w:rFonts w:cs="Times New Roman"/>
          <w:i/>
          <w:szCs w:val="24"/>
        </w:rPr>
        <w:t>ABP4</w:t>
      </w:r>
      <w:r>
        <w:rPr>
          <w:rFonts w:cs="Times New Roman"/>
          <w:szCs w:val="24"/>
        </w:rPr>
        <w:t xml:space="preserve"> u mutantních rostlin </w:t>
      </w:r>
      <w:r>
        <w:rPr>
          <w:rFonts w:cs="Times New Roman"/>
          <w:i/>
          <w:szCs w:val="24"/>
        </w:rPr>
        <w:t>elm-1</w:t>
      </w:r>
      <w:r>
        <w:rPr>
          <w:rFonts w:cs="Times New Roman"/>
          <w:szCs w:val="24"/>
        </w:rPr>
        <w:t xml:space="preserve"> rostoucích ve tmě asi o 80% nižší než u kontrolní rostliny WT.   Je rovněž vidět, že v mnezokotylech WT světlo redukovalo expresi </w:t>
      </w:r>
      <w:r>
        <w:rPr>
          <w:rFonts w:cs="Times New Roman"/>
          <w:i/>
          <w:szCs w:val="24"/>
        </w:rPr>
        <w:t>ABP4</w:t>
      </w:r>
      <w:r>
        <w:rPr>
          <w:rFonts w:cs="Times New Roman"/>
          <w:szCs w:val="24"/>
        </w:rPr>
        <w:t xml:space="preserve">. Modré světlo inhibovalo expresi asi o 32% a červené světlo o 40%. U mutantní </w:t>
      </w:r>
      <w:r>
        <w:rPr>
          <w:rFonts w:cs="Times New Roman"/>
          <w:szCs w:val="24"/>
        </w:rPr>
        <w:lastRenderedPageBreak/>
        <w:t xml:space="preserve">rostliny </w:t>
      </w:r>
      <w:r>
        <w:rPr>
          <w:rFonts w:cs="Times New Roman"/>
          <w:i/>
          <w:szCs w:val="24"/>
        </w:rPr>
        <w:t>elm-1</w:t>
      </w:r>
      <w:r>
        <w:rPr>
          <w:rFonts w:cs="Times New Roman"/>
          <w:szCs w:val="24"/>
        </w:rPr>
        <w:t>byla exprese ABP4 na světle, podobně jako ve tmě, výrazně sníž</w:t>
      </w:r>
      <w:r w:rsidR="00437626">
        <w:rPr>
          <w:rFonts w:cs="Times New Roman"/>
          <w:szCs w:val="24"/>
        </w:rPr>
        <w:t>ena oproti expresi pozorované u</w:t>
      </w:r>
      <w:r>
        <w:rPr>
          <w:rFonts w:cs="Times New Roman"/>
          <w:szCs w:val="24"/>
        </w:rPr>
        <w:t xml:space="preserve"> WT.</w:t>
      </w:r>
    </w:p>
    <w:p w:rsidR="00D027D0" w:rsidRDefault="00D027D0" w:rsidP="00633585">
      <w:pPr>
        <w:spacing w:after="0" w:line="360" w:lineRule="auto"/>
        <w:ind w:firstLine="708"/>
        <w:rPr>
          <w:rFonts w:cs="Times New Roman"/>
          <w:szCs w:val="24"/>
        </w:rPr>
      </w:pPr>
      <w:r>
        <w:rPr>
          <w:rFonts w:cs="Times New Roman"/>
          <w:szCs w:val="24"/>
        </w:rPr>
        <w:t xml:space="preserve"> Avšak podobně jako v případě exprese genu </w:t>
      </w:r>
      <w:r>
        <w:rPr>
          <w:rFonts w:cs="Times New Roman"/>
          <w:i/>
          <w:szCs w:val="24"/>
        </w:rPr>
        <w:t>ABP1</w:t>
      </w:r>
      <w:r>
        <w:rPr>
          <w:rFonts w:cs="Times New Roman"/>
          <w:szCs w:val="24"/>
        </w:rPr>
        <w:t xml:space="preserve">, mutace </w:t>
      </w:r>
      <w:r>
        <w:rPr>
          <w:rFonts w:cs="Times New Roman"/>
          <w:i/>
          <w:szCs w:val="24"/>
        </w:rPr>
        <w:t>elm1</w:t>
      </w:r>
      <w:r>
        <w:rPr>
          <w:rFonts w:cs="Times New Roman"/>
          <w:szCs w:val="24"/>
        </w:rPr>
        <w:t xml:space="preserve"> vedla k necitlivosti mezokotylu k inhibičnímu účinku modrého světla na expresi genu </w:t>
      </w:r>
      <w:r>
        <w:rPr>
          <w:rFonts w:cs="Times New Roman"/>
          <w:i/>
          <w:szCs w:val="24"/>
        </w:rPr>
        <w:t>ABP4</w:t>
      </w:r>
      <w:r>
        <w:rPr>
          <w:rFonts w:cs="Times New Roman"/>
          <w:szCs w:val="24"/>
        </w:rPr>
        <w:t xml:space="preserve">. Odlišně od WT, červené světlo neinhibovalo, ale naopak stimulovalo u </w:t>
      </w:r>
      <w:r>
        <w:rPr>
          <w:rFonts w:cs="Times New Roman"/>
          <w:i/>
          <w:szCs w:val="24"/>
        </w:rPr>
        <w:t>elm1</w:t>
      </w:r>
      <w:r>
        <w:rPr>
          <w:rFonts w:cs="Times New Roman"/>
          <w:szCs w:val="24"/>
        </w:rPr>
        <w:t xml:space="preserve"> expresi </w:t>
      </w:r>
      <w:r>
        <w:rPr>
          <w:rFonts w:cs="Times New Roman"/>
          <w:i/>
          <w:szCs w:val="24"/>
        </w:rPr>
        <w:t>ABP4</w:t>
      </w:r>
      <w:r>
        <w:rPr>
          <w:rFonts w:cs="Times New Roman"/>
          <w:szCs w:val="24"/>
        </w:rPr>
        <w:t>, a to asi o 60% (Obr. 7).</w:t>
      </w:r>
    </w:p>
    <w:p w:rsidR="00633585" w:rsidRDefault="00633585" w:rsidP="00633585">
      <w:pPr>
        <w:spacing w:after="0" w:line="360" w:lineRule="auto"/>
        <w:ind w:firstLine="708"/>
        <w:rPr>
          <w:rFonts w:cs="Times New Roman"/>
          <w:szCs w:val="24"/>
        </w:rPr>
      </w:pPr>
    </w:p>
    <w:p w:rsidR="00D027D0" w:rsidRDefault="00D027D0" w:rsidP="00D027D0">
      <w:pPr>
        <w:spacing w:line="360" w:lineRule="auto"/>
        <w:jc w:val="center"/>
        <w:rPr>
          <w:rFonts w:cs="Times New Roman"/>
          <w:szCs w:val="24"/>
        </w:rPr>
      </w:pPr>
      <w:r>
        <w:rPr>
          <w:noProof/>
          <w:lang w:eastAsia="cs-CZ"/>
        </w:rPr>
        <w:drawing>
          <wp:inline distT="0" distB="0" distL="0" distR="0" wp14:anchorId="101A8A38" wp14:editId="65355012">
            <wp:extent cx="4584192" cy="2743200"/>
            <wp:effectExtent l="0" t="0" r="26035"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27D0" w:rsidRDefault="00D027D0" w:rsidP="00D027D0">
      <w:pPr>
        <w:spacing w:after="0" w:line="360" w:lineRule="auto"/>
        <w:rPr>
          <w:rFonts w:cs="Times New Roman"/>
          <w:b/>
          <w:szCs w:val="24"/>
        </w:rPr>
      </w:pPr>
      <w:r>
        <w:rPr>
          <w:rFonts w:cs="Times New Roman"/>
          <w:szCs w:val="24"/>
        </w:rPr>
        <w:t xml:space="preserve">Obr. 7 </w:t>
      </w:r>
      <w:r>
        <w:rPr>
          <w:rFonts w:cs="Times New Roman"/>
          <w:b/>
          <w:szCs w:val="24"/>
        </w:rPr>
        <w:t xml:space="preserve">Inhibice exprese </w:t>
      </w:r>
      <w:r>
        <w:rPr>
          <w:rFonts w:cs="Times New Roman"/>
          <w:b/>
          <w:i/>
          <w:szCs w:val="24"/>
        </w:rPr>
        <w:t>ABP4</w:t>
      </w:r>
      <w:r>
        <w:rPr>
          <w:rFonts w:cs="Times New Roman"/>
          <w:b/>
          <w:szCs w:val="24"/>
        </w:rPr>
        <w:t xml:space="preserve"> v </w:t>
      </w:r>
      <w:r w:rsidRPr="005B49A3">
        <w:rPr>
          <w:rFonts w:cs="Times New Roman"/>
          <w:b/>
          <w:szCs w:val="24"/>
        </w:rPr>
        <w:t xml:space="preserve">mezokotylu </w:t>
      </w:r>
      <w:r w:rsidRPr="005B49A3">
        <w:rPr>
          <w:rFonts w:cs="Times New Roman"/>
          <w:b/>
          <w:i/>
          <w:szCs w:val="24"/>
        </w:rPr>
        <w:t>eml-1</w:t>
      </w:r>
      <w:r w:rsidRPr="005B49A3">
        <w:rPr>
          <w:rFonts w:cs="Times New Roman"/>
          <w:b/>
          <w:szCs w:val="24"/>
        </w:rPr>
        <w:t xml:space="preserve"> a WT pěstovaných 7 dní při různé kvalitě světla</w:t>
      </w:r>
    </w:p>
    <w:p w:rsidR="00D027D0" w:rsidRDefault="00D027D0" w:rsidP="00D027D0">
      <w:pPr>
        <w:spacing w:after="0" w:line="360" w:lineRule="auto"/>
        <w:rPr>
          <w:rFonts w:cs="Times New Roman"/>
          <w:szCs w:val="24"/>
        </w:rPr>
      </w:pPr>
      <w:r>
        <w:rPr>
          <w:rFonts w:cs="Times New Roman"/>
          <w:szCs w:val="24"/>
        </w:rPr>
        <w:t xml:space="preserve">Data ukazují relativní expresi </w:t>
      </w:r>
      <w:r>
        <w:rPr>
          <w:rFonts w:cs="Times New Roman"/>
          <w:i/>
          <w:szCs w:val="24"/>
        </w:rPr>
        <w:t>ABP4</w:t>
      </w:r>
      <w:r>
        <w:rPr>
          <w:rFonts w:cs="Times New Roman"/>
          <w:szCs w:val="24"/>
        </w:rPr>
        <w:t xml:space="preserve"> v mezokotylu +SE. Hodnoty byly vypočítány jako průměr ze 3 nezávislých experimentů.  </w:t>
      </w:r>
    </w:p>
    <w:p w:rsidR="00D027D0" w:rsidRDefault="00D027D0" w:rsidP="00D027D0">
      <w:pPr>
        <w:spacing w:after="0" w:line="360" w:lineRule="auto"/>
        <w:ind w:firstLine="708"/>
        <w:jc w:val="both"/>
        <w:rPr>
          <w:rFonts w:cs="Times New Roman"/>
          <w:szCs w:val="24"/>
        </w:rPr>
      </w:pPr>
      <w:r>
        <w:rPr>
          <w:rFonts w:cs="Times New Roman"/>
          <w:szCs w:val="24"/>
        </w:rPr>
        <w:t>U kontrolní rostliny na modrém světle bylo použito 4-5 mezokotylů, u červeného světla bylo použito 3-4 mezokotylů a ve tmě byl použit jeden mezokotyl.</w:t>
      </w:r>
    </w:p>
    <w:p w:rsidR="00D027D0" w:rsidRPr="005B49A3" w:rsidRDefault="00D027D0" w:rsidP="00D027D0">
      <w:pPr>
        <w:spacing w:after="0" w:line="360" w:lineRule="auto"/>
        <w:ind w:firstLine="708"/>
        <w:jc w:val="both"/>
        <w:rPr>
          <w:rFonts w:cs="Times New Roman"/>
          <w:szCs w:val="24"/>
        </w:rPr>
      </w:pPr>
      <w:r>
        <w:rPr>
          <w:rFonts w:cs="Times New Roman"/>
          <w:szCs w:val="24"/>
        </w:rPr>
        <w:t>U mutantní rostliny na modrém světle bylo použito 4-5 mezokotylů, u červeného jeden mezokotyl a ve tmě byl také použit pouze jeden mezokotyl.</w:t>
      </w:r>
    </w:p>
    <w:p w:rsidR="00633585" w:rsidRDefault="00633585" w:rsidP="00D027D0">
      <w:pPr>
        <w:spacing w:after="0" w:line="360" w:lineRule="auto"/>
        <w:rPr>
          <w:rFonts w:cs="Times New Roman"/>
          <w:szCs w:val="24"/>
        </w:rPr>
      </w:pPr>
      <w:r>
        <w:rPr>
          <w:rFonts w:cs="Times New Roman"/>
          <w:szCs w:val="24"/>
        </w:rPr>
        <w:br w:type="page"/>
      </w:r>
    </w:p>
    <w:p w:rsidR="00633585" w:rsidRPr="00AA4BE4" w:rsidRDefault="00633585" w:rsidP="00CA7878">
      <w:pPr>
        <w:pStyle w:val="Nadpis1"/>
        <w:numPr>
          <w:ilvl w:val="0"/>
          <w:numId w:val="1"/>
        </w:numPr>
        <w:spacing w:after="100" w:afterAutospacing="1"/>
      </w:pPr>
      <w:bookmarkStart w:id="34" w:name="_Toc426029832"/>
      <w:r w:rsidRPr="00AA4BE4">
        <w:lastRenderedPageBreak/>
        <w:t>Diskuze</w:t>
      </w:r>
      <w:bookmarkEnd w:id="34"/>
    </w:p>
    <w:p w:rsidR="00633585" w:rsidRDefault="00633585" w:rsidP="00CA7878">
      <w:pPr>
        <w:spacing w:after="0" w:line="360" w:lineRule="auto"/>
        <w:ind w:firstLine="708"/>
        <w:jc w:val="both"/>
        <w:rPr>
          <w:rFonts w:cs="Times New Roman"/>
          <w:szCs w:val="24"/>
        </w:rPr>
      </w:pPr>
      <w:r>
        <w:rPr>
          <w:rFonts w:cs="Times New Roman"/>
          <w:szCs w:val="24"/>
        </w:rPr>
        <w:t>V první experimentální části mé bakalářské práce jsem se zabývala tím, zda světlo a jeho percepce fytochromy mají vliv na růst jednotlivých částí mladých rostlin kukuřice. Použila jsem genetického přístupu, který spočíval v analýze mutantní rostliny kukuřice (</w:t>
      </w:r>
      <w:r>
        <w:rPr>
          <w:rFonts w:cs="Times New Roman"/>
          <w:i/>
          <w:szCs w:val="24"/>
        </w:rPr>
        <w:t>Zea mays L.</w:t>
      </w:r>
      <w:r>
        <w:rPr>
          <w:rFonts w:cs="Times New Roman"/>
          <w:szCs w:val="24"/>
        </w:rPr>
        <w:t xml:space="preserve">) </w:t>
      </w:r>
      <w:r>
        <w:rPr>
          <w:rFonts w:cs="Times New Roman"/>
          <w:i/>
          <w:szCs w:val="24"/>
        </w:rPr>
        <w:t>elm-1</w:t>
      </w:r>
      <w:r>
        <w:rPr>
          <w:rFonts w:cs="Times New Roman"/>
          <w:szCs w:val="24"/>
        </w:rPr>
        <w:t xml:space="preserve">. Tento typ mutanta nemá schopnost převést biliverdin IXα  na 3Z-phytochromobilin a zabraňuje tedy syntéze aktivních fytochromů. Jako kontrolní rostlina byla použita semena kukuřice B-73. Cílem fyziologických experimentů bylo ověřit, jak světlo prostřednictvím fytochromů ovlivňuje prodlužování jednotlivých částí rostliny. </w:t>
      </w:r>
    </w:p>
    <w:p w:rsidR="00633585" w:rsidRDefault="00633585" w:rsidP="00CA7878">
      <w:pPr>
        <w:spacing w:after="0" w:line="360" w:lineRule="auto"/>
        <w:ind w:firstLine="708"/>
        <w:jc w:val="both"/>
        <w:rPr>
          <w:rFonts w:cs="Times New Roman"/>
          <w:szCs w:val="24"/>
        </w:rPr>
      </w:pPr>
      <w:r>
        <w:rPr>
          <w:rFonts w:cs="Times New Roman"/>
          <w:szCs w:val="24"/>
        </w:rPr>
        <w:t>Pokusy byly prováděny ve tmě a na modrém a červeném světle. Z výsledků</w:t>
      </w:r>
      <w:r w:rsidR="00BE6442">
        <w:rPr>
          <w:rFonts w:cs="Times New Roman"/>
          <w:szCs w:val="24"/>
        </w:rPr>
        <w:t xml:space="preserve"> je patrné, že</w:t>
      </w:r>
      <w:r>
        <w:rPr>
          <w:rFonts w:cs="Times New Roman"/>
          <w:szCs w:val="24"/>
        </w:rPr>
        <w:t xml:space="preserve"> světlo inhibuje prodlužování nadzemní části rostliny B-73. Jednotlivé části rostlin jsou různě citlivé na světlo. Koleoptile je měně citlivé na světlo. Mezokotyl je část rostliny, která je nejvíce citlivá na světlo, proto pokud rostlina rostla na kontinuálním červeném nebo modrém světle, byl růst mezokotylu výrazně inhibován.</w:t>
      </w:r>
    </w:p>
    <w:p w:rsidR="00633585" w:rsidRDefault="00633585" w:rsidP="00CA7878">
      <w:pPr>
        <w:spacing w:after="0" w:line="360" w:lineRule="auto"/>
        <w:ind w:firstLine="708"/>
        <w:jc w:val="both"/>
        <w:rPr>
          <w:rFonts w:cs="Times New Roman"/>
          <w:szCs w:val="24"/>
        </w:rPr>
      </w:pPr>
      <w:r>
        <w:rPr>
          <w:rFonts w:cs="Times New Roman"/>
          <w:szCs w:val="24"/>
        </w:rPr>
        <w:t xml:space="preserve">U mutantní rostliny byla inhibice koleoptile méně patrná než u WT. Růst mezokotylu byl u  </w:t>
      </w:r>
      <w:r>
        <w:rPr>
          <w:rFonts w:cs="Times New Roman"/>
          <w:i/>
          <w:szCs w:val="24"/>
        </w:rPr>
        <w:t xml:space="preserve">elm-1 </w:t>
      </w:r>
      <w:r>
        <w:rPr>
          <w:rFonts w:cs="Times New Roman"/>
          <w:szCs w:val="24"/>
        </w:rPr>
        <w:t xml:space="preserve">postižen mnohem více než růst koleoptile. Mutantní rostlina díky svému defektu ve vytváření aktivních fytochromů, nevnímá světlo v červeném a modrém spektru. </w:t>
      </w:r>
      <w:r w:rsidRPr="0005093D">
        <w:rPr>
          <w:rFonts w:cs="Times New Roman"/>
          <w:szCs w:val="24"/>
        </w:rPr>
        <w:t>Proto délka mezokotylu u mutantní rostliny</w:t>
      </w:r>
      <w:r>
        <w:rPr>
          <w:rFonts w:cs="Times New Roman"/>
          <w:szCs w:val="24"/>
        </w:rPr>
        <w:t xml:space="preserve"> na světle</w:t>
      </w:r>
      <w:r w:rsidRPr="0005093D">
        <w:rPr>
          <w:rFonts w:cs="Times New Roman"/>
          <w:szCs w:val="24"/>
        </w:rPr>
        <w:t xml:space="preserve"> je stejná jako délka mezokotylu u</w:t>
      </w:r>
      <w:r>
        <w:rPr>
          <w:rFonts w:cs="Times New Roman"/>
          <w:szCs w:val="24"/>
        </w:rPr>
        <w:t xml:space="preserve"> kontrolních</w:t>
      </w:r>
      <w:r w:rsidRPr="0005093D">
        <w:rPr>
          <w:rFonts w:cs="Times New Roman"/>
          <w:szCs w:val="24"/>
        </w:rPr>
        <w:t xml:space="preserve"> rostlin vzrostlých ve tm</w:t>
      </w:r>
      <w:r>
        <w:rPr>
          <w:rFonts w:cs="Times New Roman"/>
          <w:szCs w:val="24"/>
        </w:rPr>
        <w:t xml:space="preserve">ě. Inhibice růstu byla patrná u modrého světla, ale v porovnání s kontrolní rostlinou byla inhibice růstu vlivem modrého světla výrazně nižší. U modrého světla je přítomná inhibice růstu, přesto, že se nevytváří aktivní fytochromy, tento fakt je způsoben přítomností dalších fotoreceptorů, které vnímají modré světlo, jako je například kryptochromy, fototropiny či zeaxantiny. Proto jsem dospěla k názoru, že fytochromy mají vliv na délku mezokotylu a jejich nepřítomnost způsobuje růst. </w:t>
      </w:r>
    </w:p>
    <w:p w:rsidR="00633585" w:rsidRDefault="00633585" w:rsidP="00CA7878">
      <w:pPr>
        <w:spacing w:after="0" w:line="360" w:lineRule="auto"/>
        <w:ind w:firstLine="708"/>
        <w:jc w:val="both"/>
        <w:rPr>
          <w:rFonts w:cs="Times New Roman"/>
          <w:szCs w:val="24"/>
        </w:rPr>
      </w:pPr>
      <w:r>
        <w:rPr>
          <w:rFonts w:cs="Times New Roman"/>
          <w:szCs w:val="24"/>
        </w:rPr>
        <w:t xml:space="preserve">Další hypotézou je samotný vliv světla na růst rostliny. Jak již bylo zmíněno, světlo inhibuje růst koleoptile i mezokotylu. Za prodlužování určitých částí rostliny je zodpovědný auxin, který je syntetizován ve špičce koleoptile a pomocí polárního transportu se dostává do dalších částí rostliny. Pokud se podíváme na růst kontrolní rostliny, zjistíme, že délka mezokotylu u rostlin vzrostlých ve tmě je větší, než u rostlin pěstovaných na světle. Což bylo potvrzeno na mutantní rostlině, kdy délka mezokotylu u rostliny pěstovaných na červené světle byla stejné délky jako u rostlin pěstovaných ve tmě. Což mě vede k závěru, že světlo má vliv na transport auxinu v rostlině. </w:t>
      </w:r>
    </w:p>
    <w:p w:rsidR="00633585" w:rsidRDefault="00633585" w:rsidP="00CA7878">
      <w:pPr>
        <w:spacing w:after="0" w:line="360" w:lineRule="auto"/>
        <w:ind w:firstLine="708"/>
        <w:jc w:val="both"/>
        <w:rPr>
          <w:rFonts w:cs="Times New Roman"/>
          <w:szCs w:val="24"/>
        </w:rPr>
      </w:pPr>
      <w:r>
        <w:rPr>
          <w:rFonts w:cs="Times New Roman"/>
          <w:szCs w:val="24"/>
        </w:rPr>
        <w:t xml:space="preserve">V růstových experimentech nebyla měřena jen délka nadzemních částí rostlin, ale také délka kořenů a byl pozorován počet seminálních. Na délku hlavních a seminálních kořenů </w:t>
      </w:r>
      <w:r>
        <w:rPr>
          <w:rFonts w:cs="Times New Roman"/>
          <w:szCs w:val="24"/>
        </w:rPr>
        <w:lastRenderedPageBreak/>
        <w:t xml:space="preserve">nemělo světlo ani ztráta funkce fytochromu žádný vliv. Na počet seminálních kořenů světlo žádný vliv nemělo. Pokud však porovnáme kontrolní a mutantní rostlinu, dá se vyvodit závěr, že fytochrom stimuluje tvorbu (počet) seminálních kořenů. </w:t>
      </w:r>
    </w:p>
    <w:p w:rsidR="00633585" w:rsidRDefault="00633585" w:rsidP="00CA7878">
      <w:pPr>
        <w:spacing w:after="0" w:line="360" w:lineRule="auto"/>
        <w:ind w:firstLine="708"/>
        <w:jc w:val="both"/>
        <w:rPr>
          <w:rFonts w:cs="Times New Roman"/>
          <w:szCs w:val="24"/>
        </w:rPr>
      </w:pPr>
      <w:r>
        <w:rPr>
          <w:rFonts w:cs="Times New Roman"/>
          <w:szCs w:val="24"/>
        </w:rPr>
        <w:t> na základě výsledků růstových experimentů jsem došla k závěru, že fytochromy negativně ovlivňují prodlužovací růst nadzemních částí rostlin, zejména prodlužování mezokotylu. Výsledky dále vedou k závěru, že na rozdíl od prodlužování nadzemních částí rostlin kukuřice, fytochrom není pravděpodobně zapojen v prodlužování kořenů (primárních i seminálních), ale je pravděpodobně zapojen v tvorbě seminálních kořenů, a to pozitivně.</w:t>
      </w:r>
    </w:p>
    <w:p w:rsidR="00633585" w:rsidRDefault="00633585" w:rsidP="00CA7878">
      <w:pPr>
        <w:spacing w:after="0" w:line="360" w:lineRule="auto"/>
        <w:ind w:firstLine="708"/>
        <w:jc w:val="both"/>
        <w:rPr>
          <w:rFonts w:cs="Times New Roman"/>
          <w:szCs w:val="24"/>
        </w:rPr>
      </w:pPr>
      <w:r>
        <w:rPr>
          <w:rFonts w:cs="Times New Roman"/>
          <w:szCs w:val="24"/>
        </w:rPr>
        <w:t>Cílem mé bakalářské práce bylo zjistit, zda deficit ve vytváření aktivních fytochromů má vliv na expresi genů kódujících auxin-binding proteiny u kukuřice seté (</w:t>
      </w:r>
      <w:r>
        <w:rPr>
          <w:rFonts w:cs="Times New Roman"/>
          <w:i/>
          <w:szCs w:val="24"/>
        </w:rPr>
        <w:t>Zea mays L.</w:t>
      </w:r>
      <w:r>
        <w:rPr>
          <w:rFonts w:cs="Times New Roman"/>
          <w:szCs w:val="24"/>
        </w:rPr>
        <w:t xml:space="preserve">). V této práci jsem se zaměřila na expresi genů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Výsledky experimentů ukázali, že u WT světlo inhibuje expresi genů </w:t>
      </w:r>
      <w:r>
        <w:rPr>
          <w:rFonts w:cs="Times New Roman"/>
          <w:i/>
          <w:szCs w:val="24"/>
        </w:rPr>
        <w:t xml:space="preserve">ABP1 </w:t>
      </w:r>
      <w:r>
        <w:rPr>
          <w:rFonts w:cs="Times New Roman"/>
          <w:szCs w:val="24"/>
        </w:rPr>
        <w:t xml:space="preserve">i </w:t>
      </w:r>
      <w:r>
        <w:rPr>
          <w:rFonts w:cs="Times New Roman"/>
          <w:i/>
          <w:szCs w:val="24"/>
        </w:rPr>
        <w:t>ABP4</w:t>
      </w:r>
      <w:r>
        <w:rPr>
          <w:rFonts w:cs="Times New Roman"/>
          <w:szCs w:val="24"/>
        </w:rPr>
        <w:t xml:space="preserve">. U mutantní rostliny se exprese </w:t>
      </w:r>
      <w:r>
        <w:rPr>
          <w:rFonts w:cs="Times New Roman"/>
          <w:i/>
          <w:szCs w:val="24"/>
        </w:rPr>
        <w:t>ABP1</w:t>
      </w:r>
      <w:r>
        <w:rPr>
          <w:rFonts w:cs="Times New Roman"/>
          <w:szCs w:val="24"/>
        </w:rPr>
        <w:t xml:space="preserve"> i </w:t>
      </w:r>
      <w:r>
        <w:rPr>
          <w:rFonts w:cs="Times New Roman"/>
          <w:i/>
          <w:szCs w:val="24"/>
        </w:rPr>
        <w:t>ABP4</w:t>
      </w:r>
      <w:r>
        <w:rPr>
          <w:rFonts w:cs="Times New Roman"/>
          <w:szCs w:val="24"/>
        </w:rPr>
        <w:t xml:space="preserve"> snížovala v mezokotylech rostli pěstovaných jak ve tmě, tak na světle. Z těchto výsledků můžu vyvozovat, že mezi drahami, které vytváří aktivní fytochromy a dráhou, která řídí expresi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je určitý vzájemný vztah. </w:t>
      </w:r>
    </w:p>
    <w:p w:rsidR="00633585" w:rsidRPr="00E927A6" w:rsidRDefault="00633585" w:rsidP="00CA7878">
      <w:pPr>
        <w:spacing w:after="0" w:line="360" w:lineRule="auto"/>
        <w:ind w:firstLine="708"/>
        <w:jc w:val="both"/>
        <w:rPr>
          <w:rFonts w:cs="Times New Roman"/>
          <w:szCs w:val="24"/>
        </w:rPr>
      </w:pPr>
      <w:r>
        <w:rPr>
          <w:rFonts w:cs="Times New Roman"/>
          <w:szCs w:val="24"/>
        </w:rPr>
        <w:t xml:space="preserve">Z výsledků měření exprese genu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které byli prováděni na kontrolní rostlině B-73 a mutantní rostlině </w:t>
      </w:r>
      <w:r>
        <w:rPr>
          <w:rFonts w:cs="Times New Roman"/>
          <w:i/>
          <w:szCs w:val="24"/>
        </w:rPr>
        <w:t>elm-1</w:t>
      </w:r>
      <w:r>
        <w:rPr>
          <w:rFonts w:cs="Times New Roman"/>
          <w:szCs w:val="24"/>
        </w:rPr>
        <w:t xml:space="preserve">, jsem došla k závěrům, že aktivní tvorba fytochromů má vliv na expresi genů </w:t>
      </w:r>
      <w:r>
        <w:rPr>
          <w:rFonts w:cs="Times New Roman"/>
          <w:i/>
          <w:szCs w:val="24"/>
        </w:rPr>
        <w:t>ABP1</w:t>
      </w:r>
      <w:r>
        <w:rPr>
          <w:rFonts w:cs="Times New Roman"/>
          <w:szCs w:val="24"/>
        </w:rPr>
        <w:t xml:space="preserve"> i </w:t>
      </w:r>
      <w:r>
        <w:rPr>
          <w:rFonts w:cs="Times New Roman"/>
          <w:i/>
          <w:szCs w:val="24"/>
        </w:rPr>
        <w:t>ABP4</w:t>
      </w:r>
      <w:r>
        <w:rPr>
          <w:rFonts w:cs="Times New Roman"/>
          <w:szCs w:val="24"/>
        </w:rPr>
        <w:t xml:space="preserve">. Z toho tedy můžeme vyvozovat, že fytochromy hrají zásadní roli v míře exprese </w:t>
      </w:r>
      <w:r>
        <w:rPr>
          <w:rFonts w:cs="Times New Roman"/>
          <w:i/>
          <w:szCs w:val="24"/>
        </w:rPr>
        <w:t>ABP1</w:t>
      </w:r>
      <w:r>
        <w:rPr>
          <w:rFonts w:cs="Times New Roman"/>
          <w:szCs w:val="24"/>
        </w:rPr>
        <w:t xml:space="preserve"> a </w:t>
      </w:r>
      <w:r>
        <w:rPr>
          <w:rFonts w:cs="Times New Roman"/>
          <w:i/>
          <w:szCs w:val="24"/>
        </w:rPr>
        <w:t>ABP4</w:t>
      </w:r>
      <w:r>
        <w:rPr>
          <w:rFonts w:cs="Times New Roman"/>
          <w:szCs w:val="24"/>
        </w:rPr>
        <w:t xml:space="preserve">. Jelikož exprese genů </w:t>
      </w:r>
      <w:r>
        <w:rPr>
          <w:rFonts w:cs="Times New Roman"/>
          <w:i/>
          <w:szCs w:val="24"/>
        </w:rPr>
        <w:t>ABP1</w:t>
      </w:r>
      <w:r>
        <w:rPr>
          <w:rFonts w:cs="Times New Roman"/>
          <w:szCs w:val="24"/>
        </w:rPr>
        <w:t xml:space="preserve"> a </w:t>
      </w:r>
      <w:r>
        <w:rPr>
          <w:rFonts w:cs="Times New Roman"/>
          <w:i/>
          <w:szCs w:val="24"/>
        </w:rPr>
        <w:t xml:space="preserve">ABP4 </w:t>
      </w:r>
      <w:r>
        <w:rPr>
          <w:rFonts w:cs="Times New Roman"/>
          <w:szCs w:val="24"/>
        </w:rPr>
        <w:t>nebyla zcela potlačena je pravděpodobné, že exprese auxin-binding proteinů je řízena i jinými cestami než přes aktivní fytochromy.</w:t>
      </w: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CA7878" w:rsidRDefault="00CA7878" w:rsidP="00CA7878">
      <w:pPr>
        <w:tabs>
          <w:tab w:val="left" w:pos="3631"/>
        </w:tabs>
        <w:spacing w:after="0" w:line="360" w:lineRule="auto"/>
        <w:rPr>
          <w:rFonts w:cs="Times New Roman"/>
          <w:szCs w:val="24"/>
        </w:rPr>
      </w:pPr>
    </w:p>
    <w:p w:rsidR="00633585" w:rsidRDefault="00CA7878" w:rsidP="00CA7878">
      <w:pPr>
        <w:tabs>
          <w:tab w:val="left" w:pos="3631"/>
        </w:tabs>
        <w:spacing w:after="0" w:line="360" w:lineRule="auto"/>
        <w:rPr>
          <w:rFonts w:cs="Times New Roman"/>
          <w:szCs w:val="24"/>
        </w:rPr>
      </w:pPr>
      <w:r>
        <w:rPr>
          <w:rFonts w:cs="Times New Roman"/>
          <w:szCs w:val="24"/>
        </w:rPr>
        <w:tab/>
      </w:r>
    </w:p>
    <w:p w:rsidR="00633585" w:rsidRPr="00A03EFC" w:rsidRDefault="00633585" w:rsidP="00CA7878">
      <w:pPr>
        <w:pStyle w:val="Nadpis1"/>
        <w:numPr>
          <w:ilvl w:val="0"/>
          <w:numId w:val="1"/>
        </w:numPr>
        <w:spacing w:after="100" w:afterAutospacing="1"/>
      </w:pPr>
      <w:bookmarkStart w:id="35" w:name="_Toc426029833"/>
      <w:r w:rsidRPr="00A03EFC">
        <w:lastRenderedPageBreak/>
        <w:t>Závěr</w:t>
      </w:r>
      <w:bookmarkEnd w:id="35"/>
    </w:p>
    <w:p w:rsidR="00633585" w:rsidRDefault="00633585" w:rsidP="00CA7878">
      <w:pPr>
        <w:autoSpaceDE w:val="0"/>
        <w:autoSpaceDN w:val="0"/>
        <w:adjustRightInd w:val="0"/>
        <w:spacing w:after="0" w:line="360" w:lineRule="auto"/>
        <w:ind w:firstLine="709"/>
        <w:jc w:val="both"/>
        <w:rPr>
          <w:rFonts w:cs="Times New Roman"/>
          <w:szCs w:val="24"/>
        </w:rPr>
      </w:pPr>
      <w:r>
        <w:rPr>
          <w:rFonts w:cs="Times New Roman"/>
          <w:szCs w:val="24"/>
        </w:rPr>
        <w:t>Cílem mé bakalářské práce bylo zjistit, jak fytochromy a kvalita světla ovlivňují růst a vývoj rostliny a zda světlo prostřednictvím aktivních fytochromů má vliv na expresi auxin-binding proteinů. Experimenty byly prováděny na mutantní rostlině kukuřice seté (</w:t>
      </w:r>
      <w:r w:rsidRPr="007B40C7">
        <w:rPr>
          <w:rFonts w:cs="Times New Roman"/>
          <w:i/>
          <w:szCs w:val="24"/>
        </w:rPr>
        <w:t>Zea mays L</w:t>
      </w:r>
      <w:r>
        <w:rPr>
          <w:rFonts w:cs="Times New Roman"/>
          <w:szCs w:val="24"/>
        </w:rPr>
        <w:t xml:space="preserve">.) a kontrolní rostlině. Z výsledků mé experimentální části bakalářské práce je patrné, že u kontrolních rostlin B-73 světlo, a to jak modré tak i červené, značně inhibuje prodlužování nadzemní části rostliny, zejména mezokotylu. Fakt, že prodlužování mezokotylu mutantní rostliny </w:t>
      </w:r>
      <w:r w:rsidRPr="009F7BD8">
        <w:rPr>
          <w:rFonts w:cs="Times New Roman"/>
          <w:i/>
          <w:szCs w:val="24"/>
        </w:rPr>
        <w:t>elm-1</w:t>
      </w:r>
      <w:r>
        <w:rPr>
          <w:rFonts w:cs="Times New Roman"/>
          <w:szCs w:val="24"/>
        </w:rPr>
        <w:t xml:space="preserve"> nebylo inhibováno červeným světlem, vede k závěru, že červené světlo je prostřednictvím aktivních fytochromů zapojeno v inhibici prodlužování mezokotylu rostlin kukuřice. </w:t>
      </w:r>
    </w:p>
    <w:p w:rsidR="00437626" w:rsidRDefault="00633585" w:rsidP="00CA7878">
      <w:pPr>
        <w:autoSpaceDE w:val="0"/>
        <w:autoSpaceDN w:val="0"/>
        <w:adjustRightInd w:val="0"/>
        <w:spacing w:after="0" w:line="360" w:lineRule="auto"/>
        <w:ind w:firstLine="709"/>
        <w:jc w:val="both"/>
        <w:rPr>
          <w:rFonts w:cs="Times New Roman"/>
          <w:szCs w:val="24"/>
        </w:rPr>
      </w:pPr>
      <w:r>
        <w:rPr>
          <w:rFonts w:cs="Times New Roman"/>
          <w:szCs w:val="24"/>
        </w:rPr>
        <w:t xml:space="preserve">Ve druhé části jsem měla za úkol zjistit, zda aktivní fytochromy mají vliv na expresi auxin-binding proteinů, a to konkrétně na </w:t>
      </w:r>
      <w:r w:rsidRPr="007F600A">
        <w:rPr>
          <w:rFonts w:cs="Times New Roman"/>
          <w:i/>
          <w:szCs w:val="24"/>
        </w:rPr>
        <w:t>ABP1</w:t>
      </w:r>
      <w:r>
        <w:rPr>
          <w:rFonts w:cs="Times New Roman"/>
          <w:szCs w:val="24"/>
        </w:rPr>
        <w:t xml:space="preserve"> a </w:t>
      </w:r>
      <w:r w:rsidRPr="007F600A">
        <w:rPr>
          <w:rFonts w:cs="Times New Roman"/>
          <w:i/>
          <w:szCs w:val="24"/>
        </w:rPr>
        <w:t>ABP4</w:t>
      </w:r>
      <w:r>
        <w:rPr>
          <w:rFonts w:cs="Times New Roman"/>
          <w:szCs w:val="24"/>
        </w:rPr>
        <w:t xml:space="preserve">. Z výsledků je patrné, že pokud fytochromy chybí, tak se exprese </w:t>
      </w:r>
      <w:r w:rsidRPr="009F7BD8">
        <w:rPr>
          <w:rFonts w:cs="Times New Roman"/>
          <w:i/>
          <w:szCs w:val="24"/>
        </w:rPr>
        <w:t>ABP1</w:t>
      </w:r>
      <w:r>
        <w:rPr>
          <w:rFonts w:cs="Times New Roman"/>
          <w:szCs w:val="24"/>
        </w:rPr>
        <w:t xml:space="preserve"> i </w:t>
      </w:r>
      <w:r w:rsidRPr="009F7BD8">
        <w:rPr>
          <w:rFonts w:cs="Times New Roman"/>
          <w:i/>
          <w:szCs w:val="24"/>
        </w:rPr>
        <w:t>ABP4</w:t>
      </w:r>
      <w:r>
        <w:rPr>
          <w:rFonts w:cs="Times New Roman"/>
          <w:szCs w:val="24"/>
        </w:rPr>
        <w:t xml:space="preserve"> sníží, a to nezávisle na světle. To mě přivádí k závěru, že přítomnost fytochromů je nutná k expresi genů </w:t>
      </w:r>
      <w:r w:rsidRPr="009F7BD8">
        <w:rPr>
          <w:rFonts w:cs="Times New Roman"/>
          <w:i/>
          <w:szCs w:val="24"/>
        </w:rPr>
        <w:t>ABP1</w:t>
      </w:r>
      <w:r>
        <w:rPr>
          <w:rFonts w:cs="Times New Roman"/>
          <w:szCs w:val="24"/>
        </w:rPr>
        <w:t xml:space="preserve"> a </w:t>
      </w:r>
      <w:r w:rsidRPr="009F7BD8">
        <w:rPr>
          <w:rFonts w:cs="Times New Roman"/>
          <w:i/>
          <w:szCs w:val="24"/>
        </w:rPr>
        <w:t>ABP4</w:t>
      </w:r>
      <w:r>
        <w:rPr>
          <w:rFonts w:cs="Times New Roman"/>
          <w:szCs w:val="24"/>
        </w:rPr>
        <w:t>. Výsledky však současně vedou k závěru, že u kukuřice modré a červené světlo hraje prostřednictvím fytochromů  negativní úlohu v expresi auxin-binding proteinů u kukuřice. Výsledky mé bakalářské práce podporují jiná literární data, která ukazují, že v rostlinách kukuřice světelné signální dráhy a auxinová signalizace zprostředkova</w:t>
      </w:r>
      <w:r w:rsidR="00437626">
        <w:rPr>
          <w:rFonts w:cs="Times New Roman"/>
          <w:szCs w:val="24"/>
        </w:rPr>
        <w:t>ná ABP jsou vzájemně propojeny.</w:t>
      </w:r>
    </w:p>
    <w:p w:rsidR="00954E4C" w:rsidRDefault="00954E4C" w:rsidP="00CA7878">
      <w:pPr>
        <w:autoSpaceDE w:val="0"/>
        <w:autoSpaceDN w:val="0"/>
        <w:adjustRightInd w:val="0"/>
        <w:spacing w:after="0" w:line="360" w:lineRule="auto"/>
        <w:ind w:firstLine="709"/>
        <w:jc w:val="both"/>
        <w:rPr>
          <w:rFonts w:cs="Times New Roman"/>
          <w:szCs w:val="24"/>
        </w:rPr>
      </w:pPr>
      <w:r>
        <w:rPr>
          <w:rFonts w:cs="Times New Roman"/>
          <w:szCs w:val="24"/>
        </w:rPr>
        <w:br w:type="page"/>
      </w:r>
    </w:p>
    <w:p w:rsidR="00954E4C" w:rsidRPr="00954E4C" w:rsidRDefault="00954E4C" w:rsidP="00CA7878">
      <w:pPr>
        <w:pStyle w:val="Nadpis1"/>
        <w:numPr>
          <w:ilvl w:val="0"/>
          <w:numId w:val="1"/>
        </w:numPr>
        <w:spacing w:after="100" w:afterAutospacing="1"/>
      </w:pPr>
      <w:bookmarkStart w:id="36" w:name="_Toc426029834"/>
      <w:r w:rsidRPr="00A224DE">
        <w:lastRenderedPageBreak/>
        <w:t>Seznam použité literatury</w:t>
      </w:r>
      <w:bookmarkEnd w:id="36"/>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Braun N., Wyrzykowska J., Muller P., David K., Couch D., Perrot-Rechenmann C., Fleming A.J. (2008) Conditional Repression of AUXIN BINDING PROTEIN1 Reveals That It Coordinates Cell Division and Cell Expansion during Postembryonic Shoot Development in Arabidopsis and Tobacco. </w:t>
      </w:r>
      <w:r w:rsidRPr="00CA7878">
        <w:rPr>
          <w:rFonts w:cs="Times New Roman"/>
          <w:i/>
          <w:szCs w:val="24"/>
        </w:rPr>
        <w:t>Plant cell</w:t>
      </w:r>
      <w:r w:rsidRPr="00CA7878">
        <w:rPr>
          <w:rFonts w:cs="Times New Roman"/>
          <w:szCs w:val="24"/>
        </w:rPr>
        <w:t xml:space="preserve"> 20: 2746–2762</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Castillon A., Shen H., Huq E. (2007) Phytochrome Interacting Factors: central players in phytochrome-mediated light signaling networks. </w:t>
      </w:r>
      <w:r w:rsidRPr="00CA7878">
        <w:rPr>
          <w:rFonts w:cs="Times New Roman"/>
          <w:i/>
          <w:szCs w:val="24"/>
        </w:rPr>
        <w:t xml:space="preserve">Trends in cell biology </w:t>
      </w:r>
      <w:r w:rsidRPr="00CA7878">
        <w:rPr>
          <w:rFonts w:cs="Times New Roman"/>
          <w:szCs w:val="24"/>
        </w:rPr>
        <w:t>12: 514-21</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Darwin C., Darwin F. (1881) Das Bewegungswermögen der Pflanzen (The Power of Movement in Plants). </w:t>
      </w:r>
      <w:r w:rsidRPr="00CA7878">
        <w:rPr>
          <w:rFonts w:cs="Times New Roman"/>
          <w:i/>
          <w:iCs/>
          <w:szCs w:val="24"/>
        </w:rPr>
        <w:t xml:space="preserve">Darwin Gesammelte Werke </w:t>
      </w:r>
      <w:r w:rsidRPr="00CA7878">
        <w:rPr>
          <w:rFonts w:cs="Times New Roman"/>
          <w:szCs w:val="24"/>
        </w:rPr>
        <w:t>13; Schweizerbart’sche Verlagsbuchhandlung, Stuttgart</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David K. M., Couch D., Braun N., Brown S., Grosclaude J., Perrot-Rechenmann C., (2007) The auxin-binding protein 1 is essential for the control of cell cycle. </w:t>
      </w:r>
      <w:r w:rsidRPr="00CA7878">
        <w:rPr>
          <w:rFonts w:cs="Times New Roman"/>
          <w:i/>
          <w:szCs w:val="24"/>
        </w:rPr>
        <w:t>The Plant Journal</w:t>
      </w:r>
      <w:r w:rsidRPr="00CA7878">
        <w:rPr>
          <w:rFonts w:cs="Times New Roman"/>
          <w:szCs w:val="24"/>
        </w:rPr>
        <w:t xml:space="preserve"> 50: 197–206</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Davies P. J., (2004) Plant hormones. Biosynthesis, Signal transduction, Action! Kluwer Academic Publishers, Netherlands</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Effendi Y., Rietz S., Fischer U., Scherer G.F. (2011) The heterozygous abp1/ABP1 insertional mutant has defects in functions requiring polar auxin transport and in regulation of early auxin-regulated genes. </w:t>
      </w:r>
      <w:r w:rsidRPr="00CA7878">
        <w:rPr>
          <w:rFonts w:cs="Times New Roman"/>
          <w:i/>
          <w:szCs w:val="24"/>
        </w:rPr>
        <w:t>Plant journal</w:t>
      </w:r>
      <w:r w:rsidRPr="00CA7878">
        <w:rPr>
          <w:rFonts w:cs="Times New Roman"/>
          <w:szCs w:val="24"/>
        </w:rPr>
        <w:t xml:space="preserve"> 65: 282-94</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Effendi Y., Scherer G.F. (2011) Auxin binding-protein1 (ABP1), a receptor to regulate auxin transport and early auxin genes in an interlocking system with PIN proteins and the receptor TIR1. </w:t>
      </w:r>
      <w:r w:rsidRPr="00CA7878">
        <w:rPr>
          <w:rFonts w:cs="Times New Roman"/>
          <w:i/>
          <w:szCs w:val="24"/>
        </w:rPr>
        <w:t>Plant Signaling and  Behavoir</w:t>
      </w:r>
      <w:r w:rsidRPr="00CA7878">
        <w:rPr>
          <w:rFonts w:cs="Times New Roman"/>
          <w:szCs w:val="24"/>
        </w:rPr>
        <w:t xml:space="preserve"> 6: 1101-3</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Fellner M., Borucka J. (2012) Auxin binding proteins ABP1 and ABP4 are involved in the lightand auxin-induced down-regulation of phytochrome gene PHYB in maize (Zea mays L.) mesocotyl. Plant Growth Regul 68: 503–509</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Fellner, M., Ephritikhine, G., Barbier-Brygoo, H., and Guern, J. 1996. An antibody raised to a maize auxin-binding protein has inhibitory effects on cell division of tobacco mesophyll protoplasts. </w:t>
      </w:r>
      <w:r w:rsidRPr="00CA7878">
        <w:rPr>
          <w:rFonts w:cs="Times New Roman"/>
          <w:i/>
          <w:szCs w:val="24"/>
        </w:rPr>
        <w:t>Plant Physiology  Biochemie</w:t>
      </w:r>
      <w:r w:rsidRPr="00CA7878">
        <w:rPr>
          <w:rFonts w:cs="Times New Roman"/>
          <w:szCs w:val="24"/>
        </w:rPr>
        <w:t xml:space="preserve"> 34: 133–138.</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lastRenderedPageBreak/>
        <w:t xml:space="preserve">Franklin K.A. (2009) Light and temperature signal crosstalk in plant development. </w:t>
      </w:r>
      <w:r w:rsidRPr="00CA7878">
        <w:rPr>
          <w:rFonts w:cs="Times New Roman"/>
          <w:i/>
          <w:szCs w:val="24"/>
        </w:rPr>
        <w:t>Current Opinion in Plant Biology</w:t>
      </w:r>
      <w:r w:rsidRPr="00CA7878">
        <w:rPr>
          <w:rFonts w:cs="Times New Roman"/>
          <w:szCs w:val="24"/>
        </w:rPr>
        <w:t xml:space="preserve"> 12: 63-8</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Gälweiler L., Guan C., Müller A., Wisman E., Mendgen K., Yephremov A., Palme K. (1998) Regulation of polar auxin transport by AtPIN1 in Arabidopsis vascular tissue. </w:t>
      </w:r>
      <w:r w:rsidRPr="00CA7878">
        <w:rPr>
          <w:rFonts w:cs="Times New Roman"/>
          <w:i/>
          <w:szCs w:val="24"/>
        </w:rPr>
        <w:t xml:space="preserve">Science </w:t>
      </w:r>
      <w:r w:rsidRPr="00CA7878">
        <w:rPr>
          <w:rFonts w:cs="Times New Roman"/>
          <w:szCs w:val="24"/>
        </w:rPr>
        <w:t>282: 2226-30.</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Hertel R., Thomson K.S., Russo V.E. (1972) In-vitro auxin binding to particulate cell fractions from corn coleoptiles. </w:t>
      </w:r>
      <w:r w:rsidRPr="00CA7878">
        <w:rPr>
          <w:rFonts w:cs="Times New Roman"/>
          <w:i/>
          <w:szCs w:val="24"/>
        </w:rPr>
        <w:t>Planta</w:t>
      </w:r>
      <w:r w:rsidRPr="00CA7878">
        <w:rPr>
          <w:rFonts w:cs="Times New Roman"/>
          <w:szCs w:val="24"/>
        </w:rPr>
        <w:t xml:space="preserve"> 107: 325-40</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Chen JG., Ullah H., Young J. C., Sussman M. R., Jones A. M., (2001) ABP1 is required for organized cell elongation and division in </w:t>
      </w:r>
      <w:r w:rsidRPr="00CA7878">
        <w:rPr>
          <w:rFonts w:cs="Times New Roman"/>
          <w:i/>
          <w:iCs/>
          <w:szCs w:val="24"/>
        </w:rPr>
        <w:t xml:space="preserve">Arabidopsis </w:t>
      </w:r>
      <w:r w:rsidRPr="00CA7878">
        <w:rPr>
          <w:rFonts w:cs="Times New Roman"/>
          <w:szCs w:val="24"/>
        </w:rPr>
        <w:t xml:space="preserve">embryogenesis. </w:t>
      </w:r>
      <w:r w:rsidRPr="00CA7878">
        <w:rPr>
          <w:rFonts w:cs="Times New Roman"/>
          <w:i/>
          <w:iCs/>
          <w:szCs w:val="24"/>
        </w:rPr>
        <w:t>Genes and</w:t>
      </w:r>
      <w:r w:rsidRPr="00CA7878">
        <w:rPr>
          <w:rFonts w:cs="Times New Roman"/>
          <w:szCs w:val="24"/>
        </w:rPr>
        <w:t xml:space="preserve"> </w:t>
      </w:r>
      <w:r w:rsidRPr="00CA7878">
        <w:rPr>
          <w:rFonts w:cs="Times New Roman"/>
          <w:i/>
          <w:iCs/>
          <w:szCs w:val="24"/>
        </w:rPr>
        <w:t xml:space="preserve">Development </w:t>
      </w:r>
      <w:r w:rsidRPr="00CA7878">
        <w:rPr>
          <w:rFonts w:cs="Times New Roman"/>
          <w:szCs w:val="24"/>
        </w:rPr>
        <w:t>15: 902-911</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Chen M., Chory J. (2011) Phytochrome signaling mechanisms and the control of plant development. </w:t>
      </w:r>
      <w:r w:rsidRPr="00CA7878">
        <w:rPr>
          <w:rFonts w:cs="Times New Roman"/>
          <w:i/>
          <w:szCs w:val="24"/>
        </w:rPr>
        <w:t xml:space="preserve">Trends in cell biology </w:t>
      </w:r>
      <w:r w:rsidRPr="00CA7878">
        <w:rPr>
          <w:rFonts w:cs="Times New Roman"/>
          <w:szCs w:val="24"/>
        </w:rPr>
        <w:t>21: 664-71</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Jones A.M., Lamerson P., Venis M.A. (1989) Comparison of Site I auxin binding and a 22-kilodalton auxin-binding protein in maize. </w:t>
      </w:r>
      <w:r w:rsidRPr="00CA7878">
        <w:rPr>
          <w:rFonts w:cs="Times New Roman"/>
          <w:i/>
          <w:szCs w:val="24"/>
        </w:rPr>
        <w:t xml:space="preserve">Planta </w:t>
      </w:r>
      <w:r w:rsidRPr="00CA7878">
        <w:rPr>
          <w:rFonts w:cs="Times New Roman"/>
          <w:szCs w:val="24"/>
        </w:rPr>
        <w:t xml:space="preserve">179: 409-13. </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Jones AM, Herman E (1993) KDEL-containing auxin-binding protein is secreted to the plasma membrane and cell wall. </w:t>
      </w:r>
      <w:r w:rsidRPr="00CA7878">
        <w:rPr>
          <w:rFonts w:cs="Times New Roman"/>
          <w:i/>
          <w:szCs w:val="24"/>
        </w:rPr>
        <w:t>Plant Physiology</w:t>
      </w:r>
      <w:r w:rsidRPr="00CA7878">
        <w:rPr>
          <w:rFonts w:cs="Times New Roman"/>
          <w:szCs w:val="24"/>
        </w:rPr>
        <w:t xml:space="preserve"> 101:595–606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Jones AM, Im KH, Savka MA et al (1998) Auxin-dependent cell expansion mediated by overexpressed auxin-binding protein 1. </w:t>
      </w:r>
      <w:r w:rsidRPr="00CA7878">
        <w:rPr>
          <w:rFonts w:cs="Times New Roman"/>
          <w:i/>
          <w:szCs w:val="24"/>
        </w:rPr>
        <w:t xml:space="preserve">Science </w:t>
      </w:r>
      <w:r w:rsidRPr="00CA7878">
        <w:rPr>
          <w:rFonts w:cs="Times New Roman"/>
          <w:szCs w:val="24"/>
        </w:rPr>
        <w:t>282:1114–1117</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Jordan E.T., Marita J.M., Clough R.C., Vierstra R.D. (1997) Characterization of regions within the N-terminal 6-kilodalton domain of phytochrome A that modulate its biological activity. </w:t>
      </w:r>
      <w:r w:rsidRPr="00CA7878">
        <w:rPr>
          <w:rFonts w:cs="Times New Roman"/>
          <w:i/>
          <w:szCs w:val="24"/>
        </w:rPr>
        <w:t>Plant physiology</w:t>
      </w:r>
      <w:r w:rsidRPr="00CA7878">
        <w:rPr>
          <w:rFonts w:cs="Times New Roman"/>
          <w:szCs w:val="24"/>
        </w:rPr>
        <w:t xml:space="preserve"> 115: 693-704</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Korasick D. A., Enders T. A., and Strader L.C. (2013) Auxin biosynthesis and storage forms. </w:t>
      </w:r>
      <w:r w:rsidRPr="00CA7878">
        <w:rPr>
          <w:rFonts w:cs="Times New Roman"/>
          <w:i/>
          <w:szCs w:val="24"/>
        </w:rPr>
        <w:t>Journal of Experimental Botany</w:t>
      </w:r>
      <w:r w:rsidRPr="00CA7878">
        <w:rPr>
          <w:rFonts w:cs="Times New Roman"/>
          <w:szCs w:val="24"/>
        </w:rPr>
        <w:t xml:space="preserve"> 64: 2541–2555.</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Kurepin L.V., Emery R.J., Pharis R.P., Reid D.M. (2007) The interaction of light quality and irradiance with gibberellins, cytokinins and auxin in regulating growth of Helianthus annuus hypocotyls. </w:t>
      </w:r>
      <w:r w:rsidRPr="00CA7878">
        <w:rPr>
          <w:rFonts w:cs="Times New Roman"/>
          <w:i/>
          <w:szCs w:val="24"/>
        </w:rPr>
        <w:t>Plant, Cell and Enviroment</w:t>
      </w:r>
      <w:r w:rsidRPr="00CA7878">
        <w:rPr>
          <w:rFonts w:cs="Times New Roman"/>
          <w:szCs w:val="24"/>
        </w:rPr>
        <w:t xml:space="preserve"> 30: 147-55</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lastRenderedPageBreak/>
        <w:t xml:space="preserve">Leivar P., Quail P.H. (2011) PIFs: pivotal components in a cellular signaling hub. . </w:t>
      </w:r>
      <w:r w:rsidRPr="00CA7878">
        <w:rPr>
          <w:rFonts w:cs="Times New Roman"/>
          <w:i/>
          <w:szCs w:val="24"/>
        </w:rPr>
        <w:t xml:space="preserve">Trends in plant science </w:t>
      </w:r>
      <w:r w:rsidRPr="00CA7878">
        <w:rPr>
          <w:rFonts w:cs="Times New Roman"/>
          <w:szCs w:val="24"/>
        </w:rPr>
        <w:t>16: 19-28</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 W.Z., Chinnappa C.C. (2004) Isolation and characterization of PHYC gene from Stellaria longipes: differential expression regulated by different red/far-red light ratios and photoperiods. </w:t>
      </w:r>
      <w:r w:rsidRPr="00CA7878">
        <w:rPr>
          <w:rFonts w:cs="Times New Roman"/>
          <w:i/>
          <w:szCs w:val="24"/>
        </w:rPr>
        <w:t>Planta</w:t>
      </w:r>
      <w:r w:rsidRPr="00CA7878">
        <w:rPr>
          <w:rFonts w:cs="Times New Roman"/>
          <w:szCs w:val="24"/>
        </w:rPr>
        <w:t xml:space="preserve"> 220: 318-30</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Lin Ch. (2002) Blue light receptors and signal transduction. </w:t>
      </w:r>
      <w:r w:rsidRPr="00CA7878">
        <w:rPr>
          <w:rFonts w:cs="Times New Roman"/>
          <w:i/>
          <w:szCs w:val="24"/>
        </w:rPr>
        <w:t xml:space="preserve">Plant cell </w:t>
      </w:r>
      <w:r w:rsidRPr="00CA7878">
        <w:rPr>
          <w:rFonts w:cs="Times New Roman"/>
          <w:szCs w:val="24"/>
        </w:rPr>
        <w:t>14</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Lin Ch., Shalitin D. (2003) Cryptochrome structure and signal transduction. Annual </w:t>
      </w:r>
      <w:r w:rsidRPr="00CA7878">
        <w:rPr>
          <w:rFonts w:cs="Times New Roman"/>
          <w:i/>
          <w:szCs w:val="24"/>
        </w:rPr>
        <w:t>Review Plant Biology</w:t>
      </w:r>
      <w:r w:rsidRPr="00CA7878">
        <w:rPr>
          <w:rFonts w:cs="Times New Roman"/>
          <w:szCs w:val="24"/>
        </w:rPr>
        <w:t xml:space="preserve"> 54: 469-96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Lin Ch., Todo T., (2005) The cryptochromes. </w:t>
      </w:r>
      <w:r w:rsidRPr="00CA7878">
        <w:rPr>
          <w:rFonts w:cs="Times New Roman"/>
          <w:i/>
          <w:iCs/>
          <w:szCs w:val="24"/>
        </w:rPr>
        <w:t xml:space="preserve">Genome Biology </w:t>
      </w:r>
      <w:r w:rsidRPr="00CA7878">
        <w:rPr>
          <w:rFonts w:cs="Times New Roman"/>
          <w:szCs w:val="24"/>
        </w:rPr>
        <w:t>6:220</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Liu X, Cohen JD, Gardner G (2011) Low fluence red light increases the transport and biosynthesis of auxin. </w:t>
      </w:r>
      <w:r w:rsidRPr="00CA7878">
        <w:rPr>
          <w:rFonts w:cs="Times New Roman"/>
          <w:i/>
          <w:szCs w:val="24"/>
        </w:rPr>
        <w:t>Plant Physiology</w:t>
      </w:r>
      <w:r w:rsidRPr="00CA7878">
        <w:rPr>
          <w:rFonts w:cs="Times New Roman"/>
          <w:szCs w:val="24"/>
        </w:rPr>
        <w:t xml:space="preserve"> 157:891–904</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Liverman J.L., Bonner J. (1953) The Interaction of Auxin and Light in the Growth Responses of Plants. </w:t>
      </w:r>
      <w:r w:rsidRPr="00CA7878">
        <w:rPr>
          <w:rFonts w:cs="Times New Roman"/>
          <w:i/>
          <w:szCs w:val="24"/>
        </w:rPr>
        <w:t>Proccedings of the National Academy of  Sciences of the USA</w:t>
      </w:r>
      <w:r w:rsidRPr="00CA7878">
        <w:rPr>
          <w:rFonts w:cs="Times New Roman"/>
          <w:szCs w:val="24"/>
        </w:rPr>
        <w:t xml:space="preserve"> 39: 905-16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Ljung K, Hull AK, Kowalczyk M, Marchant A, Celenza J, Cohen JD, Sandberg G. (2002) Biosynthesis, conjugation, catabolism and homeostasis of indole-3-acetic acid in Arabidopsis thaliana. </w:t>
      </w:r>
      <w:r w:rsidRPr="00CA7878">
        <w:rPr>
          <w:rFonts w:cs="Times New Roman"/>
          <w:i/>
          <w:szCs w:val="24"/>
        </w:rPr>
        <w:t>Plant Molecular Biology</w:t>
      </w:r>
      <w:r w:rsidRPr="00CA7878">
        <w:rPr>
          <w:rFonts w:cs="Times New Roman"/>
          <w:szCs w:val="24"/>
        </w:rPr>
        <w:t xml:space="preserve"> 50: 309–332</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Ljung K., Bhalerao R. P., Sandberg G., (2001) Sites and homeostatic control of auxin biosynthesis in </w:t>
      </w:r>
      <w:r w:rsidRPr="00CA7878">
        <w:rPr>
          <w:rFonts w:cs="Times New Roman"/>
          <w:i/>
          <w:iCs/>
          <w:szCs w:val="24"/>
        </w:rPr>
        <w:t xml:space="preserve">Arabidopsis </w:t>
      </w:r>
      <w:r w:rsidRPr="00CA7878">
        <w:rPr>
          <w:rFonts w:cs="Times New Roman"/>
          <w:szCs w:val="24"/>
        </w:rPr>
        <w:t xml:space="preserve">during vegetative growth. </w:t>
      </w:r>
      <w:r w:rsidRPr="00CA7878">
        <w:rPr>
          <w:rFonts w:cs="Times New Roman"/>
          <w:i/>
          <w:iCs/>
          <w:szCs w:val="24"/>
        </w:rPr>
        <w:t xml:space="preserve">The Plant Journal </w:t>
      </w:r>
      <w:r w:rsidRPr="00CA7878">
        <w:rPr>
          <w:rFonts w:cs="Times New Roman"/>
          <w:szCs w:val="24"/>
        </w:rPr>
        <w:t>28: 465-474</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Nagatani A. (2010) Phytochrome: structural basis for its functions. </w:t>
      </w:r>
      <w:r w:rsidRPr="00CA7878">
        <w:rPr>
          <w:rFonts w:cs="Times New Roman"/>
          <w:i/>
          <w:szCs w:val="24"/>
        </w:rPr>
        <w:t>Current Opinion in  Plant Biology</w:t>
      </w:r>
      <w:r w:rsidRPr="00CA7878">
        <w:rPr>
          <w:rFonts w:cs="Times New Roman"/>
          <w:szCs w:val="24"/>
        </w:rPr>
        <w:t xml:space="preserve"> 13: 565-70</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Nagy F., Schäfer E. (2002) Phytochromes control photomorphogenesis by differentially regulated, interacting signaling pathways in higher plants. </w:t>
      </w:r>
      <w:r w:rsidRPr="00CA7878">
        <w:rPr>
          <w:rFonts w:cs="Times New Roman"/>
          <w:i/>
          <w:szCs w:val="24"/>
        </w:rPr>
        <w:t>Annual Review of Plant Biology</w:t>
      </w:r>
      <w:r w:rsidRPr="00CA7878">
        <w:rPr>
          <w:rFonts w:cs="Times New Roman"/>
          <w:szCs w:val="24"/>
        </w:rPr>
        <w:t xml:space="preserve"> 53: 329-55</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Petrásek J., Friml J. (2009) Auxin transport routes in plant development. </w:t>
      </w:r>
      <w:r w:rsidRPr="00CA7878">
        <w:rPr>
          <w:rFonts w:cs="Times New Roman"/>
          <w:i/>
          <w:szCs w:val="24"/>
        </w:rPr>
        <w:t xml:space="preserve">Development </w:t>
      </w:r>
      <w:r w:rsidRPr="00CA7878">
        <w:rPr>
          <w:rFonts w:cs="Times New Roman"/>
          <w:szCs w:val="24"/>
        </w:rPr>
        <w:t>136: 2675-88.</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lastRenderedPageBreak/>
        <w:t xml:space="preserve">Pollmann S, Müller A, Piotrowski M, Weiler EW. (2002) Occurrence and formation of indole-3-acetamide in Arabidopsis thaliana. </w:t>
      </w:r>
      <w:r w:rsidRPr="00CA7878">
        <w:rPr>
          <w:rFonts w:cs="Times New Roman"/>
          <w:i/>
          <w:szCs w:val="24"/>
        </w:rPr>
        <w:t>Planta</w:t>
      </w:r>
      <w:r w:rsidRPr="00CA7878">
        <w:rPr>
          <w:rFonts w:cs="Times New Roman"/>
          <w:szCs w:val="24"/>
        </w:rPr>
        <w:t xml:space="preserve"> 216: 155–161</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Pollmann S, Neu D, Weiler EW. (2003) Molecular cloning and characterization of an amidase from Arabidopsis thaliana capable of converting indole-3-acetamide into the plant growth hormone, indole-3-acetic acid. </w:t>
      </w:r>
      <w:r w:rsidRPr="00CA7878">
        <w:rPr>
          <w:rFonts w:cs="Times New Roman"/>
          <w:i/>
          <w:szCs w:val="24"/>
        </w:rPr>
        <w:t xml:space="preserve">Phytochemistry </w:t>
      </w:r>
      <w:r w:rsidRPr="00CA7878">
        <w:rPr>
          <w:rFonts w:cs="Times New Roman"/>
          <w:szCs w:val="24"/>
        </w:rPr>
        <w:t>62: 293–300</w:t>
      </w:r>
    </w:p>
    <w:p w:rsidR="00954E4C" w:rsidRPr="00CA7878" w:rsidRDefault="00954E4C" w:rsidP="00CA7878">
      <w:pPr>
        <w:spacing w:after="100" w:afterAutospacing="1" w:line="360" w:lineRule="auto"/>
        <w:jc w:val="both"/>
        <w:rPr>
          <w:rFonts w:cs="Times New Roman"/>
          <w:szCs w:val="24"/>
        </w:rPr>
      </w:pPr>
      <w:r w:rsidRPr="00CA7878">
        <w:rPr>
          <w:rFonts w:cs="Times New Roman"/>
          <w:szCs w:val="24"/>
        </w:rPr>
        <w:t>Publishers, USA</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Quail P.H. (1997) The phytochromes: a biochemical mechanism of signaling in sight? </w:t>
      </w:r>
      <w:r w:rsidRPr="00CA7878">
        <w:rPr>
          <w:rFonts w:cs="Times New Roman"/>
          <w:i/>
          <w:szCs w:val="24"/>
        </w:rPr>
        <w:t xml:space="preserve">Bioessays </w:t>
      </w:r>
      <w:r w:rsidRPr="00CA7878">
        <w:rPr>
          <w:rFonts w:cs="Times New Roman"/>
          <w:szCs w:val="24"/>
        </w:rPr>
        <w:t>19: 571-9</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Sakai T., Kagawa T., Kasahara M., Swartz T. E., Christie J. M., Briggs W. R., Wada M., Okada K., (2001) Arabidopsis nph1 and npl1: Blue light receptors that mediate both phototropism and chloroplast relocation. </w:t>
      </w:r>
      <w:r w:rsidRPr="00CA7878">
        <w:rPr>
          <w:rFonts w:cs="Times New Roman"/>
          <w:i/>
          <w:iCs/>
          <w:szCs w:val="24"/>
        </w:rPr>
        <w:t>Proceedings Of The National Academy Of</w:t>
      </w:r>
      <w:r w:rsidRPr="00CA7878">
        <w:rPr>
          <w:rFonts w:cs="Times New Roman"/>
          <w:szCs w:val="24"/>
        </w:rPr>
        <w:t xml:space="preserve"> </w:t>
      </w:r>
      <w:r w:rsidRPr="00CA7878">
        <w:rPr>
          <w:rFonts w:cs="Times New Roman"/>
          <w:i/>
          <w:iCs/>
          <w:szCs w:val="24"/>
        </w:rPr>
        <w:t xml:space="preserve">Sciences Of The United States Of America </w:t>
      </w:r>
      <w:r w:rsidRPr="00CA7878">
        <w:rPr>
          <w:rFonts w:cs="Times New Roman"/>
          <w:szCs w:val="24"/>
        </w:rPr>
        <w:t>98(12): 6969–6974</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Sauer M., Kleine-Vehn J. (2011) AUXIN BINDING PROTEIN1: the outsider. </w:t>
      </w:r>
      <w:r w:rsidRPr="00CA7878">
        <w:rPr>
          <w:rFonts w:cs="Times New Roman"/>
          <w:i/>
          <w:szCs w:val="24"/>
        </w:rPr>
        <w:t>Plant cell</w:t>
      </w:r>
      <w:r w:rsidRPr="00CA7878">
        <w:rPr>
          <w:rFonts w:cs="Times New Roman"/>
          <w:szCs w:val="24"/>
        </w:rPr>
        <w:t xml:space="preserve"> 23: 2033-43</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Sawers R.J., Linley P.J., Farmer P.R., Hanley N.P., Costich D.E., Terry M.J., Brutnell T.P. (2002) Elongated mesocotyl1, a phytochrome-deficient mutant of maize. Plant physiology 130: 155-63 </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Shimomura S. (2006) Identification of a glycosylphosphatidylinositol-anchored plasma membrane protein interacting with the C-terminus of auxin-binding protein 1: a photoaffinity crosslinking study. </w:t>
      </w:r>
      <w:r w:rsidRPr="00CA7878">
        <w:rPr>
          <w:rFonts w:cs="Times New Roman"/>
          <w:i/>
          <w:szCs w:val="24"/>
        </w:rPr>
        <w:t>Plant molecular biology</w:t>
      </w:r>
      <w:r w:rsidRPr="00CA7878">
        <w:rPr>
          <w:rFonts w:cs="Times New Roman"/>
          <w:szCs w:val="24"/>
        </w:rPr>
        <w:t xml:space="preserve"> 60: 663-77</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Schäfer E., Nagy F., (2006) Photomorphogenesis in Plants and Bacteria, 3rd Edition, Springer, Netherlands</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Scherer G.F. (2011) AUXIN-BINDING-PROTEIN1, the second auxin receptor: what is the significance of a two-receptor concept in plant signal transduction?  </w:t>
      </w:r>
      <w:r w:rsidRPr="00CA7878">
        <w:rPr>
          <w:rFonts w:cs="Times New Roman"/>
          <w:i/>
          <w:szCs w:val="24"/>
        </w:rPr>
        <w:t>Journal of experimental botany</w:t>
      </w:r>
      <w:r w:rsidRPr="00CA7878">
        <w:rPr>
          <w:rFonts w:cs="Times New Roman"/>
          <w:szCs w:val="24"/>
        </w:rPr>
        <w:t xml:space="preserve"> 62: 3339-57</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 xml:space="preserve">Schwartz A., Zeiger E. (1984) Metabolic energy for stomatal opening. Roles of photophosphorylation and oxidative phosphorylation. </w:t>
      </w:r>
      <w:r w:rsidRPr="00CA7878">
        <w:rPr>
          <w:rFonts w:cs="Times New Roman"/>
          <w:i/>
          <w:iCs/>
          <w:szCs w:val="24"/>
        </w:rPr>
        <w:t xml:space="preserve">Planta </w:t>
      </w:r>
      <w:r w:rsidRPr="00CA7878">
        <w:rPr>
          <w:rFonts w:cs="Times New Roman"/>
          <w:szCs w:val="24"/>
        </w:rPr>
        <w:t>161:129-136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lastRenderedPageBreak/>
        <w:t xml:space="preserve">Schwob E., Choi S.Y., Simmons C., Migliaccio F., Ilag L., Hesse T., Palme K., Söll D. (1993) Molecular analysis of three maize 22 kDa auxin-binding protein genes—transient promoter expression and regulatory regions. </w:t>
      </w:r>
      <w:r w:rsidRPr="00CA7878">
        <w:rPr>
          <w:rFonts w:cs="Times New Roman"/>
          <w:i/>
          <w:szCs w:val="24"/>
        </w:rPr>
        <w:t>Plant journal</w:t>
      </w:r>
      <w:r w:rsidRPr="00CA7878">
        <w:rPr>
          <w:rFonts w:cs="Times New Roman"/>
          <w:szCs w:val="24"/>
        </w:rPr>
        <w:t xml:space="preserve"> 4: 423-32</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Sineshchekov V.A. (2004) Phytochrome A: functional diversity and polymorphism. </w:t>
      </w:r>
      <w:r w:rsidRPr="00CA7878">
        <w:rPr>
          <w:rFonts w:cs="Times New Roman"/>
          <w:i/>
          <w:szCs w:val="24"/>
        </w:rPr>
        <w:t>Photochem Photobiol Science</w:t>
      </w:r>
      <w:r w:rsidRPr="00CA7878">
        <w:rPr>
          <w:rFonts w:cs="Times New Roman"/>
          <w:szCs w:val="24"/>
        </w:rPr>
        <w:t xml:space="preserve"> 3: 596-607</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Soy J., Leivar P., Monte E. (2014) PIF1 promotes phytochrome-regulated growth under photoperiodic conditions in Arabidopsis together with PIF3, PIF4, and PIF5. </w:t>
      </w:r>
      <w:r w:rsidRPr="00CA7878">
        <w:rPr>
          <w:rFonts w:cs="Times New Roman"/>
          <w:i/>
          <w:szCs w:val="24"/>
        </w:rPr>
        <w:t>Journal of eperimental botany</w:t>
      </w:r>
      <w:r w:rsidRPr="00CA7878">
        <w:rPr>
          <w:rFonts w:cs="Times New Roman"/>
          <w:szCs w:val="24"/>
        </w:rPr>
        <w:t xml:space="preserve"> 65: 2925-36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Sullivan J.A., Deng X.W. (2003) From seed to seed: the role of photoreceptors in Arabidopsis development. </w:t>
      </w:r>
      <w:r w:rsidRPr="00CA7878">
        <w:rPr>
          <w:rFonts w:cs="Times New Roman"/>
          <w:i/>
          <w:szCs w:val="24"/>
        </w:rPr>
        <w:t>Developmental biology</w:t>
      </w:r>
      <w:r w:rsidRPr="00CA7878">
        <w:rPr>
          <w:rFonts w:cs="Times New Roman"/>
          <w:szCs w:val="24"/>
        </w:rPr>
        <w:t xml:space="preserve"> 260: 289-97</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Swarup R., Friml J., Marchant A., Ljung K., Sandberg G., Palme K., Bennett M. (2001) Localization of the auxin permease AUX1 suggests two functionally distinct hormone transport pathways operate in the Arabidopsis root apex. </w:t>
      </w:r>
      <w:r w:rsidRPr="00CA7878">
        <w:rPr>
          <w:rFonts w:cs="Times New Roman"/>
          <w:i/>
          <w:szCs w:val="24"/>
        </w:rPr>
        <w:t xml:space="preserve">Genes and Development </w:t>
      </w:r>
      <w:r w:rsidRPr="00CA7878">
        <w:rPr>
          <w:rFonts w:cs="Times New Roman"/>
          <w:szCs w:val="24"/>
        </w:rPr>
        <w:t>15: 2648 53.</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Tromas A., Braun N., Muller P., Khodus T., Paponov I.A., Palme K., Ljung K., Lee J.Y., Benfey P., Murray J.A., Scheres B., Perrot-Rechenmann C. (2009) The AUXIN BINDING PROTEIN 1 is required for differential auxin responses mediating root growth. </w:t>
      </w:r>
      <w:r w:rsidRPr="00CA7878">
        <w:rPr>
          <w:rFonts w:cs="Times New Roman"/>
          <w:i/>
          <w:szCs w:val="24"/>
        </w:rPr>
        <w:t>PLoS One</w:t>
      </w:r>
      <w:r w:rsidRPr="00CA7878">
        <w:rPr>
          <w:rFonts w:cs="Times New Roman"/>
          <w:szCs w:val="24"/>
        </w:rPr>
        <w:t xml:space="preserve"> 4: 6648</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Tromas A., Paponov I., Perrot-Rechenmann C. (2010) AUXIN BINDING PROTEIN 1: functional and evolutionary aspects. </w:t>
      </w:r>
      <w:r w:rsidRPr="00CA7878">
        <w:rPr>
          <w:rFonts w:cs="Times New Roman"/>
          <w:i/>
          <w:szCs w:val="24"/>
        </w:rPr>
        <w:t>Trends is Plant science</w:t>
      </w:r>
      <w:r w:rsidRPr="00CA7878">
        <w:rPr>
          <w:rFonts w:cs="Times New Roman"/>
          <w:szCs w:val="24"/>
        </w:rPr>
        <w:t xml:space="preserve"> 15: 436-46</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Wagner D., Hoecker U., Quail P.H. (1997) RED1 is necessary for phytochrome B-mediated red light-specific signal transduction in Arabidopsis. </w:t>
      </w:r>
      <w:r w:rsidRPr="00CA7878">
        <w:rPr>
          <w:rFonts w:cs="Times New Roman"/>
          <w:i/>
          <w:szCs w:val="24"/>
        </w:rPr>
        <w:t>Plant cell</w:t>
      </w:r>
      <w:r w:rsidRPr="00CA7878">
        <w:rPr>
          <w:rFonts w:cs="Times New Roman"/>
          <w:szCs w:val="24"/>
        </w:rPr>
        <w:t xml:space="preserve"> 9:731-43</w:t>
      </w:r>
    </w:p>
    <w:p w:rsidR="00954E4C" w:rsidRPr="00CA7878" w:rsidRDefault="00954E4C" w:rsidP="00CA7878">
      <w:pPr>
        <w:shd w:val="clear" w:color="auto" w:fill="FFFFFF"/>
        <w:spacing w:before="100" w:beforeAutospacing="1" w:after="100" w:afterAutospacing="1" w:line="360" w:lineRule="auto"/>
        <w:ind w:firstLine="708"/>
        <w:jc w:val="both"/>
        <w:rPr>
          <w:rFonts w:eastAsia="Times New Roman" w:cs="Times New Roman"/>
          <w:color w:val="000000"/>
          <w:szCs w:val="24"/>
          <w:lang w:eastAsia="cs-CZ"/>
        </w:rPr>
      </w:pPr>
      <w:r w:rsidRPr="00CA7878">
        <w:rPr>
          <w:rFonts w:eastAsia="Times New Roman" w:cs="Times New Roman"/>
          <w:bCs/>
          <w:color w:val="000000"/>
          <w:szCs w:val="24"/>
          <w:lang w:eastAsia="cs-CZ"/>
        </w:rPr>
        <w:t>Went, F.</w:t>
      </w:r>
      <w:r w:rsidRPr="00CA7878">
        <w:rPr>
          <w:rFonts w:eastAsia="Times New Roman" w:cs="Times New Roman"/>
          <w:color w:val="000000"/>
          <w:szCs w:val="24"/>
          <w:lang w:eastAsia="cs-CZ"/>
        </w:rPr>
        <w:t> (1935). Auxin, the plant growth hormone. </w:t>
      </w:r>
      <w:r w:rsidRPr="00CA7878">
        <w:rPr>
          <w:rFonts w:eastAsia="Times New Roman" w:cs="Times New Roman"/>
          <w:i/>
          <w:color w:val="000000"/>
          <w:szCs w:val="24"/>
          <w:lang w:eastAsia="cs-CZ"/>
        </w:rPr>
        <w:t>Botany Review</w:t>
      </w:r>
      <w:r w:rsidRPr="00CA7878">
        <w:rPr>
          <w:rFonts w:eastAsia="Times New Roman" w:cs="Times New Roman"/>
          <w:color w:val="000000"/>
          <w:szCs w:val="24"/>
          <w:lang w:eastAsia="cs-CZ"/>
        </w:rPr>
        <w:t> 1</w:t>
      </w:r>
      <w:r w:rsidRPr="00CA7878">
        <w:rPr>
          <w:rFonts w:eastAsia="Times New Roman" w:cs="Times New Roman"/>
          <w:bCs/>
          <w:color w:val="000000"/>
          <w:szCs w:val="24"/>
          <w:lang w:eastAsia="cs-CZ"/>
        </w:rPr>
        <w:t>:</w:t>
      </w:r>
      <w:r w:rsidRPr="00CA7878">
        <w:rPr>
          <w:rFonts w:eastAsia="Times New Roman" w:cs="Times New Roman"/>
          <w:color w:val="000000"/>
          <w:szCs w:val="24"/>
          <w:lang w:eastAsia="cs-CZ"/>
        </w:rPr>
        <w:t> 162–182.</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t xml:space="preserve">Woodward  A. W.et Bartel B. (2005) Auxin: Regulation, Action, and Interaction. </w:t>
      </w:r>
      <w:r w:rsidRPr="00CA7878">
        <w:rPr>
          <w:rFonts w:cs="Times New Roman"/>
          <w:i/>
          <w:szCs w:val="24"/>
        </w:rPr>
        <w:t>Annals of Botany</w:t>
      </w:r>
      <w:r w:rsidRPr="00CA7878">
        <w:rPr>
          <w:rFonts w:cs="Times New Roman"/>
          <w:szCs w:val="24"/>
        </w:rPr>
        <w:t xml:space="preserve"> 95: 707–735.</w:t>
      </w:r>
    </w:p>
    <w:p w:rsidR="00954E4C" w:rsidRPr="00CA7878" w:rsidRDefault="00954E4C" w:rsidP="00CA7878">
      <w:pPr>
        <w:spacing w:after="100" w:afterAutospacing="1" w:line="360" w:lineRule="auto"/>
        <w:ind w:firstLine="708"/>
        <w:jc w:val="both"/>
        <w:rPr>
          <w:rFonts w:cs="Times New Roman"/>
          <w:szCs w:val="24"/>
        </w:rPr>
      </w:pPr>
      <w:r w:rsidRPr="00CA7878">
        <w:rPr>
          <w:rFonts w:cs="Times New Roman"/>
          <w:szCs w:val="24"/>
        </w:rPr>
        <w:lastRenderedPageBreak/>
        <w:t xml:space="preserve">Zažímalová E., Krecek P., Skůpa P., Hoyerová K., Petrásek J. (2007) Polar transport of the plant hormone auxin - the role of PIN-FORMED (PIN) proteins. </w:t>
      </w:r>
      <w:r w:rsidRPr="00CA7878">
        <w:rPr>
          <w:rFonts w:cs="Times New Roman"/>
          <w:i/>
          <w:szCs w:val="24"/>
        </w:rPr>
        <w:t xml:space="preserve">Cellular and molecular life sciencens </w:t>
      </w:r>
      <w:r w:rsidRPr="00CA7878">
        <w:rPr>
          <w:rFonts w:cs="Times New Roman"/>
          <w:szCs w:val="24"/>
        </w:rPr>
        <w:t>64: 1621-37.</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Zeiger E., Taiz L., (2006) Plant Physiology, 4th Edition, Sinauer Associates, Inc., Publishers, USA</w:t>
      </w:r>
    </w:p>
    <w:p w:rsidR="00954E4C" w:rsidRPr="00CA7878" w:rsidRDefault="00954E4C" w:rsidP="00CA7878">
      <w:pPr>
        <w:autoSpaceDE w:val="0"/>
        <w:autoSpaceDN w:val="0"/>
        <w:adjustRightInd w:val="0"/>
        <w:spacing w:after="100" w:afterAutospacing="1" w:line="360" w:lineRule="auto"/>
        <w:ind w:firstLine="708"/>
        <w:jc w:val="both"/>
        <w:rPr>
          <w:rFonts w:cs="Times New Roman"/>
          <w:szCs w:val="24"/>
        </w:rPr>
      </w:pPr>
      <w:r w:rsidRPr="00CA7878">
        <w:rPr>
          <w:rFonts w:cs="Times New Roman"/>
          <w:szCs w:val="24"/>
        </w:rPr>
        <w:t>Zeiger E., Taiz L., (2006) Plant Physiology, 4th Edition, Sinauer Associates, Inc.,</w:t>
      </w:r>
    </w:p>
    <w:p w:rsidR="00954E4C" w:rsidRPr="00CA7878" w:rsidRDefault="00954E4C" w:rsidP="00CA7878">
      <w:pPr>
        <w:pStyle w:val="Nadpis1"/>
        <w:spacing w:after="100" w:afterAutospacing="1"/>
        <w:rPr>
          <w:rFonts w:cs="Times New Roman"/>
          <w:sz w:val="24"/>
          <w:szCs w:val="24"/>
        </w:rPr>
      </w:pPr>
      <w:r w:rsidRPr="00CA7878">
        <w:rPr>
          <w:rFonts w:cs="Times New Roman"/>
          <w:sz w:val="24"/>
          <w:szCs w:val="24"/>
        </w:rPr>
        <w:br w:type="page"/>
      </w:r>
    </w:p>
    <w:p w:rsidR="00954E4C" w:rsidRDefault="00954E4C" w:rsidP="00CA7878">
      <w:pPr>
        <w:pStyle w:val="Nadpis1"/>
        <w:numPr>
          <w:ilvl w:val="0"/>
          <w:numId w:val="1"/>
        </w:numPr>
        <w:spacing w:after="100" w:afterAutospacing="1"/>
      </w:pPr>
      <w:bookmarkStart w:id="37" w:name="_Toc426029835"/>
      <w:r w:rsidRPr="00954E4C">
        <w:lastRenderedPageBreak/>
        <w:t>Seznam použitých zkratek</w:t>
      </w:r>
      <w:bookmarkEnd w:id="37"/>
    </w:p>
    <w:p w:rsidR="002E06C1" w:rsidRPr="00DA1BB7" w:rsidRDefault="002E06C1" w:rsidP="00CA7878">
      <w:pPr>
        <w:spacing w:after="0" w:line="360" w:lineRule="auto"/>
        <w:rPr>
          <w:rFonts w:cs="Times New Roman"/>
        </w:rPr>
      </w:pPr>
      <w:r w:rsidRPr="00DA1BB7">
        <w:rPr>
          <w:rFonts w:cs="Times New Roman"/>
        </w:rPr>
        <w:t xml:space="preserve">ABP1 </w:t>
      </w:r>
      <w:r w:rsidRPr="00DA1BB7">
        <w:rPr>
          <w:rFonts w:cs="Times New Roman"/>
        </w:rPr>
        <w:tab/>
      </w:r>
      <w:r w:rsidRPr="00DA1BB7">
        <w:rPr>
          <w:rFonts w:cs="Times New Roman"/>
        </w:rPr>
        <w:tab/>
        <w:t>auxin-binding protein 1</w:t>
      </w:r>
    </w:p>
    <w:p w:rsidR="002E06C1" w:rsidRPr="00DA1BB7" w:rsidRDefault="002E06C1" w:rsidP="00CA7878">
      <w:pPr>
        <w:spacing w:after="0" w:line="360" w:lineRule="auto"/>
        <w:rPr>
          <w:rFonts w:cs="Times New Roman"/>
        </w:rPr>
      </w:pPr>
      <w:r w:rsidRPr="00DA1BB7">
        <w:rPr>
          <w:rFonts w:cs="Times New Roman"/>
        </w:rPr>
        <w:t>ABP4</w:t>
      </w:r>
      <w:r w:rsidRPr="00DA1BB7">
        <w:rPr>
          <w:rFonts w:cs="Times New Roman"/>
        </w:rPr>
        <w:tab/>
      </w:r>
      <w:r w:rsidRPr="00DA1BB7">
        <w:rPr>
          <w:rFonts w:cs="Times New Roman"/>
        </w:rPr>
        <w:tab/>
        <w:t>auxin-binding protein 4</w:t>
      </w:r>
    </w:p>
    <w:p w:rsidR="002E06C1" w:rsidRPr="002E06C1" w:rsidRDefault="002E06C1" w:rsidP="00CA7878">
      <w:pPr>
        <w:spacing w:after="0" w:line="360" w:lineRule="auto"/>
        <w:rPr>
          <w:rFonts w:cs="Times New Roman"/>
          <w:szCs w:val="24"/>
        </w:rPr>
      </w:pPr>
      <w:r w:rsidRPr="002E06C1">
        <w:rPr>
          <w:rFonts w:cs="Times New Roman"/>
          <w:szCs w:val="24"/>
        </w:rPr>
        <w:t>AUX1</w:t>
      </w:r>
      <w:r w:rsidRPr="002E06C1">
        <w:rPr>
          <w:rFonts w:cs="Times New Roman"/>
          <w:szCs w:val="24"/>
        </w:rPr>
        <w:tab/>
      </w:r>
      <w:r w:rsidRPr="002E06C1">
        <w:rPr>
          <w:rFonts w:cs="Times New Roman"/>
          <w:szCs w:val="24"/>
        </w:rPr>
        <w:tab/>
        <w:t>Auxin transporter protein 1</w:t>
      </w:r>
    </w:p>
    <w:p w:rsidR="002E06C1" w:rsidRDefault="002E06C1" w:rsidP="00CA7878">
      <w:pPr>
        <w:spacing w:after="0" w:line="360" w:lineRule="auto"/>
        <w:rPr>
          <w:rFonts w:cs="Times New Roman"/>
          <w:szCs w:val="24"/>
        </w:rPr>
      </w:pPr>
      <w:r>
        <w:rPr>
          <w:rFonts w:cs="Times New Roman"/>
          <w:szCs w:val="24"/>
        </w:rPr>
        <w:t>BL</w:t>
      </w:r>
      <w:r>
        <w:rPr>
          <w:rFonts w:cs="Times New Roman"/>
          <w:szCs w:val="24"/>
        </w:rPr>
        <w:tab/>
      </w:r>
      <w:r>
        <w:rPr>
          <w:rFonts w:cs="Times New Roman"/>
          <w:szCs w:val="24"/>
        </w:rPr>
        <w:tab/>
        <w:t>blue light</w:t>
      </w:r>
      <w:r w:rsidR="00DA1BB7">
        <w:rPr>
          <w:rFonts w:cs="Times New Roman"/>
          <w:szCs w:val="24"/>
        </w:rPr>
        <w:t xml:space="preserve"> (modré světlo)</w:t>
      </w:r>
    </w:p>
    <w:p w:rsidR="002E06C1" w:rsidRPr="002E06C1" w:rsidRDefault="002E06C1" w:rsidP="00CA7878">
      <w:pPr>
        <w:spacing w:after="0" w:line="360" w:lineRule="auto"/>
        <w:rPr>
          <w:rFonts w:cs="Times New Roman"/>
          <w:szCs w:val="24"/>
        </w:rPr>
      </w:pPr>
      <w:r w:rsidRPr="002E06C1">
        <w:rPr>
          <w:rFonts w:cs="Times New Roman"/>
          <w:szCs w:val="24"/>
        </w:rPr>
        <w:t>cdna</w:t>
      </w:r>
      <w:r w:rsidRPr="002E06C1">
        <w:rPr>
          <w:rFonts w:cs="Times New Roman"/>
          <w:szCs w:val="24"/>
        </w:rPr>
        <w:tab/>
      </w:r>
      <w:r w:rsidRPr="002E06C1">
        <w:rPr>
          <w:rFonts w:cs="Times New Roman"/>
          <w:szCs w:val="24"/>
        </w:rPr>
        <w:tab/>
        <w:t>komplementární DNA</w:t>
      </w:r>
    </w:p>
    <w:p w:rsidR="002E06C1" w:rsidRPr="002E06C1" w:rsidRDefault="002E06C1" w:rsidP="00CA7878">
      <w:pPr>
        <w:spacing w:after="0" w:line="360" w:lineRule="auto"/>
        <w:rPr>
          <w:rFonts w:cs="Times New Roman"/>
          <w:szCs w:val="24"/>
        </w:rPr>
      </w:pPr>
      <w:r w:rsidRPr="002E06C1">
        <w:rPr>
          <w:rFonts w:cs="Times New Roman"/>
          <w:szCs w:val="24"/>
        </w:rPr>
        <w:t xml:space="preserve">CRY1  </w:t>
      </w:r>
      <w:r w:rsidRPr="002E06C1">
        <w:rPr>
          <w:rFonts w:cs="Times New Roman"/>
          <w:szCs w:val="24"/>
        </w:rPr>
        <w:tab/>
        <w:t>kryptochrom 1</w:t>
      </w:r>
    </w:p>
    <w:p w:rsidR="002E06C1" w:rsidRDefault="002E06C1" w:rsidP="00CA7878">
      <w:pPr>
        <w:spacing w:after="0" w:line="360" w:lineRule="auto"/>
        <w:rPr>
          <w:rFonts w:cs="Times New Roman"/>
          <w:szCs w:val="24"/>
        </w:rPr>
      </w:pPr>
      <w:r w:rsidRPr="002E06C1">
        <w:rPr>
          <w:rFonts w:cs="Times New Roman"/>
          <w:szCs w:val="24"/>
        </w:rPr>
        <w:t xml:space="preserve">CRY2 </w:t>
      </w:r>
      <w:r w:rsidRPr="002E06C1">
        <w:rPr>
          <w:rFonts w:cs="Times New Roman"/>
          <w:szCs w:val="24"/>
        </w:rPr>
        <w:tab/>
      </w:r>
      <w:r w:rsidRPr="002E06C1">
        <w:rPr>
          <w:rFonts w:cs="Times New Roman"/>
          <w:szCs w:val="24"/>
        </w:rPr>
        <w:tab/>
        <w:t>kryptochrom 2</w:t>
      </w:r>
    </w:p>
    <w:p w:rsidR="00DA1BB7" w:rsidRPr="002E06C1" w:rsidRDefault="00DA1BB7" w:rsidP="00CA7878">
      <w:pPr>
        <w:spacing w:after="0" w:line="360" w:lineRule="auto"/>
        <w:rPr>
          <w:rFonts w:cs="Times New Roman"/>
          <w:szCs w:val="24"/>
        </w:rPr>
      </w:pPr>
      <w:r>
        <w:rPr>
          <w:rFonts w:cs="Times New Roman"/>
          <w:szCs w:val="24"/>
        </w:rPr>
        <w:t>D</w:t>
      </w:r>
      <w:r>
        <w:rPr>
          <w:rFonts w:cs="Times New Roman"/>
          <w:szCs w:val="24"/>
        </w:rPr>
        <w:tab/>
      </w:r>
      <w:r>
        <w:rPr>
          <w:rFonts w:cs="Times New Roman"/>
          <w:szCs w:val="24"/>
        </w:rPr>
        <w:tab/>
        <w:t>tma</w:t>
      </w:r>
    </w:p>
    <w:p w:rsidR="002E06C1" w:rsidRPr="00DA1BB7" w:rsidRDefault="002E06C1" w:rsidP="00CA7878">
      <w:pPr>
        <w:spacing w:after="0" w:line="360" w:lineRule="auto"/>
        <w:rPr>
          <w:rFonts w:cs="Times New Roman"/>
          <w:i/>
          <w:szCs w:val="24"/>
        </w:rPr>
      </w:pPr>
      <w:r w:rsidRPr="00DA1BB7">
        <w:rPr>
          <w:rFonts w:cs="Times New Roman"/>
          <w:i/>
          <w:szCs w:val="24"/>
        </w:rPr>
        <w:t>Elm-1</w:t>
      </w:r>
      <w:r w:rsidRPr="00DA1BB7">
        <w:rPr>
          <w:rFonts w:cs="Times New Roman"/>
          <w:szCs w:val="24"/>
        </w:rPr>
        <w:tab/>
      </w:r>
      <w:r w:rsidRPr="00DA1BB7">
        <w:rPr>
          <w:rFonts w:cs="Times New Roman"/>
          <w:szCs w:val="24"/>
        </w:rPr>
        <w:tab/>
      </w:r>
      <w:r w:rsidRPr="00DA1BB7">
        <w:rPr>
          <w:rFonts w:cs="Times New Roman"/>
          <w:i/>
          <w:szCs w:val="24"/>
        </w:rPr>
        <w:t>elongated mezocotyl1</w:t>
      </w:r>
      <w:bookmarkStart w:id="38" w:name="_GoBack"/>
      <w:bookmarkEnd w:id="38"/>
    </w:p>
    <w:p w:rsidR="002E06C1" w:rsidRPr="002E06C1" w:rsidRDefault="002E06C1" w:rsidP="00CA7878">
      <w:pPr>
        <w:spacing w:after="0" w:line="360" w:lineRule="auto"/>
        <w:rPr>
          <w:rFonts w:cs="Times New Roman"/>
          <w:szCs w:val="24"/>
        </w:rPr>
      </w:pPr>
      <w:r w:rsidRPr="002E06C1">
        <w:rPr>
          <w:rFonts w:cs="Times New Roman"/>
          <w:szCs w:val="24"/>
        </w:rPr>
        <w:t>FAD</w:t>
      </w:r>
      <w:r w:rsidRPr="002E06C1">
        <w:rPr>
          <w:rFonts w:cs="Times New Roman"/>
          <w:szCs w:val="24"/>
        </w:rPr>
        <w:tab/>
      </w:r>
      <w:r w:rsidRPr="002E06C1">
        <w:rPr>
          <w:rFonts w:cs="Times New Roman"/>
          <w:szCs w:val="24"/>
        </w:rPr>
        <w:tab/>
        <w:t xml:space="preserve">flavin adenin dinukleotid </w:t>
      </w:r>
    </w:p>
    <w:p w:rsidR="002E06C1" w:rsidRDefault="002E06C1" w:rsidP="00CA7878">
      <w:pPr>
        <w:spacing w:after="0" w:line="360" w:lineRule="auto"/>
        <w:rPr>
          <w:rFonts w:cs="Times New Roman"/>
          <w:szCs w:val="24"/>
        </w:rPr>
      </w:pPr>
      <w:r>
        <w:rPr>
          <w:rFonts w:cs="Times New Roman"/>
          <w:szCs w:val="24"/>
        </w:rPr>
        <w:t>IAA</w:t>
      </w:r>
      <w:r>
        <w:rPr>
          <w:rFonts w:cs="Times New Roman"/>
          <w:szCs w:val="24"/>
        </w:rPr>
        <w:tab/>
      </w:r>
      <w:r>
        <w:rPr>
          <w:rFonts w:cs="Times New Roman"/>
          <w:szCs w:val="24"/>
        </w:rPr>
        <w:tab/>
        <w:t xml:space="preserve">indol-3octová kyseliny </w:t>
      </w:r>
    </w:p>
    <w:p w:rsidR="002E06C1" w:rsidRDefault="002E06C1" w:rsidP="00CA7878">
      <w:pPr>
        <w:spacing w:after="0" w:line="360" w:lineRule="auto"/>
        <w:rPr>
          <w:rFonts w:cs="Times New Roman"/>
          <w:szCs w:val="24"/>
        </w:rPr>
      </w:pPr>
      <w:r>
        <w:rPr>
          <w:rFonts w:cs="Times New Roman"/>
          <w:szCs w:val="24"/>
        </w:rPr>
        <w:t xml:space="preserve">IAM </w:t>
      </w:r>
      <w:r>
        <w:rPr>
          <w:rFonts w:cs="Times New Roman"/>
          <w:szCs w:val="24"/>
        </w:rPr>
        <w:tab/>
      </w:r>
      <w:r>
        <w:rPr>
          <w:rFonts w:cs="Times New Roman"/>
          <w:szCs w:val="24"/>
        </w:rPr>
        <w:tab/>
        <w:t>indol-3-acetamid</w:t>
      </w:r>
    </w:p>
    <w:p w:rsidR="002E06C1" w:rsidRDefault="002E06C1" w:rsidP="00CA7878">
      <w:pPr>
        <w:spacing w:after="0" w:line="360" w:lineRule="auto"/>
        <w:rPr>
          <w:rFonts w:cs="Times New Roman"/>
          <w:szCs w:val="24"/>
        </w:rPr>
      </w:pPr>
      <w:r>
        <w:rPr>
          <w:rFonts w:cs="Times New Roman"/>
          <w:szCs w:val="24"/>
        </w:rPr>
        <w:t xml:space="preserve">IPA </w:t>
      </w:r>
      <w:r>
        <w:rPr>
          <w:rFonts w:cs="Times New Roman"/>
          <w:szCs w:val="24"/>
        </w:rPr>
        <w:tab/>
      </w:r>
      <w:r>
        <w:rPr>
          <w:rFonts w:cs="Times New Roman"/>
          <w:szCs w:val="24"/>
        </w:rPr>
        <w:tab/>
      </w:r>
      <w:r w:rsidRPr="00D06A7F">
        <w:rPr>
          <w:rFonts w:cs="Times New Roman"/>
          <w:szCs w:val="24"/>
        </w:rPr>
        <w:t>kys</w:t>
      </w:r>
      <w:r>
        <w:rPr>
          <w:rFonts w:cs="Times New Roman"/>
          <w:szCs w:val="24"/>
        </w:rPr>
        <w:t xml:space="preserve">elina indol-3-pyrohroznová </w:t>
      </w:r>
    </w:p>
    <w:p w:rsidR="002E06C1" w:rsidRDefault="002E06C1" w:rsidP="00CA7878">
      <w:pPr>
        <w:spacing w:after="0" w:line="360" w:lineRule="auto"/>
        <w:rPr>
          <w:rFonts w:cs="Times New Roman"/>
          <w:szCs w:val="24"/>
        </w:rPr>
      </w:pPr>
      <w:r w:rsidRPr="002E06C1">
        <w:rPr>
          <w:rFonts w:cs="Times New Roman"/>
          <w:szCs w:val="24"/>
        </w:rPr>
        <w:t xml:space="preserve">MS medium </w:t>
      </w:r>
      <w:r w:rsidRPr="002E06C1">
        <w:rPr>
          <w:rFonts w:cs="Times New Roman"/>
          <w:szCs w:val="24"/>
        </w:rPr>
        <w:tab/>
        <w:t>Murashige a Skoog médium</w:t>
      </w:r>
    </w:p>
    <w:p w:rsidR="002E06C1" w:rsidRPr="002E06C1" w:rsidRDefault="002E06C1" w:rsidP="00CA7878">
      <w:pPr>
        <w:spacing w:after="0" w:line="360" w:lineRule="auto"/>
        <w:rPr>
          <w:rFonts w:cs="Times New Roman"/>
          <w:szCs w:val="24"/>
        </w:rPr>
      </w:pPr>
      <w:r w:rsidRPr="002E06C1">
        <w:rPr>
          <w:rFonts w:cs="Times New Roman"/>
          <w:szCs w:val="24"/>
        </w:rPr>
        <w:t xml:space="preserve">PCR </w:t>
      </w:r>
      <w:r w:rsidRPr="002E06C1">
        <w:rPr>
          <w:rFonts w:cs="Times New Roman"/>
          <w:szCs w:val="24"/>
        </w:rPr>
        <w:tab/>
      </w:r>
      <w:r w:rsidRPr="002E06C1">
        <w:rPr>
          <w:rFonts w:cs="Times New Roman"/>
          <w:szCs w:val="24"/>
        </w:rPr>
        <w:tab/>
        <w:t>polymerázová řetězová reakce</w:t>
      </w:r>
    </w:p>
    <w:p w:rsidR="002E06C1" w:rsidRPr="002E06C1" w:rsidRDefault="002E06C1" w:rsidP="00CA7878">
      <w:pPr>
        <w:spacing w:after="0" w:line="360" w:lineRule="auto"/>
        <w:rPr>
          <w:rFonts w:cs="Times New Roman"/>
          <w:szCs w:val="24"/>
        </w:rPr>
      </w:pPr>
      <w:r w:rsidRPr="002E06C1">
        <w:rPr>
          <w:rFonts w:cs="Times New Roman"/>
          <w:szCs w:val="24"/>
        </w:rPr>
        <w:t xml:space="preserve">Pfr forma </w:t>
      </w:r>
      <w:r w:rsidRPr="002E06C1">
        <w:rPr>
          <w:rFonts w:cs="Times New Roman"/>
          <w:szCs w:val="24"/>
        </w:rPr>
        <w:tab/>
        <w:t>fytochromu absorbující far-red (aktivní)</w:t>
      </w:r>
    </w:p>
    <w:p w:rsidR="002E06C1" w:rsidRPr="002E06C1" w:rsidRDefault="002E06C1" w:rsidP="00CA7878">
      <w:pPr>
        <w:spacing w:after="0" w:line="360" w:lineRule="auto"/>
        <w:rPr>
          <w:rFonts w:cs="Times New Roman"/>
          <w:szCs w:val="24"/>
        </w:rPr>
      </w:pPr>
      <w:r w:rsidRPr="002E06C1">
        <w:rPr>
          <w:rFonts w:cs="Times New Roman"/>
          <w:szCs w:val="24"/>
        </w:rPr>
        <w:t>phot1</w:t>
      </w:r>
      <w:r w:rsidRPr="002E06C1">
        <w:rPr>
          <w:rFonts w:cs="Times New Roman"/>
          <w:szCs w:val="24"/>
        </w:rPr>
        <w:tab/>
        <w:t xml:space="preserve"> </w:t>
      </w:r>
      <w:r w:rsidRPr="002E06C1">
        <w:rPr>
          <w:rFonts w:cs="Times New Roman"/>
          <w:szCs w:val="24"/>
        </w:rPr>
        <w:tab/>
        <w:t>blue-light receptor phototropin 1</w:t>
      </w:r>
    </w:p>
    <w:p w:rsidR="002E06C1" w:rsidRPr="002E06C1" w:rsidRDefault="002E06C1" w:rsidP="00CA7878">
      <w:pPr>
        <w:spacing w:after="0" w:line="360" w:lineRule="auto"/>
        <w:rPr>
          <w:rFonts w:cs="Times New Roman"/>
          <w:szCs w:val="24"/>
        </w:rPr>
      </w:pPr>
      <w:r w:rsidRPr="002E06C1">
        <w:rPr>
          <w:rFonts w:cs="Times New Roman"/>
          <w:szCs w:val="24"/>
        </w:rPr>
        <w:t>PHOT1</w:t>
      </w:r>
      <w:r w:rsidRPr="002E06C1">
        <w:rPr>
          <w:rFonts w:cs="Times New Roman"/>
          <w:szCs w:val="24"/>
        </w:rPr>
        <w:tab/>
        <w:t>fototropin 1</w:t>
      </w:r>
    </w:p>
    <w:p w:rsidR="002E06C1" w:rsidRPr="002E06C1" w:rsidRDefault="002E06C1" w:rsidP="00CA7878">
      <w:pPr>
        <w:spacing w:after="0" w:line="360" w:lineRule="auto"/>
        <w:rPr>
          <w:rFonts w:cs="Times New Roman"/>
          <w:szCs w:val="24"/>
        </w:rPr>
      </w:pPr>
      <w:r w:rsidRPr="002E06C1">
        <w:rPr>
          <w:rFonts w:cs="Times New Roman"/>
          <w:szCs w:val="24"/>
        </w:rPr>
        <w:t>PHOT2</w:t>
      </w:r>
      <w:r w:rsidRPr="002E06C1">
        <w:rPr>
          <w:rFonts w:cs="Times New Roman"/>
          <w:szCs w:val="24"/>
        </w:rPr>
        <w:tab/>
        <w:t>fototropin 2</w:t>
      </w:r>
    </w:p>
    <w:p w:rsidR="002E06C1" w:rsidRPr="002E06C1" w:rsidRDefault="002E06C1" w:rsidP="00CA7878">
      <w:pPr>
        <w:spacing w:after="0" w:line="360" w:lineRule="auto"/>
        <w:rPr>
          <w:rFonts w:cs="Times New Roman"/>
          <w:szCs w:val="24"/>
        </w:rPr>
      </w:pPr>
      <w:r w:rsidRPr="002E06C1">
        <w:rPr>
          <w:rFonts w:cs="Times New Roman"/>
          <w:szCs w:val="24"/>
        </w:rPr>
        <w:t>PHY A-E</w:t>
      </w:r>
      <w:r w:rsidRPr="002E06C1">
        <w:rPr>
          <w:rFonts w:cs="Times New Roman"/>
          <w:szCs w:val="24"/>
        </w:rPr>
        <w:tab/>
        <w:t>fytochrom A-E</w:t>
      </w:r>
    </w:p>
    <w:p w:rsidR="002E06C1" w:rsidRPr="002E06C1" w:rsidRDefault="002E06C1" w:rsidP="00CA7878">
      <w:pPr>
        <w:spacing w:after="0" w:line="360" w:lineRule="auto"/>
        <w:rPr>
          <w:rFonts w:cs="Times New Roman"/>
          <w:szCs w:val="24"/>
        </w:rPr>
      </w:pPr>
      <w:r w:rsidRPr="002E06C1">
        <w:rPr>
          <w:rFonts w:cs="Times New Roman"/>
          <w:szCs w:val="24"/>
        </w:rPr>
        <w:t xml:space="preserve">PIN1 </w:t>
      </w:r>
      <w:r w:rsidRPr="002E06C1">
        <w:rPr>
          <w:rFonts w:cs="Times New Roman"/>
          <w:szCs w:val="24"/>
        </w:rPr>
        <w:tab/>
      </w:r>
      <w:r w:rsidRPr="002E06C1">
        <w:rPr>
          <w:rFonts w:cs="Times New Roman"/>
          <w:szCs w:val="24"/>
        </w:rPr>
        <w:tab/>
        <w:t>auxin efflux carrier component 1</w:t>
      </w:r>
    </w:p>
    <w:p w:rsidR="002E06C1" w:rsidRPr="002E06C1" w:rsidRDefault="002E06C1" w:rsidP="00CA7878">
      <w:pPr>
        <w:spacing w:after="0" w:line="360" w:lineRule="auto"/>
        <w:rPr>
          <w:rFonts w:cs="Times New Roman"/>
          <w:szCs w:val="24"/>
        </w:rPr>
      </w:pPr>
      <w:r w:rsidRPr="002E06C1">
        <w:rPr>
          <w:rFonts w:cs="Times New Roman"/>
          <w:szCs w:val="24"/>
        </w:rPr>
        <w:t>Pr forma</w:t>
      </w:r>
      <w:r w:rsidRPr="002E06C1">
        <w:rPr>
          <w:rFonts w:cs="Times New Roman"/>
          <w:szCs w:val="24"/>
        </w:rPr>
        <w:tab/>
        <w:t>fytochromu absorbující červené světlo (neaktivní)</w:t>
      </w:r>
    </w:p>
    <w:p w:rsidR="002E06C1" w:rsidRDefault="002E06C1" w:rsidP="00CA7878">
      <w:pPr>
        <w:spacing w:after="0" w:line="360" w:lineRule="auto"/>
        <w:rPr>
          <w:rFonts w:cs="Times New Roman"/>
          <w:szCs w:val="24"/>
        </w:rPr>
      </w:pPr>
      <w:r>
        <w:rPr>
          <w:rFonts w:cs="Times New Roman"/>
          <w:szCs w:val="24"/>
        </w:rPr>
        <w:t>RL</w:t>
      </w:r>
      <w:r>
        <w:rPr>
          <w:rFonts w:cs="Times New Roman"/>
          <w:szCs w:val="24"/>
        </w:rPr>
        <w:tab/>
      </w:r>
      <w:r>
        <w:rPr>
          <w:rFonts w:cs="Times New Roman"/>
          <w:szCs w:val="24"/>
        </w:rPr>
        <w:tab/>
        <w:t>red light</w:t>
      </w:r>
      <w:r w:rsidR="00DA1BB7">
        <w:rPr>
          <w:rFonts w:cs="Times New Roman"/>
          <w:szCs w:val="24"/>
        </w:rPr>
        <w:t xml:space="preserve"> (červené světlo)</w:t>
      </w:r>
    </w:p>
    <w:p w:rsidR="002E06C1" w:rsidRPr="002E06C1" w:rsidRDefault="002E06C1" w:rsidP="00CA7878">
      <w:pPr>
        <w:spacing w:after="0" w:line="360" w:lineRule="auto"/>
        <w:rPr>
          <w:rFonts w:cs="Times New Roman"/>
          <w:szCs w:val="24"/>
        </w:rPr>
      </w:pPr>
      <w:r w:rsidRPr="002E06C1">
        <w:rPr>
          <w:rFonts w:cs="Times New Roman"/>
          <w:szCs w:val="24"/>
        </w:rPr>
        <w:t xml:space="preserve">TIR1 </w:t>
      </w:r>
      <w:r w:rsidRPr="002E06C1">
        <w:rPr>
          <w:rFonts w:cs="Times New Roman"/>
          <w:szCs w:val="24"/>
        </w:rPr>
        <w:tab/>
      </w:r>
      <w:r w:rsidRPr="002E06C1">
        <w:rPr>
          <w:rFonts w:cs="Times New Roman"/>
          <w:szCs w:val="24"/>
        </w:rPr>
        <w:tab/>
        <w:t>protein TRANSPORT INHIBITOR RESPONSE 1</w:t>
      </w:r>
    </w:p>
    <w:p w:rsidR="002E06C1" w:rsidRDefault="002E06C1" w:rsidP="00CA7878">
      <w:pPr>
        <w:spacing w:after="0" w:line="360" w:lineRule="auto"/>
        <w:rPr>
          <w:rFonts w:cs="Times New Roman"/>
          <w:szCs w:val="24"/>
        </w:rPr>
      </w:pPr>
      <w:r>
        <w:rPr>
          <w:rFonts w:cs="Times New Roman"/>
          <w:szCs w:val="24"/>
        </w:rPr>
        <w:t xml:space="preserve">WT </w:t>
      </w:r>
      <w:r>
        <w:rPr>
          <w:rFonts w:cs="Times New Roman"/>
          <w:szCs w:val="24"/>
        </w:rPr>
        <w:tab/>
      </w:r>
      <w:r>
        <w:rPr>
          <w:rFonts w:cs="Times New Roman"/>
          <w:szCs w:val="24"/>
        </w:rPr>
        <w:tab/>
        <w:t>Wild type</w:t>
      </w:r>
    </w:p>
    <w:p w:rsidR="0059405F" w:rsidRPr="0059405F" w:rsidRDefault="0059405F" w:rsidP="0059405F"/>
    <w:sectPr w:rsidR="0059405F" w:rsidRPr="0059405F" w:rsidSect="00A1351C">
      <w:footerReference w:type="default" r:id="rId17"/>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2E" w:rsidRDefault="0038542E" w:rsidP="00484B3A">
      <w:pPr>
        <w:spacing w:after="0" w:line="240" w:lineRule="auto"/>
      </w:pPr>
      <w:r>
        <w:separator/>
      </w:r>
    </w:p>
  </w:endnote>
  <w:endnote w:type="continuationSeparator" w:id="0">
    <w:p w:rsidR="0038542E" w:rsidRDefault="0038542E" w:rsidP="0048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28053"/>
      <w:docPartObj>
        <w:docPartGallery w:val="Page Numbers (Bottom of Page)"/>
        <w:docPartUnique/>
      </w:docPartObj>
    </w:sdtPr>
    <w:sdtContent>
      <w:p w:rsidR="00CE006F" w:rsidRDefault="00CE006F">
        <w:pPr>
          <w:pStyle w:val="Zpat"/>
          <w:jc w:val="center"/>
        </w:pPr>
        <w:r>
          <w:fldChar w:fldCharType="begin"/>
        </w:r>
        <w:r>
          <w:instrText>PAGE   \* MERGEFORMAT</w:instrText>
        </w:r>
        <w:r>
          <w:fldChar w:fldCharType="separate"/>
        </w:r>
        <w:r w:rsidR="00CA7878">
          <w:rPr>
            <w:noProof/>
          </w:rPr>
          <w:t>39</w:t>
        </w:r>
        <w:r>
          <w:fldChar w:fldCharType="end"/>
        </w:r>
      </w:p>
    </w:sdtContent>
  </w:sdt>
  <w:p w:rsidR="00CE006F" w:rsidRDefault="00CE00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2E" w:rsidRDefault="0038542E" w:rsidP="00484B3A">
      <w:pPr>
        <w:spacing w:after="0" w:line="240" w:lineRule="auto"/>
      </w:pPr>
      <w:r>
        <w:separator/>
      </w:r>
    </w:p>
  </w:footnote>
  <w:footnote w:type="continuationSeparator" w:id="0">
    <w:p w:rsidR="0038542E" w:rsidRDefault="0038542E" w:rsidP="00484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A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F08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1238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C61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C5D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BE19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370D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4752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AA0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8864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4056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D816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FE4F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7C1D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C377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5942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167E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932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041F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EC56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BD3D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490F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7348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672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4D11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980E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C6927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F065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D7E12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23F7A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4017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5E7B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3416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DA06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8E68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FC62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6BE7E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3D7F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5A4A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CB61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2549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3E1F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152B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5D34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E04C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BD72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9"/>
  </w:num>
  <w:num w:numId="3">
    <w:abstractNumId w:val="32"/>
  </w:num>
  <w:num w:numId="4">
    <w:abstractNumId w:val="23"/>
  </w:num>
  <w:num w:numId="5">
    <w:abstractNumId w:val="15"/>
  </w:num>
  <w:num w:numId="6">
    <w:abstractNumId w:val="36"/>
  </w:num>
  <w:num w:numId="7">
    <w:abstractNumId w:val="39"/>
  </w:num>
  <w:num w:numId="8">
    <w:abstractNumId w:val="21"/>
  </w:num>
  <w:num w:numId="9">
    <w:abstractNumId w:val="27"/>
  </w:num>
  <w:num w:numId="10">
    <w:abstractNumId w:val="6"/>
  </w:num>
  <w:num w:numId="11">
    <w:abstractNumId w:val="11"/>
  </w:num>
  <w:num w:numId="12">
    <w:abstractNumId w:val="10"/>
  </w:num>
  <w:num w:numId="13">
    <w:abstractNumId w:val="37"/>
  </w:num>
  <w:num w:numId="14">
    <w:abstractNumId w:val="42"/>
  </w:num>
  <w:num w:numId="15">
    <w:abstractNumId w:val="38"/>
  </w:num>
  <w:num w:numId="16">
    <w:abstractNumId w:val="33"/>
  </w:num>
  <w:num w:numId="17">
    <w:abstractNumId w:val="8"/>
  </w:num>
  <w:num w:numId="18">
    <w:abstractNumId w:val="34"/>
  </w:num>
  <w:num w:numId="19">
    <w:abstractNumId w:val="9"/>
  </w:num>
  <w:num w:numId="20">
    <w:abstractNumId w:val="0"/>
  </w:num>
  <w:num w:numId="21">
    <w:abstractNumId w:val="17"/>
  </w:num>
  <w:num w:numId="22">
    <w:abstractNumId w:val="26"/>
  </w:num>
  <w:num w:numId="23">
    <w:abstractNumId w:val="45"/>
  </w:num>
  <w:num w:numId="24">
    <w:abstractNumId w:val="20"/>
  </w:num>
  <w:num w:numId="25">
    <w:abstractNumId w:val="3"/>
  </w:num>
  <w:num w:numId="26">
    <w:abstractNumId w:val="16"/>
  </w:num>
  <w:num w:numId="27">
    <w:abstractNumId w:val="35"/>
  </w:num>
  <w:num w:numId="28">
    <w:abstractNumId w:val="12"/>
  </w:num>
  <w:num w:numId="29">
    <w:abstractNumId w:val="28"/>
  </w:num>
  <w:num w:numId="30">
    <w:abstractNumId w:val="29"/>
  </w:num>
  <w:num w:numId="31">
    <w:abstractNumId w:val="1"/>
  </w:num>
  <w:num w:numId="32">
    <w:abstractNumId w:val="40"/>
  </w:num>
  <w:num w:numId="33">
    <w:abstractNumId w:val="44"/>
  </w:num>
  <w:num w:numId="34">
    <w:abstractNumId w:val="25"/>
  </w:num>
  <w:num w:numId="35">
    <w:abstractNumId w:val="24"/>
  </w:num>
  <w:num w:numId="36">
    <w:abstractNumId w:val="22"/>
  </w:num>
  <w:num w:numId="37">
    <w:abstractNumId w:val="14"/>
  </w:num>
  <w:num w:numId="38">
    <w:abstractNumId w:val="31"/>
  </w:num>
  <w:num w:numId="39">
    <w:abstractNumId w:val="2"/>
  </w:num>
  <w:num w:numId="40">
    <w:abstractNumId w:val="4"/>
  </w:num>
  <w:num w:numId="41">
    <w:abstractNumId w:val="18"/>
  </w:num>
  <w:num w:numId="42">
    <w:abstractNumId w:val="13"/>
  </w:num>
  <w:num w:numId="43">
    <w:abstractNumId w:val="30"/>
  </w:num>
  <w:num w:numId="44">
    <w:abstractNumId w:val="43"/>
  </w:num>
  <w:num w:numId="45">
    <w:abstractNumId w:val="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4A"/>
    <w:rsid w:val="00207B63"/>
    <w:rsid w:val="002558BF"/>
    <w:rsid w:val="00271C51"/>
    <w:rsid w:val="00273779"/>
    <w:rsid w:val="002E06C1"/>
    <w:rsid w:val="0038542E"/>
    <w:rsid w:val="00437626"/>
    <w:rsid w:val="00484B3A"/>
    <w:rsid w:val="0059405F"/>
    <w:rsid w:val="00633585"/>
    <w:rsid w:val="00654A4E"/>
    <w:rsid w:val="006569E6"/>
    <w:rsid w:val="006F7DF2"/>
    <w:rsid w:val="00755EA6"/>
    <w:rsid w:val="007B67DF"/>
    <w:rsid w:val="00897989"/>
    <w:rsid w:val="00915416"/>
    <w:rsid w:val="00954E4C"/>
    <w:rsid w:val="00A03EFC"/>
    <w:rsid w:val="00A1351C"/>
    <w:rsid w:val="00A1779F"/>
    <w:rsid w:val="00A426A2"/>
    <w:rsid w:val="00A65525"/>
    <w:rsid w:val="00AA3CDA"/>
    <w:rsid w:val="00BE6442"/>
    <w:rsid w:val="00C61DE0"/>
    <w:rsid w:val="00C75E4A"/>
    <w:rsid w:val="00C94D38"/>
    <w:rsid w:val="00CA7878"/>
    <w:rsid w:val="00CE006F"/>
    <w:rsid w:val="00D027D0"/>
    <w:rsid w:val="00DA1BB7"/>
    <w:rsid w:val="00DE1ED7"/>
    <w:rsid w:val="00E247E5"/>
    <w:rsid w:val="00E40B2B"/>
    <w:rsid w:val="00E6053D"/>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A6"/>
    <w:rPr>
      <w:rFonts w:ascii="Times New Roman" w:hAnsi="Times New Roman"/>
      <w:sz w:val="24"/>
    </w:rPr>
  </w:style>
  <w:style w:type="paragraph" w:styleId="Nadpis1">
    <w:name w:val="heading 1"/>
    <w:basedOn w:val="Normln"/>
    <w:next w:val="Normln"/>
    <w:link w:val="Nadpis1Char"/>
    <w:uiPriority w:val="9"/>
    <w:qFormat/>
    <w:rsid w:val="00484B3A"/>
    <w:pPr>
      <w:keepNext/>
      <w:keepLines/>
      <w:spacing w:before="48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E40B2B"/>
    <w:pPr>
      <w:keepNext/>
      <w:keepLines/>
      <w:spacing w:before="200" w:after="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E40B2B"/>
    <w:pPr>
      <w:keepNext/>
      <w:keepLines/>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273779"/>
    <w:pPr>
      <w:keepNext/>
      <w:keepLines/>
      <w:spacing w:before="200" w:after="0"/>
      <w:outlineLvl w:val="3"/>
    </w:pPr>
    <w:rPr>
      <w:rFonts w:eastAsiaTheme="majorEastAsia" w:cstheme="majorBidi"/>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75E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5E4A"/>
    <w:rPr>
      <w:rFonts w:ascii="Tahoma" w:hAnsi="Tahoma" w:cs="Tahoma"/>
      <w:sz w:val="16"/>
      <w:szCs w:val="16"/>
    </w:rPr>
  </w:style>
  <w:style w:type="character" w:styleId="Odkaznakoment">
    <w:name w:val="annotation reference"/>
    <w:basedOn w:val="Standardnpsmoodstavce"/>
    <w:uiPriority w:val="99"/>
    <w:semiHidden/>
    <w:unhideWhenUsed/>
    <w:rsid w:val="00915416"/>
    <w:rPr>
      <w:sz w:val="16"/>
      <w:szCs w:val="16"/>
    </w:rPr>
  </w:style>
  <w:style w:type="paragraph" w:styleId="Textkomente">
    <w:name w:val="annotation text"/>
    <w:basedOn w:val="Normln"/>
    <w:link w:val="TextkomenteChar"/>
    <w:uiPriority w:val="99"/>
    <w:semiHidden/>
    <w:unhideWhenUsed/>
    <w:rsid w:val="00915416"/>
    <w:pPr>
      <w:spacing w:line="240" w:lineRule="auto"/>
    </w:pPr>
    <w:rPr>
      <w:sz w:val="20"/>
      <w:szCs w:val="20"/>
    </w:rPr>
  </w:style>
  <w:style w:type="character" w:customStyle="1" w:styleId="TextkomenteChar">
    <w:name w:val="Text komentáře Char"/>
    <w:basedOn w:val="Standardnpsmoodstavce"/>
    <w:link w:val="Textkomente"/>
    <w:uiPriority w:val="99"/>
    <w:semiHidden/>
    <w:rsid w:val="00915416"/>
    <w:rPr>
      <w:sz w:val="20"/>
      <w:szCs w:val="20"/>
    </w:rPr>
  </w:style>
  <w:style w:type="character" w:styleId="slodku">
    <w:name w:val="line number"/>
    <w:basedOn w:val="Standardnpsmoodstavce"/>
    <w:uiPriority w:val="99"/>
    <w:semiHidden/>
    <w:unhideWhenUsed/>
    <w:rsid w:val="00484B3A"/>
  </w:style>
  <w:style w:type="paragraph" w:styleId="Zhlav">
    <w:name w:val="header"/>
    <w:basedOn w:val="Normln"/>
    <w:link w:val="ZhlavChar"/>
    <w:uiPriority w:val="99"/>
    <w:unhideWhenUsed/>
    <w:rsid w:val="00484B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B3A"/>
  </w:style>
  <w:style w:type="paragraph" w:styleId="Zpat">
    <w:name w:val="footer"/>
    <w:basedOn w:val="Normln"/>
    <w:link w:val="ZpatChar"/>
    <w:uiPriority w:val="99"/>
    <w:unhideWhenUsed/>
    <w:rsid w:val="00484B3A"/>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B3A"/>
  </w:style>
  <w:style w:type="character" w:customStyle="1" w:styleId="Nadpis1Char">
    <w:name w:val="Nadpis 1 Char"/>
    <w:basedOn w:val="Standardnpsmoodstavce"/>
    <w:link w:val="Nadpis1"/>
    <w:uiPriority w:val="9"/>
    <w:rsid w:val="00484B3A"/>
    <w:rPr>
      <w:rFonts w:ascii="Times New Roman" w:eastAsiaTheme="majorEastAsia" w:hAnsi="Times New Roman" w:cstheme="majorBidi"/>
      <w:b/>
      <w:bCs/>
      <w:sz w:val="36"/>
      <w:szCs w:val="28"/>
    </w:rPr>
  </w:style>
  <w:style w:type="paragraph" w:styleId="Nadpisobsahu">
    <w:name w:val="TOC Heading"/>
    <w:basedOn w:val="Nadpis1"/>
    <w:next w:val="Normln"/>
    <w:uiPriority w:val="39"/>
    <w:semiHidden/>
    <w:unhideWhenUsed/>
    <w:qFormat/>
    <w:rsid w:val="00484B3A"/>
    <w:pPr>
      <w:outlineLvl w:val="9"/>
    </w:pPr>
    <w:rPr>
      <w:lang w:eastAsia="cs-CZ"/>
    </w:rPr>
  </w:style>
  <w:style w:type="paragraph" w:styleId="Obsah1">
    <w:name w:val="toc 1"/>
    <w:basedOn w:val="Normln"/>
    <w:next w:val="Normln"/>
    <w:autoRedefine/>
    <w:uiPriority w:val="39"/>
    <w:unhideWhenUsed/>
    <w:rsid w:val="00A03EFC"/>
    <w:pPr>
      <w:tabs>
        <w:tab w:val="left" w:pos="440"/>
        <w:tab w:val="right" w:leader="dot" w:pos="9062"/>
      </w:tabs>
      <w:spacing w:after="100"/>
    </w:pPr>
  </w:style>
  <w:style w:type="character" w:styleId="Hypertextovodkaz">
    <w:name w:val="Hyperlink"/>
    <w:basedOn w:val="Standardnpsmoodstavce"/>
    <w:uiPriority w:val="99"/>
    <w:unhideWhenUsed/>
    <w:rsid w:val="00484B3A"/>
    <w:rPr>
      <w:color w:val="0000FF" w:themeColor="hyperlink"/>
      <w:u w:val="single"/>
    </w:rPr>
  </w:style>
  <w:style w:type="character" w:customStyle="1" w:styleId="Nadpis2Char">
    <w:name w:val="Nadpis 2 Char"/>
    <w:basedOn w:val="Standardnpsmoodstavce"/>
    <w:link w:val="Nadpis2"/>
    <w:uiPriority w:val="9"/>
    <w:rsid w:val="00E40B2B"/>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E40B2B"/>
    <w:rPr>
      <w:rFonts w:ascii="Times New Roman" w:eastAsiaTheme="majorEastAsia" w:hAnsi="Times New Roman" w:cstheme="majorBidi"/>
      <w:b/>
      <w:bCs/>
      <w:color w:val="000000" w:themeColor="text1"/>
      <w:sz w:val="28"/>
    </w:rPr>
  </w:style>
  <w:style w:type="paragraph" w:styleId="Odstavecseseznamem">
    <w:name w:val="List Paragraph"/>
    <w:basedOn w:val="Normln"/>
    <w:uiPriority w:val="34"/>
    <w:qFormat/>
    <w:rsid w:val="00DE1ED7"/>
    <w:pPr>
      <w:ind w:left="720"/>
      <w:contextualSpacing/>
    </w:pPr>
  </w:style>
  <w:style w:type="character" w:customStyle="1" w:styleId="Nadpis4Char">
    <w:name w:val="Nadpis 4 Char"/>
    <w:basedOn w:val="Standardnpsmoodstavce"/>
    <w:link w:val="Nadpis4"/>
    <w:uiPriority w:val="9"/>
    <w:rsid w:val="00273779"/>
    <w:rPr>
      <w:rFonts w:ascii="Times New Roman" w:eastAsiaTheme="majorEastAsia" w:hAnsi="Times New Roman" w:cstheme="majorBidi"/>
      <w:b/>
      <w:bCs/>
      <w:i/>
      <w:iCs/>
      <w:sz w:val="28"/>
    </w:rPr>
  </w:style>
  <w:style w:type="table" w:styleId="Mkatabulky">
    <w:name w:val="Table Grid"/>
    <w:basedOn w:val="Normlntabulka"/>
    <w:uiPriority w:val="59"/>
    <w:rsid w:val="00E60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2">
    <w:name w:val="toc 2"/>
    <w:basedOn w:val="Normln"/>
    <w:next w:val="Normln"/>
    <w:autoRedefine/>
    <w:uiPriority w:val="39"/>
    <w:unhideWhenUsed/>
    <w:rsid w:val="00E6053D"/>
    <w:pPr>
      <w:spacing w:after="100"/>
      <w:ind w:left="220"/>
    </w:pPr>
  </w:style>
  <w:style w:type="paragraph" w:styleId="Obsah3">
    <w:name w:val="toc 3"/>
    <w:basedOn w:val="Normln"/>
    <w:next w:val="Normln"/>
    <w:autoRedefine/>
    <w:uiPriority w:val="39"/>
    <w:unhideWhenUsed/>
    <w:rsid w:val="00E6053D"/>
    <w:pPr>
      <w:spacing w:after="100"/>
      <w:ind w:left="440"/>
    </w:pPr>
  </w:style>
  <w:style w:type="paragraph" w:styleId="Titulek">
    <w:name w:val="caption"/>
    <w:basedOn w:val="Normln"/>
    <w:next w:val="Normln"/>
    <w:uiPriority w:val="35"/>
    <w:unhideWhenUsed/>
    <w:qFormat/>
    <w:rsid w:val="00755EA6"/>
    <w:pPr>
      <w:spacing w:line="240" w:lineRule="auto"/>
    </w:pPr>
    <w:rPr>
      <w:b/>
      <w:bCs/>
      <w:color w:val="4F81BD" w:themeColor="accent1"/>
      <w:sz w:val="18"/>
      <w:szCs w:val="18"/>
    </w:rPr>
  </w:style>
  <w:style w:type="paragraph" w:styleId="Bezmezer">
    <w:name w:val="No Spacing"/>
    <w:uiPriority w:val="1"/>
    <w:qFormat/>
    <w:rsid w:val="00755EA6"/>
    <w:pPr>
      <w:spacing w:after="0" w:line="240" w:lineRule="auto"/>
    </w:pPr>
    <w:rPr>
      <w:rFonts w:ascii="Times New Roman" w:hAnsi="Times New Roman"/>
      <w:sz w:val="24"/>
    </w:rPr>
  </w:style>
  <w:style w:type="paragraph" w:styleId="Seznamobrzk">
    <w:name w:val="table of figures"/>
    <w:basedOn w:val="Normln"/>
    <w:next w:val="Normln"/>
    <w:uiPriority w:val="99"/>
    <w:unhideWhenUsed/>
    <w:rsid w:val="0059405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A6"/>
    <w:rPr>
      <w:rFonts w:ascii="Times New Roman" w:hAnsi="Times New Roman"/>
      <w:sz w:val="24"/>
    </w:rPr>
  </w:style>
  <w:style w:type="paragraph" w:styleId="Nadpis1">
    <w:name w:val="heading 1"/>
    <w:basedOn w:val="Normln"/>
    <w:next w:val="Normln"/>
    <w:link w:val="Nadpis1Char"/>
    <w:uiPriority w:val="9"/>
    <w:qFormat/>
    <w:rsid w:val="00484B3A"/>
    <w:pPr>
      <w:keepNext/>
      <w:keepLines/>
      <w:spacing w:before="48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E40B2B"/>
    <w:pPr>
      <w:keepNext/>
      <w:keepLines/>
      <w:spacing w:before="200" w:after="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E40B2B"/>
    <w:pPr>
      <w:keepNext/>
      <w:keepLines/>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273779"/>
    <w:pPr>
      <w:keepNext/>
      <w:keepLines/>
      <w:spacing w:before="200" w:after="0"/>
      <w:outlineLvl w:val="3"/>
    </w:pPr>
    <w:rPr>
      <w:rFonts w:eastAsiaTheme="majorEastAsia" w:cstheme="majorBidi"/>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75E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5E4A"/>
    <w:rPr>
      <w:rFonts w:ascii="Tahoma" w:hAnsi="Tahoma" w:cs="Tahoma"/>
      <w:sz w:val="16"/>
      <w:szCs w:val="16"/>
    </w:rPr>
  </w:style>
  <w:style w:type="character" w:styleId="Odkaznakoment">
    <w:name w:val="annotation reference"/>
    <w:basedOn w:val="Standardnpsmoodstavce"/>
    <w:uiPriority w:val="99"/>
    <w:semiHidden/>
    <w:unhideWhenUsed/>
    <w:rsid w:val="00915416"/>
    <w:rPr>
      <w:sz w:val="16"/>
      <w:szCs w:val="16"/>
    </w:rPr>
  </w:style>
  <w:style w:type="paragraph" w:styleId="Textkomente">
    <w:name w:val="annotation text"/>
    <w:basedOn w:val="Normln"/>
    <w:link w:val="TextkomenteChar"/>
    <w:uiPriority w:val="99"/>
    <w:semiHidden/>
    <w:unhideWhenUsed/>
    <w:rsid w:val="00915416"/>
    <w:pPr>
      <w:spacing w:line="240" w:lineRule="auto"/>
    </w:pPr>
    <w:rPr>
      <w:sz w:val="20"/>
      <w:szCs w:val="20"/>
    </w:rPr>
  </w:style>
  <w:style w:type="character" w:customStyle="1" w:styleId="TextkomenteChar">
    <w:name w:val="Text komentáře Char"/>
    <w:basedOn w:val="Standardnpsmoodstavce"/>
    <w:link w:val="Textkomente"/>
    <w:uiPriority w:val="99"/>
    <w:semiHidden/>
    <w:rsid w:val="00915416"/>
    <w:rPr>
      <w:sz w:val="20"/>
      <w:szCs w:val="20"/>
    </w:rPr>
  </w:style>
  <w:style w:type="character" w:styleId="slodku">
    <w:name w:val="line number"/>
    <w:basedOn w:val="Standardnpsmoodstavce"/>
    <w:uiPriority w:val="99"/>
    <w:semiHidden/>
    <w:unhideWhenUsed/>
    <w:rsid w:val="00484B3A"/>
  </w:style>
  <w:style w:type="paragraph" w:styleId="Zhlav">
    <w:name w:val="header"/>
    <w:basedOn w:val="Normln"/>
    <w:link w:val="ZhlavChar"/>
    <w:uiPriority w:val="99"/>
    <w:unhideWhenUsed/>
    <w:rsid w:val="00484B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B3A"/>
  </w:style>
  <w:style w:type="paragraph" w:styleId="Zpat">
    <w:name w:val="footer"/>
    <w:basedOn w:val="Normln"/>
    <w:link w:val="ZpatChar"/>
    <w:uiPriority w:val="99"/>
    <w:unhideWhenUsed/>
    <w:rsid w:val="00484B3A"/>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B3A"/>
  </w:style>
  <w:style w:type="character" w:customStyle="1" w:styleId="Nadpis1Char">
    <w:name w:val="Nadpis 1 Char"/>
    <w:basedOn w:val="Standardnpsmoodstavce"/>
    <w:link w:val="Nadpis1"/>
    <w:uiPriority w:val="9"/>
    <w:rsid w:val="00484B3A"/>
    <w:rPr>
      <w:rFonts w:ascii="Times New Roman" w:eastAsiaTheme="majorEastAsia" w:hAnsi="Times New Roman" w:cstheme="majorBidi"/>
      <w:b/>
      <w:bCs/>
      <w:sz w:val="36"/>
      <w:szCs w:val="28"/>
    </w:rPr>
  </w:style>
  <w:style w:type="paragraph" w:styleId="Nadpisobsahu">
    <w:name w:val="TOC Heading"/>
    <w:basedOn w:val="Nadpis1"/>
    <w:next w:val="Normln"/>
    <w:uiPriority w:val="39"/>
    <w:semiHidden/>
    <w:unhideWhenUsed/>
    <w:qFormat/>
    <w:rsid w:val="00484B3A"/>
    <w:pPr>
      <w:outlineLvl w:val="9"/>
    </w:pPr>
    <w:rPr>
      <w:lang w:eastAsia="cs-CZ"/>
    </w:rPr>
  </w:style>
  <w:style w:type="paragraph" w:styleId="Obsah1">
    <w:name w:val="toc 1"/>
    <w:basedOn w:val="Normln"/>
    <w:next w:val="Normln"/>
    <w:autoRedefine/>
    <w:uiPriority w:val="39"/>
    <w:unhideWhenUsed/>
    <w:rsid w:val="00A03EFC"/>
    <w:pPr>
      <w:tabs>
        <w:tab w:val="left" w:pos="440"/>
        <w:tab w:val="right" w:leader="dot" w:pos="9062"/>
      </w:tabs>
      <w:spacing w:after="100"/>
    </w:pPr>
  </w:style>
  <w:style w:type="character" w:styleId="Hypertextovodkaz">
    <w:name w:val="Hyperlink"/>
    <w:basedOn w:val="Standardnpsmoodstavce"/>
    <w:uiPriority w:val="99"/>
    <w:unhideWhenUsed/>
    <w:rsid w:val="00484B3A"/>
    <w:rPr>
      <w:color w:val="0000FF" w:themeColor="hyperlink"/>
      <w:u w:val="single"/>
    </w:rPr>
  </w:style>
  <w:style w:type="character" w:customStyle="1" w:styleId="Nadpis2Char">
    <w:name w:val="Nadpis 2 Char"/>
    <w:basedOn w:val="Standardnpsmoodstavce"/>
    <w:link w:val="Nadpis2"/>
    <w:uiPriority w:val="9"/>
    <w:rsid w:val="00E40B2B"/>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E40B2B"/>
    <w:rPr>
      <w:rFonts w:ascii="Times New Roman" w:eastAsiaTheme="majorEastAsia" w:hAnsi="Times New Roman" w:cstheme="majorBidi"/>
      <w:b/>
      <w:bCs/>
      <w:color w:val="000000" w:themeColor="text1"/>
      <w:sz w:val="28"/>
    </w:rPr>
  </w:style>
  <w:style w:type="paragraph" w:styleId="Odstavecseseznamem">
    <w:name w:val="List Paragraph"/>
    <w:basedOn w:val="Normln"/>
    <w:uiPriority w:val="34"/>
    <w:qFormat/>
    <w:rsid w:val="00DE1ED7"/>
    <w:pPr>
      <w:ind w:left="720"/>
      <w:contextualSpacing/>
    </w:pPr>
  </w:style>
  <w:style w:type="character" w:customStyle="1" w:styleId="Nadpis4Char">
    <w:name w:val="Nadpis 4 Char"/>
    <w:basedOn w:val="Standardnpsmoodstavce"/>
    <w:link w:val="Nadpis4"/>
    <w:uiPriority w:val="9"/>
    <w:rsid w:val="00273779"/>
    <w:rPr>
      <w:rFonts w:ascii="Times New Roman" w:eastAsiaTheme="majorEastAsia" w:hAnsi="Times New Roman" w:cstheme="majorBidi"/>
      <w:b/>
      <w:bCs/>
      <w:i/>
      <w:iCs/>
      <w:sz w:val="28"/>
    </w:rPr>
  </w:style>
  <w:style w:type="table" w:styleId="Mkatabulky">
    <w:name w:val="Table Grid"/>
    <w:basedOn w:val="Normlntabulka"/>
    <w:uiPriority w:val="59"/>
    <w:rsid w:val="00E60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2">
    <w:name w:val="toc 2"/>
    <w:basedOn w:val="Normln"/>
    <w:next w:val="Normln"/>
    <w:autoRedefine/>
    <w:uiPriority w:val="39"/>
    <w:unhideWhenUsed/>
    <w:rsid w:val="00E6053D"/>
    <w:pPr>
      <w:spacing w:after="100"/>
      <w:ind w:left="220"/>
    </w:pPr>
  </w:style>
  <w:style w:type="paragraph" w:styleId="Obsah3">
    <w:name w:val="toc 3"/>
    <w:basedOn w:val="Normln"/>
    <w:next w:val="Normln"/>
    <w:autoRedefine/>
    <w:uiPriority w:val="39"/>
    <w:unhideWhenUsed/>
    <w:rsid w:val="00E6053D"/>
    <w:pPr>
      <w:spacing w:after="100"/>
      <w:ind w:left="440"/>
    </w:pPr>
  </w:style>
  <w:style w:type="paragraph" w:styleId="Titulek">
    <w:name w:val="caption"/>
    <w:basedOn w:val="Normln"/>
    <w:next w:val="Normln"/>
    <w:uiPriority w:val="35"/>
    <w:unhideWhenUsed/>
    <w:qFormat/>
    <w:rsid w:val="00755EA6"/>
    <w:pPr>
      <w:spacing w:line="240" w:lineRule="auto"/>
    </w:pPr>
    <w:rPr>
      <w:b/>
      <w:bCs/>
      <w:color w:val="4F81BD" w:themeColor="accent1"/>
      <w:sz w:val="18"/>
      <w:szCs w:val="18"/>
    </w:rPr>
  </w:style>
  <w:style w:type="paragraph" w:styleId="Bezmezer">
    <w:name w:val="No Spacing"/>
    <w:uiPriority w:val="1"/>
    <w:qFormat/>
    <w:rsid w:val="00755EA6"/>
    <w:pPr>
      <w:spacing w:after="0" w:line="240" w:lineRule="auto"/>
    </w:pPr>
    <w:rPr>
      <w:rFonts w:ascii="Times New Roman" w:hAnsi="Times New Roman"/>
      <w:sz w:val="24"/>
    </w:rPr>
  </w:style>
  <w:style w:type="paragraph" w:styleId="Seznamobrzk">
    <w:name w:val="table of figures"/>
    <w:basedOn w:val="Normln"/>
    <w:next w:val="Normln"/>
    <w:uiPriority w:val="99"/>
    <w:unhideWhenUsed/>
    <w:rsid w:val="005940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aioo\AppData\Roaming\Microsoft\Excel\kone&#269;n&#233;%20v&#253;sledky%20m&#283;&#345;en&#237;%20(version%201).xlsb"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aioo\AppData\Roaming\Microsoft\Excel\kone&#269;n&#233;%20v&#253;sledky%20m&#283;&#345;en&#237;%20(version%201).xlsb"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ioo\AppData\Roaming\Microsoft\Excel\kone&#269;n&#233;%20v&#253;sledky%20m&#283;&#345;en&#237;%20(version%201).xlsb"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Vaioo\AppData\Roaming\Microsoft\Excel\kone&#269;n&#233;%20v&#253;sledky%20m&#283;&#345;en&#237;%20(version%201).xlsb"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Vaioo\Desktop\bakal&#225;&#345;sk&#225;%20pr&#225;ce\kone&#269;n&#233;%20v&#253;sledky%20m&#283;&#345;en&#23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ioo\Desktop\v&#253;sledky%20exprese%20ABP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ioo\Desktop\v&#253;sledky%20exprese%20ABP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Koleoptile</a:t>
            </a:r>
          </a:p>
        </c:rich>
      </c:tx>
      <c:overlay val="0"/>
    </c:title>
    <c:autoTitleDeleted val="0"/>
    <c:plotArea>
      <c:layout>
        <c:manualLayout>
          <c:layoutTarget val="inner"/>
          <c:xMode val="edge"/>
          <c:yMode val="edge"/>
          <c:x val="0.15190529308836395"/>
          <c:y val="0.19480351414406533"/>
          <c:w val="0.75467935258092744"/>
          <c:h val="0.67972185768445614"/>
        </c:manualLayout>
      </c:layout>
      <c:barChart>
        <c:barDir val="col"/>
        <c:grouping val="clustered"/>
        <c:varyColors val="0"/>
        <c:ser>
          <c:idx val="0"/>
          <c:order val="0"/>
          <c:tx>
            <c:strRef>
              <c:f>List3!$B$7</c:f>
              <c:strCache>
                <c:ptCount val="1"/>
                <c:pt idx="0">
                  <c:v>D</c:v>
                </c:pt>
              </c:strCache>
            </c:strRef>
          </c:tx>
          <c:spPr>
            <a:solidFill>
              <a:schemeClr val="tx1"/>
            </a:solidFill>
          </c:spPr>
          <c:invertIfNegative val="0"/>
          <c:errBars>
            <c:errBarType val="both"/>
            <c:errValType val="cust"/>
            <c:noEndCap val="0"/>
            <c:plus>
              <c:numRef>
                <c:f>List3!$B$9</c:f>
                <c:numCache>
                  <c:formatCode>General</c:formatCode>
                  <c:ptCount val="1"/>
                  <c:pt idx="0">
                    <c:v>3.5</c:v>
                  </c:pt>
                </c:numCache>
              </c:numRef>
            </c:plus>
            <c:minus>
              <c:numRef>
                <c:f>List3!$B$9</c:f>
                <c:numCache>
                  <c:formatCode>General</c:formatCode>
                  <c:ptCount val="1"/>
                  <c:pt idx="0">
                    <c:v>3.5</c:v>
                  </c:pt>
                </c:numCache>
              </c:numRef>
            </c:minus>
          </c:errBars>
          <c:val>
            <c:numRef>
              <c:f>List3!$B$8</c:f>
              <c:numCache>
                <c:formatCode>0.0</c:formatCode>
                <c:ptCount val="1"/>
                <c:pt idx="0">
                  <c:v>45.841666666666669</c:v>
                </c:pt>
              </c:numCache>
            </c:numRef>
          </c:val>
        </c:ser>
        <c:ser>
          <c:idx val="1"/>
          <c:order val="1"/>
          <c:tx>
            <c:strRef>
              <c:f>List3!$C$7</c:f>
              <c:strCache>
                <c:ptCount val="1"/>
                <c:pt idx="0">
                  <c:v>BL</c:v>
                </c:pt>
              </c:strCache>
            </c:strRef>
          </c:tx>
          <c:spPr>
            <a:solidFill>
              <a:schemeClr val="tx2"/>
            </a:solidFill>
          </c:spPr>
          <c:invertIfNegative val="0"/>
          <c:errBars>
            <c:errBarType val="both"/>
            <c:errValType val="cust"/>
            <c:noEndCap val="0"/>
            <c:plus>
              <c:numRef>
                <c:f>List3!$C$9</c:f>
                <c:numCache>
                  <c:formatCode>General</c:formatCode>
                  <c:ptCount val="1"/>
                  <c:pt idx="0">
                    <c:v>0.5</c:v>
                  </c:pt>
                </c:numCache>
              </c:numRef>
            </c:plus>
            <c:minus>
              <c:numRef>
                <c:f>List3!$C$9</c:f>
                <c:numCache>
                  <c:formatCode>General</c:formatCode>
                  <c:ptCount val="1"/>
                  <c:pt idx="0">
                    <c:v>0.5</c:v>
                  </c:pt>
                </c:numCache>
              </c:numRef>
            </c:minus>
          </c:errBars>
          <c:val>
            <c:numRef>
              <c:f>List3!$C$8</c:f>
              <c:numCache>
                <c:formatCode>0.0</c:formatCode>
                <c:ptCount val="1"/>
                <c:pt idx="0">
                  <c:v>36.029326923076923</c:v>
                </c:pt>
              </c:numCache>
            </c:numRef>
          </c:val>
        </c:ser>
        <c:ser>
          <c:idx val="2"/>
          <c:order val="2"/>
          <c:tx>
            <c:strRef>
              <c:f>List3!$D$7</c:f>
              <c:strCache>
                <c:ptCount val="1"/>
                <c:pt idx="0">
                  <c:v>RL</c:v>
                </c:pt>
              </c:strCache>
            </c:strRef>
          </c:tx>
          <c:spPr>
            <a:solidFill>
              <a:srgbClr val="C00000"/>
            </a:solidFill>
          </c:spPr>
          <c:invertIfNegative val="0"/>
          <c:errBars>
            <c:errBarType val="both"/>
            <c:errValType val="cust"/>
            <c:noEndCap val="0"/>
            <c:plus>
              <c:numRef>
                <c:f>List3!$D$9</c:f>
                <c:numCache>
                  <c:formatCode>General</c:formatCode>
                  <c:ptCount val="1"/>
                  <c:pt idx="0">
                    <c:v>3.6</c:v>
                  </c:pt>
                </c:numCache>
              </c:numRef>
            </c:plus>
            <c:minus>
              <c:numRef>
                <c:f>List3!$D$10</c:f>
                <c:numCache>
                  <c:formatCode>General</c:formatCode>
                  <c:ptCount val="1"/>
                  <c:pt idx="0">
                    <c:v>8.8000000000000007</c:v>
                  </c:pt>
                </c:numCache>
              </c:numRef>
            </c:minus>
          </c:errBars>
          <c:val>
            <c:numRef>
              <c:f>List3!$D$8</c:f>
              <c:numCache>
                <c:formatCode>0.0</c:formatCode>
                <c:ptCount val="1"/>
                <c:pt idx="0">
                  <c:v>41.817708333333336</c:v>
                </c:pt>
              </c:numCache>
            </c:numRef>
          </c:val>
        </c:ser>
        <c:ser>
          <c:idx val="3"/>
          <c:order val="3"/>
          <c:tx>
            <c:strRef>
              <c:f>List3!$F$6</c:f>
              <c:strCache>
                <c:ptCount val="1"/>
                <c:pt idx="0">
                  <c:v>elm1</c:v>
                </c:pt>
              </c:strCache>
            </c:strRef>
          </c:tx>
          <c:invertIfNegative val="0"/>
          <c:val>
            <c:numRef>
              <c:f>List3!$E$9</c:f>
              <c:numCache>
                <c:formatCode>General</c:formatCode>
                <c:ptCount val="1"/>
              </c:numCache>
            </c:numRef>
          </c:val>
        </c:ser>
        <c:ser>
          <c:idx val="4"/>
          <c:order val="4"/>
          <c:tx>
            <c:strRef>
              <c:f>List3!$F$7</c:f>
              <c:strCache>
                <c:ptCount val="1"/>
                <c:pt idx="0">
                  <c:v>D</c:v>
                </c:pt>
              </c:strCache>
            </c:strRef>
          </c:tx>
          <c:spPr>
            <a:solidFill>
              <a:schemeClr val="tx1"/>
            </a:solidFill>
          </c:spPr>
          <c:invertIfNegative val="0"/>
          <c:errBars>
            <c:errBarType val="both"/>
            <c:errValType val="cust"/>
            <c:noEndCap val="0"/>
            <c:plus>
              <c:numRef>
                <c:f>List3!$F$9</c:f>
                <c:numCache>
                  <c:formatCode>General</c:formatCode>
                  <c:ptCount val="1"/>
                  <c:pt idx="0">
                    <c:v>5.0999999999999996</c:v>
                  </c:pt>
                </c:numCache>
              </c:numRef>
            </c:plus>
            <c:minus>
              <c:numRef>
                <c:f>List3!$F$9</c:f>
                <c:numCache>
                  <c:formatCode>General</c:formatCode>
                  <c:ptCount val="1"/>
                  <c:pt idx="0">
                    <c:v>5.0999999999999996</c:v>
                  </c:pt>
                </c:numCache>
              </c:numRef>
            </c:minus>
          </c:errBars>
          <c:val>
            <c:numRef>
              <c:f>List3!$F$8</c:f>
              <c:numCache>
                <c:formatCode>0.0</c:formatCode>
                <c:ptCount val="1"/>
                <c:pt idx="0">
                  <c:v>35.749523809523808</c:v>
                </c:pt>
              </c:numCache>
            </c:numRef>
          </c:val>
        </c:ser>
        <c:ser>
          <c:idx val="5"/>
          <c:order val="5"/>
          <c:tx>
            <c:strRef>
              <c:f>List3!$G$7</c:f>
              <c:strCache>
                <c:ptCount val="1"/>
                <c:pt idx="0">
                  <c:v>BL</c:v>
                </c:pt>
              </c:strCache>
            </c:strRef>
          </c:tx>
          <c:spPr>
            <a:solidFill>
              <a:schemeClr val="tx2"/>
            </a:solidFill>
          </c:spPr>
          <c:invertIfNegative val="0"/>
          <c:errBars>
            <c:errBarType val="both"/>
            <c:errValType val="cust"/>
            <c:noEndCap val="0"/>
            <c:plus>
              <c:numRef>
                <c:f>List3!$G$9</c:f>
                <c:numCache>
                  <c:formatCode>General</c:formatCode>
                  <c:ptCount val="1"/>
                  <c:pt idx="0">
                    <c:v>2.1</c:v>
                  </c:pt>
                </c:numCache>
              </c:numRef>
            </c:plus>
            <c:minus>
              <c:numRef>
                <c:f>List3!$G$9</c:f>
                <c:numCache>
                  <c:formatCode>General</c:formatCode>
                  <c:ptCount val="1"/>
                  <c:pt idx="0">
                    <c:v>2.1</c:v>
                  </c:pt>
                </c:numCache>
              </c:numRef>
            </c:minus>
          </c:errBars>
          <c:val>
            <c:numRef>
              <c:f>List3!$G$8</c:f>
              <c:numCache>
                <c:formatCode>0.0</c:formatCode>
                <c:ptCount val="1"/>
                <c:pt idx="0">
                  <c:v>37.765238095238097</c:v>
                </c:pt>
              </c:numCache>
            </c:numRef>
          </c:val>
        </c:ser>
        <c:ser>
          <c:idx val="6"/>
          <c:order val="6"/>
          <c:tx>
            <c:strRef>
              <c:f>List3!$H$7</c:f>
              <c:strCache>
                <c:ptCount val="1"/>
                <c:pt idx="0">
                  <c:v>RL</c:v>
                </c:pt>
              </c:strCache>
            </c:strRef>
          </c:tx>
          <c:spPr>
            <a:solidFill>
              <a:srgbClr val="C00000"/>
            </a:solidFill>
          </c:spPr>
          <c:invertIfNegative val="0"/>
          <c:errBars>
            <c:errBarType val="both"/>
            <c:errValType val="cust"/>
            <c:noEndCap val="0"/>
            <c:plus>
              <c:numRef>
                <c:f>List3!$H$9</c:f>
                <c:numCache>
                  <c:formatCode>General</c:formatCode>
                  <c:ptCount val="1"/>
                  <c:pt idx="0">
                    <c:v>3.5</c:v>
                  </c:pt>
                </c:numCache>
              </c:numRef>
            </c:plus>
            <c:minus>
              <c:numRef>
                <c:f>List3!$H$9</c:f>
                <c:numCache>
                  <c:formatCode>General</c:formatCode>
                  <c:ptCount val="1"/>
                  <c:pt idx="0">
                    <c:v>3.5</c:v>
                  </c:pt>
                </c:numCache>
              </c:numRef>
            </c:minus>
          </c:errBars>
          <c:val>
            <c:numRef>
              <c:f>List3!$H$8</c:f>
              <c:numCache>
                <c:formatCode>0.0</c:formatCode>
                <c:ptCount val="1"/>
                <c:pt idx="0">
                  <c:v>46.969841269841268</c:v>
                </c:pt>
              </c:numCache>
            </c:numRef>
          </c:val>
        </c:ser>
        <c:dLbls>
          <c:showLegendKey val="0"/>
          <c:showVal val="0"/>
          <c:showCatName val="0"/>
          <c:showSerName val="0"/>
          <c:showPercent val="0"/>
          <c:showBubbleSize val="0"/>
        </c:dLbls>
        <c:gapWidth val="150"/>
        <c:axId val="180214784"/>
        <c:axId val="117813632"/>
      </c:barChart>
      <c:catAx>
        <c:axId val="180214784"/>
        <c:scaling>
          <c:orientation val="minMax"/>
        </c:scaling>
        <c:delete val="1"/>
        <c:axPos val="b"/>
        <c:majorTickMark val="out"/>
        <c:minorTickMark val="none"/>
        <c:tickLblPos val="nextTo"/>
        <c:crossAx val="117813632"/>
        <c:crosses val="autoZero"/>
        <c:auto val="1"/>
        <c:lblAlgn val="ctr"/>
        <c:lblOffset val="100"/>
        <c:noMultiLvlLbl val="0"/>
      </c:catAx>
      <c:valAx>
        <c:axId val="117813632"/>
        <c:scaling>
          <c:orientation val="minMax"/>
        </c:scaling>
        <c:delete val="0"/>
        <c:axPos val="l"/>
        <c:majorGridlines/>
        <c:title>
          <c:tx>
            <c:rich>
              <a:bodyPr rot="-5400000" vert="horz"/>
              <a:lstStyle/>
              <a:p>
                <a:pPr>
                  <a:defRPr/>
                </a:pPr>
                <a:r>
                  <a:rPr lang="cs-CZ"/>
                  <a:t>Délka</a:t>
                </a:r>
                <a:r>
                  <a:rPr lang="cs-CZ" baseline="0"/>
                  <a:t> koleoptile (mm)</a:t>
                </a:r>
                <a:endParaRPr lang="cs-CZ"/>
              </a:p>
            </c:rich>
          </c:tx>
          <c:overlay val="0"/>
        </c:title>
        <c:numFmt formatCode="0.0" sourceLinked="1"/>
        <c:majorTickMark val="out"/>
        <c:minorTickMark val="none"/>
        <c:tickLblPos val="nextTo"/>
        <c:crossAx val="180214784"/>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Mezokotyl</a:t>
            </a:r>
          </a:p>
        </c:rich>
      </c:tx>
      <c:overlay val="0"/>
    </c:title>
    <c:autoTitleDeleted val="0"/>
    <c:plotArea>
      <c:layout>
        <c:manualLayout>
          <c:layoutTarget val="inner"/>
          <c:xMode val="edge"/>
          <c:yMode val="edge"/>
          <c:x val="0.13246084864391952"/>
          <c:y val="0.15776647710702829"/>
          <c:w val="0.76023490813648309"/>
          <c:h val="0.69361074657334498"/>
        </c:manualLayout>
      </c:layout>
      <c:barChart>
        <c:barDir val="col"/>
        <c:grouping val="clustered"/>
        <c:varyColors val="0"/>
        <c:ser>
          <c:idx val="0"/>
          <c:order val="0"/>
          <c:tx>
            <c:strRef>
              <c:f>List3!$B$23</c:f>
              <c:strCache>
                <c:ptCount val="1"/>
                <c:pt idx="0">
                  <c:v>D</c:v>
                </c:pt>
              </c:strCache>
            </c:strRef>
          </c:tx>
          <c:spPr>
            <a:solidFill>
              <a:schemeClr val="tx1"/>
            </a:solidFill>
          </c:spPr>
          <c:invertIfNegative val="0"/>
          <c:errBars>
            <c:errBarType val="both"/>
            <c:errValType val="cust"/>
            <c:noEndCap val="0"/>
            <c:plus>
              <c:numRef>
                <c:f>List3!$B$25</c:f>
                <c:numCache>
                  <c:formatCode>General</c:formatCode>
                  <c:ptCount val="1"/>
                  <c:pt idx="0">
                    <c:v>1.6</c:v>
                  </c:pt>
                </c:numCache>
              </c:numRef>
            </c:plus>
            <c:minus>
              <c:numRef>
                <c:f>List3!$B$25</c:f>
                <c:numCache>
                  <c:formatCode>General</c:formatCode>
                  <c:ptCount val="1"/>
                  <c:pt idx="0">
                    <c:v>1.6</c:v>
                  </c:pt>
                </c:numCache>
              </c:numRef>
            </c:minus>
          </c:errBars>
          <c:val>
            <c:numRef>
              <c:f>List3!$B$24</c:f>
              <c:numCache>
                <c:formatCode>0.0</c:formatCode>
                <c:ptCount val="1"/>
                <c:pt idx="0">
                  <c:v>37.316666666666663</c:v>
                </c:pt>
              </c:numCache>
            </c:numRef>
          </c:val>
        </c:ser>
        <c:ser>
          <c:idx val="1"/>
          <c:order val="1"/>
          <c:tx>
            <c:strRef>
              <c:f>List3!$C$23</c:f>
              <c:strCache>
                <c:ptCount val="1"/>
                <c:pt idx="0">
                  <c:v>BL</c:v>
                </c:pt>
              </c:strCache>
            </c:strRef>
          </c:tx>
          <c:spPr>
            <a:solidFill>
              <a:schemeClr val="tx2"/>
            </a:solidFill>
          </c:spPr>
          <c:invertIfNegative val="0"/>
          <c:errBars>
            <c:errBarType val="both"/>
            <c:errValType val="cust"/>
            <c:noEndCap val="0"/>
            <c:plus>
              <c:numRef>
                <c:f>List3!$C$25</c:f>
                <c:numCache>
                  <c:formatCode>General</c:formatCode>
                  <c:ptCount val="1"/>
                  <c:pt idx="0">
                    <c:v>0.1</c:v>
                  </c:pt>
                </c:numCache>
              </c:numRef>
            </c:plus>
            <c:minus>
              <c:numRef>
                <c:f>List3!$C$25</c:f>
                <c:numCache>
                  <c:formatCode>General</c:formatCode>
                  <c:ptCount val="1"/>
                  <c:pt idx="0">
                    <c:v>0.1</c:v>
                  </c:pt>
                </c:numCache>
              </c:numRef>
            </c:minus>
          </c:errBars>
          <c:val>
            <c:numRef>
              <c:f>List3!$C$24</c:f>
              <c:numCache>
                <c:formatCode>0.0</c:formatCode>
                <c:ptCount val="1"/>
                <c:pt idx="0">
                  <c:v>10.192307692307692</c:v>
                </c:pt>
              </c:numCache>
            </c:numRef>
          </c:val>
        </c:ser>
        <c:ser>
          <c:idx val="2"/>
          <c:order val="2"/>
          <c:tx>
            <c:strRef>
              <c:f>List3!$D$23</c:f>
              <c:strCache>
                <c:ptCount val="1"/>
                <c:pt idx="0">
                  <c:v>RL</c:v>
                </c:pt>
              </c:strCache>
            </c:strRef>
          </c:tx>
          <c:spPr>
            <a:solidFill>
              <a:srgbClr val="C00000"/>
            </a:solidFill>
          </c:spPr>
          <c:invertIfNegative val="0"/>
          <c:errBars>
            <c:errBarType val="both"/>
            <c:errValType val="cust"/>
            <c:noEndCap val="0"/>
            <c:plus>
              <c:numRef>
                <c:f>List3!$D$25</c:f>
                <c:numCache>
                  <c:formatCode>General</c:formatCode>
                  <c:ptCount val="1"/>
                  <c:pt idx="0">
                    <c:v>1.3</c:v>
                  </c:pt>
                </c:numCache>
              </c:numRef>
            </c:plus>
            <c:minus>
              <c:numRef>
                <c:f>List3!$D$25</c:f>
                <c:numCache>
                  <c:formatCode>General</c:formatCode>
                  <c:ptCount val="1"/>
                  <c:pt idx="0">
                    <c:v>1.3</c:v>
                  </c:pt>
                </c:numCache>
              </c:numRef>
            </c:minus>
          </c:errBars>
          <c:val>
            <c:numRef>
              <c:f>List3!$D$24</c:f>
              <c:numCache>
                <c:formatCode>0.0</c:formatCode>
                <c:ptCount val="1"/>
                <c:pt idx="0">
                  <c:v>14.134285714285715</c:v>
                </c:pt>
              </c:numCache>
            </c:numRef>
          </c:val>
        </c:ser>
        <c:ser>
          <c:idx val="3"/>
          <c:order val="3"/>
          <c:tx>
            <c:strRef>
              <c:f>List3!$F$22</c:f>
              <c:strCache>
                <c:ptCount val="1"/>
                <c:pt idx="0">
                  <c:v>elm1</c:v>
                </c:pt>
              </c:strCache>
            </c:strRef>
          </c:tx>
          <c:invertIfNegative val="0"/>
          <c:val>
            <c:numRef>
              <c:f>List3!$E$25</c:f>
              <c:numCache>
                <c:formatCode>General</c:formatCode>
                <c:ptCount val="1"/>
              </c:numCache>
            </c:numRef>
          </c:val>
        </c:ser>
        <c:ser>
          <c:idx val="4"/>
          <c:order val="4"/>
          <c:tx>
            <c:strRef>
              <c:f>List3!$F$23</c:f>
              <c:strCache>
                <c:ptCount val="1"/>
                <c:pt idx="0">
                  <c:v>D</c:v>
                </c:pt>
              </c:strCache>
            </c:strRef>
          </c:tx>
          <c:spPr>
            <a:solidFill>
              <a:schemeClr val="tx1"/>
            </a:solidFill>
          </c:spPr>
          <c:invertIfNegative val="0"/>
          <c:errBars>
            <c:errBarType val="both"/>
            <c:errValType val="cust"/>
            <c:noEndCap val="0"/>
            <c:plus>
              <c:numRef>
                <c:f>List3!$F$25</c:f>
                <c:numCache>
                  <c:formatCode>General</c:formatCode>
                  <c:ptCount val="1"/>
                  <c:pt idx="0">
                    <c:v>4.7</c:v>
                  </c:pt>
                </c:numCache>
              </c:numRef>
            </c:plus>
            <c:minus>
              <c:numRef>
                <c:f>List3!$F$25</c:f>
                <c:numCache>
                  <c:formatCode>General</c:formatCode>
                  <c:ptCount val="1"/>
                  <c:pt idx="0">
                    <c:v>4.7</c:v>
                  </c:pt>
                </c:numCache>
              </c:numRef>
            </c:minus>
          </c:errBars>
          <c:val>
            <c:numRef>
              <c:f>List3!$F$24</c:f>
              <c:numCache>
                <c:formatCode>0.0</c:formatCode>
                <c:ptCount val="1"/>
                <c:pt idx="0">
                  <c:v>66.179047619047623</c:v>
                </c:pt>
              </c:numCache>
            </c:numRef>
          </c:val>
        </c:ser>
        <c:ser>
          <c:idx val="5"/>
          <c:order val="5"/>
          <c:tx>
            <c:strRef>
              <c:f>List3!$G$23</c:f>
              <c:strCache>
                <c:ptCount val="1"/>
                <c:pt idx="0">
                  <c:v>BL</c:v>
                </c:pt>
              </c:strCache>
            </c:strRef>
          </c:tx>
          <c:spPr>
            <a:solidFill>
              <a:schemeClr val="tx2"/>
            </a:solidFill>
          </c:spPr>
          <c:invertIfNegative val="0"/>
          <c:errBars>
            <c:errBarType val="both"/>
            <c:errValType val="cust"/>
            <c:noEndCap val="0"/>
            <c:plus>
              <c:numRef>
                <c:f>List3!$G$25</c:f>
                <c:numCache>
                  <c:formatCode>General</c:formatCode>
                  <c:ptCount val="1"/>
                  <c:pt idx="0">
                    <c:v>3.1</c:v>
                  </c:pt>
                </c:numCache>
              </c:numRef>
            </c:plus>
            <c:minus>
              <c:numRef>
                <c:f>List3!$G$25</c:f>
                <c:numCache>
                  <c:formatCode>General</c:formatCode>
                  <c:ptCount val="1"/>
                  <c:pt idx="0">
                    <c:v>3.1</c:v>
                  </c:pt>
                </c:numCache>
              </c:numRef>
            </c:minus>
          </c:errBars>
          <c:val>
            <c:numRef>
              <c:f>List3!$G$24</c:f>
              <c:numCache>
                <c:formatCode>0.0</c:formatCode>
                <c:ptCount val="1"/>
                <c:pt idx="0">
                  <c:v>35.339999999999996</c:v>
                </c:pt>
              </c:numCache>
            </c:numRef>
          </c:val>
        </c:ser>
        <c:ser>
          <c:idx val="6"/>
          <c:order val="6"/>
          <c:tx>
            <c:strRef>
              <c:f>List3!$H$23</c:f>
              <c:strCache>
                <c:ptCount val="1"/>
                <c:pt idx="0">
                  <c:v>RL</c:v>
                </c:pt>
              </c:strCache>
            </c:strRef>
          </c:tx>
          <c:spPr>
            <a:solidFill>
              <a:srgbClr val="C00000"/>
            </a:solidFill>
          </c:spPr>
          <c:invertIfNegative val="0"/>
          <c:errBars>
            <c:errBarType val="both"/>
            <c:errValType val="cust"/>
            <c:noEndCap val="0"/>
            <c:plus>
              <c:numRef>
                <c:f>List3!$H$25</c:f>
                <c:numCache>
                  <c:formatCode>General</c:formatCode>
                  <c:ptCount val="1"/>
                  <c:pt idx="0">
                    <c:v>3.4</c:v>
                  </c:pt>
                </c:numCache>
              </c:numRef>
            </c:plus>
            <c:minus>
              <c:numRef>
                <c:f>List3!$H$25</c:f>
                <c:numCache>
                  <c:formatCode>General</c:formatCode>
                  <c:ptCount val="1"/>
                  <c:pt idx="0">
                    <c:v>3.4</c:v>
                  </c:pt>
                </c:numCache>
              </c:numRef>
            </c:minus>
          </c:errBars>
          <c:val>
            <c:numRef>
              <c:f>List3!$H$24</c:f>
              <c:numCache>
                <c:formatCode>0.0</c:formatCode>
                <c:ptCount val="1"/>
                <c:pt idx="0">
                  <c:v>75.3</c:v>
                </c:pt>
              </c:numCache>
            </c:numRef>
          </c:val>
        </c:ser>
        <c:dLbls>
          <c:showLegendKey val="0"/>
          <c:showVal val="0"/>
          <c:showCatName val="0"/>
          <c:showSerName val="0"/>
          <c:showPercent val="0"/>
          <c:showBubbleSize val="0"/>
        </c:dLbls>
        <c:gapWidth val="150"/>
        <c:axId val="177412352"/>
        <c:axId val="177418240"/>
      </c:barChart>
      <c:catAx>
        <c:axId val="177412352"/>
        <c:scaling>
          <c:orientation val="minMax"/>
        </c:scaling>
        <c:delete val="1"/>
        <c:axPos val="b"/>
        <c:majorTickMark val="out"/>
        <c:minorTickMark val="none"/>
        <c:tickLblPos val="nextTo"/>
        <c:crossAx val="177418240"/>
        <c:crosses val="autoZero"/>
        <c:auto val="1"/>
        <c:lblAlgn val="ctr"/>
        <c:lblOffset val="100"/>
        <c:noMultiLvlLbl val="0"/>
      </c:catAx>
      <c:valAx>
        <c:axId val="177418240"/>
        <c:scaling>
          <c:orientation val="minMax"/>
        </c:scaling>
        <c:delete val="0"/>
        <c:axPos val="l"/>
        <c:majorGridlines/>
        <c:title>
          <c:tx>
            <c:rich>
              <a:bodyPr rot="-5400000" vert="horz"/>
              <a:lstStyle/>
              <a:p>
                <a:pPr>
                  <a:defRPr/>
                </a:pPr>
                <a:r>
                  <a:rPr lang="cs-CZ"/>
                  <a:t>Délka mezokotylu (mm)</a:t>
                </a:r>
              </a:p>
            </c:rich>
          </c:tx>
          <c:overlay val="0"/>
        </c:title>
        <c:numFmt formatCode="0.0" sourceLinked="1"/>
        <c:majorTickMark val="out"/>
        <c:minorTickMark val="none"/>
        <c:tickLblPos val="nextTo"/>
        <c:crossAx val="177412352"/>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Počet</a:t>
            </a:r>
            <a:r>
              <a:rPr lang="cs-CZ" baseline="0"/>
              <a:t> seminálních kořenů</a:t>
            </a:r>
            <a:endParaRPr lang="cs-CZ"/>
          </a:p>
        </c:rich>
      </c:tx>
      <c:overlay val="0"/>
    </c:title>
    <c:autoTitleDeleted val="0"/>
    <c:plotArea>
      <c:layout>
        <c:manualLayout>
          <c:layoutTarget val="inner"/>
          <c:xMode val="edge"/>
          <c:yMode val="edge"/>
          <c:x val="0.13782195975503062"/>
          <c:y val="0.19480351414406533"/>
          <c:w val="0.730748687664042"/>
          <c:h val="0.67046259842519684"/>
        </c:manualLayout>
      </c:layout>
      <c:barChart>
        <c:barDir val="col"/>
        <c:grouping val="clustered"/>
        <c:varyColors val="0"/>
        <c:ser>
          <c:idx val="0"/>
          <c:order val="0"/>
          <c:tx>
            <c:strRef>
              <c:f>List3!$B$36</c:f>
              <c:strCache>
                <c:ptCount val="1"/>
                <c:pt idx="0">
                  <c:v>D</c:v>
                </c:pt>
              </c:strCache>
            </c:strRef>
          </c:tx>
          <c:spPr>
            <a:solidFill>
              <a:schemeClr val="tx1"/>
            </a:solidFill>
          </c:spPr>
          <c:invertIfNegative val="0"/>
          <c:errBars>
            <c:errBarType val="both"/>
            <c:errValType val="cust"/>
            <c:noEndCap val="0"/>
            <c:plus>
              <c:numRef>
                <c:f>List3!$B$38</c:f>
                <c:numCache>
                  <c:formatCode>General</c:formatCode>
                  <c:ptCount val="1"/>
                  <c:pt idx="0">
                    <c:v>0.1</c:v>
                  </c:pt>
                </c:numCache>
              </c:numRef>
            </c:plus>
            <c:minus>
              <c:numRef>
                <c:f>List3!$B$38</c:f>
                <c:numCache>
                  <c:formatCode>General</c:formatCode>
                  <c:ptCount val="1"/>
                  <c:pt idx="0">
                    <c:v>0.1</c:v>
                  </c:pt>
                </c:numCache>
              </c:numRef>
            </c:minus>
          </c:errBars>
          <c:val>
            <c:numRef>
              <c:f>List3!$B$37</c:f>
              <c:numCache>
                <c:formatCode>0.0</c:formatCode>
                <c:ptCount val="1"/>
                <c:pt idx="0">
                  <c:v>2.916666666666667</c:v>
                </c:pt>
              </c:numCache>
            </c:numRef>
          </c:val>
        </c:ser>
        <c:ser>
          <c:idx val="1"/>
          <c:order val="1"/>
          <c:tx>
            <c:strRef>
              <c:f>List3!$C$36</c:f>
              <c:strCache>
                <c:ptCount val="1"/>
                <c:pt idx="0">
                  <c:v>BL</c:v>
                </c:pt>
              </c:strCache>
            </c:strRef>
          </c:tx>
          <c:spPr>
            <a:solidFill>
              <a:schemeClr val="tx2"/>
            </a:solidFill>
          </c:spPr>
          <c:invertIfNegative val="0"/>
          <c:errBars>
            <c:errBarType val="both"/>
            <c:errValType val="cust"/>
            <c:noEndCap val="0"/>
            <c:plus>
              <c:numRef>
                <c:f>List3!$C$38</c:f>
                <c:numCache>
                  <c:formatCode>General</c:formatCode>
                  <c:ptCount val="1"/>
                  <c:pt idx="0">
                    <c:v>0.1</c:v>
                  </c:pt>
                </c:numCache>
              </c:numRef>
            </c:plus>
            <c:minus>
              <c:numRef>
                <c:f>List3!$C$38</c:f>
                <c:numCache>
                  <c:formatCode>General</c:formatCode>
                  <c:ptCount val="1"/>
                  <c:pt idx="0">
                    <c:v>0.1</c:v>
                  </c:pt>
                </c:numCache>
              </c:numRef>
            </c:minus>
          </c:errBars>
          <c:val>
            <c:numRef>
              <c:f>List3!$C$37</c:f>
              <c:numCache>
                <c:formatCode>0.0</c:formatCode>
                <c:ptCount val="1"/>
                <c:pt idx="0">
                  <c:v>2.7924297924297923</c:v>
                </c:pt>
              </c:numCache>
            </c:numRef>
          </c:val>
        </c:ser>
        <c:ser>
          <c:idx val="2"/>
          <c:order val="2"/>
          <c:tx>
            <c:strRef>
              <c:f>List3!$D$36</c:f>
              <c:strCache>
                <c:ptCount val="1"/>
                <c:pt idx="0">
                  <c:v>RL</c:v>
                </c:pt>
              </c:strCache>
            </c:strRef>
          </c:tx>
          <c:spPr>
            <a:solidFill>
              <a:srgbClr val="C00000"/>
            </a:solidFill>
          </c:spPr>
          <c:invertIfNegative val="0"/>
          <c:errBars>
            <c:errBarType val="both"/>
            <c:errValType val="cust"/>
            <c:noEndCap val="0"/>
            <c:plus>
              <c:numRef>
                <c:f>List3!$D$38</c:f>
                <c:numCache>
                  <c:formatCode>General</c:formatCode>
                  <c:ptCount val="1"/>
                  <c:pt idx="0">
                    <c:v>0</c:v>
                  </c:pt>
                </c:numCache>
              </c:numRef>
            </c:plus>
            <c:minus>
              <c:numRef>
                <c:f>List3!$D$38</c:f>
                <c:numCache>
                  <c:formatCode>General</c:formatCode>
                  <c:ptCount val="1"/>
                  <c:pt idx="0">
                    <c:v>0</c:v>
                  </c:pt>
                </c:numCache>
              </c:numRef>
            </c:minus>
          </c:errBars>
          <c:val>
            <c:numRef>
              <c:f>List3!$D$37</c:f>
              <c:numCache>
                <c:formatCode>0.0</c:formatCode>
                <c:ptCount val="1"/>
                <c:pt idx="0">
                  <c:v>2.9388888888888887</c:v>
                </c:pt>
              </c:numCache>
            </c:numRef>
          </c:val>
        </c:ser>
        <c:ser>
          <c:idx val="3"/>
          <c:order val="3"/>
          <c:tx>
            <c:strRef>
              <c:f>List3!$F$35</c:f>
              <c:strCache>
                <c:ptCount val="1"/>
                <c:pt idx="0">
                  <c:v>elm1</c:v>
                </c:pt>
              </c:strCache>
            </c:strRef>
          </c:tx>
          <c:invertIfNegative val="0"/>
          <c:val>
            <c:numRef>
              <c:f>List3!$E$39</c:f>
              <c:numCache>
                <c:formatCode>General</c:formatCode>
                <c:ptCount val="1"/>
              </c:numCache>
            </c:numRef>
          </c:val>
        </c:ser>
        <c:ser>
          <c:idx val="4"/>
          <c:order val="4"/>
          <c:tx>
            <c:strRef>
              <c:f>List3!$F$36</c:f>
              <c:strCache>
                <c:ptCount val="1"/>
                <c:pt idx="0">
                  <c:v>D</c:v>
                </c:pt>
              </c:strCache>
            </c:strRef>
          </c:tx>
          <c:spPr>
            <a:solidFill>
              <a:schemeClr val="tx1"/>
            </a:solidFill>
          </c:spPr>
          <c:invertIfNegative val="0"/>
          <c:errBars>
            <c:errBarType val="both"/>
            <c:errValType val="cust"/>
            <c:noEndCap val="0"/>
            <c:plus>
              <c:numRef>
                <c:f>List3!$F$38</c:f>
                <c:numCache>
                  <c:formatCode>General</c:formatCode>
                  <c:ptCount val="1"/>
                  <c:pt idx="0">
                    <c:v>0.1</c:v>
                  </c:pt>
                </c:numCache>
              </c:numRef>
            </c:plus>
            <c:minus>
              <c:numRef>
                <c:f>List3!$F$38</c:f>
                <c:numCache>
                  <c:formatCode>General</c:formatCode>
                  <c:ptCount val="1"/>
                  <c:pt idx="0">
                    <c:v>0.1</c:v>
                  </c:pt>
                </c:numCache>
              </c:numRef>
            </c:minus>
          </c:errBars>
          <c:val>
            <c:numRef>
              <c:f>List3!$F$37</c:f>
              <c:numCache>
                <c:formatCode>0.0</c:formatCode>
                <c:ptCount val="1"/>
                <c:pt idx="0">
                  <c:v>1.8628571428571425</c:v>
                </c:pt>
              </c:numCache>
            </c:numRef>
          </c:val>
        </c:ser>
        <c:ser>
          <c:idx val="5"/>
          <c:order val="5"/>
          <c:tx>
            <c:strRef>
              <c:f>List3!$G$36</c:f>
              <c:strCache>
                <c:ptCount val="1"/>
                <c:pt idx="0">
                  <c:v>BL</c:v>
                </c:pt>
              </c:strCache>
            </c:strRef>
          </c:tx>
          <c:spPr>
            <a:solidFill>
              <a:schemeClr val="tx2"/>
            </a:solidFill>
          </c:spPr>
          <c:invertIfNegative val="0"/>
          <c:errBars>
            <c:errBarType val="both"/>
            <c:errValType val="cust"/>
            <c:noEndCap val="0"/>
            <c:plus>
              <c:numRef>
                <c:f>List3!$G$38</c:f>
                <c:numCache>
                  <c:formatCode>General</c:formatCode>
                  <c:ptCount val="1"/>
                  <c:pt idx="0">
                    <c:v>0.1</c:v>
                  </c:pt>
                </c:numCache>
              </c:numRef>
            </c:plus>
            <c:minus>
              <c:numRef>
                <c:f>List3!$G$38</c:f>
                <c:numCache>
                  <c:formatCode>General</c:formatCode>
                  <c:ptCount val="1"/>
                  <c:pt idx="0">
                    <c:v>0.1</c:v>
                  </c:pt>
                </c:numCache>
              </c:numRef>
            </c:minus>
          </c:errBars>
          <c:val>
            <c:numRef>
              <c:f>List3!$G$37</c:f>
              <c:numCache>
                <c:formatCode>0.0</c:formatCode>
                <c:ptCount val="1"/>
                <c:pt idx="0">
                  <c:v>1.9657142857142857</c:v>
                </c:pt>
              </c:numCache>
            </c:numRef>
          </c:val>
        </c:ser>
        <c:ser>
          <c:idx val="6"/>
          <c:order val="6"/>
          <c:tx>
            <c:strRef>
              <c:f>List3!$H$36</c:f>
              <c:strCache>
                <c:ptCount val="1"/>
                <c:pt idx="0">
                  <c:v>RL</c:v>
                </c:pt>
              </c:strCache>
            </c:strRef>
          </c:tx>
          <c:spPr>
            <a:solidFill>
              <a:srgbClr val="C00000"/>
            </a:solidFill>
          </c:spPr>
          <c:invertIfNegative val="0"/>
          <c:errBars>
            <c:errBarType val="both"/>
            <c:errValType val="cust"/>
            <c:noEndCap val="0"/>
            <c:plus>
              <c:numRef>
                <c:f>List3!$H$38</c:f>
                <c:numCache>
                  <c:formatCode>General</c:formatCode>
                  <c:ptCount val="1"/>
                  <c:pt idx="0">
                    <c:v>0.1</c:v>
                  </c:pt>
                </c:numCache>
              </c:numRef>
            </c:plus>
            <c:minus>
              <c:numRef>
                <c:f>List3!$H$38</c:f>
                <c:numCache>
                  <c:formatCode>General</c:formatCode>
                  <c:ptCount val="1"/>
                  <c:pt idx="0">
                    <c:v>0.1</c:v>
                  </c:pt>
                </c:numCache>
              </c:numRef>
            </c:minus>
          </c:errBars>
          <c:val>
            <c:numRef>
              <c:f>List3!$H$37</c:f>
              <c:numCache>
                <c:formatCode>0.0</c:formatCode>
                <c:ptCount val="1"/>
                <c:pt idx="0">
                  <c:v>1.979365079365079</c:v>
                </c:pt>
              </c:numCache>
            </c:numRef>
          </c:val>
        </c:ser>
        <c:dLbls>
          <c:showLegendKey val="0"/>
          <c:showVal val="0"/>
          <c:showCatName val="0"/>
          <c:showSerName val="0"/>
          <c:showPercent val="0"/>
          <c:showBubbleSize val="0"/>
        </c:dLbls>
        <c:gapWidth val="150"/>
        <c:axId val="178710400"/>
        <c:axId val="178711936"/>
      </c:barChart>
      <c:catAx>
        <c:axId val="178710400"/>
        <c:scaling>
          <c:orientation val="minMax"/>
        </c:scaling>
        <c:delete val="1"/>
        <c:axPos val="b"/>
        <c:majorTickMark val="out"/>
        <c:minorTickMark val="none"/>
        <c:tickLblPos val="nextTo"/>
        <c:crossAx val="178711936"/>
        <c:crosses val="autoZero"/>
        <c:auto val="1"/>
        <c:lblAlgn val="ctr"/>
        <c:lblOffset val="100"/>
        <c:noMultiLvlLbl val="0"/>
      </c:catAx>
      <c:valAx>
        <c:axId val="178711936"/>
        <c:scaling>
          <c:orientation val="minMax"/>
        </c:scaling>
        <c:delete val="0"/>
        <c:axPos val="l"/>
        <c:majorGridlines/>
        <c:title>
          <c:tx>
            <c:rich>
              <a:bodyPr rot="-5400000" vert="horz"/>
              <a:lstStyle/>
              <a:p>
                <a:pPr>
                  <a:defRPr/>
                </a:pPr>
                <a:r>
                  <a:rPr lang="cs-CZ"/>
                  <a:t>Počet seminálních kořenů (ks)</a:t>
                </a:r>
              </a:p>
            </c:rich>
          </c:tx>
          <c:overlay val="0"/>
        </c:title>
        <c:numFmt formatCode="0.0" sourceLinked="1"/>
        <c:majorTickMark val="out"/>
        <c:minorTickMark val="none"/>
        <c:tickLblPos val="nextTo"/>
        <c:crossAx val="178710400"/>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Délka seminálních kořenů</a:t>
            </a:r>
          </a:p>
        </c:rich>
      </c:tx>
      <c:overlay val="0"/>
    </c:title>
    <c:autoTitleDeleted val="0"/>
    <c:plotArea>
      <c:layout>
        <c:manualLayout>
          <c:layoutTarget val="inner"/>
          <c:xMode val="edge"/>
          <c:yMode val="edge"/>
          <c:x val="0.15190529308836395"/>
          <c:y val="0.19480351414406533"/>
          <c:w val="0.69722090988626417"/>
          <c:h val="0.69361074657334498"/>
        </c:manualLayout>
      </c:layout>
      <c:barChart>
        <c:barDir val="col"/>
        <c:grouping val="clustered"/>
        <c:varyColors val="0"/>
        <c:ser>
          <c:idx val="0"/>
          <c:order val="0"/>
          <c:tx>
            <c:strRef>
              <c:f>List3!$B$54</c:f>
              <c:strCache>
                <c:ptCount val="1"/>
                <c:pt idx="0">
                  <c:v>D</c:v>
                </c:pt>
              </c:strCache>
            </c:strRef>
          </c:tx>
          <c:spPr>
            <a:solidFill>
              <a:schemeClr val="tx1"/>
            </a:solidFill>
          </c:spPr>
          <c:invertIfNegative val="0"/>
          <c:errBars>
            <c:errBarType val="both"/>
            <c:errValType val="cust"/>
            <c:noEndCap val="0"/>
            <c:plus>
              <c:numRef>
                <c:f>List3!$B$56</c:f>
                <c:numCache>
                  <c:formatCode>General</c:formatCode>
                  <c:ptCount val="1"/>
                  <c:pt idx="0">
                    <c:v>8.4</c:v>
                  </c:pt>
                </c:numCache>
              </c:numRef>
            </c:plus>
            <c:minus>
              <c:numRef>
                <c:f>List3!$B$56</c:f>
                <c:numCache>
                  <c:formatCode>General</c:formatCode>
                  <c:ptCount val="1"/>
                  <c:pt idx="0">
                    <c:v>8.4</c:v>
                  </c:pt>
                </c:numCache>
              </c:numRef>
            </c:minus>
          </c:errBars>
          <c:val>
            <c:numRef>
              <c:f>List3!$B$55</c:f>
              <c:numCache>
                <c:formatCode>0.0</c:formatCode>
                <c:ptCount val="1"/>
                <c:pt idx="0">
                  <c:v>45.5992394533571</c:v>
                </c:pt>
              </c:numCache>
            </c:numRef>
          </c:val>
        </c:ser>
        <c:ser>
          <c:idx val="1"/>
          <c:order val="1"/>
          <c:tx>
            <c:strRef>
              <c:f>List3!$C$54</c:f>
              <c:strCache>
                <c:ptCount val="1"/>
                <c:pt idx="0">
                  <c:v>BL</c:v>
                </c:pt>
              </c:strCache>
            </c:strRef>
          </c:tx>
          <c:spPr>
            <a:solidFill>
              <a:schemeClr val="tx2"/>
            </a:solidFill>
          </c:spPr>
          <c:invertIfNegative val="0"/>
          <c:errBars>
            <c:errBarType val="both"/>
            <c:errValType val="cust"/>
            <c:noEndCap val="0"/>
            <c:plus>
              <c:numRef>
                <c:f>List3!$C$56</c:f>
                <c:numCache>
                  <c:formatCode>General</c:formatCode>
                  <c:ptCount val="1"/>
                  <c:pt idx="0">
                    <c:v>3.9</c:v>
                  </c:pt>
                </c:numCache>
              </c:numRef>
            </c:plus>
            <c:minus>
              <c:numRef>
                <c:f>List3!$C$56</c:f>
                <c:numCache>
                  <c:formatCode>General</c:formatCode>
                  <c:ptCount val="1"/>
                  <c:pt idx="0">
                    <c:v>3.9</c:v>
                  </c:pt>
                </c:numCache>
              </c:numRef>
            </c:minus>
          </c:errBars>
          <c:val>
            <c:numRef>
              <c:f>List3!$C$55</c:f>
              <c:numCache>
                <c:formatCode>0.0</c:formatCode>
                <c:ptCount val="1"/>
                <c:pt idx="0">
                  <c:v>53.729813664596271</c:v>
                </c:pt>
              </c:numCache>
            </c:numRef>
          </c:val>
        </c:ser>
        <c:ser>
          <c:idx val="2"/>
          <c:order val="2"/>
          <c:tx>
            <c:strRef>
              <c:f>List3!$D$54</c:f>
              <c:strCache>
                <c:ptCount val="1"/>
                <c:pt idx="0">
                  <c:v>RL</c:v>
                </c:pt>
              </c:strCache>
            </c:strRef>
          </c:tx>
          <c:spPr>
            <a:solidFill>
              <a:srgbClr val="C00000"/>
            </a:solidFill>
          </c:spPr>
          <c:invertIfNegative val="0"/>
          <c:errBars>
            <c:errBarType val="both"/>
            <c:errValType val="cust"/>
            <c:noEndCap val="0"/>
            <c:plus>
              <c:numRef>
                <c:f>List3!$D$56</c:f>
                <c:numCache>
                  <c:formatCode>General</c:formatCode>
                  <c:ptCount val="1"/>
                  <c:pt idx="0">
                    <c:v>10</c:v>
                  </c:pt>
                </c:numCache>
              </c:numRef>
            </c:plus>
            <c:minus>
              <c:numRef>
                <c:f>List3!$D$56</c:f>
                <c:numCache>
                  <c:formatCode>General</c:formatCode>
                  <c:ptCount val="1"/>
                  <c:pt idx="0">
                    <c:v>10</c:v>
                  </c:pt>
                </c:numCache>
              </c:numRef>
            </c:minus>
          </c:errBars>
          <c:val>
            <c:numRef>
              <c:f>List3!$D$55</c:f>
              <c:numCache>
                <c:formatCode>0.0</c:formatCode>
                <c:ptCount val="1"/>
                <c:pt idx="0">
                  <c:v>54.049090909090907</c:v>
                </c:pt>
              </c:numCache>
            </c:numRef>
          </c:val>
        </c:ser>
        <c:ser>
          <c:idx val="3"/>
          <c:order val="3"/>
          <c:tx>
            <c:strRef>
              <c:f>List3!$F$53</c:f>
              <c:strCache>
                <c:ptCount val="1"/>
                <c:pt idx="0">
                  <c:v>elm1</c:v>
                </c:pt>
              </c:strCache>
            </c:strRef>
          </c:tx>
          <c:invertIfNegative val="0"/>
          <c:val>
            <c:numRef>
              <c:f>List3!$E$57</c:f>
              <c:numCache>
                <c:formatCode>General</c:formatCode>
                <c:ptCount val="1"/>
              </c:numCache>
            </c:numRef>
          </c:val>
        </c:ser>
        <c:ser>
          <c:idx val="4"/>
          <c:order val="4"/>
          <c:tx>
            <c:strRef>
              <c:f>List3!$F$54</c:f>
              <c:strCache>
                <c:ptCount val="1"/>
                <c:pt idx="0">
                  <c:v>D</c:v>
                </c:pt>
              </c:strCache>
            </c:strRef>
          </c:tx>
          <c:spPr>
            <a:solidFill>
              <a:schemeClr val="tx1"/>
            </a:solidFill>
          </c:spPr>
          <c:invertIfNegative val="0"/>
          <c:errBars>
            <c:errBarType val="both"/>
            <c:errValType val="cust"/>
            <c:noEndCap val="0"/>
            <c:plus>
              <c:numRef>
                <c:f>List3!$F$56</c:f>
                <c:numCache>
                  <c:formatCode>General</c:formatCode>
                  <c:ptCount val="1"/>
                  <c:pt idx="0">
                    <c:v>5.9</c:v>
                  </c:pt>
                </c:numCache>
              </c:numRef>
            </c:plus>
            <c:minus>
              <c:numRef>
                <c:f>List3!$F$56</c:f>
                <c:numCache>
                  <c:formatCode>General</c:formatCode>
                  <c:ptCount val="1"/>
                  <c:pt idx="0">
                    <c:v>5.9</c:v>
                  </c:pt>
                </c:numCache>
              </c:numRef>
            </c:minus>
          </c:errBars>
          <c:val>
            <c:numRef>
              <c:f>List3!$F$55</c:f>
              <c:numCache>
                <c:formatCode>0.00</c:formatCode>
                <c:ptCount val="1"/>
                <c:pt idx="0">
                  <c:v>46.273333333333326</c:v>
                </c:pt>
              </c:numCache>
            </c:numRef>
          </c:val>
        </c:ser>
        <c:ser>
          <c:idx val="5"/>
          <c:order val="5"/>
          <c:tx>
            <c:strRef>
              <c:f>List3!$G$54</c:f>
              <c:strCache>
                <c:ptCount val="1"/>
                <c:pt idx="0">
                  <c:v>BL</c:v>
                </c:pt>
              </c:strCache>
            </c:strRef>
          </c:tx>
          <c:spPr>
            <a:solidFill>
              <a:schemeClr val="tx2"/>
            </a:solidFill>
          </c:spPr>
          <c:invertIfNegative val="0"/>
          <c:errBars>
            <c:errBarType val="both"/>
            <c:errValType val="cust"/>
            <c:noEndCap val="0"/>
            <c:plus>
              <c:numRef>
                <c:f>List3!$G$56</c:f>
                <c:numCache>
                  <c:formatCode>General</c:formatCode>
                  <c:ptCount val="1"/>
                  <c:pt idx="0">
                    <c:v>3.4</c:v>
                  </c:pt>
                </c:numCache>
              </c:numRef>
            </c:plus>
            <c:minus>
              <c:numRef>
                <c:f>List3!$G$56</c:f>
                <c:numCache>
                  <c:formatCode>General</c:formatCode>
                  <c:ptCount val="1"/>
                  <c:pt idx="0">
                    <c:v>3.4</c:v>
                  </c:pt>
                </c:numCache>
              </c:numRef>
            </c:minus>
          </c:errBars>
          <c:val>
            <c:numRef>
              <c:f>List3!$G$55</c:f>
              <c:numCache>
                <c:formatCode>0.00</c:formatCode>
                <c:ptCount val="1"/>
                <c:pt idx="0">
                  <c:v>44.13484848484849</c:v>
                </c:pt>
              </c:numCache>
            </c:numRef>
          </c:val>
        </c:ser>
        <c:ser>
          <c:idx val="6"/>
          <c:order val="6"/>
          <c:tx>
            <c:strRef>
              <c:f>List3!$H$54</c:f>
              <c:strCache>
                <c:ptCount val="1"/>
                <c:pt idx="0">
                  <c:v>RL</c:v>
                </c:pt>
              </c:strCache>
            </c:strRef>
          </c:tx>
          <c:spPr>
            <a:solidFill>
              <a:srgbClr val="C00000"/>
            </a:solidFill>
          </c:spPr>
          <c:invertIfNegative val="0"/>
          <c:errBars>
            <c:errBarType val="both"/>
            <c:errValType val="cust"/>
            <c:noEndCap val="0"/>
            <c:plus>
              <c:numRef>
                <c:f>List3!$H$56</c:f>
                <c:numCache>
                  <c:formatCode>General</c:formatCode>
                  <c:ptCount val="1"/>
                  <c:pt idx="0">
                    <c:v>4.5999999999999996</c:v>
                  </c:pt>
                </c:numCache>
              </c:numRef>
            </c:plus>
            <c:minus>
              <c:numRef>
                <c:f>List3!$H$56</c:f>
                <c:numCache>
                  <c:formatCode>General</c:formatCode>
                  <c:ptCount val="1"/>
                  <c:pt idx="0">
                    <c:v>4.5999999999999996</c:v>
                  </c:pt>
                </c:numCache>
              </c:numRef>
            </c:minus>
          </c:errBars>
          <c:val>
            <c:numRef>
              <c:f>List3!$H$55</c:f>
              <c:numCache>
                <c:formatCode>0.00</c:formatCode>
                <c:ptCount val="1"/>
                <c:pt idx="0">
                  <c:v>48.794521749320516</c:v>
                </c:pt>
              </c:numCache>
            </c:numRef>
          </c:val>
        </c:ser>
        <c:dLbls>
          <c:showLegendKey val="0"/>
          <c:showVal val="0"/>
          <c:showCatName val="0"/>
          <c:showSerName val="0"/>
          <c:showPercent val="0"/>
          <c:showBubbleSize val="0"/>
        </c:dLbls>
        <c:gapWidth val="150"/>
        <c:axId val="179009024"/>
        <c:axId val="179010560"/>
      </c:barChart>
      <c:catAx>
        <c:axId val="179009024"/>
        <c:scaling>
          <c:orientation val="minMax"/>
        </c:scaling>
        <c:delete val="1"/>
        <c:axPos val="b"/>
        <c:majorTickMark val="out"/>
        <c:minorTickMark val="none"/>
        <c:tickLblPos val="nextTo"/>
        <c:crossAx val="179010560"/>
        <c:crosses val="autoZero"/>
        <c:auto val="1"/>
        <c:lblAlgn val="ctr"/>
        <c:lblOffset val="100"/>
        <c:noMultiLvlLbl val="0"/>
      </c:catAx>
      <c:valAx>
        <c:axId val="179010560"/>
        <c:scaling>
          <c:orientation val="minMax"/>
        </c:scaling>
        <c:delete val="0"/>
        <c:axPos val="l"/>
        <c:majorGridlines/>
        <c:title>
          <c:tx>
            <c:rich>
              <a:bodyPr rot="-5400000" vert="horz"/>
              <a:lstStyle/>
              <a:p>
                <a:pPr>
                  <a:defRPr/>
                </a:pPr>
                <a:r>
                  <a:rPr lang="cs-CZ"/>
                  <a:t>Délka seminálních</a:t>
                </a:r>
                <a:r>
                  <a:rPr lang="cs-CZ" baseline="0"/>
                  <a:t> </a:t>
                </a:r>
                <a:r>
                  <a:rPr lang="cs-CZ"/>
                  <a:t>kořenů (mm)</a:t>
                </a:r>
              </a:p>
            </c:rich>
          </c:tx>
          <c:overlay val="0"/>
        </c:title>
        <c:numFmt formatCode="0.0" sourceLinked="1"/>
        <c:majorTickMark val="out"/>
        <c:minorTickMark val="none"/>
        <c:tickLblPos val="nextTo"/>
        <c:crossAx val="179009024"/>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Délka</a:t>
            </a:r>
            <a:r>
              <a:rPr lang="cs-CZ" baseline="0"/>
              <a:t> primárního kořene</a:t>
            </a:r>
            <a:endParaRPr lang="cs-CZ"/>
          </a:p>
        </c:rich>
      </c:tx>
      <c:overlay val="0"/>
    </c:title>
    <c:autoTitleDeleted val="0"/>
    <c:plotArea>
      <c:layout>
        <c:manualLayout>
          <c:layoutTarget val="inner"/>
          <c:xMode val="edge"/>
          <c:yMode val="edge"/>
          <c:x val="0.15190529308836395"/>
          <c:y val="0.19480351414406533"/>
          <c:w val="0.69999868766404194"/>
          <c:h val="0.67972185768445614"/>
        </c:manualLayout>
      </c:layout>
      <c:barChart>
        <c:barDir val="col"/>
        <c:grouping val="clustered"/>
        <c:varyColors val="0"/>
        <c:ser>
          <c:idx val="0"/>
          <c:order val="0"/>
          <c:tx>
            <c:strRef>
              <c:f>List3!$B$67</c:f>
              <c:strCache>
                <c:ptCount val="1"/>
                <c:pt idx="0">
                  <c:v>D</c:v>
                </c:pt>
              </c:strCache>
            </c:strRef>
          </c:tx>
          <c:spPr>
            <a:solidFill>
              <a:schemeClr val="tx1"/>
            </a:solidFill>
          </c:spPr>
          <c:invertIfNegative val="0"/>
          <c:errBars>
            <c:errBarType val="both"/>
            <c:errValType val="cust"/>
            <c:noEndCap val="0"/>
            <c:plus>
              <c:numRef>
                <c:f>List3!$B$69</c:f>
                <c:numCache>
                  <c:formatCode>General</c:formatCode>
                  <c:ptCount val="1"/>
                  <c:pt idx="0">
                    <c:v>10.9</c:v>
                  </c:pt>
                </c:numCache>
              </c:numRef>
            </c:plus>
            <c:minus>
              <c:numRef>
                <c:f>List3!$B$69</c:f>
                <c:numCache>
                  <c:formatCode>General</c:formatCode>
                  <c:ptCount val="1"/>
                  <c:pt idx="0">
                    <c:v>10.9</c:v>
                  </c:pt>
                </c:numCache>
              </c:numRef>
            </c:minus>
          </c:errBars>
          <c:val>
            <c:numRef>
              <c:f>List3!$B$68</c:f>
              <c:numCache>
                <c:formatCode>0.0</c:formatCode>
                <c:ptCount val="1"/>
                <c:pt idx="0">
                  <c:v>64.693333333333342</c:v>
                </c:pt>
              </c:numCache>
            </c:numRef>
          </c:val>
        </c:ser>
        <c:ser>
          <c:idx val="1"/>
          <c:order val="1"/>
          <c:tx>
            <c:strRef>
              <c:f>List3!$C$67</c:f>
              <c:strCache>
                <c:ptCount val="1"/>
                <c:pt idx="0">
                  <c:v>BL</c:v>
                </c:pt>
              </c:strCache>
            </c:strRef>
          </c:tx>
          <c:spPr>
            <a:solidFill>
              <a:schemeClr val="tx2"/>
            </a:solidFill>
          </c:spPr>
          <c:invertIfNegative val="0"/>
          <c:errBars>
            <c:errBarType val="both"/>
            <c:errValType val="cust"/>
            <c:noEndCap val="0"/>
            <c:plus>
              <c:numRef>
                <c:f>List3!$C$69</c:f>
                <c:numCache>
                  <c:formatCode>General</c:formatCode>
                  <c:ptCount val="1"/>
                  <c:pt idx="0">
                    <c:v>5.7</c:v>
                  </c:pt>
                </c:numCache>
              </c:numRef>
            </c:plus>
            <c:minus>
              <c:numRef>
                <c:f>List3!$C$69</c:f>
                <c:numCache>
                  <c:formatCode>General</c:formatCode>
                  <c:ptCount val="1"/>
                  <c:pt idx="0">
                    <c:v>5.7</c:v>
                  </c:pt>
                </c:numCache>
              </c:numRef>
            </c:minus>
          </c:errBars>
          <c:val>
            <c:numRef>
              <c:f>List3!$C$68</c:f>
              <c:numCache>
                <c:formatCode>0.0</c:formatCode>
                <c:ptCount val="1"/>
                <c:pt idx="0">
                  <c:v>77.031904761904769</c:v>
                </c:pt>
              </c:numCache>
            </c:numRef>
          </c:val>
        </c:ser>
        <c:ser>
          <c:idx val="2"/>
          <c:order val="2"/>
          <c:tx>
            <c:strRef>
              <c:f>List3!$D$67</c:f>
              <c:strCache>
                <c:ptCount val="1"/>
                <c:pt idx="0">
                  <c:v>RL</c:v>
                </c:pt>
              </c:strCache>
            </c:strRef>
          </c:tx>
          <c:spPr>
            <a:solidFill>
              <a:srgbClr val="C00000"/>
            </a:solidFill>
          </c:spPr>
          <c:invertIfNegative val="0"/>
          <c:errBars>
            <c:errBarType val="both"/>
            <c:errValType val="cust"/>
            <c:noEndCap val="0"/>
            <c:plus>
              <c:numRef>
                <c:f>List3!$D$69</c:f>
                <c:numCache>
                  <c:formatCode>General</c:formatCode>
                  <c:ptCount val="1"/>
                  <c:pt idx="0">
                    <c:v>11</c:v>
                  </c:pt>
                </c:numCache>
              </c:numRef>
            </c:plus>
            <c:minus>
              <c:numRef>
                <c:f>List3!$D$69</c:f>
                <c:numCache>
                  <c:formatCode>General</c:formatCode>
                  <c:ptCount val="1"/>
                  <c:pt idx="0">
                    <c:v>11</c:v>
                  </c:pt>
                </c:numCache>
              </c:numRef>
            </c:minus>
          </c:errBars>
          <c:val>
            <c:numRef>
              <c:f>List3!$D$68</c:f>
              <c:numCache>
                <c:formatCode>0.0</c:formatCode>
                <c:ptCount val="1"/>
                <c:pt idx="0">
                  <c:v>70.420202020202026</c:v>
                </c:pt>
              </c:numCache>
            </c:numRef>
          </c:val>
        </c:ser>
        <c:ser>
          <c:idx val="3"/>
          <c:order val="3"/>
          <c:tx>
            <c:strRef>
              <c:f>List3!$F$66</c:f>
              <c:strCache>
                <c:ptCount val="1"/>
                <c:pt idx="0">
                  <c:v>elm1</c:v>
                </c:pt>
              </c:strCache>
            </c:strRef>
          </c:tx>
          <c:invertIfNegative val="0"/>
          <c:val>
            <c:numRef>
              <c:f>List3!$E$72</c:f>
              <c:numCache>
                <c:formatCode>General</c:formatCode>
                <c:ptCount val="1"/>
              </c:numCache>
            </c:numRef>
          </c:val>
        </c:ser>
        <c:ser>
          <c:idx val="4"/>
          <c:order val="4"/>
          <c:tx>
            <c:strRef>
              <c:f>List3!$F$67</c:f>
              <c:strCache>
                <c:ptCount val="1"/>
                <c:pt idx="0">
                  <c:v>D</c:v>
                </c:pt>
              </c:strCache>
            </c:strRef>
          </c:tx>
          <c:spPr>
            <a:solidFill>
              <a:schemeClr val="tx1"/>
            </a:solidFill>
          </c:spPr>
          <c:invertIfNegative val="0"/>
          <c:errBars>
            <c:errBarType val="both"/>
            <c:errValType val="cust"/>
            <c:noEndCap val="0"/>
            <c:plus>
              <c:numRef>
                <c:f>List3!$F$69</c:f>
                <c:numCache>
                  <c:formatCode>General</c:formatCode>
                  <c:ptCount val="1"/>
                  <c:pt idx="0">
                    <c:v>5</c:v>
                  </c:pt>
                </c:numCache>
              </c:numRef>
            </c:plus>
            <c:minus>
              <c:numRef>
                <c:f>List3!$F$69</c:f>
                <c:numCache>
                  <c:formatCode>General</c:formatCode>
                  <c:ptCount val="1"/>
                  <c:pt idx="0">
                    <c:v>5</c:v>
                  </c:pt>
                </c:numCache>
              </c:numRef>
            </c:minus>
          </c:errBars>
          <c:val>
            <c:numRef>
              <c:f>List3!$F$68</c:f>
              <c:numCache>
                <c:formatCode>0.0</c:formatCode>
                <c:ptCount val="1"/>
                <c:pt idx="0">
                  <c:v>79.240000000000009</c:v>
                </c:pt>
              </c:numCache>
            </c:numRef>
          </c:val>
        </c:ser>
        <c:ser>
          <c:idx val="5"/>
          <c:order val="5"/>
          <c:tx>
            <c:strRef>
              <c:f>List3!$G$67</c:f>
              <c:strCache>
                <c:ptCount val="1"/>
                <c:pt idx="0">
                  <c:v>BL</c:v>
                </c:pt>
              </c:strCache>
            </c:strRef>
          </c:tx>
          <c:spPr>
            <a:solidFill>
              <a:schemeClr val="tx2"/>
            </a:solidFill>
          </c:spPr>
          <c:invertIfNegative val="0"/>
          <c:errBars>
            <c:errBarType val="both"/>
            <c:errValType val="cust"/>
            <c:noEndCap val="0"/>
            <c:plus>
              <c:numRef>
                <c:f>List3!$G$69</c:f>
                <c:numCache>
                  <c:formatCode>General</c:formatCode>
                  <c:ptCount val="1"/>
                  <c:pt idx="0">
                    <c:v>6.9</c:v>
                  </c:pt>
                </c:numCache>
              </c:numRef>
            </c:plus>
            <c:minus>
              <c:numRef>
                <c:f>List3!$G$69</c:f>
                <c:numCache>
                  <c:formatCode>General</c:formatCode>
                  <c:ptCount val="1"/>
                  <c:pt idx="0">
                    <c:v>6.9</c:v>
                  </c:pt>
                </c:numCache>
              </c:numRef>
            </c:minus>
          </c:errBars>
          <c:val>
            <c:numRef>
              <c:f>List3!$G$68</c:f>
              <c:numCache>
                <c:formatCode>0.0</c:formatCode>
                <c:ptCount val="1"/>
                <c:pt idx="0">
                  <c:v>75.173333333333318</c:v>
                </c:pt>
              </c:numCache>
            </c:numRef>
          </c:val>
        </c:ser>
        <c:ser>
          <c:idx val="6"/>
          <c:order val="6"/>
          <c:tx>
            <c:strRef>
              <c:f>List3!$H$67</c:f>
              <c:strCache>
                <c:ptCount val="1"/>
                <c:pt idx="0">
                  <c:v>RL</c:v>
                </c:pt>
              </c:strCache>
            </c:strRef>
          </c:tx>
          <c:spPr>
            <a:solidFill>
              <a:srgbClr val="C00000"/>
            </a:solidFill>
          </c:spPr>
          <c:invertIfNegative val="0"/>
          <c:errBars>
            <c:errBarType val="both"/>
            <c:errValType val="cust"/>
            <c:noEndCap val="0"/>
            <c:plus>
              <c:numRef>
                <c:f>List3!$H$69</c:f>
                <c:numCache>
                  <c:formatCode>General</c:formatCode>
                  <c:ptCount val="1"/>
                  <c:pt idx="0">
                    <c:v>9.1999999999999993</c:v>
                  </c:pt>
                </c:numCache>
              </c:numRef>
            </c:plus>
            <c:minus>
              <c:numRef>
                <c:f>List3!$H$69</c:f>
                <c:numCache>
                  <c:formatCode>General</c:formatCode>
                  <c:ptCount val="1"/>
                  <c:pt idx="0">
                    <c:v>9.1999999999999993</c:v>
                  </c:pt>
                </c:numCache>
              </c:numRef>
            </c:minus>
          </c:errBars>
          <c:val>
            <c:numRef>
              <c:f>List3!$H$68</c:f>
              <c:numCache>
                <c:formatCode>0.0</c:formatCode>
                <c:ptCount val="1"/>
                <c:pt idx="0">
                  <c:v>87.930158730158723</c:v>
                </c:pt>
              </c:numCache>
            </c:numRef>
          </c:val>
        </c:ser>
        <c:dLbls>
          <c:showLegendKey val="0"/>
          <c:showVal val="0"/>
          <c:showCatName val="0"/>
          <c:showSerName val="0"/>
          <c:showPercent val="0"/>
          <c:showBubbleSize val="0"/>
        </c:dLbls>
        <c:gapWidth val="150"/>
        <c:axId val="179520640"/>
        <c:axId val="179522176"/>
      </c:barChart>
      <c:catAx>
        <c:axId val="179520640"/>
        <c:scaling>
          <c:orientation val="minMax"/>
        </c:scaling>
        <c:delete val="1"/>
        <c:axPos val="b"/>
        <c:majorTickMark val="out"/>
        <c:minorTickMark val="none"/>
        <c:tickLblPos val="nextTo"/>
        <c:crossAx val="179522176"/>
        <c:crosses val="autoZero"/>
        <c:auto val="1"/>
        <c:lblAlgn val="ctr"/>
        <c:lblOffset val="100"/>
        <c:noMultiLvlLbl val="0"/>
      </c:catAx>
      <c:valAx>
        <c:axId val="179522176"/>
        <c:scaling>
          <c:orientation val="minMax"/>
        </c:scaling>
        <c:delete val="0"/>
        <c:axPos val="l"/>
        <c:majorGridlines/>
        <c:title>
          <c:tx>
            <c:rich>
              <a:bodyPr rot="-5400000" vert="horz"/>
              <a:lstStyle/>
              <a:p>
                <a:pPr>
                  <a:defRPr/>
                </a:pPr>
                <a:r>
                  <a:rPr lang="cs-CZ"/>
                  <a:t>Délka hlavního </a:t>
                </a:r>
                <a:r>
                  <a:rPr lang="cs-CZ" baseline="0"/>
                  <a:t> kořene (mm)</a:t>
                </a:r>
                <a:endParaRPr lang="cs-CZ"/>
              </a:p>
            </c:rich>
          </c:tx>
          <c:overlay val="0"/>
        </c:title>
        <c:numFmt formatCode="0.0" sourceLinked="1"/>
        <c:majorTickMark val="out"/>
        <c:minorTickMark val="none"/>
        <c:tickLblPos val="nextTo"/>
        <c:crossAx val="179520640"/>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1" u="none" strike="noStrike" baseline="0">
                <a:solidFill>
                  <a:srgbClr val="000000"/>
                </a:solidFill>
                <a:latin typeface="Times New Roman"/>
                <a:ea typeface="Times New Roman"/>
                <a:cs typeface="Times New Roman"/>
              </a:defRPr>
            </a:pPr>
            <a:r>
              <a:rPr lang="cs-CZ"/>
              <a:t>ABP1</a:t>
            </a:r>
          </a:p>
        </c:rich>
      </c:tx>
      <c:layout>
        <c:manualLayout>
          <c:xMode val="edge"/>
          <c:yMode val="edge"/>
          <c:x val="0.49408141186652743"/>
          <c:y val="5.6800000000000003E-2"/>
        </c:manualLayout>
      </c:layout>
      <c:overlay val="0"/>
      <c:spPr>
        <a:noFill/>
        <a:ln w="25400">
          <a:noFill/>
        </a:ln>
      </c:spPr>
    </c:title>
    <c:autoTitleDeleted val="0"/>
    <c:plotArea>
      <c:layout>
        <c:manualLayout>
          <c:layoutTarget val="inner"/>
          <c:xMode val="edge"/>
          <c:yMode val="edge"/>
          <c:x val="0.22580684680017712"/>
          <c:y val="0.26571428571428574"/>
          <c:w val="0.72580772185771214"/>
          <c:h val="0.45428571428571429"/>
        </c:manualLayout>
      </c:layout>
      <c:barChart>
        <c:barDir val="col"/>
        <c:grouping val="clustered"/>
        <c:varyColors val="0"/>
        <c:ser>
          <c:idx val="0"/>
          <c:order val="0"/>
          <c:spPr>
            <a:solidFill>
              <a:srgbClr val="969696"/>
            </a:solidFill>
            <a:ln w="12700">
              <a:solidFill>
                <a:srgbClr val="000000"/>
              </a:solidFill>
              <a:prstDash val="solid"/>
            </a:ln>
          </c:spPr>
          <c:invertIfNegative val="0"/>
          <c:dPt>
            <c:idx val="0"/>
            <c:invertIfNegative val="0"/>
            <c:bubble3D val="0"/>
            <c:spPr>
              <a:solidFill>
                <a:schemeClr val="tx1"/>
              </a:solidFill>
              <a:ln w="12700">
                <a:solidFill>
                  <a:srgbClr val="000000"/>
                </a:solidFill>
                <a:prstDash val="solid"/>
              </a:ln>
            </c:spPr>
          </c:dPt>
          <c:dPt>
            <c:idx val="1"/>
            <c:invertIfNegative val="0"/>
            <c:bubble3D val="0"/>
            <c:spPr>
              <a:solidFill>
                <a:srgbClr val="00CCFF"/>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Pt>
            <c:idx val="3"/>
            <c:invertIfNegative val="0"/>
            <c:bubble3D val="0"/>
            <c:spPr>
              <a:solidFill>
                <a:schemeClr val="tx1"/>
              </a:solidFill>
              <a:ln w="12700">
                <a:solidFill>
                  <a:srgbClr val="000000"/>
                </a:solidFill>
                <a:prstDash val="solid"/>
              </a:ln>
            </c:spPr>
          </c:dPt>
          <c:dPt>
            <c:idx val="4"/>
            <c:invertIfNegative val="0"/>
            <c:bubble3D val="0"/>
            <c:spPr>
              <a:solidFill>
                <a:srgbClr val="00CCFF"/>
              </a:solidFill>
              <a:ln w="12700">
                <a:solidFill>
                  <a:srgbClr val="000000"/>
                </a:solidFill>
                <a:prstDash val="solid"/>
              </a:ln>
            </c:spPr>
          </c:dPt>
          <c:dPt>
            <c:idx val="5"/>
            <c:invertIfNegative val="0"/>
            <c:bubble3D val="0"/>
            <c:spPr>
              <a:solidFill>
                <a:srgbClr val="FF0000"/>
              </a:solidFill>
              <a:ln w="12700">
                <a:solidFill>
                  <a:srgbClr val="000000"/>
                </a:solidFill>
                <a:prstDash val="solid"/>
              </a:ln>
            </c:spPr>
          </c:dPt>
          <c:dPt>
            <c:idx val="6"/>
            <c:invertIfNegative val="0"/>
            <c:bubble3D val="0"/>
            <c:spPr>
              <a:solidFill>
                <a:srgbClr val="00CCFF"/>
              </a:solidFill>
              <a:ln w="12700">
                <a:solidFill>
                  <a:srgbClr val="000000"/>
                </a:solidFill>
                <a:prstDash val="solid"/>
              </a:ln>
            </c:spPr>
          </c:dPt>
          <c:dPt>
            <c:idx val="7"/>
            <c:invertIfNegative val="0"/>
            <c:bubble3D val="0"/>
            <c:spPr>
              <a:solidFill>
                <a:srgbClr val="00CCFF"/>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FF0000"/>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FF0000"/>
              </a:solidFill>
              <a:ln w="12700">
                <a:solidFill>
                  <a:srgbClr val="000000"/>
                </a:solidFill>
                <a:prstDash val="solid"/>
              </a:ln>
            </c:spPr>
          </c:dPt>
          <c:dPt>
            <c:idx val="16"/>
            <c:invertIfNegative val="0"/>
            <c:bubble3D val="0"/>
            <c:spPr>
              <a:solidFill>
                <a:srgbClr val="FF0000"/>
              </a:solidFill>
              <a:ln w="12700">
                <a:solidFill>
                  <a:srgbClr val="000000"/>
                </a:solidFill>
                <a:prstDash val="solid"/>
              </a:ln>
            </c:spPr>
          </c:dPt>
          <c:dPt>
            <c:idx val="17"/>
            <c:invertIfNegative val="0"/>
            <c:bubble3D val="0"/>
            <c:spPr>
              <a:solidFill>
                <a:srgbClr val="FF0000"/>
              </a:solidFill>
              <a:ln w="12700">
                <a:solidFill>
                  <a:srgbClr val="000000"/>
                </a:solidFill>
                <a:prstDash val="solid"/>
              </a:ln>
            </c:spPr>
          </c:dPt>
          <c:errBars>
            <c:errBarType val="both"/>
            <c:errValType val="cust"/>
            <c:noEndCap val="0"/>
            <c:plus>
              <c:numRef>
                <c:f>MS!$R$4:$R$13</c:f>
                <c:numCache>
                  <c:formatCode>General</c:formatCode>
                  <c:ptCount val="10"/>
                  <c:pt idx="0">
                    <c:v>0</c:v>
                  </c:pt>
                  <c:pt idx="1">
                    <c:v>2.6523438132481269E-2</c:v>
                  </c:pt>
                  <c:pt idx="2">
                    <c:v>2.8903869467711701E-2</c:v>
                  </c:pt>
                  <c:pt idx="3">
                    <c:v>2.3391055447445963E-2</c:v>
                  </c:pt>
                  <c:pt idx="4">
                    <c:v>2.6987195528971681E-2</c:v>
                  </c:pt>
                  <c:pt idx="5">
                    <c:v>3.8239350742004553E-2</c:v>
                  </c:pt>
                </c:numCache>
              </c:numRef>
            </c:plus>
            <c:minus>
              <c:numRef>
                <c:f>MS!$R$4:$R$13</c:f>
                <c:numCache>
                  <c:formatCode>General</c:formatCode>
                  <c:ptCount val="10"/>
                  <c:pt idx="0">
                    <c:v>0</c:v>
                  </c:pt>
                  <c:pt idx="1">
                    <c:v>2.6523438132481269E-2</c:v>
                  </c:pt>
                  <c:pt idx="2">
                    <c:v>2.8903869467711701E-2</c:v>
                  </c:pt>
                  <c:pt idx="3">
                    <c:v>2.3391055447445963E-2</c:v>
                  </c:pt>
                  <c:pt idx="4">
                    <c:v>2.6987195528971681E-2</c:v>
                  </c:pt>
                  <c:pt idx="5">
                    <c:v>3.8239350742004553E-2</c:v>
                  </c:pt>
                </c:numCache>
              </c:numRef>
            </c:minus>
            <c:spPr>
              <a:ln w="12700">
                <a:solidFill>
                  <a:srgbClr val="000000"/>
                </a:solidFill>
                <a:prstDash val="solid"/>
              </a:ln>
            </c:spPr>
          </c:errBars>
          <c:cat>
            <c:multiLvlStrRef>
              <c:f>MS!$J$4:$K$9</c:f>
              <c:multiLvlStrCache>
                <c:ptCount val="6"/>
                <c:lvl>
                  <c:pt idx="0">
                    <c:v>D</c:v>
                  </c:pt>
                  <c:pt idx="1">
                    <c:v>B</c:v>
                  </c:pt>
                  <c:pt idx="2">
                    <c:v>R</c:v>
                  </c:pt>
                  <c:pt idx="3">
                    <c:v>D</c:v>
                  </c:pt>
                  <c:pt idx="4">
                    <c:v>B</c:v>
                  </c:pt>
                  <c:pt idx="5">
                    <c:v>R</c:v>
                  </c:pt>
                </c:lvl>
                <c:lvl>
                  <c:pt idx="0">
                    <c:v>WT</c:v>
                  </c:pt>
                  <c:pt idx="3">
                    <c:v>elm-1</c:v>
                  </c:pt>
                </c:lvl>
              </c:multiLvlStrCache>
            </c:multiLvlStrRef>
          </c:cat>
          <c:val>
            <c:numRef>
              <c:f>MS!$O$4:$O$9</c:f>
              <c:numCache>
                <c:formatCode>0.00</c:formatCode>
                <c:ptCount val="6"/>
                <c:pt idx="0">
                  <c:v>1</c:v>
                </c:pt>
                <c:pt idx="1">
                  <c:v>0.80304451750867878</c:v>
                </c:pt>
                <c:pt idx="2">
                  <c:v>0.81144925390224876</c:v>
                </c:pt>
                <c:pt idx="3">
                  <c:v>0.30678168670488914</c:v>
                </c:pt>
                <c:pt idx="4">
                  <c:v>0.26055990458743822</c:v>
                </c:pt>
                <c:pt idx="5">
                  <c:v>0.4363052719259039</c:v>
                </c:pt>
              </c:numCache>
            </c:numRef>
          </c:val>
        </c:ser>
        <c:dLbls>
          <c:showLegendKey val="0"/>
          <c:showVal val="0"/>
          <c:showCatName val="0"/>
          <c:showSerName val="0"/>
          <c:showPercent val="0"/>
          <c:showBubbleSize val="0"/>
        </c:dLbls>
        <c:gapWidth val="150"/>
        <c:axId val="179913856"/>
        <c:axId val="179915392"/>
      </c:barChart>
      <c:catAx>
        <c:axId val="1799138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cs-CZ"/>
          </a:p>
        </c:txPr>
        <c:crossAx val="179915392"/>
        <c:crosses val="autoZero"/>
        <c:auto val="1"/>
        <c:lblAlgn val="ctr"/>
        <c:lblOffset val="100"/>
        <c:tickLblSkip val="1"/>
        <c:tickMarkSkip val="1"/>
        <c:noMultiLvlLbl val="0"/>
      </c:catAx>
      <c:valAx>
        <c:axId val="179915392"/>
        <c:scaling>
          <c:orientation val="minMax"/>
          <c:max val="1.2"/>
          <c:min val="0"/>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cs-CZ"/>
                  <a:t>relativní exprese </a:t>
                </a:r>
                <a:r>
                  <a:rPr lang="cs-CZ" i="1"/>
                  <a:t>ABP1</a:t>
                </a:r>
              </a:p>
            </c:rich>
          </c:tx>
          <c:layout>
            <c:manualLayout>
              <c:xMode val="edge"/>
              <c:yMode val="edge"/>
              <c:x val="6.8100546571463513E-2"/>
              <c:y val="0.32"/>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cs-CZ"/>
          </a:p>
        </c:txPr>
        <c:crossAx val="179913856"/>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1" u="none" strike="noStrike" baseline="0">
                <a:solidFill>
                  <a:srgbClr val="000000"/>
                </a:solidFill>
                <a:latin typeface="Times New Roman"/>
                <a:ea typeface="Times New Roman"/>
                <a:cs typeface="Times New Roman"/>
              </a:defRPr>
            </a:pPr>
            <a:r>
              <a:rPr lang="cs-CZ"/>
              <a:t>ABP4</a:t>
            </a:r>
          </a:p>
        </c:rich>
      </c:tx>
      <c:layout>
        <c:manualLayout>
          <c:xMode val="edge"/>
          <c:yMode val="edge"/>
          <c:x val="0.49408141186652743"/>
          <c:y val="5.6800000000000003E-2"/>
        </c:manualLayout>
      </c:layout>
      <c:overlay val="0"/>
      <c:spPr>
        <a:noFill/>
        <a:ln w="25400">
          <a:noFill/>
        </a:ln>
      </c:spPr>
    </c:title>
    <c:autoTitleDeleted val="0"/>
    <c:plotArea>
      <c:layout>
        <c:manualLayout>
          <c:layoutTarget val="inner"/>
          <c:xMode val="edge"/>
          <c:yMode val="edge"/>
          <c:x val="0.22580684680017712"/>
          <c:y val="0.26571428571428574"/>
          <c:w val="0.72580772185771214"/>
          <c:h val="0.45428571428571429"/>
        </c:manualLayout>
      </c:layout>
      <c:barChart>
        <c:barDir val="col"/>
        <c:grouping val="clustered"/>
        <c:varyColors val="0"/>
        <c:ser>
          <c:idx val="0"/>
          <c:order val="0"/>
          <c:spPr>
            <a:solidFill>
              <a:srgbClr val="969696"/>
            </a:solidFill>
            <a:ln w="12700">
              <a:solidFill>
                <a:srgbClr val="000000"/>
              </a:solidFill>
              <a:prstDash val="solid"/>
            </a:ln>
          </c:spPr>
          <c:invertIfNegative val="0"/>
          <c:dPt>
            <c:idx val="0"/>
            <c:invertIfNegative val="0"/>
            <c:bubble3D val="0"/>
            <c:spPr>
              <a:solidFill>
                <a:schemeClr val="tx1"/>
              </a:solidFill>
              <a:ln w="12700">
                <a:solidFill>
                  <a:srgbClr val="000000"/>
                </a:solidFill>
                <a:prstDash val="solid"/>
              </a:ln>
            </c:spPr>
          </c:dPt>
          <c:dPt>
            <c:idx val="1"/>
            <c:invertIfNegative val="0"/>
            <c:bubble3D val="0"/>
            <c:spPr>
              <a:solidFill>
                <a:srgbClr val="00CCFF"/>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Pt>
            <c:idx val="3"/>
            <c:invertIfNegative val="0"/>
            <c:bubble3D val="0"/>
            <c:spPr>
              <a:solidFill>
                <a:schemeClr val="tx1"/>
              </a:solidFill>
              <a:ln w="12700">
                <a:solidFill>
                  <a:srgbClr val="000000"/>
                </a:solidFill>
                <a:prstDash val="solid"/>
              </a:ln>
            </c:spPr>
          </c:dPt>
          <c:dPt>
            <c:idx val="4"/>
            <c:invertIfNegative val="0"/>
            <c:bubble3D val="0"/>
            <c:spPr>
              <a:solidFill>
                <a:srgbClr val="00CCFF"/>
              </a:solidFill>
              <a:ln w="12700">
                <a:solidFill>
                  <a:srgbClr val="000000"/>
                </a:solidFill>
                <a:prstDash val="solid"/>
              </a:ln>
            </c:spPr>
          </c:dPt>
          <c:dPt>
            <c:idx val="5"/>
            <c:invertIfNegative val="0"/>
            <c:bubble3D val="0"/>
            <c:spPr>
              <a:solidFill>
                <a:srgbClr val="FF0000"/>
              </a:solidFill>
              <a:ln w="12700">
                <a:solidFill>
                  <a:srgbClr val="000000"/>
                </a:solidFill>
                <a:prstDash val="solid"/>
              </a:ln>
            </c:spPr>
          </c:dPt>
          <c:dPt>
            <c:idx val="6"/>
            <c:invertIfNegative val="0"/>
            <c:bubble3D val="0"/>
            <c:spPr>
              <a:solidFill>
                <a:srgbClr val="00CCFF"/>
              </a:solidFill>
              <a:ln w="12700">
                <a:solidFill>
                  <a:srgbClr val="000000"/>
                </a:solidFill>
                <a:prstDash val="solid"/>
              </a:ln>
            </c:spPr>
          </c:dPt>
          <c:dPt>
            <c:idx val="7"/>
            <c:invertIfNegative val="0"/>
            <c:bubble3D val="0"/>
            <c:spPr>
              <a:solidFill>
                <a:srgbClr val="00CCFF"/>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FF0000"/>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FF0000"/>
              </a:solidFill>
              <a:ln w="12700">
                <a:solidFill>
                  <a:srgbClr val="000000"/>
                </a:solidFill>
                <a:prstDash val="solid"/>
              </a:ln>
            </c:spPr>
          </c:dPt>
          <c:dPt>
            <c:idx val="16"/>
            <c:invertIfNegative val="0"/>
            <c:bubble3D val="0"/>
            <c:spPr>
              <a:solidFill>
                <a:srgbClr val="FF0000"/>
              </a:solidFill>
              <a:ln w="12700">
                <a:solidFill>
                  <a:srgbClr val="000000"/>
                </a:solidFill>
                <a:prstDash val="solid"/>
              </a:ln>
            </c:spPr>
          </c:dPt>
          <c:dPt>
            <c:idx val="17"/>
            <c:invertIfNegative val="0"/>
            <c:bubble3D val="0"/>
            <c:spPr>
              <a:solidFill>
                <a:srgbClr val="FF0000"/>
              </a:solidFill>
              <a:ln w="12700">
                <a:solidFill>
                  <a:srgbClr val="000000"/>
                </a:solidFill>
                <a:prstDash val="solid"/>
              </a:ln>
            </c:spPr>
          </c:dPt>
          <c:errBars>
            <c:errBarType val="both"/>
            <c:errValType val="cust"/>
            <c:noEndCap val="0"/>
            <c:plus>
              <c:numRef>
                <c:f>MS!$R$4:$R$13</c:f>
                <c:numCache>
                  <c:formatCode>General</c:formatCode>
                  <c:ptCount val="10"/>
                  <c:pt idx="0">
                    <c:v>0</c:v>
                  </c:pt>
                  <c:pt idx="1">
                    <c:v>2.031684722701383E-2</c:v>
                  </c:pt>
                  <c:pt idx="2">
                    <c:v>5.0926747684228703E-2</c:v>
                  </c:pt>
                  <c:pt idx="3">
                    <c:v>2.3432698392342272E-2</c:v>
                  </c:pt>
                  <c:pt idx="4">
                    <c:v>1.9129925943776313E-2</c:v>
                  </c:pt>
                  <c:pt idx="5">
                    <c:v>3.9120615893173359E-2</c:v>
                  </c:pt>
                </c:numCache>
              </c:numRef>
            </c:plus>
            <c:minus>
              <c:numRef>
                <c:f>MS!$R$4:$R$13</c:f>
                <c:numCache>
                  <c:formatCode>General</c:formatCode>
                  <c:ptCount val="10"/>
                  <c:pt idx="0">
                    <c:v>0</c:v>
                  </c:pt>
                  <c:pt idx="1">
                    <c:v>2.031684722701383E-2</c:v>
                  </c:pt>
                  <c:pt idx="2">
                    <c:v>5.0926747684228703E-2</c:v>
                  </c:pt>
                  <c:pt idx="3">
                    <c:v>2.3432698392342272E-2</c:v>
                  </c:pt>
                  <c:pt idx="4">
                    <c:v>1.9129925943776313E-2</c:v>
                  </c:pt>
                  <c:pt idx="5">
                    <c:v>3.9120615893173359E-2</c:v>
                  </c:pt>
                </c:numCache>
              </c:numRef>
            </c:minus>
            <c:spPr>
              <a:ln w="12700">
                <a:solidFill>
                  <a:srgbClr val="000000"/>
                </a:solidFill>
                <a:prstDash val="solid"/>
              </a:ln>
            </c:spPr>
          </c:errBars>
          <c:cat>
            <c:multiLvlStrRef>
              <c:f>MS!$J$4:$K$9</c:f>
              <c:multiLvlStrCache>
                <c:ptCount val="6"/>
                <c:lvl>
                  <c:pt idx="0">
                    <c:v>D</c:v>
                  </c:pt>
                  <c:pt idx="1">
                    <c:v>B</c:v>
                  </c:pt>
                  <c:pt idx="2">
                    <c:v>R</c:v>
                  </c:pt>
                  <c:pt idx="3">
                    <c:v>D</c:v>
                  </c:pt>
                  <c:pt idx="4">
                    <c:v>B</c:v>
                  </c:pt>
                  <c:pt idx="5">
                    <c:v>R</c:v>
                  </c:pt>
                </c:lvl>
                <c:lvl>
                  <c:pt idx="0">
                    <c:v>WT</c:v>
                  </c:pt>
                  <c:pt idx="3">
                    <c:v>eml-1</c:v>
                  </c:pt>
                </c:lvl>
              </c:multiLvlStrCache>
            </c:multiLvlStrRef>
          </c:cat>
          <c:val>
            <c:numRef>
              <c:f>MS!$O$4:$O$9</c:f>
              <c:numCache>
                <c:formatCode>0.00</c:formatCode>
                <c:ptCount val="6"/>
                <c:pt idx="0">
                  <c:v>1</c:v>
                </c:pt>
                <c:pt idx="1">
                  <c:v>0.68662136345520108</c:v>
                </c:pt>
                <c:pt idx="2">
                  <c:v>0.60180547760613623</c:v>
                </c:pt>
                <c:pt idx="3">
                  <c:v>0.20271030648435104</c:v>
                </c:pt>
                <c:pt idx="4">
                  <c:v>0.16812121090813223</c:v>
                </c:pt>
                <c:pt idx="5">
                  <c:v>0.34507738000280547</c:v>
                </c:pt>
              </c:numCache>
            </c:numRef>
          </c:val>
        </c:ser>
        <c:dLbls>
          <c:showLegendKey val="0"/>
          <c:showVal val="0"/>
          <c:showCatName val="0"/>
          <c:showSerName val="0"/>
          <c:showPercent val="0"/>
          <c:showBubbleSize val="0"/>
        </c:dLbls>
        <c:gapWidth val="150"/>
        <c:axId val="180189440"/>
        <c:axId val="180191232"/>
      </c:barChart>
      <c:catAx>
        <c:axId val="180189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cs-CZ"/>
          </a:p>
        </c:txPr>
        <c:crossAx val="180191232"/>
        <c:crosses val="autoZero"/>
        <c:auto val="1"/>
        <c:lblAlgn val="ctr"/>
        <c:lblOffset val="100"/>
        <c:tickLblSkip val="1"/>
        <c:tickMarkSkip val="1"/>
        <c:noMultiLvlLbl val="0"/>
      </c:catAx>
      <c:valAx>
        <c:axId val="180191232"/>
        <c:scaling>
          <c:orientation val="minMax"/>
          <c:max val="1.2"/>
          <c:min val="0"/>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cs-CZ"/>
                  <a:t>relative expression </a:t>
                </a:r>
              </a:p>
            </c:rich>
          </c:tx>
          <c:layout>
            <c:manualLayout>
              <c:xMode val="edge"/>
              <c:yMode val="edge"/>
              <c:x val="6.8100546571463513E-2"/>
              <c:y val="0.32"/>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cs-CZ"/>
          </a:p>
        </c:txPr>
        <c:crossAx val="18018944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0.65694</cdr:x>
      <cdr:y>0.89005</cdr:y>
    </cdr:from>
    <cdr:to>
      <cdr:x>0.79861</cdr:x>
      <cdr:y>0.96991</cdr:y>
    </cdr:to>
    <cdr:sp macro="" textlink="">
      <cdr:nvSpPr>
        <cdr:cNvPr id="3" name="Obdélník 2"/>
        <cdr:cNvSpPr/>
      </cdr:nvSpPr>
      <cdr:spPr>
        <a:xfrm xmlns:a="http://schemas.openxmlformats.org/drawingml/2006/main">
          <a:off x="3003550" y="2441575"/>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i="1">
              <a:solidFill>
                <a:schemeClr val="tx1"/>
              </a:solidFill>
            </a:rPr>
            <a:t>elm-1</a:t>
          </a:r>
        </a:p>
      </cdr:txBody>
    </cdr:sp>
  </cdr:relSizeAnchor>
  <cdr:relSizeAnchor xmlns:cdr="http://schemas.openxmlformats.org/drawingml/2006/chartDrawing">
    <cdr:from>
      <cdr:x>0.28593</cdr:x>
      <cdr:y>0.86278</cdr:y>
    </cdr:from>
    <cdr:to>
      <cdr:x>0.43403</cdr:x>
      <cdr:y>0.95949</cdr:y>
    </cdr:to>
    <cdr:sp macro="" textlink="">
      <cdr:nvSpPr>
        <cdr:cNvPr id="2" name="Textové pole 1"/>
        <cdr:cNvSpPr txBox="1"/>
      </cdr:nvSpPr>
      <cdr:spPr>
        <a:xfrm xmlns:a="http://schemas.openxmlformats.org/drawingml/2006/main">
          <a:off x="1188720" y="2066544"/>
          <a:ext cx="615696" cy="2316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WT</a:t>
          </a:r>
        </a:p>
      </cdr:txBody>
    </cdr:sp>
  </cdr:relSizeAnchor>
</c:userShapes>
</file>

<file path=word/drawings/drawing2.xml><?xml version="1.0" encoding="utf-8"?>
<c:userShapes xmlns:c="http://schemas.openxmlformats.org/drawingml/2006/chart">
  <cdr:relSizeAnchor xmlns:cdr="http://schemas.openxmlformats.org/drawingml/2006/chartDrawing">
    <cdr:from>
      <cdr:x>0.24687</cdr:x>
      <cdr:y>0.86834</cdr:y>
    </cdr:from>
    <cdr:to>
      <cdr:x>0.38853</cdr:x>
      <cdr:y>0.9482</cdr:y>
    </cdr:to>
    <cdr:sp macro="" textlink="">
      <cdr:nvSpPr>
        <cdr:cNvPr id="5" name="Obdélník 4"/>
        <cdr:cNvSpPr/>
      </cdr:nvSpPr>
      <cdr:spPr>
        <a:xfrm xmlns:a="http://schemas.openxmlformats.org/drawingml/2006/main">
          <a:off x="1018805" y="2037953"/>
          <a:ext cx="584612" cy="18742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a:solidFill>
                <a:schemeClr val="tx1"/>
              </a:solidFill>
            </a:rPr>
            <a:t>  WT</a:t>
          </a:r>
        </a:p>
      </cdr:txBody>
    </cdr:sp>
  </cdr:relSizeAnchor>
  <cdr:relSizeAnchor xmlns:cdr="http://schemas.openxmlformats.org/drawingml/2006/chartDrawing">
    <cdr:from>
      <cdr:x>0.61319</cdr:x>
      <cdr:y>0.86227</cdr:y>
    </cdr:from>
    <cdr:to>
      <cdr:x>0.75486</cdr:x>
      <cdr:y>0.94213</cdr:y>
    </cdr:to>
    <cdr:sp macro="" textlink="">
      <cdr:nvSpPr>
        <cdr:cNvPr id="6" name="Obdélník 5"/>
        <cdr:cNvSpPr/>
      </cdr:nvSpPr>
      <cdr:spPr>
        <a:xfrm xmlns:a="http://schemas.openxmlformats.org/drawingml/2006/main">
          <a:off x="2803525" y="2365375"/>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i="1">
              <a:solidFill>
                <a:schemeClr val="tx1"/>
              </a:solidFill>
            </a:rPr>
            <a:t>elm-1</a:t>
          </a:r>
        </a:p>
      </cdr:txBody>
    </cdr:sp>
  </cdr:relSizeAnchor>
</c:userShapes>
</file>

<file path=word/drawings/drawing3.xml><?xml version="1.0" encoding="utf-8"?>
<c:userShapes xmlns:c="http://schemas.openxmlformats.org/drawingml/2006/chart">
  <cdr:relSizeAnchor xmlns:cdr="http://schemas.openxmlformats.org/drawingml/2006/chartDrawing">
    <cdr:from>
      <cdr:x>0.27778</cdr:x>
      <cdr:y>0.88657</cdr:y>
    </cdr:from>
    <cdr:to>
      <cdr:x>0.41944</cdr:x>
      <cdr:y>0.96644</cdr:y>
    </cdr:to>
    <cdr:sp macro="" textlink="">
      <cdr:nvSpPr>
        <cdr:cNvPr id="2" name="Obdélník 1"/>
        <cdr:cNvSpPr/>
      </cdr:nvSpPr>
      <cdr:spPr>
        <a:xfrm xmlns:a="http://schemas.openxmlformats.org/drawingml/2006/main">
          <a:off x="1270000" y="243205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a:solidFill>
                <a:schemeClr val="tx1"/>
              </a:solidFill>
            </a:rPr>
            <a:t>  WT</a:t>
          </a:r>
        </a:p>
      </cdr:txBody>
    </cdr:sp>
  </cdr:relSizeAnchor>
  <cdr:relSizeAnchor xmlns:cdr="http://schemas.openxmlformats.org/drawingml/2006/chartDrawing">
    <cdr:from>
      <cdr:x>0.60694</cdr:x>
      <cdr:y>0.87963</cdr:y>
    </cdr:from>
    <cdr:to>
      <cdr:x>0.74861</cdr:x>
      <cdr:y>0.95949</cdr:y>
    </cdr:to>
    <cdr:sp macro="" textlink="">
      <cdr:nvSpPr>
        <cdr:cNvPr id="3" name="Obdélník 2"/>
        <cdr:cNvSpPr/>
      </cdr:nvSpPr>
      <cdr:spPr>
        <a:xfrm xmlns:a="http://schemas.openxmlformats.org/drawingml/2006/main">
          <a:off x="2774950" y="241300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i="1">
              <a:solidFill>
                <a:schemeClr val="tx1"/>
              </a:solidFill>
            </a:rPr>
            <a:t>elm-1</a:t>
          </a:r>
        </a:p>
      </cdr:txBody>
    </cdr:sp>
  </cdr:relSizeAnchor>
</c:userShapes>
</file>

<file path=word/drawings/drawing4.xml><?xml version="1.0" encoding="utf-8"?>
<c:userShapes xmlns:c="http://schemas.openxmlformats.org/drawingml/2006/chart">
  <cdr:relSizeAnchor xmlns:cdr="http://schemas.openxmlformats.org/drawingml/2006/chartDrawing">
    <cdr:from>
      <cdr:x>0.29236</cdr:x>
      <cdr:y>0.89352</cdr:y>
    </cdr:from>
    <cdr:to>
      <cdr:x>0.43403</cdr:x>
      <cdr:y>0.97338</cdr:y>
    </cdr:to>
    <cdr:sp macro="" textlink="">
      <cdr:nvSpPr>
        <cdr:cNvPr id="2" name="Obdélník 1"/>
        <cdr:cNvSpPr/>
      </cdr:nvSpPr>
      <cdr:spPr>
        <a:xfrm xmlns:a="http://schemas.openxmlformats.org/drawingml/2006/main">
          <a:off x="1336675" y="245110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a:solidFill>
                <a:schemeClr val="tx1"/>
              </a:solidFill>
            </a:rPr>
            <a:t>  WT</a:t>
          </a:r>
        </a:p>
      </cdr:txBody>
    </cdr:sp>
  </cdr:relSizeAnchor>
  <cdr:relSizeAnchor xmlns:cdr="http://schemas.openxmlformats.org/drawingml/2006/chartDrawing">
    <cdr:from>
      <cdr:x>0.60069</cdr:x>
      <cdr:y>0.89352</cdr:y>
    </cdr:from>
    <cdr:to>
      <cdr:x>0.74236</cdr:x>
      <cdr:y>0.97338</cdr:y>
    </cdr:to>
    <cdr:sp macro="" textlink="">
      <cdr:nvSpPr>
        <cdr:cNvPr id="3" name="Obdélník 2"/>
        <cdr:cNvSpPr/>
      </cdr:nvSpPr>
      <cdr:spPr>
        <a:xfrm xmlns:a="http://schemas.openxmlformats.org/drawingml/2006/main">
          <a:off x="2746375" y="245110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i="1">
              <a:solidFill>
                <a:schemeClr val="tx1"/>
              </a:solidFill>
            </a:rPr>
            <a:t>elm-1</a:t>
          </a:r>
        </a:p>
      </cdr:txBody>
    </cdr:sp>
  </cdr:relSizeAnchor>
</c:userShapes>
</file>

<file path=word/drawings/drawing5.xml><?xml version="1.0" encoding="utf-8"?>
<c:userShapes xmlns:c="http://schemas.openxmlformats.org/drawingml/2006/chart">
  <cdr:relSizeAnchor xmlns:cdr="http://schemas.openxmlformats.org/drawingml/2006/chartDrawing">
    <cdr:from>
      <cdr:x>0.27153</cdr:x>
      <cdr:y>0.87963</cdr:y>
    </cdr:from>
    <cdr:to>
      <cdr:x>0.41319</cdr:x>
      <cdr:y>0.95949</cdr:y>
    </cdr:to>
    <cdr:sp macro="" textlink="">
      <cdr:nvSpPr>
        <cdr:cNvPr id="2" name="Obdélník 1"/>
        <cdr:cNvSpPr/>
      </cdr:nvSpPr>
      <cdr:spPr>
        <a:xfrm xmlns:a="http://schemas.openxmlformats.org/drawingml/2006/main">
          <a:off x="1241425" y="241300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a:solidFill>
                <a:schemeClr val="tx1"/>
              </a:solidFill>
            </a:rPr>
            <a:t>  WT</a:t>
          </a:r>
        </a:p>
      </cdr:txBody>
    </cdr:sp>
  </cdr:relSizeAnchor>
  <cdr:relSizeAnchor xmlns:cdr="http://schemas.openxmlformats.org/drawingml/2006/chartDrawing">
    <cdr:from>
      <cdr:x>0.60069</cdr:x>
      <cdr:y>0.88657</cdr:y>
    </cdr:from>
    <cdr:to>
      <cdr:x>0.74236</cdr:x>
      <cdr:y>0.96644</cdr:y>
    </cdr:to>
    <cdr:sp macro="" textlink="">
      <cdr:nvSpPr>
        <cdr:cNvPr id="3" name="Obdélník 2"/>
        <cdr:cNvSpPr/>
      </cdr:nvSpPr>
      <cdr:spPr>
        <a:xfrm xmlns:a="http://schemas.openxmlformats.org/drawingml/2006/main">
          <a:off x="2746375" y="2432050"/>
          <a:ext cx="647700" cy="21907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cs-CZ" sz="1100" i="1">
              <a:solidFill>
                <a:schemeClr val="tx1"/>
              </a:solidFill>
            </a:rPr>
            <a:t>elm-1</a:t>
          </a: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F7BB-4EFE-47E4-9D64-6AC5D772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40</Pages>
  <Words>9038</Words>
  <Characters>53330</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2015-07-30T06:06:00Z</dcterms:created>
  <dcterms:modified xsi:type="dcterms:W3CDTF">2015-07-30T21:30:00Z</dcterms:modified>
</cp:coreProperties>
</file>