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F1" w:rsidRPr="00FA667B" w:rsidRDefault="006002F1" w:rsidP="00FA667B">
      <w:pPr>
        <w:jc w:val="center"/>
        <w:rPr>
          <w:sz w:val="44"/>
          <w:szCs w:val="44"/>
        </w:rPr>
      </w:pPr>
      <w:r w:rsidRPr="00FA667B">
        <w:rPr>
          <w:sz w:val="44"/>
          <w:szCs w:val="44"/>
        </w:rPr>
        <w:t>UNIVERZITA PALACKÉHO V OLOMOUCI</w:t>
      </w:r>
    </w:p>
    <w:p w:rsidR="006002F1" w:rsidRPr="00FA667B" w:rsidRDefault="006002F1" w:rsidP="00FA667B">
      <w:pPr>
        <w:jc w:val="center"/>
        <w:rPr>
          <w:sz w:val="44"/>
          <w:szCs w:val="44"/>
        </w:rPr>
      </w:pPr>
      <w:r w:rsidRPr="00FA667B">
        <w:rPr>
          <w:sz w:val="44"/>
          <w:szCs w:val="44"/>
        </w:rPr>
        <w:t>Lékařská fakulta</w:t>
      </w: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5455CB" w:rsidRPr="00FA667B" w:rsidRDefault="005455CB" w:rsidP="00FA667B">
      <w:pPr>
        <w:jc w:val="center"/>
        <w:rPr>
          <w:sz w:val="44"/>
          <w:szCs w:val="44"/>
        </w:rPr>
      </w:pPr>
    </w:p>
    <w:p w:rsidR="005455CB" w:rsidRPr="00FA667B" w:rsidRDefault="005455CB" w:rsidP="00FA667B">
      <w:pPr>
        <w:jc w:val="center"/>
        <w:rPr>
          <w:sz w:val="44"/>
          <w:szCs w:val="44"/>
        </w:rPr>
      </w:pPr>
    </w:p>
    <w:p w:rsidR="006002F1" w:rsidRPr="00FA667B" w:rsidRDefault="006002F1" w:rsidP="00FA667B">
      <w:pPr>
        <w:jc w:val="center"/>
        <w:rPr>
          <w:sz w:val="44"/>
          <w:szCs w:val="44"/>
        </w:rPr>
      </w:pPr>
      <w:r w:rsidRPr="00FA667B">
        <w:rPr>
          <w:sz w:val="44"/>
          <w:szCs w:val="44"/>
        </w:rPr>
        <w:t xml:space="preserve">Komplikace chirurgické </w:t>
      </w:r>
      <w:r w:rsidR="005578B3">
        <w:rPr>
          <w:sz w:val="44"/>
          <w:szCs w:val="44"/>
        </w:rPr>
        <w:t>léčby karcinomu pankreatu a jejich</w:t>
      </w:r>
      <w:r w:rsidRPr="00FA667B">
        <w:rPr>
          <w:sz w:val="44"/>
          <w:szCs w:val="44"/>
        </w:rPr>
        <w:t xml:space="preserve"> řešení</w:t>
      </w:r>
    </w:p>
    <w:p w:rsidR="006002F1" w:rsidRPr="00FA667B" w:rsidRDefault="006002F1" w:rsidP="00FA667B">
      <w:pPr>
        <w:jc w:val="center"/>
        <w:rPr>
          <w:sz w:val="44"/>
          <w:szCs w:val="44"/>
        </w:rPr>
      </w:pPr>
    </w:p>
    <w:p w:rsidR="005455CB" w:rsidRPr="00FA667B" w:rsidRDefault="005455CB" w:rsidP="00FA667B">
      <w:pPr>
        <w:jc w:val="center"/>
        <w:rPr>
          <w:sz w:val="44"/>
          <w:szCs w:val="44"/>
        </w:rPr>
      </w:pPr>
    </w:p>
    <w:p w:rsidR="005455CB" w:rsidRPr="00FA667B" w:rsidRDefault="005455CB" w:rsidP="00FA667B">
      <w:pPr>
        <w:jc w:val="center"/>
        <w:rPr>
          <w:sz w:val="44"/>
          <w:szCs w:val="44"/>
        </w:rPr>
      </w:pPr>
    </w:p>
    <w:p w:rsidR="006002F1" w:rsidRPr="00FA667B" w:rsidRDefault="006002F1" w:rsidP="00FA667B">
      <w:pPr>
        <w:jc w:val="center"/>
        <w:rPr>
          <w:sz w:val="44"/>
          <w:szCs w:val="44"/>
        </w:rPr>
      </w:pPr>
      <w:r w:rsidRPr="00FA667B">
        <w:rPr>
          <w:sz w:val="44"/>
          <w:szCs w:val="44"/>
        </w:rPr>
        <w:t>Disertační práce</w:t>
      </w: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5455CB" w:rsidRPr="00FA667B" w:rsidRDefault="005455CB" w:rsidP="00FA667B">
      <w:pPr>
        <w:jc w:val="center"/>
        <w:rPr>
          <w:sz w:val="44"/>
          <w:szCs w:val="44"/>
        </w:rPr>
      </w:pPr>
    </w:p>
    <w:p w:rsidR="005455CB" w:rsidRPr="00FA667B" w:rsidRDefault="005455CB" w:rsidP="00FA667B">
      <w:pPr>
        <w:jc w:val="center"/>
        <w:rPr>
          <w:sz w:val="44"/>
          <w:szCs w:val="44"/>
        </w:rPr>
      </w:pPr>
    </w:p>
    <w:p w:rsidR="005455CB" w:rsidRPr="00FA667B" w:rsidRDefault="005455CB" w:rsidP="00FA667B">
      <w:pPr>
        <w:jc w:val="center"/>
        <w:rPr>
          <w:sz w:val="44"/>
          <w:szCs w:val="44"/>
        </w:rPr>
      </w:pPr>
    </w:p>
    <w:p w:rsidR="006002F1" w:rsidRPr="00FA667B" w:rsidRDefault="003D10A8" w:rsidP="00FA667B">
      <w:pPr>
        <w:jc w:val="center"/>
        <w:rPr>
          <w:sz w:val="44"/>
          <w:szCs w:val="44"/>
        </w:rPr>
      </w:pPr>
      <w:r w:rsidRPr="00FA667B">
        <w:rPr>
          <w:sz w:val="44"/>
          <w:szCs w:val="44"/>
        </w:rPr>
        <w:t>MUDr. Jana Tesaříková</w:t>
      </w:r>
    </w:p>
    <w:p w:rsidR="006002F1" w:rsidRPr="00FA667B" w:rsidRDefault="006002F1" w:rsidP="00FA667B">
      <w:pPr>
        <w:jc w:val="center"/>
        <w:rPr>
          <w:sz w:val="44"/>
          <w:szCs w:val="44"/>
        </w:rPr>
      </w:pPr>
    </w:p>
    <w:p w:rsidR="006002F1" w:rsidRPr="00FA667B" w:rsidRDefault="006002F1" w:rsidP="00FA667B">
      <w:pPr>
        <w:jc w:val="center"/>
        <w:rPr>
          <w:sz w:val="44"/>
          <w:szCs w:val="44"/>
        </w:rPr>
      </w:pPr>
    </w:p>
    <w:p w:rsidR="006002F1" w:rsidRPr="00FA667B" w:rsidRDefault="00D217E8" w:rsidP="00FA667B">
      <w:pPr>
        <w:jc w:val="center"/>
        <w:rPr>
          <w:sz w:val="44"/>
          <w:szCs w:val="44"/>
        </w:rPr>
      </w:pPr>
      <w:r w:rsidRPr="00FA667B">
        <w:rPr>
          <w:sz w:val="44"/>
          <w:szCs w:val="44"/>
        </w:rPr>
        <w:t>Olomouc 2021</w:t>
      </w:r>
    </w:p>
    <w:p w:rsidR="006002F1" w:rsidRPr="00FA667B" w:rsidRDefault="006002F1" w:rsidP="00FA667B">
      <w:pPr>
        <w:jc w:val="center"/>
        <w:rPr>
          <w:sz w:val="44"/>
          <w:szCs w:val="44"/>
        </w:rPr>
      </w:pPr>
    </w:p>
    <w:p w:rsidR="006002F1" w:rsidRPr="00FA667B" w:rsidRDefault="006002F1" w:rsidP="00FA667B">
      <w:pPr>
        <w:jc w:val="both"/>
      </w:pPr>
    </w:p>
    <w:p w:rsidR="00FA667B" w:rsidRDefault="00FA667B" w:rsidP="00FA667B">
      <w:pPr>
        <w:spacing w:line="360" w:lineRule="auto"/>
        <w:jc w:val="both"/>
        <w:rPr>
          <w:b/>
        </w:rPr>
      </w:pPr>
    </w:p>
    <w:p w:rsidR="006002F1" w:rsidRPr="00FA667B" w:rsidRDefault="006002F1" w:rsidP="00FA667B">
      <w:pPr>
        <w:spacing w:line="360" w:lineRule="auto"/>
        <w:jc w:val="both"/>
      </w:pPr>
      <w:r w:rsidRPr="00FA667B">
        <w:rPr>
          <w:b/>
        </w:rPr>
        <w:lastRenderedPageBreak/>
        <w:t>Doktorand:</w:t>
      </w:r>
      <w:r w:rsidR="003D10A8" w:rsidRPr="00FA667B">
        <w:t xml:space="preserve"> MUDr. Jana Tesaříková</w:t>
      </w:r>
    </w:p>
    <w:p w:rsidR="006002F1" w:rsidRPr="00FA667B" w:rsidRDefault="006002F1" w:rsidP="00FA667B">
      <w:pPr>
        <w:spacing w:line="360" w:lineRule="auto"/>
        <w:jc w:val="both"/>
      </w:pPr>
      <w:r w:rsidRPr="00FA667B">
        <w:rPr>
          <w:b/>
        </w:rPr>
        <w:t>Doktorský studijní program:</w:t>
      </w:r>
      <w:r w:rsidRPr="00FA667B">
        <w:t xml:space="preserve"> Chirurgie</w:t>
      </w:r>
    </w:p>
    <w:p w:rsidR="006002F1" w:rsidRPr="00FA667B" w:rsidRDefault="006002F1" w:rsidP="00FA667B">
      <w:pPr>
        <w:spacing w:line="360" w:lineRule="auto"/>
        <w:jc w:val="both"/>
      </w:pPr>
      <w:r w:rsidRPr="00FA667B">
        <w:rPr>
          <w:b/>
        </w:rPr>
        <w:t>Školící pracoviště:</w:t>
      </w:r>
      <w:r w:rsidRPr="00FA667B">
        <w:t xml:space="preserve"> I.chirurgická klinika Lékařské fakulty </w:t>
      </w:r>
    </w:p>
    <w:p w:rsidR="006002F1" w:rsidRPr="00FA667B" w:rsidRDefault="006002F1" w:rsidP="00FA667B">
      <w:pPr>
        <w:spacing w:line="360" w:lineRule="auto"/>
        <w:jc w:val="both"/>
      </w:pPr>
      <w:r w:rsidRPr="00FA667B">
        <w:tab/>
      </w:r>
      <w:r w:rsidRPr="00FA667B">
        <w:tab/>
        <w:t xml:space="preserve">       Univerzity Palackého a Fakultní nemocnice Olomouc</w:t>
      </w:r>
    </w:p>
    <w:p w:rsidR="006002F1" w:rsidRPr="00FA667B" w:rsidRDefault="006002F1" w:rsidP="00FA667B">
      <w:pPr>
        <w:spacing w:line="360" w:lineRule="auto"/>
        <w:jc w:val="both"/>
      </w:pPr>
      <w:r w:rsidRPr="00FA667B">
        <w:rPr>
          <w:b/>
        </w:rPr>
        <w:t>Školitel:</w:t>
      </w:r>
      <w:r w:rsidRPr="00FA667B">
        <w:t xml:space="preserve"> MUDr.Mgr. Pavel Skalický, Ph.D.</w:t>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rPr>
          <w:b/>
        </w:rPr>
      </w:pPr>
    </w:p>
    <w:p w:rsidR="00E37850" w:rsidRPr="00FA667B" w:rsidRDefault="00E37850"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524E66" w:rsidRPr="00FA667B" w:rsidRDefault="00524E66" w:rsidP="00FA667B">
      <w:pPr>
        <w:spacing w:line="360" w:lineRule="auto"/>
        <w:jc w:val="both"/>
        <w:rPr>
          <w:b/>
        </w:rPr>
      </w:pPr>
    </w:p>
    <w:p w:rsidR="00FA667B" w:rsidRDefault="00FA667B" w:rsidP="00FA667B">
      <w:pPr>
        <w:spacing w:line="360" w:lineRule="auto"/>
        <w:jc w:val="both"/>
        <w:rPr>
          <w:b/>
        </w:rPr>
      </w:pPr>
    </w:p>
    <w:p w:rsidR="00FA667B" w:rsidRDefault="00FA667B" w:rsidP="00FA667B">
      <w:pPr>
        <w:spacing w:line="360" w:lineRule="auto"/>
        <w:jc w:val="both"/>
        <w:rPr>
          <w:b/>
        </w:rPr>
      </w:pPr>
    </w:p>
    <w:p w:rsidR="006002F1" w:rsidRPr="00FA667B" w:rsidRDefault="006002F1" w:rsidP="00FA667B">
      <w:pPr>
        <w:spacing w:line="360" w:lineRule="auto"/>
        <w:jc w:val="both"/>
        <w:rPr>
          <w:b/>
        </w:rPr>
      </w:pPr>
      <w:r w:rsidRPr="00FA667B">
        <w:rPr>
          <w:b/>
        </w:rPr>
        <w:lastRenderedPageBreak/>
        <w:t>Poděkování</w:t>
      </w:r>
    </w:p>
    <w:p w:rsidR="006002F1" w:rsidRPr="00FA667B" w:rsidRDefault="006002F1" w:rsidP="00FA667B">
      <w:pPr>
        <w:spacing w:line="360" w:lineRule="auto"/>
        <w:jc w:val="both"/>
      </w:pPr>
      <w:r w:rsidRPr="00FA667B">
        <w:t xml:space="preserve">Touto cestou bych chtěla poděkovat mému školiteli MUDr.Mgr. Pavlu Skalickému,Ph.D., který mě vedl po celou dobu mého studia. Chtěla bych také poděkovat Doc.MUDr. Martinovi Lovečkovi, Ph.D. za podporu a motivaci. Děkuji váženému panu prof. MUDr.Čestmírovi Neoralovi, CSc. za důvěru, podporu, motivaci a také možnost pracovat na I.chirurgické klinice. Dále děkuji paní Mgr. Janě Zapletalové z Ústavu lékařské fyziky a biofyziky Lékařské fakulty Univerzity Palackého v Olomouci za pomoc při zpracování dat. V neposlední řadě děkuji mým rodičům za to, že mě podporovali nejen ve studiu, ale i v mé práci. </w:t>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CA7B8D" w:rsidRPr="00FA667B" w:rsidRDefault="00CA7B8D" w:rsidP="00FA667B">
      <w:pPr>
        <w:spacing w:line="360" w:lineRule="auto"/>
        <w:jc w:val="both"/>
      </w:pPr>
    </w:p>
    <w:p w:rsidR="00CA7B8D" w:rsidRPr="00FA667B" w:rsidRDefault="00CA7B8D"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6002F1" w:rsidP="00FA667B">
      <w:pPr>
        <w:spacing w:line="360" w:lineRule="auto"/>
        <w:jc w:val="both"/>
      </w:pPr>
      <w:r w:rsidRPr="00FA667B">
        <w:t>V Olomouci dne 29.</w:t>
      </w:r>
      <w:r w:rsidR="00D217E8" w:rsidRPr="00FA667B">
        <w:t>3.2021</w:t>
      </w:r>
      <w:r w:rsidR="003D10A8" w:rsidRPr="00FA667B">
        <w:tab/>
      </w:r>
      <w:r w:rsidR="003D10A8" w:rsidRPr="00FA667B">
        <w:tab/>
      </w:r>
      <w:r w:rsidR="003D10A8" w:rsidRPr="00FA667B">
        <w:tab/>
      </w:r>
      <w:r w:rsidR="003D10A8" w:rsidRPr="00FA667B">
        <w:tab/>
      </w:r>
      <w:r w:rsidR="003D10A8" w:rsidRPr="00FA667B">
        <w:tab/>
      </w:r>
      <w:r w:rsidR="003D10A8" w:rsidRPr="00FA667B">
        <w:tab/>
        <w:t>MUDr. Jana Tesaříková</w:t>
      </w: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FA667B" w:rsidRDefault="00FA667B" w:rsidP="00FA667B">
      <w:pPr>
        <w:spacing w:line="360" w:lineRule="auto"/>
        <w:jc w:val="both"/>
        <w:rPr>
          <w:b/>
        </w:rPr>
      </w:pPr>
    </w:p>
    <w:p w:rsidR="002100F7" w:rsidRDefault="002100F7" w:rsidP="00F43995">
      <w:pPr>
        <w:spacing w:line="360" w:lineRule="auto"/>
        <w:rPr>
          <w:b/>
        </w:rPr>
      </w:pPr>
    </w:p>
    <w:p w:rsidR="006002F1" w:rsidRPr="00FA667B" w:rsidRDefault="006002F1" w:rsidP="00F43995">
      <w:pPr>
        <w:spacing w:line="360" w:lineRule="auto"/>
      </w:pPr>
      <w:r w:rsidRPr="00FA667B">
        <w:rPr>
          <w:b/>
        </w:rPr>
        <w:lastRenderedPageBreak/>
        <w:t>Obsah</w:t>
      </w:r>
    </w:p>
    <w:p w:rsidR="006002F1" w:rsidRPr="00FA667B" w:rsidRDefault="006002F1" w:rsidP="00F43995">
      <w:pPr>
        <w:spacing w:line="360" w:lineRule="auto"/>
      </w:pPr>
      <w:r w:rsidRPr="00FA667B">
        <w:t xml:space="preserve">    Poděkování………………………………………………………………</w:t>
      </w:r>
      <w:r w:rsidR="009B7D2F" w:rsidRPr="00FA667B">
        <w:t>…………………..</w:t>
      </w:r>
      <w:r w:rsidRPr="00FA667B">
        <w:t>3</w:t>
      </w:r>
    </w:p>
    <w:p w:rsidR="006002F1" w:rsidRPr="00FA667B" w:rsidRDefault="006002F1" w:rsidP="00F43995">
      <w:pPr>
        <w:spacing w:line="360" w:lineRule="auto"/>
      </w:pPr>
      <w:r w:rsidRPr="00FA667B">
        <w:t xml:space="preserve">    Obsah……………………………………………………………………</w:t>
      </w:r>
      <w:r w:rsidR="009B7D2F" w:rsidRPr="00FA667B">
        <w:t>…………………..</w:t>
      </w:r>
      <w:r w:rsidRPr="00FA667B">
        <w:t>4</w:t>
      </w:r>
    </w:p>
    <w:p w:rsidR="006002F1" w:rsidRPr="00FA667B" w:rsidRDefault="006002F1" w:rsidP="00F43995">
      <w:pPr>
        <w:spacing w:line="360" w:lineRule="auto"/>
      </w:pPr>
      <w:r w:rsidRPr="00FA667B">
        <w:t>1. Úvod………………………………………………………………………</w:t>
      </w:r>
      <w:r w:rsidR="009B7D2F" w:rsidRPr="00FA667B">
        <w:t>…………………</w:t>
      </w:r>
      <w:r w:rsidR="00B05E5B">
        <w:t>6</w:t>
      </w:r>
    </w:p>
    <w:p w:rsidR="006002F1" w:rsidRPr="00FA667B" w:rsidRDefault="006002F1" w:rsidP="00F43995">
      <w:pPr>
        <w:spacing w:line="360" w:lineRule="auto"/>
      </w:pPr>
      <w:r w:rsidRPr="00FA667B">
        <w:t xml:space="preserve">1.1. </w:t>
      </w:r>
      <w:r w:rsidR="009B7D2F" w:rsidRPr="00FA667B">
        <w:t xml:space="preserve">Adenokarcinom </w:t>
      </w:r>
      <w:r w:rsidRPr="00FA667B">
        <w:t>pankreatu</w:t>
      </w:r>
      <w:r w:rsidR="009B7D2F" w:rsidRPr="00FA667B">
        <w:t>………………………………………………………………...</w:t>
      </w:r>
      <w:r w:rsidR="00B05E5B">
        <w:t>6</w:t>
      </w:r>
    </w:p>
    <w:p w:rsidR="006002F1" w:rsidRPr="00FA667B" w:rsidRDefault="006002F1" w:rsidP="00F43995">
      <w:pPr>
        <w:spacing w:line="360" w:lineRule="auto"/>
      </w:pPr>
      <w:r w:rsidRPr="00FA667B">
        <w:t>1.2. Incidence………………………………………………………………...</w:t>
      </w:r>
      <w:r w:rsidR="009B7D2F" w:rsidRPr="00FA667B">
        <w:t>...........................</w:t>
      </w:r>
      <w:r w:rsidR="00B05E5B">
        <w:t>6</w:t>
      </w:r>
    </w:p>
    <w:p w:rsidR="006002F1" w:rsidRPr="00FA667B" w:rsidRDefault="006002F1" w:rsidP="00F43995">
      <w:pPr>
        <w:spacing w:line="360" w:lineRule="auto"/>
      </w:pPr>
      <w:r w:rsidRPr="00FA667B">
        <w:t>1.3. Etiologie…………………………………………………………………</w:t>
      </w:r>
      <w:r w:rsidR="009B7D2F" w:rsidRPr="00FA667B">
        <w:t>………………...</w:t>
      </w:r>
      <w:r w:rsidR="00B05E5B">
        <w:t>7</w:t>
      </w:r>
    </w:p>
    <w:p w:rsidR="006002F1" w:rsidRPr="00FA667B" w:rsidRDefault="006002F1" w:rsidP="00F43995">
      <w:pPr>
        <w:spacing w:line="360" w:lineRule="auto"/>
      </w:pPr>
      <w:r w:rsidRPr="00FA667B">
        <w:t>1.4. Diagnostika………………………………………………………………</w:t>
      </w:r>
      <w:r w:rsidR="009B7D2F" w:rsidRPr="00FA667B">
        <w:t>………………..</w:t>
      </w:r>
      <w:r w:rsidR="00B05E5B">
        <w:t>8</w:t>
      </w:r>
    </w:p>
    <w:p w:rsidR="006002F1" w:rsidRPr="00FA667B" w:rsidRDefault="006002F1" w:rsidP="00F43995">
      <w:pPr>
        <w:spacing w:line="360" w:lineRule="auto"/>
      </w:pPr>
      <w:r w:rsidRPr="00FA667B">
        <w:t>1.5. Předoperační staging</w:t>
      </w:r>
      <w:r w:rsidR="009B7D2F" w:rsidRPr="00FA667B">
        <w:t>……………………………………………………………………..1</w:t>
      </w:r>
      <w:r w:rsidR="00B05E5B">
        <w:t>0</w:t>
      </w:r>
    </w:p>
    <w:p w:rsidR="006002F1" w:rsidRPr="00FA667B" w:rsidRDefault="006002F1" w:rsidP="00F43995">
      <w:pPr>
        <w:spacing w:line="360" w:lineRule="auto"/>
      </w:pPr>
      <w:r w:rsidRPr="00FA667B">
        <w:t>1.6. TNM klasifikace…………………………………………………………</w:t>
      </w:r>
      <w:r w:rsidR="009B7D2F" w:rsidRPr="00FA667B">
        <w:t>………………</w:t>
      </w:r>
      <w:r w:rsidR="00B05E5B">
        <w:t>11</w:t>
      </w:r>
    </w:p>
    <w:p w:rsidR="006002F1" w:rsidRPr="00FA667B" w:rsidRDefault="006002F1" w:rsidP="00F43995">
      <w:pPr>
        <w:spacing w:line="360" w:lineRule="auto"/>
      </w:pPr>
      <w:r w:rsidRPr="00FA667B">
        <w:t>1.7. Japonská klasifikace……………………………………………………</w:t>
      </w:r>
      <w:r w:rsidR="009B7D2F" w:rsidRPr="00FA667B">
        <w:t>………………...</w:t>
      </w:r>
      <w:r w:rsidR="00FE4208">
        <w:t>13</w:t>
      </w:r>
    </w:p>
    <w:p w:rsidR="006002F1" w:rsidRDefault="006002F1" w:rsidP="00F43995">
      <w:pPr>
        <w:spacing w:line="360" w:lineRule="auto"/>
      </w:pPr>
      <w:r w:rsidRPr="00FA667B">
        <w:t xml:space="preserve">2. </w:t>
      </w:r>
      <w:r w:rsidR="00B05E5B">
        <w:t>Chirurgická léčba adenokarcinomu pankreatu……..</w:t>
      </w:r>
      <w:r w:rsidR="003744AD">
        <w:t>……</w:t>
      </w:r>
      <w:r w:rsidR="00E37850" w:rsidRPr="00FA667B">
        <w:t>…………………………………</w:t>
      </w:r>
      <w:r w:rsidR="00FE4208">
        <w:t>14</w:t>
      </w:r>
    </w:p>
    <w:p w:rsidR="006002F1" w:rsidRPr="00FA667B" w:rsidRDefault="001615FA" w:rsidP="00F43995">
      <w:pPr>
        <w:spacing w:line="360" w:lineRule="auto"/>
      </w:pPr>
      <w:r>
        <w:t>2.1.</w:t>
      </w:r>
      <w:r w:rsidR="00FE4208">
        <w:t>Historie chirurgie</w:t>
      </w:r>
      <w:r w:rsidR="00B05E5B">
        <w:t xml:space="preserve"> </w:t>
      </w:r>
      <w:r w:rsidR="00FE4208">
        <w:t>adenokarcinomu pankreatu………..</w:t>
      </w:r>
      <w:r w:rsidR="00B05E5B">
        <w:t>..</w:t>
      </w:r>
      <w:r w:rsidR="006002F1" w:rsidRPr="00FA667B">
        <w:t>…………………</w:t>
      </w:r>
      <w:r w:rsidR="003744AD">
        <w:t>……………</w:t>
      </w:r>
      <w:r>
        <w:t>...</w:t>
      </w:r>
      <w:r w:rsidR="009B7D2F" w:rsidRPr="00FA667B">
        <w:t>.</w:t>
      </w:r>
      <w:r w:rsidR="006002F1" w:rsidRPr="00FA667B">
        <w:t>1</w:t>
      </w:r>
      <w:r w:rsidR="00FE4208">
        <w:t>5</w:t>
      </w:r>
    </w:p>
    <w:p w:rsidR="006002F1" w:rsidRPr="00FA667B" w:rsidRDefault="001615FA" w:rsidP="00F43995">
      <w:pPr>
        <w:spacing w:line="360" w:lineRule="auto"/>
      </w:pPr>
      <w:r>
        <w:t>2.2</w:t>
      </w:r>
      <w:r w:rsidR="00B05E5B">
        <w:t xml:space="preserve">. </w:t>
      </w:r>
      <w:r>
        <w:t>Pravostranná pankreatoduodenektomie</w:t>
      </w:r>
      <w:r w:rsidR="006002F1" w:rsidRPr="00FA667B">
        <w:t>………………………………</w:t>
      </w:r>
      <w:r w:rsidR="009B7D2F" w:rsidRPr="00FA667B">
        <w:t>………………</w:t>
      </w:r>
      <w:r>
        <w:t>…</w:t>
      </w:r>
      <w:r w:rsidR="00931E5B">
        <w:t>16</w:t>
      </w:r>
    </w:p>
    <w:p w:rsidR="006002F1" w:rsidRPr="00FA667B" w:rsidRDefault="001615FA" w:rsidP="00F43995">
      <w:pPr>
        <w:spacing w:line="360" w:lineRule="auto"/>
      </w:pPr>
      <w:r>
        <w:t>2.2.1</w:t>
      </w:r>
      <w:r w:rsidR="006002F1" w:rsidRPr="00FA667B">
        <w:t xml:space="preserve">. </w:t>
      </w:r>
      <w:r>
        <w:t>Pankreatojejunoanastomóza…………</w:t>
      </w:r>
      <w:r w:rsidR="00931E5B">
        <w:t>…………………………………………………18</w:t>
      </w:r>
    </w:p>
    <w:p w:rsidR="006002F1" w:rsidRPr="00FA667B" w:rsidRDefault="001615FA" w:rsidP="00F43995">
      <w:pPr>
        <w:spacing w:line="360" w:lineRule="auto"/>
      </w:pPr>
      <w:r>
        <w:t>2.2.2</w:t>
      </w:r>
      <w:r w:rsidR="006002F1" w:rsidRPr="00FA667B">
        <w:t xml:space="preserve">. </w:t>
      </w:r>
      <w:r>
        <w:t>Historie pankreatojejunoanastomózy …………………………………</w:t>
      </w:r>
      <w:r w:rsidR="006002F1" w:rsidRPr="00FA667B">
        <w:t>.</w:t>
      </w:r>
      <w:r w:rsidR="009B7D2F" w:rsidRPr="00FA667B">
        <w:t>........................</w:t>
      </w:r>
      <w:r w:rsidR="00931E5B">
        <w:t>18</w:t>
      </w:r>
    </w:p>
    <w:p w:rsidR="006002F1" w:rsidRPr="00FA667B" w:rsidRDefault="001615FA" w:rsidP="00F43995">
      <w:pPr>
        <w:spacing w:line="360" w:lineRule="auto"/>
      </w:pPr>
      <w:r>
        <w:t>2.2.3</w:t>
      </w:r>
      <w:r w:rsidR="00931E5B">
        <w:t xml:space="preserve">.Technika </w:t>
      </w:r>
      <w:r>
        <w:t xml:space="preserve">současné </w:t>
      </w:r>
      <w:r w:rsidR="00931E5B">
        <w:t>pankreatogastroanastomózy</w:t>
      </w:r>
      <w:r>
        <w:t xml:space="preserve"> v Olomouci…..</w:t>
      </w:r>
      <w:r w:rsidR="006002F1" w:rsidRPr="00FA667B">
        <w:t>………</w:t>
      </w:r>
      <w:r w:rsidR="009B7D2F" w:rsidRPr="00FA667B">
        <w:t>………………</w:t>
      </w:r>
      <w:r w:rsidR="006002F1" w:rsidRPr="00FA667B">
        <w:t>2</w:t>
      </w:r>
      <w:r>
        <w:t>0</w:t>
      </w:r>
    </w:p>
    <w:p w:rsidR="006002F1" w:rsidRDefault="006002F1" w:rsidP="00F43995">
      <w:pPr>
        <w:spacing w:line="360" w:lineRule="auto"/>
      </w:pPr>
      <w:r w:rsidRPr="00FA667B">
        <w:t>2.</w:t>
      </w:r>
      <w:r w:rsidR="00931E5B">
        <w:t>2</w:t>
      </w:r>
      <w:r w:rsidR="001615FA">
        <w:t>.4.Pankreatogastroanastomóza</w:t>
      </w:r>
      <w:r w:rsidRPr="00FA667B">
        <w:t>……………………………………………</w:t>
      </w:r>
      <w:r w:rsidR="00450482" w:rsidRPr="00FA667B">
        <w:t>……………...</w:t>
      </w:r>
      <w:r w:rsidR="001615FA">
        <w:t>..</w:t>
      </w:r>
      <w:r w:rsidR="00847AAE">
        <w:t>24</w:t>
      </w:r>
    </w:p>
    <w:p w:rsidR="001615FA" w:rsidRDefault="001615FA" w:rsidP="00F43995">
      <w:pPr>
        <w:spacing w:line="360" w:lineRule="auto"/>
      </w:pPr>
      <w:r>
        <w:t>2.2.5.Miniinvazivní versus otevřená pankreatoduodenektomie………………………………26</w:t>
      </w:r>
    </w:p>
    <w:p w:rsidR="001615FA" w:rsidRPr="00FA667B" w:rsidRDefault="001615FA" w:rsidP="001615FA">
      <w:pPr>
        <w:spacing w:line="360" w:lineRule="auto"/>
      </w:pPr>
      <w:r>
        <w:t>2.3</w:t>
      </w:r>
      <w:r w:rsidRPr="00FA667B">
        <w:t>. Levostranná pankreat</w:t>
      </w:r>
      <w:r>
        <w:t>ektomie……………………………………………………………26</w:t>
      </w:r>
    </w:p>
    <w:p w:rsidR="001615FA" w:rsidRPr="00FA667B" w:rsidRDefault="001615FA" w:rsidP="001615FA">
      <w:pPr>
        <w:spacing w:line="360" w:lineRule="auto"/>
      </w:pPr>
      <w:r>
        <w:t>2.4</w:t>
      </w:r>
      <w:r w:rsidRPr="00FA667B">
        <w:t>. Totální pankreatektomie…………………………………………………………………2</w:t>
      </w:r>
      <w:r>
        <w:t>7</w:t>
      </w:r>
    </w:p>
    <w:p w:rsidR="001615FA" w:rsidRPr="00FA667B" w:rsidRDefault="001615FA" w:rsidP="001615FA">
      <w:pPr>
        <w:spacing w:line="360" w:lineRule="auto"/>
      </w:pPr>
      <w:r w:rsidRPr="00FA667B">
        <w:t>2.</w:t>
      </w:r>
      <w:r>
        <w:t>5</w:t>
      </w:r>
      <w:r w:rsidRPr="00FA667B">
        <w:t>. Rozsah lymfadenektomie</w:t>
      </w:r>
      <w:r>
        <w:t>………………………………………………………………...27</w:t>
      </w:r>
    </w:p>
    <w:p w:rsidR="001615FA" w:rsidRPr="00FA667B" w:rsidRDefault="001615FA" w:rsidP="00F43995">
      <w:pPr>
        <w:spacing w:line="360" w:lineRule="auto"/>
      </w:pPr>
      <w:r>
        <w:t>2.6. Bordeline resekabilní nádor……………………………………………………………...31</w:t>
      </w:r>
    </w:p>
    <w:p w:rsidR="006002F1" w:rsidRPr="00FA667B" w:rsidRDefault="001615FA" w:rsidP="00F43995">
      <w:pPr>
        <w:shd w:val="clear" w:color="auto" w:fill="FFFFFF"/>
        <w:spacing w:line="360" w:lineRule="auto"/>
        <w:rPr>
          <w:color w:val="000000"/>
        </w:rPr>
      </w:pPr>
      <w:r>
        <w:rPr>
          <w:color w:val="000000"/>
        </w:rPr>
        <w:t>2.7.</w:t>
      </w:r>
      <w:r w:rsidR="006002F1" w:rsidRPr="00FA667B">
        <w:rPr>
          <w:color w:val="000000"/>
        </w:rPr>
        <w:t xml:space="preserve"> Postižení žilního řečiště…………………………………………………</w:t>
      </w:r>
      <w:r w:rsidR="00450482" w:rsidRPr="00FA667B">
        <w:rPr>
          <w:color w:val="000000"/>
        </w:rPr>
        <w:t>……………</w:t>
      </w:r>
      <w:r>
        <w:rPr>
          <w:color w:val="000000"/>
        </w:rPr>
        <w:t>….31</w:t>
      </w:r>
      <w:r w:rsidR="006002F1" w:rsidRPr="00FA667B">
        <w:rPr>
          <w:color w:val="000000"/>
        </w:rPr>
        <w:t xml:space="preserve"> </w:t>
      </w:r>
    </w:p>
    <w:p w:rsidR="006002F1" w:rsidRPr="00FA667B" w:rsidRDefault="00427EA8" w:rsidP="00F43995">
      <w:pPr>
        <w:spacing w:line="360" w:lineRule="auto"/>
      </w:pPr>
      <w:r>
        <w:t>2.8</w:t>
      </w:r>
      <w:r w:rsidR="006002F1" w:rsidRPr="00FA667B">
        <w:t>. Postižení arteriálního řečiště……………………………………………</w:t>
      </w:r>
      <w:r w:rsidR="00450482" w:rsidRPr="00FA667B">
        <w:t>……………...</w:t>
      </w:r>
      <w:r>
        <w:t>...32</w:t>
      </w:r>
    </w:p>
    <w:p w:rsidR="006002F1" w:rsidRDefault="00427EA8" w:rsidP="00F43995">
      <w:pPr>
        <w:spacing w:line="360" w:lineRule="auto"/>
      </w:pPr>
      <w:r>
        <w:t>2.9</w:t>
      </w:r>
      <w:r w:rsidR="006002F1" w:rsidRPr="00FA667B">
        <w:t xml:space="preserve">. </w:t>
      </w:r>
      <w:r>
        <w:t>M</w:t>
      </w:r>
      <w:r w:rsidR="006002F1" w:rsidRPr="00FA667B">
        <w:t>eta</w:t>
      </w:r>
      <w:r>
        <w:t>stázy u adenokarcinomu pankreatu…………..</w:t>
      </w:r>
      <w:r w:rsidR="00847AAE">
        <w:t>…………………………………….</w:t>
      </w:r>
      <w:r>
        <w:t>.33</w:t>
      </w:r>
    </w:p>
    <w:p w:rsidR="006002F1" w:rsidRDefault="006002F1" w:rsidP="00F43995">
      <w:pPr>
        <w:spacing w:line="360" w:lineRule="auto"/>
      </w:pPr>
      <w:r w:rsidRPr="00FA667B">
        <w:t>3. Onkologická</w:t>
      </w:r>
      <w:r w:rsidR="00931E5B">
        <w:t xml:space="preserve"> léčb</w:t>
      </w:r>
      <w:r w:rsidR="00427EA8">
        <w:t>a adenokarcinomu pankreatu</w:t>
      </w:r>
      <w:r w:rsidR="00931E5B">
        <w:t>..</w:t>
      </w:r>
      <w:r w:rsidRPr="00FA667B">
        <w:t>………………………………...</w:t>
      </w:r>
      <w:r w:rsidR="00450482" w:rsidRPr="00FA667B">
        <w:t>...............</w:t>
      </w:r>
      <w:r w:rsidR="00427EA8">
        <w:t>34</w:t>
      </w:r>
    </w:p>
    <w:p w:rsidR="00931E5B" w:rsidRPr="00FA667B" w:rsidRDefault="00931E5B" w:rsidP="00F43995">
      <w:pPr>
        <w:spacing w:line="360" w:lineRule="auto"/>
      </w:pPr>
      <w:r>
        <w:t>3.1.</w:t>
      </w:r>
      <w:r w:rsidR="00F43995">
        <w:t>Neoadjuvantí léčba………...</w:t>
      </w:r>
      <w:r w:rsidRPr="00FA667B">
        <w:t>……………………………………………………………...</w:t>
      </w:r>
      <w:r w:rsidR="00427EA8">
        <w:t>34</w:t>
      </w:r>
    </w:p>
    <w:p w:rsidR="006002F1" w:rsidRPr="00FA667B" w:rsidRDefault="00F43995" w:rsidP="00F43995">
      <w:pPr>
        <w:spacing w:line="360" w:lineRule="auto"/>
      </w:pPr>
      <w:r>
        <w:t>3.2. A</w:t>
      </w:r>
      <w:r w:rsidR="006002F1" w:rsidRPr="00FA667B">
        <w:t xml:space="preserve">djuvantní </w:t>
      </w:r>
      <w:r w:rsidR="003744AD">
        <w:t>léčba…</w:t>
      </w:r>
      <w:r w:rsidR="006002F1" w:rsidRPr="00FA667B">
        <w:t>……………………………………………………………</w:t>
      </w:r>
      <w:r w:rsidR="00450482" w:rsidRPr="00FA667B">
        <w:t>…………</w:t>
      </w:r>
      <w:r w:rsidR="00427EA8">
        <w:t>35</w:t>
      </w:r>
    </w:p>
    <w:p w:rsidR="006002F1" w:rsidRPr="00FA667B" w:rsidRDefault="006002F1" w:rsidP="00F43995">
      <w:pPr>
        <w:spacing w:line="360" w:lineRule="auto"/>
        <w:rPr>
          <w:color w:val="000000"/>
          <w:shd w:val="clear" w:color="auto" w:fill="FFFFFF"/>
        </w:rPr>
      </w:pPr>
      <w:r w:rsidRPr="00FA667B">
        <w:rPr>
          <w:color w:val="000000"/>
          <w:shd w:val="clear" w:color="auto" w:fill="FFFFFF"/>
        </w:rPr>
        <w:t>3.3. Paliativní onkologická léčba u metastazujícího onemocnění…………………</w:t>
      </w:r>
      <w:r w:rsidR="00450482" w:rsidRPr="00FA667B">
        <w:rPr>
          <w:color w:val="000000"/>
          <w:shd w:val="clear" w:color="auto" w:fill="FFFFFF"/>
        </w:rPr>
        <w:t>………….</w:t>
      </w:r>
      <w:r w:rsidRPr="00FA667B">
        <w:rPr>
          <w:color w:val="000000"/>
          <w:shd w:val="clear" w:color="auto" w:fill="FFFFFF"/>
        </w:rPr>
        <w:t>3</w:t>
      </w:r>
      <w:r w:rsidR="00427EA8">
        <w:rPr>
          <w:color w:val="000000"/>
          <w:shd w:val="clear" w:color="auto" w:fill="FFFFFF"/>
        </w:rPr>
        <w:t>6</w:t>
      </w:r>
    </w:p>
    <w:p w:rsidR="006002F1" w:rsidRPr="00FA667B" w:rsidRDefault="00F43995" w:rsidP="00F43995">
      <w:pPr>
        <w:spacing w:line="360" w:lineRule="auto"/>
      </w:pPr>
      <w:r>
        <w:t>4</w:t>
      </w:r>
      <w:r w:rsidR="006002F1" w:rsidRPr="00FA667B">
        <w:t>. Komplikace……………………………………………………………………....</w:t>
      </w:r>
      <w:r w:rsidR="00450482" w:rsidRPr="00FA667B">
        <w:t>...............</w:t>
      </w:r>
      <w:r w:rsidR="00427EA8">
        <w:t>36</w:t>
      </w:r>
    </w:p>
    <w:p w:rsidR="006002F1" w:rsidRPr="00FA667B" w:rsidRDefault="00F43995" w:rsidP="00F43995">
      <w:pPr>
        <w:spacing w:line="360" w:lineRule="auto"/>
      </w:pPr>
      <w:r>
        <w:t>4</w:t>
      </w:r>
      <w:r w:rsidR="006002F1" w:rsidRPr="00FA667B">
        <w:t>.1. Pankreatická píštěl……………………………………………………………...</w:t>
      </w:r>
      <w:r w:rsidR="00450482" w:rsidRPr="00FA667B">
        <w:t>..............</w:t>
      </w:r>
      <w:r w:rsidR="00427EA8">
        <w:t>37</w:t>
      </w:r>
    </w:p>
    <w:p w:rsidR="00F43995" w:rsidRDefault="00F43995" w:rsidP="00F43995">
      <w:pPr>
        <w:spacing w:line="360" w:lineRule="auto"/>
        <w:jc w:val="both"/>
      </w:pPr>
      <w:r>
        <w:t>4.1.1</w:t>
      </w:r>
      <w:r w:rsidR="006002F1" w:rsidRPr="00FA667B">
        <w:t xml:space="preserve">. </w:t>
      </w:r>
      <w:r w:rsidR="00427EA8">
        <w:t>Rizikové faktory podílející se na vzniku pankreatické píštěle..</w:t>
      </w:r>
      <w:r w:rsidR="006002F1" w:rsidRPr="00FA667B">
        <w:t>……………</w:t>
      </w:r>
      <w:r w:rsidR="00450482" w:rsidRPr="00FA667B">
        <w:t>……</w:t>
      </w:r>
      <w:r>
        <w:t>…….</w:t>
      </w:r>
      <w:r w:rsidR="00B753C7">
        <w:t>.</w:t>
      </w:r>
      <w:r w:rsidR="00427EA8">
        <w:t>39</w:t>
      </w:r>
    </w:p>
    <w:p w:rsidR="006002F1" w:rsidRDefault="00F43995" w:rsidP="00F43995">
      <w:pPr>
        <w:spacing w:line="360" w:lineRule="auto"/>
        <w:jc w:val="both"/>
      </w:pPr>
      <w:r>
        <w:t>4</w:t>
      </w:r>
      <w:r w:rsidR="006002F1" w:rsidRPr="00FA667B">
        <w:t>.1.</w:t>
      </w:r>
      <w:r>
        <w:t>2</w:t>
      </w:r>
      <w:r w:rsidR="006002F1" w:rsidRPr="00FA667B">
        <w:t>.</w:t>
      </w:r>
      <w:r w:rsidR="00427EA8">
        <w:t>Klinické příznaky a diagnostika pankreatické píštěle……….</w:t>
      </w:r>
      <w:r w:rsidR="006002F1" w:rsidRPr="00FA667B">
        <w:t>……………</w:t>
      </w:r>
      <w:r w:rsidR="00450482" w:rsidRPr="00FA667B">
        <w:t>………</w:t>
      </w:r>
      <w:r>
        <w:t>……</w:t>
      </w:r>
      <w:r w:rsidR="00B753C7">
        <w:t>.</w:t>
      </w:r>
      <w:r w:rsidR="00427EA8">
        <w:t>39</w:t>
      </w:r>
    </w:p>
    <w:p w:rsidR="00F43995" w:rsidRPr="00FA667B" w:rsidRDefault="00F43995" w:rsidP="00F43995">
      <w:pPr>
        <w:spacing w:line="360" w:lineRule="auto"/>
        <w:jc w:val="both"/>
      </w:pPr>
      <w:r>
        <w:lastRenderedPageBreak/>
        <w:t>4.1.3. Komplikac</w:t>
      </w:r>
      <w:r w:rsidR="003744AD">
        <w:t>e způsobené pankreatickou píštěl</w:t>
      </w:r>
      <w:r w:rsidR="00427EA8">
        <w:t>í………………………………………….40</w:t>
      </w:r>
    </w:p>
    <w:p w:rsidR="006002F1" w:rsidRPr="00FA667B" w:rsidRDefault="00F43995" w:rsidP="00F43995">
      <w:pPr>
        <w:spacing w:line="360" w:lineRule="auto"/>
        <w:jc w:val="both"/>
      </w:pPr>
      <w:r>
        <w:t>4</w:t>
      </w:r>
      <w:r w:rsidR="006002F1" w:rsidRPr="00FA667B">
        <w:t>.2. Postpankreatektomická hemoragie……………………………………………</w:t>
      </w:r>
      <w:r w:rsidR="00450482" w:rsidRPr="00FA667B">
        <w:t>…………</w:t>
      </w:r>
      <w:r w:rsidR="00427EA8">
        <w:t>41</w:t>
      </w:r>
    </w:p>
    <w:p w:rsidR="006002F1" w:rsidRPr="00FA667B" w:rsidRDefault="00F43995" w:rsidP="00F43995">
      <w:pPr>
        <w:spacing w:line="360" w:lineRule="auto"/>
        <w:jc w:val="both"/>
      </w:pPr>
      <w:r>
        <w:t>4.2.1. Klasifikace postpankreatektomické hemoragie…</w:t>
      </w:r>
      <w:r w:rsidR="006002F1" w:rsidRPr="00FA667B">
        <w:t>……………………………</w:t>
      </w:r>
      <w:r w:rsidR="00450482" w:rsidRPr="00FA667B">
        <w:t>………..</w:t>
      </w:r>
      <w:r w:rsidR="00427EA8">
        <w:t>42</w:t>
      </w:r>
    </w:p>
    <w:p w:rsidR="006002F1" w:rsidRPr="00FA667B" w:rsidRDefault="00F43995" w:rsidP="00F43995">
      <w:pPr>
        <w:spacing w:line="360" w:lineRule="auto"/>
        <w:jc w:val="both"/>
      </w:pPr>
      <w:r>
        <w:t>4</w:t>
      </w:r>
      <w:r w:rsidR="006002F1" w:rsidRPr="00FA667B">
        <w:t>.2.2. Klinické př</w:t>
      </w:r>
      <w:r w:rsidR="00427EA8">
        <w:t>íznaky a diagnostika a léčba postpankreatektomické hemoragie.</w:t>
      </w:r>
      <w:r w:rsidR="006002F1" w:rsidRPr="00FA667B">
        <w:t>…</w:t>
      </w:r>
      <w:r w:rsidR="00450482" w:rsidRPr="00FA667B">
        <w:t>……….</w:t>
      </w:r>
      <w:r w:rsidR="00427EA8">
        <w:t>43</w:t>
      </w:r>
    </w:p>
    <w:p w:rsidR="006002F1" w:rsidRPr="00FA667B" w:rsidRDefault="00B753C7" w:rsidP="00F43995">
      <w:pPr>
        <w:spacing w:line="360" w:lineRule="auto"/>
        <w:jc w:val="both"/>
      </w:pPr>
      <w:r>
        <w:t>4</w:t>
      </w:r>
      <w:r w:rsidR="006002F1" w:rsidRPr="00FA667B">
        <w:t>.</w:t>
      </w:r>
      <w:r>
        <w:t xml:space="preserve">3. </w:t>
      </w:r>
      <w:r w:rsidR="006002F1" w:rsidRPr="00FA667B">
        <w:t>Opozděná evakuace žaludku</w:t>
      </w:r>
      <w:r w:rsidR="00450482" w:rsidRPr="00FA667B">
        <w:t>…………………………………………………………….</w:t>
      </w:r>
      <w:r>
        <w:t>.</w:t>
      </w:r>
      <w:r w:rsidR="00427EA8">
        <w:t>46</w:t>
      </w:r>
    </w:p>
    <w:p w:rsidR="006002F1" w:rsidRPr="00FA667B" w:rsidRDefault="00B753C7" w:rsidP="00F43995">
      <w:pPr>
        <w:spacing w:line="360" w:lineRule="auto"/>
        <w:jc w:val="both"/>
      </w:pPr>
      <w:r>
        <w:t xml:space="preserve">4.4. </w:t>
      </w:r>
      <w:r w:rsidR="006002F1" w:rsidRPr="00FA667B">
        <w:t>Biliární leak………………………………………………………</w:t>
      </w:r>
      <w:r>
        <w:t>……………..............</w:t>
      </w:r>
      <w:r w:rsidR="00450482" w:rsidRPr="00FA667B">
        <w:t>.</w:t>
      </w:r>
      <w:r>
        <w:t>.</w:t>
      </w:r>
      <w:r w:rsidR="00427EA8">
        <w:t>48</w:t>
      </w:r>
    </w:p>
    <w:p w:rsidR="006002F1" w:rsidRPr="00FA667B" w:rsidRDefault="003744AD" w:rsidP="00F43995">
      <w:pPr>
        <w:spacing w:line="360" w:lineRule="auto"/>
        <w:jc w:val="both"/>
      </w:pPr>
      <w:r>
        <w:t>4.</w:t>
      </w:r>
      <w:r w:rsidR="00B753C7">
        <w:t>5</w:t>
      </w:r>
      <w:r w:rsidR="006002F1" w:rsidRPr="00FA667B">
        <w:t>.</w:t>
      </w:r>
      <w:r>
        <w:t xml:space="preserve"> </w:t>
      </w:r>
      <w:r w:rsidR="006002F1" w:rsidRPr="00FA667B">
        <w:t>Dre</w:t>
      </w:r>
      <w:r w:rsidR="00A5581B">
        <w:t>náž nitrobřišních kolekcí po pankreatoduodenektomii</w:t>
      </w:r>
      <w:r w:rsidR="00450482" w:rsidRPr="00FA667B">
        <w:t>……………</w:t>
      </w:r>
      <w:r w:rsidR="00A5581B">
        <w:t>…………………</w:t>
      </w:r>
      <w:r w:rsidR="00427EA8">
        <w:t>50</w:t>
      </w:r>
    </w:p>
    <w:p w:rsidR="006002F1" w:rsidRPr="00FA667B" w:rsidRDefault="003744AD" w:rsidP="00F43995">
      <w:pPr>
        <w:spacing w:line="360" w:lineRule="auto"/>
        <w:jc w:val="both"/>
      </w:pPr>
      <w:r>
        <w:t>5</w:t>
      </w:r>
      <w:r w:rsidR="006002F1" w:rsidRPr="00FA667B">
        <w:t>. Samostatná výzkumná práce</w:t>
      </w:r>
      <w:r w:rsidR="00450482" w:rsidRPr="00FA667B">
        <w:t>…………………</w:t>
      </w:r>
      <w:r w:rsidR="00427EA8">
        <w:t>………………………………….................52</w:t>
      </w:r>
    </w:p>
    <w:p w:rsidR="006002F1" w:rsidRPr="00FA667B" w:rsidRDefault="003744AD" w:rsidP="00F43995">
      <w:pPr>
        <w:spacing w:line="360" w:lineRule="auto"/>
        <w:jc w:val="both"/>
      </w:pPr>
      <w:r>
        <w:t>5</w:t>
      </w:r>
      <w:r w:rsidR="006002F1" w:rsidRPr="00FA667B">
        <w:t>.1. Cíl práce</w:t>
      </w:r>
      <w:r w:rsidR="00450482" w:rsidRPr="00FA667B">
        <w:t>……</w:t>
      </w:r>
      <w:r w:rsidR="00847AAE">
        <w:t>……………………………………………………………</w:t>
      </w:r>
      <w:r w:rsidR="00427EA8">
        <w:t>……………….52</w:t>
      </w:r>
    </w:p>
    <w:p w:rsidR="006002F1" w:rsidRPr="00FA667B" w:rsidRDefault="003744AD" w:rsidP="00F43995">
      <w:pPr>
        <w:spacing w:line="360" w:lineRule="auto"/>
        <w:jc w:val="both"/>
      </w:pPr>
      <w:r>
        <w:t>5</w:t>
      </w:r>
      <w:r w:rsidR="006002F1" w:rsidRPr="00FA667B">
        <w:t>.2. Materiál a metody</w:t>
      </w:r>
      <w:r w:rsidR="00427EA8">
        <w:t>………………………………………………………………………..52</w:t>
      </w:r>
    </w:p>
    <w:p w:rsidR="006002F1" w:rsidRPr="00FA667B" w:rsidRDefault="003744AD" w:rsidP="00F43995">
      <w:pPr>
        <w:spacing w:line="360" w:lineRule="auto"/>
        <w:jc w:val="both"/>
      </w:pPr>
      <w:r>
        <w:t>5</w:t>
      </w:r>
      <w:r w:rsidR="006002F1" w:rsidRPr="00FA667B">
        <w:t>.3. Vlastní soubor nemocných………</w:t>
      </w:r>
      <w:r w:rsidR="00427EA8">
        <w:t>……………………………………………………….53</w:t>
      </w:r>
    </w:p>
    <w:p w:rsidR="006002F1" w:rsidRPr="00FA667B" w:rsidRDefault="003744AD" w:rsidP="00F43995">
      <w:pPr>
        <w:spacing w:line="360" w:lineRule="auto"/>
        <w:jc w:val="both"/>
      </w:pPr>
      <w:r>
        <w:t>5</w:t>
      </w:r>
      <w:r w:rsidR="006002F1" w:rsidRPr="00FA667B">
        <w:t>.4. Výsledky</w:t>
      </w:r>
      <w:r w:rsidR="00450482" w:rsidRPr="00FA667B">
        <w:t>…………………………………</w:t>
      </w:r>
      <w:r w:rsidR="00427EA8">
        <w:t>……………………………………................55</w:t>
      </w:r>
    </w:p>
    <w:p w:rsidR="006002F1" w:rsidRPr="00FA667B" w:rsidRDefault="003744AD" w:rsidP="00F43995">
      <w:pPr>
        <w:spacing w:line="360" w:lineRule="auto"/>
        <w:jc w:val="both"/>
      </w:pPr>
      <w:r>
        <w:t>5</w:t>
      </w:r>
      <w:r w:rsidR="006002F1" w:rsidRPr="00FA667B">
        <w:t>.5. Diskuze</w:t>
      </w:r>
      <w:r w:rsidR="00450482" w:rsidRPr="00FA667B">
        <w:t>…………</w:t>
      </w:r>
      <w:r w:rsidR="00427EA8">
        <w:t>………………………………………………………………………...65</w:t>
      </w:r>
    </w:p>
    <w:p w:rsidR="006002F1" w:rsidRPr="00FA667B" w:rsidRDefault="003744AD" w:rsidP="00F43995">
      <w:pPr>
        <w:spacing w:line="360" w:lineRule="auto"/>
        <w:jc w:val="both"/>
      </w:pPr>
      <w:r>
        <w:t>5</w:t>
      </w:r>
      <w:r w:rsidR="006002F1" w:rsidRPr="00FA667B">
        <w:t>.6. Závěr</w:t>
      </w:r>
      <w:r w:rsidR="00450482" w:rsidRPr="00FA667B">
        <w:t>………</w:t>
      </w:r>
      <w:r w:rsidR="00847AAE">
        <w:t>……………………………………</w:t>
      </w:r>
      <w:r w:rsidR="00427EA8">
        <w:t>………………………………………..71</w:t>
      </w:r>
    </w:p>
    <w:p w:rsidR="006002F1" w:rsidRPr="00FA667B" w:rsidRDefault="003744AD" w:rsidP="00F43995">
      <w:pPr>
        <w:spacing w:line="360" w:lineRule="auto"/>
        <w:jc w:val="both"/>
      </w:pPr>
      <w:r>
        <w:t>6</w:t>
      </w:r>
      <w:r w:rsidR="006002F1" w:rsidRPr="00FA667B">
        <w:t>. Souhrn</w:t>
      </w:r>
      <w:r w:rsidR="00450482" w:rsidRPr="00FA667B">
        <w:t>…………………………………………………………………………………….</w:t>
      </w:r>
      <w:r w:rsidR="00427EA8">
        <w:t>..72</w:t>
      </w:r>
    </w:p>
    <w:p w:rsidR="006002F1" w:rsidRPr="00FA667B" w:rsidRDefault="003744AD" w:rsidP="00F43995">
      <w:pPr>
        <w:spacing w:line="360" w:lineRule="auto"/>
        <w:jc w:val="both"/>
      </w:pPr>
      <w:r>
        <w:t>6</w:t>
      </w:r>
      <w:r w:rsidR="00B753C7">
        <w:t>.</w:t>
      </w:r>
      <w:r w:rsidR="006002F1" w:rsidRPr="00FA667B">
        <w:t>1. Summary</w:t>
      </w:r>
      <w:r w:rsidR="0093243C" w:rsidRPr="00FA667B">
        <w:t>………………………………………………………………………………</w:t>
      </w:r>
      <w:r w:rsidR="00427EA8">
        <w:t>…74</w:t>
      </w:r>
    </w:p>
    <w:p w:rsidR="006002F1" w:rsidRPr="00FA667B" w:rsidRDefault="003744AD" w:rsidP="00F43995">
      <w:pPr>
        <w:spacing w:line="360" w:lineRule="auto"/>
        <w:jc w:val="both"/>
      </w:pPr>
      <w:r>
        <w:t>7</w:t>
      </w:r>
      <w:r w:rsidR="006002F1" w:rsidRPr="00FA667B">
        <w:t>. Přehled přednášek a publikací</w:t>
      </w:r>
      <w:r w:rsidR="00BE2ED5" w:rsidRPr="00FA667B">
        <w:t>……………………………………………………………</w:t>
      </w:r>
      <w:r w:rsidR="00B753C7">
        <w:t>...</w:t>
      </w:r>
      <w:r w:rsidR="00BE2ED5" w:rsidRPr="00FA667B">
        <w:t>7</w:t>
      </w:r>
      <w:r w:rsidR="00427EA8">
        <w:t>6</w:t>
      </w:r>
    </w:p>
    <w:p w:rsidR="006002F1" w:rsidRPr="00FA667B" w:rsidRDefault="003744AD" w:rsidP="00F43995">
      <w:pPr>
        <w:spacing w:line="360" w:lineRule="auto"/>
        <w:jc w:val="both"/>
      </w:pPr>
      <w:r>
        <w:t>8</w:t>
      </w:r>
      <w:r w:rsidR="006002F1" w:rsidRPr="00FA667B">
        <w:t>. Literatura…………………………………………………………………</w:t>
      </w:r>
      <w:r w:rsidR="00BE2ED5" w:rsidRPr="00FA667B">
        <w:t>………………</w:t>
      </w:r>
      <w:r w:rsidR="00427EA8">
        <w:t>...78</w:t>
      </w:r>
    </w:p>
    <w:p w:rsidR="006002F1" w:rsidRPr="00FA667B" w:rsidRDefault="003744AD" w:rsidP="00F43995">
      <w:pPr>
        <w:spacing w:line="360" w:lineRule="auto"/>
        <w:jc w:val="both"/>
      </w:pPr>
      <w:r>
        <w:t>9</w:t>
      </w:r>
      <w:r w:rsidR="006002F1" w:rsidRPr="00FA667B">
        <w:t>. Seznam z</w:t>
      </w:r>
      <w:r w:rsidR="00BE2ED5" w:rsidRPr="00FA667B">
        <w:t>kratek……………………………</w:t>
      </w:r>
      <w:r w:rsidR="00B753C7">
        <w:t>……………………………………………</w:t>
      </w:r>
      <w:r>
        <w:t>…</w:t>
      </w:r>
      <w:r w:rsidR="00427EA8">
        <w:t>.88</w:t>
      </w:r>
    </w:p>
    <w:p w:rsidR="006002F1" w:rsidRPr="00FA667B" w:rsidRDefault="006002F1" w:rsidP="00F43995">
      <w:pPr>
        <w:spacing w:line="360" w:lineRule="auto"/>
        <w:jc w:val="both"/>
        <w:rPr>
          <w:b/>
        </w:rPr>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5455CB" w:rsidRPr="00FA667B" w:rsidRDefault="005455CB" w:rsidP="00FA667B">
      <w:pPr>
        <w:spacing w:line="360" w:lineRule="auto"/>
        <w:jc w:val="both"/>
      </w:pPr>
    </w:p>
    <w:p w:rsidR="005455CB" w:rsidRPr="00FA667B" w:rsidRDefault="005455CB" w:rsidP="00FA667B">
      <w:pPr>
        <w:spacing w:line="360" w:lineRule="auto"/>
        <w:jc w:val="both"/>
      </w:pPr>
    </w:p>
    <w:p w:rsidR="003B0640" w:rsidRPr="00FA667B" w:rsidRDefault="003B0640" w:rsidP="00FA667B">
      <w:pPr>
        <w:spacing w:line="360" w:lineRule="auto"/>
        <w:jc w:val="both"/>
        <w:rPr>
          <w:b/>
          <w:u w:val="single"/>
        </w:rPr>
      </w:pPr>
    </w:p>
    <w:p w:rsidR="003B0640" w:rsidRPr="00FA667B" w:rsidRDefault="003B0640" w:rsidP="00FA667B">
      <w:pPr>
        <w:spacing w:line="360" w:lineRule="auto"/>
        <w:jc w:val="both"/>
        <w:rPr>
          <w:b/>
          <w:u w:val="single"/>
        </w:rPr>
      </w:pPr>
    </w:p>
    <w:p w:rsidR="00FA667B" w:rsidRDefault="00FA667B" w:rsidP="00FA667B">
      <w:pPr>
        <w:spacing w:line="360" w:lineRule="auto"/>
        <w:jc w:val="both"/>
        <w:rPr>
          <w:b/>
          <w:u w:val="single"/>
        </w:rPr>
      </w:pPr>
    </w:p>
    <w:p w:rsidR="00FA667B" w:rsidRDefault="00FA667B" w:rsidP="00FA667B">
      <w:pPr>
        <w:spacing w:line="360" w:lineRule="auto"/>
        <w:jc w:val="both"/>
        <w:rPr>
          <w:b/>
          <w:u w:val="single"/>
        </w:rPr>
      </w:pPr>
    </w:p>
    <w:p w:rsidR="00F43995" w:rsidRDefault="00F43995" w:rsidP="00FA667B">
      <w:pPr>
        <w:spacing w:line="360" w:lineRule="auto"/>
        <w:jc w:val="both"/>
        <w:rPr>
          <w:b/>
          <w:u w:val="single"/>
        </w:rPr>
      </w:pPr>
    </w:p>
    <w:p w:rsidR="00B753C7" w:rsidRDefault="00B753C7" w:rsidP="00FA667B">
      <w:pPr>
        <w:spacing w:line="360" w:lineRule="auto"/>
        <w:jc w:val="both"/>
        <w:rPr>
          <w:b/>
          <w:u w:val="single"/>
        </w:rPr>
      </w:pPr>
    </w:p>
    <w:p w:rsidR="003744AD" w:rsidRDefault="003744AD" w:rsidP="00FA667B">
      <w:pPr>
        <w:spacing w:line="360" w:lineRule="auto"/>
        <w:jc w:val="both"/>
        <w:rPr>
          <w:b/>
          <w:u w:val="single"/>
        </w:rPr>
      </w:pPr>
    </w:p>
    <w:p w:rsidR="00C925F5" w:rsidRDefault="00C925F5" w:rsidP="00FA667B">
      <w:pPr>
        <w:spacing w:line="360" w:lineRule="auto"/>
        <w:jc w:val="both"/>
        <w:rPr>
          <w:b/>
          <w:u w:val="single"/>
        </w:rPr>
      </w:pPr>
    </w:p>
    <w:p w:rsidR="002100F7" w:rsidRDefault="002100F7" w:rsidP="00FA667B">
      <w:pPr>
        <w:spacing w:line="360" w:lineRule="auto"/>
        <w:jc w:val="both"/>
        <w:rPr>
          <w:b/>
          <w:u w:val="single"/>
        </w:rPr>
      </w:pPr>
    </w:p>
    <w:p w:rsidR="006002F1" w:rsidRPr="00FA667B" w:rsidRDefault="006002F1" w:rsidP="00FA667B">
      <w:pPr>
        <w:spacing w:line="360" w:lineRule="auto"/>
        <w:jc w:val="both"/>
        <w:rPr>
          <w:b/>
          <w:u w:val="single"/>
        </w:rPr>
      </w:pPr>
      <w:r w:rsidRPr="00FA667B">
        <w:rPr>
          <w:b/>
          <w:u w:val="single"/>
        </w:rPr>
        <w:lastRenderedPageBreak/>
        <w:t>1.Úvod</w:t>
      </w:r>
    </w:p>
    <w:p w:rsidR="00CA6AE5" w:rsidRDefault="006002F1" w:rsidP="00FA667B">
      <w:pPr>
        <w:spacing w:line="360" w:lineRule="auto"/>
        <w:jc w:val="both"/>
      </w:pPr>
      <w:r w:rsidRPr="00FA667B">
        <w:t>Primární nádory slinivky břišní mo</w:t>
      </w:r>
      <w:r w:rsidR="00CA6AE5">
        <w:t>hou vycházet z exokrinní nebo endo</w:t>
      </w:r>
      <w:r w:rsidRPr="00FA667B">
        <w:t>kr</w:t>
      </w:r>
      <w:r w:rsidR="00CA6AE5">
        <w:t>inní části pankreatu</w:t>
      </w:r>
      <w:r w:rsidRPr="00FA667B">
        <w:t xml:space="preserve">. </w:t>
      </w:r>
    </w:p>
    <w:p w:rsidR="00CA6AE5" w:rsidRDefault="00C66FDA" w:rsidP="00FA667B">
      <w:pPr>
        <w:spacing w:line="360" w:lineRule="auto"/>
        <w:jc w:val="both"/>
      </w:pPr>
      <w:r>
        <w:t>Do</w:t>
      </w:r>
      <w:r w:rsidR="00CA6AE5" w:rsidRPr="00FA667B">
        <w:t xml:space="preserve"> skupin</w:t>
      </w:r>
      <w:r>
        <w:t>y</w:t>
      </w:r>
      <w:r w:rsidR="00CA6AE5" w:rsidRPr="00FA667B">
        <w:t xml:space="preserve"> nádorů vycházejících z exokrinn</w:t>
      </w:r>
      <w:r w:rsidR="007657CD">
        <w:t xml:space="preserve">í části pankreatu </w:t>
      </w:r>
      <w:r>
        <w:t xml:space="preserve">řadíme </w:t>
      </w:r>
      <w:r w:rsidR="00CA6AE5" w:rsidRPr="00FA667B">
        <w:t>adenokarc</w:t>
      </w:r>
      <w:r w:rsidR="007657CD">
        <w:t>inom a cystické nádory</w:t>
      </w:r>
      <w:r w:rsidR="00CA6AE5" w:rsidRPr="00FA667B">
        <w:t>.</w:t>
      </w:r>
      <w:r w:rsidR="007657CD">
        <w:t xml:space="preserve"> </w:t>
      </w:r>
      <w:r>
        <w:t xml:space="preserve">Duktální adenokarcinom má největší zastoupení všech maligních lézí. </w:t>
      </w:r>
      <w:r w:rsidR="007657CD" w:rsidRPr="00FA667B">
        <w:t>Mezi hlavní představitele</w:t>
      </w:r>
      <w:r w:rsidR="007657CD">
        <w:t xml:space="preserve"> cystických lézí</w:t>
      </w:r>
      <w:r w:rsidR="007657CD" w:rsidRPr="00FA667B">
        <w:t xml:space="preserve"> řadíme zejména serózní cystadenom, mucinózní cystický adenom, solidní pseudopapilární tumor a intraduktální papilární mucinózní neoplazii. Tyto cystické léze mají maligní potenciál, proto musíme zvažovat indikaci k chirurgické léčbě. Mezi exokrinní nádory pankreatu s maligním potenciálem patří cystický duktální adenokarcinom, cystadenokarcinom, mucinózní cystadenokarcinom, karcinom z acinárních buněk.</w:t>
      </w:r>
    </w:p>
    <w:p w:rsidR="00CA6AE5" w:rsidRDefault="006002F1" w:rsidP="00FA667B">
      <w:pPr>
        <w:spacing w:line="360" w:lineRule="auto"/>
        <w:jc w:val="both"/>
      </w:pPr>
      <w:r w:rsidRPr="00FA667B">
        <w:t xml:space="preserve">Nádory endokrinní části pankreatu jsou </w:t>
      </w:r>
      <w:r w:rsidR="00CA7B8D" w:rsidRPr="00FA667B">
        <w:t xml:space="preserve">většinou </w:t>
      </w:r>
      <w:r w:rsidRPr="00FA667B">
        <w:t>hormonálně aktivní. Klinické příznaky a symptomy vychází z příslušného hormonu, který pro</w:t>
      </w:r>
      <w:r w:rsidR="00CA7B8D" w:rsidRPr="00FA667B">
        <w:t>dukují. Tyto léze pankreatu mívají</w:t>
      </w:r>
      <w:r w:rsidRPr="00FA667B">
        <w:t xml:space="preserve"> maligní potenciál. Mezi hormonálně aktivní nádory pankreatu patří např. inzulinom, gl</w:t>
      </w:r>
      <w:r w:rsidR="00CA6AE5">
        <w:t>ukagonom, somatostatinom, gastri</w:t>
      </w:r>
      <w:r w:rsidRPr="00FA667B">
        <w:t xml:space="preserve">nom, vipom. </w:t>
      </w:r>
    </w:p>
    <w:p w:rsidR="006002F1" w:rsidRPr="00FA667B" w:rsidRDefault="00C66FDA" w:rsidP="00FA667B">
      <w:pPr>
        <w:spacing w:line="360" w:lineRule="auto"/>
        <w:jc w:val="both"/>
      </w:pPr>
      <w:r>
        <w:t>D</w:t>
      </w:r>
      <w:r w:rsidR="007657CD" w:rsidRPr="00FA667B">
        <w:t>uktální adenokarcinom</w:t>
      </w:r>
      <w:r>
        <w:t xml:space="preserve"> tvoří největší skupinu maligních lézí, je </w:t>
      </w:r>
      <w:r w:rsidR="007657CD" w:rsidRPr="00FA667B">
        <w:t>z větší části stěžením hep</w:t>
      </w:r>
      <w:r>
        <w:t xml:space="preserve">atobiliární chirurgie, a proto se v práci soustředíme hlavně jeho chirurgickou léčbu, </w:t>
      </w:r>
      <w:r w:rsidR="006002F1" w:rsidRPr="00FA667B">
        <w:t>komplikace a jejich řešení. [1,2]</w:t>
      </w:r>
    </w:p>
    <w:p w:rsidR="006002F1" w:rsidRDefault="006002F1" w:rsidP="00FA667B">
      <w:pPr>
        <w:spacing w:line="360" w:lineRule="auto"/>
        <w:jc w:val="both"/>
      </w:pPr>
    </w:p>
    <w:p w:rsidR="006002F1" w:rsidRPr="00FA667B" w:rsidRDefault="006002F1" w:rsidP="00FA667B">
      <w:pPr>
        <w:spacing w:line="360" w:lineRule="auto"/>
        <w:jc w:val="both"/>
        <w:rPr>
          <w:b/>
          <w:u w:val="single"/>
        </w:rPr>
      </w:pPr>
      <w:r w:rsidRPr="00FA667B">
        <w:rPr>
          <w:b/>
          <w:u w:val="single"/>
        </w:rPr>
        <w:t>1.1.Adenokarcinom pankreatu</w:t>
      </w:r>
    </w:p>
    <w:p w:rsidR="005455CB" w:rsidRPr="00FA667B" w:rsidRDefault="005455CB" w:rsidP="00FA667B">
      <w:pPr>
        <w:spacing w:line="360" w:lineRule="auto"/>
        <w:jc w:val="both"/>
        <w:rPr>
          <w:b/>
          <w:i/>
          <w:u w:val="single"/>
        </w:rPr>
      </w:pPr>
    </w:p>
    <w:p w:rsidR="006002F1" w:rsidRPr="00FA667B" w:rsidRDefault="006002F1" w:rsidP="00FA667B">
      <w:pPr>
        <w:spacing w:line="360" w:lineRule="auto"/>
        <w:jc w:val="both"/>
        <w:rPr>
          <w:b/>
          <w:i/>
          <w:u w:val="single"/>
        </w:rPr>
      </w:pPr>
      <w:r w:rsidRPr="00FA667B">
        <w:rPr>
          <w:b/>
          <w:i/>
          <w:u w:val="single"/>
        </w:rPr>
        <w:t>1.2.Incidence</w:t>
      </w:r>
    </w:p>
    <w:p w:rsidR="006002F1" w:rsidRPr="00FA667B" w:rsidRDefault="006002F1" w:rsidP="00FA667B">
      <w:pPr>
        <w:spacing w:line="360" w:lineRule="auto"/>
        <w:jc w:val="both"/>
      </w:pPr>
      <w:r w:rsidRPr="00FA667B">
        <w:t>Duktální ad</w:t>
      </w:r>
      <w:r w:rsidR="00F607E3">
        <w:t xml:space="preserve">enokarcinom pankreatu (PDAC) představuje až 90% všech maligních lézí a je </w:t>
      </w:r>
      <w:r w:rsidRPr="00FA667B">
        <w:t>nejčas</w:t>
      </w:r>
      <w:r w:rsidR="00F607E3">
        <w:t>tějším histologickým typem v</w:t>
      </w:r>
      <w:r w:rsidRPr="00FA667B">
        <w:t xml:space="preserve">ycházející z epitelu vývodných cest </w:t>
      </w:r>
      <w:r w:rsidR="00F607E3">
        <w:t>slinivky</w:t>
      </w:r>
      <w:r w:rsidRPr="00FA667B">
        <w:t>.</w:t>
      </w:r>
      <w:r w:rsidR="00F607E3">
        <w:t xml:space="preserve"> Nejčastější lokalizací je v </w:t>
      </w:r>
      <w:r w:rsidRPr="00FA667B">
        <w:t xml:space="preserve">75% - 85% </w:t>
      </w:r>
      <w:r w:rsidR="00F607E3">
        <w:t> hlava</w:t>
      </w:r>
      <w:r w:rsidRPr="00FA667B">
        <w:t xml:space="preserve"> slinivky a nebo processus uncinatus, 5-10% lézí postihuje tělo</w:t>
      </w:r>
      <w:r w:rsidR="000D4B5F">
        <w:t xml:space="preserve"> a </w:t>
      </w:r>
      <w:r w:rsidRPr="00FA667B">
        <w:t xml:space="preserve">10-15% nádorů postihuje kaudu pankreatu.[3] </w:t>
      </w:r>
    </w:p>
    <w:p w:rsidR="003D1912" w:rsidRDefault="006002F1" w:rsidP="00FA667B">
      <w:pPr>
        <w:spacing w:line="360" w:lineRule="auto"/>
        <w:jc w:val="both"/>
      </w:pPr>
      <w:r w:rsidRPr="00FA667B">
        <w:t xml:space="preserve">Incidence </w:t>
      </w:r>
      <w:r w:rsidR="000D4B5F">
        <w:t xml:space="preserve">karcinomu pankreatu </w:t>
      </w:r>
      <w:r w:rsidRPr="00FA667B">
        <w:t xml:space="preserve">dosahuje 20/100 000 obyvatel a má vzestupnou tendenci. Mortalita je 18,5/100 000 obyvatel. </w:t>
      </w:r>
      <w:r w:rsidR="00F554B8" w:rsidRPr="00FA667B">
        <w:t xml:space="preserve">PDAC </w:t>
      </w:r>
      <w:r w:rsidRPr="00FA667B">
        <w:t>zaujímá 4.místo v úmrtí na maligní onemocnění v ČR. PDAC patří mezi onemocnění s všeobecně špatnou prognózou. V době diagnózy onemocnění je pouze 15</w:t>
      </w:r>
      <w:r w:rsidRPr="00FA667B">
        <w:rPr>
          <w:noProof/>
        </w:rPr>
        <w:t xml:space="preserve">% nemocných resekabilních. Medián </w:t>
      </w:r>
      <w:r w:rsidRPr="00FA667B">
        <w:t>přežití u nemocných, kteří podstoupili radikální chirurgický výkon se pohybuje mezi 13-21 měsíci. U 30-40% nemocných je diagnostikováno lokálně pokročilé neresekabilní onemocnění. U téměř 40% nemocných je zjištěno metastazující onemocnění</w:t>
      </w:r>
      <w:r w:rsidR="003D10A8" w:rsidRPr="00FA667B">
        <w:t>. 5-ti leté přežití u n</w:t>
      </w:r>
      <w:r w:rsidRPr="00FA667B">
        <w:t>e</w:t>
      </w:r>
      <w:r w:rsidR="003D10A8" w:rsidRPr="00FA667B">
        <w:t>re</w:t>
      </w:r>
      <w:r w:rsidRPr="00FA667B">
        <w:t>sekabilních nádorů pankreatu je méně než 5%. Medián  přežití u neléčeného metastazujícího onemocnění je 2-3 měsíce. [4]</w:t>
      </w:r>
    </w:p>
    <w:p w:rsidR="002100F7" w:rsidRDefault="002100F7" w:rsidP="00FA667B">
      <w:pPr>
        <w:spacing w:line="360" w:lineRule="auto"/>
        <w:jc w:val="both"/>
        <w:rPr>
          <w:b/>
          <w:i/>
          <w:u w:val="single"/>
        </w:rPr>
      </w:pPr>
    </w:p>
    <w:p w:rsidR="002100F7" w:rsidRDefault="002100F7" w:rsidP="00FA667B">
      <w:pPr>
        <w:spacing w:line="360" w:lineRule="auto"/>
        <w:jc w:val="both"/>
        <w:rPr>
          <w:b/>
          <w:i/>
          <w:u w:val="single"/>
        </w:rPr>
      </w:pPr>
    </w:p>
    <w:p w:rsidR="006002F1" w:rsidRPr="00FA667B" w:rsidRDefault="006002F1" w:rsidP="00FA667B">
      <w:pPr>
        <w:spacing w:line="360" w:lineRule="auto"/>
        <w:jc w:val="both"/>
      </w:pPr>
      <w:r w:rsidRPr="00FA667B">
        <w:rPr>
          <w:b/>
          <w:i/>
          <w:u w:val="single"/>
        </w:rPr>
        <w:lastRenderedPageBreak/>
        <w:t>1.3.Etiologie</w:t>
      </w:r>
    </w:p>
    <w:p w:rsidR="006002F1" w:rsidRPr="00FA667B" w:rsidRDefault="000D4B5F" w:rsidP="00FA667B">
      <w:pPr>
        <w:spacing w:line="360" w:lineRule="auto"/>
        <w:jc w:val="both"/>
      </w:pPr>
      <w:r>
        <w:t>Etiologie PDAC jako u jiných maligních onemocnění není známá</w:t>
      </w:r>
      <w:r w:rsidR="006002F1" w:rsidRPr="00FA667B">
        <w:t>. Mezi hlavní rizikové faktory patří alkohol, kouření, obezita, mužské p</w:t>
      </w:r>
      <w:r w:rsidR="00F554B8" w:rsidRPr="00FA667B">
        <w:t>ohlaví, chronická pankreatitida a</w:t>
      </w:r>
      <w:r w:rsidR="006002F1" w:rsidRPr="00FA667B">
        <w:t xml:space="preserve"> diabetes mellitus. Studie z posledních let ukazují, že kouření má významný vliv na vznik PDAC</w:t>
      </w:r>
      <w:r w:rsidR="0079766F" w:rsidRPr="00FA667B">
        <w:t xml:space="preserve"> až v 75% případech</w:t>
      </w:r>
      <w:r w:rsidR="006002F1" w:rsidRPr="00FA667B">
        <w:t>. Riziko postupně klesá po dobu 10-ti let od ukončení kouření. Negativní vliv má také pasivní kouření, které se může až v 50% podílet na vzniku PDAC. Riziko vzniku PDAC stoupá s věkem. Nejčastěji, v </w:t>
      </w:r>
      <w:r w:rsidR="0079766F" w:rsidRPr="00FA667B">
        <w:t>80%,  se vyskytuje mezi 60.-80.-</w:t>
      </w:r>
      <w:r w:rsidR="006002F1" w:rsidRPr="00FA667B">
        <w:t>tým rokem života. M</w:t>
      </w:r>
      <w:r w:rsidR="0079766F" w:rsidRPr="00FA667B">
        <w:t>éně často, asi jen v 10% případech</w:t>
      </w:r>
      <w:r w:rsidR="006002F1" w:rsidRPr="00FA667B">
        <w:t xml:space="preserve"> se AP může vyskytnout i mezi 40.-50.</w:t>
      </w:r>
      <w:r w:rsidR="0079766F" w:rsidRPr="00FA667B">
        <w:t xml:space="preserve">-tým </w:t>
      </w:r>
      <w:r w:rsidR="006002F1" w:rsidRPr="00FA667B">
        <w:t xml:space="preserve">rokem života. Častější </w:t>
      </w:r>
      <w:r>
        <w:t>výskyt PDAC je u mužů než u žen v poměru 1,3:1</w:t>
      </w:r>
      <w:r w:rsidR="006002F1" w:rsidRPr="00FA667B">
        <w:t xml:space="preserve"> [5] </w:t>
      </w:r>
    </w:p>
    <w:p w:rsidR="006002F1" w:rsidRPr="00FA667B" w:rsidRDefault="000D4B5F" w:rsidP="00FA667B">
      <w:pPr>
        <w:spacing w:line="360" w:lineRule="auto"/>
        <w:jc w:val="both"/>
      </w:pPr>
      <w:r>
        <w:t xml:space="preserve">Alkohol </w:t>
      </w:r>
      <w:r w:rsidR="006002F1" w:rsidRPr="00FA667B">
        <w:t>patří mezi hlavní rizikový faktor, i když má svůj podíl na vniku PDAC. Výsledky met</w:t>
      </w:r>
      <w:r w:rsidR="00955B30" w:rsidRPr="00FA667B">
        <w:t xml:space="preserve">a </w:t>
      </w:r>
      <w:r w:rsidR="006002F1" w:rsidRPr="00FA667B">
        <w:t>analýzy ukazují, že příje</w:t>
      </w:r>
      <w:r w:rsidR="00955B30" w:rsidRPr="00FA667B">
        <w:t xml:space="preserve">m více jak 30g alkoholu za den, </w:t>
      </w:r>
      <w:r w:rsidR="006002F1" w:rsidRPr="00FA667B">
        <w:t xml:space="preserve">zvyšuje riziko vzniku PDAC o 20%. [6] </w:t>
      </w:r>
    </w:p>
    <w:p w:rsidR="006002F1" w:rsidRPr="00FA667B" w:rsidRDefault="006002F1" w:rsidP="00FA667B">
      <w:pPr>
        <w:spacing w:line="360" w:lineRule="auto"/>
        <w:jc w:val="both"/>
      </w:pPr>
      <w:r w:rsidRPr="00FA667B">
        <w:t xml:space="preserve">Obezita, respektive abdominální typ obezity a BMI nad 35, je významným rizikovým faktorem, který se podílí na vzniku PDAC. Tento rizikový faktor se ukazuje významný zejména v Severní Americe, Evropě a Asii, což je také přímý ukazatel zvýšeného výskytu PDAC v těchto zemích. [7] </w:t>
      </w:r>
    </w:p>
    <w:p w:rsidR="006002F1" w:rsidRPr="00FA667B" w:rsidRDefault="00955B30" w:rsidP="00FA667B">
      <w:pPr>
        <w:spacing w:line="360" w:lineRule="auto"/>
        <w:jc w:val="both"/>
      </w:pPr>
      <w:r w:rsidRPr="00FA667B">
        <w:t xml:space="preserve">Akutní pankreatitida nebo </w:t>
      </w:r>
      <w:r w:rsidR="006002F1" w:rsidRPr="00FA667B">
        <w:t>opakované exacerbace chronické pankreatitidy vedou k postupné destrukci jak endokrinní tak i exokrinní funkce pankreatu. V důsledku toho může dojít k malignímu zvratu buněk a vzniku PDAC. V terénu chronické pankreatitidy</w:t>
      </w:r>
      <w:r w:rsidR="006002F1" w:rsidRPr="00FA667B">
        <w:rPr>
          <w:noProof/>
        </w:rPr>
        <w:t xml:space="preserve"> je velmi obtížná diagnostika PDAC</w:t>
      </w:r>
      <w:r w:rsidR="006002F1" w:rsidRPr="00FA667B">
        <w:t xml:space="preserve">. Asi u 5% nemocných s chronickou pankreatitidou v průběhu 20-ti let vzniká PDAC. [8] </w:t>
      </w:r>
    </w:p>
    <w:p w:rsidR="006002F1" w:rsidRPr="00FA667B" w:rsidRDefault="00786635" w:rsidP="00FA667B">
      <w:pPr>
        <w:spacing w:line="360" w:lineRule="auto"/>
        <w:jc w:val="both"/>
      </w:pPr>
      <w:r>
        <w:t>Přibližně v 5-10% PDAC může mít</w:t>
      </w:r>
      <w:r w:rsidR="006002F1" w:rsidRPr="00FA667B">
        <w:t xml:space="preserve"> </w:t>
      </w:r>
      <w:r w:rsidR="00E15134">
        <w:t>hereditární dispozici</w:t>
      </w:r>
      <w:r w:rsidR="006002F1" w:rsidRPr="00FA667B">
        <w:t xml:space="preserve">, </w:t>
      </w:r>
      <w:r w:rsidR="00955B30" w:rsidRPr="00FA667B">
        <w:t>zvýšený výskyt je například u</w:t>
      </w:r>
      <w:r w:rsidR="006002F1" w:rsidRPr="00FA667B">
        <w:t xml:space="preserve"> </w:t>
      </w:r>
      <w:r w:rsidR="00955B30" w:rsidRPr="00FA667B">
        <w:t>Peutz-Jeghers syndromu, Lynchova</w:t>
      </w:r>
      <w:r w:rsidR="006002F1" w:rsidRPr="00FA667B">
        <w:t xml:space="preserve"> syndrom</w:t>
      </w:r>
      <w:r w:rsidR="00955B30" w:rsidRPr="00FA667B">
        <w:t>u</w:t>
      </w:r>
      <w:r w:rsidR="006002F1" w:rsidRPr="00FA667B">
        <w:t xml:space="preserve">, </w:t>
      </w:r>
      <w:r w:rsidR="00955B30" w:rsidRPr="00FA667B">
        <w:t>Hereditary</w:t>
      </w:r>
      <w:r w:rsidR="006002F1" w:rsidRPr="00FA667B">
        <w:t xml:space="preserve"> </w:t>
      </w:r>
      <w:r w:rsidR="00955B30" w:rsidRPr="00FA667B">
        <w:t>breast-ovarian cancer syndromu, Li-Fraumenova</w:t>
      </w:r>
      <w:r w:rsidR="006002F1" w:rsidRPr="00FA667B">
        <w:t xml:space="preserve"> syndrom</w:t>
      </w:r>
      <w:r w:rsidR="00955B30" w:rsidRPr="00FA667B">
        <w:t>u</w:t>
      </w:r>
      <w:r w:rsidR="006002F1" w:rsidRPr="00FA667B">
        <w:t xml:space="preserve">, </w:t>
      </w:r>
      <w:r w:rsidR="00955B30" w:rsidRPr="00FA667B">
        <w:t>Familialní adenomatózní polypózy</w:t>
      </w:r>
      <w:r w:rsidR="006002F1" w:rsidRPr="00FA667B">
        <w:t>, hereditární pankreatitid</w:t>
      </w:r>
      <w:r w:rsidR="00955B30" w:rsidRPr="00FA667B">
        <w:t>y.</w:t>
      </w:r>
      <w:r w:rsidR="006002F1" w:rsidRPr="00FA667B">
        <w:t xml:space="preserve"> Nemocní, jejichž příbuzní v první linii měli PDAC, mají až 2x vyšší riziko vzniku PDAC. Také u některých geneticky podmíněných syndromů způsobených mutacemi genů, jako je např. PRSS1, K-ras, p16, p53, BRCA2, je zvýšený výskyt PDAC. [9,10] </w:t>
      </w:r>
    </w:p>
    <w:p w:rsidR="006002F1" w:rsidRPr="00FA667B" w:rsidRDefault="006002F1" w:rsidP="00FA667B">
      <w:pPr>
        <w:spacing w:line="360" w:lineRule="auto"/>
        <w:jc w:val="both"/>
      </w:pPr>
      <w:r w:rsidRPr="00FA667B">
        <w:t xml:space="preserve">Diabetes mellitus </w:t>
      </w:r>
      <w:r w:rsidR="006E6123" w:rsidRPr="00FA667B">
        <w:t xml:space="preserve">(DM) </w:t>
      </w:r>
      <w:r w:rsidRPr="00FA667B">
        <w:t>a jeho podíl na vzniku PDAC je v poslední době velmi diskutované téma. Příčina vzniku je nedostatečná funkce pankreatických β-buněk a inzulinová rezistence. DM zvyšuje až 1,8 násobně riziko vzniku PDAC a až</w:t>
      </w:r>
      <w:r w:rsidR="00150EF8" w:rsidRPr="00FA667B">
        <w:t xml:space="preserve"> u 8% diabetiků II.typu se vyskytuje adenokarcinom</w:t>
      </w:r>
      <w:r w:rsidRPr="00FA667B">
        <w:t xml:space="preserve"> pankreatu. U nemocných nad 50 let věku s nově diagnostikovaným diabetem je předpoklad, že v 1% se do 5 let u těchto nemocných objeví adenokarcinom pankreatu. [73] </w:t>
      </w:r>
    </w:p>
    <w:p w:rsidR="006002F1" w:rsidRPr="00FA667B" w:rsidRDefault="006002F1" w:rsidP="00FA667B">
      <w:pPr>
        <w:spacing w:line="360" w:lineRule="auto"/>
        <w:jc w:val="both"/>
        <w:rPr>
          <w:color w:val="FF0000"/>
        </w:rPr>
      </w:pPr>
      <w:r w:rsidRPr="00FA667B">
        <w:t xml:space="preserve">Nemocní s DM I.typu mají menší pravděpodobnost vzniku PDAC než nemocní s DM II.typu. </w:t>
      </w:r>
      <w:r w:rsidR="00CF431D" w:rsidRPr="00FA667B">
        <w:t>Podle některých studií v oboru gastroenterologie se dá předpokládat až u</w:t>
      </w:r>
      <w:r w:rsidRPr="00FA667B">
        <w:t xml:space="preserve"> 85% nemocných, kteří </w:t>
      </w:r>
      <w:r w:rsidRPr="00FA667B">
        <w:lastRenderedPageBreak/>
        <w:t>mají zvýšené hladiny glykemie</w:t>
      </w:r>
      <w:r w:rsidR="00550981" w:rsidRPr="00FA667B">
        <w:t xml:space="preserve"> nalačno, </w:t>
      </w:r>
      <w:r w:rsidRPr="00FA667B">
        <w:t xml:space="preserve">diabetes rezistentní na inzulin </w:t>
      </w:r>
      <w:r w:rsidR="00CF431D" w:rsidRPr="00FA667B">
        <w:t>a váhový úbytek, výskyt PDAC</w:t>
      </w:r>
      <w:r w:rsidRPr="00FA667B">
        <w:t xml:space="preserve"> do 36</w:t>
      </w:r>
      <w:r w:rsidR="00CF431D" w:rsidRPr="00FA667B">
        <w:t xml:space="preserve"> měsíců od vzniku těchto příznaků</w:t>
      </w:r>
      <w:r w:rsidRPr="00FA667B">
        <w:t>. Nově se tento typ diabetu nazývá nádorem indukovaný</w:t>
      </w:r>
      <w:r w:rsidR="002100F7">
        <w:t xml:space="preserve"> diabetes nebo také diabetes 3.C</w:t>
      </w:r>
      <w:r w:rsidRPr="00FA667B">
        <w:t xml:space="preserve"> typu. [11]</w:t>
      </w:r>
    </w:p>
    <w:p w:rsidR="00524E66" w:rsidRPr="00FA667B" w:rsidRDefault="00524E66" w:rsidP="00FA667B">
      <w:pPr>
        <w:spacing w:line="360" w:lineRule="auto"/>
        <w:jc w:val="both"/>
        <w:rPr>
          <w:b/>
          <w:i/>
          <w:u w:val="single"/>
        </w:rPr>
      </w:pPr>
    </w:p>
    <w:p w:rsidR="006002F1" w:rsidRPr="00FA667B" w:rsidRDefault="006002F1" w:rsidP="00FA667B">
      <w:pPr>
        <w:spacing w:line="360" w:lineRule="auto"/>
        <w:jc w:val="both"/>
        <w:rPr>
          <w:b/>
          <w:i/>
          <w:u w:val="single"/>
        </w:rPr>
      </w:pPr>
      <w:r w:rsidRPr="00FA667B">
        <w:rPr>
          <w:b/>
          <w:i/>
          <w:u w:val="single"/>
        </w:rPr>
        <w:t xml:space="preserve">1.4.Diagnostika </w:t>
      </w:r>
    </w:p>
    <w:p w:rsidR="006002F1" w:rsidRPr="00FA667B" w:rsidRDefault="006002F1" w:rsidP="00FA667B">
      <w:pPr>
        <w:spacing w:line="360" w:lineRule="auto"/>
        <w:jc w:val="both"/>
      </w:pPr>
      <w:r w:rsidRPr="00FA667B">
        <w:t xml:space="preserve">Klinické příznaky mohou být až do pozdních stádií </w:t>
      </w:r>
      <w:r w:rsidRPr="00FA667B">
        <w:rPr>
          <w:bCs/>
        </w:rPr>
        <w:t>nespecifické. Odvíjí se od lokalizace nádoru. Nejčastěji se setkáváme s bezbolestným obstrukčním ikterem při lokalizaci nádoru v oblasti hlavy pankreatu. Dalším příznakem může být z</w:t>
      </w:r>
      <w:r w:rsidRPr="00FA667B">
        <w:t>vracení při neprůchodnosti a obstrukci duodena, váhový</w:t>
      </w:r>
      <w:r w:rsidR="00D33C3C" w:rsidRPr="00FA667B">
        <w:t xml:space="preserve"> úbytek, nechutenství, anorexie nebo</w:t>
      </w:r>
      <w:r w:rsidRPr="00FA667B">
        <w:t xml:space="preserve"> paraneoplastická tromboflebitida žil dolních končetin. V pozdních stadiích onemocnění se objevují </w:t>
      </w:r>
      <w:r w:rsidRPr="00FA667B">
        <w:rPr>
          <w:bCs/>
        </w:rPr>
        <w:t>bolesti</w:t>
      </w:r>
      <w:r w:rsidRPr="00FA667B">
        <w:t xml:space="preserve"> zad. Při prorůstání nádoru do vena portae se objevuje se vznikem jícnových varixů nebo hemoragický </w:t>
      </w:r>
      <w:hyperlink r:id="rId8" w:tooltip="Ascites" w:history="1">
        <w:r w:rsidRPr="00FA667B">
          <w:rPr>
            <w:rStyle w:val="Hypertextovodkaz"/>
            <w:color w:val="auto"/>
            <w:u w:val="none"/>
          </w:rPr>
          <w:t>ascites</w:t>
        </w:r>
      </w:hyperlink>
      <w:r w:rsidRPr="00FA667B">
        <w:t xml:space="preserve"> při rozsevu po peritoneu. [4] </w:t>
      </w:r>
    </w:p>
    <w:p w:rsidR="006002F1" w:rsidRPr="00FA667B" w:rsidRDefault="006002F1" w:rsidP="00FA667B">
      <w:pPr>
        <w:spacing w:line="360" w:lineRule="auto"/>
        <w:jc w:val="both"/>
        <w:rPr>
          <w:rStyle w:val="tlid-translation"/>
        </w:rPr>
      </w:pPr>
      <w:r w:rsidRPr="00FA667B">
        <w:t>Nejvhodnějším onkomarkerem pro diagnostiku PDAC je Ca 19-9</w:t>
      </w:r>
      <w:r w:rsidR="005D4C9F" w:rsidRPr="00FA667B">
        <w:t>. J</w:t>
      </w:r>
      <w:r w:rsidR="00B27002" w:rsidRPr="00FA667B">
        <w:t>eho obvyklá h</w:t>
      </w:r>
      <w:r w:rsidR="005D4C9F" w:rsidRPr="00FA667B">
        <w:t xml:space="preserve">odnota cut-off je kolem 35 kU/l. Pokud je </w:t>
      </w:r>
      <w:r w:rsidR="009041B2" w:rsidRPr="00FA667B">
        <w:t xml:space="preserve">referenční </w:t>
      </w:r>
      <w:r w:rsidR="005D4C9F" w:rsidRPr="00FA667B">
        <w:t xml:space="preserve">hodnota Ca 19-9 do 120 kU/l, můžeme předpokládat, že se jedná o resekabilní nádor. </w:t>
      </w:r>
      <w:r w:rsidR="009041B2" w:rsidRPr="00FA667B">
        <w:t>H</w:t>
      </w:r>
      <w:r w:rsidR="005D4C9F" w:rsidRPr="00FA667B">
        <w:t>odnota Ca 19-9 nad 500 kU/l</w:t>
      </w:r>
      <w:r w:rsidR="009041B2" w:rsidRPr="00FA667B">
        <w:t xml:space="preserve"> je špatným prognostickým faktorem často spojený s přítomnosti jaterních metastáz. Při hodnotách Ca 19- nad 1000 kU/l svědčí pro lymfatické nebo hematogenní šíření nádoru. </w:t>
      </w:r>
      <w:r w:rsidRPr="00FA667B">
        <w:t xml:space="preserve">Senzitivita </w:t>
      </w:r>
      <w:r w:rsidR="00D33C3C" w:rsidRPr="00FA667B">
        <w:t xml:space="preserve">Ca 19-9 </w:t>
      </w:r>
      <w:r w:rsidRPr="00FA667B">
        <w:t xml:space="preserve">v diagnostice PDAC </w:t>
      </w:r>
      <w:r w:rsidR="009041B2" w:rsidRPr="00FA667B">
        <w:t xml:space="preserve">se pohybuje </w:t>
      </w:r>
      <w:r w:rsidR="009041B2" w:rsidRPr="00FA667B">
        <w:rPr>
          <w:rStyle w:val="tlid-translation"/>
        </w:rPr>
        <w:t>okolo</w:t>
      </w:r>
      <w:r w:rsidRPr="00FA667B">
        <w:rPr>
          <w:rStyle w:val="tlid-translation"/>
        </w:rPr>
        <w:t xml:space="preserve"> 81% (rozmezí 69–93%) a specificita </w:t>
      </w:r>
      <w:r w:rsidR="009041B2" w:rsidRPr="00FA667B">
        <w:rPr>
          <w:rStyle w:val="tlid-translation"/>
        </w:rPr>
        <w:t xml:space="preserve">okolo </w:t>
      </w:r>
      <w:r w:rsidRPr="00FA667B">
        <w:rPr>
          <w:rStyle w:val="tlid-translation"/>
        </w:rPr>
        <w:t>91% (rozmezí 76–99%). [12]  Výše sérové hladiny Ca 19-9 předpovídá resekabilitu, stadium onemocnění a přežití. [13] Mezi další nespecifické onkomarkery m</w:t>
      </w:r>
      <w:r w:rsidR="00E15134">
        <w:rPr>
          <w:rStyle w:val="tlid-translation"/>
        </w:rPr>
        <w:t>ůžeme řadit CEA, CYFRA 21-1, C</w:t>
      </w:r>
      <w:r w:rsidR="00595DC3">
        <w:rPr>
          <w:rStyle w:val="tlid-translation"/>
        </w:rPr>
        <w:t>a</w:t>
      </w:r>
      <w:r w:rsidR="00E15134">
        <w:rPr>
          <w:rStyle w:val="tlid-translation"/>
        </w:rPr>
        <w:t xml:space="preserve"> </w:t>
      </w:r>
      <w:r w:rsidRPr="00FA667B">
        <w:rPr>
          <w:rStyle w:val="tlid-translation"/>
        </w:rPr>
        <w:t xml:space="preserve">15-3. [14] </w:t>
      </w:r>
    </w:p>
    <w:p w:rsidR="006002F1" w:rsidRPr="00FA667B" w:rsidRDefault="006002F1" w:rsidP="00FA667B">
      <w:pPr>
        <w:spacing w:line="360" w:lineRule="auto"/>
        <w:jc w:val="both"/>
        <w:rPr>
          <w:rStyle w:val="tlid-translation"/>
        </w:rPr>
      </w:pPr>
      <w:r w:rsidRPr="00FA667B">
        <w:rPr>
          <w:rStyle w:val="tlid-translation"/>
        </w:rPr>
        <w:t>Ze zobrazovacích metod se v rámci stagingu onemocnění na prvním místě uplatňuje CT vyšetření. Standardní CT protokol by měl zobrazovat 3mm skeny, zachytit pozdní arteriální, žilní a parenchymovou fázi</w:t>
      </w:r>
      <w:r w:rsidR="00D33C3C" w:rsidRPr="00FA667B">
        <w:rPr>
          <w:rStyle w:val="tlid-translation"/>
        </w:rPr>
        <w:t>. Tato zobrazovací metoda nám p</w:t>
      </w:r>
      <w:r w:rsidRPr="00FA667B">
        <w:rPr>
          <w:rStyle w:val="tlid-translation"/>
        </w:rPr>
        <w:t>oskytne informac</w:t>
      </w:r>
      <w:r w:rsidR="00D33C3C" w:rsidRPr="00FA667B">
        <w:rPr>
          <w:rStyle w:val="tlid-translation"/>
        </w:rPr>
        <w:t>i</w:t>
      </w:r>
      <w:r w:rsidRPr="00FA667B">
        <w:rPr>
          <w:rStyle w:val="tlid-translation"/>
        </w:rPr>
        <w:t xml:space="preserve"> o velikosti a uložení samotného ložiska, které se na CT zobrazuje jako </w:t>
      </w:r>
      <w:r w:rsidRPr="00FA667B">
        <w:rPr>
          <w:noProof/>
        </w:rPr>
        <w:t>neostře ohraničená hypodenzní</w:t>
      </w:r>
      <w:r w:rsidRPr="00FA667B">
        <w:rPr>
          <w:rStyle w:val="tlid-translation"/>
        </w:rPr>
        <w:t xml:space="preserve"> tkáň.  </w:t>
      </w:r>
      <w:r w:rsidR="00D33C3C" w:rsidRPr="00FA667B">
        <w:rPr>
          <w:rStyle w:val="tlid-translation"/>
        </w:rPr>
        <w:t>Ozřejmí nám lokální</w:t>
      </w:r>
      <w:r w:rsidRPr="00FA667B">
        <w:rPr>
          <w:rStyle w:val="tlid-translation"/>
        </w:rPr>
        <w:t xml:space="preserve"> šíření tumoru, infiltraci okol</w:t>
      </w:r>
      <w:r w:rsidR="00181148" w:rsidRPr="00FA667B">
        <w:rPr>
          <w:rStyle w:val="tlid-translation"/>
        </w:rPr>
        <w:t>í, postižení cévních struktur (</w:t>
      </w:r>
      <w:r w:rsidRPr="00FA667B">
        <w:rPr>
          <w:rStyle w:val="tlid-translation"/>
        </w:rPr>
        <w:t>zejména a.hepatica com</w:t>
      </w:r>
      <w:r w:rsidR="00E15134">
        <w:rPr>
          <w:rStyle w:val="tlid-translation"/>
        </w:rPr>
        <w:t>m</w:t>
      </w:r>
      <w:r w:rsidRPr="00FA667B">
        <w:rPr>
          <w:rStyle w:val="tlid-translation"/>
        </w:rPr>
        <w:t xml:space="preserve">unis, truncus coeliacus, v. portae), postižení extrapankreatických lymfatických uzlin nebo </w:t>
      </w:r>
      <w:r w:rsidR="00D33C3C" w:rsidRPr="00FA667B">
        <w:rPr>
          <w:rStyle w:val="tlid-translation"/>
        </w:rPr>
        <w:t xml:space="preserve">výskyt </w:t>
      </w:r>
      <w:r w:rsidRPr="00FA667B">
        <w:rPr>
          <w:rStyle w:val="tlid-translation"/>
        </w:rPr>
        <w:t xml:space="preserve">vzdálených metastázách. Senzitiva CT </w:t>
      </w:r>
      <w:r w:rsidR="00181148" w:rsidRPr="00FA667B">
        <w:rPr>
          <w:rStyle w:val="tlid-translation"/>
        </w:rPr>
        <w:t>vyšetře</w:t>
      </w:r>
      <w:r w:rsidRPr="00FA667B">
        <w:rPr>
          <w:rStyle w:val="tlid-translation"/>
        </w:rPr>
        <w:t>ní v rámci diagnostiky PDAC je 89-97%, u ložisek menších než 2cm senzitivita tohoto vyšetření klesá na 65-75%. CT vyšetření má nízkou senzitivitu 70% a specificitu 65% při diagnostice přítomnosti metastáz v lymfatických uzlinách nebo případné karcinomatózy. Pozitro</w:t>
      </w:r>
      <w:r w:rsidR="00595DC3">
        <w:rPr>
          <w:rStyle w:val="tlid-translation"/>
        </w:rPr>
        <w:t xml:space="preserve">nová emisní </w:t>
      </w:r>
      <w:r w:rsidR="00CE2804">
        <w:rPr>
          <w:rStyle w:val="tlid-translation"/>
        </w:rPr>
        <w:t>tomografie (PET/CT) nám poskytne</w:t>
      </w:r>
      <w:r w:rsidR="00595DC3">
        <w:rPr>
          <w:rStyle w:val="tlid-translation"/>
        </w:rPr>
        <w:t xml:space="preserve"> informaci o </w:t>
      </w:r>
      <w:r w:rsidR="00CE2804">
        <w:rPr>
          <w:rStyle w:val="tlid-translation"/>
        </w:rPr>
        <w:t>přítomnosti vzdálených metastáz</w:t>
      </w:r>
      <w:r w:rsidRPr="00FA667B">
        <w:rPr>
          <w:rStyle w:val="tlid-translation"/>
        </w:rPr>
        <w:t>, eventuálně dle charakteru</w:t>
      </w:r>
      <w:r w:rsidR="00595DC3">
        <w:rPr>
          <w:rStyle w:val="tlid-translation"/>
        </w:rPr>
        <w:t xml:space="preserve"> samotného</w:t>
      </w:r>
      <w:r w:rsidRPr="00FA667B">
        <w:rPr>
          <w:rStyle w:val="tlid-translation"/>
        </w:rPr>
        <w:t xml:space="preserve"> ložiska lze odlišit benigní či maligní charakter léze. Zejména v zahraničí často využívanou zobrazovací metodou je magnetick</w:t>
      </w:r>
      <w:r w:rsidR="00595DC3">
        <w:rPr>
          <w:rStyle w:val="tlid-translation"/>
        </w:rPr>
        <w:t>á rezonance MRI a MRCP. Dává</w:t>
      </w:r>
      <w:r w:rsidRPr="00FA667B">
        <w:rPr>
          <w:rStyle w:val="tlid-translation"/>
        </w:rPr>
        <w:t xml:space="preserve"> podrobný přehled o žlučových cestách, podjaterní krajině i pankreatu samotném. Hlavní </w:t>
      </w:r>
      <w:r w:rsidRPr="00FA667B">
        <w:rPr>
          <w:rStyle w:val="tlid-translation"/>
        </w:rPr>
        <w:lastRenderedPageBreak/>
        <w:t>nevýhodou</w:t>
      </w:r>
      <w:r w:rsidR="00595DC3">
        <w:rPr>
          <w:rStyle w:val="tlid-translation"/>
        </w:rPr>
        <w:t xml:space="preserve"> této metody, a proto u nás i méně využívanou,</w:t>
      </w:r>
      <w:r w:rsidRPr="00FA667B">
        <w:rPr>
          <w:rStyle w:val="tlid-translation"/>
        </w:rPr>
        <w:t xml:space="preserve"> je</w:t>
      </w:r>
      <w:r w:rsidR="00595DC3">
        <w:rPr>
          <w:rStyle w:val="tlid-translation"/>
        </w:rPr>
        <w:t xml:space="preserve"> právě</w:t>
      </w:r>
      <w:r w:rsidRPr="00FA667B">
        <w:rPr>
          <w:rStyle w:val="tlid-translation"/>
        </w:rPr>
        <w:t xml:space="preserve"> nemožnost </w:t>
      </w:r>
      <w:r w:rsidR="00595DC3">
        <w:rPr>
          <w:rStyle w:val="tlid-translation"/>
        </w:rPr>
        <w:t>vy</w:t>
      </w:r>
      <w:r w:rsidRPr="00FA667B">
        <w:rPr>
          <w:rStyle w:val="tlid-translation"/>
        </w:rPr>
        <w:t>řešení obstrukce žlučových cest</w:t>
      </w:r>
      <w:r w:rsidR="00595DC3">
        <w:rPr>
          <w:rStyle w:val="tlid-translation"/>
        </w:rPr>
        <w:t xml:space="preserve"> zavedení</w:t>
      </w:r>
      <w:r w:rsidR="00CE2804">
        <w:rPr>
          <w:rStyle w:val="tlid-translation"/>
        </w:rPr>
        <w:t>m</w:t>
      </w:r>
      <w:r w:rsidR="00595DC3">
        <w:rPr>
          <w:rStyle w:val="tlid-translation"/>
        </w:rPr>
        <w:t xml:space="preserve"> stentu a </w:t>
      </w:r>
      <w:r w:rsidR="00CE2804">
        <w:rPr>
          <w:rStyle w:val="tlid-translation"/>
        </w:rPr>
        <w:t xml:space="preserve">možností </w:t>
      </w:r>
      <w:r w:rsidR="00595DC3">
        <w:rPr>
          <w:rStyle w:val="tlid-translation"/>
        </w:rPr>
        <w:t>odběr</w:t>
      </w:r>
      <w:r w:rsidR="00CE2804">
        <w:rPr>
          <w:rStyle w:val="tlid-translation"/>
        </w:rPr>
        <w:t>u</w:t>
      </w:r>
      <w:r w:rsidR="00595DC3">
        <w:rPr>
          <w:rStyle w:val="tlid-translation"/>
        </w:rPr>
        <w:t xml:space="preserve"> biopsie</w:t>
      </w:r>
      <w:r w:rsidRPr="00FA667B">
        <w:rPr>
          <w:rStyle w:val="tlid-translation"/>
        </w:rPr>
        <w:t>, jako je to možné u ERCP. U nádorů menších než 2cm, má své místo využití endosonografické vyšetření (endoUZ), které má senzitivitu až 95%. Toto vyšetření nám dává informaci o uložení ložiska, jeho vztahu k okol</w:t>
      </w:r>
      <w:r w:rsidR="00261045" w:rsidRPr="00FA667B">
        <w:rPr>
          <w:rStyle w:val="tlid-translation"/>
        </w:rPr>
        <w:t>n</w:t>
      </w:r>
      <w:r w:rsidRPr="00FA667B">
        <w:rPr>
          <w:rStyle w:val="tlid-translation"/>
        </w:rPr>
        <w:t>ím cévním strukturám, duodenu, žaludku a také o postižení uzlin. Součástí tohoto vyšetření a výhodou je i možnost odběru materiálu na histologické vyšetření, tzn. fine-needle aspiration biopsy (FNAB). Senzitivita endoUZ s</w:t>
      </w:r>
      <w:r w:rsidR="00261045" w:rsidRPr="00FA667B">
        <w:rPr>
          <w:rStyle w:val="tlid-translation"/>
        </w:rPr>
        <w:t xml:space="preserve"> odběrem </w:t>
      </w:r>
      <w:r w:rsidRPr="00FA667B">
        <w:rPr>
          <w:rStyle w:val="tlid-translation"/>
        </w:rPr>
        <w:t>FNAB je 85-90%. Jedná se však o invazivní vyšetření a uvádí se až 5% komplikací po endoUZ pr</w:t>
      </w:r>
      <w:r w:rsidR="00595DC3">
        <w:rPr>
          <w:rStyle w:val="tlid-translation"/>
        </w:rPr>
        <w:t>ováděné zkušeným endoskopistou. Mezi hlavní komplikace endoUZ je krvácení, po</w:t>
      </w:r>
      <w:r w:rsidR="003D7D20">
        <w:rPr>
          <w:rStyle w:val="tlid-translation"/>
        </w:rPr>
        <w:t xml:space="preserve">stinstrumentační pankreatitida, </w:t>
      </w:r>
      <w:r w:rsidR="00595DC3">
        <w:rPr>
          <w:rStyle w:val="tlid-translation"/>
        </w:rPr>
        <w:t xml:space="preserve">infekce. </w:t>
      </w:r>
      <w:r w:rsidRPr="00FA667B">
        <w:rPr>
          <w:rStyle w:val="tlid-translation"/>
        </w:rPr>
        <w:t>Endoskopická retrográdní cholangiopankreatografie (ERCP) je další invazivní metoda, kterou využíváme</w:t>
      </w:r>
      <w:r w:rsidR="003D7D20">
        <w:rPr>
          <w:rStyle w:val="tlid-translation"/>
        </w:rPr>
        <w:t xml:space="preserve"> jak</w:t>
      </w:r>
      <w:r w:rsidRPr="00FA667B">
        <w:rPr>
          <w:rStyle w:val="tlid-translation"/>
        </w:rPr>
        <w:t xml:space="preserve"> v</w:t>
      </w:r>
      <w:r w:rsidR="003D7D20">
        <w:rPr>
          <w:rStyle w:val="tlid-translation"/>
        </w:rPr>
        <w:t> </w:t>
      </w:r>
      <w:r w:rsidRPr="00FA667B">
        <w:rPr>
          <w:rStyle w:val="tlid-translation"/>
        </w:rPr>
        <w:t>diagnostice</w:t>
      </w:r>
      <w:r w:rsidR="003D7D20">
        <w:rPr>
          <w:rStyle w:val="tlid-translation"/>
        </w:rPr>
        <w:t>,</w:t>
      </w:r>
      <w:r w:rsidRPr="00FA667B">
        <w:rPr>
          <w:rStyle w:val="tlid-translation"/>
        </w:rPr>
        <w:t xml:space="preserve"> </w:t>
      </w:r>
      <w:r w:rsidR="003D7D20">
        <w:rPr>
          <w:rStyle w:val="tlid-translation"/>
        </w:rPr>
        <w:t>t</w:t>
      </w:r>
      <w:r w:rsidRPr="00FA667B">
        <w:rPr>
          <w:rStyle w:val="tlid-translation"/>
        </w:rPr>
        <w:t>a</w:t>
      </w:r>
      <w:r w:rsidR="003D7D20">
        <w:rPr>
          <w:rStyle w:val="tlid-translation"/>
        </w:rPr>
        <w:t>k</w:t>
      </w:r>
      <w:r w:rsidRPr="00FA667B">
        <w:rPr>
          <w:rStyle w:val="tlid-translation"/>
        </w:rPr>
        <w:t xml:space="preserve"> zároveň i </w:t>
      </w:r>
      <w:r w:rsidR="003D7D20">
        <w:rPr>
          <w:rStyle w:val="tlid-translation"/>
        </w:rPr>
        <w:t xml:space="preserve">v </w:t>
      </w:r>
      <w:r w:rsidRPr="00FA667B">
        <w:rPr>
          <w:rStyle w:val="tlid-translation"/>
        </w:rPr>
        <w:t>léčbě</w:t>
      </w:r>
      <w:r w:rsidR="003D7D20">
        <w:rPr>
          <w:rStyle w:val="tlid-translation"/>
        </w:rPr>
        <w:t xml:space="preserve"> obstrukce žlučových cest, která je způsobená</w:t>
      </w:r>
      <w:r w:rsidRPr="00FA667B">
        <w:rPr>
          <w:rStyle w:val="tlid-translation"/>
        </w:rPr>
        <w:t xml:space="preserve"> útlakem nádoru.</w:t>
      </w:r>
      <w:r w:rsidR="003D7D20">
        <w:rPr>
          <w:rStyle w:val="tlid-translation"/>
        </w:rPr>
        <w:t xml:space="preserve"> Léčba spočívá v zavedení stentu do místa postiženého nádorem. Endoskopisté mohou zavést při ERCP plastové stent</w:t>
      </w:r>
      <w:r w:rsidR="006C6FDE">
        <w:rPr>
          <w:rStyle w:val="tlid-translation"/>
        </w:rPr>
        <w:t>y nebo metalické samoexpandovatelné stenty. Plastové stenty jsou upřednostněny v situaci, kdy je předpoklad dalšího operačního řešení nádoru. Jejich hlavní nevýhodou je nutnost časné výměny a jejich možné obstrukce. Metalické stenty se zavádí jako definitivní řešení obstrukce žlučových cest, kdy není předpoklad dalšího chirurgického konání.  ERCP n</w:t>
      </w:r>
      <w:r w:rsidRPr="00FA667B">
        <w:rPr>
          <w:rStyle w:val="tlid-translation"/>
        </w:rPr>
        <w:t>ese sebou řadu možných komplikací, např. krvácení, postinstrume</w:t>
      </w:r>
      <w:r w:rsidR="00261045" w:rsidRPr="00FA667B">
        <w:rPr>
          <w:rStyle w:val="tlid-translation"/>
        </w:rPr>
        <w:t>ntační pankreatitidu, cholang</w:t>
      </w:r>
      <w:r w:rsidR="006C6FDE">
        <w:rPr>
          <w:rStyle w:val="tlid-translation"/>
        </w:rPr>
        <w:t>o</w:t>
      </w:r>
      <w:r w:rsidR="00261045" w:rsidRPr="00FA667B">
        <w:rPr>
          <w:rStyle w:val="tlid-translation"/>
        </w:rPr>
        <w:t>itidu způsobenou</w:t>
      </w:r>
      <w:r w:rsidRPr="00FA667B">
        <w:rPr>
          <w:rStyle w:val="tlid-translation"/>
        </w:rPr>
        <w:t xml:space="preserve"> obstrukcí stentu. Všechny tyto nežádoucí okolnosti mohou v</w:t>
      </w:r>
      <w:r w:rsidR="006C6FDE">
        <w:rPr>
          <w:rStyle w:val="tlid-translation"/>
        </w:rPr>
        <w:t>ést k oddálení samotného operačního výkonu</w:t>
      </w:r>
      <w:r w:rsidRPr="00FA667B">
        <w:rPr>
          <w:rStyle w:val="tlid-translation"/>
        </w:rPr>
        <w:t xml:space="preserve">. Proto u nemocných s obstrukčním ikterem, kdy hladina bilirubinu není vyšší než 150 umol/l, není indikace k zavedení stentu. Samozřejmě za předpokladu resekability nádoru a včasného operačního řešení. Některé studie ukazují na fakt, že právě zavedení stentu může mít za následek pooperační infekční komplikace. Typickým obrazem při tumoru hlavy pankreatu je </w:t>
      </w:r>
      <w:r w:rsidR="006C6FDE">
        <w:rPr>
          <w:rStyle w:val="tlid-translation"/>
        </w:rPr>
        <w:t xml:space="preserve">obraz </w:t>
      </w:r>
      <w:r w:rsidRPr="00FA667B">
        <w:rPr>
          <w:rStyle w:val="tlid-translation"/>
        </w:rPr>
        <w:t>double duct sign – tedy dilatace ductus Wirsung a ductus hepato</w:t>
      </w:r>
      <w:r w:rsidR="00261045" w:rsidRPr="00FA667B">
        <w:rPr>
          <w:rStyle w:val="tlid-translation"/>
        </w:rPr>
        <w:t xml:space="preserve">choledochus. </w:t>
      </w:r>
      <w:r w:rsidR="002907DE" w:rsidRPr="00FA667B">
        <w:rPr>
          <w:rStyle w:val="tlid-translation"/>
        </w:rPr>
        <w:t xml:space="preserve">V případě, kdy jsme při ERCP neúspěšní a potřebujeme zajistit drenáž dilatovaných intrahepatálních žlučovodů na podkladě jejich obstrukce, se nabízí možnost provést </w:t>
      </w:r>
      <w:r w:rsidRPr="00FA667B">
        <w:rPr>
          <w:rStyle w:val="tlid-translation"/>
        </w:rPr>
        <w:t>perkutánn</w:t>
      </w:r>
      <w:r w:rsidR="002907DE" w:rsidRPr="00FA667B">
        <w:rPr>
          <w:rStyle w:val="tlid-translation"/>
        </w:rPr>
        <w:t>í transhepatickou</w:t>
      </w:r>
      <w:r w:rsidR="00261045" w:rsidRPr="00FA667B">
        <w:rPr>
          <w:rStyle w:val="tlid-translation"/>
        </w:rPr>
        <w:t xml:space="preserve"> biliární </w:t>
      </w:r>
      <w:r w:rsidRPr="00FA667B">
        <w:rPr>
          <w:rStyle w:val="tlid-translation"/>
        </w:rPr>
        <w:t>drenáž</w:t>
      </w:r>
      <w:r w:rsidR="00261045" w:rsidRPr="00FA667B">
        <w:rPr>
          <w:rStyle w:val="tlid-translation"/>
        </w:rPr>
        <w:t>e</w:t>
      </w:r>
      <w:r w:rsidRPr="00FA667B">
        <w:rPr>
          <w:rStyle w:val="tlid-translation"/>
        </w:rPr>
        <w:t xml:space="preserve"> (PTCD), tedy </w:t>
      </w:r>
      <w:r w:rsidR="002907DE" w:rsidRPr="00FA667B">
        <w:rPr>
          <w:rStyle w:val="tlid-translation"/>
        </w:rPr>
        <w:t>zavedení zevně vnitřní drenáže</w:t>
      </w:r>
      <w:r w:rsidR="00C31614" w:rsidRPr="00FA667B">
        <w:rPr>
          <w:rStyle w:val="tlid-translation"/>
        </w:rPr>
        <w:t>, jako terapeutický</w:t>
      </w:r>
      <w:r w:rsidR="002907DE" w:rsidRPr="00FA667B">
        <w:rPr>
          <w:rStyle w:val="tlid-translation"/>
        </w:rPr>
        <w:t xml:space="preserve"> nikol</w:t>
      </w:r>
      <w:r w:rsidR="00C31614" w:rsidRPr="00FA667B">
        <w:rPr>
          <w:rStyle w:val="tlid-translation"/>
        </w:rPr>
        <w:t>i v tomto případě diagnostický výkon</w:t>
      </w:r>
      <w:r w:rsidR="002907DE" w:rsidRPr="00FA667B">
        <w:rPr>
          <w:rStyle w:val="tlid-translation"/>
        </w:rPr>
        <w:t xml:space="preserve">. </w:t>
      </w:r>
      <w:r w:rsidRPr="00FA667B">
        <w:rPr>
          <w:rStyle w:val="tlid-translation"/>
        </w:rPr>
        <w:t>Kontraindikací provedení tohoto zákroku jsou krvácivé stavy, ascites,</w:t>
      </w:r>
      <w:r w:rsidR="00B27002" w:rsidRPr="00FA667B">
        <w:rPr>
          <w:rStyle w:val="tlid-translation"/>
        </w:rPr>
        <w:t xml:space="preserve"> </w:t>
      </w:r>
      <w:r w:rsidRPr="00FA667B">
        <w:rPr>
          <w:rStyle w:val="tlid-translation"/>
        </w:rPr>
        <w:t xml:space="preserve">difúzní jaterní léze (např. difúzní metastatické postižení jater, chronické onemocnění jater). Mezi zásadní komplikace PTCD patří </w:t>
      </w:r>
      <w:r w:rsidR="006C6FDE" w:rsidRPr="00FA667B">
        <w:rPr>
          <w:rStyle w:val="tlid-translation"/>
        </w:rPr>
        <w:t>hemoperitoneum</w:t>
      </w:r>
      <w:r w:rsidR="006C6FDE">
        <w:rPr>
          <w:rStyle w:val="tlid-translation"/>
        </w:rPr>
        <w:t xml:space="preserve">, </w:t>
      </w:r>
      <w:r w:rsidR="006C6FDE" w:rsidRPr="00FA667B">
        <w:rPr>
          <w:rStyle w:val="tlid-translation"/>
        </w:rPr>
        <w:t>cholangitida</w:t>
      </w:r>
      <w:r w:rsidR="006C6FDE">
        <w:rPr>
          <w:rStyle w:val="tlid-translation"/>
        </w:rPr>
        <w:t>,</w:t>
      </w:r>
      <w:r w:rsidR="006C6FDE" w:rsidRPr="00FA667B">
        <w:rPr>
          <w:rStyle w:val="tlid-translation"/>
        </w:rPr>
        <w:t xml:space="preserve"> </w:t>
      </w:r>
      <w:r w:rsidR="006C6FDE">
        <w:rPr>
          <w:rStyle w:val="tlid-translation"/>
        </w:rPr>
        <w:t xml:space="preserve">biliární peritonitidu, </w:t>
      </w:r>
      <w:r w:rsidR="006C6FDE" w:rsidRPr="00FA667B">
        <w:rPr>
          <w:rStyle w:val="tlid-translation"/>
        </w:rPr>
        <w:t>pneumotorax</w:t>
      </w:r>
      <w:r w:rsidR="006C6FDE">
        <w:rPr>
          <w:rStyle w:val="tlid-translation"/>
        </w:rPr>
        <w:t>, hemothorax</w:t>
      </w:r>
      <w:r w:rsidRPr="00FA667B">
        <w:rPr>
          <w:rStyle w:val="tlid-translation"/>
        </w:rPr>
        <w:t>. [4,14,15]</w:t>
      </w:r>
    </w:p>
    <w:p w:rsidR="006002F1" w:rsidRPr="00FA667B" w:rsidRDefault="006002F1" w:rsidP="00FA667B">
      <w:pPr>
        <w:spacing w:line="360" w:lineRule="auto"/>
        <w:jc w:val="both"/>
        <w:rPr>
          <w:rStyle w:val="tlid-translation"/>
        </w:rPr>
      </w:pPr>
      <w:r w:rsidRPr="00FA667B">
        <w:rPr>
          <w:rStyle w:val="tlid-translation"/>
        </w:rPr>
        <w:t>Diagnostika PDAC</w:t>
      </w:r>
      <w:r w:rsidR="00807E7C" w:rsidRPr="00FA667B">
        <w:rPr>
          <w:rStyle w:val="tlid-translation"/>
        </w:rPr>
        <w:t xml:space="preserve"> od prvních příznaků </w:t>
      </w:r>
      <w:r w:rsidRPr="00FA667B">
        <w:rPr>
          <w:rStyle w:val="tlid-translation"/>
        </w:rPr>
        <w:t>až k operačnímu řešení by neměl</w:t>
      </w:r>
      <w:r w:rsidR="00807E7C" w:rsidRPr="00FA667B">
        <w:rPr>
          <w:rStyle w:val="tlid-translation"/>
        </w:rPr>
        <w:t>a</w:t>
      </w:r>
      <w:r w:rsidRPr="00FA667B">
        <w:rPr>
          <w:rStyle w:val="tlid-translation"/>
        </w:rPr>
        <w:t xml:space="preserve"> přesáhnout </w:t>
      </w:r>
      <w:r w:rsidR="00807E7C" w:rsidRPr="00FA667B">
        <w:rPr>
          <w:rStyle w:val="tlid-translation"/>
        </w:rPr>
        <w:t xml:space="preserve">interval </w:t>
      </w:r>
      <w:r w:rsidRPr="00FA667B">
        <w:rPr>
          <w:rStyle w:val="tlid-translation"/>
        </w:rPr>
        <w:t>2-4 týdn</w:t>
      </w:r>
      <w:r w:rsidR="00807E7C" w:rsidRPr="00FA667B">
        <w:rPr>
          <w:rStyle w:val="tlid-translation"/>
        </w:rPr>
        <w:t>ů</w:t>
      </w:r>
      <w:r w:rsidRPr="00FA667B">
        <w:rPr>
          <w:rStyle w:val="tlid-translation"/>
        </w:rPr>
        <w:t xml:space="preserve">. </w:t>
      </w:r>
      <w:r w:rsidR="00385543" w:rsidRPr="00FA667B">
        <w:rPr>
          <w:rStyle w:val="tlid-translation"/>
        </w:rPr>
        <w:t xml:space="preserve">Pokud je na CT nález resekabilního tumoru pankreatu a nemocný nemá známky cholangitidy, můžeme nemocného plánovat </w:t>
      </w:r>
      <w:r w:rsidR="00D04941" w:rsidRPr="00FA667B">
        <w:rPr>
          <w:rStyle w:val="tlid-translation"/>
        </w:rPr>
        <w:t xml:space="preserve">v co nejkratší době </w:t>
      </w:r>
      <w:r w:rsidR="00385543" w:rsidRPr="00FA667B">
        <w:rPr>
          <w:rStyle w:val="tlid-translation"/>
        </w:rPr>
        <w:t>k</w:t>
      </w:r>
      <w:r w:rsidR="00D04941" w:rsidRPr="00FA667B">
        <w:rPr>
          <w:rStyle w:val="tlid-translation"/>
        </w:rPr>
        <w:t> operačnímu řešení</w:t>
      </w:r>
      <w:r w:rsidR="00385543" w:rsidRPr="00FA667B">
        <w:rPr>
          <w:rStyle w:val="tlid-translation"/>
        </w:rPr>
        <w:t xml:space="preserve"> bez dalších </w:t>
      </w:r>
      <w:r w:rsidR="00385543" w:rsidRPr="00FA667B">
        <w:rPr>
          <w:rStyle w:val="tlid-translation"/>
        </w:rPr>
        <w:lastRenderedPageBreak/>
        <w:t xml:space="preserve">vyšetření </w:t>
      </w:r>
      <w:r w:rsidR="00D04941" w:rsidRPr="00FA667B">
        <w:rPr>
          <w:rStyle w:val="tlid-translation"/>
        </w:rPr>
        <w:t>potřebných k histologické verifikaci</w:t>
      </w:r>
      <w:r w:rsidR="00385543" w:rsidRPr="00FA667B">
        <w:rPr>
          <w:rStyle w:val="tlid-translation"/>
        </w:rPr>
        <w:t xml:space="preserve"> tumoru</w:t>
      </w:r>
      <w:r w:rsidR="00D04941" w:rsidRPr="00FA667B">
        <w:rPr>
          <w:rStyle w:val="tlid-translation"/>
        </w:rPr>
        <w:t xml:space="preserve"> a bez nutnosti zajištění drenáže žlučových cest</w:t>
      </w:r>
      <w:r w:rsidR="00385543" w:rsidRPr="00FA667B">
        <w:rPr>
          <w:rStyle w:val="tlid-translation"/>
        </w:rPr>
        <w:t xml:space="preserve">. V případě pochybností stran resekability nádoru se doporučuje provedení ERCP se zavedení stentu do žlučových cest </w:t>
      </w:r>
      <w:r w:rsidR="00FA13F7">
        <w:rPr>
          <w:rStyle w:val="tlid-translation"/>
        </w:rPr>
        <w:t xml:space="preserve">při </w:t>
      </w:r>
      <w:r w:rsidR="00385543" w:rsidRPr="00FA667B">
        <w:rPr>
          <w:rStyle w:val="tlid-translation"/>
        </w:rPr>
        <w:t>znám</w:t>
      </w:r>
      <w:r w:rsidR="00FA13F7">
        <w:rPr>
          <w:rStyle w:val="tlid-translation"/>
        </w:rPr>
        <w:t>kách</w:t>
      </w:r>
      <w:r w:rsidR="00385543" w:rsidRPr="00FA667B">
        <w:rPr>
          <w:rStyle w:val="tlid-translation"/>
        </w:rPr>
        <w:t xml:space="preserve"> cholang</w:t>
      </w:r>
      <w:r w:rsidR="00FA13F7">
        <w:rPr>
          <w:rStyle w:val="tlid-translation"/>
        </w:rPr>
        <w:t>o</w:t>
      </w:r>
      <w:r w:rsidR="00385543" w:rsidRPr="00FA667B">
        <w:rPr>
          <w:rStyle w:val="tlid-translation"/>
        </w:rPr>
        <w:t xml:space="preserve">itidy, </w:t>
      </w:r>
      <w:r w:rsidR="00D04941" w:rsidRPr="00FA667B">
        <w:rPr>
          <w:rStyle w:val="tlid-translation"/>
        </w:rPr>
        <w:t xml:space="preserve">doplnění  </w:t>
      </w:r>
      <w:r w:rsidR="00385543" w:rsidRPr="00FA667B">
        <w:rPr>
          <w:rStyle w:val="tlid-translation"/>
        </w:rPr>
        <w:t xml:space="preserve">endoUZ s odběrem </w:t>
      </w:r>
      <w:r w:rsidR="00D04941" w:rsidRPr="00FA667B">
        <w:rPr>
          <w:rStyle w:val="tlid-translation"/>
        </w:rPr>
        <w:t xml:space="preserve">FNAB k histologické verifikaci a eventuálně PET/CT k vyloučení generalizace onemocnění. </w:t>
      </w:r>
      <w:r w:rsidR="00385543" w:rsidRPr="00FA667B">
        <w:rPr>
          <w:rStyle w:val="tlid-translation"/>
        </w:rPr>
        <w:t xml:space="preserve"> </w:t>
      </w:r>
    </w:p>
    <w:p w:rsidR="00D04941" w:rsidRPr="00FA667B" w:rsidRDefault="00D04941" w:rsidP="00FA667B">
      <w:pPr>
        <w:spacing w:line="360" w:lineRule="auto"/>
        <w:jc w:val="both"/>
        <w:rPr>
          <w:b/>
          <w:i/>
        </w:rPr>
      </w:pPr>
    </w:p>
    <w:p w:rsidR="006002F1" w:rsidRPr="00FA667B" w:rsidRDefault="006002F1" w:rsidP="00FA667B">
      <w:pPr>
        <w:spacing w:line="360" w:lineRule="auto"/>
        <w:jc w:val="both"/>
        <w:rPr>
          <w:b/>
          <w:i/>
          <w:u w:val="single"/>
        </w:rPr>
      </w:pPr>
      <w:r w:rsidRPr="00FA667B">
        <w:rPr>
          <w:b/>
          <w:i/>
          <w:u w:val="single"/>
        </w:rPr>
        <w:t>1.5.Předoperační staging</w:t>
      </w:r>
    </w:p>
    <w:p w:rsidR="006002F1" w:rsidRPr="00FA667B" w:rsidRDefault="006002F1" w:rsidP="00FA667B">
      <w:pPr>
        <w:spacing w:line="360" w:lineRule="auto"/>
        <w:jc w:val="both"/>
      </w:pPr>
      <w:r w:rsidRPr="00FA667B">
        <w:t>V současné době se v rámci předoperačního i definitivního histologického stagingu rozboru používají dvě klasifik</w:t>
      </w:r>
      <w:r w:rsidR="00181148" w:rsidRPr="00FA667B">
        <w:t>ace. První, která byla vypracovaná</w:t>
      </w:r>
      <w:r w:rsidRPr="00FA667B">
        <w:t xml:space="preserve"> mezinárodním grémiem Union Internationale Contre le Cancer (UICC) ve spolupráci s americkou point Committee on Cancer (AJCC) využívá klasické hodnocení T (tumor) N (nodi) M (metastasis), které je standardizováno pro potřeby mezinárodního srovnání a je doporučeno pro sběr epidemiologických dat i v ČR. Druhá je japonská klasifikace navržena Japonskou pankreatologickou společností (JPS). Japonská klasifikace na rozdíl od americké klasifikace přesněji hodnotí staging nádoru vzhledem k očekávanému přežití. Zahrnuje prvky invaze na serózu (S), do retroperitonea (RP), portálního řečiště (PV), lokální invazi do duodena (DU), žlučových cest (CH) a arteriálního řečiště (A), diseminaci na peritoneu (P) a metastatické postižení jater (M). Číselný index 0-3 určuje hloubku invaze – 0 (bez invaze), 1 (suspektní invaze), 2 (jistá invaze), 3 (masivní invaze).  Regionální lymfadenektomie by měla standardně ve vzorku zahrnovat </w:t>
      </w:r>
      <w:smartTag w:uri="urn:schemas-microsoft-com:office:smarttags" w:element="metricconverter">
        <w:smartTagPr>
          <w:attr w:name="ProductID" w:val="10 a"/>
        </w:smartTagPr>
        <w:r w:rsidRPr="00FA667B">
          <w:t>10 a</w:t>
        </w:r>
      </w:smartTag>
      <w:r w:rsidRPr="00FA667B">
        <w:t xml:space="preserve"> víc</w:t>
      </w:r>
      <w:r w:rsidR="00C31614" w:rsidRPr="00FA667B">
        <w:t>e lymfatických uzlin. Jsou-li mí</w:t>
      </w:r>
      <w:r w:rsidRPr="00FA667B">
        <w:t xml:space="preserve">zní uzliny negativní, ale nebylo </w:t>
      </w:r>
      <w:r w:rsidR="00181148" w:rsidRPr="00FA667B">
        <w:t>dosaženo požadovaného množství</w:t>
      </w:r>
      <w:r w:rsidRPr="00FA667B">
        <w:t xml:space="preserve"> lymfatických uzlin, hodnotíme preparát stran lymfatických uzlin jako pN0. [1,4]</w:t>
      </w:r>
    </w:p>
    <w:p w:rsidR="00EF27F4" w:rsidRDefault="00EF27F4" w:rsidP="00FA667B">
      <w:pPr>
        <w:spacing w:line="360" w:lineRule="auto"/>
        <w:jc w:val="both"/>
      </w:pPr>
    </w:p>
    <w:p w:rsidR="006002F1" w:rsidRPr="00FA667B" w:rsidRDefault="006002F1" w:rsidP="00FA667B">
      <w:pPr>
        <w:spacing w:line="360" w:lineRule="auto"/>
        <w:jc w:val="both"/>
      </w:pPr>
      <w:r w:rsidRPr="00FA667B">
        <w:t>Cílem předoperačního stagingu je stanovení resekability nádoru. Nádory</w:t>
      </w:r>
      <w:r w:rsidR="007155AE" w:rsidRPr="00FA667B">
        <w:t xml:space="preserve"> </w:t>
      </w:r>
      <w:r w:rsidRPr="00FA667B">
        <w:t xml:space="preserve">podle resekability můžeme dělit do tří skupin. </w:t>
      </w:r>
    </w:p>
    <w:p w:rsidR="006002F1" w:rsidRPr="00FA667B" w:rsidRDefault="00181148" w:rsidP="00FA667B">
      <w:pPr>
        <w:spacing w:line="360" w:lineRule="auto"/>
        <w:jc w:val="both"/>
      </w:pPr>
      <w:r w:rsidRPr="00FA667B">
        <w:rPr>
          <w:i/>
        </w:rPr>
        <w:t>1.</w:t>
      </w:r>
      <w:r w:rsidR="006002F1" w:rsidRPr="00FA667B">
        <w:rPr>
          <w:i/>
        </w:rPr>
        <w:t>Re</w:t>
      </w:r>
      <w:r w:rsidRPr="00FA667B">
        <w:rPr>
          <w:i/>
        </w:rPr>
        <w:t>sekabilní nádory (</w:t>
      </w:r>
      <w:r w:rsidR="006002F1" w:rsidRPr="00FA667B">
        <w:rPr>
          <w:i/>
        </w:rPr>
        <w:t>10-20%),</w:t>
      </w:r>
      <w:r w:rsidR="006002F1" w:rsidRPr="00FA667B">
        <w:t xml:space="preserve"> kdy nádor je lokalizovaný na pankreas nebo jeho bezprostřední oko</w:t>
      </w:r>
      <w:r w:rsidR="007155AE" w:rsidRPr="00FA667B">
        <w:t>lí, lze odstranit celý nádor, j</w:t>
      </w:r>
      <w:r w:rsidR="006002F1" w:rsidRPr="00FA667B">
        <w:t>sme schopni dosáhnout R0 resekce. Do nádoru nejsou závzaty cévy – a.hepatica comunis, truncus coeliacus nebo vena portae.</w:t>
      </w:r>
    </w:p>
    <w:p w:rsidR="006002F1" w:rsidRPr="00FA667B" w:rsidRDefault="00181148" w:rsidP="00FA667B">
      <w:pPr>
        <w:spacing w:line="360" w:lineRule="auto"/>
        <w:jc w:val="both"/>
      </w:pPr>
      <w:r w:rsidRPr="00FA667B">
        <w:rPr>
          <w:i/>
        </w:rPr>
        <w:t>2.</w:t>
      </w:r>
      <w:r w:rsidR="006002F1" w:rsidRPr="00FA667B">
        <w:rPr>
          <w:i/>
        </w:rPr>
        <w:t>Lokálně pokročilý (30-40%),</w:t>
      </w:r>
      <w:r w:rsidR="006002F1" w:rsidRPr="00FA667B">
        <w:t xml:space="preserve"> ten můžeme dělit na </w:t>
      </w:r>
    </w:p>
    <w:p w:rsidR="006002F1" w:rsidRPr="00FA667B" w:rsidRDefault="006002F1" w:rsidP="00FA667B">
      <w:pPr>
        <w:numPr>
          <w:ilvl w:val="0"/>
          <w:numId w:val="19"/>
        </w:numPr>
        <w:spacing w:line="360" w:lineRule="auto"/>
        <w:jc w:val="both"/>
      </w:pPr>
      <w:r w:rsidRPr="00FA667B">
        <w:rPr>
          <w:i/>
        </w:rPr>
        <w:t>Borderline nebo-li hraničně resekabilní</w:t>
      </w:r>
      <w:r w:rsidR="005631AD">
        <w:t xml:space="preserve">. Nádor může obkružovat ≤ 180° </w:t>
      </w:r>
      <w:r w:rsidRPr="00FA667B">
        <w:t>obvodu arteria mesenteria superior, vena mesenterica superior nebo vena portae, kdy po resekci postiženého segmentu jsme schopni rekonstrukci cévy k dosažení R0 resekce. Tumor infiltruje krátký průběh arteria hepatica comunis (typicky v odstupu a.gastroduodenalis)</w:t>
      </w:r>
    </w:p>
    <w:p w:rsidR="007155AE" w:rsidRPr="00FA667B" w:rsidRDefault="006002F1" w:rsidP="00FA667B">
      <w:pPr>
        <w:numPr>
          <w:ilvl w:val="0"/>
          <w:numId w:val="19"/>
        </w:numPr>
        <w:spacing w:line="360" w:lineRule="auto"/>
        <w:jc w:val="both"/>
      </w:pPr>
      <w:r w:rsidRPr="00FA667B">
        <w:rPr>
          <w:i/>
        </w:rPr>
        <w:lastRenderedPageBreak/>
        <w:t>Lokálně pokročilý</w:t>
      </w:r>
      <w:r w:rsidRPr="00FA667B">
        <w:t xml:space="preserve"> </w:t>
      </w:r>
      <w:r w:rsidRPr="00FA667B">
        <w:rPr>
          <w:i/>
        </w:rPr>
        <w:t>– neresekabilní</w:t>
      </w:r>
      <w:r w:rsidRPr="00FA667B">
        <w:t xml:space="preserve">. Nádor obkružuje arteria mesenterica superior ≥ </w:t>
      </w:r>
      <w:r w:rsidR="00181148" w:rsidRPr="00FA667B">
        <w:t>180° nebo více jak 50% obvodu a</w:t>
      </w:r>
      <w:r w:rsidRPr="00FA667B">
        <w:t xml:space="preserve">nebo postihuje truncus celiacus. Tedy nejsme schopni dosáhnout R0 resekce. </w:t>
      </w:r>
    </w:p>
    <w:p w:rsidR="00FA667B" w:rsidRDefault="006002F1" w:rsidP="00FA667B">
      <w:pPr>
        <w:numPr>
          <w:ilvl w:val="0"/>
          <w:numId w:val="19"/>
        </w:numPr>
        <w:spacing w:line="360" w:lineRule="auto"/>
        <w:jc w:val="both"/>
      </w:pPr>
      <w:r w:rsidRPr="00FA667B">
        <w:rPr>
          <w:i/>
        </w:rPr>
        <w:t>Metastatický (40-60%),</w:t>
      </w:r>
      <w:r w:rsidRPr="00FA667B">
        <w:t xml:space="preserve"> kdy šíření nádoru je mimo pankreas do vzdálených orgánů. </w:t>
      </w:r>
    </w:p>
    <w:p w:rsidR="00FA13F7" w:rsidRDefault="00FA13F7" w:rsidP="00D40C2D">
      <w:pPr>
        <w:spacing w:line="360" w:lineRule="auto"/>
        <w:jc w:val="both"/>
        <w:rPr>
          <w:b/>
          <w:i/>
          <w:u w:val="single"/>
        </w:rPr>
      </w:pPr>
    </w:p>
    <w:p w:rsidR="007155AE" w:rsidRPr="00FA667B" w:rsidRDefault="006002F1" w:rsidP="00D40C2D">
      <w:pPr>
        <w:spacing w:line="360" w:lineRule="auto"/>
        <w:jc w:val="both"/>
      </w:pPr>
      <w:r w:rsidRPr="00FA667B">
        <w:rPr>
          <w:b/>
          <w:i/>
          <w:u w:val="single"/>
        </w:rPr>
        <w:t>1.6.TNM klasifikace</w:t>
      </w:r>
    </w:p>
    <w:tbl>
      <w:tblPr>
        <w:tblW w:w="7500" w:type="dxa"/>
        <w:tblInd w:w="60" w:type="dxa"/>
        <w:tblCellMar>
          <w:left w:w="70" w:type="dxa"/>
          <w:right w:w="70" w:type="dxa"/>
        </w:tblCellMar>
        <w:tblLook w:val="00A0" w:firstRow="1" w:lastRow="0" w:firstColumn="1" w:lastColumn="0" w:noHBand="0" w:noVBand="0"/>
      </w:tblPr>
      <w:tblGrid>
        <w:gridCol w:w="2180"/>
        <w:gridCol w:w="5320"/>
      </w:tblGrid>
      <w:tr w:rsidR="006002F1" w:rsidRPr="00FA667B" w:rsidTr="00726408">
        <w:trPr>
          <w:trHeight w:val="499"/>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 primární nádor</w:t>
            </w:r>
          </w:p>
        </w:tc>
        <w:tc>
          <w:tcPr>
            <w:tcW w:w="5320" w:type="dxa"/>
            <w:tcBorders>
              <w:top w:val="nil"/>
              <w:left w:val="nil"/>
              <w:bottom w:val="nil"/>
              <w:right w:val="nil"/>
            </w:tcBorders>
            <w:vAlign w:val="center"/>
          </w:tcPr>
          <w:p w:rsidR="006002F1" w:rsidRPr="00FA667B" w:rsidRDefault="006002F1" w:rsidP="00FA667B">
            <w:pPr>
              <w:jc w:val="both"/>
              <w:rPr>
                <w:color w:val="000000"/>
              </w:rPr>
            </w:pPr>
          </w:p>
        </w:tc>
      </w:tr>
      <w:tr w:rsidR="006002F1" w:rsidRPr="00FA667B" w:rsidTr="00726408">
        <w:trPr>
          <w:trHeight w:val="499"/>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TX</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primární nádor nelze hodnotit</w:t>
            </w:r>
          </w:p>
        </w:tc>
      </w:tr>
      <w:tr w:rsidR="006002F1" w:rsidRPr="00FA667B" w:rsidTr="00726408">
        <w:trPr>
          <w:trHeight w:val="499"/>
        </w:trPr>
        <w:tc>
          <w:tcPr>
            <w:tcW w:w="218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T0</w:t>
            </w:r>
          </w:p>
        </w:tc>
        <w:tc>
          <w:tcPr>
            <w:tcW w:w="5320" w:type="dxa"/>
            <w:tcBorders>
              <w:top w:val="nil"/>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bez známek primárního nádoru</w:t>
            </w:r>
          </w:p>
        </w:tc>
      </w:tr>
      <w:tr w:rsidR="006002F1" w:rsidRPr="00FA667B" w:rsidTr="00726408">
        <w:trPr>
          <w:trHeight w:val="499"/>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Tis</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karcinom in situ</w:t>
            </w:r>
          </w:p>
        </w:tc>
      </w:tr>
      <w:tr w:rsidR="006002F1" w:rsidRPr="00FA667B" w:rsidTr="00726408">
        <w:trPr>
          <w:trHeight w:val="499"/>
        </w:trPr>
        <w:tc>
          <w:tcPr>
            <w:tcW w:w="218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T1</w:t>
            </w:r>
          </w:p>
        </w:tc>
        <w:tc>
          <w:tcPr>
            <w:tcW w:w="5320" w:type="dxa"/>
            <w:tcBorders>
              <w:top w:val="nil"/>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nádor omezen na pankreas, do 2cm v největším rozměru</w:t>
            </w:r>
          </w:p>
        </w:tc>
      </w:tr>
      <w:tr w:rsidR="006002F1" w:rsidRPr="00FA667B" w:rsidTr="00726408">
        <w:trPr>
          <w:trHeight w:val="499"/>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T1a</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nádor do 0,5cm v největším rozměru</w:t>
            </w:r>
          </w:p>
        </w:tc>
      </w:tr>
      <w:tr w:rsidR="006002F1" w:rsidRPr="00FA667B" w:rsidTr="00726408">
        <w:trPr>
          <w:trHeight w:val="499"/>
        </w:trPr>
        <w:tc>
          <w:tcPr>
            <w:tcW w:w="218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T1b</w:t>
            </w:r>
          </w:p>
        </w:tc>
        <w:tc>
          <w:tcPr>
            <w:tcW w:w="5320" w:type="dxa"/>
            <w:tcBorders>
              <w:top w:val="nil"/>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nádor větší než 0,5cm, do 1cm v největším rozměru</w:t>
            </w:r>
          </w:p>
        </w:tc>
      </w:tr>
      <w:tr w:rsidR="006002F1" w:rsidRPr="00FA667B" w:rsidTr="00726408">
        <w:trPr>
          <w:trHeight w:val="499"/>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T1c</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nádor větší než 1cm, do 2cm v největším rozměru</w:t>
            </w:r>
          </w:p>
        </w:tc>
      </w:tr>
      <w:tr w:rsidR="006002F1" w:rsidRPr="00FA667B" w:rsidTr="00726408">
        <w:trPr>
          <w:trHeight w:val="702"/>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T2</w:t>
            </w:r>
          </w:p>
        </w:tc>
        <w:tc>
          <w:tcPr>
            <w:tcW w:w="5320" w:type="dxa"/>
            <w:tcBorders>
              <w:top w:val="nil"/>
              <w:left w:val="nil"/>
              <w:bottom w:val="single" w:sz="8" w:space="0" w:color="auto"/>
              <w:right w:val="single" w:sz="8" w:space="0" w:color="auto"/>
            </w:tcBorders>
            <w:vAlign w:val="center"/>
          </w:tcPr>
          <w:p w:rsidR="006002F1" w:rsidRPr="00FA667B" w:rsidRDefault="007155AE" w:rsidP="00FA667B">
            <w:pPr>
              <w:jc w:val="both"/>
              <w:rPr>
                <w:color w:val="000000"/>
              </w:rPr>
            </w:pPr>
            <w:r w:rsidRPr="00FA667B">
              <w:rPr>
                <w:color w:val="000000"/>
              </w:rPr>
              <w:t>nádor omezen na pankreas, vě</w:t>
            </w:r>
            <w:r w:rsidR="006002F1" w:rsidRPr="00FA667B">
              <w:rPr>
                <w:color w:val="000000"/>
              </w:rPr>
              <w:t>tší než 2cm, do 4cm v největším rozměru</w:t>
            </w:r>
          </w:p>
        </w:tc>
      </w:tr>
      <w:tr w:rsidR="006002F1" w:rsidRPr="00FA667B" w:rsidTr="00726408">
        <w:trPr>
          <w:trHeight w:val="499"/>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T3</w:t>
            </w:r>
          </w:p>
        </w:tc>
        <w:tc>
          <w:tcPr>
            <w:tcW w:w="5320" w:type="dxa"/>
            <w:tcBorders>
              <w:top w:val="nil"/>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nádor větší než 4cm v největším rozměru</w:t>
            </w:r>
          </w:p>
        </w:tc>
      </w:tr>
      <w:tr w:rsidR="006002F1" w:rsidRPr="00FA667B" w:rsidTr="00726408">
        <w:trPr>
          <w:trHeight w:val="702"/>
        </w:trPr>
        <w:tc>
          <w:tcPr>
            <w:tcW w:w="218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 </w:t>
            </w:r>
          </w:p>
        </w:tc>
        <w:tc>
          <w:tcPr>
            <w:tcW w:w="5320" w:type="dxa"/>
            <w:tcBorders>
              <w:top w:val="nil"/>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nádor se šíří mimo pankreas, nepostihuje však truncus coeliacus nebo a.mesenterica superior</w:t>
            </w:r>
          </w:p>
        </w:tc>
      </w:tr>
      <w:tr w:rsidR="006002F1" w:rsidRPr="00FA667B" w:rsidTr="00726408">
        <w:trPr>
          <w:trHeight w:val="702"/>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T4</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nádor postihuje truncus coeliacus, a.mesenterica superior a/nebo a.hepatica communis</w:t>
            </w:r>
          </w:p>
        </w:tc>
      </w:tr>
      <w:tr w:rsidR="006002F1" w:rsidRPr="00FA667B" w:rsidTr="00726408">
        <w:trPr>
          <w:trHeight w:val="315"/>
        </w:trPr>
        <w:tc>
          <w:tcPr>
            <w:tcW w:w="2180" w:type="dxa"/>
            <w:tcBorders>
              <w:top w:val="nil"/>
              <w:left w:val="nil"/>
              <w:bottom w:val="nil"/>
              <w:right w:val="nil"/>
            </w:tcBorders>
            <w:vAlign w:val="center"/>
          </w:tcPr>
          <w:p w:rsidR="006002F1" w:rsidRPr="00FA667B" w:rsidRDefault="006002F1" w:rsidP="00FA667B">
            <w:pPr>
              <w:jc w:val="both"/>
              <w:rPr>
                <w:color w:val="000000"/>
              </w:rPr>
            </w:pPr>
          </w:p>
          <w:p w:rsidR="00EF27F4" w:rsidRDefault="00EF27F4" w:rsidP="00FA667B">
            <w:pPr>
              <w:jc w:val="both"/>
              <w:rPr>
                <w:color w:val="000000"/>
              </w:rPr>
            </w:pPr>
          </w:p>
          <w:p w:rsidR="002100F7" w:rsidRDefault="002100F7" w:rsidP="00FA667B">
            <w:pPr>
              <w:jc w:val="both"/>
              <w:rPr>
                <w:color w:val="000000"/>
              </w:rPr>
            </w:pPr>
          </w:p>
          <w:p w:rsidR="002100F7" w:rsidRDefault="002100F7" w:rsidP="00FA667B">
            <w:pPr>
              <w:jc w:val="both"/>
              <w:rPr>
                <w:color w:val="000000"/>
              </w:rPr>
            </w:pPr>
          </w:p>
          <w:p w:rsidR="00EF27F4" w:rsidRPr="00FA667B" w:rsidRDefault="00EF27F4" w:rsidP="00FA667B">
            <w:pPr>
              <w:jc w:val="both"/>
              <w:rPr>
                <w:color w:val="000000"/>
              </w:rPr>
            </w:pPr>
          </w:p>
        </w:tc>
        <w:tc>
          <w:tcPr>
            <w:tcW w:w="5320" w:type="dxa"/>
            <w:tcBorders>
              <w:top w:val="nil"/>
              <w:left w:val="nil"/>
              <w:bottom w:val="nil"/>
              <w:right w:val="nil"/>
            </w:tcBorders>
            <w:vAlign w:val="center"/>
          </w:tcPr>
          <w:p w:rsidR="006002F1" w:rsidRPr="00FA667B" w:rsidRDefault="006002F1" w:rsidP="00FA667B">
            <w:pPr>
              <w:jc w:val="both"/>
              <w:rPr>
                <w:color w:val="000000"/>
              </w:rPr>
            </w:pPr>
          </w:p>
        </w:tc>
      </w:tr>
      <w:tr w:rsidR="006002F1" w:rsidRPr="00FA667B" w:rsidTr="004A345F">
        <w:trPr>
          <w:trHeight w:val="496"/>
        </w:trPr>
        <w:tc>
          <w:tcPr>
            <w:tcW w:w="218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N regionální mizní uzliny</w:t>
            </w:r>
          </w:p>
        </w:tc>
        <w:tc>
          <w:tcPr>
            <w:tcW w:w="5320" w:type="dxa"/>
            <w:tcBorders>
              <w:top w:val="nil"/>
              <w:left w:val="nil"/>
              <w:bottom w:val="nil"/>
              <w:right w:val="nil"/>
            </w:tcBorders>
            <w:vAlign w:val="center"/>
          </w:tcPr>
          <w:p w:rsidR="006002F1" w:rsidRPr="00FA667B" w:rsidRDefault="006002F1" w:rsidP="00FA667B">
            <w:pPr>
              <w:jc w:val="both"/>
              <w:rPr>
                <w:color w:val="000000"/>
              </w:rPr>
            </w:pPr>
          </w:p>
        </w:tc>
      </w:tr>
      <w:tr w:rsidR="006002F1" w:rsidRPr="00FA667B" w:rsidTr="00726408">
        <w:trPr>
          <w:trHeight w:val="402"/>
        </w:trPr>
        <w:tc>
          <w:tcPr>
            <w:tcW w:w="218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NX</w:t>
            </w:r>
          </w:p>
        </w:tc>
        <w:tc>
          <w:tcPr>
            <w:tcW w:w="5320" w:type="dxa"/>
            <w:tcBorders>
              <w:top w:val="single" w:sz="8" w:space="0" w:color="auto"/>
              <w:left w:val="nil"/>
              <w:bottom w:val="nil"/>
              <w:right w:val="single" w:sz="8" w:space="0" w:color="auto"/>
            </w:tcBorders>
            <w:vAlign w:val="center"/>
          </w:tcPr>
          <w:p w:rsidR="006002F1" w:rsidRPr="00FA667B" w:rsidRDefault="007155AE" w:rsidP="00FA667B">
            <w:pPr>
              <w:jc w:val="both"/>
              <w:rPr>
                <w:color w:val="000000"/>
              </w:rPr>
            </w:pPr>
            <w:r w:rsidRPr="00FA667B">
              <w:rPr>
                <w:color w:val="000000"/>
              </w:rPr>
              <w:t>regionální mí</w:t>
            </w:r>
            <w:r w:rsidR="006002F1" w:rsidRPr="00FA667B">
              <w:rPr>
                <w:color w:val="000000"/>
              </w:rPr>
              <w:t>zní uzliny nelze hodnotit</w:t>
            </w:r>
          </w:p>
        </w:tc>
      </w:tr>
      <w:tr w:rsidR="006002F1" w:rsidRPr="00FA667B" w:rsidTr="00726408">
        <w:trPr>
          <w:trHeight w:val="402"/>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N0</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7155AE" w:rsidP="00FA667B">
            <w:pPr>
              <w:jc w:val="both"/>
              <w:rPr>
                <w:color w:val="000000"/>
              </w:rPr>
            </w:pPr>
            <w:r w:rsidRPr="00FA667B">
              <w:rPr>
                <w:color w:val="000000"/>
              </w:rPr>
              <w:t>regionální mí</w:t>
            </w:r>
            <w:r w:rsidR="006002F1" w:rsidRPr="00FA667B">
              <w:rPr>
                <w:color w:val="000000"/>
              </w:rPr>
              <w:t>zní uzliny bez metastáz</w:t>
            </w:r>
          </w:p>
        </w:tc>
      </w:tr>
      <w:tr w:rsidR="006002F1" w:rsidRPr="00FA667B" w:rsidTr="00726408">
        <w:trPr>
          <w:trHeight w:val="402"/>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N1</w:t>
            </w:r>
          </w:p>
        </w:tc>
        <w:tc>
          <w:tcPr>
            <w:tcW w:w="5320" w:type="dxa"/>
            <w:tcBorders>
              <w:top w:val="nil"/>
              <w:left w:val="nil"/>
              <w:bottom w:val="single" w:sz="8" w:space="0" w:color="auto"/>
              <w:right w:val="single" w:sz="8" w:space="0" w:color="auto"/>
            </w:tcBorders>
            <w:vAlign w:val="center"/>
          </w:tcPr>
          <w:p w:rsidR="006002F1" w:rsidRPr="00FA667B" w:rsidRDefault="007155AE" w:rsidP="00FA667B">
            <w:pPr>
              <w:jc w:val="both"/>
              <w:rPr>
                <w:color w:val="000000"/>
              </w:rPr>
            </w:pPr>
            <w:r w:rsidRPr="00FA667B">
              <w:rPr>
                <w:color w:val="000000"/>
              </w:rPr>
              <w:t>metastázy v 1-3 regionálních mí</w:t>
            </w:r>
            <w:r w:rsidR="006002F1" w:rsidRPr="00FA667B">
              <w:rPr>
                <w:color w:val="000000"/>
              </w:rPr>
              <w:t xml:space="preserve">zních uzlinách </w:t>
            </w:r>
          </w:p>
        </w:tc>
      </w:tr>
      <w:tr w:rsidR="006002F1" w:rsidRPr="00FA667B" w:rsidTr="00726408">
        <w:trPr>
          <w:trHeight w:val="402"/>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N2</w:t>
            </w:r>
          </w:p>
        </w:tc>
        <w:tc>
          <w:tcPr>
            <w:tcW w:w="5320" w:type="dxa"/>
            <w:tcBorders>
              <w:top w:val="nil"/>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 xml:space="preserve">metastázy ve </w:t>
            </w:r>
            <w:smartTag w:uri="urn:schemas-microsoft-com:office:smarttags" w:element="metricconverter">
              <w:smartTagPr>
                <w:attr w:name="ProductID" w:val="4 a"/>
              </w:smartTagPr>
              <w:r w:rsidRPr="00FA667B">
                <w:rPr>
                  <w:color w:val="000000"/>
                </w:rPr>
                <w:t>4 a</w:t>
              </w:r>
            </w:smartTag>
            <w:r w:rsidR="007155AE" w:rsidRPr="00FA667B">
              <w:rPr>
                <w:color w:val="000000"/>
              </w:rPr>
              <w:t xml:space="preserve"> více regionálních mí</w:t>
            </w:r>
            <w:r w:rsidRPr="00FA667B">
              <w:rPr>
                <w:color w:val="000000"/>
              </w:rPr>
              <w:t xml:space="preserve">zních uzlinách </w:t>
            </w:r>
          </w:p>
        </w:tc>
      </w:tr>
      <w:tr w:rsidR="006002F1" w:rsidRPr="00FA667B" w:rsidTr="00726408">
        <w:trPr>
          <w:trHeight w:val="315"/>
        </w:trPr>
        <w:tc>
          <w:tcPr>
            <w:tcW w:w="2180" w:type="dxa"/>
            <w:tcBorders>
              <w:top w:val="nil"/>
              <w:left w:val="nil"/>
              <w:bottom w:val="nil"/>
              <w:right w:val="nil"/>
            </w:tcBorders>
            <w:vAlign w:val="center"/>
          </w:tcPr>
          <w:p w:rsidR="006002F1" w:rsidRPr="00FA667B" w:rsidRDefault="006002F1" w:rsidP="00FA667B">
            <w:pPr>
              <w:jc w:val="both"/>
              <w:rPr>
                <w:color w:val="000000"/>
              </w:rPr>
            </w:pPr>
          </w:p>
          <w:p w:rsidR="00524E66" w:rsidRPr="00FA667B" w:rsidRDefault="00524E66" w:rsidP="00FA667B">
            <w:pPr>
              <w:jc w:val="both"/>
              <w:rPr>
                <w:color w:val="000000"/>
              </w:rPr>
            </w:pPr>
          </w:p>
        </w:tc>
        <w:tc>
          <w:tcPr>
            <w:tcW w:w="5320" w:type="dxa"/>
            <w:tcBorders>
              <w:top w:val="nil"/>
              <w:left w:val="nil"/>
              <w:bottom w:val="nil"/>
              <w:right w:val="nil"/>
            </w:tcBorders>
            <w:vAlign w:val="center"/>
          </w:tcPr>
          <w:p w:rsidR="006002F1" w:rsidRPr="00FA667B" w:rsidRDefault="006002F1" w:rsidP="00FA667B">
            <w:pPr>
              <w:jc w:val="both"/>
              <w:rPr>
                <w:color w:val="000000"/>
              </w:rPr>
            </w:pPr>
          </w:p>
        </w:tc>
      </w:tr>
      <w:tr w:rsidR="006002F1" w:rsidRPr="00FA667B" w:rsidTr="00726408">
        <w:trPr>
          <w:trHeight w:val="499"/>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lastRenderedPageBreak/>
              <w:t>M vzdálené metastázy</w:t>
            </w:r>
          </w:p>
        </w:tc>
        <w:tc>
          <w:tcPr>
            <w:tcW w:w="5320" w:type="dxa"/>
            <w:tcBorders>
              <w:top w:val="nil"/>
              <w:left w:val="nil"/>
              <w:bottom w:val="nil"/>
              <w:right w:val="nil"/>
            </w:tcBorders>
            <w:vAlign w:val="center"/>
          </w:tcPr>
          <w:p w:rsidR="006002F1" w:rsidRPr="00FA667B" w:rsidRDefault="006002F1" w:rsidP="00FA667B">
            <w:pPr>
              <w:jc w:val="both"/>
              <w:rPr>
                <w:color w:val="000000"/>
              </w:rPr>
            </w:pPr>
          </w:p>
        </w:tc>
      </w:tr>
      <w:tr w:rsidR="006002F1" w:rsidRPr="00FA667B" w:rsidTr="00726408">
        <w:trPr>
          <w:trHeight w:val="402"/>
        </w:trPr>
        <w:tc>
          <w:tcPr>
            <w:tcW w:w="218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MX</w:t>
            </w:r>
          </w:p>
        </w:tc>
        <w:tc>
          <w:tcPr>
            <w:tcW w:w="5320" w:type="dxa"/>
            <w:tcBorders>
              <w:top w:val="single" w:sz="8" w:space="0" w:color="auto"/>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vzdálené metastázy nelze hodnotit</w:t>
            </w:r>
          </w:p>
        </w:tc>
      </w:tr>
      <w:tr w:rsidR="006002F1" w:rsidRPr="00FA667B" w:rsidTr="00726408">
        <w:trPr>
          <w:trHeight w:val="402"/>
        </w:trPr>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M0</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bez vzdálených metastáz</w:t>
            </w:r>
          </w:p>
        </w:tc>
      </w:tr>
      <w:tr w:rsidR="006002F1" w:rsidRPr="00FA667B" w:rsidTr="00726408">
        <w:trPr>
          <w:trHeight w:val="402"/>
        </w:trPr>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M1</w:t>
            </w:r>
          </w:p>
        </w:tc>
        <w:tc>
          <w:tcPr>
            <w:tcW w:w="5320" w:type="dxa"/>
            <w:tcBorders>
              <w:top w:val="nil"/>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 xml:space="preserve">vzdálené metastázy </w:t>
            </w:r>
          </w:p>
        </w:tc>
      </w:tr>
    </w:tbl>
    <w:p w:rsidR="006002F1" w:rsidRPr="00FA667B" w:rsidRDefault="006002F1" w:rsidP="00FA667B">
      <w:pPr>
        <w:jc w:val="both"/>
      </w:pPr>
    </w:p>
    <w:p w:rsidR="00FA667B" w:rsidRDefault="00FA667B" w:rsidP="00FA667B">
      <w:pPr>
        <w:jc w:val="both"/>
      </w:pPr>
    </w:p>
    <w:p w:rsidR="00FA667B" w:rsidRDefault="00FA667B" w:rsidP="00FA667B">
      <w:pPr>
        <w:jc w:val="both"/>
      </w:pPr>
    </w:p>
    <w:p w:rsidR="006002F1" w:rsidRPr="00FA667B" w:rsidRDefault="007155AE" w:rsidP="00FA667B">
      <w:pPr>
        <w:jc w:val="both"/>
      </w:pPr>
      <w:r w:rsidRPr="00FA667B">
        <w:t xml:space="preserve">Stadium PDAC na </w:t>
      </w:r>
      <w:r w:rsidR="004A345F" w:rsidRPr="00FA667B">
        <w:t>základě TNM klasifikace</w:t>
      </w:r>
    </w:p>
    <w:tbl>
      <w:tblPr>
        <w:tblW w:w="6640" w:type="dxa"/>
        <w:tblInd w:w="60" w:type="dxa"/>
        <w:tblCellMar>
          <w:left w:w="70" w:type="dxa"/>
          <w:right w:w="70" w:type="dxa"/>
        </w:tblCellMar>
        <w:tblLook w:val="00A0" w:firstRow="1" w:lastRow="0" w:firstColumn="1" w:lastColumn="0" w:noHBand="0" w:noVBand="0"/>
      </w:tblPr>
      <w:tblGrid>
        <w:gridCol w:w="1660"/>
        <w:gridCol w:w="1660"/>
        <w:gridCol w:w="1660"/>
        <w:gridCol w:w="1660"/>
      </w:tblGrid>
      <w:tr w:rsidR="006002F1" w:rsidRPr="00FA667B" w:rsidTr="00726408">
        <w:trPr>
          <w:trHeight w:val="499"/>
        </w:trPr>
        <w:tc>
          <w:tcPr>
            <w:tcW w:w="1660" w:type="dxa"/>
            <w:tcBorders>
              <w:top w:val="single" w:sz="8" w:space="0" w:color="auto"/>
              <w:left w:val="single" w:sz="8" w:space="0" w:color="auto"/>
              <w:bottom w:val="nil"/>
              <w:right w:val="nil"/>
            </w:tcBorders>
            <w:vAlign w:val="center"/>
          </w:tcPr>
          <w:p w:rsidR="006002F1" w:rsidRPr="00FA667B" w:rsidRDefault="006002F1" w:rsidP="00FA667B">
            <w:pPr>
              <w:jc w:val="both"/>
              <w:rPr>
                <w:color w:val="000000"/>
              </w:rPr>
            </w:pPr>
            <w:r w:rsidRPr="00FA667B">
              <w:rPr>
                <w:color w:val="000000"/>
              </w:rPr>
              <w:t>Stadium 0</w:t>
            </w:r>
          </w:p>
        </w:tc>
        <w:tc>
          <w:tcPr>
            <w:tcW w:w="166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Tis</w:t>
            </w:r>
          </w:p>
        </w:tc>
        <w:tc>
          <w:tcPr>
            <w:tcW w:w="1660" w:type="dxa"/>
            <w:tcBorders>
              <w:top w:val="single" w:sz="8" w:space="0" w:color="auto"/>
              <w:left w:val="nil"/>
              <w:bottom w:val="nil"/>
              <w:right w:val="nil"/>
            </w:tcBorders>
            <w:vAlign w:val="center"/>
          </w:tcPr>
          <w:p w:rsidR="006002F1" w:rsidRPr="00FA667B" w:rsidRDefault="006002F1" w:rsidP="00FA667B">
            <w:pPr>
              <w:jc w:val="both"/>
              <w:rPr>
                <w:color w:val="000000"/>
              </w:rPr>
            </w:pPr>
            <w:r w:rsidRPr="00FA667B">
              <w:rPr>
                <w:color w:val="000000"/>
              </w:rPr>
              <w:t>N0</w:t>
            </w:r>
          </w:p>
        </w:tc>
        <w:tc>
          <w:tcPr>
            <w:tcW w:w="166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color w:val="000000"/>
              </w:rPr>
            </w:pPr>
            <w:r w:rsidRPr="00FA667B">
              <w:rPr>
                <w:color w:val="000000"/>
              </w:rPr>
              <w:t>Stadium IA</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T1</w:t>
            </w:r>
          </w:p>
        </w:tc>
        <w:tc>
          <w:tcPr>
            <w:tcW w:w="1660" w:type="dxa"/>
            <w:tcBorders>
              <w:top w:val="single" w:sz="8" w:space="0" w:color="auto"/>
              <w:left w:val="nil"/>
              <w:bottom w:val="single" w:sz="8" w:space="0" w:color="auto"/>
              <w:right w:val="nil"/>
            </w:tcBorders>
            <w:vAlign w:val="center"/>
          </w:tcPr>
          <w:p w:rsidR="006002F1" w:rsidRPr="00FA667B" w:rsidRDefault="006002F1" w:rsidP="00FA667B">
            <w:pPr>
              <w:jc w:val="both"/>
              <w:rPr>
                <w:color w:val="000000"/>
              </w:rPr>
            </w:pPr>
            <w:r w:rsidRPr="00FA667B">
              <w:rPr>
                <w:color w:val="000000"/>
              </w:rPr>
              <w:t>N0</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nil"/>
              <w:left w:val="single" w:sz="8" w:space="0" w:color="auto"/>
              <w:bottom w:val="nil"/>
              <w:right w:val="nil"/>
            </w:tcBorders>
            <w:vAlign w:val="center"/>
          </w:tcPr>
          <w:p w:rsidR="006002F1" w:rsidRPr="00FA667B" w:rsidRDefault="006002F1" w:rsidP="00FA667B">
            <w:pPr>
              <w:jc w:val="both"/>
              <w:rPr>
                <w:color w:val="000000"/>
              </w:rPr>
            </w:pPr>
            <w:r w:rsidRPr="00FA667B">
              <w:rPr>
                <w:color w:val="000000"/>
              </w:rPr>
              <w:t>Stadium IB</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T2</w:t>
            </w:r>
          </w:p>
        </w:tc>
        <w:tc>
          <w:tcPr>
            <w:tcW w:w="1660" w:type="dxa"/>
            <w:tcBorders>
              <w:top w:val="nil"/>
              <w:left w:val="nil"/>
              <w:bottom w:val="nil"/>
              <w:right w:val="nil"/>
            </w:tcBorders>
            <w:vAlign w:val="center"/>
          </w:tcPr>
          <w:p w:rsidR="006002F1" w:rsidRPr="00FA667B" w:rsidRDefault="006002F1" w:rsidP="00FA667B">
            <w:pPr>
              <w:jc w:val="both"/>
              <w:rPr>
                <w:color w:val="000000"/>
              </w:rPr>
            </w:pPr>
            <w:r w:rsidRPr="00FA667B">
              <w:rPr>
                <w:color w:val="000000"/>
              </w:rPr>
              <w:t>N0</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color w:val="000000"/>
              </w:rPr>
            </w:pPr>
            <w:r w:rsidRPr="00FA667B">
              <w:rPr>
                <w:color w:val="000000"/>
              </w:rPr>
              <w:t>Stadium IIA</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T3</w:t>
            </w:r>
          </w:p>
        </w:tc>
        <w:tc>
          <w:tcPr>
            <w:tcW w:w="1660" w:type="dxa"/>
            <w:tcBorders>
              <w:top w:val="single" w:sz="8" w:space="0" w:color="auto"/>
              <w:left w:val="nil"/>
              <w:bottom w:val="single" w:sz="8" w:space="0" w:color="auto"/>
              <w:right w:val="nil"/>
            </w:tcBorders>
            <w:vAlign w:val="center"/>
          </w:tcPr>
          <w:p w:rsidR="006002F1" w:rsidRPr="00FA667B" w:rsidRDefault="006002F1" w:rsidP="00FA667B">
            <w:pPr>
              <w:jc w:val="both"/>
              <w:rPr>
                <w:color w:val="000000"/>
              </w:rPr>
            </w:pPr>
            <w:r w:rsidRPr="00FA667B">
              <w:rPr>
                <w:color w:val="000000"/>
              </w:rPr>
              <w:t>N0</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nil"/>
              <w:left w:val="single" w:sz="8" w:space="0" w:color="auto"/>
              <w:bottom w:val="nil"/>
              <w:right w:val="nil"/>
            </w:tcBorders>
            <w:vAlign w:val="center"/>
          </w:tcPr>
          <w:p w:rsidR="006002F1" w:rsidRPr="00FA667B" w:rsidRDefault="006002F1" w:rsidP="00FA667B">
            <w:pPr>
              <w:jc w:val="both"/>
              <w:rPr>
                <w:color w:val="000000"/>
              </w:rPr>
            </w:pPr>
            <w:r w:rsidRPr="00FA667B">
              <w:rPr>
                <w:color w:val="000000"/>
              </w:rPr>
              <w:t>Stadium IIB</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T1,T2,T3</w:t>
            </w:r>
          </w:p>
        </w:tc>
        <w:tc>
          <w:tcPr>
            <w:tcW w:w="1660" w:type="dxa"/>
            <w:tcBorders>
              <w:top w:val="nil"/>
              <w:left w:val="nil"/>
              <w:bottom w:val="nil"/>
              <w:right w:val="nil"/>
            </w:tcBorders>
            <w:vAlign w:val="center"/>
          </w:tcPr>
          <w:p w:rsidR="006002F1" w:rsidRPr="00FA667B" w:rsidRDefault="006002F1" w:rsidP="00FA667B">
            <w:pPr>
              <w:jc w:val="both"/>
              <w:rPr>
                <w:color w:val="000000"/>
              </w:rPr>
            </w:pPr>
            <w:r w:rsidRPr="00FA667B">
              <w:rPr>
                <w:color w:val="000000"/>
              </w:rPr>
              <w:t>N1</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color w:val="000000"/>
              </w:rPr>
            </w:pPr>
            <w:r w:rsidRPr="00FA667B">
              <w:rPr>
                <w:color w:val="000000"/>
              </w:rPr>
              <w:t>Stadium III</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T4</w:t>
            </w:r>
          </w:p>
        </w:tc>
        <w:tc>
          <w:tcPr>
            <w:tcW w:w="1660" w:type="dxa"/>
            <w:tcBorders>
              <w:top w:val="single" w:sz="8" w:space="0" w:color="auto"/>
              <w:left w:val="nil"/>
              <w:bottom w:val="single" w:sz="8" w:space="0" w:color="auto"/>
              <w:right w:val="nil"/>
            </w:tcBorders>
            <w:vAlign w:val="center"/>
          </w:tcPr>
          <w:p w:rsidR="006002F1" w:rsidRPr="00FA667B" w:rsidRDefault="006002F1" w:rsidP="00FA667B">
            <w:pPr>
              <w:jc w:val="both"/>
              <w:rPr>
                <w:color w:val="000000"/>
              </w:rPr>
            </w:pPr>
            <w:r w:rsidRPr="00FA667B">
              <w:rPr>
                <w:color w:val="000000"/>
              </w:rPr>
              <w:t>N jakékoliv</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M0</w:t>
            </w:r>
          </w:p>
        </w:tc>
      </w:tr>
      <w:tr w:rsidR="006002F1" w:rsidRPr="00FA667B" w:rsidTr="00726408">
        <w:trPr>
          <w:trHeight w:val="499"/>
        </w:trPr>
        <w:tc>
          <w:tcPr>
            <w:tcW w:w="1660" w:type="dxa"/>
            <w:tcBorders>
              <w:top w:val="nil"/>
              <w:left w:val="single" w:sz="8" w:space="0" w:color="auto"/>
              <w:bottom w:val="single" w:sz="8" w:space="0" w:color="auto"/>
              <w:right w:val="nil"/>
            </w:tcBorders>
            <w:vAlign w:val="center"/>
          </w:tcPr>
          <w:p w:rsidR="006002F1" w:rsidRPr="00FA667B" w:rsidRDefault="006002F1" w:rsidP="00FA667B">
            <w:pPr>
              <w:jc w:val="both"/>
              <w:rPr>
                <w:color w:val="000000"/>
              </w:rPr>
            </w:pPr>
            <w:r w:rsidRPr="00FA667B">
              <w:rPr>
                <w:color w:val="000000"/>
              </w:rPr>
              <w:t>Stadium IV</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T jakékoliv</w:t>
            </w:r>
          </w:p>
        </w:tc>
        <w:tc>
          <w:tcPr>
            <w:tcW w:w="1660" w:type="dxa"/>
            <w:tcBorders>
              <w:top w:val="nil"/>
              <w:left w:val="nil"/>
              <w:bottom w:val="single" w:sz="8" w:space="0" w:color="auto"/>
              <w:right w:val="nil"/>
            </w:tcBorders>
            <w:vAlign w:val="center"/>
          </w:tcPr>
          <w:p w:rsidR="006002F1" w:rsidRPr="00FA667B" w:rsidRDefault="006002F1" w:rsidP="00FA667B">
            <w:pPr>
              <w:jc w:val="both"/>
              <w:rPr>
                <w:color w:val="000000"/>
              </w:rPr>
            </w:pPr>
            <w:r w:rsidRPr="00FA667B">
              <w:rPr>
                <w:color w:val="000000"/>
              </w:rPr>
              <w:t>N jakékoliv</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M1</w:t>
            </w:r>
          </w:p>
        </w:tc>
      </w:tr>
    </w:tbl>
    <w:p w:rsidR="006002F1" w:rsidRPr="00FA667B" w:rsidRDefault="006002F1" w:rsidP="00FA667B">
      <w:pPr>
        <w:jc w:val="both"/>
      </w:pPr>
    </w:p>
    <w:p w:rsidR="00524E66" w:rsidRPr="00FA667B" w:rsidRDefault="00524E66" w:rsidP="00FA667B">
      <w:pPr>
        <w:jc w:val="both"/>
        <w:rPr>
          <w:b/>
          <w:i/>
          <w:u w:val="single"/>
        </w:rPr>
      </w:pPr>
    </w:p>
    <w:p w:rsidR="00524E66" w:rsidRDefault="00524E66" w:rsidP="00FA667B">
      <w:pPr>
        <w:jc w:val="both"/>
        <w:rPr>
          <w:b/>
          <w:i/>
          <w:u w:val="single"/>
        </w:rPr>
      </w:pPr>
    </w:p>
    <w:p w:rsidR="00EF27F4" w:rsidRDefault="00EF27F4" w:rsidP="00FA667B">
      <w:pPr>
        <w:jc w:val="both"/>
        <w:rPr>
          <w:b/>
          <w:i/>
          <w:u w:val="single"/>
        </w:rPr>
      </w:pPr>
    </w:p>
    <w:p w:rsidR="006002F1" w:rsidRPr="00FA667B" w:rsidRDefault="006002F1" w:rsidP="00FA667B">
      <w:pPr>
        <w:jc w:val="both"/>
        <w:rPr>
          <w:b/>
          <w:i/>
          <w:u w:val="single"/>
        </w:rPr>
      </w:pPr>
      <w:r w:rsidRPr="00FA667B">
        <w:rPr>
          <w:b/>
          <w:i/>
          <w:u w:val="single"/>
        </w:rPr>
        <w:t>1.7.Japonská klasifikace</w:t>
      </w:r>
    </w:p>
    <w:p w:rsidR="00524E66" w:rsidRPr="00FA667B" w:rsidRDefault="00524E66" w:rsidP="00FA667B">
      <w:pPr>
        <w:jc w:val="both"/>
      </w:pPr>
      <w:bookmarkStart w:id="0" w:name="_GoBack__bau1___bau2___bau3_쨘T㔻Ɛ_____ʯ뀀"/>
      <w:bookmarkEnd w:id="0"/>
    </w:p>
    <w:p w:rsidR="006002F1" w:rsidRPr="00FA667B" w:rsidRDefault="006002F1" w:rsidP="00FA667B">
      <w:pPr>
        <w:jc w:val="both"/>
      </w:pPr>
      <w:r w:rsidRPr="00FA667B">
        <w:t>JPN klasifikace. Primární nádory (T)</w:t>
      </w:r>
    </w:p>
    <w:tbl>
      <w:tblPr>
        <w:tblW w:w="6020" w:type="dxa"/>
        <w:tblInd w:w="55" w:type="dxa"/>
        <w:tblCellMar>
          <w:left w:w="70" w:type="dxa"/>
          <w:right w:w="70" w:type="dxa"/>
        </w:tblCellMar>
        <w:tblLook w:val="0000" w:firstRow="0" w:lastRow="0" w:firstColumn="0" w:lastColumn="0" w:noHBand="0" w:noVBand="0"/>
      </w:tblPr>
      <w:tblGrid>
        <w:gridCol w:w="700"/>
        <w:gridCol w:w="5320"/>
      </w:tblGrid>
      <w:tr w:rsidR="006002F1" w:rsidRPr="00FA667B" w:rsidTr="00687AD3">
        <w:trPr>
          <w:trHeight w:val="402"/>
        </w:trPr>
        <w:tc>
          <w:tcPr>
            <w:tcW w:w="700" w:type="dxa"/>
            <w:tcBorders>
              <w:top w:val="single" w:sz="8" w:space="0" w:color="auto"/>
              <w:left w:val="single" w:sz="8" w:space="0" w:color="auto"/>
              <w:bottom w:val="nil"/>
              <w:right w:val="nil"/>
            </w:tcBorders>
            <w:noWrap/>
            <w:vAlign w:val="bottom"/>
          </w:tcPr>
          <w:p w:rsidR="006002F1" w:rsidRPr="00FA667B" w:rsidRDefault="006002F1" w:rsidP="00FA667B">
            <w:pPr>
              <w:jc w:val="both"/>
              <w:rPr>
                <w:color w:val="000000"/>
              </w:rPr>
            </w:pPr>
            <w:r w:rsidRPr="00FA667B">
              <w:rPr>
                <w:color w:val="000000"/>
              </w:rPr>
              <w:t>T1</w:t>
            </w:r>
          </w:p>
        </w:tc>
        <w:tc>
          <w:tcPr>
            <w:tcW w:w="5320" w:type="dxa"/>
            <w:tcBorders>
              <w:top w:val="single" w:sz="8" w:space="0" w:color="auto"/>
              <w:left w:val="single" w:sz="8" w:space="0" w:color="auto"/>
              <w:bottom w:val="nil"/>
              <w:right w:val="single" w:sz="8" w:space="0" w:color="auto"/>
            </w:tcBorders>
            <w:noWrap/>
            <w:vAlign w:val="bottom"/>
          </w:tcPr>
          <w:p w:rsidR="006002F1" w:rsidRPr="00FA667B" w:rsidRDefault="006002F1" w:rsidP="00FA667B">
            <w:pPr>
              <w:jc w:val="both"/>
              <w:rPr>
                <w:color w:val="000000"/>
              </w:rPr>
            </w:pPr>
            <w:r w:rsidRPr="00FA667B">
              <w:rPr>
                <w:color w:val="000000"/>
              </w:rPr>
              <w:t>nádory S0, RP0, PV0, A0, DU0, CH0,1:</w:t>
            </w:r>
          </w:p>
        </w:tc>
      </w:tr>
      <w:tr w:rsidR="006002F1" w:rsidRPr="00FA667B" w:rsidTr="00687AD3">
        <w:trPr>
          <w:trHeight w:val="402"/>
        </w:trPr>
        <w:tc>
          <w:tcPr>
            <w:tcW w:w="700" w:type="dxa"/>
            <w:tcBorders>
              <w:top w:val="nil"/>
              <w:left w:val="single" w:sz="8" w:space="0" w:color="auto"/>
              <w:bottom w:val="nil"/>
              <w:right w:val="nil"/>
            </w:tcBorders>
            <w:noWrap/>
            <w:vAlign w:val="bottom"/>
          </w:tcPr>
          <w:p w:rsidR="006002F1" w:rsidRPr="00FA667B" w:rsidRDefault="006002F1" w:rsidP="00FA667B">
            <w:pPr>
              <w:jc w:val="both"/>
              <w:rPr>
                <w:color w:val="000000"/>
              </w:rPr>
            </w:pPr>
            <w:r w:rsidRPr="00FA667B">
              <w:rPr>
                <w:color w:val="000000"/>
              </w:rPr>
              <w:t> </w:t>
            </w:r>
          </w:p>
        </w:tc>
        <w:tc>
          <w:tcPr>
            <w:tcW w:w="5320" w:type="dxa"/>
            <w:tcBorders>
              <w:top w:val="nil"/>
              <w:left w:val="single" w:sz="8" w:space="0" w:color="auto"/>
              <w:bottom w:val="nil"/>
              <w:right w:val="single" w:sz="8" w:space="0" w:color="auto"/>
            </w:tcBorders>
            <w:noWrap/>
            <w:vAlign w:val="bottom"/>
          </w:tcPr>
          <w:p w:rsidR="006002F1" w:rsidRPr="00FA667B" w:rsidRDefault="006002F1" w:rsidP="00FA667B">
            <w:pPr>
              <w:jc w:val="both"/>
              <w:rPr>
                <w:color w:val="000000"/>
              </w:rPr>
            </w:pPr>
            <w:r w:rsidRPr="00FA667B">
              <w:rPr>
                <w:color w:val="000000"/>
              </w:rPr>
              <w:t>T1a nádory &lt; 2cm v nejdelším průměru</w:t>
            </w:r>
          </w:p>
        </w:tc>
      </w:tr>
      <w:tr w:rsidR="006002F1" w:rsidRPr="00FA667B" w:rsidTr="00687AD3">
        <w:trPr>
          <w:trHeight w:val="402"/>
        </w:trPr>
        <w:tc>
          <w:tcPr>
            <w:tcW w:w="700" w:type="dxa"/>
            <w:tcBorders>
              <w:top w:val="nil"/>
              <w:left w:val="single" w:sz="8" w:space="0" w:color="auto"/>
              <w:bottom w:val="single" w:sz="8" w:space="0" w:color="auto"/>
              <w:right w:val="nil"/>
            </w:tcBorders>
            <w:noWrap/>
            <w:vAlign w:val="bottom"/>
          </w:tcPr>
          <w:p w:rsidR="006002F1" w:rsidRPr="00FA667B" w:rsidRDefault="006002F1" w:rsidP="00FA667B">
            <w:pPr>
              <w:jc w:val="both"/>
              <w:rPr>
                <w:color w:val="000000"/>
              </w:rPr>
            </w:pPr>
            <w:r w:rsidRPr="00FA667B">
              <w:rPr>
                <w:color w:val="000000"/>
              </w:rPr>
              <w:t> </w:t>
            </w:r>
          </w:p>
        </w:tc>
        <w:tc>
          <w:tcPr>
            <w:tcW w:w="532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rPr>
                <w:color w:val="000000"/>
              </w:rPr>
            </w:pPr>
            <w:r w:rsidRPr="00FA667B">
              <w:rPr>
                <w:color w:val="000000"/>
              </w:rPr>
              <w:t>T1b nádory &gt; 2cm v nejdelším průměru</w:t>
            </w:r>
          </w:p>
        </w:tc>
      </w:tr>
      <w:tr w:rsidR="006002F1" w:rsidRPr="00FA667B" w:rsidTr="00687AD3">
        <w:trPr>
          <w:trHeight w:val="402"/>
        </w:trPr>
        <w:tc>
          <w:tcPr>
            <w:tcW w:w="700" w:type="dxa"/>
            <w:tcBorders>
              <w:top w:val="nil"/>
              <w:left w:val="single" w:sz="8" w:space="0" w:color="auto"/>
              <w:bottom w:val="nil"/>
              <w:right w:val="nil"/>
            </w:tcBorders>
            <w:noWrap/>
            <w:vAlign w:val="bottom"/>
          </w:tcPr>
          <w:p w:rsidR="006002F1" w:rsidRPr="00FA667B" w:rsidRDefault="006002F1" w:rsidP="00FA667B">
            <w:pPr>
              <w:jc w:val="both"/>
              <w:rPr>
                <w:color w:val="000000"/>
              </w:rPr>
            </w:pPr>
            <w:r w:rsidRPr="00FA667B">
              <w:rPr>
                <w:color w:val="000000"/>
              </w:rPr>
              <w:t>T2</w:t>
            </w:r>
          </w:p>
        </w:tc>
        <w:tc>
          <w:tcPr>
            <w:tcW w:w="5320" w:type="dxa"/>
            <w:tcBorders>
              <w:top w:val="nil"/>
              <w:left w:val="single" w:sz="8" w:space="0" w:color="auto"/>
              <w:bottom w:val="nil"/>
              <w:right w:val="single" w:sz="8" w:space="0" w:color="auto"/>
            </w:tcBorders>
            <w:noWrap/>
            <w:vAlign w:val="bottom"/>
          </w:tcPr>
          <w:p w:rsidR="006002F1" w:rsidRPr="00FA667B" w:rsidRDefault="006002F1" w:rsidP="00FA667B">
            <w:pPr>
              <w:jc w:val="both"/>
              <w:rPr>
                <w:color w:val="000000"/>
              </w:rPr>
            </w:pPr>
            <w:r w:rsidRPr="00FA667B">
              <w:rPr>
                <w:color w:val="000000"/>
              </w:rPr>
              <w:t>nádory splňující 1 nebo více kritérií:</w:t>
            </w:r>
          </w:p>
        </w:tc>
      </w:tr>
      <w:tr w:rsidR="006002F1" w:rsidRPr="00FA667B" w:rsidTr="00687AD3">
        <w:trPr>
          <w:trHeight w:val="402"/>
        </w:trPr>
        <w:tc>
          <w:tcPr>
            <w:tcW w:w="700" w:type="dxa"/>
            <w:tcBorders>
              <w:top w:val="nil"/>
              <w:left w:val="single" w:sz="8" w:space="0" w:color="auto"/>
              <w:bottom w:val="single" w:sz="8" w:space="0" w:color="auto"/>
              <w:right w:val="nil"/>
            </w:tcBorders>
            <w:noWrap/>
            <w:vAlign w:val="bottom"/>
          </w:tcPr>
          <w:p w:rsidR="006002F1" w:rsidRPr="00FA667B" w:rsidRDefault="006002F1" w:rsidP="00FA667B">
            <w:pPr>
              <w:jc w:val="both"/>
              <w:rPr>
                <w:color w:val="000000"/>
              </w:rPr>
            </w:pPr>
            <w:r w:rsidRPr="00FA667B">
              <w:rPr>
                <w:color w:val="000000"/>
              </w:rPr>
              <w:t> </w:t>
            </w:r>
          </w:p>
        </w:tc>
        <w:tc>
          <w:tcPr>
            <w:tcW w:w="532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rPr>
                <w:color w:val="000000"/>
              </w:rPr>
            </w:pPr>
            <w:r w:rsidRPr="00FA667B">
              <w:rPr>
                <w:color w:val="000000"/>
              </w:rPr>
              <w:t>S1, RP1, PV1, A1, DU1,2,3, CH2,3 bez ohledu na velikost</w:t>
            </w:r>
          </w:p>
        </w:tc>
      </w:tr>
      <w:tr w:rsidR="006002F1" w:rsidRPr="00FA667B" w:rsidTr="00687AD3">
        <w:trPr>
          <w:trHeight w:val="402"/>
        </w:trPr>
        <w:tc>
          <w:tcPr>
            <w:tcW w:w="700" w:type="dxa"/>
            <w:tcBorders>
              <w:top w:val="nil"/>
              <w:left w:val="single" w:sz="8" w:space="0" w:color="auto"/>
              <w:bottom w:val="nil"/>
              <w:right w:val="nil"/>
            </w:tcBorders>
            <w:noWrap/>
            <w:vAlign w:val="bottom"/>
          </w:tcPr>
          <w:p w:rsidR="006002F1" w:rsidRPr="00FA667B" w:rsidRDefault="006002F1" w:rsidP="00FA667B">
            <w:pPr>
              <w:jc w:val="both"/>
              <w:rPr>
                <w:color w:val="000000"/>
              </w:rPr>
            </w:pPr>
            <w:r w:rsidRPr="00FA667B">
              <w:rPr>
                <w:color w:val="000000"/>
              </w:rPr>
              <w:t>T3</w:t>
            </w:r>
          </w:p>
        </w:tc>
        <w:tc>
          <w:tcPr>
            <w:tcW w:w="5320" w:type="dxa"/>
            <w:tcBorders>
              <w:top w:val="nil"/>
              <w:left w:val="single" w:sz="8" w:space="0" w:color="auto"/>
              <w:bottom w:val="nil"/>
              <w:right w:val="single" w:sz="8" w:space="0" w:color="auto"/>
            </w:tcBorders>
            <w:noWrap/>
            <w:vAlign w:val="bottom"/>
          </w:tcPr>
          <w:p w:rsidR="006002F1" w:rsidRPr="00FA667B" w:rsidRDefault="006002F1" w:rsidP="00FA667B">
            <w:pPr>
              <w:jc w:val="both"/>
              <w:rPr>
                <w:color w:val="000000"/>
              </w:rPr>
            </w:pPr>
            <w:r w:rsidRPr="00FA667B">
              <w:rPr>
                <w:color w:val="000000"/>
              </w:rPr>
              <w:t>nádory splňující 1 nebo více kriterií</w:t>
            </w:r>
          </w:p>
        </w:tc>
      </w:tr>
      <w:tr w:rsidR="006002F1" w:rsidRPr="00FA667B" w:rsidTr="00687AD3">
        <w:trPr>
          <w:trHeight w:val="402"/>
        </w:trPr>
        <w:tc>
          <w:tcPr>
            <w:tcW w:w="700" w:type="dxa"/>
            <w:tcBorders>
              <w:top w:val="nil"/>
              <w:left w:val="single" w:sz="8" w:space="0" w:color="auto"/>
              <w:bottom w:val="single" w:sz="8" w:space="0" w:color="auto"/>
              <w:right w:val="nil"/>
            </w:tcBorders>
            <w:noWrap/>
            <w:vAlign w:val="bottom"/>
          </w:tcPr>
          <w:p w:rsidR="006002F1" w:rsidRPr="00FA667B" w:rsidRDefault="006002F1" w:rsidP="00FA667B">
            <w:pPr>
              <w:jc w:val="both"/>
              <w:rPr>
                <w:color w:val="000000"/>
              </w:rPr>
            </w:pPr>
            <w:r w:rsidRPr="00FA667B">
              <w:rPr>
                <w:color w:val="000000"/>
              </w:rPr>
              <w:t> </w:t>
            </w:r>
          </w:p>
        </w:tc>
        <w:tc>
          <w:tcPr>
            <w:tcW w:w="532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rPr>
                <w:color w:val="000000"/>
              </w:rPr>
            </w:pPr>
            <w:r w:rsidRPr="00FA667B">
              <w:rPr>
                <w:color w:val="000000"/>
              </w:rPr>
              <w:t>S2,3, RP2,3, PV2,3, A 2,3 bez ohledu na velikost</w:t>
            </w:r>
          </w:p>
        </w:tc>
      </w:tr>
    </w:tbl>
    <w:p w:rsidR="004A345F" w:rsidRPr="00FA667B" w:rsidRDefault="004A345F" w:rsidP="00FA667B">
      <w:pPr>
        <w:jc w:val="both"/>
      </w:pPr>
    </w:p>
    <w:p w:rsidR="00FA13F7" w:rsidRDefault="00FA13F7" w:rsidP="00FA667B">
      <w:pPr>
        <w:jc w:val="both"/>
      </w:pPr>
    </w:p>
    <w:p w:rsidR="00FA13F7" w:rsidRDefault="00FA13F7" w:rsidP="00FA667B">
      <w:pPr>
        <w:jc w:val="both"/>
      </w:pPr>
    </w:p>
    <w:p w:rsidR="002100F7" w:rsidRDefault="002100F7" w:rsidP="00FA667B">
      <w:pPr>
        <w:jc w:val="both"/>
      </w:pPr>
    </w:p>
    <w:p w:rsidR="002100F7" w:rsidRDefault="002100F7" w:rsidP="00FA667B">
      <w:pPr>
        <w:jc w:val="both"/>
      </w:pPr>
    </w:p>
    <w:p w:rsidR="002100F7" w:rsidRDefault="002100F7" w:rsidP="00FA667B">
      <w:pPr>
        <w:jc w:val="both"/>
      </w:pPr>
    </w:p>
    <w:p w:rsidR="002100F7" w:rsidRDefault="002100F7" w:rsidP="00FA667B">
      <w:pPr>
        <w:jc w:val="both"/>
      </w:pPr>
    </w:p>
    <w:p w:rsidR="002100F7" w:rsidRDefault="002100F7" w:rsidP="00FA667B">
      <w:pPr>
        <w:jc w:val="both"/>
      </w:pPr>
    </w:p>
    <w:p w:rsidR="006002F1" w:rsidRPr="00FA667B" w:rsidRDefault="006002F1" w:rsidP="00FA667B">
      <w:pPr>
        <w:jc w:val="both"/>
      </w:pPr>
      <w:r w:rsidRPr="00FA667B">
        <w:lastRenderedPageBreak/>
        <w:t>JPN klasifikace. Regionální lymfatické uzliny (N)</w:t>
      </w:r>
    </w:p>
    <w:tbl>
      <w:tblPr>
        <w:tblW w:w="6280" w:type="dxa"/>
        <w:tblInd w:w="55" w:type="dxa"/>
        <w:tblCellMar>
          <w:left w:w="70" w:type="dxa"/>
          <w:right w:w="70" w:type="dxa"/>
        </w:tblCellMar>
        <w:tblLook w:val="0000" w:firstRow="0" w:lastRow="0" w:firstColumn="0" w:lastColumn="0" w:noHBand="0" w:noVBand="0"/>
      </w:tblPr>
      <w:tblGrid>
        <w:gridCol w:w="960"/>
        <w:gridCol w:w="5320"/>
      </w:tblGrid>
      <w:tr w:rsidR="006002F1" w:rsidRPr="00FA667B" w:rsidTr="00687AD3">
        <w:trPr>
          <w:trHeight w:val="702"/>
        </w:trPr>
        <w:tc>
          <w:tcPr>
            <w:tcW w:w="960" w:type="dxa"/>
            <w:tcBorders>
              <w:top w:val="single" w:sz="8" w:space="0" w:color="auto"/>
              <w:left w:val="single" w:sz="8" w:space="0" w:color="auto"/>
              <w:bottom w:val="nil"/>
              <w:right w:val="single" w:sz="4" w:space="0" w:color="auto"/>
            </w:tcBorders>
            <w:vAlign w:val="center"/>
          </w:tcPr>
          <w:p w:rsidR="006002F1" w:rsidRPr="00FA667B" w:rsidRDefault="006002F1" w:rsidP="00FA667B">
            <w:pPr>
              <w:jc w:val="both"/>
              <w:rPr>
                <w:color w:val="000000"/>
              </w:rPr>
            </w:pPr>
            <w:r w:rsidRPr="00FA667B">
              <w:rPr>
                <w:color w:val="000000"/>
              </w:rPr>
              <w:t>N0</w:t>
            </w:r>
          </w:p>
        </w:tc>
        <w:tc>
          <w:tcPr>
            <w:tcW w:w="5320" w:type="dxa"/>
            <w:tcBorders>
              <w:top w:val="single" w:sz="8" w:space="0" w:color="auto"/>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bez metastatického postižení</w:t>
            </w:r>
          </w:p>
        </w:tc>
      </w:tr>
      <w:tr w:rsidR="006002F1" w:rsidRPr="00FA667B" w:rsidTr="00687AD3">
        <w:trPr>
          <w:trHeight w:val="702"/>
        </w:trPr>
        <w:tc>
          <w:tcPr>
            <w:tcW w:w="960" w:type="dxa"/>
            <w:tcBorders>
              <w:top w:val="single" w:sz="8" w:space="0" w:color="auto"/>
              <w:left w:val="single" w:sz="8" w:space="0" w:color="auto"/>
              <w:bottom w:val="single" w:sz="8" w:space="0" w:color="auto"/>
              <w:right w:val="single" w:sz="4" w:space="0" w:color="auto"/>
            </w:tcBorders>
            <w:vAlign w:val="center"/>
          </w:tcPr>
          <w:p w:rsidR="006002F1" w:rsidRPr="00FA667B" w:rsidRDefault="006002F1" w:rsidP="00FA667B">
            <w:pPr>
              <w:jc w:val="both"/>
              <w:rPr>
                <w:color w:val="000000"/>
              </w:rPr>
            </w:pPr>
            <w:r w:rsidRPr="00FA667B">
              <w:rPr>
                <w:color w:val="000000"/>
              </w:rPr>
              <w:t>N1</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metastázy do skupiny primárních lymfatických uzlin uložených v blízkosti nádoru</w:t>
            </w:r>
          </w:p>
        </w:tc>
      </w:tr>
      <w:tr w:rsidR="006002F1" w:rsidRPr="00FA667B" w:rsidTr="00687AD3">
        <w:trPr>
          <w:trHeight w:val="702"/>
        </w:trPr>
        <w:tc>
          <w:tcPr>
            <w:tcW w:w="960" w:type="dxa"/>
            <w:tcBorders>
              <w:top w:val="nil"/>
              <w:left w:val="single" w:sz="8" w:space="0" w:color="auto"/>
              <w:bottom w:val="nil"/>
              <w:right w:val="single" w:sz="4" w:space="0" w:color="auto"/>
            </w:tcBorders>
            <w:vAlign w:val="center"/>
          </w:tcPr>
          <w:p w:rsidR="006002F1" w:rsidRPr="00FA667B" w:rsidRDefault="006002F1" w:rsidP="00FA667B">
            <w:pPr>
              <w:jc w:val="both"/>
              <w:rPr>
                <w:color w:val="000000"/>
              </w:rPr>
            </w:pPr>
            <w:r w:rsidRPr="00FA667B">
              <w:rPr>
                <w:color w:val="000000"/>
              </w:rPr>
              <w:t>N2</w:t>
            </w:r>
          </w:p>
        </w:tc>
        <w:tc>
          <w:tcPr>
            <w:tcW w:w="5320" w:type="dxa"/>
            <w:tcBorders>
              <w:top w:val="nil"/>
              <w:left w:val="nil"/>
              <w:bottom w:val="nil"/>
              <w:right w:val="single" w:sz="8" w:space="0" w:color="auto"/>
            </w:tcBorders>
            <w:vAlign w:val="center"/>
          </w:tcPr>
          <w:p w:rsidR="006002F1" w:rsidRPr="00FA667B" w:rsidRDefault="006002F1" w:rsidP="00FA667B">
            <w:pPr>
              <w:jc w:val="both"/>
              <w:rPr>
                <w:color w:val="000000"/>
              </w:rPr>
            </w:pPr>
            <w:r w:rsidRPr="00FA667B">
              <w:rPr>
                <w:color w:val="000000"/>
              </w:rPr>
              <w:t>metastázy do sekundárních lymfatických uzlin mezi N1 a N3</w:t>
            </w:r>
          </w:p>
        </w:tc>
      </w:tr>
      <w:tr w:rsidR="006002F1" w:rsidRPr="00FA667B" w:rsidTr="00687AD3">
        <w:trPr>
          <w:trHeight w:val="702"/>
        </w:trPr>
        <w:tc>
          <w:tcPr>
            <w:tcW w:w="960" w:type="dxa"/>
            <w:tcBorders>
              <w:top w:val="single" w:sz="8" w:space="0" w:color="auto"/>
              <w:left w:val="single" w:sz="8" w:space="0" w:color="auto"/>
              <w:bottom w:val="single" w:sz="8" w:space="0" w:color="auto"/>
              <w:right w:val="single" w:sz="4" w:space="0" w:color="auto"/>
            </w:tcBorders>
            <w:vAlign w:val="center"/>
          </w:tcPr>
          <w:p w:rsidR="006002F1" w:rsidRPr="00FA667B" w:rsidRDefault="006002F1" w:rsidP="00FA667B">
            <w:pPr>
              <w:jc w:val="both"/>
              <w:rPr>
                <w:color w:val="000000"/>
              </w:rPr>
            </w:pPr>
            <w:r w:rsidRPr="00FA667B">
              <w:rPr>
                <w:color w:val="000000"/>
              </w:rPr>
              <w:t>N3</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metastázy do terciálních, juxtaregionálních uzlin</w:t>
            </w:r>
          </w:p>
        </w:tc>
      </w:tr>
    </w:tbl>
    <w:p w:rsidR="006002F1" w:rsidRPr="00FA667B" w:rsidRDefault="006002F1" w:rsidP="00FA667B">
      <w:pPr>
        <w:jc w:val="both"/>
      </w:pPr>
    </w:p>
    <w:p w:rsidR="00524E66" w:rsidRPr="00FA667B" w:rsidRDefault="00524E66" w:rsidP="00FA667B">
      <w:pPr>
        <w:jc w:val="both"/>
      </w:pPr>
    </w:p>
    <w:p w:rsidR="00524E66" w:rsidRPr="00FA667B" w:rsidRDefault="00524E66" w:rsidP="00FA667B">
      <w:pPr>
        <w:jc w:val="both"/>
      </w:pPr>
    </w:p>
    <w:p w:rsidR="006002F1" w:rsidRPr="00FA667B" w:rsidRDefault="006002F1" w:rsidP="00FA667B">
      <w:pPr>
        <w:jc w:val="both"/>
      </w:pPr>
      <w:r w:rsidRPr="00FA667B">
        <w:t>JPN klasifikace. Vzdálené metastázy (M)</w:t>
      </w:r>
    </w:p>
    <w:tbl>
      <w:tblPr>
        <w:tblW w:w="6020" w:type="dxa"/>
        <w:tblInd w:w="55" w:type="dxa"/>
        <w:tblCellMar>
          <w:left w:w="70" w:type="dxa"/>
          <w:right w:w="70" w:type="dxa"/>
        </w:tblCellMar>
        <w:tblLook w:val="0000" w:firstRow="0" w:lastRow="0" w:firstColumn="0" w:lastColumn="0" w:noHBand="0" w:noVBand="0"/>
      </w:tblPr>
      <w:tblGrid>
        <w:gridCol w:w="700"/>
        <w:gridCol w:w="5320"/>
      </w:tblGrid>
      <w:tr w:rsidR="006002F1" w:rsidRPr="00FA667B" w:rsidTr="001A6978">
        <w:trPr>
          <w:trHeight w:val="702"/>
        </w:trPr>
        <w:tc>
          <w:tcPr>
            <w:tcW w:w="70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M0</w:t>
            </w:r>
          </w:p>
        </w:tc>
        <w:tc>
          <w:tcPr>
            <w:tcW w:w="532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bez vzdálených metastáz</w:t>
            </w:r>
          </w:p>
        </w:tc>
      </w:tr>
      <w:tr w:rsidR="006002F1" w:rsidRPr="00FA667B" w:rsidTr="001A6978">
        <w:trPr>
          <w:trHeight w:val="702"/>
        </w:trPr>
        <w:tc>
          <w:tcPr>
            <w:tcW w:w="70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M1</w:t>
            </w:r>
          </w:p>
        </w:tc>
        <w:tc>
          <w:tcPr>
            <w:tcW w:w="5320" w:type="dxa"/>
            <w:tcBorders>
              <w:top w:val="nil"/>
              <w:left w:val="nil"/>
              <w:bottom w:val="single" w:sz="8" w:space="0" w:color="auto"/>
              <w:right w:val="single" w:sz="8" w:space="0" w:color="auto"/>
            </w:tcBorders>
            <w:vAlign w:val="center"/>
          </w:tcPr>
          <w:p w:rsidR="006002F1" w:rsidRPr="00FA667B" w:rsidRDefault="006002F1" w:rsidP="00FA667B">
            <w:pPr>
              <w:jc w:val="both"/>
              <w:rPr>
                <w:color w:val="000000"/>
              </w:rPr>
            </w:pPr>
            <w:r w:rsidRPr="00FA667B">
              <w:rPr>
                <w:color w:val="000000"/>
              </w:rPr>
              <w:t>pozitivní metastatické postižení, včetně peritoneální diseminace (P) nebo jaterních metastáz (M)</w:t>
            </w:r>
          </w:p>
        </w:tc>
      </w:tr>
    </w:tbl>
    <w:p w:rsidR="00EF27F4" w:rsidRDefault="00EF27F4" w:rsidP="00FA667B">
      <w:pPr>
        <w:jc w:val="both"/>
      </w:pPr>
    </w:p>
    <w:p w:rsidR="00EF27F4" w:rsidRDefault="00EF27F4" w:rsidP="00FA667B">
      <w:pPr>
        <w:jc w:val="both"/>
      </w:pPr>
    </w:p>
    <w:p w:rsidR="006002F1" w:rsidRPr="00FA667B" w:rsidRDefault="006002F1" w:rsidP="00FA667B">
      <w:pPr>
        <w:jc w:val="both"/>
      </w:pPr>
      <w:r w:rsidRPr="00FA667B">
        <w:t>JPN klasifikace. Staging</w:t>
      </w:r>
    </w:p>
    <w:tbl>
      <w:tblPr>
        <w:tblW w:w="6320" w:type="dxa"/>
        <w:tblInd w:w="55" w:type="dxa"/>
        <w:tblCellMar>
          <w:left w:w="70" w:type="dxa"/>
          <w:right w:w="70" w:type="dxa"/>
        </w:tblCellMar>
        <w:tblLook w:val="0000" w:firstRow="0" w:lastRow="0" w:firstColumn="0" w:lastColumn="0" w:noHBand="0" w:noVBand="0"/>
      </w:tblPr>
      <w:tblGrid>
        <w:gridCol w:w="1340"/>
        <w:gridCol w:w="1660"/>
        <w:gridCol w:w="1660"/>
        <w:gridCol w:w="1660"/>
      </w:tblGrid>
      <w:tr w:rsidR="006002F1" w:rsidRPr="00FA667B" w:rsidTr="001A6978">
        <w:trPr>
          <w:trHeight w:val="402"/>
        </w:trPr>
        <w:tc>
          <w:tcPr>
            <w:tcW w:w="1340" w:type="dxa"/>
            <w:tcBorders>
              <w:top w:val="single" w:sz="8" w:space="0" w:color="auto"/>
              <w:left w:val="single" w:sz="8" w:space="0" w:color="auto"/>
              <w:bottom w:val="single" w:sz="8" w:space="0" w:color="auto"/>
              <w:right w:val="single" w:sz="8" w:space="0" w:color="auto"/>
            </w:tcBorders>
            <w:noWrap/>
            <w:vAlign w:val="bottom"/>
          </w:tcPr>
          <w:p w:rsidR="006002F1" w:rsidRPr="00FA667B" w:rsidRDefault="006002F1" w:rsidP="00FA667B">
            <w:pPr>
              <w:jc w:val="both"/>
            </w:pPr>
            <w:r w:rsidRPr="00FA667B">
              <w:t>Stadium I</w:t>
            </w:r>
          </w:p>
        </w:tc>
        <w:tc>
          <w:tcPr>
            <w:tcW w:w="1660" w:type="dxa"/>
            <w:tcBorders>
              <w:top w:val="single" w:sz="8" w:space="0" w:color="auto"/>
              <w:left w:val="nil"/>
              <w:bottom w:val="single" w:sz="8" w:space="0" w:color="auto"/>
              <w:right w:val="nil"/>
            </w:tcBorders>
            <w:vAlign w:val="center"/>
          </w:tcPr>
          <w:p w:rsidR="006002F1" w:rsidRPr="00FA667B" w:rsidRDefault="006002F1" w:rsidP="00FA667B">
            <w:pPr>
              <w:jc w:val="both"/>
            </w:pPr>
            <w:r w:rsidRPr="00FA667B">
              <w:t>T1a</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N0</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Stadium II</w:t>
            </w:r>
          </w:p>
        </w:tc>
        <w:tc>
          <w:tcPr>
            <w:tcW w:w="1660" w:type="dxa"/>
            <w:tcBorders>
              <w:top w:val="nil"/>
              <w:left w:val="nil"/>
              <w:bottom w:val="nil"/>
              <w:right w:val="nil"/>
            </w:tcBorders>
            <w:vAlign w:val="center"/>
          </w:tcPr>
          <w:p w:rsidR="006002F1" w:rsidRPr="00FA667B" w:rsidRDefault="006002F1" w:rsidP="00FA667B">
            <w:pPr>
              <w:jc w:val="both"/>
            </w:pPr>
            <w:r w:rsidRPr="00FA667B">
              <w:t>T1a</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N1</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single" w:sz="8" w:space="0" w:color="auto"/>
              <w:right w:val="nil"/>
            </w:tcBorders>
            <w:vAlign w:val="center"/>
          </w:tcPr>
          <w:p w:rsidR="006002F1" w:rsidRPr="00FA667B" w:rsidRDefault="006002F1" w:rsidP="00FA667B">
            <w:pPr>
              <w:jc w:val="both"/>
            </w:pPr>
            <w:r w:rsidRPr="00FA667B">
              <w:t>T1b</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N0,1</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Stadium III</w:t>
            </w:r>
          </w:p>
        </w:tc>
        <w:tc>
          <w:tcPr>
            <w:tcW w:w="1660" w:type="dxa"/>
            <w:tcBorders>
              <w:top w:val="nil"/>
              <w:left w:val="nil"/>
              <w:bottom w:val="nil"/>
              <w:right w:val="nil"/>
            </w:tcBorders>
            <w:vAlign w:val="center"/>
          </w:tcPr>
          <w:p w:rsidR="006002F1" w:rsidRPr="00FA667B" w:rsidRDefault="006002F1" w:rsidP="00FA667B">
            <w:pPr>
              <w:jc w:val="both"/>
            </w:pPr>
            <w:r w:rsidRPr="00FA667B">
              <w:t>T1a,b</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N2</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nil"/>
              <w:right w:val="nil"/>
            </w:tcBorders>
            <w:vAlign w:val="center"/>
          </w:tcPr>
          <w:p w:rsidR="006002F1" w:rsidRPr="00FA667B" w:rsidRDefault="006002F1" w:rsidP="00FA667B">
            <w:pPr>
              <w:jc w:val="both"/>
            </w:pPr>
            <w:r w:rsidRPr="00FA667B">
              <w:t>T2</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N0,1</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single" w:sz="8" w:space="0" w:color="auto"/>
              <w:left w:val="single" w:sz="8" w:space="0" w:color="auto"/>
              <w:bottom w:val="nil"/>
              <w:right w:val="single" w:sz="8" w:space="0" w:color="auto"/>
            </w:tcBorders>
            <w:noWrap/>
            <w:vAlign w:val="bottom"/>
          </w:tcPr>
          <w:p w:rsidR="006002F1" w:rsidRPr="00FA667B" w:rsidRDefault="006002F1" w:rsidP="00FA667B">
            <w:pPr>
              <w:jc w:val="both"/>
            </w:pPr>
            <w:r w:rsidRPr="00FA667B">
              <w:t>Stadium IVa</w:t>
            </w:r>
          </w:p>
        </w:tc>
        <w:tc>
          <w:tcPr>
            <w:tcW w:w="1660" w:type="dxa"/>
            <w:tcBorders>
              <w:top w:val="single" w:sz="8" w:space="0" w:color="auto"/>
              <w:left w:val="nil"/>
              <w:bottom w:val="nil"/>
              <w:right w:val="nil"/>
            </w:tcBorders>
            <w:vAlign w:val="center"/>
          </w:tcPr>
          <w:p w:rsidR="006002F1" w:rsidRPr="00FA667B" w:rsidRDefault="006002F1" w:rsidP="00FA667B">
            <w:pPr>
              <w:jc w:val="both"/>
            </w:pPr>
            <w:r w:rsidRPr="00FA667B">
              <w:t>T1a,b</w:t>
            </w:r>
          </w:p>
        </w:tc>
        <w:tc>
          <w:tcPr>
            <w:tcW w:w="166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pPr>
            <w:r w:rsidRPr="00FA667B">
              <w:t>N3</w:t>
            </w:r>
          </w:p>
        </w:tc>
        <w:tc>
          <w:tcPr>
            <w:tcW w:w="1660" w:type="dxa"/>
            <w:tcBorders>
              <w:top w:val="single" w:sz="8" w:space="0" w:color="auto"/>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nil"/>
              <w:right w:val="nil"/>
            </w:tcBorders>
            <w:vAlign w:val="center"/>
          </w:tcPr>
          <w:p w:rsidR="006002F1" w:rsidRPr="00FA667B" w:rsidRDefault="006002F1" w:rsidP="00FA667B">
            <w:pPr>
              <w:jc w:val="both"/>
            </w:pPr>
            <w:r w:rsidRPr="00FA667B">
              <w:t>T2</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N2</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single" w:sz="8" w:space="0" w:color="auto"/>
              <w:right w:val="nil"/>
            </w:tcBorders>
            <w:vAlign w:val="center"/>
          </w:tcPr>
          <w:p w:rsidR="006002F1" w:rsidRPr="00FA667B" w:rsidRDefault="006002F1" w:rsidP="00FA667B">
            <w:pPr>
              <w:jc w:val="both"/>
            </w:pPr>
            <w:r w:rsidRPr="00FA667B">
              <w:t>T3</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N0,1</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Stadium IVb</w:t>
            </w:r>
          </w:p>
        </w:tc>
        <w:tc>
          <w:tcPr>
            <w:tcW w:w="1660" w:type="dxa"/>
            <w:tcBorders>
              <w:top w:val="nil"/>
              <w:left w:val="nil"/>
              <w:bottom w:val="nil"/>
              <w:right w:val="nil"/>
            </w:tcBorders>
            <w:vAlign w:val="center"/>
          </w:tcPr>
          <w:p w:rsidR="006002F1" w:rsidRPr="00FA667B" w:rsidRDefault="006002F1" w:rsidP="00FA667B">
            <w:pPr>
              <w:jc w:val="both"/>
            </w:pPr>
            <w:r w:rsidRPr="00FA667B">
              <w:t>T2</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N3</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nil"/>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nil"/>
              <w:right w:val="nil"/>
            </w:tcBorders>
            <w:vAlign w:val="center"/>
          </w:tcPr>
          <w:p w:rsidR="006002F1" w:rsidRPr="00FA667B" w:rsidRDefault="006002F1" w:rsidP="00FA667B">
            <w:pPr>
              <w:jc w:val="both"/>
            </w:pPr>
            <w:r w:rsidRPr="00FA667B">
              <w:t>T3</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N2,3</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M0</w:t>
            </w:r>
          </w:p>
        </w:tc>
      </w:tr>
      <w:tr w:rsidR="006002F1" w:rsidRPr="00FA667B" w:rsidTr="001A6978">
        <w:trPr>
          <w:trHeight w:val="402"/>
        </w:trPr>
        <w:tc>
          <w:tcPr>
            <w:tcW w:w="1340" w:type="dxa"/>
            <w:tcBorders>
              <w:top w:val="nil"/>
              <w:left w:val="single" w:sz="8" w:space="0" w:color="auto"/>
              <w:bottom w:val="single" w:sz="8" w:space="0" w:color="auto"/>
              <w:right w:val="single" w:sz="8" w:space="0" w:color="auto"/>
            </w:tcBorders>
            <w:noWrap/>
            <w:vAlign w:val="bottom"/>
          </w:tcPr>
          <w:p w:rsidR="006002F1" w:rsidRPr="00FA667B" w:rsidRDefault="006002F1" w:rsidP="00FA667B">
            <w:pPr>
              <w:jc w:val="both"/>
            </w:pPr>
            <w:r w:rsidRPr="00FA667B">
              <w:t> </w:t>
            </w:r>
          </w:p>
        </w:tc>
        <w:tc>
          <w:tcPr>
            <w:tcW w:w="1660" w:type="dxa"/>
            <w:tcBorders>
              <w:top w:val="nil"/>
              <w:left w:val="nil"/>
              <w:bottom w:val="single" w:sz="8" w:space="0" w:color="auto"/>
              <w:right w:val="nil"/>
            </w:tcBorders>
            <w:vAlign w:val="center"/>
          </w:tcPr>
          <w:p w:rsidR="006002F1" w:rsidRPr="00FA667B" w:rsidRDefault="006002F1" w:rsidP="00FA667B">
            <w:pPr>
              <w:jc w:val="both"/>
            </w:pPr>
            <w:r w:rsidRPr="00FA667B">
              <w:t>všechna T</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všechna N</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M1</w:t>
            </w:r>
          </w:p>
        </w:tc>
      </w:tr>
    </w:tbl>
    <w:p w:rsidR="006002F1" w:rsidRPr="00FA667B" w:rsidRDefault="006002F1" w:rsidP="00FA667B">
      <w:pPr>
        <w:jc w:val="both"/>
      </w:pPr>
    </w:p>
    <w:p w:rsidR="004A345F" w:rsidRPr="00FA667B" w:rsidRDefault="004A345F" w:rsidP="00FA667B">
      <w:pPr>
        <w:jc w:val="both"/>
      </w:pPr>
    </w:p>
    <w:p w:rsidR="00EF27F4" w:rsidRDefault="00EF27F4" w:rsidP="00FA667B">
      <w:pPr>
        <w:spacing w:line="360" w:lineRule="auto"/>
        <w:jc w:val="both"/>
        <w:rPr>
          <w:b/>
          <w:u w:val="single"/>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EB731C" w:rsidRPr="00FA667B" w:rsidRDefault="006002F1" w:rsidP="00FA667B">
      <w:pPr>
        <w:spacing w:line="360" w:lineRule="auto"/>
        <w:jc w:val="both"/>
        <w:rPr>
          <w:b/>
          <w:u w:val="single"/>
        </w:rPr>
      </w:pPr>
      <w:r w:rsidRPr="00FA667B">
        <w:rPr>
          <w:b/>
          <w:u w:val="single"/>
        </w:rPr>
        <w:lastRenderedPageBreak/>
        <w:t>2.</w:t>
      </w:r>
      <w:r w:rsidR="00EB731C" w:rsidRPr="00FA667B">
        <w:rPr>
          <w:b/>
          <w:u w:val="single"/>
        </w:rPr>
        <w:t xml:space="preserve"> Chirurgická léčba</w:t>
      </w:r>
      <w:r w:rsidR="00D40C2D">
        <w:rPr>
          <w:b/>
          <w:u w:val="single"/>
        </w:rPr>
        <w:t xml:space="preserve"> adenokarcinomu pankreatu</w:t>
      </w:r>
    </w:p>
    <w:p w:rsidR="00EF27F4" w:rsidRDefault="006002F1" w:rsidP="00FA667B">
      <w:pPr>
        <w:spacing w:line="360" w:lineRule="auto"/>
        <w:jc w:val="both"/>
      </w:pPr>
      <w:r w:rsidRPr="00FA667B">
        <w:t>Jedinou možnou kurativní metodou pro léčbu karcinomu pankreatu je ra</w:t>
      </w:r>
      <w:r w:rsidR="00A04DCE" w:rsidRPr="00FA667B">
        <w:t xml:space="preserve">dikální chirurgický výkon s </w:t>
      </w:r>
      <w:r w:rsidRPr="00FA667B">
        <w:t>dosažení</w:t>
      </w:r>
      <w:r w:rsidR="00A04DCE" w:rsidRPr="00FA667B">
        <w:t>m</w:t>
      </w:r>
      <w:r w:rsidRPr="00FA667B">
        <w:t xml:space="preserve"> negativního resekčního okraje R0</w:t>
      </w:r>
      <w:r w:rsidR="00A04DCE" w:rsidRPr="00FA667B">
        <w:t>.</w:t>
      </w:r>
      <w:r w:rsidRPr="00FA667B">
        <w:t xml:space="preserve"> </w:t>
      </w:r>
      <w:r w:rsidR="00FA13F7">
        <w:t xml:space="preserve">Typ výkonu se odvíjí podle </w:t>
      </w:r>
      <w:r w:rsidR="00005D90">
        <w:t>lokalizace</w:t>
      </w:r>
      <w:r w:rsidR="00FA13F7">
        <w:t xml:space="preserve"> nádoru. Pravostranná pankreatoduodenektomie je indikována u nádorů lokalizovaných v oblasti hlavy a proces</w:t>
      </w:r>
      <w:r w:rsidR="00EF27F4">
        <w:t>s</w:t>
      </w:r>
      <w:r w:rsidR="00FA13F7">
        <w:t xml:space="preserve">us uncinatus, levostranná pankreatektomie se provádí u nádorů uložených v oblasti těla a kaudy pankreatu a totální pankreatektomie je radikálním řešení při difúzním postižením slinivky nebo uložení nádoru v oblasti krčnu pankratu. </w:t>
      </w:r>
    </w:p>
    <w:p w:rsidR="004A345F" w:rsidRPr="00FA667B" w:rsidRDefault="00CE2804" w:rsidP="00FA667B">
      <w:pPr>
        <w:spacing w:line="360" w:lineRule="auto"/>
        <w:jc w:val="both"/>
      </w:pPr>
      <w:r>
        <w:t>Léčba</w:t>
      </w:r>
      <w:r w:rsidR="00EF27F4">
        <w:t xml:space="preserve"> pankrea</w:t>
      </w:r>
      <w:r w:rsidR="005C208C">
        <w:t xml:space="preserve">tu prošla značným vývojem od diagnostiky, </w:t>
      </w:r>
      <w:r w:rsidR="00005D90">
        <w:t xml:space="preserve">operativu, pooperační péči až po onkologickou léčbu (neoadjuvantní, adjuvantní). </w:t>
      </w:r>
      <w:r>
        <w:t>Operace tumoru pankreatu jsou technicky náročné s významným počtem ko</w:t>
      </w:r>
      <w:r w:rsidR="00343749">
        <w:t>m</w:t>
      </w:r>
      <w:r>
        <w:t>pl</w:t>
      </w:r>
      <w:r w:rsidR="00343749">
        <w:t xml:space="preserve">ikací, stěžujícím problémem </w:t>
      </w:r>
      <w:r w:rsidR="005C208C">
        <w:t>je pankreatojejunoanastomóz</w:t>
      </w:r>
      <w:r w:rsidR="00005D90">
        <w:t>a</w:t>
      </w:r>
      <w:r w:rsidR="005C208C" w:rsidRPr="00FA667B">
        <w:t xml:space="preserve"> (PJA) a pankreatogastroanastomóz</w:t>
      </w:r>
      <w:r w:rsidR="00005D90">
        <w:t>a</w:t>
      </w:r>
      <w:r w:rsidR="005C208C" w:rsidRPr="00FA667B">
        <w:t xml:space="preserve"> (PGA</w:t>
      </w:r>
      <w:r w:rsidR="005C208C">
        <w:t>). Jedná se</w:t>
      </w:r>
      <w:r w:rsidR="00005D90">
        <w:t xml:space="preserve"> o</w:t>
      </w:r>
      <w:r w:rsidR="005C208C" w:rsidRPr="00FA667B">
        <w:t xml:space="preserve"> technicky náročné anastomózy, </w:t>
      </w:r>
      <w:r w:rsidR="00005D90">
        <w:t xml:space="preserve">které mohou mít řadu komplikací, a proto chirurg </w:t>
      </w:r>
      <w:r w:rsidR="006002F1" w:rsidRPr="00FA667B">
        <w:t xml:space="preserve">provádějící tuto anastomózu musí mít dostatečnou praxi a zkušenosti. </w:t>
      </w:r>
      <w:r w:rsidR="00005D90">
        <w:t>Z tohoto důvodu je d</w:t>
      </w:r>
      <w:r w:rsidR="006002F1" w:rsidRPr="00FA667B">
        <w:t>nešním tr</w:t>
      </w:r>
      <w:r w:rsidR="00005D90">
        <w:t xml:space="preserve">endem </w:t>
      </w:r>
      <w:r w:rsidR="00C4409B" w:rsidRPr="00FA667B">
        <w:t>vytváření center, která</w:t>
      </w:r>
      <w:r w:rsidR="006002F1" w:rsidRPr="00FA667B">
        <w:t xml:space="preserve"> se zaměřují na problematiku nádoru pankreatu. </w:t>
      </w:r>
      <w:r w:rsidR="00FC3BCC">
        <w:t>V České republice jsou centra, která se zabývají hepatobiliární chirurgií ve Fakultní nemocnici Olomouc, Brně, Hradci Králové a v Praze Motole.</w:t>
      </w:r>
    </w:p>
    <w:p w:rsidR="00C925F5" w:rsidRDefault="00C925F5" w:rsidP="00FA667B">
      <w:pPr>
        <w:spacing w:line="360" w:lineRule="auto"/>
        <w:jc w:val="both"/>
        <w:rPr>
          <w:b/>
          <w:u w:val="single"/>
        </w:rPr>
      </w:pPr>
    </w:p>
    <w:p w:rsidR="006002F1" w:rsidRPr="005631AD" w:rsidRDefault="00303E69" w:rsidP="00FA667B">
      <w:pPr>
        <w:spacing w:line="360" w:lineRule="auto"/>
        <w:jc w:val="both"/>
        <w:rPr>
          <w:b/>
          <w:u w:val="single"/>
        </w:rPr>
      </w:pPr>
      <w:r w:rsidRPr="00303E69">
        <w:rPr>
          <w:b/>
          <w:u w:val="single"/>
        </w:rPr>
        <w:t>2.</w:t>
      </w:r>
      <w:r w:rsidR="00DB2B3C">
        <w:rPr>
          <w:b/>
          <w:u w:val="single"/>
        </w:rPr>
        <w:t>1</w:t>
      </w:r>
      <w:r w:rsidR="004C2B84">
        <w:rPr>
          <w:b/>
          <w:u w:val="single"/>
        </w:rPr>
        <w:t>.</w:t>
      </w:r>
      <w:r w:rsidRPr="00303E69">
        <w:rPr>
          <w:b/>
          <w:u w:val="single"/>
        </w:rPr>
        <w:t xml:space="preserve"> </w:t>
      </w:r>
      <w:r w:rsidR="006002F1" w:rsidRPr="005631AD">
        <w:rPr>
          <w:b/>
          <w:u w:val="single"/>
        </w:rPr>
        <w:t>Historie chirurgie adenokarcinomu pankreatu</w:t>
      </w:r>
      <w:r w:rsidR="006002F1" w:rsidRPr="00FA667B">
        <w:rPr>
          <w:i/>
        </w:rPr>
        <w:t xml:space="preserve"> [16,17]</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 xml:space="preserve">1898 Codivilla – jako první provedl </w:t>
      </w:r>
      <w:r w:rsidR="00005D90">
        <w:rPr>
          <w:color w:val="000000"/>
        </w:rPr>
        <w:t xml:space="preserve">parciální </w:t>
      </w:r>
      <w:r w:rsidRPr="00FA667B">
        <w:rPr>
          <w:color w:val="000000"/>
        </w:rPr>
        <w:t>pankreatikoduodenektomii pro karcinom hlavy pankreatu. Odstranil duodenum, distální část žaludku a distální žlučovod. Rekonstruoval gastrojejunoanastomózu na Y-Roux kličku a chole</w:t>
      </w:r>
      <w:r w:rsidR="000520FC" w:rsidRPr="00FA667B">
        <w:rPr>
          <w:color w:val="000000"/>
        </w:rPr>
        <w:t xml:space="preserve">cystojejunoanastomózu, </w:t>
      </w:r>
      <w:r w:rsidR="000067A1">
        <w:rPr>
          <w:color w:val="000000"/>
        </w:rPr>
        <w:t xml:space="preserve">kdy </w:t>
      </w:r>
      <w:r w:rsidR="00343749">
        <w:rPr>
          <w:color w:val="000000"/>
        </w:rPr>
        <w:t>pahýl</w:t>
      </w:r>
      <w:r w:rsidRPr="00FA667B">
        <w:rPr>
          <w:color w:val="000000"/>
        </w:rPr>
        <w:t xml:space="preserve"> pankreatu</w:t>
      </w:r>
      <w:r w:rsidR="000067A1">
        <w:rPr>
          <w:color w:val="000000"/>
        </w:rPr>
        <w:t xml:space="preserve"> nebyl nijak ošetřen</w:t>
      </w:r>
      <w:r w:rsidRPr="00FA667B">
        <w:rPr>
          <w:color w:val="000000"/>
        </w:rPr>
        <w:t>. Nemocný umírá 18.den po operaci na kachexii. Do té doby byla myšlenka, že duodenum je nezbytné pro život. Touto operací bylo zjištěno, že tomu tak není, a že součástí operace pankreatu je nutnost odstranění duodena.</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1899 Halsted – jako první úspěšně provedl resekci periampulárního tumoru s reimplantací žlučovodu a pankreatického vývodu</w:t>
      </w:r>
      <w:r w:rsidR="00C4409B" w:rsidRPr="00FA667B">
        <w:rPr>
          <w:color w:val="000000"/>
        </w:rPr>
        <w:t xml:space="preserve">, </w:t>
      </w:r>
      <w:r w:rsidR="000067A1">
        <w:rPr>
          <w:color w:val="000000"/>
        </w:rPr>
        <w:t>součástí výkonu byla cholecysto</w:t>
      </w:r>
      <w:r w:rsidR="00343749">
        <w:rPr>
          <w:color w:val="000000"/>
        </w:rPr>
        <w:t>s</w:t>
      </w:r>
      <w:r w:rsidR="000067A1">
        <w:rPr>
          <w:color w:val="000000"/>
        </w:rPr>
        <w:t xml:space="preserve">tomie. </w:t>
      </w:r>
      <w:r w:rsidR="00C4409B" w:rsidRPr="00FA667B">
        <w:rPr>
          <w:color w:val="000000"/>
        </w:rPr>
        <w:t>viz.obr.č.1.</w:t>
      </w:r>
    </w:p>
    <w:p w:rsidR="006002F1" w:rsidRPr="00FA667B" w:rsidRDefault="00497DBD" w:rsidP="00FA667B">
      <w:pPr>
        <w:pStyle w:val="Normlnweb"/>
        <w:shd w:val="clear" w:color="auto" w:fill="FFFFFF"/>
        <w:spacing w:before="166" w:beforeAutospacing="0" w:after="166" w:afterAutospacing="0" w:line="360" w:lineRule="auto"/>
        <w:ind w:left="720"/>
        <w:jc w:val="both"/>
        <w:rPr>
          <w:color w:val="000000"/>
        </w:rPr>
      </w:pPr>
      <w:r>
        <w:rPr>
          <w:noProof/>
        </w:rPr>
        <w:lastRenderedPageBreak/>
        <w:drawing>
          <wp:anchor distT="0" distB="0" distL="114300" distR="114300" simplePos="0" relativeHeight="251647488" behindDoc="0" locked="0" layoutInCell="1" allowOverlap="1">
            <wp:simplePos x="0" y="0"/>
            <wp:positionH relativeFrom="column">
              <wp:posOffset>1485900</wp:posOffset>
            </wp:positionH>
            <wp:positionV relativeFrom="paragraph">
              <wp:posOffset>476885</wp:posOffset>
            </wp:positionV>
            <wp:extent cx="2376170" cy="1314450"/>
            <wp:effectExtent l="19050" t="19050" r="24130" b="19050"/>
            <wp:wrapSquare wrapText="bothSides"/>
            <wp:docPr id="9" name="Obrázek 8" descr="o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obr001.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6170" cy="131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02F1" w:rsidRPr="00FA667B">
        <w:rPr>
          <w:color w:val="000000"/>
        </w:rPr>
        <w:t>Obr.č.1. Resekce periampulárního tumoru s reimplantací žlučovodu a pankreatického                          vývodu</w:t>
      </w:r>
      <w:r w:rsidR="00C4409B" w:rsidRPr="00FA667B">
        <w:rPr>
          <w:color w:val="000000"/>
        </w:rPr>
        <w:t>.</w:t>
      </w:r>
    </w:p>
    <w:p w:rsidR="006002F1" w:rsidRPr="00FA667B" w:rsidRDefault="006002F1" w:rsidP="00FA667B">
      <w:pPr>
        <w:pStyle w:val="Normlnweb"/>
        <w:shd w:val="clear" w:color="auto" w:fill="FFFFFF"/>
        <w:spacing w:before="166" w:beforeAutospacing="0" w:after="166" w:afterAutospacing="0" w:line="360" w:lineRule="auto"/>
        <w:jc w:val="both"/>
        <w:rPr>
          <w:color w:val="000000"/>
        </w:rPr>
      </w:pPr>
    </w:p>
    <w:p w:rsidR="006002F1" w:rsidRPr="00FA667B" w:rsidRDefault="006002F1" w:rsidP="00FA667B">
      <w:pPr>
        <w:pStyle w:val="Normlnweb"/>
        <w:shd w:val="clear" w:color="auto" w:fill="FFFFFF"/>
        <w:spacing w:before="166" w:beforeAutospacing="0" w:after="166" w:afterAutospacing="0" w:line="360" w:lineRule="auto"/>
        <w:jc w:val="both"/>
        <w:rPr>
          <w:color w:val="000000"/>
        </w:rPr>
      </w:pPr>
    </w:p>
    <w:p w:rsidR="00C4409B" w:rsidRPr="00FA667B" w:rsidRDefault="00C4409B" w:rsidP="00FA667B">
      <w:pPr>
        <w:pStyle w:val="Normlnweb"/>
        <w:shd w:val="clear" w:color="auto" w:fill="FFFFFF"/>
        <w:spacing w:before="166" w:after="166" w:line="360" w:lineRule="auto"/>
        <w:jc w:val="both"/>
        <w:rPr>
          <w:color w:val="000000"/>
        </w:rPr>
      </w:pPr>
    </w:p>
    <w:p w:rsidR="00C4409B" w:rsidRPr="00FA667B" w:rsidRDefault="00C4409B" w:rsidP="000067A1">
      <w:pPr>
        <w:pStyle w:val="Normlnweb"/>
        <w:shd w:val="clear" w:color="auto" w:fill="FFFFFF"/>
        <w:spacing w:before="0" w:beforeAutospacing="0" w:after="0" w:afterAutospacing="0" w:line="276" w:lineRule="auto"/>
        <w:jc w:val="center"/>
        <w:rPr>
          <w:color w:val="000000"/>
        </w:rPr>
      </w:pPr>
      <w:r w:rsidRPr="00FA667B">
        <w:rPr>
          <w:rFonts w:eastAsia="+mn-ea"/>
          <w:iCs/>
          <w:color w:val="000000"/>
        </w:rPr>
        <w:t>převzato – Kakita A. et al.: History of pancreaticojejunostomy in pancreaticoduodenectomy.</w:t>
      </w:r>
    </w:p>
    <w:p w:rsidR="006002F1" w:rsidRDefault="00C4409B" w:rsidP="002100F7">
      <w:pPr>
        <w:pStyle w:val="Normlnweb"/>
        <w:shd w:val="clear" w:color="auto" w:fill="FFFFFF"/>
        <w:spacing w:before="0" w:beforeAutospacing="0" w:after="0" w:afterAutospacing="0" w:line="276" w:lineRule="auto"/>
        <w:jc w:val="center"/>
        <w:rPr>
          <w:rFonts w:eastAsia="+mn-ea"/>
          <w:iCs/>
          <w:color w:val="000000"/>
        </w:rPr>
      </w:pPr>
      <w:r w:rsidRPr="00FA667B">
        <w:rPr>
          <w:rFonts w:eastAsia="+mn-ea"/>
          <w:iCs/>
          <w:color w:val="000000"/>
        </w:rPr>
        <w:t>J Hepatobiliary Pancreat Surg, 2001; 8:230-237</w:t>
      </w:r>
    </w:p>
    <w:p w:rsidR="002100F7" w:rsidRPr="00FA667B" w:rsidRDefault="002100F7" w:rsidP="002100F7">
      <w:pPr>
        <w:pStyle w:val="Normlnweb"/>
        <w:shd w:val="clear" w:color="auto" w:fill="FFFFFF"/>
        <w:spacing w:before="0" w:beforeAutospacing="0" w:after="0" w:afterAutospacing="0" w:line="276" w:lineRule="auto"/>
        <w:jc w:val="center"/>
        <w:rPr>
          <w:color w:val="000000"/>
        </w:rPr>
      </w:pP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1907 Desjardins a 1908 Sauve</w:t>
      </w:r>
      <w:r w:rsidRPr="00FA667B">
        <w:t xml:space="preserve"> – prováděli další pokusy na kadaverech, kdy provedli pankreatikoduodenektomii v jednom kroku, zanořil</w:t>
      </w:r>
      <w:r w:rsidR="00C4409B" w:rsidRPr="00FA667B">
        <w:t>i</w:t>
      </w:r>
      <w:r w:rsidRPr="00FA667B">
        <w:t xml:space="preserve"> pahýl pankreatu do jejunální kličky</w:t>
      </w:r>
      <w:r w:rsidR="000067A1">
        <w:t>, tedy provedl pankreatojejunoanastomózu s anastomózou end-to-end.</w:t>
      </w:r>
    </w:p>
    <w:p w:rsidR="006002F1" w:rsidRPr="00574F63" w:rsidRDefault="00585D31" w:rsidP="00FA667B">
      <w:pPr>
        <w:pStyle w:val="Normlnweb"/>
        <w:numPr>
          <w:ilvl w:val="0"/>
          <w:numId w:val="1"/>
        </w:numPr>
        <w:shd w:val="clear" w:color="auto" w:fill="FFFFFF"/>
        <w:spacing w:before="166" w:beforeAutospacing="0" w:after="166" w:afterAutospacing="0" w:line="360" w:lineRule="auto"/>
        <w:jc w:val="both"/>
        <w:rPr>
          <w:color w:val="000000"/>
        </w:rPr>
      </w:pPr>
      <w:r w:rsidRPr="00574F63">
        <w:rPr>
          <w:color w:val="000000"/>
        </w:rPr>
        <w:t>1909</w:t>
      </w:r>
      <w:r w:rsidR="006002F1" w:rsidRPr="00574F63">
        <w:rPr>
          <w:color w:val="000000"/>
        </w:rPr>
        <w:t xml:space="preserve"> Walter Kausch</w:t>
      </w:r>
      <w:r w:rsidR="006002F1" w:rsidRPr="00FA667B">
        <w:t xml:space="preserve"> – </w:t>
      </w:r>
      <w:r>
        <w:t xml:space="preserve">provedl dvoufázovou operaci u nemocné s tumorem Vaterské papily. V první fázi provedl biliodigestivní anastomóza (cholecysto-jejuno anastomózu) a side-to-side jejuno-jejuno anastomózu. Ve druhé fázi oddělil duodenum proximálně v úrovni pyloru a supraduodenálně přerušil a ligoval žlučové cesty. Dále provedl pankreato-duodeno anastomózu. Kontinuitu trávící trubice obnovil pomocí gastro-jejuno anastomózy, pylorus uzavřel suturou </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574F63">
        <w:rPr>
          <w:color w:val="000000"/>
        </w:rPr>
        <w:t xml:space="preserve">1914 Hirschel – provedl v jedné fázi parciální resekci duodena, Vaterské papily, hlavy pankreatu a distálního žlučovodu. </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1922 Tenani – úspěšně provedl dvou</w:t>
      </w:r>
      <w:r w:rsidR="00CB3424" w:rsidRPr="00FA667B">
        <w:rPr>
          <w:color w:val="000000"/>
        </w:rPr>
        <w:t>fázový výkon u 43-</w:t>
      </w:r>
      <w:r w:rsidRPr="00FA667B">
        <w:rPr>
          <w:color w:val="000000"/>
        </w:rPr>
        <w:t xml:space="preserve">letého pacienta s tumorem Vaterovy papily. V první fázi provedl zadní gastroenteroanastomózu a choledochoduodenoanastomózu. Ve druhé fázi odstranil část duodena s hlavou pankreatu a provedl pankreatikoduodenoanastomózu na nižší část (D4)duodena. Nemocný přežíval další 3 roky po operaci. </w:t>
      </w:r>
    </w:p>
    <w:p w:rsidR="006002F1" w:rsidRPr="00574F63" w:rsidRDefault="006002F1" w:rsidP="00574F63">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1935 Whipple, Parsons and Mullins</w:t>
      </w:r>
      <w:r w:rsidRPr="00FA667B">
        <w:t xml:space="preserve"> – poprvé publikoval sestavu tří nemocných s nádorem pankreatu. Dva nemocní podstoupili dvoufázovou radikální resekci duodena a hlavy pankreatu pro ampulární tumor. Třetí nemocný podstoupil totální duodenektomii s odstraněním větší části hlavy pankreatu. První nemocný zemřel 30 hodin po operaci na celkové selhání organismu. Druhý nemocný přežíval 9 měsíců a poslední 24 měsíců po operaci.  [18]</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lastRenderedPageBreak/>
        <w:t>1937 Brunschwig</w:t>
      </w:r>
      <w:r w:rsidRPr="00FA667B">
        <w:t xml:space="preserve"> – jako první provedl radikální pankreatoduodenektomii (pylorus šetřící s odstranění</w:t>
      </w:r>
      <w:r w:rsidR="00CB3424" w:rsidRPr="00FA667B">
        <w:t>m</w:t>
      </w:r>
      <w:r w:rsidRPr="00FA667B">
        <w:t xml:space="preserve"> hlavy pankreatu vpravo od vena mesenterica superior) pro karcinom pankreatu.</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 xml:space="preserve">1940 Whipple jako první provedl jednofázovou radikální pankreatoduodenektomii </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1940 Trimble nevědomky o Whippleově operaci provedl několik týdnů poté stejný výkon s tím rozdílem, že pahýl pankreatu byl zavzat do žaludku</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1941 Child – provedl modifikaci a provedl invaginaci pahýlu pankreatu do jejuna – provedl end to end anastomózu</w:t>
      </w:r>
    </w:p>
    <w:p w:rsidR="006002F1" w:rsidRPr="00FA667B" w:rsidRDefault="006002F1" w:rsidP="00FA667B">
      <w:pPr>
        <w:pStyle w:val="Normlnweb"/>
        <w:numPr>
          <w:ilvl w:val="0"/>
          <w:numId w:val="1"/>
        </w:numPr>
        <w:shd w:val="clear" w:color="auto" w:fill="FFFFFF"/>
        <w:spacing w:before="166" w:beforeAutospacing="0" w:after="166" w:afterAutospacing="0" w:line="360" w:lineRule="auto"/>
        <w:jc w:val="both"/>
        <w:rPr>
          <w:color w:val="000000"/>
        </w:rPr>
      </w:pPr>
      <w:r w:rsidRPr="00FA667B">
        <w:rPr>
          <w:color w:val="000000"/>
        </w:rPr>
        <w:t>1946 Whipple</w:t>
      </w:r>
      <w:r w:rsidRPr="00FA667B">
        <w:t xml:space="preserve"> publikoval své 10-ti leté zkušenosti s radikální pankreatikoduodenektomií s různými modifikacemi pankreatikojejunoanastomózy. Jako první použil PJA end to side.</w:t>
      </w:r>
    </w:p>
    <w:p w:rsidR="000E6AE5" w:rsidRDefault="006002F1" w:rsidP="000E6AE5">
      <w:pPr>
        <w:pStyle w:val="Normlnweb"/>
        <w:numPr>
          <w:ilvl w:val="0"/>
          <w:numId w:val="1"/>
        </w:numPr>
        <w:shd w:val="clear" w:color="auto" w:fill="FFFFFF"/>
        <w:spacing w:before="166" w:beforeAutospacing="0" w:after="166" w:afterAutospacing="0" w:line="360" w:lineRule="auto"/>
        <w:jc w:val="both"/>
      </w:pPr>
      <w:r w:rsidRPr="00FA667B">
        <w:t xml:space="preserve">1963 na počest Whipple byla </w:t>
      </w:r>
      <w:r w:rsidR="00CB3424" w:rsidRPr="00FA667B">
        <w:t xml:space="preserve">pankreatoduodenektomie (PDE) </w:t>
      </w:r>
      <w:r w:rsidRPr="00FA667B">
        <w:t xml:space="preserve">po něm pojmenována. </w:t>
      </w:r>
    </w:p>
    <w:p w:rsidR="000E6AE5" w:rsidRDefault="000E6AE5" w:rsidP="000E6AE5">
      <w:pPr>
        <w:pStyle w:val="Normlnweb"/>
        <w:shd w:val="clear" w:color="auto" w:fill="FFFFFF"/>
        <w:spacing w:before="166" w:beforeAutospacing="0" w:after="166" w:afterAutospacing="0" w:line="360" w:lineRule="auto"/>
        <w:jc w:val="both"/>
      </w:pPr>
    </w:p>
    <w:p w:rsidR="000E6AE5" w:rsidRDefault="00DB2B3C" w:rsidP="000E6AE5">
      <w:pPr>
        <w:pStyle w:val="Normlnweb"/>
        <w:shd w:val="clear" w:color="auto" w:fill="FFFFFF"/>
        <w:spacing w:before="166" w:beforeAutospacing="0" w:after="166" w:afterAutospacing="0" w:line="360" w:lineRule="auto"/>
        <w:jc w:val="both"/>
      </w:pPr>
      <w:r>
        <w:rPr>
          <w:b/>
          <w:u w:val="single"/>
        </w:rPr>
        <w:t>2.</w:t>
      </w:r>
      <w:r w:rsidR="000E6AE5" w:rsidRPr="000E6AE5">
        <w:rPr>
          <w:b/>
          <w:u w:val="single"/>
        </w:rPr>
        <w:t>2. Pranostranná pankreatoduodenektomie</w:t>
      </w:r>
    </w:p>
    <w:p w:rsidR="004C2B84" w:rsidRDefault="006002F1" w:rsidP="00FA667B">
      <w:pPr>
        <w:spacing w:line="360" w:lineRule="auto"/>
        <w:jc w:val="both"/>
      </w:pPr>
      <w:r w:rsidRPr="00FA667B">
        <w:t>Klasická Whipple operace zahrnuje resekci antra/di</w:t>
      </w:r>
      <w:r w:rsidR="00CB3424" w:rsidRPr="00FA667B">
        <w:t>s</w:t>
      </w:r>
      <w:r w:rsidRPr="00FA667B">
        <w:t xml:space="preserve">tální části žaludku, hlavy pankreatu a processus uncinatus, duodena a první kličky jejuna, ductus choledochus, cholecystektomii a lymfadenektomii. </w:t>
      </w:r>
      <w:r w:rsidR="002C739A">
        <w:t>U klasické Whippleho operace je hlavní nevýhodou výskyt časného a opožděného dumping syndromu. Traverso-Longmire přišli s možností pone</w:t>
      </w:r>
      <w:r w:rsidR="00A61B92">
        <w:t>chání pyloru, tedy přerušení D1 asi 1cm za pylorem, d</w:t>
      </w:r>
      <w:r w:rsidRPr="00FA667B">
        <w:t xml:space="preserve">ále </w:t>
      </w:r>
      <w:r w:rsidR="00A61B92">
        <w:t>pokračovali resekcí</w:t>
      </w:r>
      <w:r w:rsidRPr="00FA667B">
        <w:t xml:space="preserve"> hlavy pankreatu, první kličky jejuna, ductus choledochus, cholecystektomie a lymfadenektomie. </w:t>
      </w:r>
      <w:r w:rsidR="00A61B92">
        <w:t xml:space="preserve">Výhodou bylo odstranění nežádoucích účinků spojených s resekcí pyloru. </w:t>
      </w:r>
      <w:r w:rsidR="00CB3424" w:rsidRPr="00FA667B">
        <w:t xml:space="preserve">[19] </w:t>
      </w:r>
      <w:r w:rsidRPr="00FA667B">
        <w:t>Obr.č.2</w:t>
      </w:r>
      <w:r w:rsidR="00CB3424" w:rsidRPr="00FA667B">
        <w:t>.</w:t>
      </w:r>
      <w:r w:rsidRPr="00FA667B">
        <w:t xml:space="preserve"> </w:t>
      </w:r>
    </w:p>
    <w:p w:rsidR="000E6AE5" w:rsidRDefault="000E6AE5"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6002F1" w:rsidRPr="00FA667B" w:rsidRDefault="006002F1" w:rsidP="00FA667B">
      <w:pPr>
        <w:spacing w:line="360" w:lineRule="auto"/>
        <w:jc w:val="both"/>
      </w:pPr>
      <w:r w:rsidRPr="00FA667B">
        <w:lastRenderedPageBreak/>
        <w:t>Obr.č.2. A,B: Klasická Whipple operace. C,D Pylorus šetřící pankreatoduodenektomie</w:t>
      </w:r>
    </w:p>
    <w:p w:rsidR="006002F1" w:rsidRPr="00FA667B" w:rsidRDefault="00497DBD" w:rsidP="00FA667B">
      <w:pPr>
        <w:jc w:val="center"/>
      </w:pPr>
      <w:r>
        <w:rPr>
          <w:noProof/>
        </w:rPr>
        <w:drawing>
          <wp:inline distT="0" distB="0" distL="0" distR="0">
            <wp:extent cx="3724275" cy="4114800"/>
            <wp:effectExtent l="0" t="0" r="9525" b="0"/>
            <wp:docPr id="1" name="obrázek 1" descr="An external file that holds a picture, illustration, etc.Object name is CLD-5-54-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Object name is CLD-5-54-g001.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724275" cy="4114800"/>
                    </a:xfrm>
                    <a:prstGeom prst="rect">
                      <a:avLst/>
                    </a:prstGeom>
                    <a:noFill/>
                    <a:ln>
                      <a:noFill/>
                    </a:ln>
                  </pic:spPr>
                </pic:pic>
              </a:graphicData>
            </a:graphic>
          </wp:inline>
        </w:drawing>
      </w:r>
    </w:p>
    <w:p w:rsidR="00EB731C" w:rsidRPr="00FA667B" w:rsidRDefault="00EB731C" w:rsidP="00FA667B">
      <w:pPr>
        <w:spacing w:line="360" w:lineRule="auto"/>
        <w:jc w:val="both"/>
      </w:pPr>
    </w:p>
    <w:p w:rsidR="00524E66" w:rsidRPr="00FA667B" w:rsidRDefault="00FF78EE" w:rsidP="00283EDC">
      <w:pPr>
        <w:spacing w:line="360" w:lineRule="auto"/>
        <w:jc w:val="center"/>
      </w:pPr>
      <w:r w:rsidRPr="00FA667B">
        <w:t>Převzato:</w:t>
      </w:r>
      <w:r w:rsidR="00A671A1" w:rsidRPr="00FA667B">
        <w:t xml:space="preserve"> Garonzik-Wang J., Majella Doyle M.B. et al. Pylorus Preserving Pancreaticoduodenectomy. Clinical Liver Disease. 2015;5(3)</w:t>
      </w:r>
    </w:p>
    <w:p w:rsidR="00FA667B" w:rsidRDefault="00FA667B" w:rsidP="00FA667B">
      <w:pPr>
        <w:spacing w:line="360" w:lineRule="auto"/>
        <w:jc w:val="both"/>
        <w:rPr>
          <w:b/>
          <w:i/>
          <w:u w:val="single"/>
        </w:rPr>
      </w:pPr>
    </w:p>
    <w:p w:rsidR="00CB236B" w:rsidRDefault="00CB236B" w:rsidP="00FA667B">
      <w:pPr>
        <w:spacing w:line="360" w:lineRule="auto"/>
        <w:jc w:val="both"/>
      </w:pPr>
      <w:r>
        <w:t>Jsou různé možnosti rekonstrukce po pankreatoduodenektomii na jejunum. Nejčastěji se využívá rekonstrukce dle Childa na jednu exkludovanou kličku jejuna v pořadí pankreatojejunoanastomóza, hepatikojejunoanastomóza a gastro/duodeno-jejunoanastomóza. [</w:t>
      </w:r>
      <w:r w:rsidR="00EE1266">
        <w:t>104</w:t>
      </w:r>
      <w:r>
        <w:t>]</w:t>
      </w:r>
    </w:p>
    <w:p w:rsidR="000A3EA7" w:rsidRDefault="00CB236B" w:rsidP="00CB236B">
      <w:pPr>
        <w:spacing w:line="360" w:lineRule="auto"/>
        <w:jc w:val="both"/>
        <w:rPr>
          <w:color w:val="FF0000"/>
        </w:rPr>
      </w:pPr>
      <w:r>
        <w:t>Další modifikací je možnost rekonstrukce pankreatiko-jejuno anastomóza a hepatiko-jejuno anastomóza na kličku jejuna, která je protažena retrokolicky do podjaterní krajiny. Ovšem duodeno-jejuno anastomózu lze našívat buď retrokolicky nebo antekolicky. Hlavním cílem této modifikace je prevence tzv. zpomaleného vyprazdňování žaludku.</w:t>
      </w:r>
      <w:r w:rsidR="00171E8F">
        <w:t xml:space="preserve"> [</w:t>
      </w:r>
      <w:r w:rsidR="000A3EA7">
        <w:t>105</w:t>
      </w:r>
      <w:r w:rsidR="00171E8F">
        <w:t xml:space="preserve">] </w:t>
      </w:r>
    </w:p>
    <w:p w:rsidR="00171E8F" w:rsidRDefault="00171E8F" w:rsidP="00CB236B">
      <w:pPr>
        <w:spacing w:line="360" w:lineRule="auto"/>
        <w:jc w:val="both"/>
        <w:rPr>
          <w:color w:val="FF0000"/>
        </w:rPr>
      </w:pPr>
      <w:r>
        <w:t>Další možností rekonstrukce je použití tzv. izolované kličky. To znamená že pankreatiko-jejuno anastomóza a hepatiko-jejuno anastomóza jsou na oddělených kličkách. Zastánci této metody uvádějí, že oddělení toku žluče od pankreatické šťávy sníží aktivaci pankreatické šťávy a tím také sníží rizi</w:t>
      </w:r>
      <w:r w:rsidR="000A3EA7">
        <w:t>ko vzniku pankreatické píštěle.</w:t>
      </w:r>
      <w:r>
        <w:t>[</w:t>
      </w:r>
      <w:r w:rsidR="000A3EA7">
        <w:t>106</w:t>
      </w:r>
      <w:r>
        <w:t>]</w:t>
      </w:r>
    </w:p>
    <w:p w:rsidR="00701E35" w:rsidRDefault="00701E35" w:rsidP="00701E35">
      <w:pPr>
        <w:spacing w:line="360" w:lineRule="auto"/>
        <w:jc w:val="both"/>
      </w:pPr>
      <w:r w:rsidRPr="00701E35">
        <w:lastRenderedPageBreak/>
        <w:t>Hlavní a velmi diskutovanou problematikou u pankreatoduodenektomie je zanoření pahýlu pankreatu. Existují dvě možnosti napojení pahýlu pankreatu buď na  jejunum (pankreato-jejunoanastóza) nebo žaludek (pankreato-gastro anastomóza</w:t>
      </w:r>
      <w:r>
        <w:t>).</w:t>
      </w:r>
    </w:p>
    <w:p w:rsidR="000E6AE5" w:rsidRDefault="000E6AE5" w:rsidP="00FA667B">
      <w:pPr>
        <w:spacing w:line="360" w:lineRule="auto"/>
        <w:jc w:val="both"/>
      </w:pPr>
    </w:p>
    <w:p w:rsidR="004D4A60" w:rsidRPr="00FA667B" w:rsidRDefault="00DB2B3C" w:rsidP="004D4A60">
      <w:pPr>
        <w:spacing w:line="360" w:lineRule="auto"/>
        <w:jc w:val="both"/>
      </w:pPr>
      <w:r>
        <w:rPr>
          <w:b/>
          <w:i/>
          <w:u w:val="single"/>
        </w:rPr>
        <w:t>2.2.1</w:t>
      </w:r>
      <w:r w:rsidR="004D4A60" w:rsidRPr="00FA667B">
        <w:rPr>
          <w:b/>
          <w:i/>
          <w:u w:val="single"/>
        </w:rPr>
        <w:t>.</w:t>
      </w:r>
      <w:r w:rsidR="004D4A60">
        <w:rPr>
          <w:b/>
          <w:i/>
          <w:u w:val="single"/>
        </w:rPr>
        <w:t xml:space="preserve"> Pankreatojejunoanastomóza</w:t>
      </w:r>
    </w:p>
    <w:p w:rsidR="004D4A60" w:rsidRPr="00FA667B" w:rsidRDefault="004D4A60" w:rsidP="004D4A60">
      <w:pPr>
        <w:spacing w:line="360" w:lineRule="auto"/>
        <w:jc w:val="both"/>
      </w:pPr>
      <w:r w:rsidRPr="00FA667B">
        <w:t xml:space="preserve">Snahou PDE je zachování jak exokrinní, tak i endokrinní funkce pankreatu. PDE je náročný výkon, který může být ovlivněn řadou komplikací. Mortalita spojená s PDE v high volume centrech klesla pod 5%, ve většině centrech se pohybuje mezi 2-3%. Morbidita je ale nadále vysoká, pohybuje se mezi 27-47%. </w:t>
      </w:r>
      <w:r w:rsidR="00343749">
        <w:t xml:space="preserve">Častou </w:t>
      </w:r>
      <w:r w:rsidRPr="00FA667B">
        <w:t xml:space="preserve">příčinou morbidity a mortality je selhání PJA a vznik pankreatické píštěle (POPF). Abychom předešli vzniku POPF, měli bychom </w:t>
      </w:r>
      <w:r w:rsidR="00343749">
        <w:t>dodržovat určité technické postupy</w:t>
      </w:r>
      <w:r w:rsidRPr="00FA667B">
        <w:t xml:space="preserve"> konstrukce </w:t>
      </w:r>
      <w:r>
        <w:t>PJA</w:t>
      </w:r>
      <w:r w:rsidRPr="00FA667B">
        <w:t>, jako je z</w:t>
      </w:r>
      <w:r w:rsidRPr="00FA667B">
        <w:rPr>
          <w:bCs/>
        </w:rPr>
        <w:t>achování dobrého cévního zásobení pahýlu pankreatu</w:t>
      </w:r>
      <w:r w:rsidRPr="00FA667B">
        <w:t>, s</w:t>
      </w:r>
      <w:r w:rsidRPr="00FA667B">
        <w:rPr>
          <w:bCs/>
        </w:rPr>
        <w:t>polehlivá zástava krvácení v resekční ploše</w:t>
      </w:r>
      <w:r w:rsidRPr="00FA667B">
        <w:t>, z</w:t>
      </w:r>
      <w:r w:rsidRPr="00FA667B">
        <w:rPr>
          <w:bCs/>
        </w:rPr>
        <w:t>ajištění těsnosti spoje</w:t>
      </w:r>
      <w:r w:rsidR="00343749">
        <w:rPr>
          <w:bCs/>
        </w:rPr>
        <w:t>ní</w:t>
      </w:r>
      <w:r w:rsidRPr="00FA667B">
        <w:rPr>
          <w:bCs/>
        </w:rPr>
        <w:t xml:space="preserve"> střeva a pouzdra pankreatu, </w:t>
      </w:r>
      <w:r w:rsidR="00343749">
        <w:rPr>
          <w:bCs/>
        </w:rPr>
        <w:t xml:space="preserve">celá </w:t>
      </w:r>
      <w:r w:rsidRPr="00FA667B">
        <w:rPr>
          <w:bCs/>
        </w:rPr>
        <w:t xml:space="preserve">řezná plocha </w:t>
      </w:r>
      <w:r>
        <w:rPr>
          <w:bCs/>
        </w:rPr>
        <w:t xml:space="preserve">pankreatu </w:t>
      </w:r>
      <w:r w:rsidR="00343749">
        <w:rPr>
          <w:bCs/>
        </w:rPr>
        <w:t>vnořena do</w:t>
      </w:r>
      <w:r w:rsidRPr="00FA667B">
        <w:rPr>
          <w:bCs/>
        </w:rPr>
        <w:t xml:space="preserve"> lumen střeva</w:t>
      </w:r>
      <w:r w:rsidRPr="00FA667B">
        <w:t>, z</w:t>
      </w:r>
      <w:r w:rsidRPr="00FA667B">
        <w:rPr>
          <w:bCs/>
        </w:rPr>
        <w:t>ajištění dobré dren</w:t>
      </w:r>
      <w:r>
        <w:rPr>
          <w:bCs/>
        </w:rPr>
        <w:t>áže pankreatické šťávy do střeva</w:t>
      </w:r>
      <w:r w:rsidRPr="00FA667B">
        <w:t xml:space="preserve">, </w:t>
      </w:r>
      <w:r w:rsidRPr="00FA667B">
        <w:rPr>
          <w:bCs/>
        </w:rPr>
        <w:t>anastomóza bez tahu</w:t>
      </w:r>
      <w:r w:rsidRPr="00FA667B">
        <w:t>, d</w:t>
      </w:r>
      <w:r w:rsidRPr="00FA667B">
        <w:rPr>
          <w:bCs/>
        </w:rPr>
        <w:t>obrá drenáž bez přetlaku v odvodné kličce</w:t>
      </w:r>
      <w:r w:rsidRPr="00FA667B">
        <w:t xml:space="preserve">, </w:t>
      </w:r>
      <w:r w:rsidR="00343749">
        <w:t xml:space="preserve">což </w:t>
      </w:r>
      <w:r w:rsidRPr="00FA667B">
        <w:t>u</w:t>
      </w:r>
      <w:r w:rsidR="00343749">
        <w:rPr>
          <w:bCs/>
        </w:rPr>
        <w:t>mož</w:t>
      </w:r>
      <w:r w:rsidRPr="00FA667B">
        <w:rPr>
          <w:bCs/>
        </w:rPr>
        <w:t>ní zhojení PJA „SLEPENÍM“ seróz střeva  a pouzdra pankreatu.</w:t>
      </w:r>
    </w:p>
    <w:p w:rsidR="00701E35" w:rsidRDefault="00701E35" w:rsidP="00FA667B">
      <w:pPr>
        <w:spacing w:line="360" w:lineRule="auto"/>
        <w:jc w:val="both"/>
        <w:rPr>
          <w:b/>
          <w:i/>
          <w:u w:val="single"/>
        </w:rPr>
      </w:pPr>
    </w:p>
    <w:p w:rsidR="006002F1" w:rsidRPr="00FA667B" w:rsidRDefault="00DB2B3C" w:rsidP="00FA667B">
      <w:pPr>
        <w:spacing w:line="360" w:lineRule="auto"/>
        <w:jc w:val="both"/>
      </w:pPr>
      <w:r>
        <w:rPr>
          <w:b/>
          <w:i/>
          <w:u w:val="single"/>
        </w:rPr>
        <w:t>2.2.2</w:t>
      </w:r>
      <w:r w:rsidR="006002F1" w:rsidRPr="00FA667B">
        <w:rPr>
          <w:b/>
          <w:i/>
          <w:u w:val="single"/>
        </w:rPr>
        <w:t>.Histor</w:t>
      </w:r>
      <w:r w:rsidR="00EB731C" w:rsidRPr="00FA667B">
        <w:rPr>
          <w:b/>
          <w:i/>
          <w:u w:val="single"/>
        </w:rPr>
        <w:t>i</w:t>
      </w:r>
      <w:r w:rsidR="006002F1" w:rsidRPr="00FA667B">
        <w:rPr>
          <w:b/>
          <w:i/>
          <w:u w:val="single"/>
        </w:rPr>
        <w:t xml:space="preserve">e </w:t>
      </w:r>
      <w:r w:rsidR="00D40C2D">
        <w:rPr>
          <w:b/>
          <w:i/>
          <w:u w:val="single"/>
        </w:rPr>
        <w:t>pankreatujejunoanastomózy</w:t>
      </w:r>
    </w:p>
    <w:p w:rsidR="00A34E28" w:rsidRPr="00FA667B" w:rsidRDefault="006002F1" w:rsidP="00FA667B">
      <w:pPr>
        <w:numPr>
          <w:ilvl w:val="0"/>
          <w:numId w:val="7"/>
        </w:numPr>
        <w:spacing w:line="276" w:lineRule="auto"/>
        <w:jc w:val="both"/>
      </w:pPr>
      <w:r w:rsidRPr="00FA667B">
        <w:t>1909 Coffey zanořil pahýl pankreatu do kličky jejuna</w:t>
      </w:r>
      <w:r w:rsidR="00A34E28" w:rsidRPr="00FA667B">
        <w:t xml:space="preserve">. </w:t>
      </w:r>
    </w:p>
    <w:p w:rsidR="00701E35" w:rsidRDefault="00701E35" w:rsidP="00303E69">
      <w:pPr>
        <w:spacing w:line="276" w:lineRule="auto"/>
      </w:pPr>
    </w:p>
    <w:p w:rsidR="006002F1" w:rsidRPr="00FA667B" w:rsidRDefault="00497DBD" w:rsidP="00303E69">
      <w:pPr>
        <w:spacing w:line="276" w:lineRule="auto"/>
      </w:pPr>
      <w:r>
        <w:rPr>
          <w:noProof/>
        </w:rPr>
        <w:drawing>
          <wp:anchor distT="0" distB="0" distL="114300" distR="114300" simplePos="0" relativeHeight="251650560" behindDoc="0" locked="0" layoutInCell="1" allowOverlap="1">
            <wp:simplePos x="0" y="0"/>
            <wp:positionH relativeFrom="column">
              <wp:posOffset>1971675</wp:posOffset>
            </wp:positionH>
            <wp:positionV relativeFrom="paragraph">
              <wp:posOffset>416560</wp:posOffset>
            </wp:positionV>
            <wp:extent cx="1371600" cy="1355725"/>
            <wp:effectExtent l="19050" t="19050" r="19050" b="15875"/>
            <wp:wrapSquare wrapText="bothSides"/>
            <wp:docPr id="8" name="obrázek 3" descr="o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001.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355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02F1" w:rsidRPr="00FA667B">
        <w:t>Obr.č.3. Technika zanoření pahýlu pankreatu do kličky jejuna</w:t>
      </w:r>
      <w:r w:rsidR="006C29C1" w:rsidRPr="00FA667B">
        <w:t xml:space="preserve"> dle Coffeye</w:t>
      </w:r>
    </w:p>
    <w:p w:rsidR="006002F1" w:rsidRPr="00FA667B" w:rsidRDefault="006002F1" w:rsidP="00FA667B">
      <w:pPr>
        <w:pStyle w:val="Normlnweb"/>
        <w:shd w:val="clear" w:color="auto" w:fill="FFFFFF"/>
        <w:spacing w:before="166" w:after="166" w:line="360" w:lineRule="auto"/>
        <w:jc w:val="both"/>
        <w:rPr>
          <w:i/>
          <w:iCs/>
          <w:color w:val="000000"/>
        </w:rPr>
      </w:pPr>
    </w:p>
    <w:p w:rsidR="006002F1" w:rsidRPr="00FA667B" w:rsidRDefault="006002F1" w:rsidP="00FA667B">
      <w:pPr>
        <w:pStyle w:val="Normlnweb"/>
        <w:shd w:val="clear" w:color="auto" w:fill="FFFFFF"/>
        <w:spacing w:before="166" w:after="166" w:line="360" w:lineRule="auto"/>
        <w:jc w:val="both"/>
        <w:rPr>
          <w:i/>
          <w:iCs/>
          <w:color w:val="000000"/>
        </w:rPr>
      </w:pPr>
    </w:p>
    <w:p w:rsidR="006002F1" w:rsidRPr="00FA667B" w:rsidRDefault="006002F1" w:rsidP="00FA667B">
      <w:pPr>
        <w:pStyle w:val="Normlnweb"/>
        <w:shd w:val="clear" w:color="auto" w:fill="FFFFFF"/>
        <w:spacing w:before="166" w:after="166" w:line="360" w:lineRule="auto"/>
        <w:jc w:val="both"/>
        <w:rPr>
          <w:i/>
          <w:iCs/>
          <w:color w:val="000000"/>
        </w:rPr>
      </w:pPr>
    </w:p>
    <w:p w:rsidR="006002F1" w:rsidRPr="00FA667B" w:rsidRDefault="006002F1" w:rsidP="00FA667B">
      <w:pPr>
        <w:jc w:val="both"/>
        <w:rPr>
          <w:iCs/>
          <w:color w:val="000000"/>
        </w:rPr>
      </w:pPr>
    </w:p>
    <w:p w:rsidR="00A34E28" w:rsidRPr="00FA667B" w:rsidRDefault="00A34E28" w:rsidP="00283EDC">
      <w:pPr>
        <w:jc w:val="center"/>
        <w:rPr>
          <w:iCs/>
          <w:color w:val="000000"/>
        </w:rPr>
      </w:pPr>
      <w:r w:rsidRPr="00FA667B">
        <w:rPr>
          <w:rFonts w:eastAsia="+mn-ea"/>
          <w:iCs/>
          <w:color w:val="000000"/>
        </w:rPr>
        <w:t>převzato – Kakita A. et al.: History of pancreaticojejunostomy in pancreaticoduodenectomy.</w:t>
      </w:r>
    </w:p>
    <w:p w:rsidR="00A34E28" w:rsidRPr="00FA667B" w:rsidRDefault="00A34E28" w:rsidP="00283EDC">
      <w:pPr>
        <w:jc w:val="center"/>
        <w:rPr>
          <w:iCs/>
          <w:color w:val="000000"/>
        </w:rPr>
      </w:pPr>
      <w:r w:rsidRPr="00FA667B">
        <w:rPr>
          <w:rFonts w:eastAsia="+mn-ea"/>
          <w:iCs/>
          <w:color w:val="000000"/>
        </w:rPr>
        <w:t>J Hepatobiliary Pancreat Surg, 2001; 8:230-237</w:t>
      </w:r>
    </w:p>
    <w:p w:rsidR="00A34E28" w:rsidRPr="00FA667B" w:rsidRDefault="00A34E28" w:rsidP="00FA667B">
      <w:pPr>
        <w:spacing w:line="360" w:lineRule="auto"/>
        <w:jc w:val="both"/>
        <w:rPr>
          <w:i/>
          <w:iCs/>
          <w:color w:val="000000"/>
        </w:rPr>
      </w:pPr>
    </w:p>
    <w:p w:rsidR="00A34E28" w:rsidRPr="00FA667B" w:rsidRDefault="006002F1" w:rsidP="00FA667B">
      <w:pPr>
        <w:numPr>
          <w:ilvl w:val="0"/>
          <w:numId w:val="8"/>
        </w:numPr>
        <w:spacing w:line="276" w:lineRule="auto"/>
        <w:jc w:val="both"/>
      </w:pPr>
      <w:r w:rsidRPr="00FA667B">
        <w:t>1941 Child provedl invaginaci pahýlu pankreatu do jejuna, tedy end–to–end anastomózu</w:t>
      </w:r>
      <w:r w:rsidR="00A34E28" w:rsidRPr="00FA667B">
        <w:t xml:space="preserve">. </w:t>
      </w:r>
    </w:p>
    <w:p w:rsidR="0011670A" w:rsidRPr="00FA667B" w:rsidRDefault="0011670A" w:rsidP="00FA667B">
      <w:pPr>
        <w:spacing w:line="276" w:lineRule="auto"/>
        <w:ind w:left="360"/>
        <w:jc w:val="both"/>
      </w:pPr>
    </w:p>
    <w:p w:rsidR="00343749" w:rsidRDefault="00343749" w:rsidP="00FA667B">
      <w:pPr>
        <w:spacing w:line="276" w:lineRule="auto"/>
        <w:ind w:left="360"/>
        <w:jc w:val="both"/>
      </w:pPr>
    </w:p>
    <w:p w:rsidR="00343749" w:rsidRDefault="00343749" w:rsidP="00FA667B">
      <w:pPr>
        <w:spacing w:line="276" w:lineRule="auto"/>
        <w:ind w:left="360"/>
        <w:jc w:val="both"/>
      </w:pPr>
    </w:p>
    <w:p w:rsidR="002100F7" w:rsidRDefault="002100F7" w:rsidP="00343749">
      <w:pPr>
        <w:spacing w:line="276" w:lineRule="auto"/>
        <w:jc w:val="both"/>
      </w:pPr>
    </w:p>
    <w:p w:rsidR="002100F7" w:rsidRDefault="002100F7" w:rsidP="00343749">
      <w:pPr>
        <w:spacing w:line="276" w:lineRule="auto"/>
        <w:jc w:val="both"/>
      </w:pPr>
    </w:p>
    <w:p w:rsidR="006002F1" w:rsidRPr="00FA667B" w:rsidRDefault="006002F1" w:rsidP="00343749">
      <w:pPr>
        <w:spacing w:line="276" w:lineRule="auto"/>
        <w:jc w:val="both"/>
      </w:pPr>
      <w:r w:rsidRPr="00FA667B">
        <w:lastRenderedPageBreak/>
        <w:t>Obr.č.4. Technika invaginace pahýlu pankreatu do jejuna</w:t>
      </w:r>
      <w:r w:rsidR="006C29C1" w:rsidRPr="00FA667B">
        <w:t xml:space="preserve"> dle Childa</w:t>
      </w:r>
    </w:p>
    <w:p w:rsidR="006002F1" w:rsidRPr="00FA667B" w:rsidRDefault="00497DBD" w:rsidP="00FA667B">
      <w:pPr>
        <w:spacing w:line="360" w:lineRule="auto"/>
        <w:jc w:val="both"/>
      </w:pPr>
      <w:r>
        <w:rPr>
          <w:noProof/>
        </w:rPr>
        <w:drawing>
          <wp:anchor distT="0" distB="0" distL="114300" distR="114300" simplePos="0" relativeHeight="251648512" behindDoc="0" locked="0" layoutInCell="1" allowOverlap="1">
            <wp:simplePos x="0" y="0"/>
            <wp:positionH relativeFrom="column">
              <wp:posOffset>1819275</wp:posOffset>
            </wp:positionH>
            <wp:positionV relativeFrom="paragraph">
              <wp:posOffset>177800</wp:posOffset>
            </wp:positionV>
            <wp:extent cx="2057400" cy="1045845"/>
            <wp:effectExtent l="19050" t="19050" r="19050" b="20955"/>
            <wp:wrapSquare wrapText="bothSides"/>
            <wp:docPr id="7" name="obrázek 4" descr="o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001.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400" cy="10458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pPr>
    </w:p>
    <w:p w:rsidR="006002F1" w:rsidRPr="00FA667B" w:rsidRDefault="006002F1" w:rsidP="00FA667B">
      <w:pPr>
        <w:spacing w:line="360" w:lineRule="auto"/>
        <w:jc w:val="both"/>
      </w:pPr>
    </w:p>
    <w:p w:rsidR="00261329" w:rsidRPr="00FA667B" w:rsidRDefault="00261329" w:rsidP="00FA667B">
      <w:pPr>
        <w:jc w:val="both"/>
        <w:rPr>
          <w:rFonts w:eastAsia="+mn-ea"/>
          <w:iCs/>
        </w:rPr>
      </w:pPr>
    </w:p>
    <w:p w:rsidR="00261329" w:rsidRPr="00FA667B" w:rsidRDefault="00261329" w:rsidP="00FA667B">
      <w:pPr>
        <w:jc w:val="both"/>
        <w:rPr>
          <w:rFonts w:eastAsia="+mn-ea"/>
          <w:iCs/>
        </w:rPr>
      </w:pPr>
    </w:p>
    <w:p w:rsidR="00261329" w:rsidRPr="00FA667B" w:rsidRDefault="00261329" w:rsidP="00FA667B">
      <w:pPr>
        <w:jc w:val="both"/>
        <w:rPr>
          <w:rFonts w:eastAsia="+mn-ea"/>
          <w:iCs/>
        </w:rPr>
      </w:pPr>
    </w:p>
    <w:p w:rsidR="00261329" w:rsidRPr="00FA667B" w:rsidRDefault="00261329" w:rsidP="00FA667B">
      <w:pPr>
        <w:jc w:val="both"/>
        <w:rPr>
          <w:rFonts w:eastAsia="+mn-ea"/>
          <w:iCs/>
        </w:rPr>
      </w:pPr>
    </w:p>
    <w:p w:rsidR="00A34E28" w:rsidRPr="00FA667B" w:rsidRDefault="00A34E28" w:rsidP="00283EDC">
      <w:pPr>
        <w:jc w:val="center"/>
      </w:pPr>
      <w:r w:rsidRPr="00FA667B">
        <w:rPr>
          <w:rFonts w:eastAsia="+mn-ea"/>
          <w:iCs/>
        </w:rPr>
        <w:t>převzato – Kakita A. et al.: History of pancreaticojejunostomy in pancreaticoduodenectomy.</w:t>
      </w:r>
    </w:p>
    <w:p w:rsidR="00A34E28" w:rsidRPr="00FA667B" w:rsidRDefault="00A34E28" w:rsidP="00283EDC">
      <w:pPr>
        <w:jc w:val="center"/>
      </w:pPr>
      <w:r w:rsidRPr="00FA667B">
        <w:rPr>
          <w:rFonts w:eastAsia="+mn-ea"/>
          <w:iCs/>
        </w:rPr>
        <w:t>J Hepatobiliary Pancreat Surg, 2001; 8:230-237</w:t>
      </w:r>
    </w:p>
    <w:p w:rsidR="00FF78EE" w:rsidRPr="00FA667B" w:rsidRDefault="00FF78EE" w:rsidP="00FA667B">
      <w:pPr>
        <w:spacing w:line="360" w:lineRule="auto"/>
        <w:jc w:val="both"/>
      </w:pPr>
    </w:p>
    <w:p w:rsidR="00A34E28" w:rsidRPr="00FA667B" w:rsidRDefault="00634147" w:rsidP="00634147">
      <w:pPr>
        <w:numPr>
          <w:ilvl w:val="0"/>
          <w:numId w:val="8"/>
        </w:numPr>
        <w:spacing w:line="276" w:lineRule="auto"/>
        <w:jc w:val="both"/>
      </w:pPr>
      <w:r>
        <w:t>1942</w:t>
      </w:r>
      <w:r w:rsidR="006002F1" w:rsidRPr="00FA667B">
        <w:t xml:space="preserve"> Catt</w:t>
      </w:r>
      <w:r w:rsidR="00283EDC">
        <w:t>ell</w:t>
      </w:r>
      <w:r>
        <w:t xml:space="preserve"> Richard</w:t>
      </w:r>
      <w:r w:rsidR="00283EDC">
        <w:t xml:space="preserve"> provedl</w:t>
      </w:r>
      <w:r>
        <w:t xml:space="preserve"> novou techniku pankreatiko-jejuno anastomózy duct-to-mucosa našívanou koncem ke straně. </w:t>
      </w:r>
      <w:r w:rsidRPr="00FA667B">
        <w:t>Podstatou je pečlivé sešití mukózy pankreatického vývodu a sliznice jejuna</w:t>
      </w:r>
      <w:r>
        <w:t xml:space="preserve"> [20]</w:t>
      </w:r>
    </w:p>
    <w:p w:rsidR="002100F7" w:rsidRDefault="002100F7" w:rsidP="00343749">
      <w:pPr>
        <w:spacing w:line="276" w:lineRule="auto"/>
        <w:jc w:val="both"/>
      </w:pPr>
    </w:p>
    <w:p w:rsidR="006002F1" w:rsidRPr="00FA667B" w:rsidRDefault="006002F1" w:rsidP="00343749">
      <w:pPr>
        <w:spacing w:line="276" w:lineRule="auto"/>
        <w:jc w:val="both"/>
      </w:pPr>
      <w:r w:rsidRPr="00FA667B">
        <w:t>Obr</w:t>
      </w:r>
      <w:r w:rsidR="006C29C1" w:rsidRPr="00FA667B">
        <w:t>.č.5. T</w:t>
      </w:r>
      <w:r w:rsidRPr="00FA667B">
        <w:t>echnika sutury pankreatického vývodu a pahýlu pankreatu</w:t>
      </w:r>
      <w:r w:rsidR="006C29C1" w:rsidRPr="00FA667B">
        <w:t xml:space="preserve"> dle Cattella</w:t>
      </w:r>
    </w:p>
    <w:p w:rsidR="006002F1" w:rsidRPr="00FA667B" w:rsidRDefault="00497DBD" w:rsidP="00FA667B">
      <w:pPr>
        <w:spacing w:line="360" w:lineRule="auto"/>
        <w:jc w:val="both"/>
      </w:pPr>
      <w:r>
        <w:rPr>
          <w:noProof/>
        </w:rPr>
        <w:drawing>
          <wp:anchor distT="0" distB="0" distL="114300" distR="114300" simplePos="0" relativeHeight="251651584" behindDoc="1" locked="0" layoutInCell="1" allowOverlap="1">
            <wp:simplePos x="0" y="0"/>
            <wp:positionH relativeFrom="column">
              <wp:posOffset>1143000</wp:posOffset>
            </wp:positionH>
            <wp:positionV relativeFrom="paragraph">
              <wp:posOffset>267970</wp:posOffset>
            </wp:positionV>
            <wp:extent cx="3086100" cy="1386840"/>
            <wp:effectExtent l="19050" t="19050" r="19050" b="22860"/>
            <wp:wrapTight wrapText="bothSides">
              <wp:wrapPolygon edited="0">
                <wp:start x="-133" y="-297"/>
                <wp:lineTo x="-133" y="21659"/>
                <wp:lineTo x="21600" y="21659"/>
                <wp:lineTo x="21600" y="-297"/>
                <wp:lineTo x="-133" y="-297"/>
              </wp:wrapPolygon>
            </wp:wrapTight>
            <wp:docPr id="5" name="obrázek 5" descr="o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r001.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386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A34E28" w:rsidRPr="00FA667B" w:rsidRDefault="00A34E28" w:rsidP="00FA667B">
      <w:pPr>
        <w:jc w:val="both"/>
      </w:pPr>
    </w:p>
    <w:p w:rsidR="001B10E3" w:rsidRPr="00FA667B" w:rsidRDefault="001B10E3" w:rsidP="00FA667B">
      <w:pPr>
        <w:jc w:val="both"/>
        <w:rPr>
          <w:rFonts w:eastAsia="+mn-ea"/>
          <w:iCs/>
        </w:rPr>
      </w:pPr>
    </w:p>
    <w:p w:rsidR="001B10E3" w:rsidRPr="00FA667B" w:rsidRDefault="001B10E3" w:rsidP="00FA667B">
      <w:pPr>
        <w:jc w:val="both"/>
        <w:rPr>
          <w:rFonts w:eastAsia="+mn-ea"/>
          <w:iCs/>
        </w:rPr>
      </w:pPr>
    </w:p>
    <w:p w:rsidR="001B10E3" w:rsidRPr="00FA667B" w:rsidRDefault="001B10E3" w:rsidP="00FA667B">
      <w:pPr>
        <w:jc w:val="both"/>
        <w:rPr>
          <w:rFonts w:eastAsia="+mn-ea"/>
          <w:iCs/>
        </w:rPr>
      </w:pPr>
    </w:p>
    <w:p w:rsidR="0011670A" w:rsidRPr="00FA667B" w:rsidRDefault="0011670A" w:rsidP="00FA667B">
      <w:pPr>
        <w:jc w:val="both"/>
        <w:rPr>
          <w:rFonts w:eastAsia="+mn-ea"/>
          <w:iCs/>
        </w:rPr>
      </w:pPr>
    </w:p>
    <w:p w:rsidR="00A34E28" w:rsidRPr="00FA667B" w:rsidRDefault="00A34E28" w:rsidP="00283EDC">
      <w:pPr>
        <w:jc w:val="center"/>
      </w:pPr>
      <w:r w:rsidRPr="00FA667B">
        <w:rPr>
          <w:rFonts w:eastAsia="+mn-ea"/>
          <w:iCs/>
        </w:rPr>
        <w:t>převzato – Kakita A. et al.: History of pancreaticojejunostomy in pancreaticoduodenectomy.</w:t>
      </w:r>
    </w:p>
    <w:p w:rsidR="00A34E28" w:rsidRPr="00FA667B" w:rsidRDefault="00A34E28" w:rsidP="00283EDC">
      <w:pPr>
        <w:ind w:left="720"/>
        <w:jc w:val="center"/>
      </w:pPr>
      <w:r w:rsidRPr="00FA667B">
        <w:rPr>
          <w:rFonts w:eastAsia="+mn-ea"/>
          <w:iCs/>
        </w:rPr>
        <w:t>J Hepatobiliary Pancreat Surg, 2001; 8:230-237</w:t>
      </w:r>
    </w:p>
    <w:p w:rsidR="001B10E3" w:rsidRPr="00FA667B" w:rsidRDefault="001B10E3" w:rsidP="00FA667B">
      <w:pPr>
        <w:spacing w:line="360" w:lineRule="auto"/>
        <w:jc w:val="both"/>
      </w:pPr>
    </w:p>
    <w:p w:rsidR="006002F1" w:rsidRPr="00FA667B" w:rsidRDefault="006002F1" w:rsidP="00FA667B">
      <w:pPr>
        <w:numPr>
          <w:ilvl w:val="0"/>
          <w:numId w:val="8"/>
        </w:numPr>
        <w:spacing w:line="360" w:lineRule="auto"/>
        <w:jc w:val="both"/>
      </w:pPr>
      <w:r w:rsidRPr="00FA667B">
        <w:t>1946 Whipple jako první provedl end-to-side anastomózu se zavedeným drénem v pankreatickém vývodu</w:t>
      </w:r>
    </w:p>
    <w:p w:rsidR="002100F7" w:rsidRDefault="002100F7" w:rsidP="00FA667B">
      <w:pPr>
        <w:spacing w:line="360" w:lineRule="auto"/>
        <w:jc w:val="both"/>
      </w:pPr>
    </w:p>
    <w:p w:rsidR="006002F1" w:rsidRPr="00FA667B" w:rsidRDefault="00497DBD" w:rsidP="00FA667B">
      <w:pPr>
        <w:spacing w:line="360" w:lineRule="auto"/>
        <w:jc w:val="both"/>
      </w:pPr>
      <w:r>
        <w:rPr>
          <w:noProof/>
        </w:rPr>
        <w:drawing>
          <wp:anchor distT="0" distB="0" distL="114300" distR="114300" simplePos="0" relativeHeight="251649536" behindDoc="1" locked="0" layoutInCell="1" allowOverlap="1">
            <wp:simplePos x="0" y="0"/>
            <wp:positionH relativeFrom="column">
              <wp:posOffset>1143000</wp:posOffset>
            </wp:positionH>
            <wp:positionV relativeFrom="paragraph">
              <wp:posOffset>258445</wp:posOffset>
            </wp:positionV>
            <wp:extent cx="3248660" cy="1233805"/>
            <wp:effectExtent l="19050" t="19050" r="27940" b="23495"/>
            <wp:wrapTight wrapText="bothSides">
              <wp:wrapPolygon edited="0">
                <wp:start x="-127" y="-334"/>
                <wp:lineTo x="-127" y="21678"/>
                <wp:lineTo x="21659" y="21678"/>
                <wp:lineTo x="21659" y="-334"/>
                <wp:lineTo x="-127" y="-334"/>
              </wp:wrapPolygon>
            </wp:wrapTight>
            <wp:docPr id="6" name="obrázek 6" descr="ob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r00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660" cy="1233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002F1" w:rsidRPr="00FA667B">
        <w:t>Obr.č.6. Anastomóza s drénem v ductus Wirsung</w:t>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1B10E3" w:rsidRPr="00FA667B" w:rsidRDefault="001B10E3" w:rsidP="00FA667B">
      <w:pPr>
        <w:jc w:val="both"/>
        <w:rPr>
          <w:rFonts w:eastAsia="+mn-ea"/>
          <w:iCs/>
        </w:rPr>
      </w:pPr>
    </w:p>
    <w:p w:rsidR="001B10E3" w:rsidRPr="00FA667B" w:rsidRDefault="001B10E3" w:rsidP="00FA667B">
      <w:pPr>
        <w:jc w:val="both"/>
        <w:rPr>
          <w:rFonts w:eastAsia="+mn-ea"/>
          <w:iCs/>
        </w:rPr>
      </w:pPr>
    </w:p>
    <w:p w:rsidR="001B10E3" w:rsidRPr="00FA667B" w:rsidRDefault="001B10E3" w:rsidP="00FA667B">
      <w:pPr>
        <w:jc w:val="both"/>
        <w:rPr>
          <w:rFonts w:eastAsia="+mn-ea"/>
          <w:iCs/>
        </w:rPr>
      </w:pPr>
    </w:p>
    <w:p w:rsidR="00634147" w:rsidRDefault="00634147" w:rsidP="00283EDC">
      <w:pPr>
        <w:jc w:val="center"/>
        <w:rPr>
          <w:rFonts w:eastAsia="+mn-ea"/>
          <w:iCs/>
        </w:rPr>
      </w:pPr>
    </w:p>
    <w:p w:rsidR="00A34E28" w:rsidRPr="00FA667B" w:rsidRDefault="00A34E28" w:rsidP="00283EDC">
      <w:pPr>
        <w:jc w:val="center"/>
      </w:pPr>
      <w:r w:rsidRPr="00FA667B">
        <w:rPr>
          <w:rFonts w:eastAsia="+mn-ea"/>
          <w:iCs/>
        </w:rPr>
        <w:t>převzato – Kakita A. et al.: History of pancreaticojejunostomy in pancreaticoduodenectomy.</w:t>
      </w:r>
    </w:p>
    <w:p w:rsidR="00A34E28" w:rsidRPr="00FA667B" w:rsidRDefault="00A34E28" w:rsidP="002100F7">
      <w:pPr>
        <w:ind w:left="720"/>
        <w:jc w:val="center"/>
      </w:pPr>
      <w:r w:rsidRPr="00FA667B">
        <w:rPr>
          <w:rFonts w:eastAsia="+mn-ea"/>
          <w:iCs/>
        </w:rPr>
        <w:t>J Hepatobiliary Pancreat Surg, 2001; 8:230-237</w:t>
      </w:r>
    </w:p>
    <w:p w:rsidR="00343749" w:rsidRDefault="00634147" w:rsidP="00343749">
      <w:pPr>
        <w:numPr>
          <w:ilvl w:val="0"/>
          <w:numId w:val="8"/>
        </w:numPr>
        <w:spacing w:line="360" w:lineRule="auto"/>
        <w:jc w:val="both"/>
      </w:pPr>
      <w:r>
        <w:lastRenderedPageBreak/>
        <w:t>1946 Waugh a Clagett poprvé provedli implantaci pahýlu pankreatu do žaludku</w:t>
      </w:r>
    </w:p>
    <w:p w:rsidR="002100F7" w:rsidRDefault="002100F7" w:rsidP="00343749">
      <w:pPr>
        <w:spacing w:line="360" w:lineRule="auto"/>
        <w:jc w:val="both"/>
        <w:rPr>
          <w:b/>
          <w:i/>
          <w:u w:val="single"/>
        </w:rPr>
      </w:pPr>
    </w:p>
    <w:p w:rsidR="006002F1" w:rsidRPr="00343749" w:rsidRDefault="00DB2B3C" w:rsidP="00343749">
      <w:pPr>
        <w:spacing w:line="360" w:lineRule="auto"/>
        <w:jc w:val="both"/>
      </w:pPr>
      <w:r>
        <w:rPr>
          <w:b/>
          <w:i/>
          <w:u w:val="single"/>
        </w:rPr>
        <w:t>2.2</w:t>
      </w:r>
      <w:r w:rsidR="00FE7356" w:rsidRPr="00343749">
        <w:rPr>
          <w:b/>
          <w:i/>
          <w:u w:val="single"/>
        </w:rPr>
        <w:t>.</w:t>
      </w:r>
      <w:r w:rsidR="00D40C2D" w:rsidRPr="00343749">
        <w:rPr>
          <w:b/>
          <w:i/>
          <w:u w:val="single"/>
        </w:rPr>
        <w:t>3</w:t>
      </w:r>
      <w:r w:rsidR="00DC71AA" w:rsidRPr="00343749">
        <w:rPr>
          <w:b/>
          <w:i/>
          <w:u w:val="single"/>
        </w:rPr>
        <w:t xml:space="preserve">. </w:t>
      </w:r>
      <w:r w:rsidR="00D40C2D" w:rsidRPr="00343749">
        <w:rPr>
          <w:b/>
          <w:i/>
          <w:u w:val="single"/>
        </w:rPr>
        <w:t>Technika současné pankre</w:t>
      </w:r>
      <w:r w:rsidR="00E45A1C" w:rsidRPr="00343749">
        <w:rPr>
          <w:b/>
          <w:i/>
          <w:u w:val="single"/>
        </w:rPr>
        <w:t>atojejunoanastomózy v Olomouci</w:t>
      </w:r>
    </w:p>
    <w:p w:rsidR="00766634" w:rsidRPr="00FA667B" w:rsidRDefault="006002F1" w:rsidP="00FA667B">
      <w:pPr>
        <w:spacing w:line="360" w:lineRule="auto"/>
        <w:jc w:val="both"/>
      </w:pPr>
      <w:r w:rsidRPr="00FA667B">
        <w:t xml:space="preserve">Pro protnutí slinivky v oblasti krčku pankreatu </w:t>
      </w:r>
      <w:r w:rsidR="00FE7356" w:rsidRPr="00FA667B">
        <w:t xml:space="preserve">pečlivě </w:t>
      </w:r>
      <w:r w:rsidRPr="00FA667B">
        <w:t>stavíme krvácení z re</w:t>
      </w:r>
      <w:r w:rsidR="00BE6B7C" w:rsidRPr="00FA667B">
        <w:t>sekční plochy jednotlivými opichy</w:t>
      </w:r>
      <w:r w:rsidRPr="00FA667B">
        <w:t>. Pomocí sondy určíme průměr ductus Wirsung.</w:t>
      </w:r>
      <w:r w:rsidR="00FE7356" w:rsidRPr="00FA667B">
        <w:t xml:space="preserve"> </w:t>
      </w:r>
      <w:r w:rsidR="00F64235">
        <w:t>V prvním kroku si n</w:t>
      </w:r>
      <w:r w:rsidR="00FE7356" w:rsidRPr="00FA667B">
        <w:t xml:space="preserve">a přední obvod pankreatického vývodu naložíme tři fixační stehy PDS II 5/0. </w:t>
      </w:r>
      <w:r w:rsidR="00A14394" w:rsidRPr="00FA667B">
        <w:t>Stejným postupem naložíme</w:t>
      </w:r>
      <w:r w:rsidR="00FE7356" w:rsidRPr="00FA667B">
        <w:t xml:space="preserve"> tři stehy PDS II 5/0 na zadní obvod pankreatického vývodu. </w:t>
      </w:r>
      <w:r w:rsidR="00F64235">
        <w:t>Tím máme vyvěšený pankreatický vývod. D</w:t>
      </w:r>
      <w:r w:rsidR="00A14394" w:rsidRPr="00FA667B">
        <w:t>alším krokem je rekonstrukce zadní stěny zevní vrstvy PJA, tedy parenchymu zadní stěny pankreatu a serózy p</w:t>
      </w:r>
      <w:r w:rsidR="00FE7356" w:rsidRPr="00FA667B">
        <w:t>ředem připraven</w:t>
      </w:r>
      <w:r w:rsidR="00A14394" w:rsidRPr="00FA667B">
        <w:t>é</w:t>
      </w:r>
      <w:r w:rsidR="00FE7356" w:rsidRPr="00FA667B">
        <w:t xml:space="preserve"> exkludovan</w:t>
      </w:r>
      <w:r w:rsidR="00A14394" w:rsidRPr="00FA667B">
        <w:t>é</w:t>
      </w:r>
      <w:r w:rsidR="00FE7356" w:rsidRPr="00FA667B">
        <w:t xml:space="preserve"> první jejunální klič</w:t>
      </w:r>
      <w:r w:rsidR="00A14394" w:rsidRPr="00FA667B">
        <w:t>k</w:t>
      </w:r>
      <w:r w:rsidR="00766634" w:rsidRPr="00FA667B">
        <w:t xml:space="preserve">u, </w:t>
      </w:r>
      <w:r w:rsidR="00A14394" w:rsidRPr="00FA667B">
        <w:t xml:space="preserve">jednotlivými PDS II </w:t>
      </w:r>
      <w:r w:rsidR="00766634" w:rsidRPr="00FA667B">
        <w:t>4</w:t>
      </w:r>
      <w:r w:rsidR="00A14394" w:rsidRPr="00FA667B">
        <w:t xml:space="preserve">/0 stehy. K mukóze jejunální kličky fixujeme </w:t>
      </w:r>
      <w:r w:rsidR="00766634" w:rsidRPr="00FA667B">
        <w:t xml:space="preserve">předem připravené </w:t>
      </w:r>
      <w:r w:rsidR="00A14394" w:rsidRPr="00FA667B">
        <w:t xml:space="preserve">stehy zadního obvodu pankreatického vývodu a dále dokončujeme rekonstrukci vnitřní vrstvy zadní stěny PJA. </w:t>
      </w:r>
      <w:r w:rsidR="00766634" w:rsidRPr="00FA667B">
        <w:t>Obdobně provádíme rekonstrukci vnitřní vrstvy přední stěny. Nakonec zbývá dokončení rekonstrukce zevní vrstvy přední stěny PJA jednotlivými stehy PDS II 4/0</w:t>
      </w:r>
      <w:r w:rsidR="00F304AC" w:rsidRPr="00FA667B">
        <w:t xml:space="preserve">. </w:t>
      </w:r>
    </w:p>
    <w:p w:rsidR="00701E35" w:rsidRDefault="00701E35" w:rsidP="00FA667B">
      <w:pPr>
        <w:spacing w:line="360" w:lineRule="auto"/>
        <w:jc w:val="both"/>
      </w:pPr>
    </w:p>
    <w:p w:rsidR="00FE7356" w:rsidRPr="00FA667B" w:rsidRDefault="005455CB" w:rsidP="00FA667B">
      <w:pPr>
        <w:spacing w:line="360" w:lineRule="auto"/>
        <w:jc w:val="both"/>
      </w:pPr>
      <w:r w:rsidRPr="00FA667B">
        <w:t>Obr.č.7</w:t>
      </w:r>
      <w:r w:rsidR="006002F1" w:rsidRPr="00FA667B">
        <w:t xml:space="preserve">. </w:t>
      </w:r>
      <w:r w:rsidR="00FE7356" w:rsidRPr="00FA667B">
        <w:t xml:space="preserve">Postup </w:t>
      </w:r>
      <w:r w:rsidR="006002F1" w:rsidRPr="00FA667B">
        <w:t>rekonstrukce anastomózy „duct to mucosa”</w:t>
      </w:r>
      <w:r w:rsidR="00BE6B7C" w:rsidRPr="00FA667B">
        <w:t xml:space="preserve">. </w:t>
      </w:r>
    </w:p>
    <w:p w:rsidR="006002F1" w:rsidRPr="00FA667B" w:rsidRDefault="00BE6B7C" w:rsidP="00FA667B">
      <w:pPr>
        <w:spacing w:line="360" w:lineRule="auto"/>
        <w:jc w:val="both"/>
      </w:pPr>
      <w:r w:rsidRPr="00FA667B">
        <w:t>A: opich resekční plochy jednotlivými prolenovými stehy</w:t>
      </w:r>
    </w:p>
    <w:p w:rsidR="006002F1" w:rsidRPr="00FA667B" w:rsidRDefault="00497DBD" w:rsidP="00FA667B">
      <w:pPr>
        <w:spacing w:line="360" w:lineRule="auto"/>
        <w:jc w:val="both"/>
      </w:pPr>
      <w:r>
        <w:rPr>
          <w:noProof/>
        </w:rPr>
        <w:drawing>
          <wp:anchor distT="0" distB="0" distL="114300" distR="114300" simplePos="0" relativeHeight="251674112" behindDoc="0" locked="0" layoutInCell="1" allowOverlap="1">
            <wp:simplePos x="0" y="0"/>
            <wp:positionH relativeFrom="column">
              <wp:posOffset>799465</wp:posOffset>
            </wp:positionH>
            <wp:positionV relativeFrom="paragraph">
              <wp:posOffset>85090</wp:posOffset>
            </wp:positionV>
            <wp:extent cx="3801745" cy="2531110"/>
            <wp:effectExtent l="0" t="0" r="8255" b="2540"/>
            <wp:wrapSquare wrapText="bothSides"/>
            <wp:docPr id="40" name="obrázek 1" descr="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IMG_03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745" cy="2531110"/>
                    </a:xfrm>
                    <a:prstGeom prst="rect">
                      <a:avLst/>
                    </a:prstGeom>
                    <a:noFill/>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1B10E3" w:rsidRPr="00FA667B" w:rsidRDefault="001B10E3" w:rsidP="00FA667B">
      <w:pPr>
        <w:spacing w:line="360" w:lineRule="auto"/>
        <w:jc w:val="both"/>
        <w:rPr>
          <w:b/>
          <w:i/>
          <w:u w:val="single"/>
        </w:rPr>
      </w:pPr>
    </w:p>
    <w:p w:rsidR="001B10E3" w:rsidRPr="00FA667B" w:rsidRDefault="001B10E3" w:rsidP="00FA667B">
      <w:pPr>
        <w:spacing w:line="360" w:lineRule="auto"/>
        <w:jc w:val="both"/>
        <w:rPr>
          <w:b/>
          <w:i/>
          <w:u w:val="single"/>
        </w:rPr>
      </w:pPr>
    </w:p>
    <w:p w:rsidR="00766634" w:rsidRPr="00FA667B" w:rsidRDefault="00766634" w:rsidP="00FA667B">
      <w:pPr>
        <w:shd w:val="clear" w:color="auto" w:fill="FCFCFC"/>
        <w:jc w:val="both"/>
        <w:outlineLvl w:val="0"/>
      </w:pPr>
    </w:p>
    <w:p w:rsidR="00766634" w:rsidRPr="00FA667B" w:rsidRDefault="00766634" w:rsidP="00FA667B">
      <w:pPr>
        <w:shd w:val="clear" w:color="auto" w:fill="FCFCFC"/>
        <w:jc w:val="both"/>
        <w:outlineLvl w:val="0"/>
      </w:pPr>
    </w:p>
    <w:p w:rsidR="00766634" w:rsidRPr="00FA667B" w:rsidRDefault="00766634" w:rsidP="00FA667B">
      <w:pPr>
        <w:shd w:val="clear" w:color="auto" w:fill="FCFCFC"/>
        <w:jc w:val="both"/>
        <w:outlineLvl w:val="0"/>
      </w:pPr>
    </w:p>
    <w:p w:rsidR="00766634" w:rsidRPr="00FA667B" w:rsidRDefault="00766634" w:rsidP="00FA667B">
      <w:pPr>
        <w:shd w:val="clear" w:color="auto" w:fill="FCFCFC"/>
        <w:jc w:val="both"/>
        <w:outlineLvl w:val="0"/>
      </w:pPr>
    </w:p>
    <w:p w:rsidR="00766634" w:rsidRPr="00FA667B" w:rsidRDefault="00FE7356" w:rsidP="00876D52">
      <w:pPr>
        <w:shd w:val="clear" w:color="auto" w:fill="FCFCFC"/>
        <w:jc w:val="center"/>
        <w:outlineLvl w:val="0"/>
      </w:pPr>
      <w:r w:rsidRPr="00FA667B">
        <w:t>Fotodokumentace z našeho pracoviště</w:t>
      </w:r>
    </w:p>
    <w:p w:rsidR="00766634" w:rsidRDefault="00766634" w:rsidP="00FA667B">
      <w:pPr>
        <w:spacing w:line="360" w:lineRule="auto"/>
        <w:jc w:val="both"/>
      </w:pPr>
    </w:p>
    <w:p w:rsidR="00343749" w:rsidRDefault="00343749" w:rsidP="00FA667B">
      <w:pPr>
        <w:spacing w:line="360" w:lineRule="auto"/>
        <w:jc w:val="both"/>
      </w:pPr>
    </w:p>
    <w:p w:rsidR="00343749" w:rsidRDefault="00343749" w:rsidP="00FA667B">
      <w:pPr>
        <w:spacing w:line="360" w:lineRule="auto"/>
        <w:jc w:val="both"/>
      </w:pPr>
    </w:p>
    <w:p w:rsidR="00343749" w:rsidRDefault="00343749" w:rsidP="00FA667B">
      <w:pPr>
        <w:spacing w:line="360" w:lineRule="auto"/>
        <w:jc w:val="both"/>
      </w:pPr>
    </w:p>
    <w:p w:rsidR="00343749" w:rsidRDefault="00343749" w:rsidP="00FA667B">
      <w:pPr>
        <w:spacing w:line="360" w:lineRule="auto"/>
        <w:jc w:val="both"/>
      </w:pPr>
    </w:p>
    <w:p w:rsidR="002100F7" w:rsidRDefault="002100F7" w:rsidP="00FA667B">
      <w:pPr>
        <w:spacing w:line="360" w:lineRule="auto"/>
        <w:jc w:val="both"/>
      </w:pPr>
    </w:p>
    <w:p w:rsidR="001B10E3" w:rsidRPr="00FA667B" w:rsidRDefault="00BE6B7C" w:rsidP="00FA667B">
      <w:pPr>
        <w:spacing w:line="360" w:lineRule="auto"/>
        <w:jc w:val="both"/>
      </w:pPr>
      <w:r w:rsidRPr="00FA667B">
        <w:lastRenderedPageBreak/>
        <w:t>B: Fixace přední stěny ductus Wirsung jednotlivými stehy (PDSII 4/0)</w:t>
      </w:r>
    </w:p>
    <w:p w:rsidR="00BE6B7C" w:rsidRPr="00FA667B" w:rsidRDefault="00497DBD" w:rsidP="00FA667B">
      <w:pPr>
        <w:spacing w:line="360" w:lineRule="auto"/>
        <w:jc w:val="both"/>
      </w:pPr>
      <w:r>
        <w:rPr>
          <w:noProof/>
        </w:rPr>
        <w:drawing>
          <wp:anchor distT="0" distB="0" distL="114300" distR="114300" simplePos="0" relativeHeight="251707904" behindDoc="0" locked="0" layoutInCell="1" allowOverlap="1">
            <wp:simplePos x="0" y="0"/>
            <wp:positionH relativeFrom="column">
              <wp:posOffset>746760</wp:posOffset>
            </wp:positionH>
            <wp:positionV relativeFrom="paragraph">
              <wp:posOffset>66675</wp:posOffset>
            </wp:positionV>
            <wp:extent cx="3847465" cy="2952750"/>
            <wp:effectExtent l="0" t="0" r="635" b="0"/>
            <wp:wrapSquare wrapText="bothSides"/>
            <wp:docPr id="70" name="obrázek 70" descr="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3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7465" cy="2952750"/>
                    </a:xfrm>
                    <a:prstGeom prst="rect">
                      <a:avLst/>
                    </a:prstGeom>
                    <a:noFill/>
                  </pic:spPr>
                </pic:pic>
              </a:graphicData>
            </a:graphic>
            <wp14:sizeRelH relativeFrom="page">
              <wp14:pctWidth>0</wp14:pctWidth>
            </wp14:sizeRelH>
            <wp14:sizeRelV relativeFrom="page">
              <wp14:pctHeight>0</wp14:pctHeight>
            </wp14:sizeRelV>
          </wp:anchor>
        </w:drawing>
      </w:r>
    </w:p>
    <w:p w:rsidR="001B10E3" w:rsidRPr="00FA667B" w:rsidRDefault="001B10E3"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497DBD" w:rsidP="00FA667B">
      <w:pPr>
        <w:spacing w:line="360" w:lineRule="auto"/>
        <w:jc w:val="both"/>
        <w:rPr>
          <w:b/>
          <w:i/>
          <w:u w:val="single"/>
        </w:rPr>
      </w:pPr>
      <w:r>
        <w:rPr>
          <w:noProof/>
        </w:rPr>
        <w:drawing>
          <wp:anchor distT="0" distB="0" distL="114300" distR="114300" simplePos="0" relativeHeight="251678208" behindDoc="0" locked="0" layoutInCell="1" allowOverlap="1">
            <wp:simplePos x="0" y="0"/>
            <wp:positionH relativeFrom="column">
              <wp:posOffset>4641215</wp:posOffset>
            </wp:positionH>
            <wp:positionV relativeFrom="paragraph">
              <wp:posOffset>39370</wp:posOffset>
            </wp:positionV>
            <wp:extent cx="1068070" cy="1090930"/>
            <wp:effectExtent l="0" t="0" r="0" b="0"/>
            <wp:wrapSquare wrapText="bothSides"/>
            <wp:docPr id="42" name="obrázek 3"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r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8070" cy="109093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5578B3" w:rsidRDefault="005578B3" w:rsidP="00876D52">
      <w:pPr>
        <w:shd w:val="clear" w:color="auto" w:fill="FCFCFC"/>
        <w:jc w:val="center"/>
        <w:outlineLvl w:val="0"/>
      </w:pPr>
    </w:p>
    <w:p w:rsidR="00BE6B7C" w:rsidRPr="00FA667B" w:rsidRDefault="00BE6B7C" w:rsidP="00876D52">
      <w:pPr>
        <w:shd w:val="clear" w:color="auto" w:fill="FCFCFC"/>
        <w:jc w:val="center"/>
        <w:outlineLvl w:val="0"/>
      </w:pPr>
      <w:r w:rsidRPr="00FA667B">
        <w:t>Fotodokumentace z našeho pracoviště</w:t>
      </w:r>
    </w:p>
    <w:p w:rsidR="00876D52" w:rsidRDefault="00E45A1C" w:rsidP="00876D52">
      <w:pPr>
        <w:shd w:val="clear" w:color="auto" w:fill="FCFCFC"/>
        <w:jc w:val="center"/>
        <w:outlineLvl w:val="0"/>
        <w:rPr>
          <w:kern w:val="36"/>
        </w:rPr>
      </w:pPr>
      <w:r>
        <w:t xml:space="preserve">Schéma </w:t>
      </w:r>
      <w:r w:rsidR="00BE6B7C" w:rsidRPr="00FA667B">
        <w:t>převzat</w:t>
      </w:r>
      <w:r>
        <w:t>o</w:t>
      </w:r>
      <w:r w:rsidR="00BE6B7C" w:rsidRPr="00FA667B">
        <w:t xml:space="preserve">: </w:t>
      </w:r>
      <w:hyperlink r:id="rId19" w:history="1">
        <w:r w:rsidR="00BE6B7C" w:rsidRPr="00FA667B">
          <w:t>Weitz</w:t>
        </w:r>
      </w:hyperlink>
      <w:r w:rsidR="00BE6B7C" w:rsidRPr="00FA667B">
        <w:t xml:space="preserve"> J. et al. </w:t>
      </w:r>
      <w:r w:rsidR="00BE6B7C" w:rsidRPr="00FA667B">
        <w:rPr>
          <w:kern w:val="36"/>
        </w:rPr>
        <w:t>Operation nach Kausch-Whipple.</w:t>
      </w:r>
      <w:r w:rsidR="00BE6B7C" w:rsidRPr="00FA667B">
        <w:rPr>
          <w:lang w:val="de-DE"/>
        </w:rPr>
        <w:t>Technik und Ergebnisse.</w:t>
      </w:r>
      <w:hyperlink r:id="rId20" w:history="1">
        <w:r w:rsidR="00BE6B7C" w:rsidRPr="00FA667B">
          <w:rPr>
            <w:iCs/>
          </w:rPr>
          <w:t>Der Chirurg</w:t>
        </w:r>
      </w:hyperlink>
      <w:r w:rsidR="00BE6B7C" w:rsidRPr="00FA667B">
        <w:t xml:space="preserve">,2004; </w:t>
      </w:r>
      <w:r w:rsidR="00BE6B7C" w:rsidRPr="00FA667B">
        <w:rPr>
          <w:bCs/>
        </w:rPr>
        <w:t>75</w:t>
      </w:r>
      <w:r w:rsidR="00BE6B7C" w:rsidRPr="00FA667B">
        <w:t>:1113–1119</w:t>
      </w:r>
    </w:p>
    <w:p w:rsidR="00E45A1C" w:rsidRDefault="00E45A1C" w:rsidP="00876D52">
      <w:pPr>
        <w:shd w:val="clear" w:color="auto" w:fill="FCFCFC"/>
        <w:jc w:val="center"/>
        <w:outlineLvl w:val="0"/>
      </w:pPr>
    </w:p>
    <w:p w:rsidR="00E45A1C" w:rsidRDefault="00E45A1C" w:rsidP="00876D52">
      <w:pPr>
        <w:shd w:val="clear" w:color="auto" w:fill="FCFCFC"/>
        <w:jc w:val="center"/>
        <w:outlineLvl w:val="0"/>
      </w:pPr>
    </w:p>
    <w:p w:rsidR="00701E35" w:rsidRDefault="00701E35" w:rsidP="00876D52">
      <w:pPr>
        <w:shd w:val="clear" w:color="auto" w:fill="FCFCFC"/>
        <w:jc w:val="center"/>
        <w:outlineLvl w:val="0"/>
      </w:pPr>
    </w:p>
    <w:p w:rsidR="00BE6B7C" w:rsidRPr="00876D52" w:rsidRDefault="00BE6B7C" w:rsidP="00876D52">
      <w:pPr>
        <w:shd w:val="clear" w:color="auto" w:fill="FCFCFC"/>
        <w:jc w:val="center"/>
        <w:outlineLvl w:val="0"/>
        <w:rPr>
          <w:kern w:val="36"/>
        </w:rPr>
      </w:pPr>
      <w:r w:rsidRPr="00FA667B">
        <w:t>C: Fixace přední i zadní stěny pankreatického výv</w:t>
      </w:r>
      <w:r w:rsidR="00FE7356" w:rsidRPr="00FA667B">
        <w:t>odu jednotlivými stehy PDS II 5</w:t>
      </w:r>
      <w:r w:rsidRPr="00FA667B">
        <w:t>/0</w:t>
      </w:r>
    </w:p>
    <w:p w:rsidR="00BE6B7C" w:rsidRPr="00FA667B" w:rsidRDefault="00497DBD" w:rsidP="005578B3">
      <w:pPr>
        <w:spacing w:line="360" w:lineRule="auto"/>
        <w:jc w:val="center"/>
        <w:rPr>
          <w:b/>
          <w:i/>
          <w:u w:val="single"/>
        </w:rPr>
      </w:pPr>
      <w:r>
        <w:rPr>
          <w:noProof/>
        </w:rPr>
        <w:drawing>
          <wp:anchor distT="0" distB="0" distL="114300" distR="114300" simplePos="0" relativeHeight="251709952" behindDoc="0" locked="0" layoutInCell="1" allowOverlap="1">
            <wp:simplePos x="0" y="0"/>
            <wp:positionH relativeFrom="column">
              <wp:posOffset>746760</wp:posOffset>
            </wp:positionH>
            <wp:positionV relativeFrom="paragraph">
              <wp:posOffset>240030</wp:posOffset>
            </wp:positionV>
            <wp:extent cx="3905250" cy="2705100"/>
            <wp:effectExtent l="0" t="0" r="0" b="0"/>
            <wp:wrapSquare wrapText="bothSides"/>
            <wp:docPr id="71" name="obrázek 71" descr="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3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5250" cy="270510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497DBD" w:rsidP="00FA667B">
      <w:pPr>
        <w:spacing w:line="360" w:lineRule="auto"/>
        <w:jc w:val="both"/>
        <w:rPr>
          <w:b/>
          <w:i/>
          <w:u w:val="single"/>
        </w:rPr>
      </w:pPr>
      <w:r>
        <w:rPr>
          <w:noProof/>
        </w:rPr>
        <w:drawing>
          <wp:anchor distT="0" distB="0" distL="114300" distR="114300" simplePos="0" relativeHeight="251682304" behindDoc="0" locked="0" layoutInCell="1" allowOverlap="1">
            <wp:simplePos x="0" y="0"/>
            <wp:positionH relativeFrom="column">
              <wp:posOffset>4662805</wp:posOffset>
            </wp:positionH>
            <wp:positionV relativeFrom="paragraph">
              <wp:posOffset>213360</wp:posOffset>
            </wp:positionV>
            <wp:extent cx="1322705" cy="1144270"/>
            <wp:effectExtent l="0" t="0" r="0" b="0"/>
            <wp:wrapSquare wrapText="bothSides"/>
            <wp:docPr id="44" name="obrázek 5"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obr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22705" cy="114427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876D52">
      <w:pPr>
        <w:shd w:val="clear" w:color="auto" w:fill="FCFCFC"/>
        <w:jc w:val="center"/>
        <w:outlineLvl w:val="0"/>
      </w:pPr>
      <w:r w:rsidRPr="00FA667B">
        <w:t>Fotodokumentace z našeho pracoviště</w:t>
      </w:r>
    </w:p>
    <w:p w:rsidR="00BE6B7C" w:rsidRPr="00FA667B" w:rsidRDefault="00E45A1C" w:rsidP="00876D52">
      <w:pPr>
        <w:shd w:val="clear" w:color="auto" w:fill="FCFCFC"/>
        <w:jc w:val="center"/>
        <w:outlineLvl w:val="0"/>
        <w:rPr>
          <w:kern w:val="36"/>
        </w:rPr>
      </w:pPr>
      <w:r>
        <w:t>Schéma</w:t>
      </w:r>
      <w:r w:rsidR="00BE6B7C" w:rsidRPr="00FA667B">
        <w:t xml:space="preserve"> převzat</w:t>
      </w:r>
      <w:r>
        <w:t>o</w:t>
      </w:r>
      <w:r w:rsidR="00BE6B7C" w:rsidRPr="00FA667B">
        <w:t xml:space="preserve">: </w:t>
      </w:r>
      <w:hyperlink r:id="rId23" w:history="1">
        <w:r w:rsidR="00BE6B7C" w:rsidRPr="00FA667B">
          <w:t>Weitz</w:t>
        </w:r>
      </w:hyperlink>
      <w:r w:rsidR="00BE6B7C" w:rsidRPr="00FA667B">
        <w:t xml:space="preserve"> J. et al. </w:t>
      </w:r>
      <w:r w:rsidR="00BE6B7C" w:rsidRPr="00FA667B">
        <w:rPr>
          <w:kern w:val="36"/>
        </w:rPr>
        <w:t>Operation nach Kausch-Whipple.</w:t>
      </w:r>
      <w:r w:rsidR="00BE6B7C" w:rsidRPr="00FA667B">
        <w:rPr>
          <w:lang w:val="de-DE"/>
        </w:rPr>
        <w:t>Technik und Ergebnisse.</w:t>
      </w:r>
      <w:hyperlink r:id="rId24" w:history="1">
        <w:r w:rsidR="00BE6B7C" w:rsidRPr="00FA667B">
          <w:rPr>
            <w:iCs/>
          </w:rPr>
          <w:t>Der Chirurg</w:t>
        </w:r>
      </w:hyperlink>
      <w:r w:rsidR="00BE6B7C" w:rsidRPr="00FA667B">
        <w:t xml:space="preserve">,2004; </w:t>
      </w:r>
      <w:r w:rsidR="00BE6B7C" w:rsidRPr="00FA667B">
        <w:rPr>
          <w:bCs/>
        </w:rPr>
        <w:t>75</w:t>
      </w:r>
      <w:r w:rsidR="00BE6B7C" w:rsidRPr="00FA667B">
        <w:t>:1113–1119</w:t>
      </w:r>
    </w:p>
    <w:p w:rsidR="005578B3" w:rsidRDefault="005578B3" w:rsidP="00FA667B">
      <w:pPr>
        <w:spacing w:line="360" w:lineRule="auto"/>
        <w:jc w:val="both"/>
        <w:rPr>
          <w:b/>
          <w:i/>
          <w:u w:val="single"/>
        </w:rPr>
      </w:pPr>
    </w:p>
    <w:p w:rsidR="005578B3" w:rsidRDefault="005578B3" w:rsidP="00FA667B">
      <w:pPr>
        <w:spacing w:line="360" w:lineRule="auto"/>
        <w:jc w:val="both"/>
      </w:pPr>
    </w:p>
    <w:p w:rsidR="005578B3" w:rsidRDefault="005578B3" w:rsidP="00FA667B">
      <w:pPr>
        <w:spacing w:line="360" w:lineRule="auto"/>
        <w:jc w:val="both"/>
      </w:pPr>
    </w:p>
    <w:p w:rsidR="00BE6B7C" w:rsidRPr="00FA667B" w:rsidRDefault="00BE6B7C" w:rsidP="00FA667B">
      <w:pPr>
        <w:spacing w:line="360" w:lineRule="auto"/>
        <w:jc w:val="both"/>
      </w:pPr>
      <w:r w:rsidRPr="00FA667B">
        <w:lastRenderedPageBreak/>
        <w:t xml:space="preserve">D: </w:t>
      </w:r>
      <w:r w:rsidR="009405D3" w:rsidRPr="00FA667B">
        <w:t>Rekonstrukce zadní zevní vrstvy PJA jednotlivými stehy PDS II 5/0</w:t>
      </w:r>
    </w:p>
    <w:p w:rsidR="00BE6B7C" w:rsidRPr="00FA667B" w:rsidRDefault="00497DBD" w:rsidP="00FA667B">
      <w:pPr>
        <w:spacing w:line="360" w:lineRule="auto"/>
        <w:jc w:val="both"/>
      </w:pPr>
      <w:r>
        <w:rPr>
          <w:noProof/>
        </w:rPr>
        <w:drawing>
          <wp:anchor distT="0" distB="0" distL="114300" distR="114300" simplePos="0" relativeHeight="251684352" behindDoc="0" locked="0" layoutInCell="1" allowOverlap="1">
            <wp:simplePos x="0" y="0"/>
            <wp:positionH relativeFrom="column">
              <wp:posOffset>622300</wp:posOffset>
            </wp:positionH>
            <wp:positionV relativeFrom="paragraph">
              <wp:posOffset>124460</wp:posOffset>
            </wp:positionV>
            <wp:extent cx="4109085" cy="2739390"/>
            <wp:effectExtent l="0" t="0" r="5715" b="3810"/>
            <wp:wrapSquare wrapText="bothSides"/>
            <wp:docPr id="45" name="obrázek 6" descr="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IMG_03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9085" cy="273939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497DBD" w:rsidP="00FA667B">
      <w:pPr>
        <w:spacing w:line="360" w:lineRule="auto"/>
        <w:jc w:val="both"/>
        <w:rPr>
          <w:b/>
          <w:i/>
          <w:u w:val="single"/>
        </w:rPr>
      </w:pPr>
      <w:r>
        <w:rPr>
          <w:noProof/>
        </w:rPr>
        <w:drawing>
          <wp:anchor distT="0" distB="0" distL="114300" distR="114300" simplePos="0" relativeHeight="251686400" behindDoc="0" locked="0" layoutInCell="1" allowOverlap="1">
            <wp:simplePos x="0" y="0"/>
            <wp:positionH relativeFrom="column">
              <wp:posOffset>4618355</wp:posOffset>
            </wp:positionH>
            <wp:positionV relativeFrom="paragraph">
              <wp:posOffset>20320</wp:posOffset>
            </wp:positionV>
            <wp:extent cx="1684655" cy="1529080"/>
            <wp:effectExtent l="0" t="0" r="0" b="0"/>
            <wp:wrapSquare wrapText="bothSides"/>
            <wp:docPr id="46" name="obrázek 7"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obr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4655" cy="152908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876D52">
      <w:pPr>
        <w:shd w:val="clear" w:color="auto" w:fill="FCFCFC"/>
        <w:jc w:val="center"/>
        <w:outlineLvl w:val="0"/>
      </w:pPr>
      <w:r w:rsidRPr="00FA667B">
        <w:t>Fotodokumentace z našeho pracoviště</w:t>
      </w:r>
    </w:p>
    <w:p w:rsidR="00BE6B7C" w:rsidRPr="00FA667B" w:rsidRDefault="00E45A1C" w:rsidP="00876D52">
      <w:pPr>
        <w:shd w:val="clear" w:color="auto" w:fill="FCFCFC"/>
        <w:jc w:val="center"/>
        <w:outlineLvl w:val="0"/>
        <w:rPr>
          <w:kern w:val="36"/>
        </w:rPr>
      </w:pPr>
      <w:r>
        <w:t xml:space="preserve">Schéma </w:t>
      </w:r>
      <w:r w:rsidR="00BE6B7C" w:rsidRPr="00FA667B">
        <w:t>převzat</w:t>
      </w:r>
      <w:r>
        <w:t>o</w:t>
      </w:r>
      <w:r w:rsidR="00BE6B7C" w:rsidRPr="00FA667B">
        <w:t xml:space="preserve">: </w:t>
      </w:r>
      <w:hyperlink r:id="rId27" w:history="1">
        <w:r w:rsidR="00BE6B7C" w:rsidRPr="00FA667B">
          <w:t>Weitz</w:t>
        </w:r>
      </w:hyperlink>
      <w:r w:rsidR="00BE6B7C" w:rsidRPr="00FA667B">
        <w:t xml:space="preserve"> J. et al. </w:t>
      </w:r>
      <w:r w:rsidR="00BE6B7C" w:rsidRPr="00FA667B">
        <w:rPr>
          <w:kern w:val="36"/>
        </w:rPr>
        <w:t>Operation nach Kausch-Whipple.</w:t>
      </w:r>
      <w:r w:rsidR="00BE6B7C" w:rsidRPr="00FA667B">
        <w:rPr>
          <w:lang w:val="de-DE"/>
        </w:rPr>
        <w:t>Technik und Ergebnisse.</w:t>
      </w:r>
      <w:hyperlink r:id="rId28" w:history="1">
        <w:r w:rsidR="00BE6B7C" w:rsidRPr="00FA667B">
          <w:rPr>
            <w:iCs/>
          </w:rPr>
          <w:t>Der Chirurg</w:t>
        </w:r>
      </w:hyperlink>
      <w:r w:rsidR="00BE6B7C" w:rsidRPr="00FA667B">
        <w:t xml:space="preserve">,2004; </w:t>
      </w:r>
      <w:r w:rsidR="00BE6B7C" w:rsidRPr="00FA667B">
        <w:rPr>
          <w:bCs/>
        </w:rPr>
        <w:t>75</w:t>
      </w:r>
      <w:r w:rsidR="00BE6B7C" w:rsidRPr="00FA667B">
        <w:t>:1113–1119</w:t>
      </w:r>
    </w:p>
    <w:p w:rsidR="00FE7356" w:rsidRPr="00FA667B" w:rsidRDefault="00FE7356" w:rsidP="00876D52">
      <w:pPr>
        <w:spacing w:line="360" w:lineRule="auto"/>
        <w:jc w:val="center"/>
      </w:pPr>
    </w:p>
    <w:p w:rsidR="00766634" w:rsidRPr="00FA667B" w:rsidRDefault="00766634" w:rsidP="00FA667B">
      <w:pPr>
        <w:spacing w:line="360" w:lineRule="auto"/>
        <w:jc w:val="both"/>
      </w:pPr>
    </w:p>
    <w:p w:rsidR="00BE6B7C" w:rsidRPr="00FA667B" w:rsidRDefault="009405D3" w:rsidP="00FA667B">
      <w:pPr>
        <w:spacing w:line="360" w:lineRule="auto"/>
        <w:jc w:val="both"/>
      </w:pPr>
      <w:r w:rsidRPr="00FA667B">
        <w:t xml:space="preserve">E: Rekonstrukce </w:t>
      </w:r>
      <w:r w:rsidR="00FE7356" w:rsidRPr="00FA667B">
        <w:t>vnitřní</w:t>
      </w:r>
      <w:r w:rsidRPr="00FA667B">
        <w:t xml:space="preserve"> vrstvy zadní stěny PJA a ukotvení stehů</w:t>
      </w:r>
      <w:r w:rsidR="00FE7356" w:rsidRPr="00FA667B">
        <w:t xml:space="preserve"> naložených při zadním obvodu pankreatického </w:t>
      </w:r>
      <w:r w:rsidRPr="00FA667B">
        <w:t>vývodu k </w:t>
      </w:r>
      <w:r w:rsidR="00FE7356" w:rsidRPr="00FA667B">
        <w:t>mukóz</w:t>
      </w:r>
      <w:r w:rsidRPr="00FA667B">
        <w:t>e jejunální kličky</w:t>
      </w:r>
    </w:p>
    <w:p w:rsidR="009405D3" w:rsidRPr="00FA667B" w:rsidRDefault="00497DBD" w:rsidP="00FA667B">
      <w:pPr>
        <w:spacing w:line="360" w:lineRule="auto"/>
        <w:jc w:val="both"/>
        <w:rPr>
          <w:b/>
          <w:i/>
          <w:u w:val="single"/>
        </w:rPr>
      </w:pPr>
      <w:r>
        <w:rPr>
          <w:noProof/>
        </w:rPr>
        <w:drawing>
          <wp:anchor distT="0" distB="0" distL="114300" distR="114300" simplePos="0" relativeHeight="251688448" behindDoc="0" locked="0" layoutInCell="1" allowOverlap="1">
            <wp:simplePos x="0" y="0"/>
            <wp:positionH relativeFrom="column">
              <wp:posOffset>570230</wp:posOffset>
            </wp:positionH>
            <wp:positionV relativeFrom="paragraph">
              <wp:posOffset>93345</wp:posOffset>
            </wp:positionV>
            <wp:extent cx="4048125" cy="2698750"/>
            <wp:effectExtent l="0" t="0" r="9525" b="6350"/>
            <wp:wrapSquare wrapText="bothSides"/>
            <wp:docPr id="47" name="obrázek 47" descr="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036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2698750"/>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BE6B7C" w:rsidP="00FA667B">
      <w:pPr>
        <w:spacing w:line="360" w:lineRule="auto"/>
        <w:jc w:val="both"/>
        <w:rPr>
          <w:b/>
          <w:i/>
          <w:u w:val="single"/>
        </w:rPr>
      </w:pPr>
    </w:p>
    <w:p w:rsidR="00BE6B7C" w:rsidRPr="00FA667B" w:rsidRDefault="00497DBD" w:rsidP="00FA667B">
      <w:pPr>
        <w:spacing w:line="360" w:lineRule="auto"/>
        <w:jc w:val="both"/>
        <w:rPr>
          <w:b/>
          <w:i/>
          <w:u w:val="single"/>
        </w:rPr>
      </w:pPr>
      <w:r>
        <w:rPr>
          <w:noProof/>
        </w:rPr>
        <w:drawing>
          <wp:anchor distT="0" distB="0" distL="114300" distR="114300" simplePos="0" relativeHeight="251690496" behindDoc="0" locked="0" layoutInCell="1" allowOverlap="1">
            <wp:simplePos x="0" y="0"/>
            <wp:positionH relativeFrom="column">
              <wp:posOffset>4618355</wp:posOffset>
            </wp:positionH>
            <wp:positionV relativeFrom="paragraph">
              <wp:posOffset>27940</wp:posOffset>
            </wp:positionV>
            <wp:extent cx="1615440" cy="1497965"/>
            <wp:effectExtent l="0" t="0" r="3810" b="6985"/>
            <wp:wrapSquare wrapText="bothSides"/>
            <wp:docPr id="48" name="obrázek 9"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obr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5440" cy="1497965"/>
                    </a:xfrm>
                    <a:prstGeom prst="rect">
                      <a:avLst/>
                    </a:prstGeom>
                    <a:noFill/>
                  </pic:spPr>
                </pic:pic>
              </a:graphicData>
            </a:graphic>
            <wp14:sizeRelH relativeFrom="page">
              <wp14:pctWidth>0</wp14:pctWidth>
            </wp14:sizeRelH>
            <wp14:sizeRelV relativeFrom="page">
              <wp14:pctHeight>0</wp14:pctHeight>
            </wp14:sizeRelV>
          </wp:anchor>
        </w:drawing>
      </w:r>
    </w:p>
    <w:p w:rsidR="00BE6B7C" w:rsidRPr="00FA667B" w:rsidRDefault="00BE6B7C"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876D52">
      <w:pPr>
        <w:shd w:val="clear" w:color="auto" w:fill="FCFCFC"/>
        <w:jc w:val="center"/>
        <w:outlineLvl w:val="0"/>
      </w:pPr>
      <w:r w:rsidRPr="00FA667B">
        <w:t>Fotodokumentace z našeho pracoviště</w:t>
      </w:r>
    </w:p>
    <w:p w:rsidR="009405D3" w:rsidRPr="00FA667B" w:rsidRDefault="00E45A1C" w:rsidP="00876D52">
      <w:pPr>
        <w:shd w:val="clear" w:color="auto" w:fill="FCFCFC"/>
        <w:jc w:val="center"/>
        <w:outlineLvl w:val="0"/>
        <w:rPr>
          <w:kern w:val="36"/>
        </w:rPr>
      </w:pPr>
      <w:r>
        <w:t xml:space="preserve">Schéma </w:t>
      </w:r>
      <w:r w:rsidR="009405D3" w:rsidRPr="00FA667B">
        <w:t>převzat</w:t>
      </w:r>
      <w:r>
        <w:t>o</w:t>
      </w:r>
      <w:r w:rsidR="009405D3" w:rsidRPr="00FA667B">
        <w:t xml:space="preserve">: </w:t>
      </w:r>
      <w:hyperlink r:id="rId31" w:history="1">
        <w:r w:rsidR="009405D3" w:rsidRPr="00FA667B">
          <w:t>Weitz</w:t>
        </w:r>
      </w:hyperlink>
      <w:r w:rsidR="009405D3" w:rsidRPr="00FA667B">
        <w:t xml:space="preserve"> J. et al. </w:t>
      </w:r>
      <w:r w:rsidR="009405D3" w:rsidRPr="00FA667B">
        <w:rPr>
          <w:kern w:val="36"/>
        </w:rPr>
        <w:t>Operation nach Kausch-Whipple.</w:t>
      </w:r>
      <w:r w:rsidR="009405D3" w:rsidRPr="00FA667B">
        <w:rPr>
          <w:lang w:val="de-DE"/>
        </w:rPr>
        <w:t>Technik und Ergebnisse.</w:t>
      </w:r>
      <w:hyperlink r:id="rId32" w:history="1">
        <w:r w:rsidR="009405D3" w:rsidRPr="00FA667B">
          <w:rPr>
            <w:iCs/>
          </w:rPr>
          <w:t>Der Chirurg</w:t>
        </w:r>
      </w:hyperlink>
      <w:r w:rsidR="009405D3" w:rsidRPr="00FA667B">
        <w:t xml:space="preserve">,2004; </w:t>
      </w:r>
      <w:r w:rsidR="009405D3" w:rsidRPr="00FA667B">
        <w:rPr>
          <w:bCs/>
        </w:rPr>
        <w:t>75</w:t>
      </w:r>
      <w:r w:rsidR="009405D3" w:rsidRPr="00FA667B">
        <w:t>:1113–1119</w:t>
      </w:r>
    </w:p>
    <w:p w:rsidR="009405D3" w:rsidRPr="00FA667B" w:rsidRDefault="009405D3" w:rsidP="00FA667B">
      <w:pPr>
        <w:spacing w:line="360" w:lineRule="auto"/>
        <w:jc w:val="both"/>
      </w:pPr>
      <w:r w:rsidRPr="00FA667B">
        <w:lastRenderedPageBreak/>
        <w:t>F: Ukotvení naložených stehů přední</w:t>
      </w:r>
      <w:r w:rsidR="00FE7356" w:rsidRPr="00FA667B">
        <w:t>ho obvodu</w:t>
      </w:r>
      <w:r w:rsidRPr="00FA667B">
        <w:t xml:space="preserve"> pankreatického vývodu k </w:t>
      </w:r>
      <w:r w:rsidR="00FE7356" w:rsidRPr="00FA667B">
        <w:t>mukó</w:t>
      </w:r>
      <w:r w:rsidRPr="00FA667B">
        <w:t xml:space="preserve">ze jejunální kličky a dále rekonstrukce vnitřní </w:t>
      </w:r>
      <w:r w:rsidR="00FE7356" w:rsidRPr="00FA667B">
        <w:t>vrstvy přední stěny PJA</w:t>
      </w:r>
    </w:p>
    <w:p w:rsidR="009405D3" w:rsidRPr="00FA667B" w:rsidRDefault="00497DBD" w:rsidP="00FA667B">
      <w:pPr>
        <w:spacing w:line="360" w:lineRule="auto"/>
        <w:jc w:val="both"/>
      </w:pPr>
      <w:r>
        <w:rPr>
          <w:noProof/>
        </w:rPr>
        <w:drawing>
          <wp:anchor distT="0" distB="0" distL="114300" distR="114300" simplePos="0" relativeHeight="251692544" behindDoc="0" locked="0" layoutInCell="1" allowOverlap="1">
            <wp:simplePos x="0" y="0"/>
            <wp:positionH relativeFrom="column">
              <wp:posOffset>506730</wp:posOffset>
            </wp:positionH>
            <wp:positionV relativeFrom="paragraph">
              <wp:posOffset>84455</wp:posOffset>
            </wp:positionV>
            <wp:extent cx="4215765" cy="2810510"/>
            <wp:effectExtent l="0" t="0" r="0" b="8890"/>
            <wp:wrapSquare wrapText="bothSides"/>
            <wp:docPr id="49" name="obrázek 10" descr="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IMG_03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5765" cy="2810510"/>
                    </a:xfrm>
                    <a:prstGeom prst="rect">
                      <a:avLst/>
                    </a:prstGeom>
                    <a:noFill/>
                  </pic:spPr>
                </pic:pic>
              </a:graphicData>
            </a:graphic>
            <wp14:sizeRelH relativeFrom="page">
              <wp14:pctWidth>0</wp14:pctWidth>
            </wp14:sizeRelH>
            <wp14:sizeRelV relativeFrom="page">
              <wp14:pctHeight>0</wp14:pctHeight>
            </wp14:sizeRelV>
          </wp:anchor>
        </w:drawing>
      </w: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497DBD" w:rsidP="00FA667B">
      <w:pPr>
        <w:spacing w:line="360" w:lineRule="auto"/>
        <w:jc w:val="both"/>
        <w:rPr>
          <w:b/>
          <w:i/>
          <w:u w:val="single"/>
        </w:rPr>
      </w:pPr>
      <w:r>
        <w:rPr>
          <w:noProof/>
        </w:rPr>
        <w:drawing>
          <wp:anchor distT="0" distB="0" distL="114300" distR="114300" simplePos="0" relativeHeight="251694592" behindDoc="0" locked="0" layoutInCell="1" allowOverlap="1">
            <wp:simplePos x="0" y="0"/>
            <wp:positionH relativeFrom="column">
              <wp:posOffset>4722495</wp:posOffset>
            </wp:positionH>
            <wp:positionV relativeFrom="paragraph">
              <wp:posOffset>202565</wp:posOffset>
            </wp:positionV>
            <wp:extent cx="1182370" cy="1300480"/>
            <wp:effectExtent l="0" t="0" r="0" b="0"/>
            <wp:wrapSquare wrapText="bothSides"/>
            <wp:docPr id="50" name="obrázek 11"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obr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2370" cy="1300480"/>
                    </a:xfrm>
                    <a:prstGeom prst="rect">
                      <a:avLst/>
                    </a:prstGeom>
                    <a:noFill/>
                  </pic:spPr>
                </pic:pic>
              </a:graphicData>
            </a:graphic>
            <wp14:sizeRelH relativeFrom="page">
              <wp14:pctWidth>0</wp14:pctWidth>
            </wp14:sizeRelH>
            <wp14:sizeRelV relativeFrom="page">
              <wp14:pctHeight>0</wp14:pctHeight>
            </wp14:sizeRelV>
          </wp:anchor>
        </w:drawing>
      </w: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hd w:val="clear" w:color="auto" w:fill="FCFCFC"/>
        <w:jc w:val="both"/>
        <w:outlineLvl w:val="0"/>
      </w:pPr>
    </w:p>
    <w:p w:rsidR="009405D3" w:rsidRPr="00FA667B" w:rsidRDefault="009405D3" w:rsidP="00876D52">
      <w:pPr>
        <w:shd w:val="clear" w:color="auto" w:fill="FCFCFC"/>
        <w:jc w:val="center"/>
        <w:outlineLvl w:val="0"/>
      </w:pPr>
      <w:r w:rsidRPr="00FA667B">
        <w:t>Fotodokumentace z našeho pracoviště</w:t>
      </w:r>
    </w:p>
    <w:p w:rsidR="009405D3" w:rsidRPr="00FA667B" w:rsidRDefault="00E45A1C" w:rsidP="00876D52">
      <w:pPr>
        <w:shd w:val="clear" w:color="auto" w:fill="FCFCFC"/>
        <w:jc w:val="center"/>
        <w:outlineLvl w:val="0"/>
        <w:rPr>
          <w:kern w:val="36"/>
        </w:rPr>
      </w:pPr>
      <w:r>
        <w:t xml:space="preserve">Schéma </w:t>
      </w:r>
      <w:r w:rsidR="009405D3" w:rsidRPr="00FA667B">
        <w:t>převzat</w:t>
      </w:r>
      <w:r>
        <w:t>o</w:t>
      </w:r>
      <w:r w:rsidR="009405D3" w:rsidRPr="00FA667B">
        <w:t xml:space="preserve">: </w:t>
      </w:r>
      <w:hyperlink r:id="rId35" w:history="1">
        <w:r w:rsidR="009405D3" w:rsidRPr="00FA667B">
          <w:t>Weitz</w:t>
        </w:r>
      </w:hyperlink>
      <w:r w:rsidR="009405D3" w:rsidRPr="00FA667B">
        <w:t xml:space="preserve"> J. et al. </w:t>
      </w:r>
      <w:r w:rsidR="009405D3" w:rsidRPr="00FA667B">
        <w:rPr>
          <w:kern w:val="36"/>
        </w:rPr>
        <w:t>Operation nach Kausch-Whipple.</w:t>
      </w:r>
      <w:r w:rsidR="009405D3" w:rsidRPr="00FA667B">
        <w:rPr>
          <w:lang w:val="de-DE"/>
        </w:rPr>
        <w:t>Technik und Ergebnisse.</w:t>
      </w:r>
      <w:hyperlink r:id="rId36" w:history="1">
        <w:r w:rsidR="009405D3" w:rsidRPr="00FA667B">
          <w:rPr>
            <w:iCs/>
          </w:rPr>
          <w:t>Der Chirurg</w:t>
        </w:r>
      </w:hyperlink>
      <w:r w:rsidR="009405D3" w:rsidRPr="00FA667B">
        <w:t xml:space="preserve">,2004; </w:t>
      </w:r>
      <w:r w:rsidR="009405D3" w:rsidRPr="00FA667B">
        <w:rPr>
          <w:bCs/>
        </w:rPr>
        <w:t>75</w:t>
      </w:r>
      <w:r w:rsidR="009405D3" w:rsidRPr="00FA667B">
        <w:t>:1113–1119</w:t>
      </w:r>
    </w:p>
    <w:p w:rsidR="009405D3" w:rsidRPr="00FA667B" w:rsidRDefault="009405D3" w:rsidP="00FA667B">
      <w:pPr>
        <w:spacing w:line="360" w:lineRule="auto"/>
        <w:jc w:val="both"/>
        <w:rPr>
          <w:b/>
          <w:i/>
          <w:u w:val="single"/>
        </w:rPr>
      </w:pPr>
    </w:p>
    <w:p w:rsidR="00FE7356" w:rsidRPr="00FA667B" w:rsidRDefault="00FE7356" w:rsidP="00FA667B">
      <w:pPr>
        <w:spacing w:line="360" w:lineRule="auto"/>
        <w:jc w:val="both"/>
      </w:pPr>
      <w:r w:rsidRPr="00FA667B">
        <w:t>G: Rekonstrukce zevní vrstvy přední stěny PJA</w:t>
      </w:r>
    </w:p>
    <w:p w:rsidR="00FE7356" w:rsidRPr="00FA667B" w:rsidRDefault="00497DBD" w:rsidP="00FA667B">
      <w:pPr>
        <w:spacing w:line="360" w:lineRule="auto"/>
        <w:jc w:val="both"/>
      </w:pPr>
      <w:r>
        <w:rPr>
          <w:noProof/>
        </w:rPr>
        <w:drawing>
          <wp:anchor distT="0" distB="0" distL="114300" distR="114300" simplePos="0" relativeHeight="251696640" behindDoc="0" locked="0" layoutInCell="1" allowOverlap="1">
            <wp:simplePos x="0" y="0"/>
            <wp:positionH relativeFrom="column">
              <wp:posOffset>506730</wp:posOffset>
            </wp:positionH>
            <wp:positionV relativeFrom="paragraph">
              <wp:posOffset>59690</wp:posOffset>
            </wp:positionV>
            <wp:extent cx="4272280" cy="3206115"/>
            <wp:effectExtent l="0" t="0" r="0" b="0"/>
            <wp:wrapSquare wrapText="bothSides"/>
            <wp:docPr id="51" name="obrázek 12" descr="IMG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IMG_036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2280" cy="3206115"/>
                    </a:xfrm>
                    <a:prstGeom prst="rect">
                      <a:avLst/>
                    </a:prstGeom>
                    <a:noFill/>
                  </pic:spPr>
                </pic:pic>
              </a:graphicData>
            </a:graphic>
            <wp14:sizeRelH relativeFrom="page">
              <wp14:pctWidth>0</wp14:pctWidth>
            </wp14:sizeRelH>
            <wp14:sizeRelV relativeFrom="page">
              <wp14:pctHeight>0</wp14:pctHeight>
            </wp14:sizeRelV>
          </wp:anchor>
        </w:drawing>
      </w: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9405D3" w:rsidRPr="00FA667B" w:rsidRDefault="009405D3"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497DBD" w:rsidP="00FA667B">
      <w:pPr>
        <w:spacing w:line="360" w:lineRule="auto"/>
        <w:jc w:val="both"/>
        <w:rPr>
          <w:b/>
          <w:i/>
          <w:u w:val="single"/>
        </w:rPr>
      </w:pPr>
      <w:r>
        <w:rPr>
          <w:noProof/>
        </w:rPr>
        <w:drawing>
          <wp:anchor distT="0" distB="0" distL="114300" distR="114300" simplePos="0" relativeHeight="251698688" behindDoc="0" locked="0" layoutInCell="1" allowOverlap="1">
            <wp:simplePos x="0" y="0"/>
            <wp:positionH relativeFrom="column">
              <wp:posOffset>4779010</wp:posOffset>
            </wp:positionH>
            <wp:positionV relativeFrom="paragraph">
              <wp:posOffset>80010</wp:posOffset>
            </wp:positionV>
            <wp:extent cx="1336040" cy="1345565"/>
            <wp:effectExtent l="0" t="0" r="0" b="6985"/>
            <wp:wrapSquare wrapText="bothSides"/>
            <wp:docPr id="52" name="obrázek 13" descr="ob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obr0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6040" cy="1345565"/>
                    </a:xfrm>
                    <a:prstGeom prst="rect">
                      <a:avLst/>
                    </a:prstGeom>
                    <a:noFill/>
                  </pic:spPr>
                </pic:pic>
              </a:graphicData>
            </a:graphic>
            <wp14:sizeRelH relativeFrom="page">
              <wp14:pctWidth>0</wp14:pctWidth>
            </wp14:sizeRelH>
            <wp14:sizeRelV relativeFrom="page">
              <wp14:pctHeight>0</wp14:pctHeight>
            </wp14:sizeRelV>
          </wp:anchor>
        </w:drawing>
      </w:r>
    </w:p>
    <w:p w:rsidR="00FE7356" w:rsidRPr="00FA667B" w:rsidRDefault="00FE7356"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FE7356" w:rsidP="00FA667B">
      <w:pPr>
        <w:spacing w:line="360" w:lineRule="auto"/>
        <w:jc w:val="both"/>
        <w:rPr>
          <w:b/>
          <w:i/>
          <w:u w:val="single"/>
        </w:rPr>
      </w:pPr>
    </w:p>
    <w:p w:rsidR="00FE7356" w:rsidRPr="00FA667B" w:rsidRDefault="00FE7356" w:rsidP="00876D52">
      <w:pPr>
        <w:shd w:val="clear" w:color="auto" w:fill="FCFCFC"/>
        <w:jc w:val="center"/>
        <w:outlineLvl w:val="0"/>
      </w:pPr>
      <w:r w:rsidRPr="00FA667B">
        <w:t>Fotodokumentace z našeho pracoviště</w:t>
      </w:r>
    </w:p>
    <w:p w:rsidR="00FE7356" w:rsidRPr="00FA667B" w:rsidRDefault="00E45A1C" w:rsidP="00876D52">
      <w:pPr>
        <w:shd w:val="clear" w:color="auto" w:fill="FCFCFC"/>
        <w:jc w:val="center"/>
        <w:outlineLvl w:val="0"/>
        <w:rPr>
          <w:kern w:val="36"/>
        </w:rPr>
      </w:pPr>
      <w:r>
        <w:t>Schéma</w:t>
      </w:r>
      <w:r w:rsidR="00FE7356" w:rsidRPr="00FA667B">
        <w:t xml:space="preserve"> převzat</w:t>
      </w:r>
      <w:r>
        <w:t>o</w:t>
      </w:r>
      <w:r w:rsidR="00FE7356" w:rsidRPr="00FA667B">
        <w:t xml:space="preserve">: </w:t>
      </w:r>
      <w:hyperlink r:id="rId39" w:history="1">
        <w:r w:rsidR="00FE7356" w:rsidRPr="00FA667B">
          <w:t>Weitz</w:t>
        </w:r>
      </w:hyperlink>
      <w:r w:rsidR="00FE7356" w:rsidRPr="00FA667B">
        <w:t xml:space="preserve"> J. et al. </w:t>
      </w:r>
      <w:r w:rsidR="00FE7356" w:rsidRPr="00FA667B">
        <w:rPr>
          <w:kern w:val="36"/>
        </w:rPr>
        <w:t>Operation nach Kausch-Whipple.</w:t>
      </w:r>
      <w:r w:rsidR="00FE7356" w:rsidRPr="00FA667B">
        <w:rPr>
          <w:lang w:val="de-DE"/>
        </w:rPr>
        <w:t>Technik und Ergebnisse.</w:t>
      </w:r>
      <w:hyperlink r:id="rId40" w:history="1">
        <w:r w:rsidR="00FE7356" w:rsidRPr="00FA667B">
          <w:rPr>
            <w:iCs/>
          </w:rPr>
          <w:t>Der Chirurg</w:t>
        </w:r>
      </w:hyperlink>
      <w:r w:rsidR="00FE7356" w:rsidRPr="00FA667B">
        <w:t xml:space="preserve">,2004; </w:t>
      </w:r>
      <w:r w:rsidR="00FE7356" w:rsidRPr="00FA667B">
        <w:rPr>
          <w:bCs/>
        </w:rPr>
        <w:t>75</w:t>
      </w:r>
      <w:r w:rsidR="00FE7356" w:rsidRPr="00FA667B">
        <w:t>:1113–1119</w:t>
      </w:r>
    </w:p>
    <w:p w:rsidR="005578B3" w:rsidRDefault="005578B3" w:rsidP="00FA667B">
      <w:pPr>
        <w:spacing w:line="360" w:lineRule="auto"/>
        <w:jc w:val="both"/>
        <w:rPr>
          <w:b/>
          <w:i/>
          <w:u w:val="single"/>
        </w:rPr>
      </w:pPr>
    </w:p>
    <w:p w:rsidR="006002F1" w:rsidRPr="00FA667B" w:rsidRDefault="00766634" w:rsidP="00FA667B">
      <w:pPr>
        <w:spacing w:line="360" w:lineRule="auto"/>
        <w:jc w:val="both"/>
        <w:rPr>
          <w:b/>
          <w:i/>
          <w:u w:val="single"/>
        </w:rPr>
      </w:pPr>
      <w:r w:rsidRPr="00FA667B">
        <w:rPr>
          <w:b/>
          <w:i/>
          <w:u w:val="single"/>
        </w:rPr>
        <w:lastRenderedPageBreak/>
        <w:t>2.</w:t>
      </w:r>
      <w:r w:rsidR="00DB2B3C">
        <w:rPr>
          <w:b/>
          <w:i/>
          <w:u w:val="single"/>
        </w:rPr>
        <w:t>2</w:t>
      </w:r>
      <w:r w:rsidR="004C2B84">
        <w:rPr>
          <w:b/>
          <w:i/>
          <w:u w:val="single"/>
        </w:rPr>
        <w:t>.4.Pankreatogastroanastomóza</w:t>
      </w:r>
    </w:p>
    <w:p w:rsidR="006002F1" w:rsidRPr="00FA667B" w:rsidRDefault="006002F1" w:rsidP="00FA667B">
      <w:pPr>
        <w:spacing w:line="360" w:lineRule="auto"/>
        <w:jc w:val="both"/>
        <w:rPr>
          <w:bCs/>
        </w:rPr>
      </w:pPr>
      <w:r w:rsidRPr="00FA667B">
        <w:t>Některé pracoviště preferují rekonstrukci</w:t>
      </w:r>
      <w:r w:rsidR="00766634" w:rsidRPr="00FA667B">
        <w:t xml:space="preserve"> </w:t>
      </w:r>
      <w:r w:rsidR="00F64235">
        <w:t>pankreatogastroanastomózy (</w:t>
      </w:r>
      <w:r w:rsidR="00766634" w:rsidRPr="00FA667B">
        <w:t>PGA</w:t>
      </w:r>
      <w:r w:rsidR="00F64235">
        <w:t>)</w:t>
      </w:r>
      <w:r w:rsidRPr="00FA667B">
        <w:t>.</w:t>
      </w:r>
      <w:r w:rsidR="004D4A60">
        <w:t xml:space="preserve"> Existuje řada studií, které srovnávají výhody a nevýhody PJA a PGA ve prospěch PGA. Hlavním argumentem byl nižší výskyt pankreatické píštěle, nižší výskyt nitrobřišních kolekcí a nižší letalita. Proti tomu jsou</w:t>
      </w:r>
      <w:r w:rsidR="0090694D">
        <w:t xml:space="preserve"> však</w:t>
      </w:r>
      <w:r w:rsidR="004D4A60">
        <w:t xml:space="preserve"> studi</w:t>
      </w:r>
      <w:r w:rsidR="0090694D">
        <w:t>e, které tyto fakta vyvracejí a naopak ukazují, že incidence pankreatické píštěle je u obou technik srovnatelný.</w:t>
      </w:r>
      <w:r w:rsidRPr="00FA667B">
        <w:rPr>
          <w:bCs/>
        </w:rPr>
        <w:t xml:space="preserve"> [21,22]</w:t>
      </w:r>
      <w:r w:rsidR="0090694D">
        <w:rPr>
          <w:bCs/>
        </w:rPr>
        <w:t xml:space="preserve"> Podle dostupných dat nelze jednoznačně určit, který typ anastomózy je výhodnější. Hlavním atributem v co nejnižším výskytu pankreatické píštěle je zvyklost daného pracoviště, které daný typ rekonstrukce PJA/PGA dlouhodobě provádí a také na preciznosti rekonstrukce dané anastomózy.</w:t>
      </w:r>
    </w:p>
    <w:p w:rsidR="006002F1" w:rsidRPr="00FA667B" w:rsidRDefault="006002F1" w:rsidP="00FA667B">
      <w:pPr>
        <w:spacing w:line="360" w:lineRule="auto"/>
        <w:jc w:val="both"/>
      </w:pPr>
    </w:p>
    <w:p w:rsidR="006002F1" w:rsidRPr="00FA667B" w:rsidRDefault="006002F1" w:rsidP="00FA667B">
      <w:pPr>
        <w:spacing w:line="360" w:lineRule="auto"/>
        <w:jc w:val="both"/>
        <w:rPr>
          <w:b/>
          <w:i/>
          <w:u w:val="single"/>
        </w:rPr>
      </w:pPr>
      <w:r w:rsidRPr="00FA667B">
        <w:rPr>
          <w:b/>
          <w:i/>
          <w:u w:val="single"/>
        </w:rPr>
        <w:t>Několik příkladů rekonstrukce PGA</w:t>
      </w:r>
    </w:p>
    <w:p w:rsidR="006002F1" w:rsidRPr="00FA667B" w:rsidRDefault="006002F1" w:rsidP="00FA667B">
      <w:pPr>
        <w:spacing w:line="360" w:lineRule="auto"/>
        <w:jc w:val="both"/>
        <w:rPr>
          <w:b/>
          <w:bCs/>
        </w:rPr>
      </w:pPr>
      <w:r w:rsidRPr="00FA667B">
        <w:t>Bassi et al.</w:t>
      </w:r>
      <w:r w:rsidRPr="00FA667B">
        <w:rPr>
          <w:b/>
          <w:bCs/>
        </w:rPr>
        <w:t xml:space="preserve"> </w:t>
      </w:r>
      <w:r w:rsidR="008D3E85" w:rsidRPr="00FA667B">
        <w:rPr>
          <w:bCs/>
        </w:rPr>
        <w:t>provedl</w:t>
      </w:r>
      <w:r w:rsidRPr="00FA667B">
        <w:rPr>
          <w:bCs/>
        </w:rPr>
        <w:t xml:space="preserve"> na souboru 50-ti pacientů níže popsanou techniku šití PG</w:t>
      </w:r>
      <w:r w:rsidR="008D3E85" w:rsidRPr="00FA667B">
        <w:rPr>
          <w:bCs/>
        </w:rPr>
        <w:t xml:space="preserve">A. POPF se vyskytla v 8% </w:t>
      </w:r>
      <w:r w:rsidR="00EE1266">
        <w:rPr>
          <w:bCs/>
        </w:rPr>
        <w:t xml:space="preserve"> </w:t>
      </w:r>
      <w:r w:rsidR="008D3E85" w:rsidRPr="00FA667B">
        <w:rPr>
          <w:bCs/>
        </w:rPr>
        <w:t>případech</w:t>
      </w:r>
      <w:r w:rsidRPr="00FA667B">
        <w:rPr>
          <w:bCs/>
        </w:rPr>
        <w:t xml:space="preserve">. </w:t>
      </w:r>
    </w:p>
    <w:p w:rsidR="006002F1" w:rsidRPr="00FA667B" w:rsidRDefault="006002F1" w:rsidP="00FA667B">
      <w:pPr>
        <w:spacing w:line="360" w:lineRule="auto"/>
        <w:jc w:val="both"/>
      </w:pPr>
      <w:r w:rsidRPr="00FA667B">
        <w:t xml:space="preserve">Technika: pahýl pankreatu </w:t>
      </w:r>
      <w:r w:rsidR="00F304AC" w:rsidRPr="00FA667B">
        <w:t>je mobilizován v rozsahu 5</w:t>
      </w:r>
      <w:r w:rsidRPr="00FA667B">
        <w:t xml:space="preserve">cm, </w:t>
      </w:r>
      <w:r w:rsidR="00F304AC" w:rsidRPr="00FA667B">
        <w:t xml:space="preserve">provedeme </w:t>
      </w:r>
      <w:r w:rsidRPr="00FA667B">
        <w:t xml:space="preserve">přední </w:t>
      </w:r>
      <w:r w:rsidR="00F304AC" w:rsidRPr="00FA667B">
        <w:t>i zadní gastrotomii</w:t>
      </w:r>
      <w:r w:rsidRPr="00FA667B">
        <w:t xml:space="preserve">, zadní gastrotomie </w:t>
      </w:r>
      <w:r w:rsidR="008D3E85" w:rsidRPr="00FA667B">
        <w:t xml:space="preserve">je </w:t>
      </w:r>
      <w:r w:rsidRPr="00FA667B">
        <w:t>v rozsahu velikosti p</w:t>
      </w:r>
      <w:r w:rsidR="00F304AC" w:rsidRPr="00FA667B">
        <w:t>a</w:t>
      </w:r>
      <w:r w:rsidR="008D3E85" w:rsidRPr="00FA667B">
        <w:t>nkreatu. Pahýl pankreatu vnoříme</w:t>
      </w:r>
      <w:r w:rsidR="00F304AC" w:rsidRPr="00FA667B">
        <w:t xml:space="preserve"> do žaludku</w:t>
      </w:r>
      <w:r w:rsidR="008D3E85" w:rsidRPr="00FA667B">
        <w:t>, p</w:t>
      </w:r>
      <w:r w:rsidR="00F304AC" w:rsidRPr="00FA667B">
        <w:t xml:space="preserve">rvní vrstva anastomózy je </w:t>
      </w:r>
      <w:r w:rsidR="008D3E85" w:rsidRPr="00FA667B">
        <w:t xml:space="preserve">tvořena </w:t>
      </w:r>
      <w:r w:rsidR="00F304AC" w:rsidRPr="00FA667B">
        <w:t>seromuscularní</w:t>
      </w:r>
      <w:r w:rsidR="008D3E85" w:rsidRPr="00FA667B">
        <w:t>mi</w:t>
      </w:r>
      <w:r w:rsidRPr="00FA667B">
        <w:t xml:space="preserve"> </w:t>
      </w:r>
      <w:r w:rsidR="008D3E85" w:rsidRPr="00FA667B">
        <w:t>stehy</w:t>
      </w:r>
      <w:r w:rsidR="00F304AC" w:rsidRPr="00FA667B">
        <w:t xml:space="preserve"> žaludku a pouzdra</w:t>
      </w:r>
      <w:r w:rsidR="008D3E85" w:rsidRPr="00FA667B">
        <w:t xml:space="preserve"> pankreatu, druhou vrstvu šijeme na úrovni</w:t>
      </w:r>
      <w:r w:rsidRPr="00FA667B">
        <w:t xml:space="preserve"> sliznice</w:t>
      </w:r>
      <w:r w:rsidR="00F304AC" w:rsidRPr="00FA667B">
        <w:t xml:space="preserve"> žaludku a pouzdra</w:t>
      </w:r>
      <w:r w:rsidR="008D3E85" w:rsidRPr="00FA667B">
        <w:t xml:space="preserve"> pankreatu. </w:t>
      </w:r>
      <w:r w:rsidR="00F304AC" w:rsidRPr="00FA667B">
        <w:t>Pankreas ční 3-4</w:t>
      </w:r>
      <w:r w:rsidRPr="00FA667B">
        <w:t>cm</w:t>
      </w:r>
      <w:r w:rsidR="00F304AC" w:rsidRPr="00FA667B">
        <w:t xml:space="preserve"> do</w:t>
      </w:r>
      <w:r w:rsidRPr="00FA667B">
        <w:t> žaludku. [23]</w:t>
      </w:r>
      <w:r w:rsidR="000C3376" w:rsidRPr="00FA667B">
        <w:t xml:space="preserve"> </w:t>
      </w:r>
    </w:p>
    <w:p w:rsidR="00766634" w:rsidRPr="00FA667B" w:rsidRDefault="00766634" w:rsidP="00FA667B">
      <w:pPr>
        <w:spacing w:line="360" w:lineRule="auto"/>
        <w:jc w:val="both"/>
      </w:pPr>
    </w:p>
    <w:p w:rsidR="00F304AC" w:rsidRPr="00FA667B" w:rsidRDefault="005455CB" w:rsidP="00FA667B">
      <w:pPr>
        <w:spacing w:line="360" w:lineRule="auto"/>
        <w:jc w:val="both"/>
      </w:pPr>
      <w:r w:rsidRPr="00FA667B">
        <w:t>Obr.č.8</w:t>
      </w:r>
      <w:r w:rsidR="006002F1" w:rsidRPr="00FA667B">
        <w:t>. Technika PGA</w:t>
      </w:r>
      <w:r w:rsidR="00766634" w:rsidRPr="00FA667B">
        <w:t xml:space="preserve"> end to sid</w:t>
      </w:r>
      <w:r w:rsidR="00F304AC" w:rsidRPr="00FA667B">
        <w:t>e</w:t>
      </w:r>
    </w:p>
    <w:p w:rsidR="00F304AC" w:rsidRPr="00FA667B" w:rsidRDefault="00497DBD" w:rsidP="00FA667B">
      <w:pPr>
        <w:spacing w:line="360" w:lineRule="auto"/>
        <w:jc w:val="both"/>
      </w:pPr>
      <w:r>
        <w:rPr>
          <w:noProof/>
        </w:rPr>
        <w:drawing>
          <wp:anchor distT="0" distB="0" distL="114300" distR="114300" simplePos="0" relativeHeight="251702784" behindDoc="1" locked="0" layoutInCell="1" allowOverlap="1">
            <wp:simplePos x="0" y="0"/>
            <wp:positionH relativeFrom="column">
              <wp:posOffset>1362710</wp:posOffset>
            </wp:positionH>
            <wp:positionV relativeFrom="paragraph">
              <wp:posOffset>83185</wp:posOffset>
            </wp:positionV>
            <wp:extent cx="2752725" cy="2209800"/>
            <wp:effectExtent l="0" t="0" r="9525" b="0"/>
            <wp:wrapSquare wrapText="bothSides"/>
            <wp:docPr id="59" name="obrázek 59" descr="Ab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bb.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2209800"/>
                    </a:xfrm>
                    <a:prstGeom prst="rect">
                      <a:avLst/>
                    </a:prstGeom>
                    <a:noFill/>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8B1EF4" w:rsidRPr="00FA667B" w:rsidRDefault="008B1EF4" w:rsidP="00FA667B">
      <w:pPr>
        <w:spacing w:line="360" w:lineRule="auto"/>
        <w:jc w:val="both"/>
      </w:pPr>
    </w:p>
    <w:p w:rsidR="008B1EF4" w:rsidRPr="00FA667B" w:rsidRDefault="008B1EF4" w:rsidP="00FA667B">
      <w:pPr>
        <w:spacing w:line="360" w:lineRule="auto"/>
        <w:jc w:val="both"/>
      </w:pPr>
    </w:p>
    <w:p w:rsidR="008B1EF4" w:rsidRPr="00FA667B" w:rsidRDefault="008B1EF4" w:rsidP="00876D52">
      <w:pPr>
        <w:spacing w:after="240"/>
        <w:jc w:val="center"/>
        <w:outlineLvl w:val="0"/>
        <w:rPr>
          <w:kern w:val="36"/>
        </w:rPr>
      </w:pPr>
      <w:r w:rsidRPr="00FA667B">
        <w:t xml:space="preserve">Převzato: </w:t>
      </w:r>
      <w:hyperlink r:id="rId42" w:history="1">
        <w:r w:rsidRPr="00FA667B">
          <w:t>Tittelbach-Helmrich</w:t>
        </w:r>
      </w:hyperlink>
      <w:r w:rsidRPr="00FA667B">
        <w:rPr>
          <w:vertAlign w:val="superscript"/>
        </w:rPr>
        <w:t xml:space="preserve"> </w:t>
      </w:r>
      <w:r w:rsidRPr="00FA667B">
        <w:t xml:space="preserve">D., </w:t>
      </w:r>
      <w:hyperlink r:id="rId43" w:history="1">
        <w:r w:rsidRPr="00FA667B">
          <w:t>Keck</w:t>
        </w:r>
      </w:hyperlink>
      <w:r w:rsidRPr="00FA667B">
        <w:rPr>
          <w:vertAlign w:val="superscript"/>
        </w:rPr>
        <w:t xml:space="preserve"> </w:t>
      </w:r>
      <w:r w:rsidRPr="00FA667B">
        <w:t xml:space="preserve">T., Wellner U.F. </w:t>
      </w:r>
      <w:r w:rsidRPr="00FA667B">
        <w:rPr>
          <w:kern w:val="36"/>
        </w:rPr>
        <w:t xml:space="preserve">Erratum zu: Pankreatogastrostomie: wann und wie? </w:t>
      </w:r>
      <w:hyperlink r:id="rId44" w:history="1">
        <w:r w:rsidRPr="00FA667B">
          <w:rPr>
            <w:iCs/>
          </w:rPr>
          <w:t>Der Chirurg</w:t>
        </w:r>
      </w:hyperlink>
      <w:r w:rsidRPr="00FA667B">
        <w:t xml:space="preserve">. 2017; </w:t>
      </w:r>
      <w:r w:rsidRPr="00FA667B">
        <w:rPr>
          <w:bCs/>
        </w:rPr>
        <w:t>88</w:t>
      </w:r>
      <w:r w:rsidRPr="00FA667B">
        <w:t>: 327</w:t>
      </w:r>
    </w:p>
    <w:p w:rsidR="008B1EF4" w:rsidRPr="00FA667B" w:rsidRDefault="008B1EF4" w:rsidP="00FA667B">
      <w:pPr>
        <w:spacing w:line="360" w:lineRule="auto"/>
        <w:jc w:val="both"/>
      </w:pPr>
    </w:p>
    <w:p w:rsidR="006002F1" w:rsidRPr="00FA667B" w:rsidRDefault="000C3376" w:rsidP="00FA667B">
      <w:pPr>
        <w:spacing w:line="360" w:lineRule="auto"/>
        <w:jc w:val="both"/>
      </w:pPr>
      <w:r w:rsidRPr="00FA667B">
        <w:lastRenderedPageBreak/>
        <w:t>Bitsakou  et al. popsal</w:t>
      </w:r>
      <w:r w:rsidR="00EE1266">
        <w:t>i</w:t>
      </w:r>
      <w:r w:rsidR="006002F1" w:rsidRPr="00FA667B">
        <w:t xml:space="preserve"> možnost rekonstrukce PGA při nemožnosti mobilizace pahýlu pankreatu na souboru osmi pacientů. Tato metoda byla bez výskytu POPF.</w:t>
      </w:r>
    </w:p>
    <w:p w:rsidR="006002F1" w:rsidRPr="00FA667B" w:rsidRDefault="006002F1" w:rsidP="00FA667B">
      <w:pPr>
        <w:spacing w:line="360" w:lineRule="auto"/>
        <w:jc w:val="both"/>
      </w:pPr>
      <w:r w:rsidRPr="00FA667B">
        <w:t xml:space="preserve">Technika: </w:t>
      </w:r>
      <w:r w:rsidR="005051BF">
        <w:t>při n</w:t>
      </w:r>
      <w:r w:rsidRPr="00FA667B">
        <w:t>emožnost</w:t>
      </w:r>
      <w:r w:rsidR="005051BF">
        <w:t>i mobilizaci</w:t>
      </w:r>
      <w:r w:rsidRPr="00FA667B">
        <w:t xml:space="preserve"> pahýlu pankreatu a </w:t>
      </w:r>
      <w:r w:rsidR="005051BF">
        <w:t>současné dilataci</w:t>
      </w:r>
      <w:r w:rsidRPr="00FA667B">
        <w:t xml:space="preserve"> wirsungu</w:t>
      </w:r>
      <w:r w:rsidR="008D3E85" w:rsidRPr="00FA667B">
        <w:t xml:space="preserve"> umožňuje natnout</w:t>
      </w:r>
      <w:r w:rsidRPr="00FA667B">
        <w:t xml:space="preserve"> </w:t>
      </w:r>
      <w:r w:rsidR="005051BF">
        <w:t>ductus W</w:t>
      </w:r>
      <w:r w:rsidR="008D3E85" w:rsidRPr="00FA667B">
        <w:t>irsung</w:t>
      </w:r>
      <w:r w:rsidRPr="00FA667B">
        <w:t xml:space="preserve"> na jeho </w:t>
      </w:r>
      <w:r w:rsidR="008D3E85" w:rsidRPr="00FA667B">
        <w:t>přední straně podélně, následně našijeme</w:t>
      </w:r>
      <w:r w:rsidRPr="00FA667B">
        <w:t xml:space="preserve"> </w:t>
      </w:r>
      <w:r w:rsidR="005051BF">
        <w:t>podélnou</w:t>
      </w:r>
      <w:r w:rsidR="000C3376" w:rsidRPr="00FA667B">
        <w:t xml:space="preserve"> </w:t>
      </w:r>
      <w:r w:rsidR="005051BF">
        <w:t xml:space="preserve">jednovstevnou pankreatogastroanastomózu </w:t>
      </w:r>
      <w:r w:rsidR="000C3376" w:rsidRPr="00FA667B">
        <w:t>side-to-side jednotlivými</w:t>
      </w:r>
      <w:r w:rsidR="006C29C1" w:rsidRPr="00FA667B">
        <w:t xml:space="preserve"> stehy PDS 3/0</w:t>
      </w:r>
      <w:r w:rsidR="005051BF">
        <w:t xml:space="preserve"> mezi seromuskulární vrstvou žaludku a pouzdro pankreatu</w:t>
      </w:r>
      <w:r w:rsidR="006C29C1" w:rsidRPr="00FA667B">
        <w:t>. [24]</w:t>
      </w:r>
    </w:p>
    <w:p w:rsidR="000C3376" w:rsidRPr="00FA667B" w:rsidRDefault="000C3376" w:rsidP="00FA667B">
      <w:pPr>
        <w:spacing w:line="360" w:lineRule="auto"/>
        <w:jc w:val="both"/>
      </w:pPr>
    </w:p>
    <w:p w:rsidR="006002F1" w:rsidRPr="00FA667B" w:rsidRDefault="006002F1" w:rsidP="00FA667B">
      <w:pPr>
        <w:autoSpaceDE w:val="0"/>
        <w:autoSpaceDN w:val="0"/>
        <w:adjustRightInd w:val="0"/>
        <w:spacing w:line="360" w:lineRule="auto"/>
        <w:jc w:val="both"/>
      </w:pPr>
      <w:r w:rsidRPr="00FA667B">
        <w:t xml:space="preserve">Bradbeer et al. </w:t>
      </w:r>
      <w:r w:rsidR="007B00FF" w:rsidRPr="00FA667B">
        <w:t>popsal</w:t>
      </w:r>
      <w:r w:rsidRPr="00FA667B">
        <w:t xml:space="preserve"> techniku dvouvrstevné anastomózy s použitím vnitřní drenáže ductus Wirsung u 41 nemocných. POPF se vyskytla ve 2,4%. </w:t>
      </w:r>
    </w:p>
    <w:p w:rsidR="006002F1" w:rsidRPr="00FA667B" w:rsidRDefault="006002F1" w:rsidP="00FA667B">
      <w:pPr>
        <w:spacing w:line="360" w:lineRule="auto"/>
        <w:jc w:val="both"/>
      </w:pPr>
      <w:r w:rsidRPr="00FA667B">
        <w:t xml:space="preserve">PGA </w:t>
      </w:r>
      <w:r w:rsidR="00186634" w:rsidRPr="00FA667B">
        <w:t xml:space="preserve">je rekonstruována ve </w:t>
      </w:r>
      <w:r w:rsidRPr="00FA667B">
        <w:t>dvou vrstvách, zevní</w:t>
      </w:r>
      <w:r w:rsidR="007B00FF" w:rsidRPr="00FA667B">
        <w:t xml:space="preserve"> vrstva </w:t>
      </w:r>
      <w:r w:rsidR="00186634" w:rsidRPr="00FA667B">
        <w:t xml:space="preserve">je </w:t>
      </w:r>
      <w:r w:rsidR="007B00FF" w:rsidRPr="00FA667B">
        <w:t>šita p</w:t>
      </w:r>
      <w:r w:rsidRPr="00FA667B">
        <w:t>okračovací</w:t>
      </w:r>
      <w:r w:rsidR="007B00FF" w:rsidRPr="00FA667B">
        <w:t>m</w:t>
      </w:r>
      <w:r w:rsidRPr="00FA667B">
        <w:t xml:space="preserve"> vstřebatelný</w:t>
      </w:r>
      <w:r w:rsidR="007B00FF" w:rsidRPr="00FA667B">
        <w:t>m</w:t>
      </w:r>
      <w:r w:rsidRPr="00FA667B">
        <w:t xml:space="preserve"> steh</w:t>
      </w:r>
      <w:r w:rsidR="007B00FF" w:rsidRPr="00FA667B">
        <w:t xml:space="preserve">em </w:t>
      </w:r>
      <w:r w:rsidRPr="00FA667B">
        <w:t xml:space="preserve">za seromuscularis </w:t>
      </w:r>
      <w:r w:rsidR="005051BF">
        <w:t xml:space="preserve">žaludku </w:t>
      </w:r>
      <w:r w:rsidRPr="00FA667B">
        <w:t>a pouz</w:t>
      </w:r>
      <w:r w:rsidR="007B00FF" w:rsidRPr="00FA667B">
        <w:t>dro pankreatu, ve stěně žaludku se provede</w:t>
      </w:r>
      <w:r w:rsidR="006C29C1" w:rsidRPr="00FA667B">
        <w:t xml:space="preserve"> otvor pouze pro </w:t>
      </w:r>
      <w:r w:rsidR="007B00FF" w:rsidRPr="00FA667B">
        <w:t>ductus W</w:t>
      </w:r>
      <w:r w:rsidRPr="00FA667B">
        <w:t xml:space="preserve">irsung, </w:t>
      </w:r>
      <w:r w:rsidR="00186634" w:rsidRPr="00FA667B">
        <w:t xml:space="preserve">následuje </w:t>
      </w:r>
      <w:r w:rsidR="007B00FF" w:rsidRPr="00FA667B">
        <w:t>fixace pankreatického vývodu čtyřmi</w:t>
      </w:r>
      <w:r w:rsidRPr="00FA667B">
        <w:t xml:space="preserve"> vst</w:t>
      </w:r>
      <w:r w:rsidR="007B00FF" w:rsidRPr="00FA667B">
        <w:t>řebatelnými stehy muko-mukózní a vložení</w:t>
      </w:r>
      <w:r w:rsidRPr="00FA667B">
        <w:t xml:space="preserve"> vnitřní</w:t>
      </w:r>
      <w:r w:rsidR="007B00FF" w:rsidRPr="00FA667B">
        <w:t>ho</w:t>
      </w:r>
      <w:r w:rsidRPr="00FA667B">
        <w:t xml:space="preserve"> stent</w:t>
      </w:r>
      <w:r w:rsidR="007B00FF" w:rsidRPr="00FA667B">
        <w:t>u do pankreatického vývodu</w:t>
      </w:r>
      <w:r w:rsidRPr="00FA667B">
        <w:t>. [25,26]</w:t>
      </w:r>
    </w:p>
    <w:p w:rsidR="007B00FF" w:rsidRDefault="007B00FF" w:rsidP="00FA667B">
      <w:pPr>
        <w:spacing w:line="360" w:lineRule="auto"/>
        <w:jc w:val="both"/>
      </w:pPr>
    </w:p>
    <w:p w:rsidR="00F40AAE" w:rsidRPr="00FA667B" w:rsidRDefault="003744AD" w:rsidP="00FA667B">
      <w:pPr>
        <w:spacing w:line="360" w:lineRule="auto"/>
        <w:jc w:val="both"/>
      </w:pPr>
      <w:r>
        <w:t>Obr.č.9</w:t>
      </w:r>
      <w:r w:rsidR="00B800C5" w:rsidRPr="00FA667B">
        <w:t>.Technika dvouvrstevné PGA</w:t>
      </w:r>
    </w:p>
    <w:p w:rsidR="00F40AAE" w:rsidRPr="00FA667B" w:rsidRDefault="00F40AAE" w:rsidP="00FA667B">
      <w:pPr>
        <w:spacing w:line="360" w:lineRule="auto"/>
        <w:jc w:val="both"/>
      </w:pPr>
    </w:p>
    <w:p w:rsidR="00F40AAE" w:rsidRPr="00FA667B" w:rsidRDefault="00497DBD" w:rsidP="00FA667B">
      <w:pPr>
        <w:spacing w:line="360" w:lineRule="auto"/>
        <w:jc w:val="both"/>
      </w:pPr>
      <w:r>
        <w:rPr>
          <w:noProof/>
        </w:rPr>
        <w:drawing>
          <wp:anchor distT="0" distB="0" distL="114300" distR="114300" simplePos="0" relativeHeight="251700736" behindDoc="0" locked="0" layoutInCell="1" allowOverlap="1">
            <wp:simplePos x="0" y="0"/>
            <wp:positionH relativeFrom="column">
              <wp:posOffset>1043940</wp:posOffset>
            </wp:positionH>
            <wp:positionV relativeFrom="paragraph">
              <wp:posOffset>-79375</wp:posOffset>
            </wp:positionV>
            <wp:extent cx="3352165" cy="2623185"/>
            <wp:effectExtent l="0" t="0" r="635" b="5715"/>
            <wp:wrapSquare wrapText="bothSides"/>
            <wp:docPr id="58" name="obrázek 58" descr="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s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165" cy="2623185"/>
                    </a:xfrm>
                    <a:prstGeom prst="rect">
                      <a:avLst/>
                    </a:prstGeom>
                    <a:noFill/>
                  </pic:spPr>
                </pic:pic>
              </a:graphicData>
            </a:graphic>
            <wp14:sizeRelH relativeFrom="page">
              <wp14:pctWidth>0</wp14:pctWidth>
            </wp14:sizeRelH>
            <wp14:sizeRelV relativeFrom="page">
              <wp14:pctHeight>0</wp14:pctHeight>
            </wp14:sizeRelV>
          </wp:anchor>
        </w:drawing>
      </w:r>
    </w:p>
    <w:p w:rsidR="00F40AAE" w:rsidRPr="00FA667B" w:rsidRDefault="00F40AAE" w:rsidP="00FA667B">
      <w:pPr>
        <w:spacing w:line="360" w:lineRule="auto"/>
        <w:jc w:val="both"/>
      </w:pPr>
    </w:p>
    <w:p w:rsidR="00F40AAE" w:rsidRPr="00FA667B" w:rsidRDefault="00F40AAE" w:rsidP="00FA667B">
      <w:pPr>
        <w:spacing w:line="360" w:lineRule="auto"/>
        <w:jc w:val="both"/>
      </w:pPr>
    </w:p>
    <w:p w:rsidR="00F40AAE" w:rsidRPr="00FA667B" w:rsidRDefault="00F40AAE" w:rsidP="00FA667B">
      <w:pPr>
        <w:spacing w:line="360" w:lineRule="auto"/>
        <w:jc w:val="both"/>
      </w:pPr>
    </w:p>
    <w:p w:rsidR="00F40AAE" w:rsidRPr="00FA667B" w:rsidRDefault="00F40AAE" w:rsidP="00FA667B">
      <w:pPr>
        <w:spacing w:line="360" w:lineRule="auto"/>
        <w:jc w:val="both"/>
      </w:pPr>
    </w:p>
    <w:p w:rsidR="00F40AAE" w:rsidRPr="00FA667B" w:rsidRDefault="00F40AAE" w:rsidP="00FA667B">
      <w:pPr>
        <w:spacing w:line="360" w:lineRule="auto"/>
        <w:jc w:val="both"/>
      </w:pPr>
    </w:p>
    <w:p w:rsidR="00F40AAE" w:rsidRPr="00FA667B" w:rsidRDefault="00F40AAE" w:rsidP="00FA667B">
      <w:pPr>
        <w:spacing w:line="360" w:lineRule="auto"/>
        <w:jc w:val="both"/>
      </w:pPr>
    </w:p>
    <w:p w:rsidR="008B1EF4" w:rsidRPr="00FA667B" w:rsidRDefault="008B1EF4" w:rsidP="00FA667B">
      <w:pPr>
        <w:pStyle w:val="Nadpis2"/>
        <w:jc w:val="both"/>
        <w:textAlignment w:val="center"/>
        <w:rPr>
          <w:rFonts w:ascii="Times New Roman" w:hAnsi="Times New Roman" w:cs="Times New Roman"/>
          <w:b w:val="0"/>
          <w:i w:val="0"/>
          <w:sz w:val="24"/>
          <w:szCs w:val="24"/>
        </w:rPr>
      </w:pPr>
    </w:p>
    <w:p w:rsidR="008B1EF4" w:rsidRPr="00FA667B" w:rsidRDefault="008B1EF4" w:rsidP="00FA667B">
      <w:pPr>
        <w:pStyle w:val="Nadpis2"/>
        <w:jc w:val="both"/>
        <w:textAlignment w:val="center"/>
        <w:rPr>
          <w:rFonts w:ascii="Times New Roman" w:hAnsi="Times New Roman" w:cs="Times New Roman"/>
          <w:b w:val="0"/>
          <w:i w:val="0"/>
          <w:sz w:val="24"/>
          <w:szCs w:val="24"/>
        </w:rPr>
      </w:pPr>
    </w:p>
    <w:p w:rsidR="008B1EF4" w:rsidRPr="00FA667B" w:rsidRDefault="008B1EF4" w:rsidP="00FA667B">
      <w:pPr>
        <w:pStyle w:val="Nadpis2"/>
        <w:jc w:val="both"/>
        <w:textAlignment w:val="center"/>
        <w:rPr>
          <w:rFonts w:ascii="Times New Roman" w:hAnsi="Times New Roman" w:cs="Times New Roman"/>
          <w:b w:val="0"/>
          <w:i w:val="0"/>
          <w:sz w:val="24"/>
          <w:szCs w:val="24"/>
        </w:rPr>
      </w:pPr>
    </w:p>
    <w:p w:rsidR="00F40AAE" w:rsidRPr="00FA667B" w:rsidRDefault="007B00FF" w:rsidP="00876D52">
      <w:pPr>
        <w:pStyle w:val="Nadpis2"/>
        <w:jc w:val="center"/>
        <w:textAlignment w:val="center"/>
        <w:rPr>
          <w:rFonts w:ascii="Times New Roman" w:hAnsi="Times New Roman" w:cs="Times New Roman"/>
          <w:color w:val="505050"/>
          <w:sz w:val="24"/>
          <w:szCs w:val="24"/>
        </w:rPr>
      </w:pPr>
      <w:r w:rsidRPr="00FA667B">
        <w:rPr>
          <w:rFonts w:ascii="Times New Roman" w:hAnsi="Times New Roman" w:cs="Times New Roman"/>
          <w:b w:val="0"/>
          <w:i w:val="0"/>
          <w:sz w:val="24"/>
          <w:szCs w:val="24"/>
        </w:rPr>
        <w:t>Převzato:</w:t>
      </w:r>
      <w:r w:rsidRPr="00FA667B">
        <w:rPr>
          <w:rFonts w:ascii="Times New Roman" w:hAnsi="Times New Roman" w:cs="Times New Roman"/>
          <w:sz w:val="24"/>
          <w:szCs w:val="24"/>
        </w:rPr>
        <w:t xml:space="preserve"> </w:t>
      </w:r>
      <w:bookmarkStart w:id="1" w:name="bau1"/>
      <w:r w:rsidR="002D3486" w:rsidRPr="00FA667B">
        <w:rPr>
          <w:rFonts w:ascii="Times New Roman" w:hAnsi="Times New Roman" w:cs="Times New Roman"/>
          <w:b w:val="0"/>
          <w:i w:val="0"/>
          <w:sz w:val="24"/>
          <w:szCs w:val="24"/>
        </w:rPr>
        <w:fldChar w:fldCharType="begin"/>
      </w:r>
      <w:r w:rsidR="00F40AAE" w:rsidRPr="00FA667B">
        <w:rPr>
          <w:rFonts w:ascii="Times New Roman" w:hAnsi="Times New Roman" w:cs="Times New Roman"/>
          <w:b w:val="0"/>
          <w:i w:val="0"/>
          <w:sz w:val="24"/>
          <w:szCs w:val="24"/>
        </w:rPr>
        <w:instrText xml:space="preserve"> HYPERLINK "https://www.sciencedirect.com/science/article/pii/S101595841630392X" \l "!" </w:instrText>
      </w:r>
      <w:r w:rsidR="002D3486" w:rsidRPr="00FA667B">
        <w:rPr>
          <w:rFonts w:ascii="Times New Roman" w:hAnsi="Times New Roman" w:cs="Times New Roman"/>
          <w:b w:val="0"/>
          <w:i w:val="0"/>
          <w:sz w:val="24"/>
          <w:szCs w:val="24"/>
        </w:rPr>
        <w:fldChar w:fldCharType="separate"/>
      </w:r>
      <w:r w:rsidR="00F40AAE" w:rsidRPr="00FA667B">
        <w:rPr>
          <w:rStyle w:val="text2"/>
          <w:rFonts w:ascii="Times New Roman" w:hAnsi="Times New Roman" w:cs="Times New Roman"/>
          <w:b w:val="0"/>
          <w:i w:val="0"/>
          <w:sz w:val="24"/>
          <w:szCs w:val="24"/>
        </w:rPr>
        <w:t>Pei YiYap,</w:t>
      </w:r>
      <w:r w:rsidR="002D3486" w:rsidRPr="00FA667B">
        <w:rPr>
          <w:rFonts w:ascii="Times New Roman" w:hAnsi="Times New Roman" w:cs="Times New Roman"/>
          <w:b w:val="0"/>
          <w:i w:val="0"/>
          <w:sz w:val="24"/>
          <w:szCs w:val="24"/>
        </w:rPr>
        <w:fldChar w:fldCharType="end"/>
      </w:r>
      <w:bookmarkStart w:id="2" w:name="bau2"/>
      <w:bookmarkEnd w:id="1"/>
      <w:r w:rsidR="00F40AAE" w:rsidRPr="00FA667B">
        <w:rPr>
          <w:rFonts w:ascii="Times New Roman" w:hAnsi="Times New Roman" w:cs="Times New Roman"/>
          <w:b w:val="0"/>
          <w:i w:val="0"/>
          <w:sz w:val="24"/>
          <w:szCs w:val="24"/>
        </w:rPr>
        <w:t xml:space="preserve"> </w:t>
      </w:r>
      <w:hyperlink r:id="rId46" w:anchor="!" w:history="1">
        <w:r w:rsidR="00F40AAE" w:rsidRPr="00FA667B">
          <w:rPr>
            <w:rStyle w:val="text2"/>
            <w:rFonts w:ascii="Times New Roman" w:hAnsi="Times New Roman" w:cs="Times New Roman"/>
            <w:b w:val="0"/>
            <w:i w:val="0"/>
            <w:sz w:val="24"/>
            <w:szCs w:val="24"/>
          </w:rPr>
          <w:t xml:space="preserve">Jung ShanHwang, </w:t>
        </w:r>
      </w:hyperlink>
      <w:bookmarkStart w:id="3" w:name="bau3"/>
      <w:bookmarkEnd w:id="2"/>
      <w:r w:rsidR="002D3486" w:rsidRPr="00FA667B">
        <w:rPr>
          <w:rFonts w:ascii="Times New Roman" w:hAnsi="Times New Roman" w:cs="Times New Roman"/>
          <w:b w:val="0"/>
          <w:i w:val="0"/>
          <w:sz w:val="24"/>
          <w:szCs w:val="24"/>
        </w:rPr>
        <w:fldChar w:fldCharType="begin"/>
      </w:r>
      <w:r w:rsidR="00F40AAE" w:rsidRPr="00FA667B">
        <w:rPr>
          <w:rFonts w:ascii="Times New Roman" w:hAnsi="Times New Roman" w:cs="Times New Roman"/>
          <w:b w:val="0"/>
          <w:i w:val="0"/>
          <w:sz w:val="24"/>
          <w:szCs w:val="24"/>
        </w:rPr>
        <w:instrText xml:space="preserve"> HYPERLINK "https://www.sciencedirect.com/science/article/pii/S101595841630392X" \l "!" </w:instrText>
      </w:r>
      <w:r w:rsidR="002D3486" w:rsidRPr="00FA667B">
        <w:rPr>
          <w:rFonts w:ascii="Times New Roman" w:hAnsi="Times New Roman" w:cs="Times New Roman"/>
          <w:b w:val="0"/>
          <w:i w:val="0"/>
          <w:sz w:val="24"/>
          <w:szCs w:val="24"/>
        </w:rPr>
        <w:fldChar w:fldCharType="separate"/>
      </w:r>
      <w:r w:rsidR="00F40AAE" w:rsidRPr="00FA667B">
        <w:rPr>
          <w:rStyle w:val="text2"/>
          <w:rFonts w:ascii="Times New Roman" w:hAnsi="Times New Roman" w:cs="Times New Roman"/>
          <w:b w:val="0"/>
          <w:i w:val="0"/>
          <w:sz w:val="24"/>
          <w:szCs w:val="24"/>
        </w:rPr>
        <w:t>Jan JinBong.</w:t>
      </w:r>
      <w:r w:rsidR="002D3486" w:rsidRPr="00FA667B">
        <w:rPr>
          <w:rFonts w:ascii="Times New Roman" w:hAnsi="Times New Roman" w:cs="Times New Roman"/>
          <w:b w:val="0"/>
          <w:i w:val="0"/>
          <w:sz w:val="24"/>
          <w:szCs w:val="24"/>
        </w:rPr>
        <w:fldChar w:fldCharType="end"/>
      </w:r>
      <w:bookmarkEnd w:id="3"/>
      <w:r w:rsidR="00F40AAE" w:rsidRPr="00FA667B">
        <w:rPr>
          <w:rStyle w:val="title-text"/>
          <w:rFonts w:ascii="Times New Roman" w:hAnsi="Times New Roman"/>
          <w:b w:val="0"/>
          <w:i w:val="0"/>
          <w:sz w:val="24"/>
          <w:szCs w:val="24"/>
        </w:rPr>
        <w:t xml:space="preserve"> A modified technique of pancreaticogastrostomy with short internal stent: A single surgeon's experience.</w:t>
      </w:r>
      <w:hyperlink r:id="rId47" w:tooltip="Go to Asian Journal of Surgery on ScienceDirect" w:history="1">
        <w:r w:rsidR="00F40AAE" w:rsidRPr="00FA667B">
          <w:rPr>
            <w:rStyle w:val="Hypertextovodkaz"/>
            <w:rFonts w:ascii="Times New Roman" w:hAnsi="Times New Roman"/>
            <w:b w:val="0"/>
            <w:i w:val="0"/>
            <w:color w:val="auto"/>
            <w:sz w:val="24"/>
            <w:szCs w:val="24"/>
            <w:u w:val="none"/>
          </w:rPr>
          <w:t>Asian Journal of Surgery</w:t>
        </w:r>
      </w:hyperlink>
      <w:r w:rsidR="00F40AAE" w:rsidRPr="00FA667B">
        <w:rPr>
          <w:rFonts w:ascii="Times New Roman" w:hAnsi="Times New Roman" w:cs="Times New Roman"/>
          <w:b w:val="0"/>
          <w:i w:val="0"/>
          <w:sz w:val="24"/>
          <w:szCs w:val="24"/>
        </w:rPr>
        <w:t>.2018;</w:t>
      </w:r>
      <w:r w:rsidR="008B1EF4" w:rsidRPr="00FA667B">
        <w:rPr>
          <w:rFonts w:ascii="Times New Roman" w:hAnsi="Times New Roman" w:cs="Times New Roman"/>
          <w:b w:val="0"/>
          <w:i w:val="0"/>
          <w:sz w:val="24"/>
          <w:szCs w:val="24"/>
        </w:rPr>
        <w:t>41(3):250-256</w:t>
      </w:r>
    </w:p>
    <w:p w:rsidR="00F40AAE" w:rsidRDefault="00F40AAE" w:rsidP="00FA667B">
      <w:pPr>
        <w:pStyle w:val="Nadpis1"/>
        <w:jc w:val="both"/>
        <w:rPr>
          <w:b w:val="0"/>
          <w:sz w:val="24"/>
          <w:szCs w:val="24"/>
        </w:rPr>
      </w:pPr>
    </w:p>
    <w:p w:rsidR="00343749" w:rsidRDefault="00343749" w:rsidP="00034DAC">
      <w:pPr>
        <w:spacing w:line="360" w:lineRule="auto"/>
        <w:jc w:val="both"/>
        <w:rPr>
          <w:b/>
          <w:u w:val="single"/>
        </w:rPr>
      </w:pPr>
    </w:p>
    <w:p w:rsidR="005578B3" w:rsidRDefault="005578B3" w:rsidP="00034DAC">
      <w:pPr>
        <w:spacing w:line="360" w:lineRule="auto"/>
        <w:jc w:val="both"/>
        <w:rPr>
          <w:b/>
          <w:u w:val="single"/>
        </w:rPr>
      </w:pPr>
    </w:p>
    <w:p w:rsidR="00034DAC" w:rsidRPr="00FA667B" w:rsidRDefault="00034DAC" w:rsidP="00034DAC">
      <w:pPr>
        <w:spacing w:line="360" w:lineRule="auto"/>
        <w:jc w:val="both"/>
        <w:rPr>
          <w:b/>
          <w:u w:val="single"/>
        </w:rPr>
      </w:pPr>
      <w:r w:rsidRPr="00FA667B">
        <w:rPr>
          <w:b/>
          <w:u w:val="single"/>
        </w:rPr>
        <w:lastRenderedPageBreak/>
        <w:t>2.</w:t>
      </w:r>
      <w:r w:rsidR="00DB2B3C">
        <w:rPr>
          <w:b/>
          <w:u w:val="single"/>
        </w:rPr>
        <w:t>2.5</w:t>
      </w:r>
      <w:r w:rsidRPr="00FA667B">
        <w:rPr>
          <w:b/>
          <w:u w:val="single"/>
        </w:rPr>
        <w:t xml:space="preserve">.Miniinvazivní versus otevřená </w:t>
      </w:r>
      <w:r w:rsidR="00DB2B3C">
        <w:rPr>
          <w:b/>
          <w:u w:val="single"/>
        </w:rPr>
        <w:t>pankreatoduodenektomie</w:t>
      </w:r>
    </w:p>
    <w:p w:rsidR="00034DAC" w:rsidRPr="00FA667B" w:rsidRDefault="00034DAC" w:rsidP="00034DAC">
      <w:pPr>
        <w:spacing w:line="360" w:lineRule="auto"/>
        <w:jc w:val="both"/>
      </w:pPr>
      <w:r w:rsidRPr="00FA667B">
        <w:t>Jedinou léčebnou možností pro resekabilní nádory pankreatu je chirurgická léčba. V rámci rozvoje miniinvazivních metod se v poslední době diskutuje i o možnosti laparoskopického</w:t>
      </w:r>
      <w:r w:rsidR="00EE1266">
        <w:t xml:space="preserve"> nebo roboticky asistovaného </w:t>
      </w:r>
      <w:r w:rsidRPr="00FA667B">
        <w:t xml:space="preserve">přístupu operování u nádorů slinivky. První laparoskopickou duodenopankreatektomii provedl Gagner a Pomp v roce 1994. Tento typ výkonu je velmi časově i technicky náročný, proto se tomu věnuje málo specializovaných pracovišť a soubory pacientů jsou prozatím malé. [48] </w:t>
      </w:r>
    </w:p>
    <w:p w:rsidR="00034DAC" w:rsidRDefault="00034DAC" w:rsidP="005A1B6B">
      <w:pPr>
        <w:spacing w:line="360" w:lineRule="auto"/>
        <w:jc w:val="both"/>
      </w:pPr>
      <w:r w:rsidRPr="00FA667B">
        <w:t>U dlouhodobého přežívání jsou výsledky srovnatelné mezi miniinvazivními metodami a otevřeným přístupem. Nickel et al. v systematickém review se zaměřil na srovnání hlavních ukazatelů: 90-ti denní mortalita, komplikace dle Clavien-Dindo ≥3, délka hospitalizace a sekundárních ukazatelů: pankreatická píštěl, delayed gastrin emptying, pooperační krvácení, biliární leak, krevní ztráty, reoperace, onkologická radikalita ( R0 resekce, rozsah lymfadenektomie ) a operační čas mezi miniinvazivní a otevřenou duodenopankreatektomií. Z výsledků vyplývá, že hlavním signifikantním ukazatelem je výrazně delší čas operace u miniinvazivních přístupů a menší krevní ztráty. Ostatní sledované parametry</w:t>
      </w:r>
      <w:r w:rsidR="00EE1266">
        <w:t xml:space="preserve"> jsou u obou metod srovnatelné.</w:t>
      </w:r>
      <w:r w:rsidRPr="00FA667B">
        <w:t>[4</w:t>
      </w:r>
      <w:r w:rsidR="00EE1266">
        <w:t xml:space="preserve">9] </w:t>
      </w:r>
      <w:r w:rsidRPr="00FA667B">
        <w:t>Dlouhodobé přežívání je srovnatelné mezi miniinvazivními metodami a otevřeným přístupem. Výsledky však mohou být zkresleny tím, že je malé množství pracovišť, které tento přístup operativy provádí a jedná se ted</w:t>
      </w:r>
      <w:r w:rsidR="005A1B6B">
        <w:t>y o malé soubory pacientů. [50]</w:t>
      </w:r>
    </w:p>
    <w:p w:rsidR="005A1B6B" w:rsidRPr="005A1B6B" w:rsidRDefault="005A1B6B" w:rsidP="005A1B6B">
      <w:pPr>
        <w:spacing w:line="360" w:lineRule="auto"/>
        <w:jc w:val="both"/>
      </w:pPr>
    </w:p>
    <w:p w:rsidR="003A5496" w:rsidRPr="00FA667B" w:rsidRDefault="003A5496" w:rsidP="003A5496">
      <w:pPr>
        <w:spacing w:line="360" w:lineRule="auto"/>
        <w:jc w:val="both"/>
        <w:rPr>
          <w:b/>
          <w:u w:val="single"/>
        </w:rPr>
      </w:pPr>
      <w:r>
        <w:rPr>
          <w:b/>
          <w:u w:val="single"/>
        </w:rPr>
        <w:t>2.3</w:t>
      </w:r>
      <w:r w:rsidRPr="00FA667B">
        <w:rPr>
          <w:b/>
          <w:u w:val="single"/>
        </w:rPr>
        <w:t>.Levostranná resekce pankreatu</w:t>
      </w:r>
    </w:p>
    <w:p w:rsidR="003A5496" w:rsidRDefault="003A5496" w:rsidP="003A5496">
      <w:pPr>
        <w:spacing w:line="360" w:lineRule="auto"/>
        <w:jc w:val="both"/>
      </w:pPr>
      <w:r w:rsidRPr="00FA667B">
        <w:t xml:space="preserve">Levostranná resekce pankreatu (LPE) se provádí jak pro </w:t>
      </w:r>
      <w:r>
        <w:t>maligní, tak i benigní léze lokal</w:t>
      </w:r>
      <w:r w:rsidRPr="00FA667B">
        <w:t xml:space="preserve">izované v těle a kaudě pankreatu. Morbidita LPE se pohybuje mezi 30-50%. Medián přežití u adenokarcinomu těla a kaudy pankreatu se pohybuje okolo 33,5 měsíců. Tříleté přežívání je okolo 30%. </w:t>
      </w:r>
    </w:p>
    <w:p w:rsidR="00CD68DA" w:rsidRDefault="003A5496" w:rsidP="00CD68DA">
      <w:pPr>
        <w:spacing w:line="360" w:lineRule="auto"/>
        <w:jc w:val="both"/>
      </w:pPr>
      <w:r w:rsidRPr="00FA667B">
        <w:t>Nejzávažnější komplikací</w:t>
      </w:r>
      <w:r>
        <w:t xml:space="preserve"> LPE</w:t>
      </w:r>
      <w:r w:rsidRPr="00FA667B">
        <w:t xml:space="preserve"> je pankreatická píštěl, </w:t>
      </w:r>
      <w:r w:rsidR="00CD68DA">
        <w:t>která se vyskytuje mezi 15-30%.</w:t>
      </w:r>
    </w:p>
    <w:p w:rsidR="003A5496" w:rsidRPr="00FA667B" w:rsidRDefault="00CD68DA" w:rsidP="003A5496">
      <w:pPr>
        <w:spacing w:line="360" w:lineRule="auto"/>
        <w:jc w:val="both"/>
      </w:pPr>
      <w:r w:rsidRPr="00FA667B">
        <w:t xml:space="preserve">Velmi diskutované téma je </w:t>
      </w:r>
      <w:r>
        <w:t xml:space="preserve">právě </w:t>
      </w:r>
      <w:r w:rsidRPr="00FA667B">
        <w:t>uzávěr pahýlu pankreatu</w:t>
      </w:r>
      <w:r>
        <w:t xml:space="preserve">, aby se předešlo možným komplikacím souvisejícím s resekcí levé části pankreatu, </w:t>
      </w:r>
      <w:r w:rsidR="003A5496" w:rsidRPr="00FA667B">
        <w:t xml:space="preserve">jako například </w:t>
      </w:r>
      <w:r w:rsidRPr="00FA667B">
        <w:t>krvácení z pahýlu arteria lienalis</w:t>
      </w:r>
      <w:r>
        <w:t xml:space="preserve">, </w:t>
      </w:r>
      <w:r w:rsidRPr="00FA667B">
        <w:t>pseudocysta při resekční ploše pankreatu</w:t>
      </w:r>
      <w:r>
        <w:t>, intraabdominální absces</w:t>
      </w:r>
      <w:r w:rsidR="003A5496" w:rsidRPr="00FA667B">
        <w:t>, sepse a jiné. [32]</w:t>
      </w:r>
    </w:p>
    <w:p w:rsidR="003A5496" w:rsidRPr="00FA667B" w:rsidRDefault="003A5496" w:rsidP="003A5496">
      <w:pPr>
        <w:spacing w:line="360" w:lineRule="auto"/>
        <w:jc w:val="both"/>
      </w:pPr>
      <w:r w:rsidRPr="00FA667B">
        <w:t>Existuje řada technik uzávěru pahýlu. Jednou z možností je zanoření pahýlu pankreatu – pankreatojejunoanastomóza sec.Y-Roux. Tento postup není vždy technicky možný, jelikož je potřeba mobilizovat 2-3cm pahýlu pankreatu. Technika zanoření pahýlu neprokázala nižší riziko výskytu pankreatické píštěle. [33]</w:t>
      </w:r>
    </w:p>
    <w:p w:rsidR="003A5496" w:rsidRPr="00FA667B" w:rsidRDefault="003A5496" w:rsidP="003A5496">
      <w:pPr>
        <w:spacing w:line="360" w:lineRule="auto"/>
        <w:jc w:val="both"/>
        <w:rPr>
          <w:color w:val="00B050"/>
        </w:rPr>
      </w:pPr>
      <w:r w:rsidRPr="00FA667B">
        <w:lastRenderedPageBreak/>
        <w:t>Další metodou uzávěru pahýlu pankreatu je provedení resekce pomocí stapleru. Zde se jako hlavní nevýhoda ukazuje objem pankreatické tkáně, kterou musíme uzavřít do branží stapleru. Na našem pracovišti se preferuje seříznutí resekční linie do tvaru „tzv. rybí tlamy” a uzávěr ductus pankreaticus pomocí PDS II 2/0 a dále prošití resekční linie. [34]</w:t>
      </w:r>
    </w:p>
    <w:p w:rsidR="003A5496" w:rsidRDefault="003A5496" w:rsidP="003A5496">
      <w:pPr>
        <w:spacing w:line="360" w:lineRule="auto"/>
        <w:jc w:val="both"/>
      </w:pPr>
      <w:r w:rsidRPr="00FA667B">
        <w:t>V době rozvoje miniinvazivní chirurgie je samozřejmě diskutované téma laparoskopické a robotické levostranné pankreatektomie. Podle posledních studií není rozdíl v onkologické radikalitě mezi jednotlivými přístupy. Obě metody jsou bezpečné, technicky proveditelné a srovnatelné výsledky výskytu pankreatické píštěle. Miniinvazivní metody jsou časově náročnější oproti otevřenému přístupu a vyžadují zkušenosti daného operatéra. [35]</w:t>
      </w:r>
    </w:p>
    <w:p w:rsidR="003A5496" w:rsidRDefault="003A5496" w:rsidP="003A5496">
      <w:pPr>
        <w:spacing w:line="360" w:lineRule="auto"/>
        <w:jc w:val="both"/>
        <w:rPr>
          <w:b/>
          <w:u w:val="single"/>
        </w:rPr>
      </w:pPr>
    </w:p>
    <w:p w:rsidR="003A5496" w:rsidRPr="00FA667B" w:rsidRDefault="003A5496" w:rsidP="003A5496">
      <w:pPr>
        <w:spacing w:line="360" w:lineRule="auto"/>
        <w:jc w:val="both"/>
      </w:pPr>
      <w:r>
        <w:rPr>
          <w:b/>
          <w:u w:val="single"/>
        </w:rPr>
        <w:t>2.4</w:t>
      </w:r>
      <w:r w:rsidRPr="00FA667B">
        <w:rPr>
          <w:b/>
          <w:u w:val="single"/>
        </w:rPr>
        <w:t xml:space="preserve">.Totální pankreatektomie </w:t>
      </w:r>
    </w:p>
    <w:p w:rsidR="003A5496" w:rsidRPr="00FA667B" w:rsidRDefault="004948A3" w:rsidP="003A5496">
      <w:pPr>
        <w:spacing w:line="360" w:lineRule="auto"/>
        <w:jc w:val="both"/>
      </w:pPr>
      <w:r>
        <w:t>Z</w:t>
      </w:r>
      <w:r w:rsidR="003A5496" w:rsidRPr="00FA667B">
        <w:t>a radikální výkon</w:t>
      </w:r>
      <w:r>
        <w:t xml:space="preserve"> je</w:t>
      </w:r>
      <w:r w:rsidR="003A5496" w:rsidRPr="00FA667B">
        <w:t xml:space="preserve"> považována totální pankreatektomie (TPE)</w:t>
      </w:r>
      <w:r>
        <w:t>.</w:t>
      </w:r>
      <w:r w:rsidR="003A5496" w:rsidRPr="00FA667B">
        <w:t xml:space="preserve"> To samozřejmě sebou neslo řadu komplikací spojených s insuficiencí jak exokrinní tak i endokrinní funkce pankreatu. Vznikl nový typ DM tzv. pankreatogenní diabetes mellitus. V pooperačním období byl pacient ohrožen špatně korigova</w:t>
      </w:r>
      <w:r>
        <w:t>tel</w:t>
      </w:r>
      <w:r w:rsidR="003A5496" w:rsidRPr="00FA667B">
        <w:t xml:space="preserve">nou cukrovkou </w:t>
      </w:r>
      <w:r>
        <w:t xml:space="preserve">velmi často </w:t>
      </w:r>
      <w:r w:rsidR="003A5496" w:rsidRPr="00FA667B">
        <w:t xml:space="preserve">se stavy s těžkou hypoglykémií. </w:t>
      </w:r>
      <w:r>
        <w:t>Dlouhotrvající výkyvy glykémií</w:t>
      </w:r>
      <w:r w:rsidR="003A5496" w:rsidRPr="00FA667B">
        <w:t xml:space="preserve"> mohou vést k rozvoji chronických změn jako je např. neuropatie, nefropatie, retinopatie, onemocnění srdce a cév. Také nedostatek trávicích enzymů má za následek rozvoj opakovaných průjmů, které způsobují hubnutí a malnutrici nemocného. To vede ke zhoršení morbidity, mortality a hlavně zhoršení kvality života. Z tohoto důvodu se všeobecn</w:t>
      </w:r>
      <w:r>
        <w:t>ě</w:t>
      </w:r>
      <w:r w:rsidR="003A5496" w:rsidRPr="00FA667B">
        <w:t xml:space="preserve"> od indikace TPE ustoupilo a v dnešní době je ind</w:t>
      </w:r>
      <w:r>
        <w:t>ikována jen u některých diagnóz</w:t>
      </w:r>
      <w:r w:rsidR="003A5496" w:rsidRPr="00FA667B">
        <w:t xml:space="preserve"> např. u selhání konzervativní léčby chronické pankreatitidy, vícečetných prekancerózních lézí pankreatu (PanIN), u pacientů s předpokládaným vysokým rizikem rozvoje pooperačních komplikací po PDE, včetně lokálně pokročilých tumorů pankreatu vyžadující arteriální resekci a rekonstrukci. [36,37,91]</w:t>
      </w:r>
    </w:p>
    <w:p w:rsidR="004948A3" w:rsidRPr="00FA667B" w:rsidRDefault="004948A3" w:rsidP="004948A3">
      <w:pPr>
        <w:spacing w:line="360" w:lineRule="auto"/>
        <w:jc w:val="both"/>
        <w:rPr>
          <w:b/>
          <w:u w:val="single"/>
        </w:rPr>
      </w:pPr>
    </w:p>
    <w:p w:rsidR="004948A3" w:rsidRPr="00FA667B" w:rsidRDefault="004948A3" w:rsidP="004948A3">
      <w:pPr>
        <w:spacing w:line="360" w:lineRule="auto"/>
        <w:jc w:val="both"/>
        <w:rPr>
          <w:b/>
          <w:u w:val="single"/>
        </w:rPr>
      </w:pPr>
      <w:r>
        <w:rPr>
          <w:b/>
          <w:u w:val="single"/>
        </w:rPr>
        <w:t>2.5</w:t>
      </w:r>
      <w:r w:rsidRPr="00FA667B">
        <w:rPr>
          <w:b/>
          <w:u w:val="single"/>
        </w:rPr>
        <w:t>.Rozsah lymfadenektomie</w:t>
      </w:r>
    </w:p>
    <w:p w:rsidR="00701E35" w:rsidRDefault="004948A3" w:rsidP="00701E35">
      <w:pPr>
        <w:spacing w:line="360" w:lineRule="auto"/>
        <w:jc w:val="both"/>
      </w:pPr>
      <w:r w:rsidRPr="00FA667B">
        <w:t>Lymfadenektomie hraje významnou roli v</w:t>
      </w:r>
      <w:r w:rsidR="00701E35">
        <w:t xml:space="preserve"> </w:t>
      </w:r>
      <w:r w:rsidR="00701E35" w:rsidRPr="00FA667B">
        <w:t>stanovení stagingu onemocnění</w:t>
      </w:r>
      <w:r w:rsidR="00701E35">
        <w:t xml:space="preserve"> a</w:t>
      </w:r>
      <w:r w:rsidRPr="00FA667B">
        <w:t xml:space="preserve"> přežívání u nemocn</w:t>
      </w:r>
      <w:r w:rsidR="00701E35">
        <w:t>ých s adenokarcinomem pankreatu</w:t>
      </w:r>
      <w:r w:rsidRPr="00FA667B">
        <w:t xml:space="preserve">. </w:t>
      </w:r>
      <w:r w:rsidR="00701E35">
        <w:t>Podle lokalizace tumoru se liší i rozsah lymfadenektomie.</w:t>
      </w:r>
    </w:p>
    <w:p w:rsidR="00F12E2F" w:rsidRDefault="00F12E2F" w:rsidP="00701E35">
      <w:pPr>
        <w:spacing w:line="360" w:lineRule="auto"/>
        <w:jc w:val="both"/>
      </w:pPr>
    </w:p>
    <w:p w:rsidR="00701E35" w:rsidRPr="006C3408" w:rsidRDefault="00701E35" w:rsidP="00701E35">
      <w:pPr>
        <w:spacing w:line="360" w:lineRule="auto"/>
        <w:jc w:val="both"/>
        <w:rPr>
          <w:i/>
          <w:u w:val="single"/>
        </w:rPr>
      </w:pPr>
      <w:r w:rsidRPr="006C3408">
        <w:rPr>
          <w:i/>
          <w:u w:val="single"/>
        </w:rPr>
        <w:t>A: Pravostranná pankreatoduodenektomie</w:t>
      </w:r>
    </w:p>
    <w:p w:rsidR="004948A3" w:rsidRPr="00FA667B" w:rsidRDefault="004948A3" w:rsidP="00701E35">
      <w:pPr>
        <w:spacing w:line="360" w:lineRule="auto"/>
        <w:jc w:val="both"/>
      </w:pPr>
      <w:r w:rsidRPr="00FA667B">
        <w:t>V roce 1999 během evropsk</w:t>
      </w:r>
      <w:r w:rsidR="00F12E2F">
        <w:t>ého sjezdu byla přijata</w:t>
      </w:r>
      <w:r w:rsidRPr="00FA667B">
        <w:t xml:space="preserve"> nomenklatura a definice pro rozsah standardní lymfadenektomie u duodenopankreatektomie</w:t>
      </w:r>
      <w:r w:rsidR="00F12E2F">
        <w:t>, která byla</w:t>
      </w:r>
      <w:r w:rsidRPr="00FA667B">
        <w:t xml:space="preserve"> navržena japonskou pankreatickou společností – Japanese Pancreas Society.[16] </w:t>
      </w:r>
    </w:p>
    <w:p w:rsidR="004948A3" w:rsidRPr="00FA667B" w:rsidRDefault="004948A3" w:rsidP="004948A3">
      <w:pPr>
        <w:spacing w:line="360" w:lineRule="auto"/>
        <w:jc w:val="both"/>
      </w:pPr>
      <w:r w:rsidRPr="00FA667B">
        <w:lastRenderedPageBreak/>
        <w:t>V roce 2016 na konferenci International Study Group of Pancreatic Surgery ( ISGPS) byl určen rozsah odstranění lymfatických uzlin a určení rozsahu lymfadenektomie u standardní a rozšířené lymfadenektomie. [38]</w:t>
      </w:r>
    </w:p>
    <w:p w:rsidR="00CE6A8C" w:rsidRDefault="004948A3" w:rsidP="004948A3">
      <w:pPr>
        <w:spacing w:line="360" w:lineRule="auto"/>
        <w:jc w:val="both"/>
      </w:pPr>
      <w:r w:rsidRPr="00FA667B">
        <w:t xml:space="preserve">U standardní lymfadenektomie by měla být odstraněna lymfatická tkáň vpravo od arteria mesenterica superior. Jedná se o spádové lymfatické uzliny, které jsou zodpovědné za rekurenci onemocnění. Standardní lymfadenektomie u PDAC hlavy pankreatu zahrnuje odstranění lymfatických uzlin oblasti 5,6, 8a, 12b1, 12b2, 12c, 13a, 13b, 14a, 14b, 17a a 17b. V praxi to znamená odstranění lymfatické tkáně </w:t>
      </w:r>
      <w:r w:rsidR="00F12E2F">
        <w:t xml:space="preserve">z </w:t>
      </w:r>
      <w:r w:rsidRPr="00FA667B">
        <w:t>hepatoduodenálního vazu</w:t>
      </w:r>
      <w:r w:rsidR="00F12E2F">
        <w:t xml:space="preserve"> (</w:t>
      </w:r>
      <w:r w:rsidR="00F12E2F" w:rsidRPr="00FA667B">
        <w:t>12b1, 12b2, 12c</w:t>
      </w:r>
      <w:r w:rsidR="00F12E2F">
        <w:t>)</w:t>
      </w:r>
      <w:r w:rsidRPr="00FA667B">
        <w:t>, z mezopankreasu (mezi pankreatem a a.mesenterica superior</w:t>
      </w:r>
      <w:r w:rsidR="00F12E2F">
        <w:t>-</w:t>
      </w:r>
      <w:r w:rsidR="00CE6A8C">
        <w:t>14</w:t>
      </w:r>
      <w:r w:rsidRPr="00FA667B">
        <w:t xml:space="preserve">), podél a.hepatica </w:t>
      </w:r>
      <w:r w:rsidR="00F12E2F">
        <w:t xml:space="preserve">communis </w:t>
      </w:r>
      <w:r w:rsidRPr="00FA667B">
        <w:t>k truncus coeliacus</w:t>
      </w:r>
      <w:r w:rsidR="00F12E2F">
        <w:t xml:space="preserve"> (8a,9)</w:t>
      </w:r>
      <w:r w:rsidRPr="00FA667B">
        <w:t>, za hlavou pankreatu (nad dolní dutou žilou</w:t>
      </w:r>
      <w:r w:rsidR="00CE6A8C">
        <w:t>-15</w:t>
      </w:r>
      <w:r w:rsidRPr="00FA667B">
        <w:t>), podél v.portae a v.mesenterica superior</w:t>
      </w:r>
      <w:r w:rsidR="00CE6A8C">
        <w:t xml:space="preserve"> (13a,13b)</w:t>
      </w:r>
      <w:r w:rsidRPr="00FA667B">
        <w:t>, horní a dolní hrany pankreatu</w:t>
      </w:r>
      <w:r w:rsidR="00F12E2F">
        <w:t xml:space="preserve"> (5.6)</w:t>
      </w:r>
      <w:r w:rsidRPr="00FA667B">
        <w:t xml:space="preserve">. Rozšířená lymfadenektomie je rozšířená o resekci uzlin z oblasti </w:t>
      </w:r>
      <w:r w:rsidR="00CE6A8C">
        <w:t>1</w:t>
      </w:r>
      <w:smartTag w:uri="urn:schemas-microsoft-com:office:smarttags" w:element="metricconverter">
        <w:smartTagPr>
          <w:attr w:name="ProductID" w:val="7 a"/>
        </w:smartTagPr>
        <w:r w:rsidRPr="00FA667B">
          <w:t>7 a</w:t>
        </w:r>
      </w:smartTag>
      <w:r w:rsidRPr="00FA667B">
        <w:t xml:space="preserve"> </w:t>
      </w:r>
      <w:r w:rsidR="00CE6A8C">
        <w:t>18a, tedy</w:t>
      </w:r>
      <w:r w:rsidRPr="00FA667B">
        <w:t xml:space="preserve"> o odstranění lymfatických uzlin z jaterního hilu, podél aorty od hiatu k odstupu dolní mesenterické tepny a laterálně k hilu ledvin a širší excize u odstupu truncus coeliacus a a.mesenterica superior.  </w:t>
      </w:r>
    </w:p>
    <w:p w:rsidR="00CE6A8C" w:rsidRPr="00FA667B" w:rsidRDefault="00CE6A8C" w:rsidP="00CE6A8C">
      <w:pPr>
        <w:spacing w:line="360" w:lineRule="auto"/>
        <w:jc w:val="both"/>
      </w:pPr>
      <w:r w:rsidRPr="00FA667B">
        <w:t>Postižení lymfatických uzlin skupiny 16 (paraaortální) je bráno jako špatný prognostický faktor a jejich odstranění nemá vliv na dlouhodobé přežívání. Za doporučený postup u PDAC je standardní lymfadenektomie. [39,40,41]</w:t>
      </w:r>
    </w:p>
    <w:p w:rsidR="00CE6A8C" w:rsidRPr="00FA667B" w:rsidRDefault="00CE6A8C" w:rsidP="00CE6A8C">
      <w:pPr>
        <w:spacing w:line="360" w:lineRule="auto"/>
        <w:jc w:val="both"/>
      </w:pPr>
      <w:r w:rsidRPr="00FA667B">
        <w:t xml:space="preserve">Byla provedena řada studií, které jednoznačně určily horší přežívání u nemocných, kterým </w:t>
      </w:r>
      <w:r>
        <w:t xml:space="preserve">nebyla provedena lymfadenektomie </w:t>
      </w:r>
      <w:r w:rsidRPr="00FA667B">
        <w:t>než u pacientů, kteří podstoupili s</w:t>
      </w:r>
      <w:r>
        <w:t>tandardní</w:t>
      </w:r>
      <w:r w:rsidRPr="00FA667B">
        <w:t xml:space="preserve"> a </w:t>
      </w:r>
      <w:r>
        <w:t>rozšířenou</w:t>
      </w:r>
      <w:r w:rsidRPr="00FA667B">
        <w:t xml:space="preserve"> lymfadenektomii. Nebyl prokázán jednoznačný benefit stran dlouhodobého přežívání mezi standardní a rozšířenou lymfadenektomií. Rozšířená lymfadenektomie je zatížena vyšší morbiditou. Její hlavní nevýhodou jsou chronické průjmy a váhový úbytek nemocného.[38]</w:t>
      </w:r>
    </w:p>
    <w:p w:rsidR="00CE6A8C" w:rsidRDefault="00CE6A8C" w:rsidP="004948A3">
      <w:pPr>
        <w:spacing w:line="360" w:lineRule="auto"/>
        <w:jc w:val="both"/>
      </w:pPr>
    </w:p>
    <w:p w:rsidR="00034DAC" w:rsidRPr="006C3408" w:rsidRDefault="00034DAC" w:rsidP="004948A3">
      <w:pPr>
        <w:spacing w:line="360" w:lineRule="auto"/>
        <w:jc w:val="both"/>
        <w:rPr>
          <w:i/>
          <w:u w:val="single"/>
        </w:rPr>
      </w:pPr>
      <w:r w:rsidRPr="006C3408">
        <w:rPr>
          <w:i/>
          <w:u w:val="single"/>
        </w:rPr>
        <w:t>B: Levostranná resekce pankreatu</w:t>
      </w:r>
    </w:p>
    <w:p w:rsidR="00CE6A8C" w:rsidRDefault="004948A3" w:rsidP="004948A3">
      <w:pPr>
        <w:spacing w:line="360" w:lineRule="auto"/>
        <w:jc w:val="both"/>
      </w:pPr>
      <w:r w:rsidRPr="00FA667B">
        <w:t xml:space="preserve">U </w:t>
      </w:r>
      <w:r w:rsidR="00034DAC">
        <w:t xml:space="preserve">maligních </w:t>
      </w:r>
      <w:r w:rsidRPr="00FA667B">
        <w:t>nádorů v oblasti těla a kaudy pankreatu v</w:t>
      </w:r>
      <w:r w:rsidR="00CE6A8C">
        <w:t> </w:t>
      </w:r>
      <w:r w:rsidRPr="00FA667B">
        <w:t>rámci</w:t>
      </w:r>
      <w:r w:rsidR="00CE6A8C">
        <w:t xml:space="preserve"> </w:t>
      </w:r>
      <w:r w:rsidRPr="00FA667B">
        <w:t>standardní lymfadenektomie odstraňujeme lymfatické uzliny</w:t>
      </w:r>
      <w:r w:rsidR="00034DAC">
        <w:t xml:space="preserve"> podél </w:t>
      </w:r>
      <w:r w:rsidR="00034DAC" w:rsidRPr="00FA667B">
        <w:t>lienální tepny, u horní a spodní hrany pankreatu</w:t>
      </w:r>
      <w:r w:rsidR="00034DAC">
        <w:t xml:space="preserve"> (</w:t>
      </w:r>
      <w:r w:rsidRPr="00FA667B">
        <w:t>11</w:t>
      </w:r>
      <w:r w:rsidR="00034DAC">
        <w:t xml:space="preserve">,18) </w:t>
      </w:r>
    </w:p>
    <w:p w:rsidR="004948A3" w:rsidRDefault="00034DAC" w:rsidP="00034DAC">
      <w:pPr>
        <w:spacing w:line="360" w:lineRule="auto"/>
        <w:jc w:val="both"/>
        <w:rPr>
          <w:shd w:val="clear" w:color="auto" w:fill="FFFFFF"/>
        </w:rPr>
      </w:pPr>
      <w:r w:rsidRPr="00034DAC">
        <w:t xml:space="preserve">Součástí výkonu je i splenektomie z důvodů onkologické radikality pro spádové lymfatické uzliny v hilu sleziny (10). </w:t>
      </w:r>
      <w:r w:rsidRPr="00034DAC">
        <w:rPr>
          <w:shd w:val="clear" w:color="auto" w:fill="FFFFFF"/>
        </w:rPr>
        <w:t>Pokud je tumor lokalizovaný v oblasti těla pankreatu mělo by být v rámci onkologické radikality odstraněny i uzliny skupiny 8a a 9.</w:t>
      </w:r>
    </w:p>
    <w:p w:rsidR="00034DAC" w:rsidRDefault="00034DAC" w:rsidP="00034DAC">
      <w:pPr>
        <w:spacing w:line="360" w:lineRule="auto"/>
        <w:jc w:val="both"/>
        <w:rPr>
          <w:shd w:val="clear" w:color="auto" w:fill="FFFFFF"/>
        </w:rPr>
      </w:pPr>
    </w:p>
    <w:p w:rsidR="00034DAC" w:rsidRPr="006C3408" w:rsidRDefault="00034DAC" w:rsidP="00034DAC">
      <w:pPr>
        <w:spacing w:line="360" w:lineRule="auto"/>
        <w:jc w:val="both"/>
        <w:rPr>
          <w:i/>
          <w:u w:val="single"/>
          <w:shd w:val="clear" w:color="auto" w:fill="FFFFFF"/>
        </w:rPr>
      </w:pPr>
      <w:r w:rsidRPr="006C3408">
        <w:rPr>
          <w:i/>
          <w:u w:val="single"/>
          <w:shd w:val="clear" w:color="auto" w:fill="FFFFFF"/>
        </w:rPr>
        <w:t>C: Totální pankreatektomie</w:t>
      </w:r>
    </w:p>
    <w:p w:rsidR="00034DAC" w:rsidRPr="00034DAC" w:rsidRDefault="00034DAC" w:rsidP="00034DAC">
      <w:pPr>
        <w:spacing w:line="360" w:lineRule="auto"/>
        <w:jc w:val="both"/>
      </w:pPr>
      <w:r>
        <w:rPr>
          <w:shd w:val="clear" w:color="auto" w:fill="FFFFFF"/>
        </w:rPr>
        <w:t xml:space="preserve">Zde jsou odstraněny lymfatické uzliny všech skupin včetně provedení splenektomie. </w:t>
      </w:r>
    </w:p>
    <w:p w:rsidR="00CE6A8C" w:rsidRDefault="00CE6A8C" w:rsidP="004948A3">
      <w:pPr>
        <w:spacing w:line="360" w:lineRule="auto"/>
        <w:jc w:val="both"/>
      </w:pPr>
    </w:p>
    <w:p w:rsidR="00343749" w:rsidRDefault="00343749" w:rsidP="004948A3">
      <w:pPr>
        <w:spacing w:line="360" w:lineRule="auto"/>
        <w:jc w:val="both"/>
      </w:pPr>
    </w:p>
    <w:p w:rsidR="004948A3" w:rsidRPr="00FA667B" w:rsidRDefault="004948A3" w:rsidP="004948A3">
      <w:pPr>
        <w:spacing w:line="360" w:lineRule="auto"/>
        <w:jc w:val="both"/>
      </w:pPr>
      <w:r>
        <w:lastRenderedPageBreak/>
        <w:t>Obr.č.11</w:t>
      </w:r>
      <w:r w:rsidRPr="00FA667B">
        <w:t>. Standardní lymfadenektomie u karcinomu pankreatu</w:t>
      </w:r>
    </w:p>
    <w:p w:rsidR="004948A3" w:rsidRPr="00FA667B" w:rsidRDefault="00497DBD" w:rsidP="004948A3">
      <w:pPr>
        <w:spacing w:line="360" w:lineRule="auto"/>
        <w:jc w:val="both"/>
      </w:pPr>
      <w:r>
        <w:rPr>
          <w:noProof/>
        </w:rPr>
        <w:drawing>
          <wp:anchor distT="0" distB="0" distL="114300" distR="114300" simplePos="0" relativeHeight="251704832" behindDoc="1" locked="0" layoutInCell="1" allowOverlap="1">
            <wp:simplePos x="0" y="0"/>
            <wp:positionH relativeFrom="column">
              <wp:posOffset>800100</wp:posOffset>
            </wp:positionH>
            <wp:positionV relativeFrom="paragraph">
              <wp:posOffset>111125</wp:posOffset>
            </wp:positionV>
            <wp:extent cx="3949065" cy="2729230"/>
            <wp:effectExtent l="0" t="0" r="0" b="0"/>
            <wp:wrapTight wrapText="bothSides">
              <wp:wrapPolygon edited="0">
                <wp:start x="0" y="0"/>
                <wp:lineTo x="0" y="21409"/>
                <wp:lineTo x="21465" y="21409"/>
                <wp:lineTo x="21465" y="0"/>
                <wp:lineTo x="0"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9065" cy="2729230"/>
                    </a:xfrm>
                    <a:prstGeom prst="rect">
                      <a:avLst/>
                    </a:prstGeom>
                    <a:noFill/>
                  </pic:spPr>
                </pic:pic>
              </a:graphicData>
            </a:graphic>
            <wp14:sizeRelH relativeFrom="page">
              <wp14:pctWidth>0</wp14:pctWidth>
            </wp14:sizeRelH>
            <wp14:sizeRelV relativeFrom="page">
              <wp14:pctHeight>0</wp14:pctHeight>
            </wp14:sizeRelV>
          </wp:anchor>
        </w:drawing>
      </w: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spacing w:line="360" w:lineRule="auto"/>
        <w:jc w:val="both"/>
      </w:pPr>
    </w:p>
    <w:p w:rsidR="004948A3" w:rsidRPr="00FA667B" w:rsidRDefault="004948A3" w:rsidP="004948A3">
      <w:pPr>
        <w:jc w:val="center"/>
        <w:textAlignment w:val="baseline"/>
        <w:rPr>
          <w:color w:val="3C4055"/>
        </w:rPr>
      </w:pPr>
      <w:r w:rsidRPr="00FA667B">
        <w:rPr>
          <w:color w:val="3C4055"/>
        </w:rPr>
        <w:t>Převzato: Farnell MB, Aranha GV, Nimura Y, Michelassi F., The role of extended lymphadenectomy for adenocarcinoma of the head of the pancreas: strength of the evidence. J Gastrointest Surg. 2008</w:t>
      </w:r>
    </w:p>
    <w:p w:rsidR="004948A3" w:rsidRPr="00FA667B" w:rsidRDefault="004948A3" w:rsidP="004948A3">
      <w:pPr>
        <w:spacing w:line="360" w:lineRule="auto"/>
        <w:jc w:val="both"/>
      </w:pPr>
    </w:p>
    <w:p w:rsidR="004948A3" w:rsidRPr="00FA667B" w:rsidRDefault="004948A3" w:rsidP="004948A3">
      <w:pPr>
        <w:spacing w:line="360" w:lineRule="auto"/>
        <w:jc w:val="both"/>
        <w:rPr>
          <w:shd w:val="clear" w:color="auto" w:fill="FFFFFF"/>
        </w:rPr>
      </w:pPr>
      <w:r w:rsidRPr="00FA667B">
        <w:t>Obr.</w:t>
      </w:r>
      <w:r>
        <w:t>č.12</w:t>
      </w:r>
      <w:r w:rsidRPr="00FA667B">
        <w:t xml:space="preserve">. </w:t>
      </w:r>
      <w:r w:rsidRPr="00FA667B">
        <w:rPr>
          <w:shd w:val="clear" w:color="auto" w:fill="FFFFFF"/>
        </w:rPr>
        <w:t> Radikální lymfadenektomie u karcinomu pankreatu – standardní + skeletizace a.hepatica a jejích větví, a.mesenterica superior mezi aortou a a.pancreaticoduodenalis inf., truncus coeliacus, anterolaterální plocha aorty a dolní duté žíly včetně Gerotovy fascie.</w:t>
      </w:r>
    </w:p>
    <w:p w:rsidR="004948A3" w:rsidRPr="00FA667B" w:rsidRDefault="00497DBD" w:rsidP="004948A3">
      <w:pPr>
        <w:spacing w:line="360" w:lineRule="auto"/>
        <w:jc w:val="both"/>
        <w:rPr>
          <w:shd w:val="clear" w:color="auto" w:fill="FFFFFF"/>
        </w:rPr>
      </w:pPr>
      <w:r>
        <w:rPr>
          <w:noProof/>
        </w:rPr>
        <w:drawing>
          <wp:anchor distT="0" distB="0" distL="114300" distR="114300" simplePos="0" relativeHeight="251705856" behindDoc="1" locked="0" layoutInCell="1" allowOverlap="1">
            <wp:simplePos x="0" y="0"/>
            <wp:positionH relativeFrom="column">
              <wp:posOffset>914400</wp:posOffset>
            </wp:positionH>
            <wp:positionV relativeFrom="paragraph">
              <wp:posOffset>236855</wp:posOffset>
            </wp:positionV>
            <wp:extent cx="3714115" cy="2724150"/>
            <wp:effectExtent l="0" t="0" r="635" b="0"/>
            <wp:wrapTight wrapText="bothSides">
              <wp:wrapPolygon edited="0">
                <wp:start x="0" y="0"/>
                <wp:lineTo x="0" y="21449"/>
                <wp:lineTo x="21493" y="21449"/>
                <wp:lineTo x="21493" y="0"/>
                <wp:lineTo x="0"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14115" cy="2724150"/>
                    </a:xfrm>
                    <a:prstGeom prst="rect">
                      <a:avLst/>
                    </a:prstGeom>
                    <a:noFill/>
                  </pic:spPr>
                </pic:pic>
              </a:graphicData>
            </a:graphic>
            <wp14:sizeRelH relativeFrom="page">
              <wp14:pctWidth>0</wp14:pctWidth>
            </wp14:sizeRelH>
            <wp14:sizeRelV relativeFrom="page">
              <wp14:pctHeight>0</wp14:pctHeight>
            </wp14:sizeRelV>
          </wp:anchor>
        </w:drawing>
      </w: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4948A3" w:rsidRPr="00FA667B" w:rsidRDefault="004948A3" w:rsidP="004948A3">
      <w:pPr>
        <w:jc w:val="both"/>
      </w:pPr>
    </w:p>
    <w:p w:rsidR="005578B3" w:rsidRDefault="004948A3" w:rsidP="005578B3">
      <w:pPr>
        <w:jc w:val="center"/>
        <w:textAlignment w:val="baseline"/>
        <w:rPr>
          <w:color w:val="3C4055"/>
        </w:rPr>
      </w:pPr>
      <w:r w:rsidRPr="00FA667B">
        <w:rPr>
          <w:color w:val="3C4055"/>
        </w:rPr>
        <w:t>Převzato: Farnell MB, Aranha GV, Nimura Y, Michelassi F., The role of extended lymphadenectomy for adenocarcinoma of the head of the pancreas: strength of the evidence. J Gastrointest Surg. 2008</w:t>
      </w:r>
    </w:p>
    <w:p w:rsidR="004948A3" w:rsidRPr="005578B3" w:rsidRDefault="00CE6A8C" w:rsidP="005578B3">
      <w:pPr>
        <w:jc w:val="center"/>
        <w:textAlignment w:val="baseline"/>
        <w:rPr>
          <w:color w:val="3C4055"/>
        </w:rPr>
      </w:pPr>
      <w:r>
        <w:lastRenderedPageBreak/>
        <w:t>Tab.č.1</w:t>
      </w:r>
      <w:r w:rsidR="004948A3" w:rsidRPr="00FA667B">
        <w:t>. Rozdělění regionálních lymfatických uzlin</w:t>
      </w:r>
    </w:p>
    <w:tbl>
      <w:tblPr>
        <w:tblpPr w:leftFromText="141" w:rightFromText="141" w:vertAnchor="text" w:horzAnchor="margin" w:tblpXSpec="center" w:tblpY="88"/>
        <w:tblW w:w="4340" w:type="dxa"/>
        <w:tblCellMar>
          <w:left w:w="70" w:type="dxa"/>
          <w:right w:w="70" w:type="dxa"/>
        </w:tblCellMar>
        <w:tblLook w:val="0000" w:firstRow="0" w:lastRow="0" w:firstColumn="0" w:lastColumn="0" w:noHBand="0" w:noVBand="0"/>
      </w:tblPr>
      <w:tblGrid>
        <w:gridCol w:w="1120"/>
        <w:gridCol w:w="3220"/>
      </w:tblGrid>
      <w:tr w:rsidR="006C3408" w:rsidRPr="00FA667B" w:rsidTr="006C3408">
        <w:trPr>
          <w:trHeight w:val="799"/>
        </w:trPr>
        <w:tc>
          <w:tcPr>
            <w:tcW w:w="1120" w:type="dxa"/>
            <w:tcBorders>
              <w:top w:val="single" w:sz="8" w:space="0" w:color="auto"/>
              <w:left w:val="single" w:sz="8" w:space="0" w:color="auto"/>
              <w:bottom w:val="nil"/>
              <w:right w:val="nil"/>
            </w:tcBorders>
            <w:vAlign w:val="center"/>
          </w:tcPr>
          <w:p w:rsidR="006C3408" w:rsidRPr="00FA667B" w:rsidRDefault="006C3408" w:rsidP="006C3408">
            <w:pPr>
              <w:jc w:val="both"/>
            </w:pPr>
            <w:r w:rsidRPr="00FA667B">
              <w:t>Horní</w:t>
            </w:r>
          </w:p>
        </w:tc>
        <w:tc>
          <w:tcPr>
            <w:tcW w:w="3220" w:type="dxa"/>
            <w:tcBorders>
              <w:top w:val="single" w:sz="8" w:space="0" w:color="auto"/>
              <w:left w:val="single" w:sz="8" w:space="0" w:color="auto"/>
              <w:bottom w:val="nil"/>
              <w:right w:val="single" w:sz="8" w:space="0" w:color="auto"/>
            </w:tcBorders>
            <w:vAlign w:val="center"/>
          </w:tcPr>
          <w:p w:rsidR="006C3408" w:rsidRPr="00FA667B" w:rsidRDefault="006C3408" w:rsidP="006C3408">
            <w:pPr>
              <w:jc w:val="both"/>
            </w:pPr>
            <w:r w:rsidRPr="00FA667B">
              <w:t>nad hlavou a tělem pankreatu</w:t>
            </w:r>
          </w:p>
        </w:tc>
      </w:tr>
      <w:tr w:rsidR="006C3408" w:rsidRPr="00FA667B" w:rsidTr="006C3408">
        <w:trPr>
          <w:trHeight w:val="799"/>
        </w:trPr>
        <w:tc>
          <w:tcPr>
            <w:tcW w:w="1120" w:type="dxa"/>
            <w:tcBorders>
              <w:top w:val="single" w:sz="8" w:space="0" w:color="auto"/>
              <w:left w:val="single" w:sz="8" w:space="0" w:color="auto"/>
              <w:bottom w:val="single" w:sz="8" w:space="0" w:color="auto"/>
              <w:right w:val="nil"/>
            </w:tcBorders>
            <w:vAlign w:val="center"/>
          </w:tcPr>
          <w:p w:rsidR="006C3408" w:rsidRPr="00FA667B" w:rsidRDefault="006C3408" w:rsidP="006C3408">
            <w:pPr>
              <w:jc w:val="both"/>
            </w:pPr>
            <w:r w:rsidRPr="00FA667B">
              <w:t>Dolní</w:t>
            </w:r>
          </w:p>
        </w:tc>
        <w:tc>
          <w:tcPr>
            <w:tcW w:w="3220" w:type="dxa"/>
            <w:tcBorders>
              <w:top w:val="single" w:sz="8" w:space="0" w:color="auto"/>
              <w:left w:val="single" w:sz="8" w:space="0" w:color="auto"/>
              <w:bottom w:val="single" w:sz="8" w:space="0" w:color="auto"/>
              <w:right w:val="single" w:sz="8" w:space="0" w:color="auto"/>
            </w:tcBorders>
            <w:vAlign w:val="center"/>
          </w:tcPr>
          <w:p w:rsidR="006C3408" w:rsidRPr="00FA667B" w:rsidRDefault="006C3408" w:rsidP="006C3408">
            <w:pPr>
              <w:jc w:val="both"/>
            </w:pPr>
            <w:r w:rsidRPr="00FA667B">
              <w:t>pod hlavou a tělem pankreatu</w:t>
            </w:r>
          </w:p>
        </w:tc>
      </w:tr>
      <w:tr w:rsidR="006C3408" w:rsidRPr="00FA667B" w:rsidTr="006C3408">
        <w:trPr>
          <w:trHeight w:val="799"/>
        </w:trPr>
        <w:tc>
          <w:tcPr>
            <w:tcW w:w="1120" w:type="dxa"/>
            <w:tcBorders>
              <w:top w:val="nil"/>
              <w:left w:val="single" w:sz="8" w:space="0" w:color="auto"/>
              <w:bottom w:val="nil"/>
              <w:right w:val="nil"/>
            </w:tcBorders>
            <w:vAlign w:val="center"/>
          </w:tcPr>
          <w:p w:rsidR="006C3408" w:rsidRPr="00FA667B" w:rsidRDefault="006C3408" w:rsidP="006C3408">
            <w:pPr>
              <w:jc w:val="both"/>
            </w:pPr>
            <w:r w:rsidRPr="00FA667B">
              <w:t>Přední</w:t>
            </w:r>
          </w:p>
        </w:tc>
        <w:tc>
          <w:tcPr>
            <w:tcW w:w="3220" w:type="dxa"/>
            <w:tcBorders>
              <w:top w:val="nil"/>
              <w:left w:val="single" w:sz="8" w:space="0" w:color="auto"/>
              <w:bottom w:val="nil"/>
              <w:right w:val="single" w:sz="8" w:space="0" w:color="auto"/>
            </w:tcBorders>
            <w:vAlign w:val="center"/>
          </w:tcPr>
          <w:p w:rsidR="006C3408" w:rsidRPr="00FA667B" w:rsidRDefault="006C3408" w:rsidP="006C3408">
            <w:pPr>
              <w:jc w:val="both"/>
            </w:pPr>
            <w:r w:rsidRPr="00FA667B">
              <w:t>a.pancreaticoduodenalis anterior, kolem pyloru a a.mesenterica superior</w:t>
            </w:r>
          </w:p>
        </w:tc>
      </w:tr>
      <w:tr w:rsidR="006C3408" w:rsidRPr="00FA667B" w:rsidTr="006C3408">
        <w:trPr>
          <w:trHeight w:val="799"/>
        </w:trPr>
        <w:tc>
          <w:tcPr>
            <w:tcW w:w="1120" w:type="dxa"/>
            <w:tcBorders>
              <w:top w:val="single" w:sz="8" w:space="0" w:color="auto"/>
              <w:left w:val="single" w:sz="8" w:space="0" w:color="auto"/>
              <w:bottom w:val="single" w:sz="8" w:space="0" w:color="auto"/>
              <w:right w:val="nil"/>
            </w:tcBorders>
            <w:vAlign w:val="center"/>
          </w:tcPr>
          <w:p w:rsidR="006C3408" w:rsidRPr="00FA667B" w:rsidRDefault="006C3408" w:rsidP="006C3408">
            <w:pPr>
              <w:jc w:val="both"/>
            </w:pPr>
            <w:r w:rsidRPr="00FA667B">
              <w:t>Zadní</w:t>
            </w:r>
          </w:p>
        </w:tc>
        <w:tc>
          <w:tcPr>
            <w:tcW w:w="3220" w:type="dxa"/>
            <w:tcBorders>
              <w:top w:val="single" w:sz="8" w:space="0" w:color="auto"/>
              <w:left w:val="single" w:sz="8" w:space="0" w:color="auto"/>
              <w:bottom w:val="single" w:sz="8" w:space="0" w:color="auto"/>
              <w:right w:val="single" w:sz="8" w:space="0" w:color="auto"/>
            </w:tcBorders>
            <w:vAlign w:val="center"/>
          </w:tcPr>
          <w:p w:rsidR="006C3408" w:rsidRPr="00FA667B" w:rsidRDefault="006C3408" w:rsidP="006C3408">
            <w:pPr>
              <w:jc w:val="both"/>
            </w:pPr>
            <w:r w:rsidRPr="00FA667B">
              <w:t>a.pancreatikoduodenalis posterior, kolem ductus choledochus a a.mesenterica superior</w:t>
            </w:r>
          </w:p>
        </w:tc>
      </w:tr>
      <w:tr w:rsidR="006C3408" w:rsidRPr="00FA667B" w:rsidTr="006C3408">
        <w:trPr>
          <w:trHeight w:val="799"/>
        </w:trPr>
        <w:tc>
          <w:tcPr>
            <w:tcW w:w="1120" w:type="dxa"/>
            <w:tcBorders>
              <w:top w:val="nil"/>
              <w:left w:val="single" w:sz="8" w:space="0" w:color="auto"/>
              <w:bottom w:val="nil"/>
              <w:right w:val="nil"/>
            </w:tcBorders>
            <w:vAlign w:val="center"/>
          </w:tcPr>
          <w:p w:rsidR="006C3408" w:rsidRPr="00FA667B" w:rsidRDefault="006C3408" w:rsidP="006C3408">
            <w:pPr>
              <w:jc w:val="both"/>
            </w:pPr>
            <w:r w:rsidRPr="00FA667B">
              <w:t>Lienální</w:t>
            </w:r>
          </w:p>
        </w:tc>
        <w:tc>
          <w:tcPr>
            <w:tcW w:w="3220" w:type="dxa"/>
            <w:tcBorders>
              <w:top w:val="nil"/>
              <w:left w:val="single" w:sz="8" w:space="0" w:color="auto"/>
              <w:bottom w:val="nil"/>
              <w:right w:val="single" w:sz="8" w:space="0" w:color="auto"/>
            </w:tcBorders>
            <w:vAlign w:val="center"/>
          </w:tcPr>
          <w:p w:rsidR="006C3408" w:rsidRPr="00FA667B" w:rsidRDefault="006C3408" w:rsidP="006C3408">
            <w:pPr>
              <w:jc w:val="both"/>
            </w:pPr>
            <w:r w:rsidRPr="00FA667B">
              <w:t>v hilu sleziny a kaudy pankreatu (pro nádory těla a kaudy pankreatu)</w:t>
            </w:r>
          </w:p>
        </w:tc>
      </w:tr>
      <w:tr w:rsidR="006C3408" w:rsidRPr="00FA667B" w:rsidTr="006C3408">
        <w:trPr>
          <w:trHeight w:val="799"/>
        </w:trPr>
        <w:tc>
          <w:tcPr>
            <w:tcW w:w="1120" w:type="dxa"/>
            <w:tcBorders>
              <w:top w:val="single" w:sz="8" w:space="0" w:color="auto"/>
              <w:left w:val="single" w:sz="8" w:space="0" w:color="auto"/>
              <w:bottom w:val="single" w:sz="8" w:space="0" w:color="auto"/>
              <w:right w:val="nil"/>
            </w:tcBorders>
            <w:vAlign w:val="center"/>
          </w:tcPr>
          <w:p w:rsidR="006C3408" w:rsidRPr="00FA667B" w:rsidRDefault="006C3408" w:rsidP="006C3408">
            <w:pPr>
              <w:jc w:val="both"/>
            </w:pPr>
            <w:r w:rsidRPr="00FA667B">
              <w:t>Celiacké</w:t>
            </w:r>
          </w:p>
        </w:tc>
        <w:tc>
          <w:tcPr>
            <w:tcW w:w="3220" w:type="dxa"/>
            <w:tcBorders>
              <w:top w:val="single" w:sz="8" w:space="0" w:color="auto"/>
              <w:left w:val="single" w:sz="8" w:space="0" w:color="auto"/>
              <w:bottom w:val="single" w:sz="8" w:space="0" w:color="auto"/>
              <w:right w:val="single" w:sz="8" w:space="0" w:color="auto"/>
            </w:tcBorders>
            <w:vAlign w:val="center"/>
          </w:tcPr>
          <w:p w:rsidR="006C3408" w:rsidRPr="00FA667B" w:rsidRDefault="006C3408" w:rsidP="006C3408">
            <w:pPr>
              <w:jc w:val="both"/>
            </w:pPr>
            <w:r w:rsidRPr="00FA667B">
              <w:t>pouze pro nádory hlavy pankreatu kolem truncus coeliacus</w:t>
            </w:r>
          </w:p>
        </w:tc>
      </w:tr>
    </w:tbl>
    <w:p w:rsidR="004948A3" w:rsidRPr="00FA667B" w:rsidRDefault="004948A3" w:rsidP="004948A3">
      <w:pPr>
        <w:spacing w:line="360" w:lineRule="auto"/>
        <w:jc w:val="both"/>
      </w:pPr>
    </w:p>
    <w:p w:rsidR="00CE6A8C" w:rsidRDefault="00CE6A8C" w:rsidP="00CE6A8C">
      <w:pPr>
        <w:jc w:val="both"/>
        <w:textAlignment w:val="baseline"/>
      </w:pPr>
    </w:p>
    <w:p w:rsidR="00CE6A8C" w:rsidRDefault="00CE6A8C" w:rsidP="00CE6A8C">
      <w:pPr>
        <w:jc w:val="both"/>
        <w:textAlignment w:val="baseline"/>
      </w:pPr>
    </w:p>
    <w:p w:rsidR="00576724" w:rsidRDefault="00576724" w:rsidP="00CE6A8C">
      <w:pPr>
        <w:jc w:val="both"/>
        <w:textAlignment w:val="baseline"/>
      </w:pPr>
    </w:p>
    <w:p w:rsidR="006C3408" w:rsidRDefault="006C3408" w:rsidP="00CE6A8C">
      <w:pPr>
        <w:jc w:val="both"/>
        <w:textAlignment w:val="baseline"/>
      </w:pPr>
    </w:p>
    <w:p w:rsidR="006C3408" w:rsidRDefault="006C3408" w:rsidP="00CE6A8C">
      <w:pPr>
        <w:jc w:val="both"/>
        <w:textAlignment w:val="baseline"/>
      </w:pPr>
    </w:p>
    <w:p w:rsidR="006C3408" w:rsidRDefault="006C3408"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343749" w:rsidRDefault="00343749" w:rsidP="00CE6A8C">
      <w:pPr>
        <w:jc w:val="both"/>
        <w:textAlignment w:val="baseline"/>
      </w:pPr>
    </w:p>
    <w:p w:rsidR="00CE6A8C" w:rsidRPr="00FA667B" w:rsidRDefault="00CE6A8C" w:rsidP="00CE6A8C">
      <w:pPr>
        <w:jc w:val="both"/>
        <w:textAlignment w:val="baseline"/>
        <w:rPr>
          <w:color w:val="3C4055"/>
        </w:rPr>
      </w:pPr>
      <w:r w:rsidRPr="00FA667B">
        <w:t>Tab.č.</w:t>
      </w:r>
      <w:r>
        <w:t>2</w:t>
      </w:r>
      <w:r w:rsidRPr="00FA667B">
        <w:t>. Rozsah lymfadenektomie</w:t>
      </w:r>
      <w:r w:rsidR="00034DAC">
        <w:t>. LN5,LN6,LN8,LN12,LN13,LN14,LN17,LN18</w:t>
      </w:r>
      <w:r w:rsidRPr="00FA667B">
        <w:t xml:space="preserve"> – rozsah standardní lymfadenektomie u ná</w:t>
      </w:r>
      <w:r w:rsidR="00034DAC">
        <w:t>dorů hlavy pankreatu, LN7,LN9</w:t>
      </w:r>
      <w:r w:rsidRPr="00FA667B">
        <w:t xml:space="preserve"> – rozsah rozšířené lymfadenektomie u nád</w:t>
      </w:r>
      <w:r w:rsidR="00034DAC">
        <w:t>orů hlavy pankreatu, LN10,LN11</w:t>
      </w:r>
      <w:r w:rsidRPr="00FA667B">
        <w:t xml:space="preserve"> – standardní lymfadenektomie u nádorů těla/kaudy pankreatu</w:t>
      </w:r>
    </w:p>
    <w:p w:rsidR="00CE6A8C" w:rsidRPr="00FA667B" w:rsidRDefault="00CE6A8C" w:rsidP="00CE6A8C">
      <w:pPr>
        <w:jc w:val="both"/>
      </w:pPr>
    </w:p>
    <w:tbl>
      <w:tblPr>
        <w:tblpPr w:leftFromText="141" w:rightFromText="141" w:vertAnchor="text" w:horzAnchor="margin" w:tblpXSpec="center" w:tblpY="122"/>
        <w:tblW w:w="5240" w:type="dxa"/>
        <w:tblCellMar>
          <w:left w:w="70" w:type="dxa"/>
          <w:right w:w="70" w:type="dxa"/>
        </w:tblCellMar>
        <w:tblLook w:val="0000" w:firstRow="0" w:lastRow="0" w:firstColumn="0" w:lastColumn="0" w:noHBand="0" w:noVBand="0"/>
      </w:tblPr>
      <w:tblGrid>
        <w:gridCol w:w="960"/>
        <w:gridCol w:w="4280"/>
      </w:tblGrid>
      <w:tr w:rsidR="00CE6A8C" w:rsidRPr="00FA667B" w:rsidTr="00323B87">
        <w:trPr>
          <w:trHeight w:val="402"/>
        </w:trPr>
        <w:tc>
          <w:tcPr>
            <w:tcW w:w="960" w:type="dxa"/>
            <w:tcBorders>
              <w:top w:val="single" w:sz="8" w:space="0" w:color="auto"/>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LN5</w:t>
            </w:r>
          </w:p>
        </w:tc>
        <w:tc>
          <w:tcPr>
            <w:tcW w:w="4280" w:type="dxa"/>
            <w:tcBorders>
              <w:top w:val="single" w:sz="8" w:space="0" w:color="auto"/>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 xml:space="preserve">suprapylorické </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LN6</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infrapylorické</w:t>
            </w:r>
          </w:p>
        </w:tc>
      </w:tr>
      <w:tr w:rsidR="00CE6A8C" w:rsidRPr="00FA667B" w:rsidTr="00323B87">
        <w:trPr>
          <w:trHeight w:val="402"/>
        </w:trPr>
        <w:tc>
          <w:tcPr>
            <w:tcW w:w="960" w:type="dxa"/>
            <w:tcBorders>
              <w:top w:val="nil"/>
              <w:left w:val="single" w:sz="8" w:space="0" w:color="auto"/>
              <w:bottom w:val="single" w:sz="4" w:space="0" w:color="auto"/>
              <w:right w:val="nil"/>
            </w:tcBorders>
            <w:noWrap/>
            <w:vAlign w:val="bottom"/>
          </w:tcPr>
          <w:p w:rsidR="00CE6A8C" w:rsidRPr="00FA667B" w:rsidRDefault="00CE6A8C" w:rsidP="00323B87">
            <w:pPr>
              <w:jc w:val="both"/>
            </w:pPr>
            <w:r w:rsidRPr="00FA667B">
              <w:t>LN7</w:t>
            </w:r>
          </w:p>
        </w:tc>
        <w:tc>
          <w:tcPr>
            <w:tcW w:w="4280" w:type="dxa"/>
            <w:tcBorders>
              <w:top w:val="nil"/>
              <w:left w:val="single" w:sz="8" w:space="0" w:color="auto"/>
              <w:bottom w:val="single" w:sz="4" w:space="0" w:color="auto"/>
              <w:right w:val="single" w:sz="8" w:space="0" w:color="auto"/>
            </w:tcBorders>
            <w:vAlign w:val="center"/>
          </w:tcPr>
          <w:p w:rsidR="00CE6A8C" w:rsidRPr="00FA667B" w:rsidRDefault="00CE6A8C" w:rsidP="00323B87">
            <w:pPr>
              <w:jc w:val="both"/>
            </w:pPr>
            <w:r w:rsidRPr="00FA667B">
              <w:t>podél a.gastrica sinistra</w:t>
            </w:r>
          </w:p>
        </w:tc>
      </w:tr>
      <w:tr w:rsidR="00CE6A8C" w:rsidRPr="00FA667B" w:rsidTr="00323B87">
        <w:trPr>
          <w:trHeight w:val="299"/>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LN8</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podél a.hepatica communis</w:t>
            </w:r>
          </w:p>
        </w:tc>
      </w:tr>
      <w:tr w:rsidR="00CE6A8C" w:rsidRPr="00FA667B" w:rsidTr="00323B87">
        <w:trPr>
          <w:trHeight w:val="402"/>
        </w:trPr>
        <w:tc>
          <w:tcPr>
            <w:tcW w:w="960" w:type="dxa"/>
            <w:tcBorders>
              <w:top w:val="nil"/>
              <w:left w:val="single" w:sz="8" w:space="0" w:color="auto"/>
              <w:bottom w:val="single" w:sz="4" w:space="0" w:color="auto"/>
              <w:right w:val="nil"/>
            </w:tcBorders>
            <w:noWrap/>
            <w:vAlign w:val="bottom"/>
          </w:tcPr>
          <w:p w:rsidR="00CE6A8C" w:rsidRPr="00FA667B" w:rsidRDefault="00CE6A8C" w:rsidP="00323B87">
            <w:pPr>
              <w:jc w:val="both"/>
            </w:pPr>
            <w:r w:rsidRPr="00FA667B">
              <w:t>LN9</w:t>
            </w:r>
          </w:p>
        </w:tc>
        <w:tc>
          <w:tcPr>
            <w:tcW w:w="4280" w:type="dxa"/>
            <w:tcBorders>
              <w:top w:val="nil"/>
              <w:left w:val="single" w:sz="8" w:space="0" w:color="auto"/>
              <w:bottom w:val="single" w:sz="4" w:space="0" w:color="auto"/>
              <w:right w:val="single" w:sz="8" w:space="0" w:color="auto"/>
            </w:tcBorders>
            <w:vAlign w:val="center"/>
          </w:tcPr>
          <w:p w:rsidR="00CE6A8C" w:rsidRPr="00FA667B" w:rsidRDefault="00CE6A8C" w:rsidP="00323B87">
            <w:pPr>
              <w:jc w:val="both"/>
            </w:pPr>
            <w:r w:rsidRPr="00FA667B">
              <w:t>podél truncus coeliacus</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00CCFF"/>
            <w:noWrap/>
            <w:vAlign w:val="bottom"/>
          </w:tcPr>
          <w:p w:rsidR="00CE6A8C" w:rsidRPr="00FA667B" w:rsidRDefault="00CE6A8C" w:rsidP="00323B87">
            <w:pPr>
              <w:jc w:val="both"/>
            </w:pPr>
            <w:r w:rsidRPr="00FA667B">
              <w:t>LN10</w:t>
            </w:r>
          </w:p>
        </w:tc>
        <w:tc>
          <w:tcPr>
            <w:tcW w:w="4280" w:type="dxa"/>
            <w:tcBorders>
              <w:top w:val="nil"/>
              <w:left w:val="single" w:sz="8" w:space="0" w:color="auto"/>
              <w:bottom w:val="single" w:sz="4" w:space="0" w:color="auto"/>
              <w:right w:val="single" w:sz="8" w:space="0" w:color="auto"/>
            </w:tcBorders>
            <w:shd w:val="clear" w:color="auto" w:fill="00CCFF"/>
            <w:vAlign w:val="center"/>
          </w:tcPr>
          <w:p w:rsidR="00CE6A8C" w:rsidRPr="00FA667B" w:rsidRDefault="00CE6A8C" w:rsidP="00323B87">
            <w:pPr>
              <w:jc w:val="both"/>
            </w:pPr>
            <w:r w:rsidRPr="00FA667B">
              <w:t>v hilu sleziny</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00CCFF"/>
            <w:noWrap/>
            <w:vAlign w:val="bottom"/>
          </w:tcPr>
          <w:p w:rsidR="00CE6A8C" w:rsidRPr="00FA667B" w:rsidRDefault="00CE6A8C" w:rsidP="00323B87">
            <w:pPr>
              <w:jc w:val="both"/>
            </w:pPr>
            <w:r w:rsidRPr="00FA667B">
              <w:t>LN11</w:t>
            </w:r>
          </w:p>
        </w:tc>
        <w:tc>
          <w:tcPr>
            <w:tcW w:w="4280" w:type="dxa"/>
            <w:tcBorders>
              <w:top w:val="nil"/>
              <w:left w:val="single" w:sz="8" w:space="0" w:color="auto"/>
              <w:bottom w:val="single" w:sz="4" w:space="0" w:color="auto"/>
              <w:right w:val="single" w:sz="8" w:space="0" w:color="auto"/>
            </w:tcBorders>
            <w:shd w:val="clear" w:color="auto" w:fill="00CCFF"/>
            <w:vAlign w:val="center"/>
          </w:tcPr>
          <w:p w:rsidR="00CE6A8C" w:rsidRPr="00FA667B" w:rsidRDefault="00CE6A8C" w:rsidP="00323B87">
            <w:pPr>
              <w:jc w:val="both"/>
            </w:pPr>
            <w:r w:rsidRPr="00FA667B">
              <w:t>podél a.lienalis</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LN12</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v lig.hepatoduodenale</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LN13</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zadní, podél v.pancreaticoduodenalis inferior</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LN14</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podél pravé strany a.mesenterica superior</w:t>
            </w:r>
          </w:p>
        </w:tc>
      </w:tr>
      <w:tr w:rsidR="00CE6A8C" w:rsidRPr="00FA667B" w:rsidTr="00323B87">
        <w:trPr>
          <w:trHeight w:val="402"/>
        </w:trPr>
        <w:tc>
          <w:tcPr>
            <w:tcW w:w="960" w:type="dxa"/>
            <w:tcBorders>
              <w:top w:val="nil"/>
              <w:left w:val="single" w:sz="8" w:space="0" w:color="auto"/>
              <w:bottom w:val="single" w:sz="4" w:space="0" w:color="auto"/>
              <w:right w:val="nil"/>
            </w:tcBorders>
            <w:noWrap/>
            <w:vAlign w:val="bottom"/>
          </w:tcPr>
          <w:p w:rsidR="00CE6A8C" w:rsidRPr="00FA667B" w:rsidRDefault="00CE6A8C" w:rsidP="00323B87">
            <w:pPr>
              <w:jc w:val="both"/>
            </w:pPr>
            <w:r w:rsidRPr="00FA667B">
              <w:t xml:space="preserve">LN15 </w:t>
            </w:r>
          </w:p>
        </w:tc>
        <w:tc>
          <w:tcPr>
            <w:tcW w:w="4280" w:type="dxa"/>
            <w:tcBorders>
              <w:top w:val="nil"/>
              <w:left w:val="single" w:sz="8" w:space="0" w:color="auto"/>
              <w:bottom w:val="single" w:sz="4" w:space="0" w:color="auto"/>
              <w:right w:val="single" w:sz="8" w:space="0" w:color="auto"/>
            </w:tcBorders>
            <w:vAlign w:val="center"/>
          </w:tcPr>
          <w:p w:rsidR="00CE6A8C" w:rsidRPr="00FA667B" w:rsidRDefault="00CE6A8C" w:rsidP="00323B87">
            <w:pPr>
              <w:jc w:val="both"/>
            </w:pPr>
            <w:r w:rsidRPr="00FA667B">
              <w:t>paraaortální LU pravé strany</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LN17</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přední, kolem v.pancreaticoduodenalis superior</w:t>
            </w:r>
          </w:p>
        </w:tc>
      </w:tr>
      <w:tr w:rsidR="00CE6A8C" w:rsidRPr="00FA667B" w:rsidTr="00323B87">
        <w:trPr>
          <w:trHeight w:val="402"/>
        </w:trPr>
        <w:tc>
          <w:tcPr>
            <w:tcW w:w="960" w:type="dxa"/>
            <w:tcBorders>
              <w:top w:val="nil"/>
              <w:left w:val="single" w:sz="8" w:space="0" w:color="auto"/>
              <w:bottom w:val="single" w:sz="4" w:space="0" w:color="auto"/>
              <w:right w:val="nil"/>
            </w:tcBorders>
            <w:shd w:val="clear" w:color="auto" w:fill="FF99CC"/>
            <w:noWrap/>
            <w:vAlign w:val="bottom"/>
          </w:tcPr>
          <w:p w:rsidR="00CE6A8C" w:rsidRPr="00FA667B" w:rsidRDefault="00CE6A8C" w:rsidP="00323B87">
            <w:pPr>
              <w:jc w:val="both"/>
            </w:pPr>
            <w:r w:rsidRPr="00FA667B">
              <w:t>LN18</w:t>
            </w:r>
          </w:p>
        </w:tc>
        <w:tc>
          <w:tcPr>
            <w:tcW w:w="4280" w:type="dxa"/>
            <w:tcBorders>
              <w:top w:val="nil"/>
              <w:left w:val="single" w:sz="8" w:space="0" w:color="auto"/>
              <w:bottom w:val="single" w:sz="4" w:space="0" w:color="auto"/>
              <w:right w:val="single" w:sz="8" w:space="0" w:color="auto"/>
            </w:tcBorders>
            <w:shd w:val="clear" w:color="auto" w:fill="FF99CC"/>
            <w:vAlign w:val="center"/>
          </w:tcPr>
          <w:p w:rsidR="00CE6A8C" w:rsidRPr="00FA667B" w:rsidRDefault="00CE6A8C" w:rsidP="00323B87">
            <w:pPr>
              <w:jc w:val="both"/>
            </w:pPr>
            <w:r w:rsidRPr="00FA667B">
              <w:t>u horní a spodní strany pankreatu</w:t>
            </w:r>
          </w:p>
        </w:tc>
      </w:tr>
    </w:tbl>
    <w:p w:rsidR="00CE6A8C" w:rsidRPr="00FA667B" w:rsidRDefault="00CE6A8C" w:rsidP="00CE6A8C">
      <w:pPr>
        <w:jc w:val="both"/>
      </w:pPr>
    </w:p>
    <w:p w:rsidR="00CE6A8C" w:rsidRPr="00FA667B" w:rsidRDefault="00CE6A8C" w:rsidP="00CE6A8C">
      <w:pPr>
        <w:spacing w:line="360" w:lineRule="auto"/>
        <w:jc w:val="both"/>
        <w:rPr>
          <w:b/>
          <w:i/>
          <w:u w:val="single"/>
        </w:rPr>
      </w:pPr>
    </w:p>
    <w:p w:rsidR="00CE6A8C" w:rsidRPr="00FA667B" w:rsidRDefault="00CE6A8C" w:rsidP="00CE6A8C">
      <w:pPr>
        <w:spacing w:line="360" w:lineRule="auto"/>
        <w:jc w:val="both"/>
      </w:pPr>
    </w:p>
    <w:p w:rsidR="00CE6A8C" w:rsidRPr="00FA667B" w:rsidRDefault="00CE6A8C" w:rsidP="00CE6A8C">
      <w:pPr>
        <w:spacing w:line="360" w:lineRule="auto"/>
        <w:jc w:val="both"/>
      </w:pPr>
    </w:p>
    <w:p w:rsidR="00CE6A8C" w:rsidRPr="00FA667B"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CE6A8C" w:rsidRDefault="00CE6A8C" w:rsidP="00CE6A8C">
      <w:pPr>
        <w:spacing w:line="360" w:lineRule="auto"/>
        <w:jc w:val="both"/>
      </w:pPr>
    </w:p>
    <w:p w:rsidR="00343749" w:rsidRDefault="00343749" w:rsidP="00FA667B">
      <w:pPr>
        <w:spacing w:line="360" w:lineRule="auto"/>
        <w:jc w:val="both"/>
        <w:rPr>
          <w:bCs/>
          <w:kern w:val="36"/>
        </w:rPr>
      </w:pPr>
    </w:p>
    <w:p w:rsidR="005578B3" w:rsidRDefault="005578B3" w:rsidP="00FA667B">
      <w:pPr>
        <w:spacing w:line="360" w:lineRule="auto"/>
        <w:jc w:val="both"/>
        <w:rPr>
          <w:b/>
          <w:u w:val="single"/>
        </w:rPr>
      </w:pPr>
    </w:p>
    <w:p w:rsidR="006002F1" w:rsidRPr="00FA667B" w:rsidRDefault="007B00FF" w:rsidP="00FA667B">
      <w:pPr>
        <w:spacing w:line="360" w:lineRule="auto"/>
        <w:jc w:val="both"/>
        <w:rPr>
          <w:b/>
          <w:u w:val="single"/>
        </w:rPr>
      </w:pPr>
      <w:r w:rsidRPr="00FA667B">
        <w:rPr>
          <w:b/>
          <w:u w:val="single"/>
        </w:rPr>
        <w:lastRenderedPageBreak/>
        <w:t>2.</w:t>
      </w:r>
      <w:r w:rsidR="00DB2B3C">
        <w:rPr>
          <w:b/>
          <w:u w:val="single"/>
        </w:rPr>
        <w:t>6</w:t>
      </w:r>
      <w:r w:rsidR="006002F1" w:rsidRPr="00FA667B">
        <w:rPr>
          <w:b/>
          <w:u w:val="single"/>
        </w:rPr>
        <w:t>. Bordeline resekabilní nádor</w:t>
      </w:r>
    </w:p>
    <w:p w:rsidR="006002F1" w:rsidRPr="00FA667B" w:rsidRDefault="006002F1" w:rsidP="00FA667B">
      <w:pPr>
        <w:spacing w:line="360" w:lineRule="auto"/>
        <w:jc w:val="both"/>
      </w:pPr>
      <w:r w:rsidRPr="00FA667B">
        <w:t xml:space="preserve">Hraničně resekabilní nádory hlavy pankreatu tvoří zvláštní skupinu. </w:t>
      </w:r>
      <w:r w:rsidR="005051BF">
        <w:t xml:space="preserve">Až </w:t>
      </w:r>
      <w:r w:rsidRPr="00FA667B">
        <w:t xml:space="preserve">25% nálezů karcinomu hlavy pankreatu je v době diagnózy hraničně resekabilní, tedy lokálně pokročilých. Asada v roce 1963 byl první, kdo provedl resekci žíly při PDE pro lokálně pokročilý nádor hlavy pankreatu. V roce 1973 Fortner provedl arteriální resekci v průběhu PDE. Limitací pro tento typ výkonu byla vysoká mortalita a morbidita, proto se postupně od arteriální resekce ustoupilo. </w:t>
      </w:r>
      <w:r w:rsidR="005051BF">
        <w:t>Jelikož toto téma bylo velmi diskutováno, p</w:t>
      </w:r>
      <w:r w:rsidRPr="00FA667B">
        <w:t>roto International Study Group for Pancreatic Surgery (ISGPS) stanovila postupy pr</w:t>
      </w:r>
      <w:r w:rsidR="004523C8">
        <w:t>o lokálně pokročilé onemocnění a b</w:t>
      </w:r>
      <w:r w:rsidRPr="00FA667B">
        <w:t>yl vypracov</w:t>
      </w:r>
      <w:r w:rsidR="004523C8">
        <w:t>án protokol, na jehož základě byla</w:t>
      </w:r>
      <w:r w:rsidRPr="00FA667B">
        <w:t xml:space="preserve"> určena resek</w:t>
      </w:r>
      <w:r w:rsidR="005051BF">
        <w:t xml:space="preserve">abilita nádoru. Tento protokol je založen na zobrazovací metodě </w:t>
      </w:r>
      <w:r w:rsidR="004523C8">
        <w:t xml:space="preserve">CT vyšetření. </w:t>
      </w:r>
      <w:r w:rsidR="00186634" w:rsidRPr="00FA667B">
        <w:t>Mezi  k</w:t>
      </w:r>
      <w:r w:rsidRPr="00FA667B">
        <w:t xml:space="preserve">ritéria </w:t>
      </w:r>
      <w:r w:rsidR="00186634" w:rsidRPr="00FA667B">
        <w:t xml:space="preserve">patří </w:t>
      </w:r>
      <w:r w:rsidR="004523C8">
        <w:t>předoperační CT vyšetření</w:t>
      </w:r>
      <w:r w:rsidR="00186634" w:rsidRPr="00FA667B">
        <w:t xml:space="preserve">, které </w:t>
      </w:r>
      <w:r w:rsidRPr="00FA667B">
        <w:t>nesmí být starší čtyř týdnů, musí být zachyceno břicho a pánev</w:t>
      </w:r>
      <w:r w:rsidR="00186634" w:rsidRPr="00FA667B">
        <w:t xml:space="preserve"> a také</w:t>
      </w:r>
      <w:r w:rsidRPr="00FA667B">
        <w:t xml:space="preserve"> musí být zachycena nativní, venózní a arteriální fáze s</w:t>
      </w:r>
      <w:r w:rsidR="00186634" w:rsidRPr="00FA667B">
        <w:t xml:space="preserve"> 3mm skeny. </w:t>
      </w:r>
      <w:r w:rsidRPr="00FA667B">
        <w:t>V případě postižení cévních struktur nádorem by měla být 3D</w:t>
      </w:r>
      <w:r w:rsidR="00186634" w:rsidRPr="00FA667B">
        <w:t xml:space="preserve"> rekonstrukce skenů. N</w:t>
      </w:r>
      <w:r w:rsidRPr="00FA667B">
        <w:t>ález musí být probrán na multidisciplinárním semináři, kde by měl mít zastoupení onkolog, chirurg, radiolog a gastroenterolog. [27]</w:t>
      </w:r>
    </w:p>
    <w:p w:rsidR="006002F1" w:rsidRPr="004523C8" w:rsidRDefault="00343749" w:rsidP="004523C8">
      <w:pPr>
        <w:spacing w:line="360" w:lineRule="auto"/>
        <w:jc w:val="both"/>
      </w:pPr>
      <w:r>
        <w:t>Tento</w:t>
      </w:r>
      <w:r w:rsidR="004523C8">
        <w:t xml:space="preserve"> protokol byl přijat</w:t>
      </w:r>
      <w:r w:rsidR="006002F1" w:rsidRPr="00FA667B">
        <w:t xml:space="preserve"> Americkou Hepato-Pankreatologicko-Biliární asociací a onkochirurgickou společností v </w:t>
      </w:r>
      <w:r w:rsidR="004523C8">
        <w:t xml:space="preserve">roce 2009. Na základě toho </w:t>
      </w:r>
      <w:r w:rsidR="006002F1" w:rsidRPr="00FA667B">
        <w:t>byl</w:t>
      </w:r>
      <w:r>
        <w:t>o</w:t>
      </w:r>
      <w:r w:rsidR="006002F1" w:rsidRPr="00FA667B">
        <w:t xml:space="preserve"> National Comprehensive Cancer N</w:t>
      </w:r>
      <w:r w:rsidR="004523C8">
        <w:t xml:space="preserve">etwork (NCCN) utvořeno doporučení, ze kterého </w:t>
      </w:r>
      <w:r w:rsidR="00186634" w:rsidRPr="00FA667B">
        <w:rPr>
          <w:color w:val="000000"/>
        </w:rPr>
        <w:t>vyplý</w:t>
      </w:r>
      <w:r w:rsidR="006002F1" w:rsidRPr="00FA667B">
        <w:rPr>
          <w:color w:val="000000"/>
        </w:rPr>
        <w:t>vá</w:t>
      </w:r>
      <w:r w:rsidR="005D3D46" w:rsidRPr="00FA667B">
        <w:rPr>
          <w:color w:val="000000"/>
        </w:rPr>
        <w:t>, že pokud je možné</w:t>
      </w:r>
      <w:r w:rsidR="006002F1" w:rsidRPr="00FA667B">
        <w:rPr>
          <w:color w:val="000000"/>
        </w:rPr>
        <w:t xml:space="preserve"> bezpečně </w:t>
      </w:r>
      <w:r w:rsidR="005D3D46" w:rsidRPr="00FA667B">
        <w:rPr>
          <w:color w:val="000000"/>
        </w:rPr>
        <w:t>dosáhnout R0 resekce, provádíme</w:t>
      </w:r>
      <w:r w:rsidR="006002F1" w:rsidRPr="00FA667B">
        <w:rPr>
          <w:color w:val="000000"/>
        </w:rPr>
        <w:t xml:space="preserve"> resekci i za cenu žilní resekce, bez podání neoadjuvantní terapie.</w:t>
      </w:r>
    </w:p>
    <w:p w:rsidR="007B00FF" w:rsidRPr="00DB2B3C" w:rsidRDefault="007B00FF" w:rsidP="00FA667B">
      <w:pPr>
        <w:shd w:val="clear" w:color="auto" w:fill="FFFFFF"/>
        <w:spacing w:line="360" w:lineRule="auto"/>
        <w:jc w:val="both"/>
        <w:rPr>
          <w:b/>
          <w:color w:val="000000"/>
          <w:u w:val="single"/>
        </w:rPr>
      </w:pPr>
    </w:p>
    <w:p w:rsidR="006002F1" w:rsidRPr="00DB2B3C" w:rsidRDefault="006002F1" w:rsidP="00FA667B">
      <w:pPr>
        <w:shd w:val="clear" w:color="auto" w:fill="FFFFFF"/>
        <w:spacing w:line="360" w:lineRule="auto"/>
        <w:jc w:val="both"/>
        <w:rPr>
          <w:b/>
          <w:color w:val="000000"/>
          <w:u w:val="single"/>
        </w:rPr>
      </w:pPr>
      <w:r w:rsidRPr="00DB2B3C">
        <w:rPr>
          <w:b/>
          <w:color w:val="000000"/>
          <w:u w:val="single"/>
        </w:rPr>
        <w:t>2.</w:t>
      </w:r>
      <w:r w:rsidR="00DB2B3C">
        <w:rPr>
          <w:b/>
          <w:color w:val="000000"/>
          <w:u w:val="single"/>
        </w:rPr>
        <w:t>7</w:t>
      </w:r>
      <w:r w:rsidRPr="00DB2B3C">
        <w:rPr>
          <w:b/>
          <w:color w:val="000000"/>
          <w:u w:val="single"/>
        </w:rPr>
        <w:t>.Postižení žilního řečiště</w:t>
      </w:r>
    </w:p>
    <w:p w:rsidR="006002F1" w:rsidRPr="00FA667B" w:rsidRDefault="004523C8" w:rsidP="00FA667B">
      <w:pPr>
        <w:shd w:val="clear" w:color="auto" w:fill="FFFFFF"/>
        <w:spacing w:line="360" w:lineRule="auto"/>
        <w:jc w:val="both"/>
        <w:rPr>
          <w:color w:val="000000"/>
        </w:rPr>
      </w:pPr>
      <w:r>
        <w:rPr>
          <w:color w:val="000000"/>
        </w:rPr>
        <w:t xml:space="preserve">V rámci předoperačního stagingu jsme schopni zjistit rozsah postižení žilního řečiště. </w:t>
      </w:r>
      <w:r w:rsidR="006002F1" w:rsidRPr="00FA667B">
        <w:rPr>
          <w:color w:val="000000"/>
        </w:rPr>
        <w:t>Tumor může pouze naléhat na žilní stěnu, infiltrovat stěnu žíly nebo jí prorůstat. [27]</w:t>
      </w:r>
    </w:p>
    <w:p w:rsidR="006002F1" w:rsidRPr="00FA667B" w:rsidRDefault="00BF0453" w:rsidP="00FA667B">
      <w:pPr>
        <w:spacing w:line="360" w:lineRule="auto"/>
        <w:jc w:val="both"/>
        <w:rPr>
          <w:color w:val="000000"/>
        </w:rPr>
      </w:pPr>
      <w:r w:rsidRPr="00FA667B">
        <w:rPr>
          <w:color w:val="000000"/>
        </w:rPr>
        <w:t xml:space="preserve">V případě, že </w:t>
      </w:r>
      <w:r w:rsidR="006002F1" w:rsidRPr="00FA667B">
        <w:rPr>
          <w:color w:val="000000"/>
        </w:rPr>
        <w:t>se rozhodneme pro žilní resekci, můžeme využít</w:t>
      </w:r>
      <w:r w:rsidRPr="00FA667B">
        <w:rPr>
          <w:color w:val="000000"/>
        </w:rPr>
        <w:t xml:space="preserve"> různé techniky</w:t>
      </w:r>
      <w:r w:rsidR="005371D6">
        <w:rPr>
          <w:color w:val="000000"/>
        </w:rPr>
        <w:t xml:space="preserve"> rekonstrukce</w:t>
      </w:r>
      <w:r w:rsidR="006002F1" w:rsidRPr="00FA667B">
        <w:rPr>
          <w:color w:val="000000"/>
        </w:rPr>
        <w:t xml:space="preserve">. Pokud postižený úsek nepřesahuje délku 3cm je možnost </w:t>
      </w:r>
      <w:r w:rsidRPr="00FA667B">
        <w:rPr>
          <w:color w:val="000000"/>
        </w:rPr>
        <w:t xml:space="preserve">rekonstrukce </w:t>
      </w:r>
      <w:r w:rsidR="005371D6">
        <w:rPr>
          <w:color w:val="000000"/>
        </w:rPr>
        <w:t>žíly end-to-end anastomózu</w:t>
      </w:r>
      <w:r w:rsidR="006002F1" w:rsidRPr="00FA667B">
        <w:rPr>
          <w:color w:val="000000"/>
        </w:rPr>
        <w:t xml:space="preserve">. </w:t>
      </w:r>
      <w:r w:rsidRPr="00FA667B">
        <w:t>Důležitou podmínkou je, aby</w:t>
      </w:r>
      <w:r w:rsidR="005D3D46" w:rsidRPr="00FA667B">
        <w:t xml:space="preserve"> anastomóza š</w:t>
      </w:r>
      <w:r w:rsidR="005371D6">
        <w:t>itá</w:t>
      </w:r>
      <w:r w:rsidRPr="00FA667B">
        <w:t xml:space="preserve"> end-to-end </w:t>
      </w:r>
      <w:r w:rsidR="005D3D46" w:rsidRPr="00FA667B">
        <w:t xml:space="preserve">nebyla pod tahem. </w:t>
      </w:r>
      <w:r w:rsidR="005371D6">
        <w:rPr>
          <w:color w:val="000000"/>
        </w:rPr>
        <w:t>Při náhradě žíly</w:t>
      </w:r>
      <w:r w:rsidR="006002F1" w:rsidRPr="00FA667B">
        <w:rPr>
          <w:color w:val="000000"/>
        </w:rPr>
        <w:t xml:space="preserve"> využíváme vena saphena, vena jugularis int</w:t>
      </w:r>
      <w:r w:rsidR="005371D6">
        <w:rPr>
          <w:color w:val="000000"/>
        </w:rPr>
        <w:t>erna, vena renalis sinistra</w:t>
      </w:r>
      <w:r w:rsidR="006002F1" w:rsidRPr="00FA667B">
        <w:rPr>
          <w:color w:val="000000"/>
        </w:rPr>
        <w:t>. [28]</w:t>
      </w:r>
    </w:p>
    <w:p w:rsidR="00844485" w:rsidRPr="00FA667B" w:rsidRDefault="005371D6" w:rsidP="00FA667B">
      <w:pPr>
        <w:shd w:val="clear" w:color="auto" w:fill="FFFFFF"/>
        <w:spacing w:line="360" w:lineRule="auto"/>
        <w:jc w:val="both"/>
      </w:pPr>
      <w:r>
        <w:t>V situaci, kdy je předpoklad rozsáhlejší žilní resekce můžeme uvažovat o použití p</w:t>
      </w:r>
      <w:r w:rsidR="00844485" w:rsidRPr="00FA667B">
        <w:t>olytetrafluoroethylenové protézy</w:t>
      </w:r>
      <w:r>
        <w:t>. Z</w:t>
      </w:r>
      <w:r w:rsidR="00822A47" w:rsidRPr="00FA667B">
        <w:t xml:space="preserve">de </w:t>
      </w:r>
      <w:r>
        <w:t xml:space="preserve">jsou </w:t>
      </w:r>
      <w:r w:rsidR="00822A47" w:rsidRPr="00FA667B">
        <w:t xml:space="preserve">však obavy z infekčních komplikací související s použitím cizorodého materiálu. </w:t>
      </w:r>
      <w:r w:rsidR="00844485" w:rsidRPr="00FA667B">
        <w:t>[86]</w:t>
      </w:r>
    </w:p>
    <w:p w:rsidR="00844485" w:rsidRPr="00FA667B" w:rsidRDefault="00822A47" w:rsidP="00FA667B">
      <w:pPr>
        <w:spacing w:line="360" w:lineRule="auto"/>
        <w:jc w:val="both"/>
      </w:pPr>
      <w:r w:rsidRPr="00FA667B">
        <w:t xml:space="preserve">Důležité je pooperační sledování průchodnosti </w:t>
      </w:r>
      <w:r w:rsidR="00844485" w:rsidRPr="00FA667B">
        <w:t>žilní anastomózy</w:t>
      </w:r>
      <w:r w:rsidR="00A1200D" w:rsidRPr="00FA667B">
        <w:t>, které hodnotíme na základě Dopplerova ultrazvukového vyšetření nebo CTAG.</w:t>
      </w:r>
      <w:r w:rsidR="00844485" w:rsidRPr="00FA667B">
        <w:t xml:space="preserve"> </w:t>
      </w:r>
      <w:r w:rsidR="00A1200D" w:rsidRPr="00FA667B">
        <w:t>Studie zaměřující na tuto problematiku ukazují, že 30% nemocných má</w:t>
      </w:r>
      <w:r w:rsidR="00844485" w:rsidRPr="00FA667B">
        <w:t xml:space="preserve"> volně průchozí nedilatovanou anastomózu, 37% </w:t>
      </w:r>
      <w:r w:rsidR="00A1200D" w:rsidRPr="00FA667B">
        <w:t>pacientů dilatovanou, ale průchozí</w:t>
      </w:r>
      <w:r w:rsidR="00844485" w:rsidRPr="00FA667B">
        <w:t xml:space="preserve"> anastomózu a </w:t>
      </w:r>
      <w:r w:rsidR="00A1200D" w:rsidRPr="00FA667B">
        <w:t xml:space="preserve">v </w:t>
      </w:r>
      <w:r w:rsidR="00844485" w:rsidRPr="00FA667B">
        <w:t xml:space="preserve">23% </w:t>
      </w:r>
      <w:r w:rsidR="00A1200D" w:rsidRPr="00FA667B">
        <w:t xml:space="preserve">případech je </w:t>
      </w:r>
      <w:r w:rsidR="00844485" w:rsidRPr="00FA667B">
        <w:t>hemodynamick</w:t>
      </w:r>
      <w:r w:rsidR="00A1200D" w:rsidRPr="00FA667B">
        <w:t xml:space="preserve">y nevýznamná </w:t>
      </w:r>
      <w:r w:rsidR="00A1200D" w:rsidRPr="00FA667B">
        <w:lastRenderedPageBreak/>
        <w:t>stenóza</w:t>
      </w:r>
      <w:r w:rsidR="00844485" w:rsidRPr="00FA667B">
        <w:t xml:space="preserve"> anastomózy. U 9% nemocných </w:t>
      </w:r>
      <w:r w:rsidR="00A1200D" w:rsidRPr="00FA667B">
        <w:t xml:space="preserve">se může vyskytovat </w:t>
      </w:r>
      <w:r w:rsidR="00844485" w:rsidRPr="00FA667B">
        <w:t>hemodynamicky význ</w:t>
      </w:r>
      <w:r w:rsidR="00A1200D" w:rsidRPr="00FA667B">
        <w:t>amná stenóza, která se může projevit</w:t>
      </w:r>
      <w:r w:rsidR="00844485" w:rsidRPr="00FA667B">
        <w:t xml:space="preserve"> vznikem ascitu, krvácením do zaží</w:t>
      </w:r>
      <w:r w:rsidR="005371D6">
        <w:t>vacího traktu</w:t>
      </w:r>
      <w:r w:rsidR="00844485" w:rsidRPr="00FA667B">
        <w:t>. [87]</w:t>
      </w:r>
    </w:p>
    <w:p w:rsidR="006002F1" w:rsidRPr="00FA667B" w:rsidRDefault="006002F1" w:rsidP="00FA667B">
      <w:pPr>
        <w:spacing w:line="360" w:lineRule="auto"/>
        <w:jc w:val="both"/>
      </w:pPr>
      <w:r w:rsidRPr="00FA667B">
        <w:t>Nedílnou součá</w:t>
      </w:r>
      <w:r w:rsidR="00BF0453" w:rsidRPr="00FA667B">
        <w:t>stí je pooperační</w:t>
      </w:r>
      <w:r w:rsidRPr="00FA667B">
        <w:t xml:space="preserve"> zajištění pacienta </w:t>
      </w:r>
      <w:r w:rsidR="00BF0453" w:rsidRPr="00FA667B">
        <w:t>duální antiagregační léčbou</w:t>
      </w:r>
      <w:r w:rsidRPr="00FA667B">
        <w:t>, j</w:t>
      </w:r>
      <w:r w:rsidR="005371D6">
        <w:t>ako je např. Anopyrin a C</w:t>
      </w:r>
      <w:r w:rsidR="00BF0453" w:rsidRPr="00FA667B">
        <w:t xml:space="preserve">lopidogrel </w:t>
      </w:r>
      <w:r w:rsidRPr="00FA667B">
        <w:t>aj. [29,30]</w:t>
      </w:r>
    </w:p>
    <w:p w:rsidR="005D3D46" w:rsidRPr="00FA667B" w:rsidRDefault="005D3D46" w:rsidP="00FA667B">
      <w:pPr>
        <w:shd w:val="clear" w:color="auto" w:fill="FFFFFF"/>
        <w:spacing w:line="360" w:lineRule="auto"/>
        <w:jc w:val="both"/>
        <w:rPr>
          <w:b/>
          <w:color w:val="000000"/>
          <w:u w:val="single"/>
        </w:rPr>
      </w:pPr>
    </w:p>
    <w:p w:rsidR="006002F1" w:rsidRPr="00DB2B3C" w:rsidRDefault="006002F1" w:rsidP="00FA667B">
      <w:pPr>
        <w:shd w:val="clear" w:color="auto" w:fill="FFFFFF"/>
        <w:spacing w:line="360" w:lineRule="auto"/>
        <w:jc w:val="both"/>
        <w:rPr>
          <w:b/>
          <w:i/>
          <w:color w:val="000000"/>
          <w:u w:val="single"/>
        </w:rPr>
      </w:pPr>
      <w:r w:rsidRPr="00DB2B3C">
        <w:rPr>
          <w:b/>
          <w:i/>
          <w:color w:val="000000"/>
          <w:u w:val="single"/>
        </w:rPr>
        <w:t>Klasifikace rozsahu žilní resekce</w:t>
      </w:r>
    </w:p>
    <w:p w:rsidR="006002F1" w:rsidRPr="00FA667B" w:rsidRDefault="006002F1" w:rsidP="00FA667B">
      <w:pPr>
        <w:shd w:val="clear" w:color="auto" w:fill="FFFFFF"/>
        <w:spacing w:line="360" w:lineRule="auto"/>
        <w:jc w:val="both"/>
        <w:rPr>
          <w:color w:val="000000"/>
        </w:rPr>
      </w:pPr>
      <w:r w:rsidRPr="00FA667B">
        <w:rPr>
          <w:color w:val="000000"/>
        </w:rPr>
        <w:t xml:space="preserve">Typ 1: </w:t>
      </w:r>
      <w:r w:rsidR="005371D6">
        <w:rPr>
          <w:color w:val="000000"/>
        </w:rPr>
        <w:t>parciální žilní resekce</w:t>
      </w:r>
      <w:r w:rsidRPr="00FA667B">
        <w:rPr>
          <w:color w:val="000000"/>
        </w:rPr>
        <w:t xml:space="preserve"> s uzavře</w:t>
      </w:r>
      <w:r w:rsidR="005371D6">
        <w:rPr>
          <w:color w:val="000000"/>
        </w:rPr>
        <w:t>ním defektu sešitím</w:t>
      </w:r>
    </w:p>
    <w:p w:rsidR="006002F1" w:rsidRPr="00FA667B" w:rsidRDefault="005371D6" w:rsidP="00FA667B">
      <w:pPr>
        <w:shd w:val="clear" w:color="auto" w:fill="FFFFFF"/>
        <w:spacing w:line="360" w:lineRule="auto"/>
        <w:jc w:val="both"/>
        <w:rPr>
          <w:color w:val="000000"/>
        </w:rPr>
      </w:pPr>
      <w:r>
        <w:rPr>
          <w:color w:val="000000"/>
        </w:rPr>
        <w:t>Typ 2: parciální žilní resekce</w:t>
      </w:r>
      <w:r w:rsidR="006002F1" w:rsidRPr="00FA667B">
        <w:rPr>
          <w:color w:val="000000"/>
        </w:rPr>
        <w:t xml:space="preserve"> s použitím záplaty</w:t>
      </w:r>
    </w:p>
    <w:p w:rsidR="00B04C8E" w:rsidRPr="00FA667B" w:rsidRDefault="006002F1" w:rsidP="00FA667B">
      <w:pPr>
        <w:shd w:val="clear" w:color="auto" w:fill="FFFFFF"/>
        <w:spacing w:line="360" w:lineRule="auto"/>
        <w:jc w:val="both"/>
        <w:rPr>
          <w:color w:val="000000"/>
        </w:rPr>
      </w:pPr>
      <w:r w:rsidRPr="00FA667B">
        <w:rPr>
          <w:color w:val="000000"/>
        </w:rPr>
        <w:t>Typ 3: s</w:t>
      </w:r>
      <w:r w:rsidR="00BF0453" w:rsidRPr="00FA667B">
        <w:rPr>
          <w:color w:val="000000"/>
        </w:rPr>
        <w:t>egmentální resekce s přímou end-to-</w:t>
      </w:r>
      <w:r w:rsidRPr="00FA667B">
        <w:rPr>
          <w:color w:val="000000"/>
        </w:rPr>
        <w:t>end žilní anastomózou</w:t>
      </w:r>
    </w:p>
    <w:p w:rsidR="006002F1" w:rsidRPr="00FA667B" w:rsidRDefault="006002F1" w:rsidP="00FA667B">
      <w:pPr>
        <w:shd w:val="clear" w:color="auto" w:fill="FFFFFF"/>
        <w:spacing w:line="360" w:lineRule="auto"/>
        <w:jc w:val="both"/>
        <w:rPr>
          <w:color w:val="000000"/>
        </w:rPr>
      </w:pPr>
      <w:r w:rsidRPr="00FA667B">
        <w:rPr>
          <w:color w:val="000000"/>
        </w:rPr>
        <w:t>Typ 4: segmentální resekce s použitím žilní náhra</w:t>
      </w:r>
      <w:r w:rsidR="00BF0453" w:rsidRPr="00FA667B">
        <w:rPr>
          <w:color w:val="000000"/>
        </w:rPr>
        <w:t>dy a více než dvěmi</w:t>
      </w:r>
      <w:r w:rsidR="00B04C8E" w:rsidRPr="00FA667B">
        <w:rPr>
          <w:color w:val="000000"/>
        </w:rPr>
        <w:t xml:space="preserve"> anastomóza</w:t>
      </w:r>
      <w:r w:rsidR="00BF0453" w:rsidRPr="00FA667B">
        <w:rPr>
          <w:color w:val="000000"/>
        </w:rPr>
        <w:t>mi</w:t>
      </w:r>
    </w:p>
    <w:p w:rsidR="00BF0453" w:rsidRPr="00FA667B" w:rsidRDefault="00BF0453" w:rsidP="00FA667B">
      <w:pPr>
        <w:spacing w:line="360" w:lineRule="auto"/>
        <w:jc w:val="both"/>
      </w:pPr>
    </w:p>
    <w:p w:rsidR="006002F1" w:rsidRPr="00FA667B" w:rsidRDefault="003744AD" w:rsidP="00FA667B">
      <w:pPr>
        <w:spacing w:line="360" w:lineRule="auto"/>
        <w:jc w:val="both"/>
      </w:pPr>
      <w:r>
        <w:t>Obr.č.10</w:t>
      </w:r>
      <w:r w:rsidR="006002F1" w:rsidRPr="00FA667B">
        <w:t xml:space="preserve">. Zobrazení žilní resekce </w:t>
      </w:r>
    </w:p>
    <w:p w:rsidR="006002F1" w:rsidRPr="00FA667B" w:rsidRDefault="00497DBD" w:rsidP="00FA667B">
      <w:pPr>
        <w:spacing w:line="360" w:lineRule="auto"/>
        <w:jc w:val="both"/>
      </w:pPr>
      <w:r>
        <w:rPr>
          <w:noProof/>
        </w:rPr>
        <w:drawing>
          <wp:anchor distT="0" distB="0" distL="114300" distR="114300" simplePos="0" relativeHeight="251666944" behindDoc="1" locked="0" layoutInCell="1" allowOverlap="1">
            <wp:simplePos x="0" y="0"/>
            <wp:positionH relativeFrom="column">
              <wp:posOffset>104775</wp:posOffset>
            </wp:positionH>
            <wp:positionV relativeFrom="paragraph">
              <wp:posOffset>109855</wp:posOffset>
            </wp:positionV>
            <wp:extent cx="5114925" cy="2076450"/>
            <wp:effectExtent l="0" t="0" r="9525" b="0"/>
            <wp:wrapTight wrapText="bothSides">
              <wp:wrapPolygon edited="0">
                <wp:start x="0" y="0"/>
                <wp:lineTo x="0" y="21402"/>
                <wp:lineTo x="21560" y="21402"/>
                <wp:lineTo x="21560"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4925" cy="2076450"/>
                    </a:xfrm>
                    <a:prstGeom prst="rect">
                      <a:avLst/>
                    </a:prstGeom>
                    <a:noFill/>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rPr>
          <w:color w:val="00B050"/>
        </w:rPr>
      </w:pPr>
    </w:p>
    <w:p w:rsidR="006002F1" w:rsidRPr="00FA667B" w:rsidRDefault="006002F1" w:rsidP="00FA667B">
      <w:pPr>
        <w:spacing w:line="360" w:lineRule="auto"/>
        <w:jc w:val="both"/>
        <w:rPr>
          <w:color w:val="00B050"/>
        </w:rPr>
      </w:pPr>
    </w:p>
    <w:p w:rsidR="006002F1" w:rsidRPr="00FA667B" w:rsidRDefault="006002F1" w:rsidP="00FA667B">
      <w:pPr>
        <w:spacing w:line="360" w:lineRule="auto"/>
        <w:jc w:val="both"/>
        <w:rPr>
          <w:color w:val="00B050"/>
        </w:rPr>
      </w:pPr>
    </w:p>
    <w:p w:rsidR="006002F1" w:rsidRPr="00FA667B" w:rsidRDefault="006002F1" w:rsidP="00FA667B">
      <w:pPr>
        <w:spacing w:line="360" w:lineRule="auto"/>
        <w:jc w:val="both"/>
        <w:rPr>
          <w:color w:val="00B050"/>
        </w:rPr>
      </w:pPr>
    </w:p>
    <w:p w:rsidR="006002F1" w:rsidRPr="00FA667B" w:rsidRDefault="006002F1" w:rsidP="00FA667B">
      <w:pPr>
        <w:spacing w:line="360" w:lineRule="auto"/>
        <w:jc w:val="both"/>
        <w:rPr>
          <w:color w:val="00B050"/>
        </w:rPr>
      </w:pPr>
    </w:p>
    <w:p w:rsidR="006002F1" w:rsidRPr="00FA667B" w:rsidRDefault="006002F1" w:rsidP="00FA667B">
      <w:pPr>
        <w:spacing w:line="360" w:lineRule="auto"/>
        <w:jc w:val="both"/>
        <w:rPr>
          <w:color w:val="00B050"/>
        </w:rPr>
      </w:pPr>
    </w:p>
    <w:p w:rsidR="00BF0453" w:rsidRPr="00FA667B" w:rsidRDefault="00BF0453" w:rsidP="00FA667B">
      <w:pPr>
        <w:spacing w:line="360" w:lineRule="auto"/>
        <w:jc w:val="both"/>
        <w:rPr>
          <w:b/>
          <w:i/>
          <w:u w:val="single"/>
        </w:rPr>
      </w:pPr>
    </w:p>
    <w:p w:rsidR="00BF0453" w:rsidRPr="00FA667B" w:rsidRDefault="00BF0453" w:rsidP="00FA667B">
      <w:pPr>
        <w:spacing w:line="360" w:lineRule="auto"/>
        <w:jc w:val="both"/>
        <w:rPr>
          <w:b/>
          <w:i/>
          <w:u w:val="single"/>
        </w:rPr>
      </w:pPr>
    </w:p>
    <w:p w:rsidR="00F40AAE" w:rsidRPr="00FA667B" w:rsidRDefault="00F40AAE" w:rsidP="00FA667B">
      <w:pPr>
        <w:autoSpaceDE w:val="0"/>
        <w:autoSpaceDN w:val="0"/>
        <w:adjustRightInd w:val="0"/>
        <w:jc w:val="both"/>
        <w:rPr>
          <w:rFonts w:eastAsia="Calibri"/>
        </w:rPr>
      </w:pPr>
      <w:r w:rsidRPr="00FA667B">
        <w:t xml:space="preserve">Převzato: </w:t>
      </w:r>
      <w:r w:rsidRPr="00FA667B">
        <w:rPr>
          <w:rFonts w:eastAsia="Calibri"/>
        </w:rPr>
        <w:t>Warren R. Maley, Charles J. Yeo. Vascular Resections During the</w:t>
      </w:r>
    </w:p>
    <w:p w:rsidR="00BF0453" w:rsidRPr="00FA667B" w:rsidRDefault="00F40AAE" w:rsidP="00FA667B">
      <w:pPr>
        <w:spacing w:line="360" w:lineRule="auto"/>
        <w:jc w:val="both"/>
        <w:rPr>
          <w:b/>
          <w:i/>
          <w:u w:val="single"/>
        </w:rPr>
      </w:pPr>
      <w:r w:rsidRPr="00FA667B">
        <w:rPr>
          <w:rFonts w:eastAsia="Calibri"/>
        </w:rPr>
        <w:t>Whipple Procedure. Advances in Surgery. 2017; 51:41-63</w:t>
      </w:r>
      <w:r w:rsidRPr="00FA667B">
        <w:rPr>
          <w:rFonts w:eastAsia="Calibri"/>
          <w:color w:val="FFFFFF"/>
        </w:rPr>
        <w:t>Advances in Surgery 51 (2017) 41–63</w:t>
      </w:r>
    </w:p>
    <w:p w:rsidR="00876D52" w:rsidRDefault="00876D52" w:rsidP="00FA667B">
      <w:pPr>
        <w:spacing w:line="360" w:lineRule="auto"/>
        <w:jc w:val="both"/>
        <w:rPr>
          <w:b/>
          <w:i/>
          <w:u w:val="single"/>
        </w:rPr>
      </w:pPr>
    </w:p>
    <w:p w:rsidR="006002F1" w:rsidRPr="00DB2B3C" w:rsidRDefault="00DB2B3C" w:rsidP="00FA667B">
      <w:pPr>
        <w:spacing w:line="360" w:lineRule="auto"/>
        <w:jc w:val="both"/>
        <w:rPr>
          <w:b/>
          <w:u w:val="single"/>
        </w:rPr>
      </w:pPr>
      <w:r>
        <w:rPr>
          <w:b/>
          <w:u w:val="single"/>
        </w:rPr>
        <w:t>2.8</w:t>
      </w:r>
      <w:r w:rsidR="006002F1" w:rsidRPr="00DB2B3C">
        <w:rPr>
          <w:b/>
          <w:u w:val="single"/>
        </w:rPr>
        <w:t>.Postižení arteriálního řečiště</w:t>
      </w:r>
    </w:p>
    <w:p w:rsidR="006002F1" w:rsidRPr="00FA667B" w:rsidRDefault="006002F1" w:rsidP="00FA667B">
      <w:pPr>
        <w:spacing w:line="360" w:lineRule="auto"/>
        <w:jc w:val="both"/>
      </w:pPr>
      <w:r w:rsidRPr="00FA667B">
        <w:t>V oko</w:t>
      </w:r>
      <w:r w:rsidR="00E05A3E" w:rsidRPr="00FA667B">
        <w:t>lí pankreatu se vyskytují</w:t>
      </w:r>
      <w:r w:rsidRPr="00FA667B">
        <w:t xml:space="preserve"> </w:t>
      </w:r>
      <w:r w:rsidR="00E05A3E" w:rsidRPr="00FA667B">
        <w:t xml:space="preserve">důležité </w:t>
      </w:r>
      <w:r w:rsidRPr="00FA667B">
        <w:t xml:space="preserve">tepny, které mohou být zavzaty do nádoru. Jedná se o arteria hepatica comunis, arteria mesenterica superior nebo jeden z hlavních kmenů odstupující z aorty – truncus coeliacus. Arteria hepatica </w:t>
      </w:r>
      <w:r w:rsidR="00915341">
        <w:t>dextra</w:t>
      </w:r>
      <w:r w:rsidR="005371D6">
        <w:t xml:space="preserve"> </w:t>
      </w:r>
      <w:r w:rsidRPr="00FA667B">
        <w:t xml:space="preserve">se </w:t>
      </w:r>
      <w:r w:rsidR="005371D6">
        <w:t>až</w:t>
      </w:r>
      <w:r w:rsidRPr="00FA667B">
        <w:t xml:space="preserve"> 20-50% nemo</w:t>
      </w:r>
      <w:r w:rsidR="00E05A3E" w:rsidRPr="00FA667B">
        <w:t>cných vyskytuje v různém průběhu</w:t>
      </w:r>
      <w:r w:rsidR="005371D6">
        <w:t xml:space="preserve"> a to s nejčastější varian</w:t>
      </w:r>
      <w:r w:rsidRPr="00FA667B">
        <w:t>tou</w:t>
      </w:r>
      <w:r w:rsidR="005371D6">
        <w:t xml:space="preserve"> jejího odstupu </w:t>
      </w:r>
      <w:r w:rsidRPr="00FA667B">
        <w:t>z arteria mesent</w:t>
      </w:r>
      <w:r w:rsidR="00B04C8E" w:rsidRPr="00FA667B">
        <w:t>erica superior, až v 10% případech</w:t>
      </w:r>
      <w:r w:rsidRPr="00FA667B">
        <w:t xml:space="preserve">. </w:t>
      </w:r>
    </w:p>
    <w:p w:rsidR="00AF6A2C" w:rsidRPr="00FA667B" w:rsidRDefault="006002F1" w:rsidP="00FA667B">
      <w:pPr>
        <w:spacing w:line="360" w:lineRule="auto"/>
        <w:jc w:val="both"/>
      </w:pPr>
      <w:r w:rsidRPr="00FA667B">
        <w:t xml:space="preserve">Mezi dva hlavní kritické body, které mohou ovlivnit rekonstrukci anastomózy je průměr arterie a </w:t>
      </w:r>
      <w:r w:rsidR="005371D6">
        <w:t>délka</w:t>
      </w:r>
      <w:r w:rsidR="00E05A3E" w:rsidRPr="00FA667B">
        <w:t xml:space="preserve"> </w:t>
      </w:r>
      <w:r w:rsidR="005371D6">
        <w:t>postiženého</w:t>
      </w:r>
      <w:r w:rsidRPr="00FA667B">
        <w:t xml:space="preserve"> úsek</w:t>
      </w:r>
      <w:r w:rsidR="005371D6">
        <w:t>u</w:t>
      </w:r>
      <w:r w:rsidRPr="00FA667B">
        <w:t>, který je nutno odstranit. End-to-end anastomóza je možná, pokud délka resekce není v</w:t>
      </w:r>
      <w:r w:rsidR="00184481">
        <w:t>ětší než dva centimetry. U</w:t>
      </w:r>
      <w:r w:rsidRPr="00FA667B">
        <w:t xml:space="preserve"> resekce</w:t>
      </w:r>
      <w:r w:rsidR="00184481">
        <w:t xml:space="preserve"> většího rozsahu</w:t>
      </w:r>
      <w:r w:rsidRPr="00FA667B">
        <w:t xml:space="preserve"> je výhodnější použít </w:t>
      </w:r>
      <w:r w:rsidRPr="00FA667B">
        <w:lastRenderedPageBreak/>
        <w:t>inte</w:t>
      </w:r>
      <w:r w:rsidR="00343749">
        <w:t>r</w:t>
      </w:r>
      <w:r w:rsidRPr="00FA667B">
        <w:t xml:space="preserve">pozici cévy. </w:t>
      </w:r>
      <w:r w:rsidR="00184481">
        <w:t xml:space="preserve">Pokud </w:t>
      </w:r>
      <w:r w:rsidRPr="00FA667B">
        <w:t>arteria hepatica</w:t>
      </w:r>
      <w:r w:rsidR="00FF2249">
        <w:t xml:space="preserve"> dextra</w:t>
      </w:r>
      <w:r w:rsidR="00184481">
        <w:t xml:space="preserve"> odstupuje </w:t>
      </w:r>
      <w:r w:rsidRPr="00FA667B">
        <w:t>z arteria mesenterica superior</w:t>
      </w:r>
      <w:r w:rsidR="00184481">
        <w:t>,</w:t>
      </w:r>
      <w:r w:rsidRPr="00FA667B">
        <w:t xml:space="preserve"> pak </w:t>
      </w:r>
      <w:r w:rsidR="00184481">
        <w:t>můžeme využít arterii</w:t>
      </w:r>
      <w:r w:rsidRPr="00FA667B">
        <w:t xml:space="preserve"> gastroduodenalis.</w:t>
      </w:r>
      <w:r w:rsidR="00184481">
        <w:t xml:space="preserve"> </w:t>
      </w:r>
      <w:r w:rsidR="00630CD8">
        <w:t>Mezi další c</w:t>
      </w:r>
      <w:r w:rsidR="00184481">
        <w:t>évy, které lze využít</w:t>
      </w:r>
      <w:r w:rsidR="00630CD8">
        <w:t xml:space="preserve"> k náhradě</w:t>
      </w:r>
      <w:r w:rsidR="00184481">
        <w:t xml:space="preserve"> je arteria lienalis nebo vena saphena magna. </w:t>
      </w:r>
      <w:r w:rsidR="00630CD8">
        <w:t>V případě potřeby můžeme využít i g</w:t>
      </w:r>
      <w:r w:rsidR="00B04C8E" w:rsidRPr="00FA667B">
        <w:t>ore</w:t>
      </w:r>
      <w:r w:rsidR="00630CD8">
        <w:t xml:space="preserve">tex protézy. </w:t>
      </w:r>
      <w:r w:rsidR="00EE1266">
        <w:t xml:space="preserve">Komplikace, které mohou nastat, </w:t>
      </w:r>
      <w:r w:rsidR="00630CD8">
        <w:t>pokud dojde k</w:t>
      </w:r>
      <w:r w:rsidRPr="00FA667B">
        <w:t xml:space="preserve"> selhání arteriální náhrady nebo anastomózy je </w:t>
      </w:r>
      <w:r w:rsidR="00630CD8">
        <w:t xml:space="preserve">krvácení, </w:t>
      </w:r>
      <w:r w:rsidRPr="00FA667B">
        <w:t>špatné p</w:t>
      </w:r>
      <w:r w:rsidR="00630CD8">
        <w:t>rokrvení střeva a jeho ischemie nebo</w:t>
      </w:r>
      <w:r w:rsidRPr="00FA667B">
        <w:t xml:space="preserve"> ischemie jater. [31]</w:t>
      </w:r>
      <w:r w:rsidR="00C96512" w:rsidRPr="00FA667B">
        <w:t xml:space="preserve"> </w:t>
      </w:r>
      <w:r w:rsidR="00AF6A2C" w:rsidRPr="00FA667B">
        <w:t xml:space="preserve"> </w:t>
      </w:r>
    </w:p>
    <w:p w:rsidR="00B04C8E" w:rsidRPr="00FA667B" w:rsidRDefault="00C96512" w:rsidP="00FA667B">
      <w:pPr>
        <w:shd w:val="clear" w:color="auto" w:fill="FFFFFF"/>
        <w:spacing w:line="360" w:lineRule="auto"/>
        <w:jc w:val="both"/>
        <w:rPr>
          <w:shd w:val="clear" w:color="auto" w:fill="FFFFFF"/>
        </w:rPr>
      </w:pPr>
      <w:r w:rsidRPr="00FA667B">
        <w:t xml:space="preserve">V literatuře se vyskytují pouze malé soubory nemocných, u kterých byl proveden resekční výkon na pankreatu </w:t>
      </w:r>
      <w:r w:rsidR="00AF6A2C" w:rsidRPr="00FA667B">
        <w:t>sdružený s odstraněním postiženého úseku tepny, aby bylo dosaženo</w:t>
      </w:r>
      <w:r w:rsidRPr="00FA667B">
        <w:t xml:space="preserve"> </w:t>
      </w:r>
      <w:r w:rsidR="00AF6A2C" w:rsidRPr="00FA667B">
        <w:t>R0</w:t>
      </w:r>
      <w:r w:rsidRPr="00FA667B">
        <w:t xml:space="preserve"> resekce. Výsle</w:t>
      </w:r>
      <w:r w:rsidR="00AF6A2C" w:rsidRPr="00FA667B">
        <w:t>dky těchto studií ukazují na medián přežití</w:t>
      </w:r>
      <w:r w:rsidRPr="00FA667B">
        <w:t xml:space="preserve"> </w:t>
      </w:r>
      <w:r w:rsidR="00AF6A2C" w:rsidRPr="00FA667B">
        <w:t>17 měsíců, pokud byla dosažena R0</w:t>
      </w:r>
      <w:r w:rsidRPr="00FA667B">
        <w:t xml:space="preserve"> resekce</w:t>
      </w:r>
      <w:r w:rsidR="00AF6A2C" w:rsidRPr="00FA667B">
        <w:t>,</w:t>
      </w:r>
      <w:r w:rsidRPr="00FA667B">
        <w:t xml:space="preserve"> místo </w:t>
      </w:r>
      <w:r w:rsidR="00703BAB" w:rsidRPr="00FA667B">
        <w:t>6 měsíců u</w:t>
      </w:r>
      <w:r w:rsidRPr="00FA667B">
        <w:t xml:space="preserve"> R1/R2 resekce.</w:t>
      </w:r>
      <w:r w:rsidR="00703BAB" w:rsidRPr="00FA667B">
        <w:t xml:space="preserve"> [94]</w:t>
      </w:r>
      <w:r w:rsidRPr="00FA667B">
        <w:t xml:space="preserve"> </w:t>
      </w:r>
      <w:r w:rsidR="00AF6A2C" w:rsidRPr="00FA667B">
        <w:rPr>
          <w:shd w:val="clear" w:color="auto" w:fill="FFFFFF"/>
        </w:rPr>
        <w:t>Vzhledem k vysoké mortalit</w:t>
      </w:r>
      <w:r w:rsidR="00703BAB" w:rsidRPr="00FA667B">
        <w:rPr>
          <w:shd w:val="clear" w:color="auto" w:fill="FFFFFF"/>
        </w:rPr>
        <w:t>ě a morbiditě související</w:t>
      </w:r>
      <w:r w:rsidR="00AF6A2C" w:rsidRPr="00FA667B">
        <w:rPr>
          <w:shd w:val="clear" w:color="auto" w:fill="FFFFFF"/>
        </w:rPr>
        <w:t xml:space="preserve"> s výkonem na tepenném řečišti při </w:t>
      </w:r>
      <w:r w:rsidR="00703BAB" w:rsidRPr="00FA667B">
        <w:rPr>
          <w:shd w:val="clear" w:color="auto" w:fill="FFFFFF"/>
        </w:rPr>
        <w:t xml:space="preserve">resekci pankreatu se od tak rozsáhlého výkonu ustoupilo. </w:t>
      </w:r>
      <w:r w:rsidR="00A60BD0" w:rsidRPr="00FA667B">
        <w:rPr>
          <w:shd w:val="clear" w:color="auto" w:fill="FFFFFF"/>
        </w:rPr>
        <w:t xml:space="preserve">Významnou roli sehrála </w:t>
      </w:r>
      <w:r w:rsidR="00703BAB" w:rsidRPr="00FA667B">
        <w:rPr>
          <w:shd w:val="clear" w:color="auto" w:fill="FFFFFF"/>
        </w:rPr>
        <w:t>role neoadjuvantní terapie</w:t>
      </w:r>
      <w:r w:rsidR="00A60BD0" w:rsidRPr="00FA667B">
        <w:rPr>
          <w:shd w:val="clear" w:color="auto" w:fill="FFFFFF"/>
        </w:rPr>
        <w:t>, kde je předp</w:t>
      </w:r>
      <w:r w:rsidR="00630CD8">
        <w:rPr>
          <w:shd w:val="clear" w:color="auto" w:fill="FFFFFF"/>
        </w:rPr>
        <w:t>oklad změnšení tumoru</w:t>
      </w:r>
      <w:r w:rsidR="00A60BD0" w:rsidRPr="00FA667B">
        <w:rPr>
          <w:shd w:val="clear" w:color="auto" w:fill="FFFFFF"/>
        </w:rPr>
        <w:t xml:space="preserve"> pankreatu a následné umožnění resekčního výkonu bez nutnosti zásahu do arteriálního řečiště. [95]</w:t>
      </w:r>
    </w:p>
    <w:p w:rsidR="000C4F65" w:rsidRPr="00FA667B" w:rsidRDefault="000C4F65" w:rsidP="00FA667B">
      <w:pPr>
        <w:spacing w:line="360" w:lineRule="auto"/>
        <w:jc w:val="both"/>
        <w:rPr>
          <w:b/>
          <w:u w:val="single"/>
        </w:rPr>
      </w:pPr>
    </w:p>
    <w:p w:rsidR="006002F1" w:rsidRPr="00FA667B" w:rsidRDefault="006002F1" w:rsidP="00FA667B">
      <w:pPr>
        <w:spacing w:line="360" w:lineRule="auto"/>
        <w:jc w:val="both"/>
        <w:rPr>
          <w:b/>
          <w:u w:val="single"/>
        </w:rPr>
      </w:pPr>
      <w:r w:rsidRPr="00FA667B">
        <w:rPr>
          <w:b/>
          <w:u w:val="single"/>
        </w:rPr>
        <w:t>2.</w:t>
      </w:r>
      <w:r w:rsidR="00DB2B3C">
        <w:rPr>
          <w:b/>
          <w:u w:val="single"/>
        </w:rPr>
        <w:t>9</w:t>
      </w:r>
      <w:r w:rsidR="00630CD8">
        <w:rPr>
          <w:b/>
          <w:u w:val="single"/>
        </w:rPr>
        <w:t>.M</w:t>
      </w:r>
      <w:r w:rsidRPr="00FA667B">
        <w:rPr>
          <w:b/>
          <w:u w:val="single"/>
        </w:rPr>
        <w:t>eta</w:t>
      </w:r>
      <w:r w:rsidR="00DD11FA" w:rsidRPr="00FA667B">
        <w:rPr>
          <w:b/>
          <w:u w:val="single"/>
        </w:rPr>
        <w:t>stázy</w:t>
      </w:r>
      <w:r w:rsidRPr="00FA667B">
        <w:rPr>
          <w:b/>
          <w:u w:val="single"/>
        </w:rPr>
        <w:t xml:space="preserve"> u adenokarcinomu pankreatu</w:t>
      </w:r>
    </w:p>
    <w:p w:rsidR="00D93822" w:rsidRDefault="006002F1" w:rsidP="00FA667B">
      <w:pPr>
        <w:spacing w:line="360" w:lineRule="auto"/>
        <w:jc w:val="both"/>
        <w:rPr>
          <w:bCs/>
        </w:rPr>
      </w:pPr>
      <w:r w:rsidRPr="00FA667B">
        <w:rPr>
          <w:bCs/>
        </w:rPr>
        <w:t>Adenokarcinom pankreatu má všeobecně špatnou prognózu. Až v 70% jsou v době diagnózy zjištěny</w:t>
      </w:r>
      <w:r w:rsidR="003B6443" w:rsidRPr="00FA667B">
        <w:rPr>
          <w:bCs/>
        </w:rPr>
        <w:t xml:space="preserve"> mnohočetné</w:t>
      </w:r>
      <w:r w:rsidRPr="00FA667B">
        <w:rPr>
          <w:bCs/>
        </w:rPr>
        <w:t xml:space="preserve"> jaterní metastázy</w:t>
      </w:r>
      <w:r w:rsidR="00630CD8">
        <w:rPr>
          <w:bCs/>
        </w:rPr>
        <w:t xml:space="preserve"> a</w:t>
      </w:r>
      <w:r w:rsidRPr="00FA667B">
        <w:rPr>
          <w:bCs/>
        </w:rPr>
        <w:t xml:space="preserve"> zde není indikována chirurgická léčba.  Metodou volby je </w:t>
      </w:r>
      <w:r w:rsidR="003B6443" w:rsidRPr="00FA667B">
        <w:rPr>
          <w:bCs/>
        </w:rPr>
        <w:t xml:space="preserve">u těchto nemocných </w:t>
      </w:r>
      <w:r w:rsidRPr="00FA667B">
        <w:rPr>
          <w:bCs/>
        </w:rPr>
        <w:t xml:space="preserve">onkologická paliativní léčba. </w:t>
      </w:r>
    </w:p>
    <w:p w:rsidR="007C3D51" w:rsidRPr="007C3D51" w:rsidRDefault="007C3D51" w:rsidP="00FA667B">
      <w:pPr>
        <w:spacing w:line="360" w:lineRule="auto"/>
        <w:jc w:val="both"/>
        <w:rPr>
          <w:shd w:val="clear" w:color="auto" w:fill="FFFFFF"/>
        </w:rPr>
      </w:pPr>
      <w:r w:rsidRPr="007C3D51">
        <w:t xml:space="preserve">Adenokarcinom pankreatu </w:t>
      </w:r>
      <w:r>
        <w:t>m</w:t>
      </w:r>
      <w:r w:rsidRPr="007C3D51">
        <w:rPr>
          <w:shd w:val="clear" w:color="auto" w:fill="FFFFFF"/>
        </w:rPr>
        <w:t>etastazuje do lokálních lymfatických uzlin</w:t>
      </w:r>
      <w:r>
        <w:rPr>
          <w:shd w:val="clear" w:color="auto" w:fill="FFFFFF"/>
        </w:rPr>
        <w:t xml:space="preserve">, </w:t>
      </w:r>
      <w:r w:rsidRPr="007C3D51">
        <w:rPr>
          <w:bCs/>
          <w:shd w:val="clear" w:color="auto" w:fill="FFFFFF"/>
        </w:rPr>
        <w:t>hematogenně do jater</w:t>
      </w:r>
      <w:r w:rsidRPr="007C3D51">
        <w:rPr>
          <w:shd w:val="clear" w:color="auto" w:fill="FFFFFF"/>
        </w:rPr>
        <w:t>, později do plic a kostí.</w:t>
      </w:r>
      <w:r w:rsidRPr="007C3D51">
        <w:t xml:space="preserve"> T</w:t>
      </w:r>
      <w:r w:rsidRPr="007C3D51">
        <w:rPr>
          <w:shd w:val="clear" w:color="auto" w:fill="FFFFFF"/>
        </w:rPr>
        <w:t xml:space="preserve">ypické pro něj je </w:t>
      </w:r>
      <w:r w:rsidRPr="007C3D51">
        <w:rPr>
          <w:bCs/>
          <w:shd w:val="clear" w:color="auto" w:fill="FFFFFF"/>
        </w:rPr>
        <w:t>perineurální šíření</w:t>
      </w:r>
      <w:r>
        <w:rPr>
          <w:bCs/>
          <w:shd w:val="clear" w:color="auto" w:fill="FFFFFF"/>
        </w:rPr>
        <w:t xml:space="preserve"> </w:t>
      </w:r>
      <w:r w:rsidRPr="007C3D51">
        <w:rPr>
          <w:shd w:val="clear" w:color="auto" w:fill="FFFFFF"/>
        </w:rPr>
        <w:t>obvykle</w:t>
      </w:r>
      <w:r>
        <w:rPr>
          <w:shd w:val="clear" w:color="auto" w:fill="FFFFFF"/>
        </w:rPr>
        <w:t xml:space="preserve"> </w:t>
      </w:r>
      <w:r w:rsidRPr="007C3D51">
        <w:rPr>
          <w:shd w:val="clear" w:color="auto" w:fill="FFFFFF"/>
        </w:rPr>
        <w:t>do</w:t>
      </w:r>
      <w:r>
        <w:rPr>
          <w:shd w:val="clear" w:color="auto" w:fill="FFFFFF"/>
        </w:rPr>
        <w:t xml:space="preserve"> </w:t>
      </w:r>
      <w:r w:rsidRPr="007C3D51">
        <w:rPr>
          <w:iCs/>
          <w:shd w:val="clear" w:color="auto" w:fill="FFFFFF"/>
        </w:rPr>
        <w:t>nervi splanchnici</w:t>
      </w:r>
      <w:r>
        <w:rPr>
          <w:shd w:val="clear" w:color="auto" w:fill="FFFFFF"/>
        </w:rPr>
        <w:t>, což je příčinou bolestí.</w:t>
      </w:r>
    </w:p>
    <w:p w:rsidR="003B6443" w:rsidRPr="00FA667B" w:rsidRDefault="003B6443" w:rsidP="00FA667B">
      <w:pPr>
        <w:spacing w:line="360" w:lineRule="auto"/>
        <w:jc w:val="both"/>
        <w:rPr>
          <w:bCs/>
        </w:rPr>
      </w:pPr>
      <w:r w:rsidRPr="00FA667B">
        <w:rPr>
          <w:bCs/>
        </w:rPr>
        <w:t xml:space="preserve">Velmi diskutovaným </w:t>
      </w:r>
      <w:r w:rsidR="00630CD8">
        <w:rPr>
          <w:bCs/>
        </w:rPr>
        <w:t>tématem je přítomnost solitární</w:t>
      </w:r>
      <w:r w:rsidR="00D93822">
        <w:rPr>
          <w:bCs/>
        </w:rPr>
        <w:t xml:space="preserve"> synchronní </w:t>
      </w:r>
      <w:r w:rsidRPr="00FA667B">
        <w:rPr>
          <w:bCs/>
        </w:rPr>
        <w:t>jaterní metastázy u nemocných s adenokarcinomem pankreatu.</w:t>
      </w:r>
      <w:r w:rsidRPr="00FA667B">
        <w:rPr>
          <w:bCs/>
          <w:color w:val="FF0000"/>
        </w:rPr>
        <w:t xml:space="preserve"> </w:t>
      </w:r>
      <w:r w:rsidR="006002F1" w:rsidRPr="00FA667B">
        <w:rPr>
          <w:bCs/>
        </w:rPr>
        <w:t>Některé studie ukazují na možnost radikálního chirurgického řešení u resekabilních nádorů a současné odstranění</w:t>
      </w:r>
      <w:r w:rsidRPr="00FA667B">
        <w:rPr>
          <w:bCs/>
        </w:rPr>
        <w:t xml:space="preserve"> solitární</w:t>
      </w:r>
      <w:r w:rsidR="006002F1" w:rsidRPr="00FA667B">
        <w:rPr>
          <w:bCs/>
        </w:rPr>
        <w:t xml:space="preserve"> </w:t>
      </w:r>
      <w:r w:rsidR="00A25AAD" w:rsidRPr="00FA667B">
        <w:rPr>
          <w:bCs/>
        </w:rPr>
        <w:t>jaterní metastázy</w:t>
      </w:r>
      <w:r w:rsidRPr="00FA667B">
        <w:rPr>
          <w:bCs/>
        </w:rPr>
        <w:t xml:space="preserve"> s následnou adjuvantní onkologickou léčbou</w:t>
      </w:r>
      <w:r w:rsidR="00D93822">
        <w:rPr>
          <w:bCs/>
        </w:rPr>
        <w:t>. Ze studií vyplývá možný</w:t>
      </w:r>
      <w:r w:rsidR="00506005" w:rsidRPr="00FA667B">
        <w:rPr>
          <w:bCs/>
        </w:rPr>
        <w:t xml:space="preserve"> benefit stran dlouhodobého přežívání u nemocných po radikální resekci a současně provedené metastazektomie, disease-free interval je 14,5 měsíce</w:t>
      </w:r>
      <w:r w:rsidR="006002F1" w:rsidRPr="00FA667B">
        <w:rPr>
          <w:bCs/>
        </w:rPr>
        <w:t>.</w:t>
      </w:r>
      <w:r w:rsidR="006002F1" w:rsidRPr="00FA667B">
        <w:t>[42</w:t>
      </w:r>
      <w:r w:rsidR="00506005" w:rsidRPr="00FA667B">
        <w:t>,92</w:t>
      </w:r>
      <w:r w:rsidR="006002F1" w:rsidRPr="00FA667B">
        <w:t>]</w:t>
      </w:r>
      <w:r w:rsidR="00506005" w:rsidRPr="00FA667B">
        <w:rPr>
          <w:bCs/>
        </w:rPr>
        <w:t xml:space="preserve"> Retrospektivní multicentrická analýza</w:t>
      </w:r>
      <w:r w:rsidRPr="00FA667B">
        <w:rPr>
          <w:bCs/>
        </w:rPr>
        <w:t xml:space="preserve"> </w:t>
      </w:r>
      <w:r w:rsidR="00DD11FA" w:rsidRPr="00FA667B">
        <w:t xml:space="preserve">z </w:t>
      </w:r>
      <w:r w:rsidRPr="00FA667B">
        <w:t>6 evropských center (Německo, Itálie, F</w:t>
      </w:r>
      <w:r w:rsidRPr="00FA667B">
        <w:rPr>
          <w:bCs/>
        </w:rPr>
        <w:t>rancie</w:t>
      </w:r>
      <w:r w:rsidR="00506005" w:rsidRPr="00FA667B">
        <w:t xml:space="preserve"> a Řecka) </w:t>
      </w:r>
      <w:r w:rsidRPr="00FA667B">
        <w:rPr>
          <w:bCs/>
        </w:rPr>
        <w:t>s</w:t>
      </w:r>
      <w:r w:rsidR="00506005" w:rsidRPr="00FA667B">
        <w:t>rovnávala</w:t>
      </w:r>
      <w:r w:rsidRPr="00FA667B">
        <w:t xml:space="preserve"> nemocné, kteří měli v době diagnostiky onemocnění synchronní jaterní metastázu a podstoupili radikální chirurgický výkon včetně metastazektomie ve srovnání s nemocnými, kteří nepodstoupili radikální chirurgický výkon a měli pouze paliativní onkologickou léčbu. Z výsl</w:t>
      </w:r>
      <w:r w:rsidR="00506005" w:rsidRPr="00FA667B">
        <w:t>edku vyplynulo</w:t>
      </w:r>
      <w:r w:rsidRPr="00FA667B">
        <w:t xml:space="preserve">, že medián přežití je 22-24 měsíců oproti skupině pacientů </w:t>
      </w:r>
      <w:r w:rsidR="00DD11FA" w:rsidRPr="00FA667B">
        <w:t>s</w:t>
      </w:r>
      <w:r w:rsidRPr="00FA667B">
        <w:t xml:space="preserve"> paliativn</w:t>
      </w:r>
      <w:r w:rsidR="00EE1266">
        <w:t xml:space="preserve">í léčbou Gemcitabinem  7měsíců </w:t>
      </w:r>
      <w:r w:rsidRPr="00FA667B">
        <w:t>a 11 měsíců FOLFIRINOXem. Medián 5-ti leté</w:t>
      </w:r>
      <w:r w:rsidR="00EE1266">
        <w:t>ho</w:t>
      </w:r>
      <w:r w:rsidRPr="00FA667B">
        <w:t xml:space="preserve"> přežití je 5,8%, u pacientů s paliativní léčbou 0%. [93]</w:t>
      </w:r>
    </w:p>
    <w:p w:rsidR="005A1B6B" w:rsidRDefault="007C3D51" w:rsidP="00FA667B">
      <w:pPr>
        <w:spacing w:line="360" w:lineRule="auto"/>
        <w:jc w:val="both"/>
        <w:rPr>
          <w:b/>
          <w:u w:val="single"/>
        </w:rPr>
      </w:pPr>
      <w:r>
        <w:lastRenderedPageBreak/>
        <w:t>Metastázy do pankreatu nejsou příliš časté, ovšem jejich incidence v posledních letech vzrůstá. Nejčastějším primárním tumorem metastazující</w:t>
      </w:r>
      <w:r w:rsidR="00EE2673">
        <w:t>m</w:t>
      </w:r>
      <w:r>
        <w:t xml:space="preserve"> do pankreatu je renální karcinom. V literatuře se uvádí výskyt metachronních metastáz renálního karcinomu do pankreatu za 24-</w:t>
      </w:r>
      <w:r w:rsidR="003D5A6E">
        <w:t>240 měsíců od primární operace</w:t>
      </w:r>
      <w:r w:rsidR="00EE2673">
        <w:t>. Může se jednat o solitární metastázy, ale až v</w:t>
      </w:r>
      <w:r w:rsidR="003D5A6E">
        <w:t xml:space="preserve"> 35% </w:t>
      </w:r>
      <w:r w:rsidR="00EE2673">
        <w:t>může být výskyt mnohočetných metastáz</w:t>
      </w:r>
      <w:r w:rsidR="003D5A6E">
        <w:t>. Metachronní metastázy do pankreatu jsou indikovány k radikálnímu chirurgickému výkonu, jehož rozsah se odvíjí podle uložení ložiska – lokální výkon (pokud je to technicky možné), PDE, LPE. U</w:t>
      </w:r>
      <w:r w:rsidR="00EE2673">
        <w:t xml:space="preserve"> metastáz</w:t>
      </w:r>
      <w:r w:rsidR="003D5A6E">
        <w:t xml:space="preserve"> renálního karcinomu do pankreatu je po radikálním chirurgickém odstranění 5-ti leté přežívání až 79%</w:t>
      </w:r>
      <w:r w:rsidR="00EE2673">
        <w:t>. Mezi další nádory, které mohou metastazovat do pankreatu je maligní melanom nebo ovariální karcinom.[</w:t>
      </w:r>
      <w:r w:rsidR="002023F8">
        <w:t>108,109</w:t>
      </w:r>
      <w:r w:rsidR="00EE2673">
        <w:t xml:space="preserve">] </w:t>
      </w:r>
    </w:p>
    <w:p w:rsidR="005A1B6B" w:rsidRDefault="005A1B6B" w:rsidP="00FA667B">
      <w:pPr>
        <w:spacing w:line="360" w:lineRule="auto"/>
        <w:jc w:val="both"/>
        <w:rPr>
          <w:b/>
          <w:u w:val="single"/>
        </w:rPr>
      </w:pPr>
    </w:p>
    <w:p w:rsidR="000D17A7" w:rsidRDefault="008E5B85" w:rsidP="00FA667B">
      <w:pPr>
        <w:spacing w:line="360" w:lineRule="auto"/>
        <w:jc w:val="both"/>
        <w:rPr>
          <w:b/>
          <w:u w:val="single"/>
        </w:rPr>
      </w:pPr>
      <w:r>
        <w:rPr>
          <w:b/>
          <w:u w:val="single"/>
        </w:rPr>
        <w:t>3.Onkologická</w:t>
      </w:r>
      <w:r w:rsidR="000D17A7">
        <w:rPr>
          <w:b/>
          <w:u w:val="single"/>
        </w:rPr>
        <w:t xml:space="preserve"> léčba adenokarcinomu pankreatu</w:t>
      </w:r>
    </w:p>
    <w:p w:rsidR="004C0385" w:rsidRPr="002F7129" w:rsidRDefault="006002F1" w:rsidP="002F7129">
      <w:pPr>
        <w:spacing w:line="360" w:lineRule="auto"/>
        <w:jc w:val="both"/>
        <w:rPr>
          <w:color w:val="000000"/>
          <w:shd w:val="clear" w:color="auto" w:fill="FFFFFF"/>
        </w:rPr>
      </w:pPr>
      <w:r w:rsidRPr="00FA667B">
        <w:t>Důležitou roli v léčbě nádorů pankreatu má onkologická l</w:t>
      </w:r>
      <w:r w:rsidR="000D17A7">
        <w:t>éčba</w:t>
      </w:r>
      <w:r w:rsidRPr="00FA667B">
        <w:t xml:space="preserve"> neoadjuvantní, adjuv</w:t>
      </w:r>
      <w:r w:rsidR="002F7129">
        <w:t xml:space="preserve">antní, tak i paliativní léčba. </w:t>
      </w:r>
      <w:r w:rsidR="002F7129" w:rsidRPr="00FA667B">
        <w:rPr>
          <w:color w:val="000000"/>
          <w:shd w:val="clear" w:color="auto" w:fill="FFFFFF"/>
        </w:rPr>
        <w:t>K pacientovi musíme přistupovat</w:t>
      </w:r>
      <w:r w:rsidR="00B77597">
        <w:rPr>
          <w:color w:val="000000"/>
          <w:shd w:val="clear" w:color="auto" w:fill="FFFFFF"/>
        </w:rPr>
        <w:t xml:space="preserve"> </w:t>
      </w:r>
      <w:r w:rsidR="002F7129" w:rsidRPr="00FA667B">
        <w:rPr>
          <w:color w:val="000000"/>
          <w:shd w:val="clear" w:color="auto" w:fill="FFFFFF"/>
        </w:rPr>
        <w:t>individuálně s přiléhnutím na jeho aktuální performans status.</w:t>
      </w:r>
    </w:p>
    <w:p w:rsidR="00DD11FA" w:rsidRPr="00FA667B" w:rsidRDefault="00DD11FA" w:rsidP="00FA667B">
      <w:pPr>
        <w:spacing w:line="360" w:lineRule="auto"/>
        <w:jc w:val="both"/>
        <w:rPr>
          <w:b/>
          <w:i/>
          <w:u w:val="single"/>
        </w:rPr>
      </w:pPr>
    </w:p>
    <w:p w:rsidR="00CA2711" w:rsidRPr="00FA667B" w:rsidRDefault="009433BE" w:rsidP="00FA667B">
      <w:pPr>
        <w:spacing w:line="360" w:lineRule="auto"/>
        <w:jc w:val="both"/>
        <w:rPr>
          <w:b/>
          <w:i/>
          <w:u w:val="single"/>
        </w:rPr>
      </w:pPr>
      <w:r w:rsidRPr="00FA667B">
        <w:rPr>
          <w:b/>
          <w:i/>
          <w:u w:val="single"/>
        </w:rPr>
        <w:t>3.1</w:t>
      </w:r>
      <w:r w:rsidR="00CA2711" w:rsidRPr="00FA667B">
        <w:rPr>
          <w:b/>
          <w:i/>
          <w:u w:val="single"/>
        </w:rPr>
        <w:t xml:space="preserve">.Neoadjuvantí </w:t>
      </w:r>
      <w:r w:rsidR="008E5B85">
        <w:rPr>
          <w:b/>
          <w:i/>
          <w:u w:val="single"/>
        </w:rPr>
        <w:t>léčba</w:t>
      </w:r>
    </w:p>
    <w:p w:rsidR="00CA2711" w:rsidRPr="00FA667B" w:rsidRDefault="00F67092" w:rsidP="00FA667B">
      <w:pPr>
        <w:spacing w:line="360" w:lineRule="auto"/>
        <w:jc w:val="both"/>
      </w:pPr>
      <w:r w:rsidRPr="00FA667B">
        <w:t>Hlavním úkolem</w:t>
      </w:r>
      <w:r w:rsidR="00DF0CFA" w:rsidRPr="00FA667B">
        <w:t xml:space="preserve"> </w:t>
      </w:r>
      <w:r w:rsidR="00CA2711" w:rsidRPr="00FA667B">
        <w:t xml:space="preserve">neoadjuvantní terapie </w:t>
      </w:r>
      <w:r w:rsidR="00DF0CFA" w:rsidRPr="00FA667B">
        <w:t xml:space="preserve">je </w:t>
      </w:r>
      <w:r w:rsidRPr="00FA667B">
        <w:t xml:space="preserve">zejména </w:t>
      </w:r>
      <w:r w:rsidR="00DF0CFA" w:rsidRPr="00FA667B">
        <w:t xml:space="preserve">dosažení zmenšení </w:t>
      </w:r>
      <w:r w:rsidRPr="00FA667B">
        <w:t xml:space="preserve">ložiska u </w:t>
      </w:r>
      <w:r w:rsidR="00DF0CFA" w:rsidRPr="00FA667B">
        <w:t xml:space="preserve">borderline resekabilních nádorů, </w:t>
      </w:r>
      <w:r w:rsidRPr="00FA667B">
        <w:t xml:space="preserve">tak </w:t>
      </w:r>
      <w:r w:rsidR="00DF0CFA" w:rsidRPr="00FA667B">
        <w:t xml:space="preserve">aby bylo možné dosažení R0 resekce. Význam neoadjuvantní terapie je </w:t>
      </w:r>
      <w:r w:rsidR="00CA2711" w:rsidRPr="00FA667B">
        <w:t xml:space="preserve">také </w:t>
      </w:r>
      <w:r w:rsidRPr="00FA667B">
        <w:t xml:space="preserve">v </w:t>
      </w:r>
      <w:r w:rsidR="00CA2711" w:rsidRPr="00FA667B">
        <w:t>prodloužení doby do relapsu onemocnění.</w:t>
      </w:r>
      <w:r w:rsidR="005D3F21" w:rsidRPr="00FA667B">
        <w:t xml:space="preserve"> [88]</w:t>
      </w:r>
      <w:r w:rsidR="00CA2711" w:rsidRPr="00FA667B">
        <w:t xml:space="preserve"> </w:t>
      </w:r>
      <w:r w:rsidRPr="00FA667B">
        <w:t xml:space="preserve">Kompletní neoadjuvantní léčbu a následný chirurgický výkon podstoupí pouze 60-65% nemocných. </w:t>
      </w:r>
      <w:r w:rsidR="00CA2711" w:rsidRPr="00FA667B">
        <w:t xml:space="preserve">Chirurgický výkon po neoadjuvantní terapii nepodstoupí 20-25% z důvodů progrese </w:t>
      </w:r>
      <w:r w:rsidRPr="00FA667B">
        <w:t>onemocnění. Příčinou se předpokládá</w:t>
      </w:r>
      <w:r w:rsidR="00CA2711" w:rsidRPr="00FA667B">
        <w:t xml:space="preserve"> agresivní biologická povaha nádoru. </w:t>
      </w:r>
      <w:r w:rsidR="005D3F21" w:rsidRPr="00FA667B">
        <w:t>[85,89]</w:t>
      </w:r>
    </w:p>
    <w:p w:rsidR="00CA2711" w:rsidRPr="00FA667B" w:rsidRDefault="00CA2711" w:rsidP="00FA667B">
      <w:pPr>
        <w:spacing w:line="360" w:lineRule="auto"/>
        <w:jc w:val="both"/>
      </w:pPr>
      <w:r w:rsidRPr="00FA667B">
        <w:t>Existuje řada účinných režimů neoadjuvantní terapie. Studie NEOPAC fáze II porovnávala účinek podání Gemcitabinu vs. </w:t>
      </w:r>
      <w:r w:rsidR="00EE1266">
        <w:t>preparátu</w:t>
      </w:r>
      <w:r w:rsidR="00F67092" w:rsidRPr="00FA667B">
        <w:t xml:space="preserve"> 5-fluorouracilu. Z výsledků vyplý</w:t>
      </w:r>
      <w:r w:rsidRPr="00FA667B">
        <w:t xml:space="preserve">vá jednoznačně lepší účinek Gemcitabinu i přes jeho vyšší toxicitu. </w:t>
      </w:r>
      <w:r w:rsidRPr="00FA667B">
        <w:rPr>
          <w:color w:val="000000"/>
          <w:shd w:val="clear" w:color="auto" w:fill="FFFFFF"/>
        </w:rPr>
        <w:t>V randomizované kontrolované studii fáze III NEOPAC, která byla organizovaná HPB centrem nemocnice Zurich, podávali předoperačně 4 cykly Gemcitabi</w:t>
      </w:r>
      <w:r w:rsidR="002F7129">
        <w:rPr>
          <w:color w:val="000000"/>
          <w:shd w:val="clear" w:color="auto" w:fill="FFFFFF"/>
        </w:rPr>
        <w:t>nu a Oxaliplatiny. V následné</w:t>
      </w:r>
      <w:r w:rsidRPr="00FA667B">
        <w:rPr>
          <w:color w:val="000000"/>
          <w:shd w:val="clear" w:color="auto" w:fill="FFFFFF"/>
        </w:rPr>
        <w:t> </w:t>
      </w:r>
      <w:r w:rsidR="002F7129">
        <w:rPr>
          <w:color w:val="000000"/>
          <w:shd w:val="clear" w:color="auto" w:fill="FFFFFF"/>
        </w:rPr>
        <w:t>adjuvantní léčbě aplikvali radioterapii</w:t>
      </w:r>
      <w:r w:rsidR="009433BE" w:rsidRPr="00FA667B">
        <w:rPr>
          <w:color w:val="000000"/>
          <w:shd w:val="clear" w:color="auto" w:fill="FFFFFF"/>
        </w:rPr>
        <w:t xml:space="preserve"> (RT)</w:t>
      </w:r>
      <w:r w:rsidRPr="00FA667B">
        <w:rPr>
          <w:color w:val="000000"/>
          <w:shd w:val="clear" w:color="auto" w:fill="FFFFFF"/>
        </w:rPr>
        <w:t xml:space="preserve"> a 6 cyklů chemoterapie</w:t>
      </w:r>
      <w:r w:rsidR="009433BE" w:rsidRPr="00FA667B">
        <w:rPr>
          <w:color w:val="000000"/>
          <w:shd w:val="clear" w:color="auto" w:fill="FFFFFF"/>
        </w:rPr>
        <w:t xml:space="preserve"> (CHT)</w:t>
      </w:r>
      <w:r w:rsidRPr="00FA667B">
        <w:rPr>
          <w:color w:val="000000"/>
          <w:shd w:val="clear" w:color="auto" w:fill="FFFFFF"/>
        </w:rPr>
        <w:t xml:space="preserve"> s Gemcitabinem. </w:t>
      </w:r>
      <w:r w:rsidR="002F7129">
        <w:rPr>
          <w:color w:val="000000"/>
          <w:shd w:val="clear" w:color="auto" w:fill="FFFFFF"/>
        </w:rPr>
        <w:t xml:space="preserve">V tomto režimu </w:t>
      </w:r>
      <w:r w:rsidRPr="00FA667B">
        <w:rPr>
          <w:color w:val="000000"/>
          <w:shd w:val="clear" w:color="auto" w:fill="FFFFFF"/>
        </w:rPr>
        <w:t xml:space="preserve">40% nemocných podstoupilo resekci a z toho 70% </w:t>
      </w:r>
      <w:r w:rsidR="002F7129">
        <w:rPr>
          <w:color w:val="000000"/>
          <w:shd w:val="clear" w:color="auto" w:fill="FFFFFF"/>
        </w:rPr>
        <w:t>bylo schopno radikální resekce a bylo d</w:t>
      </w:r>
      <w:r w:rsidRPr="00FA667B">
        <w:rPr>
          <w:color w:val="000000"/>
          <w:shd w:val="clear" w:color="auto" w:fill="FFFFFF"/>
        </w:rPr>
        <w:t>osažen</w:t>
      </w:r>
      <w:r w:rsidR="002F7129">
        <w:rPr>
          <w:color w:val="000000"/>
          <w:shd w:val="clear" w:color="auto" w:fill="FFFFFF"/>
        </w:rPr>
        <w:t>o prodloužení dlouhodobého přežívání</w:t>
      </w:r>
      <w:r w:rsidRPr="00FA667B">
        <w:rPr>
          <w:color w:val="000000"/>
          <w:shd w:val="clear" w:color="auto" w:fill="FFFFFF"/>
        </w:rPr>
        <w:t xml:space="preserve"> na 32 měsíců. [45]</w:t>
      </w:r>
    </w:p>
    <w:p w:rsidR="00CA2711" w:rsidRPr="00FA667B" w:rsidRDefault="00CA2711" w:rsidP="00FA667B">
      <w:pPr>
        <w:spacing w:line="360" w:lineRule="auto"/>
        <w:jc w:val="both"/>
        <w:rPr>
          <w:color w:val="000000"/>
          <w:shd w:val="clear" w:color="auto" w:fill="FFFFFF"/>
        </w:rPr>
      </w:pPr>
      <w:r w:rsidRPr="00FA667B">
        <w:rPr>
          <w:color w:val="000000"/>
          <w:shd w:val="clear" w:color="auto" w:fill="FFFFFF"/>
        </w:rPr>
        <w:t>Meta-analýza z roku 2016  se zaměřuje na účinek FOLFIRINOXU v neoadjuvantní léčbě u lokálně pokročilého adenokarcinomu pankreatu, ale</w:t>
      </w:r>
      <w:r w:rsidR="009433BE" w:rsidRPr="00FA667B">
        <w:rPr>
          <w:color w:val="000000"/>
          <w:shd w:val="clear" w:color="auto" w:fill="FFFFFF"/>
        </w:rPr>
        <w:t xml:space="preserve"> i</w:t>
      </w:r>
      <w:r w:rsidRPr="00FA667B">
        <w:rPr>
          <w:color w:val="000000"/>
          <w:shd w:val="clear" w:color="auto" w:fill="FFFFFF"/>
        </w:rPr>
        <w:t xml:space="preserve"> jeho účinek v paliativní léčbě. Studie prokázaly</w:t>
      </w:r>
      <w:r w:rsidR="00DD71EC">
        <w:rPr>
          <w:color w:val="000000"/>
          <w:shd w:val="clear" w:color="auto" w:fill="FFFFFF"/>
        </w:rPr>
        <w:t xml:space="preserve">, že z 325 pacientů jich bylo 91 (28%), kteří po FOLFIRINOXU v neoadjuvanci </w:t>
      </w:r>
      <w:r w:rsidR="00CC0A1E">
        <w:rPr>
          <w:color w:val="000000"/>
          <w:shd w:val="clear" w:color="auto" w:fill="FFFFFF"/>
        </w:rPr>
        <w:t>byli operabilní</w:t>
      </w:r>
      <w:r w:rsidR="00DD71EC">
        <w:rPr>
          <w:color w:val="000000"/>
          <w:shd w:val="clear" w:color="auto" w:fill="FFFFFF"/>
        </w:rPr>
        <w:t xml:space="preserve"> a u 60 (74%) z této skupiny byla dosažena R0 resekce. Me</w:t>
      </w:r>
      <w:r w:rsidRPr="00FA667B">
        <w:rPr>
          <w:color w:val="000000"/>
          <w:shd w:val="clear" w:color="auto" w:fill="FFFFFF"/>
        </w:rPr>
        <w:t xml:space="preserve">dián přežití </w:t>
      </w:r>
      <w:r w:rsidR="00CC0A1E">
        <w:rPr>
          <w:color w:val="000000"/>
          <w:shd w:val="clear" w:color="auto" w:fill="FFFFFF"/>
        </w:rPr>
        <w:t xml:space="preserve">po aplikaci </w:t>
      </w:r>
      <w:r w:rsidR="00CC0A1E">
        <w:rPr>
          <w:color w:val="000000"/>
          <w:shd w:val="clear" w:color="auto" w:fill="FFFFFF"/>
        </w:rPr>
        <w:lastRenderedPageBreak/>
        <w:t xml:space="preserve">FOLFIRINOXu je </w:t>
      </w:r>
      <w:r w:rsidRPr="00FA667B">
        <w:rPr>
          <w:color w:val="000000"/>
          <w:shd w:val="clear" w:color="auto" w:fill="FFFFFF"/>
        </w:rPr>
        <w:t>24 měsíců oproti 13 měsícům při zvolení Gemcitabinu v neoadjuvantní léčbě. [46]</w:t>
      </w:r>
    </w:p>
    <w:p w:rsidR="00CA2711" w:rsidRPr="00FA667B" w:rsidRDefault="00CA2711" w:rsidP="00FA667B">
      <w:pPr>
        <w:spacing w:line="360" w:lineRule="auto"/>
        <w:jc w:val="both"/>
        <w:rPr>
          <w:color w:val="000000"/>
          <w:shd w:val="clear" w:color="auto" w:fill="FFFFFF"/>
        </w:rPr>
      </w:pPr>
      <w:r w:rsidRPr="00FA667B">
        <w:rPr>
          <w:color w:val="000000"/>
          <w:shd w:val="clear" w:color="auto" w:fill="FFFFFF"/>
        </w:rPr>
        <w:t>Závěrem lze tedy říci, že neoadjuvantní terapie u lokálně pokročilého onemocnění je metodou volby. Vede k downsizingu a event. resekabilitě nádoru. Neoadjuvantní terapie vyselektuje nemocné s agresivním typem onemocnění, kteří nejsou dále vhodní k chirurgické léčbě. Prozatím není standard</w:t>
      </w:r>
      <w:r w:rsidR="009433BE" w:rsidRPr="00FA667B">
        <w:rPr>
          <w:color w:val="000000"/>
          <w:shd w:val="clear" w:color="auto" w:fill="FFFFFF"/>
        </w:rPr>
        <w:t>ní protokol neoadjuvantní léčby</w:t>
      </w:r>
      <w:r w:rsidR="009433BE" w:rsidRPr="00FA667B">
        <w:rPr>
          <w:shd w:val="clear" w:color="auto" w:fill="FFFFFF"/>
        </w:rPr>
        <w:t>.</w:t>
      </w:r>
      <w:r w:rsidR="005D3F21" w:rsidRPr="00FA667B">
        <w:t xml:space="preserve"> [90]</w:t>
      </w:r>
    </w:p>
    <w:p w:rsidR="002023F8" w:rsidRDefault="002023F8" w:rsidP="00FA667B">
      <w:pPr>
        <w:spacing w:line="360" w:lineRule="auto"/>
        <w:jc w:val="both"/>
        <w:rPr>
          <w:b/>
          <w:i/>
          <w:u w:val="single"/>
        </w:rPr>
      </w:pPr>
    </w:p>
    <w:p w:rsidR="00847AAE" w:rsidRDefault="009433BE" w:rsidP="00FA667B">
      <w:pPr>
        <w:spacing w:line="360" w:lineRule="auto"/>
        <w:jc w:val="both"/>
        <w:rPr>
          <w:b/>
          <w:i/>
          <w:u w:val="single"/>
        </w:rPr>
      </w:pPr>
      <w:r w:rsidRPr="00FA667B">
        <w:rPr>
          <w:b/>
          <w:i/>
          <w:u w:val="single"/>
        </w:rPr>
        <w:t>3.2</w:t>
      </w:r>
      <w:r w:rsidR="006002F1" w:rsidRPr="00FA667B">
        <w:rPr>
          <w:b/>
          <w:i/>
          <w:u w:val="single"/>
        </w:rPr>
        <w:t>.</w:t>
      </w:r>
      <w:r w:rsidR="00CA2711" w:rsidRPr="00FA667B">
        <w:rPr>
          <w:b/>
          <w:i/>
          <w:u w:val="single"/>
        </w:rPr>
        <w:t>A</w:t>
      </w:r>
      <w:r w:rsidR="006002F1" w:rsidRPr="00FA667B">
        <w:rPr>
          <w:b/>
          <w:i/>
          <w:u w:val="single"/>
        </w:rPr>
        <w:t xml:space="preserve">djuvantní </w:t>
      </w:r>
      <w:r w:rsidR="00847AAE">
        <w:rPr>
          <w:b/>
          <w:i/>
          <w:u w:val="single"/>
        </w:rPr>
        <w:t>léčba</w:t>
      </w:r>
    </w:p>
    <w:p w:rsidR="002F7129" w:rsidRPr="00FA667B" w:rsidRDefault="00CC0A1E" w:rsidP="002F7129">
      <w:pPr>
        <w:spacing w:line="360" w:lineRule="auto"/>
        <w:jc w:val="both"/>
      </w:pPr>
      <w:r>
        <w:t xml:space="preserve">Adjuvantní léčba má svůj význam v oddálení doby do vzniku rekurence po chirurgickém resekčním výkonu. </w:t>
      </w:r>
      <w:r w:rsidR="002F7129" w:rsidRPr="00FA667B">
        <w:t>Následnou adjuvantní terapii po resekčním výkonu nepodstoupí 25-50% nemocných pro pooperační komplikace nebo z důvodů odmítnutí další léčby. [85,89]</w:t>
      </w:r>
    </w:p>
    <w:p w:rsidR="002F7129" w:rsidRPr="00CC0A1E" w:rsidRDefault="00CC0A1E" w:rsidP="00FA667B">
      <w:pPr>
        <w:spacing w:line="360" w:lineRule="auto"/>
        <w:jc w:val="both"/>
      </w:pPr>
      <w:r>
        <w:rPr>
          <w:color w:val="000000"/>
          <w:shd w:val="clear" w:color="auto" w:fill="FFFFFF"/>
        </w:rPr>
        <w:t>F</w:t>
      </w:r>
      <w:r w:rsidRPr="00FA667B">
        <w:t>aktory, které ovlivňují celkovou dobu přežití, jsou: dosažení R0 resekce, počet metastaticky postižených lymfatických uzlin z celkového počtu peroperačně odebraných uzlin, věk nemocného, perineurální šíření nádoru, angioinvaze nádoru. Prognostickým faktorem je elevace onkomarkeru Ca 19-9, pokud pooperačně vzroste hodnota Ca 19-9 na hodnotu nad 180 U/ml je celková doba přežití u těchto nemocných menší než dva roky. [43]</w:t>
      </w:r>
    </w:p>
    <w:p w:rsidR="006002F1" w:rsidRPr="00FA667B" w:rsidRDefault="00CC0A1E" w:rsidP="00FA667B">
      <w:pPr>
        <w:spacing w:line="360" w:lineRule="auto"/>
        <w:jc w:val="both"/>
      </w:pPr>
      <w:r>
        <w:t>N</w:t>
      </w:r>
      <w:r w:rsidR="006002F1" w:rsidRPr="00FA667B">
        <w:t>emocní, kteří i přes R0 resekci nepodstoupili adjuvant</w:t>
      </w:r>
      <w:r w:rsidR="009433BE" w:rsidRPr="00FA667B">
        <w:t xml:space="preserve">ní terapii, </w:t>
      </w:r>
      <w:r w:rsidR="004C0385" w:rsidRPr="00FA667B">
        <w:t>měli až v 80 % případech</w:t>
      </w:r>
      <w:r w:rsidR="006002F1" w:rsidRPr="00FA667B">
        <w:t xml:space="preserve"> rekurenci onemocnění oproti nemocným, kterým adjuvantní terapie byla podána. Rekurence onemocnění se snížila až na 26%. Studie ukazují na prodloužení doby celkového přežití na 20 měsíců oproti 11 měsíců</w:t>
      </w:r>
      <w:r w:rsidR="004C0385" w:rsidRPr="00FA667B">
        <w:t>m</w:t>
      </w:r>
      <w:r w:rsidR="006002F1" w:rsidRPr="00FA667B">
        <w:t xml:space="preserve"> bez podání adjuvanntí terapie. Častěji se vyskytuje lokální rekurence se vzdálenými metastázemi než jen lokální rekurence. </w:t>
      </w:r>
      <w:r w:rsidR="009433BE" w:rsidRPr="00FA667B">
        <w:t>[43]</w:t>
      </w:r>
    </w:p>
    <w:p w:rsidR="002023F8" w:rsidRDefault="006002F1" w:rsidP="00FA667B">
      <w:pPr>
        <w:spacing w:line="360" w:lineRule="auto"/>
        <w:jc w:val="both"/>
      </w:pPr>
      <w:r w:rsidRPr="00FA667B">
        <w:t>Vývoj a r</w:t>
      </w:r>
      <w:r w:rsidR="00343749">
        <w:t>ežimy adjuvantní terapie prošly</w:t>
      </w:r>
      <w:r w:rsidRPr="00FA667B">
        <w:t xml:space="preserve"> řadou z</w:t>
      </w:r>
      <w:r w:rsidRPr="00FA667B">
        <w:rPr>
          <w:noProof/>
        </w:rPr>
        <w:t>měn.</w:t>
      </w:r>
      <w:r w:rsidRPr="00FA667B">
        <w:t xml:space="preserve"> Řada studií se zaměřovala na celkové přežití při podávání s</w:t>
      </w:r>
      <w:r w:rsidR="009433BE" w:rsidRPr="00FA667B">
        <w:t>amotné adjuvantní chemoterapie (</w:t>
      </w:r>
      <w:r w:rsidRPr="00FA667B">
        <w:t>CHT), chemoradioterapie (CHRT) a celkovou dobu přežití bez podání adjuvantní terapie. Ve třech randomizovaných studiích byla prokázána účinnost adjuvantní chemoterapie. První studie European Organisation for Research and Treatment of Cancer ESPAC-1 srovnávala režim 5-fluorouracil (5-FU) s lokální radioterapií a nemocné bez podání adjuvantní terapie. Celková průměrná doba přežití byla 20 měsíců resp. 11 měsíců ve prospěch adjuvance. V ESPAC-3 studii se snažili najít alternativu za toxický Gemcitabin. Nebyl ovšem prokázán rozdíl v používání Gemcitabin</w:t>
      </w:r>
      <w:r w:rsidR="009433BE" w:rsidRPr="00FA667B">
        <w:t>u</w:t>
      </w:r>
      <w:r w:rsidRPr="00FA667B">
        <w:t xml:space="preserve"> nebo 5-FU stran toxicity. Proto podání dané chemoterapie je individuální a záleží na zvážení celkového stavu nemocného. Další studie Radiation Therapy Oncology Group RTOG 9704 se zaměřovala na režim 5-FU + leukovorin a cisplatina současně s RT a samotnou chemoterapií 5-FU. Zde nebyl prokázaný benefit stran dlouhodobého přežívání</w:t>
      </w:r>
      <w:r w:rsidR="009433BE" w:rsidRPr="00FA667B">
        <w:t xml:space="preserve"> při použití režimu cisplatina a RT</w:t>
      </w:r>
      <w:r w:rsidRPr="00FA667B">
        <w:t>, ale ukázal se pozitivní vliv na celkové době do vzniku recidivy onem</w:t>
      </w:r>
      <w:r w:rsidR="000B7F94">
        <w:t>ocnění. Tento režim měl i vliv na</w:t>
      </w:r>
      <w:r w:rsidRPr="00FA667B">
        <w:t xml:space="preserve"> </w:t>
      </w:r>
      <w:r w:rsidRPr="00FA667B">
        <w:lastRenderedPageBreak/>
        <w:t>zlepšení kvality života. Lokální ozáření přineslo benefit na snížení bolestí, také v menší míře nemocní trpěli nauzeou a zvr</w:t>
      </w:r>
      <w:r w:rsidR="00CC0A1E">
        <w:t>acením. Další významnou studií b</w:t>
      </w:r>
      <w:r w:rsidRPr="00FA667B">
        <w:t xml:space="preserve">yl Charité Onkologie Clinical Studies in GI Cancer CONKO-001, kde srovnávali </w:t>
      </w:r>
      <w:r w:rsidR="009433BE" w:rsidRPr="00FA667B">
        <w:t>podání adjuva</w:t>
      </w:r>
      <w:r w:rsidRPr="00FA667B">
        <w:t xml:space="preserve">ntní terapie s Gemcitabinem se skupinou bez adjuvantní terapie. Zde byl jednoznačný benefit pro Gemcitabin. Byl jednoznačně prokázaný příznivý </w:t>
      </w:r>
      <w:r w:rsidR="009433BE" w:rsidRPr="00FA667B">
        <w:t xml:space="preserve">vliv na celkovou dobu přežití, kdy </w:t>
      </w:r>
      <w:r w:rsidRPr="00FA667B">
        <w:t xml:space="preserve">medián 5-ti letého přežití se zvýšil až </w:t>
      </w:r>
      <w:r w:rsidR="009433BE" w:rsidRPr="00FA667B">
        <w:t>na 20%</w:t>
      </w:r>
      <w:r w:rsidRPr="00FA667B">
        <w:t xml:space="preserve">, tak </w:t>
      </w:r>
      <w:r w:rsidR="009433BE" w:rsidRPr="00FA667B">
        <w:t>i na dobu do vzniku rekurence, 13 měsíců resp. 6 měsíců</w:t>
      </w:r>
      <w:r w:rsidRPr="00FA667B">
        <w:t>. Nevýhodou Gemcitabinu je jeho toxicita. [43,44]</w:t>
      </w:r>
    </w:p>
    <w:p w:rsidR="000B7F94" w:rsidRDefault="000B7F94" w:rsidP="00FA667B">
      <w:pPr>
        <w:spacing w:line="360" w:lineRule="auto"/>
        <w:jc w:val="both"/>
        <w:rPr>
          <w:b/>
          <w:i/>
          <w:color w:val="000000"/>
          <w:u w:val="single"/>
          <w:shd w:val="clear" w:color="auto" w:fill="FFFFFF"/>
        </w:rPr>
      </w:pPr>
    </w:p>
    <w:p w:rsidR="006002F1" w:rsidRPr="002023F8" w:rsidRDefault="006002F1" w:rsidP="00FA667B">
      <w:pPr>
        <w:spacing w:line="360" w:lineRule="auto"/>
        <w:jc w:val="both"/>
      </w:pPr>
      <w:r w:rsidRPr="00FA667B">
        <w:rPr>
          <w:b/>
          <w:i/>
          <w:color w:val="000000"/>
          <w:u w:val="single"/>
          <w:shd w:val="clear" w:color="auto" w:fill="FFFFFF"/>
        </w:rPr>
        <w:t>3.3.Paliativní onkologická léčba u metastazujícího onemocnění</w:t>
      </w:r>
    </w:p>
    <w:p w:rsidR="006002F1" w:rsidRPr="00FA667B" w:rsidRDefault="006002F1" w:rsidP="00FA667B">
      <w:pPr>
        <w:spacing w:line="360" w:lineRule="auto"/>
        <w:jc w:val="both"/>
        <w:rPr>
          <w:color w:val="000000"/>
          <w:shd w:val="clear" w:color="auto" w:fill="FFFFFF"/>
        </w:rPr>
      </w:pPr>
      <w:r w:rsidRPr="00FA667B">
        <w:rPr>
          <w:color w:val="000000"/>
          <w:shd w:val="clear" w:color="auto" w:fill="FFFFFF"/>
        </w:rPr>
        <w:t>Až u 50% nemocných je v době diagnózy zjištěn pokročilý nález na slinivce s přítomností vzdálených metastáz. Medián přežití u neléčeného onemocnění je 2-3 měsíce. Paliativní onkologická léčba podle některých studií prodlužuje medián přežití na 6 měsíců.</w:t>
      </w:r>
    </w:p>
    <w:p w:rsidR="006002F1" w:rsidRPr="00FA667B" w:rsidRDefault="006002F1" w:rsidP="00FA667B">
      <w:pPr>
        <w:spacing w:line="360" w:lineRule="auto"/>
        <w:jc w:val="both"/>
        <w:rPr>
          <w:color w:val="000000"/>
          <w:shd w:val="clear" w:color="auto" w:fill="FFFFFF"/>
        </w:rPr>
      </w:pPr>
      <w:r w:rsidRPr="00FA667B">
        <w:rPr>
          <w:color w:val="000000"/>
          <w:shd w:val="clear" w:color="auto" w:fill="FFFFFF"/>
        </w:rPr>
        <w:t>V paliativní léčbě se v poslední době v řadě studií ukazují pozitiv</w:t>
      </w:r>
      <w:r w:rsidR="00EE1266">
        <w:rPr>
          <w:color w:val="000000"/>
          <w:shd w:val="clear" w:color="auto" w:fill="FFFFFF"/>
        </w:rPr>
        <w:t>ní výsledky režimu FOLFIRINOX (</w:t>
      </w:r>
      <w:r w:rsidRPr="00FA667B">
        <w:rPr>
          <w:color w:val="000000"/>
          <w:shd w:val="clear" w:color="auto" w:fill="FFFFFF"/>
        </w:rPr>
        <w:t>5-fluoruracil + leukovorin + irinotecan + oxaliplatina). Zde se ukazují lepší výsledky oproti Gemcitabinu</w:t>
      </w:r>
      <w:r w:rsidR="00070C07" w:rsidRPr="00FA667B">
        <w:rPr>
          <w:color w:val="000000"/>
          <w:shd w:val="clear" w:color="auto" w:fill="FFFFFF"/>
        </w:rPr>
        <w:t xml:space="preserve"> (</w:t>
      </w:r>
      <w:r w:rsidRPr="00FA667B">
        <w:rPr>
          <w:color w:val="000000"/>
          <w:shd w:val="clear" w:color="auto" w:fill="FFFFFF"/>
        </w:rPr>
        <w:t>31%</w:t>
      </w:r>
      <w:r w:rsidR="00070C07" w:rsidRPr="00FA667B">
        <w:rPr>
          <w:color w:val="000000"/>
          <w:shd w:val="clear" w:color="auto" w:fill="FFFFFF"/>
        </w:rPr>
        <w:t xml:space="preserve"> FOLFIRINOX</w:t>
      </w:r>
      <w:r w:rsidRPr="00FA667B">
        <w:rPr>
          <w:color w:val="000000"/>
          <w:shd w:val="clear" w:color="auto" w:fill="FFFFFF"/>
        </w:rPr>
        <w:t xml:space="preserve"> oproti 9,4%</w:t>
      </w:r>
      <w:r w:rsidR="00070C07" w:rsidRPr="00FA667B">
        <w:rPr>
          <w:color w:val="000000"/>
          <w:shd w:val="clear" w:color="auto" w:fill="FFFFFF"/>
        </w:rPr>
        <w:t xml:space="preserve"> Gemcitabinu)</w:t>
      </w:r>
      <w:r w:rsidRPr="00FA667B">
        <w:rPr>
          <w:color w:val="000000"/>
          <w:shd w:val="clear" w:color="auto" w:fill="FFFFFF"/>
        </w:rPr>
        <w:t>, medián přežití 6,4 měsíce oproti 3,3 měsíce. Nevýhodou FOLFIRINOX</w:t>
      </w:r>
      <w:r w:rsidR="000B7F94">
        <w:rPr>
          <w:color w:val="000000"/>
          <w:shd w:val="clear" w:color="auto" w:fill="FFFFFF"/>
        </w:rPr>
        <w:t>u</w:t>
      </w:r>
      <w:r w:rsidRPr="00FA667B">
        <w:rPr>
          <w:color w:val="000000"/>
          <w:shd w:val="clear" w:color="auto" w:fill="FFFFFF"/>
        </w:rPr>
        <w:t xml:space="preserve"> je jeho vyšší toxicita. N</w:t>
      </w:r>
      <w:r w:rsidR="00070C07" w:rsidRPr="00FA667B">
        <w:rPr>
          <w:color w:val="000000"/>
          <w:shd w:val="clear" w:color="auto" w:fill="FFFFFF"/>
        </w:rPr>
        <w:t>emocní trpí neutropenií III/IV.</w:t>
      </w:r>
      <w:r w:rsidR="000B7F94">
        <w:rPr>
          <w:color w:val="000000"/>
          <w:shd w:val="clear" w:color="auto" w:fill="FFFFFF"/>
        </w:rPr>
        <w:t>stupně a také mají významné</w:t>
      </w:r>
      <w:r w:rsidR="00CC0A1E">
        <w:rPr>
          <w:color w:val="000000"/>
          <w:shd w:val="clear" w:color="auto" w:fill="FFFFFF"/>
        </w:rPr>
        <w:t xml:space="preserve"> gastrointestinální obtíže</w:t>
      </w:r>
      <w:r w:rsidRPr="00FA667B">
        <w:rPr>
          <w:color w:val="000000"/>
          <w:shd w:val="clear" w:color="auto" w:fill="FFFFFF"/>
        </w:rPr>
        <w:t>. [47]</w:t>
      </w:r>
    </w:p>
    <w:p w:rsidR="00B800C5" w:rsidRPr="00FA667B" w:rsidRDefault="00070C07" w:rsidP="00FA667B">
      <w:pPr>
        <w:spacing w:line="360" w:lineRule="auto"/>
        <w:jc w:val="both"/>
        <w:rPr>
          <w:color w:val="000000"/>
          <w:shd w:val="clear" w:color="auto" w:fill="FFFFFF"/>
        </w:rPr>
      </w:pPr>
      <w:r w:rsidRPr="00FA667B">
        <w:rPr>
          <w:color w:val="000000"/>
          <w:shd w:val="clear" w:color="auto" w:fill="FFFFFF"/>
        </w:rPr>
        <w:t>K</w:t>
      </w:r>
      <w:r w:rsidR="006002F1" w:rsidRPr="00FA667B">
        <w:rPr>
          <w:color w:val="000000"/>
          <w:shd w:val="clear" w:color="auto" w:fill="FFFFFF"/>
        </w:rPr>
        <w:t xml:space="preserve"> pacientovi </w:t>
      </w:r>
      <w:r w:rsidRPr="00FA667B">
        <w:rPr>
          <w:color w:val="000000"/>
          <w:shd w:val="clear" w:color="auto" w:fill="FFFFFF"/>
        </w:rPr>
        <w:t>musíme přistupovat</w:t>
      </w:r>
      <w:r w:rsidR="006002F1" w:rsidRPr="00FA667B">
        <w:rPr>
          <w:color w:val="000000"/>
          <w:shd w:val="clear" w:color="auto" w:fill="FFFFFF"/>
        </w:rPr>
        <w:t xml:space="preserve"> individuálně</w:t>
      </w:r>
      <w:r w:rsidRPr="00FA667B">
        <w:rPr>
          <w:color w:val="000000"/>
          <w:shd w:val="clear" w:color="auto" w:fill="FFFFFF"/>
        </w:rPr>
        <w:t xml:space="preserve"> s přiléhnutím na jeho aktuální performans status</w:t>
      </w:r>
      <w:r w:rsidR="006002F1" w:rsidRPr="00FA667B">
        <w:rPr>
          <w:color w:val="000000"/>
          <w:shd w:val="clear" w:color="auto" w:fill="FFFFFF"/>
        </w:rPr>
        <w:t xml:space="preserve">. </w:t>
      </w:r>
    </w:p>
    <w:p w:rsidR="00CC0A1E" w:rsidRDefault="00CC0A1E" w:rsidP="00FA667B">
      <w:pPr>
        <w:spacing w:line="360" w:lineRule="auto"/>
        <w:jc w:val="both"/>
        <w:rPr>
          <w:b/>
          <w:u w:val="single"/>
        </w:rPr>
      </w:pPr>
    </w:p>
    <w:p w:rsidR="006002F1" w:rsidRPr="00FA667B" w:rsidRDefault="008E5B85" w:rsidP="00FA667B">
      <w:pPr>
        <w:spacing w:line="360" w:lineRule="auto"/>
        <w:jc w:val="both"/>
        <w:rPr>
          <w:color w:val="000000"/>
          <w:shd w:val="clear" w:color="auto" w:fill="FFFFFF"/>
        </w:rPr>
      </w:pPr>
      <w:r>
        <w:rPr>
          <w:b/>
          <w:u w:val="single"/>
        </w:rPr>
        <w:t>4</w:t>
      </w:r>
      <w:r w:rsidR="006002F1" w:rsidRPr="00FA667B">
        <w:rPr>
          <w:b/>
          <w:u w:val="single"/>
        </w:rPr>
        <w:t>.Komplikace</w:t>
      </w:r>
    </w:p>
    <w:p w:rsidR="006002F1" w:rsidRPr="00FA667B" w:rsidRDefault="006002F1" w:rsidP="00FA667B">
      <w:pPr>
        <w:spacing w:line="360" w:lineRule="auto"/>
        <w:jc w:val="both"/>
      </w:pPr>
      <w:r w:rsidRPr="00FA667B">
        <w:t>Chirurgická léčba karcinomu pankreatu patří mezi technicky náročné výkony, které vyžadují mnohaletou chirurgickou praxi a zkušenosti. Chirurgické výkony na pankrea</w:t>
      </w:r>
      <w:r w:rsidR="000B7F94">
        <w:t>tu jsou stále spojeny s</w:t>
      </w:r>
      <w:r w:rsidR="007A78FC">
        <w:t xml:space="preserve"> významnou</w:t>
      </w:r>
      <w:r w:rsidRPr="00FA667B">
        <w:t xml:space="preserve"> mortalitou a morbiditou. Snahou je tyto náročné výkony centralizovat do nemocničních zařízení zabývajícími se touto problematikou. Mortalita </w:t>
      </w:r>
      <w:r w:rsidR="00E173E8" w:rsidRPr="00FA667B">
        <w:t>spojená s PDE</w:t>
      </w:r>
      <w:r w:rsidRPr="00FA667B">
        <w:t xml:space="preserve"> v high volume centrech klesla pod 5%, většinou se pohybuje mezi 2-3%. Morbidita </w:t>
      </w:r>
      <w:r w:rsidR="00E173E8" w:rsidRPr="00FA667B">
        <w:t>spojená s PDE je však nadále vysoká 30%-40</w:t>
      </w:r>
      <w:r w:rsidRPr="00FA667B">
        <w:t>%.</w:t>
      </w:r>
      <w:r w:rsidR="00CD16CB" w:rsidRPr="00FA667B">
        <w:t>[96]</w:t>
      </w:r>
      <w:r w:rsidRPr="00FA667B">
        <w:t xml:space="preserve"> </w:t>
      </w:r>
      <w:r w:rsidR="0049638F" w:rsidRPr="00FA667B">
        <w:t>Nejvhodnější pro standardizaci hodnocení komplikací se jeví Clav</w:t>
      </w:r>
      <w:r w:rsidR="00E173E8" w:rsidRPr="00FA667B">
        <w:t xml:space="preserve">ien-Dindo klasifikace </w:t>
      </w:r>
      <w:r w:rsidR="0049638F" w:rsidRPr="00FA667B">
        <w:t>(C-D)</w:t>
      </w:r>
      <w:r w:rsidR="007A78FC">
        <w:t>,tab.č.3</w:t>
      </w:r>
      <w:r w:rsidR="0049638F" w:rsidRPr="00FA667B">
        <w:t>. Komplikace můžeme dělit</w:t>
      </w:r>
      <w:r w:rsidR="007A78FC">
        <w:t xml:space="preserve"> na závažné: pankreatická píštěl, postpankreatická hemoragie, opožděná evakuace žaludku a méně závažné komplikace: </w:t>
      </w:r>
      <w:r w:rsidR="0049638F" w:rsidRPr="00FA667B">
        <w:t>zánětlivé, nitrobřišní kolekce, ranné</w:t>
      </w:r>
      <w:r w:rsidR="007A47E2" w:rsidRPr="00FA667B">
        <w:t xml:space="preserve"> infekce</w:t>
      </w:r>
      <w:r w:rsidR="0049638F" w:rsidRPr="00FA667B">
        <w:t>, pneumonie.</w:t>
      </w: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2100F7" w:rsidRDefault="002100F7" w:rsidP="00FA667B">
      <w:pPr>
        <w:spacing w:line="360" w:lineRule="auto"/>
        <w:jc w:val="both"/>
      </w:pPr>
    </w:p>
    <w:p w:rsidR="0011670A" w:rsidRPr="00876D52" w:rsidRDefault="003949D4" w:rsidP="00FA667B">
      <w:pPr>
        <w:spacing w:line="360" w:lineRule="auto"/>
        <w:jc w:val="both"/>
      </w:pPr>
      <w:r w:rsidRPr="00FA667B">
        <w:lastRenderedPageBreak/>
        <w:t>Tab.č.</w:t>
      </w:r>
      <w:r w:rsidR="005455CB" w:rsidRPr="00FA667B">
        <w:t>3.</w:t>
      </w:r>
      <w:r w:rsidRPr="00FA667B">
        <w:t xml:space="preserve"> </w:t>
      </w:r>
      <w:r w:rsidR="006002F1" w:rsidRPr="00FA667B">
        <w:t>Clavien - Dindo klasifikace</w:t>
      </w:r>
    </w:p>
    <w:tbl>
      <w:tblPr>
        <w:tblW w:w="8240" w:type="dxa"/>
        <w:jc w:val="center"/>
        <w:tblCellMar>
          <w:left w:w="70" w:type="dxa"/>
          <w:right w:w="70" w:type="dxa"/>
        </w:tblCellMar>
        <w:tblLook w:val="0000" w:firstRow="0" w:lastRow="0" w:firstColumn="0" w:lastColumn="0" w:noHBand="0" w:noVBand="0"/>
      </w:tblPr>
      <w:tblGrid>
        <w:gridCol w:w="1340"/>
        <w:gridCol w:w="6900"/>
      </w:tblGrid>
      <w:tr w:rsidR="006002F1" w:rsidRPr="00FA667B" w:rsidTr="00876D52">
        <w:trPr>
          <w:trHeight w:val="402"/>
          <w:jc w:val="center"/>
        </w:trPr>
        <w:tc>
          <w:tcPr>
            <w:tcW w:w="1340" w:type="dxa"/>
            <w:tcBorders>
              <w:top w:val="single" w:sz="8" w:space="0" w:color="auto"/>
              <w:left w:val="single" w:sz="8" w:space="0" w:color="auto"/>
              <w:bottom w:val="nil"/>
              <w:right w:val="nil"/>
            </w:tcBorders>
            <w:vAlign w:val="center"/>
          </w:tcPr>
          <w:p w:rsidR="006002F1" w:rsidRPr="00FA667B" w:rsidRDefault="006002F1" w:rsidP="00FA667B">
            <w:pPr>
              <w:spacing w:line="360" w:lineRule="auto"/>
              <w:jc w:val="both"/>
            </w:pPr>
            <w:r w:rsidRPr="00FA667B">
              <w:t>Stupeň</w:t>
            </w:r>
          </w:p>
        </w:tc>
        <w:tc>
          <w:tcPr>
            <w:tcW w:w="6900" w:type="dxa"/>
            <w:tcBorders>
              <w:top w:val="single" w:sz="8" w:space="0" w:color="auto"/>
              <w:left w:val="single" w:sz="8" w:space="0" w:color="auto"/>
              <w:bottom w:val="nil"/>
              <w:right w:val="single" w:sz="8" w:space="0" w:color="auto"/>
            </w:tcBorders>
            <w:vAlign w:val="center"/>
          </w:tcPr>
          <w:p w:rsidR="006002F1" w:rsidRPr="00FA667B" w:rsidRDefault="006002F1" w:rsidP="00FA667B">
            <w:pPr>
              <w:spacing w:line="360" w:lineRule="auto"/>
              <w:jc w:val="both"/>
            </w:pPr>
            <w:r w:rsidRPr="00FA667B">
              <w:t>Definice</w:t>
            </w:r>
          </w:p>
        </w:tc>
      </w:tr>
      <w:tr w:rsidR="006002F1" w:rsidRPr="00FA667B" w:rsidTr="00876D52">
        <w:trPr>
          <w:trHeight w:val="900"/>
          <w:jc w:val="center"/>
        </w:trPr>
        <w:tc>
          <w:tcPr>
            <w:tcW w:w="1340" w:type="dxa"/>
            <w:tcBorders>
              <w:top w:val="single" w:sz="8" w:space="0" w:color="auto"/>
              <w:left w:val="single" w:sz="8" w:space="0" w:color="auto"/>
              <w:bottom w:val="single" w:sz="4" w:space="0" w:color="auto"/>
              <w:right w:val="nil"/>
            </w:tcBorders>
            <w:vAlign w:val="center"/>
          </w:tcPr>
          <w:p w:rsidR="006002F1" w:rsidRPr="00FA667B" w:rsidRDefault="006002F1" w:rsidP="00FA667B">
            <w:pPr>
              <w:spacing w:line="360" w:lineRule="auto"/>
              <w:jc w:val="both"/>
            </w:pPr>
            <w:r w:rsidRPr="00FA667B">
              <w:t>I</w:t>
            </w:r>
          </w:p>
        </w:tc>
        <w:tc>
          <w:tcPr>
            <w:tcW w:w="6900" w:type="dxa"/>
            <w:tcBorders>
              <w:top w:val="single" w:sz="8" w:space="0" w:color="auto"/>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Normální pooperační průběh bez nutnosti farmakologické nebo chirurgické léčby, endoskopické nebo radiologické intervence</w:t>
            </w:r>
          </w:p>
        </w:tc>
      </w:tr>
      <w:tr w:rsidR="006002F1" w:rsidRPr="00FA667B" w:rsidTr="00876D52">
        <w:trPr>
          <w:trHeight w:val="900"/>
          <w:jc w:val="center"/>
        </w:trPr>
        <w:tc>
          <w:tcPr>
            <w:tcW w:w="134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 </w:t>
            </w:r>
          </w:p>
        </w:tc>
        <w:tc>
          <w:tcPr>
            <w:tcW w:w="6900" w:type="dxa"/>
            <w:tcBorders>
              <w:top w:val="nil"/>
              <w:left w:val="nil"/>
              <w:bottom w:val="single" w:sz="8" w:space="0" w:color="auto"/>
              <w:right w:val="single" w:sz="8" w:space="0" w:color="auto"/>
            </w:tcBorders>
            <w:vAlign w:val="center"/>
          </w:tcPr>
          <w:p w:rsidR="006002F1" w:rsidRPr="00FA667B" w:rsidRDefault="000B7F94" w:rsidP="00FA667B">
            <w:pPr>
              <w:spacing w:line="360" w:lineRule="auto"/>
              <w:jc w:val="both"/>
            </w:pPr>
            <w:r>
              <w:t>Možnost léčby</w:t>
            </w:r>
            <w:r w:rsidR="006002F1" w:rsidRPr="00FA667B">
              <w:t xml:space="preserve"> - antiemetika, analgetika, antipyretika, diuretika, infúzní terapie, fyzioterapie, léčba ranných infekcí</w:t>
            </w:r>
          </w:p>
        </w:tc>
      </w:tr>
      <w:tr w:rsidR="006002F1" w:rsidRPr="00FA667B" w:rsidTr="00876D52">
        <w:trPr>
          <w:trHeight w:val="765"/>
          <w:jc w:val="center"/>
        </w:trPr>
        <w:tc>
          <w:tcPr>
            <w:tcW w:w="134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pPr>
            <w:r w:rsidRPr="00FA667B">
              <w:t>II</w:t>
            </w:r>
          </w:p>
        </w:tc>
        <w:tc>
          <w:tcPr>
            <w:tcW w:w="69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Stav vyžadující farmakologickou léčbu</w:t>
            </w:r>
          </w:p>
        </w:tc>
      </w:tr>
      <w:tr w:rsidR="006002F1" w:rsidRPr="00FA667B" w:rsidTr="00876D52">
        <w:trPr>
          <w:trHeight w:val="900"/>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 </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Léčba s nutností podání transfúzních přípravků, plná parenterální výživa</w:t>
            </w:r>
          </w:p>
        </w:tc>
      </w:tr>
      <w:tr w:rsidR="006002F1" w:rsidRPr="00FA667B" w:rsidTr="00876D52">
        <w:trPr>
          <w:trHeight w:val="900"/>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IIIa</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Vyžadující chirurgickou, endoskopickou nebo radiologickou intervenci - bez nutnosti celkové anestezie</w:t>
            </w:r>
          </w:p>
        </w:tc>
      </w:tr>
      <w:tr w:rsidR="006002F1" w:rsidRPr="00FA667B" w:rsidTr="00876D52">
        <w:trPr>
          <w:trHeight w:val="900"/>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IIIb</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Vyžadující chirurgickou, endoskopickou nebo radiologickou intervenci - s nutností celkové anestezie</w:t>
            </w:r>
          </w:p>
        </w:tc>
      </w:tr>
      <w:tr w:rsidR="006002F1" w:rsidRPr="00FA667B" w:rsidTr="00876D52">
        <w:trPr>
          <w:trHeight w:val="900"/>
          <w:jc w:val="center"/>
        </w:trPr>
        <w:tc>
          <w:tcPr>
            <w:tcW w:w="134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pPr>
            <w:r w:rsidRPr="00FA667B">
              <w:t>IVa</w:t>
            </w:r>
          </w:p>
        </w:tc>
        <w:tc>
          <w:tcPr>
            <w:tcW w:w="69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Život ohrožující komplikace včetně kompliakcí CNS (krvácení, ischemie mozku) vyžadující péči na JIP nebo ARO</w:t>
            </w:r>
          </w:p>
        </w:tc>
      </w:tr>
      <w:tr w:rsidR="006002F1" w:rsidRPr="00FA667B" w:rsidTr="00876D52">
        <w:trPr>
          <w:trHeight w:val="713"/>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 </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Selhání jednoho orgánu, zahrnuje i hemodialýzu</w:t>
            </w:r>
          </w:p>
        </w:tc>
      </w:tr>
      <w:tr w:rsidR="006002F1" w:rsidRPr="00FA667B" w:rsidTr="00876D52">
        <w:trPr>
          <w:trHeight w:val="900"/>
          <w:jc w:val="center"/>
        </w:trPr>
        <w:tc>
          <w:tcPr>
            <w:tcW w:w="134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pPr>
            <w:r w:rsidRPr="00FA667B">
              <w:t>IVb</w:t>
            </w:r>
          </w:p>
        </w:tc>
        <w:tc>
          <w:tcPr>
            <w:tcW w:w="69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Život ohrožující komplikace včetně kompliakcí CNS (krvácení, ischemie mozku) vyžadující péči na JIP nebo ARO</w:t>
            </w:r>
          </w:p>
        </w:tc>
      </w:tr>
      <w:tr w:rsidR="006002F1" w:rsidRPr="00FA667B" w:rsidTr="00876D52">
        <w:trPr>
          <w:trHeight w:val="584"/>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 </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Multiorgánové selhání</w:t>
            </w:r>
          </w:p>
        </w:tc>
      </w:tr>
      <w:tr w:rsidR="006002F1" w:rsidRPr="00FA667B" w:rsidTr="00876D52">
        <w:trPr>
          <w:trHeight w:val="540"/>
          <w:jc w:val="center"/>
        </w:trPr>
        <w:tc>
          <w:tcPr>
            <w:tcW w:w="134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pPr>
            <w:r w:rsidRPr="00FA667B">
              <w:t>V</w:t>
            </w:r>
          </w:p>
        </w:tc>
        <w:tc>
          <w:tcPr>
            <w:tcW w:w="69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Úmrtí</w:t>
            </w:r>
          </w:p>
        </w:tc>
      </w:tr>
      <w:tr w:rsidR="006002F1" w:rsidRPr="00FA667B" w:rsidTr="00876D52">
        <w:trPr>
          <w:trHeight w:val="425"/>
          <w:jc w:val="center"/>
        </w:trPr>
        <w:tc>
          <w:tcPr>
            <w:tcW w:w="134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pPr>
            <w:r w:rsidRPr="00FA667B">
              <w:t xml:space="preserve">Přípona „d”                             (for disability) </w:t>
            </w:r>
          </w:p>
        </w:tc>
        <w:tc>
          <w:tcPr>
            <w:tcW w:w="69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V případě, že ke komplikacím došlo až po propuštění z nemocnice</w:t>
            </w:r>
          </w:p>
        </w:tc>
      </w:tr>
    </w:tbl>
    <w:p w:rsidR="006002F1" w:rsidRPr="00FA667B" w:rsidRDefault="006002F1" w:rsidP="00FA667B">
      <w:pPr>
        <w:spacing w:line="360" w:lineRule="auto"/>
        <w:jc w:val="both"/>
        <w:rPr>
          <w:b/>
          <w:i/>
          <w:u w:val="single"/>
        </w:rPr>
      </w:pPr>
    </w:p>
    <w:p w:rsidR="0053712D" w:rsidRPr="00FA667B" w:rsidRDefault="0053712D" w:rsidP="00FA667B">
      <w:pPr>
        <w:spacing w:line="360" w:lineRule="auto"/>
        <w:jc w:val="both"/>
        <w:rPr>
          <w:b/>
          <w:i/>
          <w:u w:val="single"/>
        </w:rPr>
      </w:pPr>
    </w:p>
    <w:p w:rsidR="007A78FC" w:rsidRDefault="008E5B85" w:rsidP="007A78FC">
      <w:pPr>
        <w:spacing w:line="360" w:lineRule="auto"/>
        <w:jc w:val="both"/>
        <w:rPr>
          <w:b/>
          <w:i/>
          <w:u w:val="single"/>
        </w:rPr>
      </w:pPr>
      <w:r>
        <w:rPr>
          <w:b/>
          <w:i/>
          <w:u w:val="single"/>
        </w:rPr>
        <w:t>4</w:t>
      </w:r>
      <w:r w:rsidR="007A78FC">
        <w:rPr>
          <w:b/>
          <w:i/>
          <w:u w:val="single"/>
        </w:rPr>
        <w:t>.1.Pankreatická píštěl</w:t>
      </w:r>
    </w:p>
    <w:p w:rsidR="007A78FC" w:rsidRDefault="007A78FC" w:rsidP="007A78FC">
      <w:pPr>
        <w:spacing w:line="360" w:lineRule="auto"/>
        <w:jc w:val="both"/>
        <w:rPr>
          <w:bCs/>
        </w:rPr>
      </w:pPr>
      <w:r w:rsidRPr="00FA667B">
        <w:rPr>
          <w:b/>
          <w:bCs/>
        </w:rPr>
        <w:t>Definice pankreatické píštěle:</w:t>
      </w:r>
      <w:r w:rsidR="006C3408">
        <w:rPr>
          <w:bCs/>
        </w:rPr>
        <w:t xml:space="preserve"> </w:t>
      </w:r>
      <w:r w:rsidRPr="00FA667B">
        <w:t xml:space="preserve">výdej jakéhokoliv měřitelného množství tekutiny peroperačně zavedenými drény po třetím pooperačním dnu, pokud je koncentrace amyláz v sekretu 3x vyšší než je normální sérová koncentrace </w:t>
      </w:r>
      <w:r w:rsidRPr="00FA667B">
        <w:rPr>
          <w:bCs/>
        </w:rPr>
        <w:t>koncentrace amyláz. [52]</w:t>
      </w:r>
    </w:p>
    <w:p w:rsidR="003D5CBA" w:rsidRPr="007A78FC" w:rsidRDefault="003D5CBA" w:rsidP="007A78FC">
      <w:pPr>
        <w:spacing w:line="360" w:lineRule="auto"/>
        <w:jc w:val="both"/>
        <w:rPr>
          <w:b/>
          <w:i/>
          <w:u w:val="single"/>
        </w:rPr>
      </w:pPr>
    </w:p>
    <w:p w:rsidR="000B582B" w:rsidRDefault="006002F1" w:rsidP="00FA667B">
      <w:pPr>
        <w:spacing w:line="360" w:lineRule="auto"/>
        <w:jc w:val="both"/>
      </w:pPr>
      <w:r w:rsidRPr="00FA667B">
        <w:lastRenderedPageBreak/>
        <w:t>Obecně se v minulosti za pankreatickou píštěl považovala sekrece z drénu s přítomností pankreatických enzymů. Do roku 2005 existovalo 26 různých definic pankreatické píštěle. To vedlo ke komplikovanému hodnocení v různých studiíc</w:t>
      </w:r>
      <w:r w:rsidR="00FD0AFF">
        <w:t xml:space="preserve">h. V roce 2004 Bassi navrhnul </w:t>
      </w:r>
      <w:r w:rsidRPr="00FA667B">
        <w:t>bodovací systém pankreatické píštěle vycházející ze shrnutí čtyř definic. Hlavním cílem bylo zaměření se na množství sekrece a délku trvající sekrece. Nakonec roku 2005 na konferenci International Study Group ISGPF byla stanovena definice pankreatické píštěle</w:t>
      </w:r>
      <w:r w:rsidR="007A78FC">
        <w:t>, tab.č.4</w:t>
      </w:r>
      <w:r w:rsidRPr="00FA667B">
        <w:t>. Je to celosvětově standardizovaná definice, kterou se řídí veškeré studie. Výskyt pankreatické píštěle po pankreatoduodenektomii se pohybuje mezi 11-36%. Nejzávažnější je POPF typu C. Ta se vyskytuje až v 15-35%, letalita je až 35%. [51]</w:t>
      </w:r>
    </w:p>
    <w:p w:rsidR="003D5CBA" w:rsidRPr="003D5CBA" w:rsidRDefault="003D5CBA" w:rsidP="00FA667B">
      <w:pPr>
        <w:spacing w:line="360" w:lineRule="auto"/>
        <w:jc w:val="both"/>
      </w:pPr>
    </w:p>
    <w:p w:rsidR="006002F1" w:rsidRPr="00FA667B" w:rsidRDefault="005455CB" w:rsidP="00FA667B">
      <w:pPr>
        <w:spacing w:line="360" w:lineRule="auto"/>
        <w:jc w:val="both"/>
        <w:rPr>
          <w:bCs/>
        </w:rPr>
      </w:pPr>
      <w:r w:rsidRPr="00FA667B">
        <w:rPr>
          <w:bCs/>
        </w:rPr>
        <w:t>Tab.č.4</w:t>
      </w:r>
      <w:r w:rsidR="006002F1" w:rsidRPr="00FA667B">
        <w:rPr>
          <w:bCs/>
        </w:rPr>
        <w:t>. Pankreatické píštěle dle definice ISGPF</w:t>
      </w:r>
    </w:p>
    <w:tbl>
      <w:tblPr>
        <w:tblW w:w="9760" w:type="dxa"/>
        <w:tblInd w:w="55" w:type="dxa"/>
        <w:tblCellMar>
          <w:left w:w="70" w:type="dxa"/>
          <w:right w:w="70" w:type="dxa"/>
        </w:tblCellMar>
        <w:tblLook w:val="0000" w:firstRow="0" w:lastRow="0" w:firstColumn="0" w:lastColumn="0" w:noHBand="0" w:noVBand="0"/>
      </w:tblPr>
      <w:tblGrid>
        <w:gridCol w:w="3220"/>
        <w:gridCol w:w="2180"/>
        <w:gridCol w:w="2180"/>
        <w:gridCol w:w="2180"/>
      </w:tblGrid>
      <w:tr w:rsidR="006002F1" w:rsidRPr="00FA667B" w:rsidTr="00DA49D4">
        <w:trPr>
          <w:trHeight w:val="402"/>
        </w:trPr>
        <w:tc>
          <w:tcPr>
            <w:tcW w:w="322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Stupeň</w:t>
            </w:r>
          </w:p>
        </w:tc>
        <w:tc>
          <w:tcPr>
            <w:tcW w:w="2180" w:type="dxa"/>
            <w:tcBorders>
              <w:top w:val="single" w:sz="8" w:space="0" w:color="auto"/>
              <w:left w:val="nil"/>
              <w:bottom w:val="single" w:sz="8" w:space="0" w:color="auto"/>
              <w:right w:val="nil"/>
            </w:tcBorders>
            <w:vAlign w:val="center"/>
          </w:tcPr>
          <w:p w:rsidR="006002F1" w:rsidRPr="00FA667B" w:rsidRDefault="006002F1" w:rsidP="00FA667B">
            <w:pPr>
              <w:spacing w:line="360" w:lineRule="auto"/>
              <w:jc w:val="both"/>
              <w:rPr>
                <w:b/>
                <w:bCs/>
              </w:rPr>
            </w:pPr>
            <w:r w:rsidRPr="00FA667B">
              <w:rPr>
                <w:b/>
                <w:bCs/>
              </w:rPr>
              <w:t>A</w:t>
            </w:r>
          </w:p>
        </w:tc>
        <w:tc>
          <w:tcPr>
            <w:tcW w:w="218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B</w:t>
            </w:r>
          </w:p>
        </w:tc>
        <w:tc>
          <w:tcPr>
            <w:tcW w:w="2180" w:type="dxa"/>
            <w:tcBorders>
              <w:top w:val="single" w:sz="8" w:space="0" w:color="auto"/>
              <w:left w:val="nil"/>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C</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klinická kondice</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dobrá</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často dobrá</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špatná</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Specifická léčba</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ano/ne</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UZ/CT</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negativní</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negativní/pozitivní</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pozitivní</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Persistentní únik (po 3 týdnech)</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obvykle ano</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Reoperace</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0B582B" w:rsidP="00FA667B">
            <w:pPr>
              <w:spacing w:line="360" w:lineRule="auto"/>
              <w:jc w:val="both"/>
            </w:pPr>
            <w:r w:rsidRPr="00FA667B">
              <w:t>ano/ne</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Smrt související s POPF</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0B582B" w:rsidP="00FA667B">
            <w:pPr>
              <w:spacing w:line="360" w:lineRule="auto"/>
              <w:jc w:val="both"/>
            </w:pPr>
            <w:r w:rsidRPr="00FA667B">
              <w:t>ano/ne</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možná</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Známky infekce</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r>
      <w:tr w:rsidR="006002F1" w:rsidRPr="00FA667B" w:rsidTr="00DA49D4">
        <w:trPr>
          <w:trHeight w:val="402"/>
        </w:trPr>
        <w:tc>
          <w:tcPr>
            <w:tcW w:w="322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Sepse</w:t>
            </w:r>
          </w:p>
        </w:tc>
        <w:tc>
          <w:tcPr>
            <w:tcW w:w="2180" w:type="dxa"/>
            <w:tcBorders>
              <w:top w:val="nil"/>
              <w:left w:val="nil"/>
              <w:bottom w:val="single" w:sz="4"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c>
          <w:tcPr>
            <w:tcW w:w="2180" w:type="dxa"/>
            <w:tcBorders>
              <w:top w:val="nil"/>
              <w:left w:val="nil"/>
              <w:bottom w:val="single" w:sz="4" w:space="0" w:color="auto"/>
              <w:right w:val="single" w:sz="8" w:space="0" w:color="auto"/>
            </w:tcBorders>
            <w:vAlign w:val="center"/>
          </w:tcPr>
          <w:p w:rsidR="006002F1" w:rsidRPr="00FA667B" w:rsidRDefault="006002F1" w:rsidP="00FA667B">
            <w:pPr>
              <w:spacing w:line="360" w:lineRule="auto"/>
              <w:jc w:val="both"/>
            </w:pPr>
            <w:r w:rsidRPr="00FA667B">
              <w:t>ano</w:t>
            </w:r>
          </w:p>
        </w:tc>
      </w:tr>
      <w:tr w:rsidR="006002F1" w:rsidRPr="00FA667B" w:rsidTr="00DA49D4">
        <w:trPr>
          <w:trHeight w:val="402"/>
        </w:trPr>
        <w:tc>
          <w:tcPr>
            <w:tcW w:w="322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Readmise</w:t>
            </w:r>
          </w:p>
        </w:tc>
        <w:tc>
          <w:tcPr>
            <w:tcW w:w="2180" w:type="dxa"/>
            <w:tcBorders>
              <w:top w:val="nil"/>
              <w:left w:val="nil"/>
              <w:bottom w:val="single" w:sz="8" w:space="0" w:color="auto"/>
              <w:right w:val="nil"/>
            </w:tcBorders>
            <w:vAlign w:val="center"/>
          </w:tcPr>
          <w:p w:rsidR="006002F1" w:rsidRPr="00FA667B" w:rsidRDefault="006002F1" w:rsidP="00FA667B">
            <w:pPr>
              <w:spacing w:line="360" w:lineRule="auto"/>
              <w:jc w:val="both"/>
            </w:pPr>
            <w:r w:rsidRPr="00FA667B">
              <w:t>ne</w:t>
            </w:r>
          </w:p>
        </w:tc>
        <w:tc>
          <w:tcPr>
            <w:tcW w:w="218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pPr>
            <w:r w:rsidRPr="00FA667B">
              <w:t>ano/ne</w:t>
            </w:r>
          </w:p>
        </w:tc>
        <w:tc>
          <w:tcPr>
            <w:tcW w:w="2180" w:type="dxa"/>
            <w:tcBorders>
              <w:top w:val="nil"/>
              <w:left w:val="nil"/>
              <w:bottom w:val="single" w:sz="8" w:space="0" w:color="auto"/>
              <w:right w:val="single" w:sz="8" w:space="0" w:color="auto"/>
            </w:tcBorders>
            <w:vAlign w:val="center"/>
          </w:tcPr>
          <w:p w:rsidR="006002F1" w:rsidRPr="00FA667B" w:rsidRDefault="006002F1" w:rsidP="00FA667B">
            <w:pPr>
              <w:spacing w:line="360" w:lineRule="auto"/>
              <w:jc w:val="both"/>
            </w:pPr>
            <w:r w:rsidRPr="00FA667B">
              <w:t>ano/ne</w:t>
            </w:r>
          </w:p>
        </w:tc>
      </w:tr>
    </w:tbl>
    <w:p w:rsidR="006002F1" w:rsidRPr="00FA667B" w:rsidRDefault="006002F1" w:rsidP="00FA667B">
      <w:pPr>
        <w:pStyle w:val="captions2"/>
        <w:spacing w:before="0" w:line="360" w:lineRule="auto"/>
        <w:ind w:left="0"/>
        <w:jc w:val="both"/>
        <w:rPr>
          <w:bCs/>
          <w:color w:val="auto"/>
          <w:lang w:eastAsia="en-US"/>
        </w:rPr>
      </w:pPr>
    </w:p>
    <w:p w:rsidR="00FD0AFF" w:rsidRDefault="006002F1" w:rsidP="00FD0AFF">
      <w:pPr>
        <w:pStyle w:val="captions2"/>
        <w:spacing w:before="0" w:line="360" w:lineRule="auto"/>
        <w:ind w:left="0"/>
        <w:jc w:val="both"/>
        <w:rPr>
          <w:color w:val="auto"/>
        </w:rPr>
      </w:pPr>
      <w:r w:rsidRPr="00FA667B">
        <w:rPr>
          <w:color w:val="auto"/>
        </w:rPr>
        <w:t>V roce 2016 byla provedena aktualizace definice POPF. Byla zachována tří stupňová klasifikace, avšak objevil se nový termín „biochemický leak”. Tedy přetrvávání zvýšených pankreatických enzymů v sekretu bez klinické odezvy. Elevace pankreati</w:t>
      </w:r>
      <w:r w:rsidR="000B7F94">
        <w:rPr>
          <w:color w:val="auto"/>
        </w:rPr>
        <w:t xml:space="preserve">ckých enzymů může být způsobeno </w:t>
      </w:r>
      <w:r w:rsidRPr="00FA667B">
        <w:rPr>
          <w:color w:val="auto"/>
        </w:rPr>
        <w:t>peroperační manipulací slinivky. Proto podle nových poznatků tento typ nenazýváme píštělí, ale</w:t>
      </w:r>
      <w:r w:rsidR="000B582B" w:rsidRPr="00FA667B">
        <w:rPr>
          <w:color w:val="auto"/>
        </w:rPr>
        <w:t xml:space="preserve"> jako</w:t>
      </w:r>
      <w:r w:rsidRPr="00FA667B">
        <w:rPr>
          <w:color w:val="auto"/>
        </w:rPr>
        <w:t xml:space="preserve"> „biochemický leak”</w:t>
      </w:r>
      <w:r w:rsidR="00FD0AFF">
        <w:rPr>
          <w:color w:val="auto"/>
        </w:rPr>
        <w:t xml:space="preserve">, který není řazen pod POPF A. </w:t>
      </w:r>
    </w:p>
    <w:p w:rsidR="006002F1" w:rsidRPr="00FA667B" w:rsidRDefault="006002F1" w:rsidP="00FD0AFF">
      <w:pPr>
        <w:pStyle w:val="captions2"/>
        <w:spacing w:before="0" w:line="360" w:lineRule="auto"/>
        <w:ind w:left="0"/>
        <w:jc w:val="both"/>
        <w:rPr>
          <w:color w:val="auto"/>
        </w:rPr>
      </w:pPr>
      <w:r w:rsidRPr="00FA667B">
        <w:rPr>
          <w:color w:val="auto"/>
        </w:rPr>
        <w:t xml:space="preserve">Druhou aktualizací je řešení pankreatické píštěle a jejich komplikací. Přehodnocují se možnosti </w:t>
      </w:r>
      <w:r w:rsidR="002F1757" w:rsidRPr="00FA667B">
        <w:rPr>
          <w:color w:val="auto"/>
        </w:rPr>
        <w:t>chirurgické interence,</w:t>
      </w:r>
      <w:r w:rsidRPr="00FA667B">
        <w:rPr>
          <w:color w:val="auto"/>
        </w:rPr>
        <w:t xml:space="preserve"> které souvisejí s vyšší morbiditou</w:t>
      </w:r>
      <w:r w:rsidR="002F1757" w:rsidRPr="00FA667B">
        <w:rPr>
          <w:color w:val="auto"/>
        </w:rPr>
        <w:t xml:space="preserve">. V dnešní době je snaha, pokud to klinický stav nemocného dovolí, řešit komplikace stupně B a C </w:t>
      </w:r>
      <w:r w:rsidRPr="00FA667B">
        <w:rPr>
          <w:color w:val="auto"/>
        </w:rPr>
        <w:t>endoskopickými a intervenčními metodami</w:t>
      </w:r>
      <w:r w:rsidR="002F1757" w:rsidRPr="00FA667B">
        <w:rPr>
          <w:color w:val="auto"/>
        </w:rPr>
        <w:t>, než chirurgickou revizí</w:t>
      </w:r>
      <w:r w:rsidRPr="00FA667B">
        <w:rPr>
          <w:color w:val="auto"/>
        </w:rPr>
        <w:t>. [53]</w:t>
      </w:r>
    </w:p>
    <w:p w:rsidR="002100F7" w:rsidRDefault="002100F7" w:rsidP="00FA667B">
      <w:pPr>
        <w:spacing w:line="360" w:lineRule="auto"/>
        <w:jc w:val="both"/>
        <w:rPr>
          <w:b/>
          <w:i/>
          <w:u w:val="single"/>
        </w:rPr>
      </w:pPr>
    </w:p>
    <w:p w:rsidR="006002F1" w:rsidRPr="00FA667B" w:rsidRDefault="008E5B85" w:rsidP="00FA667B">
      <w:pPr>
        <w:spacing w:line="360" w:lineRule="auto"/>
        <w:jc w:val="both"/>
        <w:rPr>
          <w:b/>
          <w:i/>
          <w:u w:val="single"/>
        </w:rPr>
      </w:pPr>
      <w:r>
        <w:rPr>
          <w:b/>
          <w:i/>
          <w:u w:val="single"/>
        </w:rPr>
        <w:lastRenderedPageBreak/>
        <w:t>4</w:t>
      </w:r>
      <w:r w:rsidR="006002F1" w:rsidRPr="00FA667B">
        <w:rPr>
          <w:b/>
          <w:i/>
          <w:u w:val="single"/>
        </w:rPr>
        <w:t>.1.</w:t>
      </w:r>
      <w:r w:rsidR="00FD0AFF">
        <w:rPr>
          <w:b/>
          <w:i/>
          <w:u w:val="single"/>
        </w:rPr>
        <w:t>1</w:t>
      </w:r>
      <w:r w:rsidR="006002F1" w:rsidRPr="00FA667B">
        <w:rPr>
          <w:b/>
          <w:i/>
          <w:u w:val="single"/>
        </w:rPr>
        <w:t xml:space="preserve">.Rizikové faktory podílející se na vzniku pankreatické píštěle </w:t>
      </w:r>
    </w:p>
    <w:p w:rsidR="006002F1" w:rsidRDefault="006002F1" w:rsidP="00FA667B">
      <w:pPr>
        <w:spacing w:line="360" w:lineRule="auto"/>
        <w:jc w:val="both"/>
      </w:pPr>
      <w:r w:rsidRPr="00FA667B">
        <w:t>Hlavní příč</w:t>
      </w:r>
      <w:r w:rsidR="00937316" w:rsidRPr="00FA667B">
        <w:t>inou vzniku POPF</w:t>
      </w:r>
      <w:r w:rsidRPr="00FA667B">
        <w:t xml:space="preserve"> je insuficience pankreatikoenteroanastomózy – </w:t>
      </w:r>
      <w:r w:rsidR="00812D13">
        <w:t>ať již pankreatikojejunoanastomózy</w:t>
      </w:r>
      <w:r w:rsidRPr="00FA667B">
        <w:t xml:space="preserve"> </w:t>
      </w:r>
      <w:r w:rsidR="00812D13">
        <w:t>nebo pankreatikogastroanastomózy</w:t>
      </w:r>
      <w:r w:rsidRPr="00FA667B">
        <w:t>.</w:t>
      </w:r>
      <w:r w:rsidRPr="00FA667B">
        <w:rPr>
          <w:bCs/>
        </w:rPr>
        <w:t xml:space="preserve"> </w:t>
      </w:r>
      <w:r w:rsidR="00937316" w:rsidRPr="00FA667B">
        <w:rPr>
          <w:bCs/>
        </w:rPr>
        <w:t>Faktory ovlivňující vznik POPF</w:t>
      </w:r>
      <w:r w:rsidR="00A61A2A" w:rsidRPr="00FA667B">
        <w:rPr>
          <w:bCs/>
        </w:rPr>
        <w:t xml:space="preserve"> jsou</w:t>
      </w:r>
      <w:r w:rsidR="00524846" w:rsidRPr="00FA667B">
        <w:rPr>
          <w:bCs/>
        </w:rPr>
        <w:t xml:space="preserve"> předoperační</w:t>
      </w:r>
      <w:r w:rsidR="00A61A2A" w:rsidRPr="00FA667B">
        <w:t>, mezi ně patří:</w:t>
      </w:r>
      <w:r w:rsidR="00937316" w:rsidRPr="00FA667B">
        <w:t xml:space="preserve"> jemný „</w:t>
      </w:r>
      <w:r w:rsidRPr="00FA667B">
        <w:t>soft</w:t>
      </w:r>
      <w:r w:rsidR="00937316" w:rsidRPr="00FA667B">
        <w:t xml:space="preserve">” pankreas, </w:t>
      </w:r>
      <w:r w:rsidRPr="00FA667B">
        <w:t xml:space="preserve">štíhlý pankreatický vývod </w:t>
      </w:r>
      <w:r w:rsidR="000B7F94">
        <w:t xml:space="preserve">    </w:t>
      </w:r>
      <w:r w:rsidRPr="00FA667B">
        <w:t>(&lt; 3mm), průběh pankreatického vývodu při zadní stěně pankreatu, vysoký body mass index, nedostatečné cévní záso</w:t>
      </w:r>
      <w:r w:rsidR="0053712D" w:rsidRPr="00FA667B">
        <w:t>bení pankreatu a tenké kličky</w:t>
      </w:r>
      <w:r w:rsidR="00524846" w:rsidRPr="00FA667B">
        <w:t>. Z technických aspektů pod</w:t>
      </w:r>
      <w:r w:rsidR="00A61A2A" w:rsidRPr="00FA667B">
        <w:t>ílejících se na vzniku POPF patří</w:t>
      </w:r>
      <w:r w:rsidR="00524846" w:rsidRPr="00FA667B">
        <w:t xml:space="preserve">: </w:t>
      </w:r>
      <w:r w:rsidR="00A61A2A" w:rsidRPr="00FA667B">
        <w:t>ne</w:t>
      </w:r>
      <w:r w:rsidRPr="00FA667B">
        <w:t xml:space="preserve">šetrná manipulace s ponechávanou částí pankreatu, </w:t>
      </w:r>
      <w:r w:rsidR="00812D13">
        <w:t xml:space="preserve">nedostatečná </w:t>
      </w:r>
      <w:r w:rsidR="00A61A2A" w:rsidRPr="00FA667B">
        <w:t>drenáž</w:t>
      </w:r>
      <w:r w:rsidRPr="00FA667B">
        <w:t xml:space="preserve"> pankreatické šťáv</w:t>
      </w:r>
      <w:r w:rsidR="00A61A2A" w:rsidRPr="00FA667B">
        <w:t xml:space="preserve">y (zúžení, </w:t>
      </w:r>
      <w:r w:rsidRPr="00FA667B">
        <w:t xml:space="preserve">prošití pankreatického vývodu), </w:t>
      </w:r>
      <w:r w:rsidR="00A61A2A" w:rsidRPr="00FA667B">
        <w:t>ne</w:t>
      </w:r>
      <w:r w:rsidRPr="00FA667B">
        <w:t>dostatečná mobilizace pahýlu pan</w:t>
      </w:r>
      <w:r w:rsidR="00812D13">
        <w:t xml:space="preserve">kreatu, </w:t>
      </w:r>
      <w:r w:rsidR="00A61A2A" w:rsidRPr="00FA667B">
        <w:t>zúžení odvodné kličky a její volná drenáž bez přetlaku, anastomóza pod tahem</w:t>
      </w:r>
      <w:r w:rsidRPr="00FA667B">
        <w:t xml:space="preserve">, </w:t>
      </w:r>
      <w:r w:rsidR="00A61A2A" w:rsidRPr="00FA667B">
        <w:t>ne</w:t>
      </w:r>
      <w:r w:rsidRPr="00FA667B">
        <w:t>umožnění „slepení PJA“ - seróza střeva na pouzdro pankreatu</w:t>
      </w:r>
      <w:r w:rsidR="00A61A2A" w:rsidRPr="00FA667B">
        <w:t xml:space="preserve"> – eliminace „mrtvého prostoru“, špatné prokrvení pahýlu.</w:t>
      </w:r>
      <w:r w:rsidRPr="00FA667B">
        <w:t>[55]</w:t>
      </w:r>
    </w:p>
    <w:p w:rsidR="00812D13" w:rsidRPr="00FA667B" w:rsidRDefault="00812D13" w:rsidP="00812D13">
      <w:pPr>
        <w:spacing w:line="360" w:lineRule="auto"/>
        <w:jc w:val="both"/>
      </w:pPr>
      <w:r w:rsidRPr="00FA667B">
        <w:t>Velmi diskutovaným tématem, na které byla provedena</w:t>
      </w:r>
      <w:r>
        <w:t xml:space="preserve"> řada studií je</w:t>
      </w:r>
      <w:r w:rsidR="003A022D">
        <w:t>,</w:t>
      </w:r>
      <w:r w:rsidRPr="00FA667B">
        <w:t xml:space="preserve"> zda-li již předoperačně se dá předpovědět riziko vzniku pankreatické píštěle. Snahou je předejít závažným komplikacím v důsledku POPF B a POPF C. Předpokládá se, že významným prediktivním faktorem by mohla být zbylá část parenchymu pankreatu přesahující objem ≥ 25,5cm3, která produkuje pankreatické enzymy. [54]</w:t>
      </w:r>
    </w:p>
    <w:p w:rsidR="006002F1" w:rsidRPr="00FA667B" w:rsidRDefault="003A022D" w:rsidP="00FA667B">
      <w:pPr>
        <w:spacing w:line="360" w:lineRule="auto"/>
        <w:jc w:val="both"/>
        <w:rPr>
          <w:bCs/>
          <w:color w:val="00B050"/>
        </w:rPr>
      </w:pPr>
      <w:r>
        <w:rPr>
          <w:bCs/>
        </w:rPr>
        <w:t xml:space="preserve">V chirurgii pankreatu se využívá Octreotid nebo-li Sandostatinu. Jeho hlavním úkolem je </w:t>
      </w:r>
      <w:r w:rsidR="006002F1" w:rsidRPr="00FA667B">
        <w:rPr>
          <w:bCs/>
        </w:rPr>
        <w:t>tlumení produkce pankreatických enzymů sl</w:t>
      </w:r>
      <w:r w:rsidR="0053712D" w:rsidRPr="00FA667B">
        <w:rPr>
          <w:bCs/>
        </w:rPr>
        <w:t xml:space="preserve">inivkou. Byl využíván již od devadesátých </w:t>
      </w:r>
      <w:r w:rsidR="006002F1" w:rsidRPr="00FA667B">
        <w:rPr>
          <w:bCs/>
        </w:rPr>
        <w:t xml:space="preserve">let jako prevence vzniku POPF. Není </w:t>
      </w:r>
      <w:r>
        <w:rPr>
          <w:bCs/>
        </w:rPr>
        <w:t xml:space="preserve">však </w:t>
      </w:r>
      <w:r w:rsidR="006002F1" w:rsidRPr="00FA667B">
        <w:rPr>
          <w:bCs/>
        </w:rPr>
        <w:t xml:space="preserve">jednoznačný názor na </w:t>
      </w:r>
      <w:r>
        <w:rPr>
          <w:bCs/>
        </w:rPr>
        <w:t xml:space="preserve">jeho podávání, </w:t>
      </w:r>
      <w:r w:rsidR="006002F1" w:rsidRPr="00FA667B">
        <w:rPr>
          <w:bCs/>
        </w:rPr>
        <w:t>jako prev</w:t>
      </w:r>
      <w:r w:rsidR="003B24CB" w:rsidRPr="00FA667B">
        <w:rPr>
          <w:bCs/>
        </w:rPr>
        <w:t>enci vzniku POPF</w:t>
      </w:r>
      <w:r w:rsidR="006002F1" w:rsidRPr="00FA667B">
        <w:rPr>
          <w:bCs/>
        </w:rPr>
        <w:t>.</w:t>
      </w:r>
      <w:r w:rsidR="003A6F82" w:rsidRPr="00FA667B">
        <w:rPr>
          <w:bCs/>
        </w:rPr>
        <w:t>[</w:t>
      </w:r>
      <w:r w:rsidR="00240578" w:rsidRPr="00FA667B">
        <w:rPr>
          <w:bCs/>
        </w:rPr>
        <w:t>97,98</w:t>
      </w:r>
      <w:r w:rsidR="003A6F82" w:rsidRPr="00FA667B">
        <w:rPr>
          <w:bCs/>
        </w:rPr>
        <w:t>]</w:t>
      </w:r>
      <w:r w:rsidR="006002F1" w:rsidRPr="00FA667B">
        <w:rPr>
          <w:bCs/>
        </w:rPr>
        <w:t xml:space="preserve"> I přes to řada pracovišť používá Sandostatin u nemocných s tzv. měkkým „soft” pankreatem.</w:t>
      </w:r>
    </w:p>
    <w:p w:rsidR="00812D13" w:rsidRDefault="00812D13" w:rsidP="00812D13">
      <w:pPr>
        <w:spacing w:line="360" w:lineRule="auto"/>
        <w:jc w:val="both"/>
        <w:rPr>
          <w:b/>
          <w:i/>
          <w:u w:val="single"/>
        </w:rPr>
      </w:pPr>
    </w:p>
    <w:p w:rsidR="00FD0AFF" w:rsidRPr="00812D13" w:rsidRDefault="00FD0AFF" w:rsidP="00812D13">
      <w:pPr>
        <w:spacing w:line="360" w:lineRule="auto"/>
        <w:jc w:val="both"/>
        <w:rPr>
          <w:color w:val="FF0000"/>
        </w:rPr>
      </w:pPr>
      <w:r>
        <w:rPr>
          <w:b/>
          <w:i/>
          <w:u w:val="single"/>
        </w:rPr>
        <w:t>4.1.2</w:t>
      </w:r>
      <w:r w:rsidRPr="00FA667B">
        <w:rPr>
          <w:b/>
          <w:i/>
          <w:u w:val="single"/>
        </w:rPr>
        <w:t>.Klinické příznaky a diagnostika</w:t>
      </w:r>
      <w:r w:rsidR="00DB2B3C">
        <w:rPr>
          <w:b/>
          <w:i/>
          <w:u w:val="single"/>
        </w:rPr>
        <w:t xml:space="preserve"> pankreatické píštěle</w:t>
      </w:r>
    </w:p>
    <w:p w:rsidR="003D5CBA" w:rsidRDefault="00FD0AFF" w:rsidP="003D5CBA">
      <w:pPr>
        <w:pStyle w:val="captions2"/>
        <w:spacing w:before="0" w:line="360" w:lineRule="auto"/>
        <w:ind w:left="0"/>
        <w:jc w:val="both"/>
        <w:rPr>
          <w:color w:val="auto"/>
        </w:rPr>
      </w:pPr>
      <w:r w:rsidRPr="00FA667B">
        <w:rPr>
          <w:color w:val="auto"/>
        </w:rPr>
        <w:t xml:space="preserve">V případě vzniku pankreatické píštěle se mohou objevovat bolesti břicha, poruchy pasáže, zvracení, febrilie, tachykardie, mohou být známky krvácení a sepse. V laboratoři se objevuje elevace zánětlivých parametrů, dále provádíme biochemický rozbor sekretu z drénu na přítomnost amyláz a lipáz. </w:t>
      </w:r>
      <w:r w:rsidR="00F53D9B">
        <w:rPr>
          <w:color w:val="auto"/>
        </w:rPr>
        <w:t xml:space="preserve">Standardně se odběr pankreatických enzymů odebírá 3., 5. a 7. pooperační den. </w:t>
      </w:r>
      <w:r w:rsidRPr="00FA667B">
        <w:rPr>
          <w:color w:val="auto"/>
        </w:rPr>
        <w:t>Dále následuje doplnění zobrazovací metody, např. CT k objektivizaci tekutinových kole</w:t>
      </w:r>
      <w:r w:rsidR="00F53D9B">
        <w:rPr>
          <w:color w:val="auto"/>
        </w:rPr>
        <w:t>kcí, intraabdominálního abscesu</w:t>
      </w:r>
      <w:r w:rsidRPr="00FA667B">
        <w:rPr>
          <w:color w:val="auto"/>
        </w:rPr>
        <w:t xml:space="preserve"> aj. </w:t>
      </w:r>
    </w:p>
    <w:p w:rsidR="006C3408" w:rsidRPr="003D5CBA" w:rsidRDefault="006C3408" w:rsidP="003D5CBA">
      <w:pPr>
        <w:pStyle w:val="captions2"/>
        <w:spacing w:before="0" w:line="360" w:lineRule="auto"/>
        <w:ind w:left="0"/>
        <w:jc w:val="both"/>
        <w:rPr>
          <w:color w:val="auto"/>
        </w:rPr>
      </w:pPr>
    </w:p>
    <w:p w:rsidR="000B7F94" w:rsidRDefault="000B7F94" w:rsidP="00FA667B">
      <w:pPr>
        <w:spacing w:line="360" w:lineRule="auto"/>
        <w:jc w:val="both"/>
        <w:rPr>
          <w:b/>
          <w:i/>
          <w:u w:val="single"/>
        </w:rPr>
      </w:pPr>
    </w:p>
    <w:p w:rsidR="000B7F94" w:rsidRDefault="000B7F94" w:rsidP="00FA667B">
      <w:pPr>
        <w:spacing w:line="360" w:lineRule="auto"/>
        <w:jc w:val="both"/>
        <w:rPr>
          <w:b/>
          <w:i/>
          <w:u w:val="single"/>
        </w:rPr>
      </w:pPr>
    </w:p>
    <w:p w:rsidR="000B7F94" w:rsidRDefault="000B7F94" w:rsidP="00FA667B">
      <w:pPr>
        <w:spacing w:line="360" w:lineRule="auto"/>
        <w:jc w:val="both"/>
        <w:rPr>
          <w:b/>
          <w:i/>
          <w:u w:val="single"/>
        </w:rPr>
      </w:pPr>
    </w:p>
    <w:p w:rsidR="006002F1" w:rsidRPr="00FA667B" w:rsidRDefault="008E5B85" w:rsidP="00FA667B">
      <w:pPr>
        <w:spacing w:line="360" w:lineRule="auto"/>
        <w:jc w:val="both"/>
        <w:rPr>
          <w:u w:val="single"/>
        </w:rPr>
      </w:pPr>
      <w:r>
        <w:rPr>
          <w:b/>
          <w:i/>
          <w:u w:val="single"/>
        </w:rPr>
        <w:lastRenderedPageBreak/>
        <w:t>4</w:t>
      </w:r>
      <w:r w:rsidR="006002F1" w:rsidRPr="00FA667B">
        <w:rPr>
          <w:b/>
          <w:i/>
          <w:u w:val="single"/>
        </w:rPr>
        <w:t>.1.3.</w:t>
      </w:r>
      <w:r w:rsidR="00240578" w:rsidRPr="00FA667B">
        <w:rPr>
          <w:b/>
          <w:i/>
          <w:u w:val="single"/>
        </w:rPr>
        <w:t xml:space="preserve">Komplikace </w:t>
      </w:r>
      <w:r w:rsidR="00F66BDE" w:rsidRPr="00FA667B">
        <w:rPr>
          <w:b/>
          <w:i/>
          <w:u w:val="single"/>
        </w:rPr>
        <w:t xml:space="preserve">způsobené </w:t>
      </w:r>
      <w:r>
        <w:rPr>
          <w:b/>
          <w:i/>
          <w:u w:val="single"/>
        </w:rPr>
        <w:t>pankreatickou píštělí</w:t>
      </w:r>
    </w:p>
    <w:p w:rsidR="006002F1" w:rsidRPr="00FA667B" w:rsidRDefault="006002F1" w:rsidP="00FA667B">
      <w:pPr>
        <w:spacing w:line="360" w:lineRule="auto"/>
        <w:jc w:val="both"/>
      </w:pPr>
      <w:r w:rsidRPr="00FA667B">
        <w:t>Výsk</w:t>
      </w:r>
      <w:r w:rsidR="000B7F94">
        <w:t>yt POPF B a POPF C je až ve 12% a</w:t>
      </w:r>
      <w:r w:rsidRPr="00FA667B">
        <w:t xml:space="preserve"> mají mortalitu až 39%. Hlavní příčinou mortality je multiorgánové selhání a život ohrožující krvácení. Je důležité se proto zaměřit na včasné řešení komplikací vznikajících na základě POPF.</w:t>
      </w:r>
      <w:r w:rsidR="00F66BDE" w:rsidRPr="00FA667B">
        <w:t>[51]</w:t>
      </w:r>
    </w:p>
    <w:p w:rsidR="006002F1" w:rsidRPr="00FA667B" w:rsidRDefault="00F53D9B" w:rsidP="00FA667B">
      <w:pPr>
        <w:spacing w:line="360" w:lineRule="auto"/>
        <w:jc w:val="both"/>
        <w:rPr>
          <w:kern w:val="36"/>
        </w:rPr>
      </w:pPr>
      <w:r>
        <w:rPr>
          <w:kern w:val="36"/>
        </w:rPr>
        <w:t>Předčasným odstraněním</w:t>
      </w:r>
      <w:r w:rsidR="0053712D" w:rsidRPr="00FA667B">
        <w:rPr>
          <w:kern w:val="36"/>
        </w:rPr>
        <w:t xml:space="preserve"> drén</w:t>
      </w:r>
      <w:r>
        <w:rPr>
          <w:kern w:val="36"/>
        </w:rPr>
        <w:t>ů</w:t>
      </w:r>
      <w:r w:rsidR="00792FB7" w:rsidRPr="00FA667B">
        <w:rPr>
          <w:kern w:val="36"/>
        </w:rPr>
        <w:t>,</w:t>
      </w:r>
      <w:r w:rsidR="0053712D" w:rsidRPr="00FA667B">
        <w:rPr>
          <w:kern w:val="36"/>
        </w:rPr>
        <w:t xml:space="preserve"> </w:t>
      </w:r>
      <w:r w:rsidR="00792FB7" w:rsidRPr="00FA667B">
        <w:rPr>
          <w:kern w:val="36"/>
        </w:rPr>
        <w:t>mohou</w:t>
      </w:r>
      <w:r w:rsidR="006002F1" w:rsidRPr="00FA667B">
        <w:rPr>
          <w:kern w:val="36"/>
        </w:rPr>
        <w:t xml:space="preserve"> </w:t>
      </w:r>
      <w:r w:rsidR="00792FB7" w:rsidRPr="00FA667B">
        <w:rPr>
          <w:kern w:val="36"/>
        </w:rPr>
        <w:t>vzniknout intraabdominální patologické kolekce až charakteru abscesu</w:t>
      </w:r>
      <w:r w:rsidR="006002F1" w:rsidRPr="00FA667B">
        <w:rPr>
          <w:kern w:val="36"/>
        </w:rPr>
        <w:t xml:space="preserve"> s následným rozvoj</w:t>
      </w:r>
      <w:r w:rsidR="007353A9" w:rsidRPr="00FA667B">
        <w:rPr>
          <w:kern w:val="36"/>
        </w:rPr>
        <w:t>em septického stavu nebo spontán</w:t>
      </w:r>
      <w:r w:rsidR="006002F1" w:rsidRPr="00FA667B">
        <w:rPr>
          <w:kern w:val="36"/>
        </w:rPr>
        <w:t>ní fistulací abscesu do rány. Vedou se diskuz</w:t>
      </w:r>
      <w:r w:rsidR="007353A9" w:rsidRPr="00FA667B">
        <w:rPr>
          <w:kern w:val="36"/>
        </w:rPr>
        <w:t>e</w:t>
      </w:r>
      <w:r w:rsidR="002F3079" w:rsidRPr="00FA667B">
        <w:rPr>
          <w:kern w:val="36"/>
        </w:rPr>
        <w:t>,</w:t>
      </w:r>
      <w:r w:rsidR="007353A9" w:rsidRPr="00FA667B">
        <w:rPr>
          <w:kern w:val="36"/>
        </w:rPr>
        <w:t xml:space="preserve"> </w:t>
      </w:r>
      <w:r w:rsidR="00792FB7" w:rsidRPr="00FA667B">
        <w:rPr>
          <w:kern w:val="36"/>
        </w:rPr>
        <w:t xml:space="preserve">zda-li peroperačně při </w:t>
      </w:r>
      <w:r w:rsidR="006002F1" w:rsidRPr="00FA667B">
        <w:rPr>
          <w:kern w:val="36"/>
        </w:rPr>
        <w:t>PDE</w:t>
      </w:r>
      <w:r w:rsidR="002F3079" w:rsidRPr="00FA667B">
        <w:rPr>
          <w:kern w:val="36"/>
        </w:rPr>
        <w:t xml:space="preserve"> zavádět drény,</w:t>
      </w:r>
      <w:r w:rsidR="006002F1" w:rsidRPr="00FA667B">
        <w:rPr>
          <w:kern w:val="36"/>
        </w:rPr>
        <w:t xml:space="preserve"> </w:t>
      </w:r>
      <w:r w:rsidR="000B7F94">
        <w:rPr>
          <w:kern w:val="36"/>
        </w:rPr>
        <w:t>jak dlouho je ponechat</w:t>
      </w:r>
      <w:r w:rsidR="00792FB7" w:rsidRPr="00FA667B">
        <w:rPr>
          <w:kern w:val="36"/>
        </w:rPr>
        <w:t xml:space="preserve"> a hlavně jaké drény používat</w:t>
      </w:r>
      <w:r w:rsidR="006002F1" w:rsidRPr="00FA667B">
        <w:rPr>
          <w:kern w:val="36"/>
        </w:rPr>
        <w:t>. Na tyto otázky d</w:t>
      </w:r>
      <w:r w:rsidR="007353A9" w:rsidRPr="00FA667B">
        <w:rPr>
          <w:kern w:val="36"/>
        </w:rPr>
        <w:t>alo odpověď systematické review</w:t>
      </w:r>
      <w:r w:rsidR="002F3079" w:rsidRPr="00FA667B">
        <w:rPr>
          <w:kern w:val="36"/>
        </w:rPr>
        <w:t xml:space="preserve">, </w:t>
      </w:r>
      <w:r w:rsidR="006002F1" w:rsidRPr="00FA667B">
        <w:rPr>
          <w:kern w:val="36"/>
        </w:rPr>
        <w:t>na kterém se podílel</w:t>
      </w:r>
      <w:r w:rsidR="007353A9" w:rsidRPr="00FA667B">
        <w:rPr>
          <w:kern w:val="36"/>
        </w:rPr>
        <w:t xml:space="preserve">a i naše klinika. </w:t>
      </w:r>
      <w:r w:rsidR="002F3079" w:rsidRPr="00FA667B">
        <w:rPr>
          <w:kern w:val="36"/>
        </w:rPr>
        <w:t>Na p</w:t>
      </w:r>
      <w:r w:rsidR="00792FB7" w:rsidRPr="00FA667B">
        <w:rPr>
          <w:kern w:val="36"/>
        </w:rPr>
        <w:t>rvní otázk</w:t>
      </w:r>
      <w:r w:rsidR="007353A9" w:rsidRPr="00FA667B">
        <w:rPr>
          <w:kern w:val="36"/>
        </w:rPr>
        <w:t>u</w:t>
      </w:r>
      <w:r w:rsidR="002F3079" w:rsidRPr="00FA667B">
        <w:rPr>
          <w:kern w:val="36"/>
        </w:rPr>
        <w:t>,</w:t>
      </w:r>
      <w:r w:rsidR="006002F1" w:rsidRPr="00FA667B">
        <w:rPr>
          <w:kern w:val="36"/>
        </w:rPr>
        <w:t xml:space="preserve"> zda-li zavádět drény při PDE jednoznačně vyply</w:t>
      </w:r>
      <w:r w:rsidR="002F3079" w:rsidRPr="00FA667B">
        <w:rPr>
          <w:kern w:val="36"/>
        </w:rPr>
        <w:t>nula kladná odpověď</w:t>
      </w:r>
      <w:r w:rsidR="006002F1" w:rsidRPr="00FA667B">
        <w:rPr>
          <w:kern w:val="36"/>
        </w:rPr>
        <w:t xml:space="preserve">. Je to důležité, abychom měli kontrolu </w:t>
      </w:r>
      <w:r w:rsidR="00792FB7" w:rsidRPr="00FA667B">
        <w:rPr>
          <w:kern w:val="36"/>
        </w:rPr>
        <w:t xml:space="preserve">nad množstvím odvedené tekutiny, </w:t>
      </w:r>
      <w:r w:rsidR="006002F1" w:rsidRPr="00FA667B">
        <w:rPr>
          <w:kern w:val="36"/>
        </w:rPr>
        <w:t xml:space="preserve">nad </w:t>
      </w:r>
      <w:r w:rsidR="00792FB7" w:rsidRPr="00FA667B">
        <w:rPr>
          <w:kern w:val="36"/>
        </w:rPr>
        <w:t>jejím charakterem</w:t>
      </w:r>
      <w:r w:rsidR="009C44FF" w:rsidRPr="00FA667B">
        <w:rPr>
          <w:kern w:val="36"/>
        </w:rPr>
        <w:t xml:space="preserve"> (mléčné nebo </w:t>
      </w:r>
      <w:r w:rsidR="00792FB7" w:rsidRPr="00FA667B">
        <w:rPr>
          <w:kern w:val="36"/>
        </w:rPr>
        <w:t>čiré z</w:t>
      </w:r>
      <w:r w:rsidR="009C44FF" w:rsidRPr="00FA667B">
        <w:rPr>
          <w:kern w:val="36"/>
        </w:rPr>
        <w:t>a</w:t>
      </w:r>
      <w:r w:rsidR="00792FB7" w:rsidRPr="00FA667B">
        <w:rPr>
          <w:kern w:val="36"/>
        </w:rPr>
        <w:t>barvení, hemoragická příměs)</w:t>
      </w:r>
      <w:r w:rsidR="006002F1" w:rsidRPr="00FA667B">
        <w:rPr>
          <w:kern w:val="36"/>
        </w:rPr>
        <w:t xml:space="preserve"> a také </w:t>
      </w:r>
      <w:r w:rsidR="00792FB7" w:rsidRPr="00FA667B">
        <w:rPr>
          <w:kern w:val="36"/>
        </w:rPr>
        <w:t xml:space="preserve">jsme </w:t>
      </w:r>
      <w:r>
        <w:rPr>
          <w:kern w:val="36"/>
        </w:rPr>
        <w:t>měli možnost odběru tekutiny</w:t>
      </w:r>
      <w:r w:rsidR="009C44FF" w:rsidRPr="00FA667B">
        <w:rPr>
          <w:kern w:val="36"/>
        </w:rPr>
        <w:t xml:space="preserve"> na biochemické vyšetření k</w:t>
      </w:r>
      <w:r w:rsidR="000B7F94">
        <w:rPr>
          <w:kern w:val="36"/>
        </w:rPr>
        <w:t>e zjištění přítomnosti</w:t>
      </w:r>
      <w:r w:rsidR="009C44FF" w:rsidRPr="00FA667B">
        <w:rPr>
          <w:kern w:val="36"/>
        </w:rPr>
        <w:t xml:space="preserve"> amyláz v </w:t>
      </w:r>
      <w:r w:rsidR="006002F1" w:rsidRPr="00FA667B">
        <w:rPr>
          <w:kern w:val="36"/>
        </w:rPr>
        <w:t>sekretu</w:t>
      </w:r>
      <w:r w:rsidR="009C44FF" w:rsidRPr="00FA667B">
        <w:rPr>
          <w:kern w:val="36"/>
        </w:rPr>
        <w:t>, eventuálně mít možnost odběru materiálu na mikrobiologické vyšetření</w:t>
      </w:r>
      <w:r w:rsidR="006002F1" w:rsidRPr="00FA667B">
        <w:rPr>
          <w:kern w:val="36"/>
        </w:rPr>
        <w:t xml:space="preserve">. Druhou otázkou bylo jak dlouho ponechávat drény. </w:t>
      </w:r>
      <w:r w:rsidR="007300B6" w:rsidRPr="00FA667B">
        <w:rPr>
          <w:kern w:val="36"/>
        </w:rPr>
        <w:t>Odpověď na tuto otázku se od</w:t>
      </w:r>
      <w:r>
        <w:rPr>
          <w:kern w:val="36"/>
        </w:rPr>
        <w:t>vozuje podle charakteru sekretu</w:t>
      </w:r>
      <w:r w:rsidR="000B7F94">
        <w:rPr>
          <w:kern w:val="36"/>
        </w:rPr>
        <w:t>, který je z drénů odváděn</w:t>
      </w:r>
      <w:r w:rsidR="007300B6" w:rsidRPr="00FA667B">
        <w:rPr>
          <w:kern w:val="36"/>
        </w:rPr>
        <w:t xml:space="preserve"> a také na laboratorních hodnotách amyláz v</w:t>
      </w:r>
      <w:r w:rsidR="007C017D" w:rsidRPr="00FA667B">
        <w:rPr>
          <w:kern w:val="36"/>
        </w:rPr>
        <w:t> </w:t>
      </w:r>
      <w:r w:rsidR="000B7F94">
        <w:rPr>
          <w:kern w:val="36"/>
        </w:rPr>
        <w:t>sekretu</w:t>
      </w:r>
      <w:r w:rsidR="007C017D" w:rsidRPr="00FA667B">
        <w:rPr>
          <w:kern w:val="36"/>
        </w:rPr>
        <w:t xml:space="preserve"> odváděné</w:t>
      </w:r>
      <w:r w:rsidR="00E3730B">
        <w:rPr>
          <w:kern w:val="36"/>
        </w:rPr>
        <w:t>m</w:t>
      </w:r>
      <w:r w:rsidR="007C017D" w:rsidRPr="00FA667B">
        <w:rPr>
          <w:kern w:val="36"/>
        </w:rPr>
        <w:t xml:space="preserve"> drény</w:t>
      </w:r>
      <w:r w:rsidR="007300B6" w:rsidRPr="00FA667B">
        <w:rPr>
          <w:kern w:val="36"/>
        </w:rPr>
        <w:t xml:space="preserve">. </w:t>
      </w:r>
      <w:r w:rsidR="007C017D" w:rsidRPr="00FA667B">
        <w:rPr>
          <w:kern w:val="36"/>
        </w:rPr>
        <w:t>D</w:t>
      </w:r>
      <w:r w:rsidR="007300B6" w:rsidRPr="00FA667B">
        <w:rPr>
          <w:kern w:val="36"/>
        </w:rPr>
        <w:t>oporučuje se drény ponechat, pokud sekrece nepoklesne pod 5m</w:t>
      </w:r>
      <w:r>
        <w:rPr>
          <w:kern w:val="36"/>
        </w:rPr>
        <w:t>l/dne. Hladinu amyláz v sekretu</w:t>
      </w:r>
      <w:r w:rsidR="007300B6" w:rsidRPr="00FA667B">
        <w:rPr>
          <w:kern w:val="36"/>
        </w:rPr>
        <w:t xml:space="preserve"> měříme třetí, pátý a sedmý pooperační den. Při déletrvajícím</w:t>
      </w:r>
      <w:r w:rsidR="006002F1" w:rsidRPr="00FA667B">
        <w:rPr>
          <w:kern w:val="36"/>
        </w:rPr>
        <w:t xml:space="preserve"> pone</w:t>
      </w:r>
      <w:r w:rsidR="007300B6" w:rsidRPr="00FA667B">
        <w:rPr>
          <w:kern w:val="36"/>
        </w:rPr>
        <w:t xml:space="preserve">chání drénů, v případě, že není podezření na patologii, </w:t>
      </w:r>
      <w:r w:rsidR="006002F1" w:rsidRPr="00FA667B">
        <w:rPr>
          <w:kern w:val="36"/>
        </w:rPr>
        <w:t>může dojít k rozvoji ascendentní infekce a vzniku intraabdominálních komplikací. Třetí otázka byla, jaké drény pou</w:t>
      </w:r>
      <w:r w:rsidR="00792FB7" w:rsidRPr="00FA667B">
        <w:rPr>
          <w:kern w:val="36"/>
        </w:rPr>
        <w:t>žít</w:t>
      </w:r>
      <w:r w:rsidR="009C44FF" w:rsidRPr="00FA667B">
        <w:rPr>
          <w:kern w:val="36"/>
        </w:rPr>
        <w:t xml:space="preserve"> (podtlaková drenáž versus ponechání drénů na spád)</w:t>
      </w:r>
      <w:r w:rsidR="00792FB7" w:rsidRPr="00FA667B">
        <w:rPr>
          <w:kern w:val="36"/>
        </w:rPr>
        <w:t>. Proběhla</w:t>
      </w:r>
      <w:r w:rsidR="006002F1" w:rsidRPr="00FA667B">
        <w:rPr>
          <w:kern w:val="36"/>
        </w:rPr>
        <w:t xml:space="preserve"> prospektivní randomizovaná studie DRAPA, která porovnáv</w:t>
      </w:r>
      <w:r w:rsidR="00792FB7" w:rsidRPr="00FA667B">
        <w:rPr>
          <w:kern w:val="36"/>
        </w:rPr>
        <w:t>ala</w:t>
      </w:r>
      <w:r w:rsidR="006002F1" w:rsidRPr="00FA667B">
        <w:rPr>
          <w:kern w:val="36"/>
        </w:rPr>
        <w:t xml:space="preserve"> uzavřenou podtlakovou drenáž </w:t>
      </w:r>
      <w:r w:rsidR="00E940D7" w:rsidRPr="00FA667B">
        <w:rPr>
          <w:kern w:val="36"/>
        </w:rPr>
        <w:t xml:space="preserve">a </w:t>
      </w:r>
      <w:r w:rsidR="006002F1" w:rsidRPr="00FA667B">
        <w:rPr>
          <w:kern w:val="36"/>
        </w:rPr>
        <w:t>uzavřenou</w:t>
      </w:r>
      <w:r w:rsidR="00E940D7" w:rsidRPr="00FA667B">
        <w:rPr>
          <w:kern w:val="36"/>
        </w:rPr>
        <w:t xml:space="preserve"> spádovou drenáž</w:t>
      </w:r>
      <w:r w:rsidR="006002F1" w:rsidRPr="00FA667B">
        <w:rPr>
          <w:kern w:val="36"/>
        </w:rPr>
        <w:t xml:space="preserve"> a riziko vzniku POPF</w:t>
      </w:r>
      <w:r w:rsidR="00E940D7" w:rsidRPr="00FA667B">
        <w:rPr>
          <w:kern w:val="36"/>
        </w:rPr>
        <w:t xml:space="preserve"> na typu peroperačně zavedené drenáže</w:t>
      </w:r>
      <w:r w:rsidR="006002F1" w:rsidRPr="00FA667B">
        <w:rPr>
          <w:kern w:val="36"/>
        </w:rPr>
        <w:t xml:space="preserve">. </w:t>
      </w:r>
      <w:r w:rsidR="00E3730B">
        <w:rPr>
          <w:kern w:val="36"/>
        </w:rPr>
        <w:t>Výstup z této studie je nejednoznačný, n</w:t>
      </w:r>
      <w:r w:rsidR="006002F1" w:rsidRPr="00FA667B">
        <w:rPr>
          <w:kern w:val="36"/>
        </w:rPr>
        <w:t>ěkteří dávají přednost podtlakové drenáži, jiní se obávají, že právě podtlak může být příčinou vzniku POPF</w:t>
      </w:r>
      <w:r w:rsidR="006002F1" w:rsidRPr="00FA667B">
        <w:rPr>
          <w:color w:val="00B050"/>
          <w:kern w:val="36"/>
        </w:rPr>
        <w:t xml:space="preserve">. </w:t>
      </w:r>
      <w:r w:rsidR="006002F1" w:rsidRPr="00FA667B">
        <w:rPr>
          <w:kern w:val="36"/>
        </w:rPr>
        <w:t>[57]</w:t>
      </w:r>
    </w:p>
    <w:p w:rsidR="00F53D9B" w:rsidRDefault="00F53D9B" w:rsidP="00F53D9B">
      <w:pPr>
        <w:spacing w:line="360" w:lineRule="auto"/>
        <w:jc w:val="both"/>
      </w:pPr>
      <w:r w:rsidRPr="00FA667B">
        <w:t>V případě vzniku POPF je důležitá její adekvátní drenáž</w:t>
      </w:r>
      <w:r w:rsidR="00E3730B">
        <w:t xml:space="preserve"> vzniklých kolekcí</w:t>
      </w:r>
      <w:r w:rsidRPr="00FA667B">
        <w:t>. Mnoho let se dávala přednost otevřené drenáži z relaparotomie. Výhodou bylo přehlédnutí dutiny břišní, její výplach, cílená drenáž a  v případě nutnosti mohla být dokončena totální pankreatektomie jako sanace zdroje sepse  Nevýhodou relaparotomií byla však vysoká mortalita. V době rozvoje miniivazivních postupů se ukazují nové studie se zaměřením na miniinvazivní drenáž patologických kolekcí před samotnou relaparotomií. [56]</w:t>
      </w:r>
    </w:p>
    <w:p w:rsidR="00F53D9B" w:rsidRDefault="00F53D9B" w:rsidP="00F53D9B">
      <w:pPr>
        <w:spacing w:line="360" w:lineRule="auto"/>
        <w:jc w:val="both"/>
        <w:rPr>
          <w:bCs/>
          <w:color w:val="FF0000"/>
        </w:rPr>
      </w:pPr>
    </w:p>
    <w:p w:rsidR="00F53D9B" w:rsidRPr="00F53D9B" w:rsidRDefault="00F53D9B" w:rsidP="00F53D9B">
      <w:pPr>
        <w:spacing w:line="360" w:lineRule="auto"/>
        <w:jc w:val="both"/>
        <w:rPr>
          <w:bCs/>
        </w:rPr>
      </w:pPr>
      <w:r w:rsidRPr="00F53D9B">
        <w:rPr>
          <w:bCs/>
        </w:rPr>
        <w:t xml:space="preserve">Závěrem lze říci, že neexistuje doporučení preferující použití některého z typů PJA. Pracoviště by si mělo zvolit typ PJA, které provádí standardně, na základě výsledků – frekvence leaku, morbidity a mortality. Důležité je respektovat technické zásady konstrukce PJA. Je vhodné </w:t>
      </w:r>
      <w:r w:rsidRPr="00F53D9B">
        <w:rPr>
          <w:bCs/>
        </w:rPr>
        <w:lastRenderedPageBreak/>
        <w:t>akceptovat ve vysoce selektovaných případech i vyhnutí se PJA, tedy provedení totální pankreatektomie z důvodu velmi vysokého rizika vzniku PJA insuficience.</w:t>
      </w:r>
    </w:p>
    <w:p w:rsidR="00F53D9B" w:rsidRDefault="00F53D9B" w:rsidP="00FA667B">
      <w:pPr>
        <w:spacing w:line="360" w:lineRule="auto"/>
        <w:jc w:val="both"/>
        <w:rPr>
          <w:b/>
          <w:i/>
          <w:u w:val="single"/>
        </w:rPr>
      </w:pPr>
    </w:p>
    <w:p w:rsidR="00524E66" w:rsidRPr="00FA667B" w:rsidRDefault="008E5B85" w:rsidP="00FA667B">
      <w:pPr>
        <w:spacing w:line="360" w:lineRule="auto"/>
        <w:jc w:val="both"/>
        <w:rPr>
          <w:b/>
          <w:i/>
          <w:u w:val="single"/>
        </w:rPr>
      </w:pPr>
      <w:r>
        <w:rPr>
          <w:b/>
          <w:i/>
          <w:u w:val="single"/>
        </w:rPr>
        <w:t>4</w:t>
      </w:r>
      <w:r w:rsidR="006002F1" w:rsidRPr="00FA667B">
        <w:rPr>
          <w:b/>
          <w:i/>
          <w:u w:val="single"/>
        </w:rPr>
        <w:t>.2.Postpankreatektomická hemoragie</w:t>
      </w:r>
    </w:p>
    <w:p w:rsidR="006002F1" w:rsidRPr="00FA667B" w:rsidRDefault="006002F1" w:rsidP="00FA667B">
      <w:pPr>
        <w:spacing w:line="360" w:lineRule="auto"/>
        <w:jc w:val="both"/>
        <w:rPr>
          <w:b/>
          <w:i/>
          <w:u w:val="single"/>
        </w:rPr>
      </w:pPr>
      <w:r w:rsidRPr="00FA667B">
        <w:t>V roce 2006 International Study Group of Pancreatic surgery (ISGPS) sjednotila a</w:t>
      </w:r>
      <w:r w:rsidRPr="00FA667B">
        <w:rPr>
          <w:noProof/>
        </w:rPr>
        <w:t xml:space="preserve"> vytvořila</w:t>
      </w:r>
      <w:r w:rsidRPr="00FA667B">
        <w:t xml:space="preserve"> definici pro krvácení po </w:t>
      </w:r>
      <w:r w:rsidR="00E3730B">
        <w:t>resekcích pankreatu</w:t>
      </w:r>
      <w:r w:rsidRPr="00FA667B">
        <w:t>, jelikož v literatuře se objevovala řada různých termínů a hodnocení, jako např. intraabdominální nebo gastrointestinální krvácení aj. Nyní se užívá termín postpankreatektomická hemoragie (</w:t>
      </w:r>
      <w:r w:rsidR="007C017D" w:rsidRPr="00FA667B">
        <w:t>PPH). Krvácení bylo rozděleno podle</w:t>
      </w:r>
      <w:r w:rsidRPr="00FA667B">
        <w:t xml:space="preserve"> tří kritérií:</w:t>
      </w:r>
    </w:p>
    <w:p w:rsidR="006002F1" w:rsidRPr="00FA667B" w:rsidRDefault="006002F1" w:rsidP="00FA667B">
      <w:pPr>
        <w:pStyle w:val="Normlnweb"/>
        <w:jc w:val="both"/>
        <w:rPr>
          <w:i/>
        </w:rPr>
      </w:pPr>
      <w:r w:rsidRPr="00FA667B">
        <w:rPr>
          <w:i/>
        </w:rPr>
        <w:t>1.</w:t>
      </w:r>
      <w:r w:rsidR="007353A9" w:rsidRPr="00FA667B">
        <w:rPr>
          <w:i/>
        </w:rPr>
        <w:t>Č</w:t>
      </w:r>
      <w:r w:rsidRPr="00FA667B">
        <w:rPr>
          <w:i/>
        </w:rPr>
        <w:t xml:space="preserve">as, kdy krvácení vzniklo </w:t>
      </w:r>
    </w:p>
    <w:p w:rsidR="006002F1" w:rsidRPr="00FA667B" w:rsidRDefault="006002F1" w:rsidP="00FA667B">
      <w:pPr>
        <w:pStyle w:val="Normlnweb"/>
        <w:spacing w:line="360" w:lineRule="auto"/>
        <w:jc w:val="both"/>
      </w:pPr>
      <w:r w:rsidRPr="00FA667B">
        <w:t>a) časné – související s operací, vzniká do 24 hodin od oper</w:t>
      </w:r>
      <w:r w:rsidR="007C017D" w:rsidRPr="00FA667B">
        <w:t xml:space="preserve">ace, nejčastěji </w:t>
      </w:r>
      <w:r w:rsidRPr="00FA667B">
        <w:t>na základě technické chyby, perioperační koagulopatie</w:t>
      </w:r>
    </w:p>
    <w:p w:rsidR="006002F1" w:rsidRPr="00FA667B" w:rsidRDefault="006002F1" w:rsidP="00FA667B">
      <w:pPr>
        <w:pStyle w:val="Normlnweb"/>
        <w:spacing w:line="360" w:lineRule="auto"/>
        <w:jc w:val="both"/>
      </w:pPr>
      <w:r w:rsidRPr="00FA667B">
        <w:t>b) opožděné – vzniká více jak po 24 hodin</w:t>
      </w:r>
      <w:r w:rsidR="007C017D" w:rsidRPr="00FA667B">
        <w:t xml:space="preserve"> od operace, nejčastěji s odstupem několika dní až týdnech</w:t>
      </w:r>
      <w:r w:rsidRPr="00FA667B">
        <w:t xml:space="preserve"> – </w:t>
      </w:r>
      <w:r w:rsidR="007C017D" w:rsidRPr="00FA667B">
        <w:t xml:space="preserve">může se jednat </w:t>
      </w:r>
      <w:r w:rsidR="00F53D9B">
        <w:t xml:space="preserve">eroze </w:t>
      </w:r>
      <w:r w:rsidRPr="00FA667B">
        <w:t>peripankreatických cév v důsledku POPF, arteriální pseudoaneuryzma, ulcerace v oblasti anastomózy.</w:t>
      </w:r>
    </w:p>
    <w:p w:rsidR="006002F1" w:rsidRPr="00FA667B" w:rsidRDefault="006002F1" w:rsidP="00FA667B">
      <w:pPr>
        <w:pStyle w:val="Normlnweb"/>
        <w:jc w:val="both"/>
        <w:rPr>
          <w:i/>
        </w:rPr>
      </w:pPr>
      <w:r w:rsidRPr="00FA667B">
        <w:rPr>
          <w:i/>
        </w:rPr>
        <w:t xml:space="preserve">2. </w:t>
      </w:r>
      <w:r w:rsidR="007353A9" w:rsidRPr="00FA667B">
        <w:rPr>
          <w:i/>
        </w:rPr>
        <w:t>L</w:t>
      </w:r>
      <w:r w:rsidRPr="00FA667B">
        <w:rPr>
          <w:i/>
        </w:rPr>
        <w:t>okalizaci a příčinu vzniku krvácení můžeme dělit na</w:t>
      </w:r>
      <w:r w:rsidR="007353A9" w:rsidRPr="00FA667B">
        <w:rPr>
          <w:i/>
        </w:rPr>
        <w:t>:</w:t>
      </w:r>
    </w:p>
    <w:p w:rsidR="006002F1" w:rsidRPr="00FA667B" w:rsidRDefault="006002F1" w:rsidP="00FA667B">
      <w:pPr>
        <w:pStyle w:val="Normlnweb"/>
        <w:jc w:val="both"/>
      </w:pPr>
      <w:r w:rsidRPr="00FA667B">
        <w:t>a) arteriální a žilní krvácení</w:t>
      </w:r>
    </w:p>
    <w:p w:rsidR="006002F1" w:rsidRPr="00FA667B" w:rsidRDefault="006002F1" w:rsidP="00FA667B">
      <w:pPr>
        <w:pStyle w:val="Normlnweb"/>
        <w:spacing w:line="360" w:lineRule="auto"/>
        <w:jc w:val="both"/>
      </w:pPr>
      <w:r w:rsidRPr="00FA667B">
        <w:t xml:space="preserve">b) dělení podle místa krvácení </w:t>
      </w:r>
    </w:p>
    <w:p w:rsidR="006002F1" w:rsidRPr="00FA667B" w:rsidRDefault="003F7677" w:rsidP="00FA667B">
      <w:pPr>
        <w:pStyle w:val="Normlnweb"/>
        <w:numPr>
          <w:ilvl w:val="0"/>
          <w:numId w:val="4"/>
        </w:numPr>
        <w:spacing w:line="360" w:lineRule="auto"/>
        <w:jc w:val="both"/>
      </w:pPr>
      <w:r w:rsidRPr="00FA667B">
        <w:t xml:space="preserve">intraluminální – z anastomózy </w:t>
      </w:r>
      <w:r w:rsidR="006002F1" w:rsidRPr="00FA667B">
        <w:t xml:space="preserve">gastroenterické, duodenoenterické, jejunojejunální, pankreatoenterické, žaludeční/duodenální </w:t>
      </w:r>
      <w:r w:rsidR="007353A9" w:rsidRPr="00FA667B">
        <w:t>vřed nebo difúzní gastritida, p</w:t>
      </w:r>
      <w:r w:rsidRPr="00FA667B">
        <w:t>o</w:t>
      </w:r>
      <w:r w:rsidR="006002F1" w:rsidRPr="00FA667B">
        <w:t xml:space="preserve"> zavedeném biliárním stentu</w:t>
      </w:r>
    </w:p>
    <w:p w:rsidR="003F7677" w:rsidRPr="00FA667B" w:rsidRDefault="006002F1" w:rsidP="00FA667B">
      <w:pPr>
        <w:pStyle w:val="Normlnweb"/>
        <w:numPr>
          <w:ilvl w:val="0"/>
          <w:numId w:val="3"/>
        </w:numPr>
        <w:spacing w:line="360" w:lineRule="auto"/>
        <w:jc w:val="both"/>
      </w:pPr>
      <w:r w:rsidRPr="00FA667B">
        <w:t>extraluminální – ruptura pseudoaneurysmatu, intraabdominální krvácení, krvácení z pahýlu pankreatu</w:t>
      </w:r>
      <w:r w:rsidR="007E304F">
        <w:t xml:space="preserve"> po levostranné resekci pankreatu</w:t>
      </w:r>
      <w:r w:rsidRPr="00FA667B">
        <w:t>, krvácení z </w:t>
      </w:r>
      <w:r w:rsidR="003F7677" w:rsidRPr="00FA667B">
        <w:t>resekční plochy</w:t>
      </w:r>
      <w:r w:rsidRPr="00FA667B">
        <w:t xml:space="preserve"> </w:t>
      </w:r>
    </w:p>
    <w:p w:rsidR="00524E66" w:rsidRPr="00FA667B" w:rsidRDefault="003F7677" w:rsidP="00FA667B">
      <w:pPr>
        <w:pStyle w:val="Normlnweb"/>
        <w:jc w:val="both"/>
        <w:rPr>
          <w:i/>
        </w:rPr>
      </w:pPr>
      <w:r w:rsidRPr="00FA667B">
        <w:rPr>
          <w:i/>
        </w:rPr>
        <w:t>3. závažnost krvácení</w:t>
      </w:r>
    </w:p>
    <w:p w:rsidR="003F7677" w:rsidRPr="00FA667B" w:rsidRDefault="003F7677" w:rsidP="00FA667B">
      <w:pPr>
        <w:pStyle w:val="Normlnweb"/>
        <w:jc w:val="both"/>
      </w:pPr>
      <w:r w:rsidRPr="00FA667B">
        <w:t>Můžeme dělit podle množství krevních ztrát a nutnosti podávat krevní deriváty na dvě kategorie:</w:t>
      </w:r>
    </w:p>
    <w:p w:rsidR="003F7677" w:rsidRPr="00FA667B" w:rsidRDefault="003F7677" w:rsidP="00FA667B">
      <w:pPr>
        <w:numPr>
          <w:ilvl w:val="0"/>
          <w:numId w:val="2"/>
        </w:numPr>
        <w:spacing w:line="360" w:lineRule="auto"/>
        <w:jc w:val="both"/>
      </w:pPr>
      <w:r w:rsidRPr="00FA667B">
        <w:t>mírné krvácení – bez klinické odezvy a bez nutnosti podání krevních převodů</w:t>
      </w:r>
    </w:p>
    <w:p w:rsidR="003F7677" w:rsidRPr="00FA667B" w:rsidRDefault="003F7677" w:rsidP="00FA667B">
      <w:pPr>
        <w:numPr>
          <w:ilvl w:val="0"/>
          <w:numId w:val="2"/>
        </w:numPr>
        <w:spacing w:line="360" w:lineRule="auto"/>
        <w:jc w:val="both"/>
      </w:pPr>
      <w:r w:rsidRPr="00FA667B">
        <w:lastRenderedPageBreak/>
        <w:t>závažné krvácení</w:t>
      </w:r>
      <w:r w:rsidR="006C3408">
        <w:t xml:space="preserve"> </w:t>
      </w:r>
      <w:r w:rsidRPr="00FA667B">
        <w:t>– krevní ztráty vyžadují podání 4-6 krevních převodů/24hod. a je-li pokles hemoglobinu ≥ 4</w:t>
      </w:r>
      <w:r w:rsidR="00E3730B">
        <w:t>0g/</w:t>
      </w:r>
      <w:r w:rsidRPr="00FA667B">
        <w:t>l nebo je nutnost relaparotomie nebo intervenční techniky [58]</w:t>
      </w:r>
    </w:p>
    <w:p w:rsidR="003D5CBA" w:rsidRPr="00EE1266" w:rsidRDefault="006002F1" w:rsidP="003D5CBA">
      <w:pPr>
        <w:pStyle w:val="Normlnweb"/>
        <w:spacing w:line="360" w:lineRule="auto"/>
        <w:jc w:val="both"/>
      </w:pPr>
      <w:r w:rsidRPr="00EE1266">
        <w:t>Uvažovalo se o řadě faktorů, kter</w:t>
      </w:r>
      <w:r w:rsidR="003F7677" w:rsidRPr="00EE1266">
        <w:t>é by mohli mít vliv na krvácení, například o</w:t>
      </w:r>
      <w:r w:rsidRPr="00EE1266">
        <w:t xml:space="preserve"> vlivu zvýšené sérové hladiny bilirubinu, </w:t>
      </w:r>
      <w:r w:rsidR="003F7677" w:rsidRPr="00EE1266">
        <w:t xml:space="preserve">o </w:t>
      </w:r>
      <w:r w:rsidRPr="00EE1266">
        <w:t>rozsahu lymfadenektomie nebo charakteru tkáně pankreatu (měkký vs.</w:t>
      </w:r>
      <w:r w:rsidR="003F7677" w:rsidRPr="00EE1266">
        <w:t xml:space="preserve"> tuhý pankreas). Tyto hypotézy se však také nepotvrdily. H</w:t>
      </w:r>
      <w:r w:rsidRPr="00EE1266">
        <w:t>lavní příčinou k</w:t>
      </w:r>
      <w:r w:rsidR="00E3730B">
        <w:t>rvácení bývá</w:t>
      </w:r>
      <w:r w:rsidR="003F7677" w:rsidRPr="00EE1266">
        <w:t xml:space="preserve"> POPF</w:t>
      </w:r>
      <w:r w:rsidRPr="00EE1266">
        <w:t>, která svými agresivními pankreatickými enzymy poškozuje okolní cévy. Nejčastěji se jedná o krvácení z pahýlu arteria gastroduodenalis, arteria lienalis, větve arteria mesenterica superior nebo arteria pancreaticoduodenalis inferior, z pahýlu vena lienalis nebo krvácení z intrapankreatických arter</w:t>
      </w:r>
      <w:r w:rsidR="003F7677" w:rsidRPr="00EE1266">
        <w:t xml:space="preserve">ií v resekční ploše pankreatu. </w:t>
      </w:r>
    </w:p>
    <w:p w:rsidR="006002F1" w:rsidRPr="003D5CBA" w:rsidRDefault="008E5B85" w:rsidP="003D5CBA">
      <w:pPr>
        <w:pStyle w:val="Normlnweb"/>
        <w:spacing w:line="360" w:lineRule="auto"/>
        <w:jc w:val="both"/>
      </w:pPr>
      <w:r>
        <w:rPr>
          <w:b/>
          <w:i/>
          <w:u w:val="single"/>
        </w:rPr>
        <w:t>4</w:t>
      </w:r>
      <w:r w:rsidR="006002F1" w:rsidRPr="00FA667B">
        <w:rPr>
          <w:b/>
          <w:i/>
          <w:u w:val="single"/>
        </w:rPr>
        <w:t xml:space="preserve">.2.1.Klasifikace </w:t>
      </w:r>
      <w:r w:rsidR="00DB2B3C">
        <w:rPr>
          <w:b/>
          <w:i/>
          <w:u w:val="single"/>
        </w:rPr>
        <w:t>p</w:t>
      </w:r>
      <w:r w:rsidR="00DB2B3C" w:rsidRPr="00FA667B">
        <w:rPr>
          <w:b/>
          <w:i/>
          <w:u w:val="single"/>
        </w:rPr>
        <w:t>ostpankreatektomic</w:t>
      </w:r>
      <w:r w:rsidR="00DB2B3C">
        <w:rPr>
          <w:b/>
          <w:i/>
          <w:u w:val="single"/>
        </w:rPr>
        <w:t>ké hemoragie</w:t>
      </w:r>
    </w:p>
    <w:p w:rsidR="006002F1" w:rsidRPr="00FA667B" w:rsidRDefault="006002F1" w:rsidP="00FA667B">
      <w:pPr>
        <w:spacing w:line="360" w:lineRule="auto"/>
        <w:jc w:val="both"/>
      </w:pPr>
      <w:r w:rsidRPr="00FA667B">
        <w:t xml:space="preserve">Podle ISGPS byly určeny tři stupně </w:t>
      </w:r>
      <w:r w:rsidR="003F7677" w:rsidRPr="00FA667B">
        <w:t>závažnosti PPH:</w:t>
      </w:r>
    </w:p>
    <w:p w:rsidR="006002F1" w:rsidRPr="00FA667B" w:rsidRDefault="006002F1" w:rsidP="00FA667B">
      <w:pPr>
        <w:spacing w:line="360" w:lineRule="auto"/>
        <w:jc w:val="both"/>
      </w:pPr>
      <w:r w:rsidRPr="00FA667B">
        <w:t>Stupeň A – nemá pro nemocného klinický význam a neovlivní jeho pooperační průběh</w:t>
      </w:r>
    </w:p>
    <w:p w:rsidR="00FD3C1A" w:rsidRPr="00FA667B" w:rsidRDefault="006002F1" w:rsidP="00FA667B">
      <w:pPr>
        <w:spacing w:line="360" w:lineRule="auto"/>
        <w:jc w:val="both"/>
      </w:pPr>
      <w:r w:rsidRPr="00FA667B">
        <w:t>Stupeň B – vyžaduje další diagnostické a terapeutické zá</w:t>
      </w:r>
      <w:r w:rsidR="00FD3C1A" w:rsidRPr="00FA667B">
        <w:t>sahy – podání krevních převodů,</w:t>
      </w:r>
    </w:p>
    <w:p w:rsidR="006002F1" w:rsidRPr="00FA667B" w:rsidRDefault="00FD3C1A" w:rsidP="00FA667B">
      <w:pPr>
        <w:spacing w:line="360" w:lineRule="auto"/>
        <w:jc w:val="both"/>
      </w:pPr>
      <w:r w:rsidRPr="00FA667B">
        <w:t xml:space="preserve">                    </w:t>
      </w:r>
      <w:r w:rsidR="006002F1" w:rsidRPr="00FA667B">
        <w:t>intervence radiologická nebo chirurgická</w:t>
      </w:r>
    </w:p>
    <w:p w:rsidR="006002F1" w:rsidRPr="00FA667B" w:rsidRDefault="006002F1" w:rsidP="00FA667B">
      <w:pPr>
        <w:spacing w:line="360" w:lineRule="auto"/>
        <w:jc w:val="both"/>
      </w:pPr>
      <w:r w:rsidRPr="00FA667B">
        <w:t>Stupeň C – život ohrožující krvácení vyžadující urgentní operační řešení</w:t>
      </w:r>
    </w:p>
    <w:p w:rsidR="00524E66" w:rsidRPr="00FA667B" w:rsidRDefault="00524E66" w:rsidP="00FA667B">
      <w:pPr>
        <w:spacing w:line="360" w:lineRule="auto"/>
        <w:jc w:val="both"/>
      </w:pPr>
    </w:p>
    <w:p w:rsidR="006002F1" w:rsidRPr="00FA667B" w:rsidRDefault="00FD3C1A" w:rsidP="00FA667B">
      <w:pPr>
        <w:spacing w:line="360" w:lineRule="auto"/>
        <w:jc w:val="both"/>
      </w:pPr>
      <w:r w:rsidRPr="00FA667B">
        <w:t>Tab.</w:t>
      </w:r>
      <w:r w:rsidR="005455CB" w:rsidRPr="00FA667B">
        <w:t>č.5</w:t>
      </w:r>
      <w:r w:rsidR="006002F1" w:rsidRPr="00FA667B">
        <w:t>. Klasifikace PPH podle ISGPS (klinický stav, diagnostické a terapeutické důsledky)</w:t>
      </w:r>
    </w:p>
    <w:tbl>
      <w:tblPr>
        <w:tblpPr w:leftFromText="141" w:rightFromText="141" w:vertAnchor="text" w:horzAnchor="margin" w:tblpXSpec="center" w:tblpY="182"/>
        <w:tblW w:w="11270" w:type="dxa"/>
        <w:tblCellMar>
          <w:left w:w="70" w:type="dxa"/>
          <w:right w:w="70" w:type="dxa"/>
        </w:tblCellMar>
        <w:tblLook w:val="0000" w:firstRow="0" w:lastRow="0" w:firstColumn="0" w:lastColumn="0" w:noHBand="0" w:noVBand="0"/>
      </w:tblPr>
      <w:tblGrid>
        <w:gridCol w:w="861"/>
        <w:gridCol w:w="2631"/>
        <w:gridCol w:w="2621"/>
        <w:gridCol w:w="2621"/>
        <w:gridCol w:w="2536"/>
      </w:tblGrid>
      <w:tr w:rsidR="006002F1" w:rsidRPr="00FA667B" w:rsidTr="00E6773A">
        <w:trPr>
          <w:trHeight w:val="834"/>
        </w:trPr>
        <w:tc>
          <w:tcPr>
            <w:tcW w:w="568"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Stupeň</w:t>
            </w:r>
          </w:p>
        </w:tc>
        <w:tc>
          <w:tcPr>
            <w:tcW w:w="2700" w:type="dxa"/>
            <w:tcBorders>
              <w:top w:val="single" w:sz="8" w:space="0" w:color="auto"/>
              <w:left w:val="nil"/>
              <w:bottom w:val="single" w:sz="8" w:space="0" w:color="auto"/>
              <w:right w:val="nil"/>
            </w:tcBorders>
            <w:vAlign w:val="center"/>
          </w:tcPr>
          <w:p w:rsidR="006002F1" w:rsidRPr="00FA667B" w:rsidRDefault="006002F1" w:rsidP="008E5B85">
            <w:pPr>
              <w:spacing w:line="360" w:lineRule="auto"/>
              <w:jc w:val="center"/>
              <w:rPr>
                <w:b/>
                <w:bCs/>
              </w:rPr>
            </w:pPr>
            <w:r w:rsidRPr="00FA667B">
              <w:rPr>
                <w:b/>
                <w:bCs/>
              </w:rPr>
              <w:t>čas nástupu, místo, závažnost, klinický dopad krvácení</w:t>
            </w:r>
          </w:p>
        </w:tc>
        <w:tc>
          <w:tcPr>
            <w:tcW w:w="270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rPr>
                <w:b/>
                <w:bCs/>
              </w:rPr>
            </w:pPr>
            <w:r w:rsidRPr="00FA667B">
              <w:rPr>
                <w:b/>
                <w:bCs/>
              </w:rPr>
              <w:t>klinický stav</w:t>
            </w:r>
          </w:p>
        </w:tc>
        <w:tc>
          <w:tcPr>
            <w:tcW w:w="2700" w:type="dxa"/>
            <w:tcBorders>
              <w:top w:val="single" w:sz="8" w:space="0" w:color="auto"/>
              <w:left w:val="nil"/>
              <w:bottom w:val="single" w:sz="8" w:space="0" w:color="auto"/>
              <w:right w:val="nil"/>
            </w:tcBorders>
            <w:vAlign w:val="center"/>
          </w:tcPr>
          <w:p w:rsidR="006002F1" w:rsidRPr="00FA667B" w:rsidRDefault="006002F1" w:rsidP="008E5B85">
            <w:pPr>
              <w:spacing w:line="360" w:lineRule="auto"/>
              <w:jc w:val="center"/>
              <w:rPr>
                <w:b/>
                <w:bCs/>
              </w:rPr>
            </w:pPr>
            <w:r w:rsidRPr="00FA667B">
              <w:rPr>
                <w:b/>
                <w:bCs/>
              </w:rPr>
              <w:t>diagnostické důsledky</w:t>
            </w:r>
          </w:p>
        </w:tc>
        <w:tc>
          <w:tcPr>
            <w:tcW w:w="2602"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rPr>
                <w:b/>
                <w:bCs/>
              </w:rPr>
            </w:pPr>
            <w:r w:rsidRPr="00FA667B">
              <w:rPr>
                <w:b/>
                <w:bCs/>
              </w:rPr>
              <w:t>terapeutické důsledky</w:t>
            </w:r>
          </w:p>
        </w:tc>
      </w:tr>
      <w:tr w:rsidR="006002F1" w:rsidRPr="00FA667B" w:rsidTr="00E6773A">
        <w:trPr>
          <w:trHeight w:val="805"/>
        </w:trPr>
        <w:tc>
          <w:tcPr>
            <w:tcW w:w="568"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A</w:t>
            </w:r>
          </w:p>
        </w:tc>
        <w:tc>
          <w:tcPr>
            <w:tcW w:w="2700" w:type="dxa"/>
            <w:tcBorders>
              <w:top w:val="nil"/>
              <w:left w:val="nil"/>
              <w:bottom w:val="single" w:sz="4" w:space="0" w:color="auto"/>
              <w:right w:val="nil"/>
            </w:tcBorders>
            <w:vAlign w:val="center"/>
          </w:tcPr>
          <w:p w:rsidR="006002F1" w:rsidRPr="00FA667B" w:rsidRDefault="006002F1" w:rsidP="008E5B85">
            <w:pPr>
              <w:spacing w:line="360" w:lineRule="auto"/>
            </w:pPr>
            <w:r w:rsidRPr="00FA667B">
              <w:t>časné, intra- nebo extraluminální, mírné</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dobrý</w:t>
            </w:r>
          </w:p>
        </w:tc>
        <w:tc>
          <w:tcPr>
            <w:tcW w:w="2700" w:type="dxa"/>
            <w:tcBorders>
              <w:top w:val="nil"/>
              <w:left w:val="nil"/>
              <w:bottom w:val="single" w:sz="4" w:space="0" w:color="auto"/>
              <w:right w:val="nil"/>
            </w:tcBorders>
            <w:vAlign w:val="center"/>
          </w:tcPr>
          <w:p w:rsidR="006002F1" w:rsidRPr="00FA667B" w:rsidRDefault="006002F1" w:rsidP="008E5B85">
            <w:pPr>
              <w:spacing w:line="360" w:lineRule="auto"/>
            </w:pPr>
            <w:r w:rsidRPr="00FA667B">
              <w:t>observace, KO, UZ, dle nutnosti CT</w:t>
            </w:r>
          </w:p>
        </w:tc>
        <w:tc>
          <w:tcPr>
            <w:tcW w:w="2602"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ne</w:t>
            </w:r>
          </w:p>
        </w:tc>
      </w:tr>
      <w:tr w:rsidR="006002F1" w:rsidRPr="00FA667B" w:rsidTr="00E6773A">
        <w:trPr>
          <w:trHeight w:val="841"/>
        </w:trPr>
        <w:tc>
          <w:tcPr>
            <w:tcW w:w="568"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B</w:t>
            </w:r>
          </w:p>
        </w:tc>
        <w:tc>
          <w:tcPr>
            <w:tcW w:w="2700" w:type="dxa"/>
            <w:tcBorders>
              <w:top w:val="nil"/>
              <w:left w:val="nil"/>
              <w:bottom w:val="single" w:sz="4" w:space="0" w:color="auto"/>
              <w:right w:val="nil"/>
            </w:tcBorders>
            <w:vAlign w:val="center"/>
          </w:tcPr>
          <w:p w:rsidR="006002F1" w:rsidRPr="00FA667B" w:rsidRDefault="006002F1" w:rsidP="008E5B85">
            <w:pPr>
              <w:spacing w:line="360" w:lineRule="auto"/>
            </w:pPr>
            <w:r w:rsidRPr="00FA667B">
              <w:t>časné, intra- nebo extraluminální, těžké</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často dobrý/stře</w:t>
            </w:r>
            <w:r w:rsidR="003F7677" w:rsidRPr="00FA667B">
              <w:t>d</w:t>
            </w:r>
            <w:r w:rsidRPr="00FA667B">
              <w:t xml:space="preserve">ní </w:t>
            </w:r>
          </w:p>
        </w:tc>
        <w:tc>
          <w:tcPr>
            <w:tcW w:w="2700" w:type="dxa"/>
            <w:tcBorders>
              <w:top w:val="nil"/>
              <w:left w:val="nil"/>
              <w:bottom w:val="single" w:sz="4" w:space="0" w:color="auto"/>
              <w:right w:val="nil"/>
            </w:tcBorders>
            <w:vAlign w:val="center"/>
          </w:tcPr>
          <w:p w:rsidR="006002F1" w:rsidRPr="00FA667B" w:rsidRDefault="006002F1" w:rsidP="008E5B85">
            <w:pPr>
              <w:spacing w:line="360" w:lineRule="auto"/>
            </w:pPr>
            <w:r w:rsidRPr="00FA667B">
              <w:t>observace, KO, UZ, dle nutnosti CT</w:t>
            </w:r>
          </w:p>
        </w:tc>
        <w:tc>
          <w:tcPr>
            <w:tcW w:w="2602"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transfúze, infúze/krevní deriváty, JIP, embolizace</w:t>
            </w:r>
          </w:p>
        </w:tc>
      </w:tr>
      <w:tr w:rsidR="006002F1" w:rsidRPr="00FA667B" w:rsidTr="00E6773A">
        <w:trPr>
          <w:trHeight w:val="1002"/>
        </w:trPr>
        <w:tc>
          <w:tcPr>
            <w:tcW w:w="568"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 </w:t>
            </w:r>
          </w:p>
        </w:tc>
        <w:tc>
          <w:tcPr>
            <w:tcW w:w="2700" w:type="dxa"/>
            <w:tcBorders>
              <w:top w:val="nil"/>
              <w:left w:val="nil"/>
              <w:bottom w:val="single" w:sz="4" w:space="0" w:color="auto"/>
              <w:right w:val="nil"/>
            </w:tcBorders>
            <w:vAlign w:val="center"/>
          </w:tcPr>
          <w:p w:rsidR="006002F1" w:rsidRPr="00FA667B" w:rsidRDefault="006002F1" w:rsidP="008E5B85">
            <w:pPr>
              <w:spacing w:line="360" w:lineRule="auto"/>
            </w:pPr>
            <w:r w:rsidRPr="00FA667B">
              <w:t>pozdní, intra- nebo extraluminální, mírné</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život ohrožující</w:t>
            </w:r>
          </w:p>
        </w:tc>
        <w:tc>
          <w:tcPr>
            <w:tcW w:w="2700" w:type="dxa"/>
            <w:tcBorders>
              <w:top w:val="nil"/>
              <w:left w:val="nil"/>
              <w:bottom w:val="single" w:sz="4" w:space="0" w:color="auto"/>
              <w:right w:val="nil"/>
            </w:tcBorders>
            <w:vAlign w:val="center"/>
          </w:tcPr>
          <w:p w:rsidR="006002F1" w:rsidRPr="00FA667B" w:rsidRDefault="003F7677" w:rsidP="008E5B85">
            <w:pPr>
              <w:spacing w:line="360" w:lineRule="auto"/>
            </w:pPr>
            <w:r w:rsidRPr="00FA667B">
              <w:t>angiografie, endoskopie</w:t>
            </w:r>
          </w:p>
        </w:tc>
        <w:tc>
          <w:tcPr>
            <w:tcW w:w="2602"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terapeutická endoskopie, embolizace, relaparotomie, JIP/ARO</w:t>
            </w:r>
          </w:p>
        </w:tc>
      </w:tr>
      <w:tr w:rsidR="006002F1" w:rsidRPr="00FA667B" w:rsidTr="00E6773A">
        <w:trPr>
          <w:trHeight w:val="1002"/>
        </w:trPr>
        <w:tc>
          <w:tcPr>
            <w:tcW w:w="568"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lastRenderedPageBreak/>
              <w:t>C</w:t>
            </w:r>
          </w:p>
        </w:tc>
        <w:tc>
          <w:tcPr>
            <w:tcW w:w="2700" w:type="dxa"/>
            <w:tcBorders>
              <w:top w:val="nil"/>
              <w:left w:val="nil"/>
              <w:bottom w:val="single" w:sz="8" w:space="0" w:color="auto"/>
              <w:right w:val="nil"/>
            </w:tcBorders>
            <w:vAlign w:val="center"/>
          </w:tcPr>
          <w:p w:rsidR="006002F1" w:rsidRPr="00FA667B" w:rsidRDefault="006002F1" w:rsidP="008E5B85">
            <w:pPr>
              <w:spacing w:line="360" w:lineRule="auto"/>
            </w:pPr>
            <w:r w:rsidRPr="00FA667B">
              <w:t>pozdní, intra- nebo extraluminální, těžké</w:t>
            </w:r>
          </w:p>
        </w:tc>
        <w:tc>
          <w:tcPr>
            <w:tcW w:w="2700"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pPr>
            <w:r w:rsidRPr="00FA667B">
              <w:t>vážné změny/život ohrožující</w:t>
            </w:r>
          </w:p>
        </w:tc>
        <w:tc>
          <w:tcPr>
            <w:tcW w:w="2700" w:type="dxa"/>
            <w:tcBorders>
              <w:top w:val="nil"/>
              <w:left w:val="nil"/>
              <w:bottom w:val="single" w:sz="8" w:space="0" w:color="auto"/>
              <w:right w:val="nil"/>
            </w:tcBorders>
            <w:vAlign w:val="center"/>
          </w:tcPr>
          <w:p w:rsidR="006002F1" w:rsidRPr="00FA667B" w:rsidRDefault="003F7677" w:rsidP="008E5B85">
            <w:pPr>
              <w:spacing w:line="360" w:lineRule="auto"/>
            </w:pPr>
            <w:r w:rsidRPr="00FA667B">
              <w:t>angiografie, endoskopie</w:t>
            </w:r>
          </w:p>
        </w:tc>
        <w:tc>
          <w:tcPr>
            <w:tcW w:w="2602"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pPr>
            <w:r w:rsidRPr="00FA667B">
              <w:t>lokalizace krvácení, angiografie a embolizace, endoskopie nebo relaparotomie, ARO</w:t>
            </w:r>
          </w:p>
        </w:tc>
      </w:tr>
    </w:tbl>
    <w:p w:rsidR="00524E66" w:rsidRPr="00FA667B" w:rsidRDefault="00524E66" w:rsidP="00FA667B">
      <w:pPr>
        <w:pStyle w:val="Normlnweb"/>
        <w:spacing w:line="360" w:lineRule="auto"/>
        <w:jc w:val="both"/>
        <w:rPr>
          <w:b/>
          <w:i/>
          <w:u w:val="single"/>
        </w:rPr>
      </w:pPr>
    </w:p>
    <w:p w:rsidR="006002F1" w:rsidRPr="00FA667B" w:rsidRDefault="008E5B85" w:rsidP="00FA667B">
      <w:pPr>
        <w:pStyle w:val="Normlnweb"/>
        <w:spacing w:line="360" w:lineRule="auto"/>
        <w:jc w:val="both"/>
        <w:rPr>
          <w:b/>
          <w:i/>
          <w:u w:val="single"/>
        </w:rPr>
      </w:pPr>
      <w:r>
        <w:rPr>
          <w:b/>
          <w:i/>
          <w:u w:val="single"/>
        </w:rPr>
        <w:t>4.2</w:t>
      </w:r>
      <w:r w:rsidR="00DB2B3C">
        <w:rPr>
          <w:b/>
          <w:i/>
          <w:u w:val="single"/>
        </w:rPr>
        <w:t xml:space="preserve">.2.Klinické příznaky, </w:t>
      </w:r>
      <w:r w:rsidR="006002F1" w:rsidRPr="00FA667B">
        <w:rPr>
          <w:b/>
          <w:i/>
          <w:u w:val="single"/>
        </w:rPr>
        <w:t>di</w:t>
      </w:r>
      <w:r w:rsidR="00DB2B3C">
        <w:rPr>
          <w:b/>
          <w:i/>
          <w:u w:val="single"/>
        </w:rPr>
        <w:t>agnostika a léčba p</w:t>
      </w:r>
      <w:r w:rsidR="00DB2B3C" w:rsidRPr="00FA667B">
        <w:rPr>
          <w:b/>
          <w:i/>
          <w:u w:val="single"/>
        </w:rPr>
        <w:t>ostpankreatektomic</w:t>
      </w:r>
      <w:r w:rsidR="00DB2B3C">
        <w:rPr>
          <w:b/>
          <w:i/>
          <w:u w:val="single"/>
        </w:rPr>
        <w:t>ké hemoragie</w:t>
      </w:r>
    </w:p>
    <w:p w:rsidR="00F65D6B" w:rsidRDefault="003F7677" w:rsidP="00FA667B">
      <w:pPr>
        <w:pStyle w:val="Normlnweb"/>
        <w:spacing w:before="0" w:beforeAutospacing="0" w:after="0" w:afterAutospacing="0" w:line="360" w:lineRule="auto"/>
        <w:jc w:val="both"/>
      </w:pPr>
      <w:r w:rsidRPr="00FA667B">
        <w:t>Rozdíl mezi časnou</w:t>
      </w:r>
      <w:r w:rsidR="006002F1" w:rsidRPr="00FA667B">
        <w:t xml:space="preserve"> a o</w:t>
      </w:r>
      <w:r w:rsidR="003D5CBA">
        <w:t>požděnou postpankreatektomickou hemoragií</w:t>
      </w:r>
      <w:r w:rsidRPr="00FA667B">
        <w:t xml:space="preserve"> </w:t>
      </w:r>
      <w:r w:rsidR="00970287" w:rsidRPr="00FA667B">
        <w:t xml:space="preserve">je zásadní, protože má </w:t>
      </w:r>
      <w:r w:rsidR="006002F1" w:rsidRPr="00FA667B">
        <w:t xml:space="preserve">různou frekvenci, etiologii a léčebnou strategii. </w:t>
      </w:r>
    </w:p>
    <w:p w:rsidR="00F65D6B" w:rsidRDefault="006C3408" w:rsidP="00FA667B">
      <w:pPr>
        <w:pStyle w:val="Normlnweb"/>
        <w:spacing w:before="0" w:beforeAutospacing="0" w:after="0" w:afterAutospacing="0" w:line="360" w:lineRule="auto"/>
        <w:jc w:val="both"/>
      </w:pPr>
      <w:r>
        <w:t xml:space="preserve">Časné krvácení se projeví do 24 hodin od operace, nejčastěji je spojené se samotným operačním výkonem nebo koagulopatií. Projeví se vysokou hemoragickou sekrecí z drénů, laboratorně poklesem hemoglobinu a oběhovou nestabilitou pacienta. V diagnostice na prvním místě provádíme CT nebo CT angiografii. V případě, že je pacient oběhově nestailní se musíme přiklonit k operační revizi. </w:t>
      </w:r>
    </w:p>
    <w:p w:rsidR="00F65D6B" w:rsidRDefault="00F65D6B" w:rsidP="00FA667B">
      <w:pPr>
        <w:pStyle w:val="Normlnweb"/>
        <w:spacing w:before="0" w:beforeAutospacing="0" w:after="0" w:afterAutospacing="0" w:line="360" w:lineRule="auto"/>
        <w:jc w:val="both"/>
      </w:pPr>
      <w:r>
        <w:t>Opožděné</w:t>
      </w:r>
      <w:r w:rsidR="006C3408">
        <w:t xml:space="preserve"> krvácení se projeví po více než 24 hodinách, v některých případech i s odstupen několika dní nebo dokonce i týdnů. Často bývá spojeno s pankreatickou píštělí, kdy dojde k erozi cév, </w:t>
      </w:r>
      <w:r>
        <w:t xml:space="preserve">k vytvoření </w:t>
      </w:r>
      <w:r w:rsidR="006C3408">
        <w:t>pseudoaneurysma</w:t>
      </w:r>
      <w:r>
        <w:t>tu</w:t>
      </w:r>
      <w:r w:rsidR="006C3408">
        <w:t xml:space="preserve"> cév nebo vřed</w:t>
      </w:r>
      <w:r>
        <w:t>u</w:t>
      </w:r>
      <w:r w:rsidR="006C3408">
        <w:t xml:space="preserve"> v</w:t>
      </w:r>
      <w:r>
        <w:t> </w:t>
      </w:r>
      <w:r w:rsidR="006C3408">
        <w:t>oblasti</w:t>
      </w:r>
      <w:r>
        <w:t xml:space="preserve"> duodenojejunoanastomózy. Klinicky se projeví bolestmi břicha, melenou, v případě, že jsou ještě ponechány drény, může se objevit hemoragická sekrece z drénů. V laboratoři je pokles v krevním obraze. V diagnostice dáváme přednost provedení CTangiografii, v případě, že se nepotvrdí aktivní krvácení, tak ve druhé době doplníme gastroskopické vyšetření k vyloučení ulcerace DJA. </w:t>
      </w:r>
    </w:p>
    <w:p w:rsidR="00F65D6B" w:rsidRDefault="006002F1" w:rsidP="00FA667B">
      <w:pPr>
        <w:pStyle w:val="Normlnweb"/>
        <w:spacing w:before="0" w:beforeAutospacing="0" w:after="0" w:afterAutospacing="0" w:line="360" w:lineRule="auto"/>
        <w:jc w:val="both"/>
      </w:pPr>
      <w:r w:rsidRPr="00FA667B">
        <w:t xml:space="preserve">Na intraluminální krvácení musíme pomýšlet v případě, že se objeví krev v nasogastrické sondě, pokud se u nemocného objeví hemateméza </w:t>
      </w:r>
      <w:r w:rsidR="00FD3C1A" w:rsidRPr="00FA667B">
        <w:t xml:space="preserve">nebo </w:t>
      </w:r>
      <w:r w:rsidRPr="00FA667B">
        <w:t xml:space="preserve">meléna. Příčinou bývají často vředy v oblasti anastomózy způsobené stresem nebo POPF. </w:t>
      </w:r>
      <w:r w:rsidR="00F65D6B">
        <w:t>V diagnostice a v tomto případě i léčbě je na prvním místě provedení gastroskopie, kdy můžeme současně ošetřit místo krvácení.</w:t>
      </w:r>
    </w:p>
    <w:p w:rsidR="0020555E" w:rsidRDefault="006002F1" w:rsidP="0020555E">
      <w:pPr>
        <w:pStyle w:val="Normlnweb"/>
        <w:spacing w:before="0" w:beforeAutospacing="0" w:after="0" w:afterAutospacing="0" w:line="360" w:lineRule="auto"/>
        <w:jc w:val="both"/>
      </w:pPr>
      <w:r w:rsidRPr="00FA667B">
        <w:t>Extraluminální krvácení se projevuje krvavou sekrecí z drénu nebo tekutinovou kolekcí v dutině břišní, to bývá způsobeno POPF.</w:t>
      </w:r>
      <w:r w:rsidR="00970287" w:rsidRPr="00FA667B">
        <w:t xml:space="preserve"> </w:t>
      </w:r>
      <w:r w:rsidRPr="00FA667B">
        <w:t>Tzv. „sentinelo</w:t>
      </w:r>
      <w:r w:rsidR="0030647A" w:rsidRPr="00FA667B">
        <w:t>vé krvácení”, které se projeví</w:t>
      </w:r>
      <w:r w:rsidRPr="00FA667B">
        <w:t xml:space="preserve"> výše popsanými příznaky a dále hypotenzí, tachykardií, poklesem hemoglobinu a alterací celkového stavu. V 50-80% případů nás upozorní na </w:t>
      </w:r>
      <w:r w:rsidR="0030647A" w:rsidRPr="00FA667B">
        <w:t>riziko m</w:t>
      </w:r>
      <w:r w:rsidRPr="00FA667B">
        <w:t>asivní</w:t>
      </w:r>
      <w:r w:rsidR="0030647A" w:rsidRPr="00FA667B">
        <w:t>ho</w:t>
      </w:r>
      <w:r w:rsidRPr="00FA667B">
        <w:t xml:space="preserve"> život ohrožující</w:t>
      </w:r>
      <w:r w:rsidR="0030647A" w:rsidRPr="00FA667B">
        <w:t>ho</w:t>
      </w:r>
      <w:r w:rsidRPr="00FA667B">
        <w:t xml:space="preserve"> krvácení. </w:t>
      </w:r>
      <w:r w:rsidR="0030647A" w:rsidRPr="00FA667B">
        <w:t xml:space="preserve">Na prvním místě se v diagnostice </w:t>
      </w:r>
      <w:r w:rsidRPr="00FA667B">
        <w:t xml:space="preserve">uplatňuje CT angiografie k objasnění zdroje krvácení. Omezení tohoto vyšetření je při žilním, difúzním nebo intermitentním krvácení, kdy se nám nezobrazí </w:t>
      </w:r>
      <w:r w:rsidRPr="00FA667B">
        <w:lastRenderedPageBreak/>
        <w:t xml:space="preserve">zdroj krvácení. Pokud je to možné a nemocný je hemodynamicky stabilní je možné provést za pomocí intervenčních radiologů ošetření zdroje krvácení. </w:t>
      </w:r>
      <w:r w:rsidR="00FD3C1A" w:rsidRPr="00FA667B">
        <w:t>[59]</w:t>
      </w:r>
    </w:p>
    <w:p w:rsidR="0075742A" w:rsidRPr="00F65D6B" w:rsidRDefault="006002F1" w:rsidP="0075742A">
      <w:pPr>
        <w:pStyle w:val="Normlnweb"/>
        <w:spacing w:before="0" w:beforeAutospacing="0" w:after="0" w:afterAutospacing="0" w:line="360" w:lineRule="auto"/>
        <w:jc w:val="both"/>
      </w:pPr>
      <w:r w:rsidRPr="0020555E">
        <w:t>Principem endovaskulární léčby je</w:t>
      </w:r>
      <w:r w:rsidR="0020555E">
        <w:t>,</w:t>
      </w:r>
      <w:r w:rsidRPr="0020555E">
        <w:t xml:space="preserve"> </w:t>
      </w:r>
      <w:r w:rsidR="0020555E">
        <w:t xml:space="preserve">pokud je to technicky možné, </w:t>
      </w:r>
      <w:r w:rsidRPr="0020555E">
        <w:t>perkutánně zavedený katetr nejčastěji p</w:t>
      </w:r>
      <w:r w:rsidR="002D73C2" w:rsidRPr="0020555E">
        <w:t>řes arteria femoralis</w:t>
      </w:r>
      <w:r w:rsidR="0020555E">
        <w:t>. Jestliže nelze využít tento přístup, pak můžeme využít arterii</w:t>
      </w:r>
      <w:r w:rsidRPr="0020555E">
        <w:t xml:space="preserve"> brachialis </w:t>
      </w:r>
      <w:r w:rsidRPr="0020555E">
        <w:rPr>
          <w:noProof/>
        </w:rPr>
        <w:t>nebo</w:t>
      </w:r>
      <w:r w:rsidR="0020555E">
        <w:rPr>
          <w:noProof/>
        </w:rPr>
        <w:t xml:space="preserve"> katetr zavést</w:t>
      </w:r>
      <w:r w:rsidRPr="0020555E">
        <w:rPr>
          <w:noProof/>
        </w:rPr>
        <w:t xml:space="preserve"> transhepatálně</w:t>
      </w:r>
      <w:r w:rsidR="0020555E">
        <w:rPr>
          <w:noProof/>
        </w:rPr>
        <w:t xml:space="preserve">. </w:t>
      </w:r>
      <w:r w:rsidRPr="0020555E">
        <w:t>Nejčastějším místem krvácení j</w:t>
      </w:r>
      <w:r w:rsidR="0020555E">
        <w:t xml:space="preserve">e pahýl arteria gastroduodenalis (GDA). </w:t>
      </w:r>
      <w:r w:rsidRPr="0020555E">
        <w:t>Byly popsány dvě techniky emboliza</w:t>
      </w:r>
      <w:r w:rsidR="0075742A">
        <w:t>ce. První možnost je selektivní embolizace pahýl</w:t>
      </w:r>
      <w:r w:rsidR="0075742A" w:rsidRPr="0020555E">
        <w:t>u GDA</w:t>
      </w:r>
      <w:r w:rsidR="0075742A">
        <w:t xml:space="preserve"> nebo ve vyjímečných případech embolizace arteria hepatica (HA)</w:t>
      </w:r>
      <w:r w:rsidRPr="0020555E">
        <w:t xml:space="preserve"> proximálně a distálně od pahýlu GDA. Závažnou komplikací </w:t>
      </w:r>
      <w:r w:rsidR="0075742A">
        <w:t xml:space="preserve">embolizace HA </w:t>
      </w:r>
      <w:r w:rsidRPr="0020555E">
        <w:t>je ischemie ja</w:t>
      </w:r>
      <w:r w:rsidR="008050D5" w:rsidRPr="0020555E">
        <w:t>ter. Infarkt jater byl popsán v 30% až 66% případech</w:t>
      </w:r>
      <w:r w:rsidRPr="0020555E">
        <w:t xml:space="preserve"> po použití této techniky v různých studiích. Před embolizací HA je nutné ověřit průchodnosti portální žíly (PV). Selektivní embolizace pahýlu GDA umožňuje zachovat průtok HA, ale je technicky složitější a někdy technicky neproveditelný kvůli délce pahýlu a morfologii pseudoaneurysmatu a je také náchylnější k opětovnému krvácení. Pokud není řešena POPF jako příčina vzniku PPH, je velká pravděpodobnost vzniku recidivy krvácení. Proto se při přetrvávající POPF doporučuje agresivní embolizace arteria hepatica comu</w:t>
      </w:r>
      <w:r w:rsidR="002D73C2" w:rsidRPr="0020555E">
        <w:t xml:space="preserve">nis. </w:t>
      </w:r>
      <w:r w:rsidRPr="0020555E">
        <w:t xml:space="preserve">Díky technickému pokroku se v posledních letech v endovaskulární terapii </w:t>
      </w:r>
      <w:r w:rsidR="00E3730B">
        <w:t xml:space="preserve">při </w:t>
      </w:r>
      <w:r w:rsidRPr="0020555E">
        <w:t>řešení viscerálních aneurysmat tak i pseudoaneurysmat uplatňují sten</w:t>
      </w:r>
      <w:r w:rsidR="002D73C2" w:rsidRPr="0020555E">
        <w:t>t</w:t>
      </w:r>
      <w:r w:rsidRPr="0020555E">
        <w:t>grafty. Jejich hlavní výhodou před embolizací je zachování průchodnosti tepen, které zásobují orgány, v našem případě průchodnost HA a tím dobré zásobení jater. Tím se snížilo riziko vzniku ischémie jater, vzniku jater</w:t>
      </w:r>
      <w:r w:rsidR="002D73C2" w:rsidRPr="0020555E">
        <w:t xml:space="preserve">ních abscesů, postembolizačního </w:t>
      </w:r>
      <w:r w:rsidRPr="0020555E">
        <w:t>syndromu a selhání jater. Někteří aut</w:t>
      </w:r>
      <w:r w:rsidR="002D73C2" w:rsidRPr="0020555E">
        <w:t>oři uvádí možnost využití stent</w:t>
      </w:r>
      <w:r w:rsidRPr="0020555E">
        <w:t xml:space="preserve">graftů v řešení krvácení HA jako možnost první volby. Výjimku tvoří řešení krvácení pahýlu GDA, zde je metodou volby embolizace. Nejčastější komplikací zavedení stentu je endoleak, trombóza stentu, </w:t>
      </w:r>
      <w:r w:rsidR="002D73C2" w:rsidRPr="0020555E">
        <w:t>jeho migrace nebo infekce</w:t>
      </w:r>
      <w:r w:rsidRPr="0020555E">
        <w:t xml:space="preserve">. Je důležité vybrat vhodnou délku a průměr stentu, aby se předešlo jeho migraci, endoleaku nebo jeho netěsnosti. </w:t>
      </w:r>
      <w:r w:rsidR="00E3730B">
        <w:t xml:space="preserve">Nevhodně </w:t>
      </w:r>
      <w:r w:rsidRPr="0020555E">
        <w:t>zvolený velký stent může vést k </w:t>
      </w:r>
      <w:r w:rsidR="0075742A">
        <w:t>ruptuře</w:t>
      </w:r>
      <w:r w:rsidRPr="0020555E">
        <w:t xml:space="preserve"> pseudoaneurysmatu nebo trombóze stentu. Kontraindikací k implantaci stentu může být aneuryzma s krátkým nebo šir</w:t>
      </w:r>
      <w:r w:rsidRPr="0020555E">
        <w:rPr>
          <w:noProof/>
        </w:rPr>
        <w:t>okým krčkem</w:t>
      </w:r>
      <w:r w:rsidRPr="0020555E">
        <w:t>, klikaté, stenotické aneurysma nebo cévy malého průměru. Po zákroku je doporučena doživotní duální antiagregační terapie. Komplikace, zejména recidiva krvácení, související se zavedením stent graftů se pohybují okolo 25%. Celková mortalita související s intervenční endovaskulární terapií se pohybu</w:t>
      </w:r>
      <w:r w:rsidR="0045728C" w:rsidRPr="0020555E">
        <w:t>je</w:t>
      </w:r>
      <w:r w:rsidRPr="0020555E">
        <w:t xml:space="preserve"> okolo 20%. Nejzávažnější komplikací je selhání jater, jaterní absces, septický šok nebo krvácení. </w:t>
      </w:r>
      <w:r w:rsidR="002D73C2" w:rsidRPr="0020555E">
        <w:t>[60,61,62,63]</w:t>
      </w:r>
      <w:r w:rsidR="0075742A">
        <w:t xml:space="preserve"> I</w:t>
      </w:r>
      <w:r w:rsidRPr="0075742A">
        <w:t xml:space="preserve">ntervenční endovaskulární techniky jsou </w:t>
      </w:r>
      <w:r w:rsidR="002D73C2" w:rsidRPr="0075742A">
        <w:t xml:space="preserve">relativně </w:t>
      </w:r>
      <w:r w:rsidRPr="0075742A">
        <w:t>bezpečné, technicky možné, s menší mírou mortality a morbidity. Avšak v případě život ohrožujícího krvácení, kdy je nem</w:t>
      </w:r>
      <w:r w:rsidR="0045728C" w:rsidRPr="0075742A">
        <w:t>ocný hemodynamicky nestabilní a</w:t>
      </w:r>
      <w:r w:rsidRPr="0075742A">
        <w:t>nebo</w:t>
      </w:r>
      <w:r w:rsidR="0045728C" w:rsidRPr="0075742A">
        <w:t xml:space="preserve"> jsou-li</w:t>
      </w:r>
      <w:r w:rsidRPr="0075742A">
        <w:t xml:space="preserve"> vyčerpány ostatní metody je na místě chiru</w:t>
      </w:r>
      <w:r w:rsidR="002D73C2" w:rsidRPr="0075742A">
        <w:t xml:space="preserve">rgická intervence. </w:t>
      </w:r>
      <w:r w:rsidR="0075742A" w:rsidRPr="00FA667B">
        <w:t xml:space="preserve">Doposud nebyla provedena žádná prospektivní randomizovaná klinická </w:t>
      </w:r>
      <w:r w:rsidR="0075742A" w:rsidRPr="00FA667B">
        <w:lastRenderedPageBreak/>
        <w:t>studie porovnávající chirurgickou a endovaskulární interven</w:t>
      </w:r>
      <w:r w:rsidR="0075742A">
        <w:t xml:space="preserve">ci. Proto neexistuje doporučení, </w:t>
      </w:r>
      <w:r w:rsidR="0075742A" w:rsidRPr="00FA667B">
        <w:t xml:space="preserve">podle kterého bychom se měli řídit. O managmentu PPH rozhoduje klinický stav nemocného, také technické zázemí daného pracoviště. Endovaskulární léčba je však považována za potenciální léčbu první volby u pacientů, kteří jsou hemodynamicky stabilní. Urgentní chirurgický výkon zůstává vyhrazen nemocným, </w:t>
      </w:r>
      <w:r w:rsidR="0075742A">
        <w:t xml:space="preserve">u kterých </w:t>
      </w:r>
      <w:r w:rsidR="00E3730B">
        <w:t>progreduje oběhová nestabilita nebo</w:t>
      </w:r>
      <w:r w:rsidR="0075742A" w:rsidRPr="00FA667B">
        <w:t xml:space="preserve"> endovaskulární ošetření není možné provést. Chirurgická léčba je také důležitá v řešení komplikací spojených s intervenčními metodami. Je snahou úzká spolupráce intervenčního radiologa a chirurga. Toho se dá docílit budováním hybridních sálů. [59]</w:t>
      </w:r>
    </w:p>
    <w:p w:rsidR="00E3730B" w:rsidRDefault="00E3730B" w:rsidP="00FA667B">
      <w:pPr>
        <w:spacing w:line="360" w:lineRule="auto"/>
        <w:jc w:val="both"/>
      </w:pPr>
    </w:p>
    <w:p w:rsidR="006002F1" w:rsidRPr="00FA667B" w:rsidRDefault="003744AD" w:rsidP="00FA667B">
      <w:pPr>
        <w:spacing w:line="360" w:lineRule="auto"/>
        <w:jc w:val="both"/>
      </w:pPr>
      <w:r>
        <w:t>Obr.č.13</w:t>
      </w:r>
      <w:r w:rsidR="005455CB" w:rsidRPr="00FA667B">
        <w:t>.</w:t>
      </w:r>
      <w:r w:rsidR="006002F1" w:rsidRPr="00FA667B">
        <w:t xml:space="preserve"> Angiografie – pseudoaneurysma a aktivní krvácení z pahýlu a.gastrica dextra</w:t>
      </w:r>
    </w:p>
    <w:p w:rsidR="006002F1" w:rsidRPr="00FA667B" w:rsidRDefault="00497DBD" w:rsidP="00FA667B">
      <w:pPr>
        <w:spacing w:line="360" w:lineRule="auto"/>
        <w:jc w:val="both"/>
        <w:rPr>
          <w:b/>
          <w:i/>
          <w:u w:val="single"/>
        </w:rPr>
      </w:pPr>
      <w:r>
        <w:rPr>
          <w:noProof/>
        </w:rPr>
        <w:drawing>
          <wp:anchor distT="0" distB="0" distL="114300" distR="114300" simplePos="0" relativeHeight="251667968" behindDoc="0" locked="0" layoutInCell="1" allowOverlap="1">
            <wp:simplePos x="0" y="0"/>
            <wp:positionH relativeFrom="column">
              <wp:posOffset>1028700</wp:posOffset>
            </wp:positionH>
            <wp:positionV relativeFrom="paragraph">
              <wp:posOffset>11430</wp:posOffset>
            </wp:positionV>
            <wp:extent cx="3200400" cy="2783205"/>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783205"/>
                    </a:xfrm>
                    <a:prstGeom prst="rect">
                      <a:avLst/>
                    </a:prstGeom>
                    <a:noFill/>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0C4F65" w:rsidRPr="00FA667B" w:rsidRDefault="000C4F65" w:rsidP="00FA667B">
      <w:pPr>
        <w:spacing w:line="360" w:lineRule="auto"/>
        <w:jc w:val="both"/>
      </w:pPr>
    </w:p>
    <w:p w:rsidR="00970287" w:rsidRPr="00FA667B" w:rsidRDefault="00970287" w:rsidP="00FA667B">
      <w:pPr>
        <w:spacing w:line="360" w:lineRule="auto"/>
        <w:jc w:val="both"/>
      </w:pPr>
    </w:p>
    <w:p w:rsidR="00876D52" w:rsidRDefault="00876D52" w:rsidP="00FA667B">
      <w:pPr>
        <w:spacing w:line="360" w:lineRule="auto"/>
        <w:jc w:val="both"/>
      </w:pPr>
    </w:p>
    <w:p w:rsidR="00876D52" w:rsidRDefault="00876D52" w:rsidP="00FA667B">
      <w:pPr>
        <w:spacing w:line="360" w:lineRule="auto"/>
        <w:jc w:val="both"/>
      </w:pPr>
    </w:p>
    <w:p w:rsidR="00876D52" w:rsidRDefault="00876D52" w:rsidP="00FA667B">
      <w:pPr>
        <w:spacing w:line="360" w:lineRule="auto"/>
        <w:jc w:val="both"/>
      </w:pPr>
    </w:p>
    <w:p w:rsidR="006002F1" w:rsidRPr="00FA667B" w:rsidRDefault="003744AD" w:rsidP="00FA667B">
      <w:pPr>
        <w:spacing w:line="360" w:lineRule="auto"/>
        <w:jc w:val="both"/>
      </w:pPr>
      <w:r>
        <w:t>Obr.č.14</w:t>
      </w:r>
      <w:r w:rsidR="005455CB" w:rsidRPr="00FA667B">
        <w:t>.</w:t>
      </w:r>
      <w:r w:rsidR="006002F1" w:rsidRPr="00FA667B">
        <w:t xml:space="preserve"> Zavedení stentgraftu přes pseudoaneurys</w:t>
      </w:r>
      <w:r w:rsidR="00CE75C2" w:rsidRPr="00FA667B">
        <w:t>m</w:t>
      </w:r>
      <w:r w:rsidR="006002F1" w:rsidRPr="00FA667B">
        <w:t>a do arteria hepatica communis</w:t>
      </w:r>
    </w:p>
    <w:p w:rsidR="006002F1" w:rsidRPr="00FA667B" w:rsidRDefault="00497DBD" w:rsidP="00FA667B">
      <w:pPr>
        <w:spacing w:line="360" w:lineRule="auto"/>
        <w:jc w:val="both"/>
        <w:rPr>
          <w:b/>
          <w:i/>
          <w:u w:val="single"/>
        </w:rPr>
      </w:pPr>
      <w:r>
        <w:rPr>
          <w:noProof/>
        </w:rPr>
        <w:drawing>
          <wp:anchor distT="0" distB="0" distL="114300" distR="114300" simplePos="0" relativeHeight="251668992" behindDoc="0" locked="0" layoutInCell="1" allowOverlap="1">
            <wp:simplePos x="0" y="0"/>
            <wp:positionH relativeFrom="column">
              <wp:posOffset>1028700</wp:posOffset>
            </wp:positionH>
            <wp:positionV relativeFrom="paragraph">
              <wp:posOffset>124460</wp:posOffset>
            </wp:positionV>
            <wp:extent cx="3200400" cy="2677160"/>
            <wp:effectExtent l="0" t="0" r="0" b="889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00400" cy="2677160"/>
                    </a:xfrm>
                    <a:prstGeom prst="rect">
                      <a:avLst/>
                    </a:prstGeom>
                    <a:noFill/>
                  </pic:spPr>
                </pic:pic>
              </a:graphicData>
            </a:graphic>
            <wp14:sizeRelH relativeFrom="page">
              <wp14:pctWidth>0</wp14:pctWidth>
            </wp14:sizeRelH>
            <wp14:sizeRelV relativeFrom="page">
              <wp14:pctHeight>0</wp14:pctHeight>
            </wp14:sizeRelV>
          </wp:anchor>
        </w:drawing>
      </w: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6002F1" w:rsidRPr="00FA667B" w:rsidRDefault="006002F1" w:rsidP="00FA667B">
      <w:pPr>
        <w:spacing w:line="360" w:lineRule="auto"/>
        <w:jc w:val="both"/>
        <w:rPr>
          <w:b/>
          <w:i/>
          <w:u w:val="single"/>
        </w:rPr>
      </w:pPr>
    </w:p>
    <w:p w:rsidR="00E3730B" w:rsidRDefault="00E3730B" w:rsidP="00FA667B">
      <w:pPr>
        <w:spacing w:line="360" w:lineRule="auto"/>
        <w:jc w:val="both"/>
        <w:rPr>
          <w:b/>
          <w:i/>
          <w:u w:val="single"/>
        </w:rPr>
      </w:pPr>
    </w:p>
    <w:p w:rsidR="002100F7" w:rsidRDefault="002100F7" w:rsidP="00FA667B">
      <w:pPr>
        <w:spacing w:line="360" w:lineRule="auto"/>
        <w:jc w:val="both"/>
        <w:rPr>
          <w:b/>
          <w:i/>
          <w:u w:val="single"/>
        </w:rPr>
      </w:pPr>
    </w:p>
    <w:p w:rsidR="006002F1" w:rsidRPr="008E5B85" w:rsidRDefault="008E5B85" w:rsidP="00FA667B">
      <w:pPr>
        <w:spacing w:line="360" w:lineRule="auto"/>
        <w:jc w:val="both"/>
        <w:rPr>
          <w:b/>
          <w:i/>
          <w:u w:val="single"/>
        </w:rPr>
      </w:pPr>
      <w:r>
        <w:rPr>
          <w:b/>
          <w:i/>
          <w:u w:val="single"/>
        </w:rPr>
        <w:lastRenderedPageBreak/>
        <w:t>4.3</w:t>
      </w:r>
      <w:r w:rsidR="006002F1" w:rsidRPr="00FA667B">
        <w:rPr>
          <w:b/>
          <w:i/>
          <w:u w:val="single"/>
        </w:rPr>
        <w:t>.</w:t>
      </w:r>
      <w:r>
        <w:rPr>
          <w:b/>
          <w:i/>
          <w:u w:val="single"/>
        </w:rPr>
        <w:t xml:space="preserve"> </w:t>
      </w:r>
      <w:r w:rsidR="006002F1" w:rsidRPr="00FA667B">
        <w:rPr>
          <w:b/>
          <w:i/>
          <w:u w:val="single"/>
        </w:rPr>
        <w:t>Opozděná evakuace žaludku</w:t>
      </w:r>
    </w:p>
    <w:p w:rsidR="00CE75C2" w:rsidRDefault="00CE75C2" w:rsidP="00FA667B">
      <w:pPr>
        <w:spacing w:line="360" w:lineRule="auto"/>
        <w:jc w:val="both"/>
      </w:pPr>
      <w:r w:rsidRPr="00FA667B">
        <w:t xml:space="preserve">Opožděná evakuace žaludku nebo-li Delayed Gastric emptying </w:t>
      </w:r>
      <w:r w:rsidR="006002F1" w:rsidRPr="00FA667B">
        <w:t>(DGE) je jednou z možných kom</w:t>
      </w:r>
      <w:r w:rsidR="00E3730B">
        <w:t>plikací pankreatoduodenektomie nebo totální pankreatektomie</w:t>
      </w:r>
      <w:r w:rsidR="00536D14">
        <w:t>. V</w:t>
      </w:r>
      <w:r w:rsidR="00536D14" w:rsidRPr="00FA667B">
        <w:t>yskytuje</w:t>
      </w:r>
      <w:r w:rsidR="00536D14">
        <w:t xml:space="preserve"> se</w:t>
      </w:r>
      <w:r w:rsidR="00536D14" w:rsidRPr="00FA667B">
        <w:t xml:space="preserve"> v rozmezí 19-57% případů. </w:t>
      </w:r>
      <w:r w:rsidR="006002F1" w:rsidRPr="00FA667B">
        <w:t>DGE vede k prodloužené hospitalizaci a tím zvyšuje morbiditu. Medián prodloužení hospitalizace v Evropě je 14-21dní, v USA 7-14dní. To má samozřejmě ekonomický dopad. Existuje řada teorií proč k DGE dochází. Vliv může mít snížená produkce</w:t>
      </w:r>
      <w:r w:rsidRPr="00FA667B">
        <w:t xml:space="preserve"> motilinu</w:t>
      </w:r>
      <w:r w:rsidR="006002F1" w:rsidRPr="00FA667B">
        <w:t xml:space="preserve"> po resekci duodena, destrukce nervových zakončení, devaskularizace při resekci žaludku a duodena nebo rozsáhlá lymfadenektomie. Za hlavní příčinu vzniku se</w:t>
      </w:r>
      <w:r w:rsidRPr="00FA667B">
        <w:t xml:space="preserve"> však považuje vznik POPF nebo proběhlé PPH. </w:t>
      </w:r>
      <w:r w:rsidR="006002F1" w:rsidRPr="00FA667B">
        <w:t>Probíhala také řada studií, kde srovnávali vý</w:t>
      </w:r>
      <w:r w:rsidR="00536D14">
        <w:t>skyt DGE mezi pyloru</w:t>
      </w:r>
      <w:r w:rsidR="00E3730B">
        <w:t>s</w:t>
      </w:r>
      <w:r w:rsidR="00536D14">
        <w:t xml:space="preserve"> šetřící pankreatoduodenektomií a klasickou pankreatoduodenektomií</w:t>
      </w:r>
      <w:r w:rsidR="006002F1" w:rsidRPr="00FA667B">
        <w:t>. Výsledky ukazují na menší výskyt DG</w:t>
      </w:r>
      <w:r w:rsidR="00536D14">
        <w:t>E ve prospěch pyloru šetřící pankeatoduodenektomii</w:t>
      </w:r>
      <w:r w:rsidR="006002F1" w:rsidRPr="00FA667B">
        <w:t>. Jiné studie tento výsledek naopak nepotvrzují. Další studie ukazují na možnost</w:t>
      </w:r>
      <w:r w:rsidR="00536D14">
        <w:t>, že pokud u pylorus šetřící pankreatoduodenektomie</w:t>
      </w:r>
      <w:r w:rsidR="00E3730B">
        <w:t xml:space="preserve"> </w:t>
      </w:r>
      <w:r w:rsidR="006002F1" w:rsidRPr="00FA667B">
        <w:t>provede</w:t>
      </w:r>
      <w:r w:rsidR="00E3730B">
        <w:t xml:space="preserve"> dilataci nebo myotomii</w:t>
      </w:r>
      <w:r w:rsidR="006002F1" w:rsidRPr="00FA667B">
        <w:t xml:space="preserve"> pyloru je menší výskyt  DGE.</w:t>
      </w:r>
      <w:r w:rsidR="0045728C" w:rsidRPr="00FA667B">
        <w:t xml:space="preserve"> [64]</w:t>
      </w:r>
    </w:p>
    <w:p w:rsidR="00122BAA" w:rsidRPr="00122BAA" w:rsidRDefault="00122BAA" w:rsidP="00122BAA">
      <w:pPr>
        <w:spacing w:line="360" w:lineRule="auto"/>
        <w:jc w:val="both"/>
      </w:pPr>
      <w:r w:rsidRPr="00122BAA">
        <w:t>Enhanced Recovery After Surgery (ERAS) je soubor multimodálních postupů</w:t>
      </w:r>
      <w:r>
        <w:t xml:space="preserve"> </w:t>
      </w:r>
      <w:r w:rsidRPr="00122BAA">
        <w:t xml:space="preserve">zahrnující multidisciplinární přístup k pacientovi v celém perioperačním období. Smyslem konceptu ERAS je minimalizace komplikací souvisejících s operačním výkonem, rychlejší zotavení a následně i snížení morbidity a zkrácení doby hospitalizace. </w:t>
      </w:r>
      <w:r>
        <w:t>Předpokládá se, že na DGE má velký vliv zejména časná mobilizace pacienta.</w:t>
      </w:r>
    </w:p>
    <w:p w:rsidR="00122BAA" w:rsidRDefault="006002F1" w:rsidP="00FA667B">
      <w:pPr>
        <w:spacing w:line="360" w:lineRule="auto"/>
        <w:jc w:val="both"/>
      </w:pPr>
      <w:r w:rsidRPr="00FA667B">
        <w:t xml:space="preserve">DGE se projevuje opakovaným masivním zvracením. V první době se zavádí </w:t>
      </w:r>
      <w:r w:rsidR="0045728C" w:rsidRPr="00FA667B">
        <w:t xml:space="preserve">nasogastrická sonda (NGS). V devadesátých </w:t>
      </w:r>
      <w:r w:rsidRPr="00FA667B">
        <w:t>letech se doporučovalo ponechat N</w:t>
      </w:r>
      <w:r w:rsidR="00CE75C2" w:rsidRPr="00FA667B">
        <w:t>GS déle než 10 dní po operaci</w:t>
      </w:r>
      <w:r w:rsidRPr="00FA667B">
        <w:t>. V </w:t>
      </w:r>
      <w:r w:rsidR="00CE75C2" w:rsidRPr="00FA667B">
        <w:t xml:space="preserve">dnešní době </w:t>
      </w:r>
      <w:r w:rsidRPr="00FA667B">
        <w:t>se doporučuje ponechat NGS do třetího pooperačního dne a v p</w:t>
      </w:r>
      <w:r w:rsidR="00536D14">
        <w:t xml:space="preserve">řípadě recidivy zvracení ji </w:t>
      </w:r>
      <w:r w:rsidRPr="00FA667B">
        <w:t>opět zavést. Další důležitou otázkou je obnovení perorálního příjmu. Doporučuje se první den po vytažení NGS začít tekutou stravou. Pokud je perorální příjem tolerován, tak nejpozději do sedmého pooperačního dne by měl být nemocný zatížen pevnou stravou</w:t>
      </w:r>
      <w:r w:rsidRPr="00536D14">
        <w:t xml:space="preserve">. </w:t>
      </w:r>
    </w:p>
    <w:p w:rsidR="00DE1C1A" w:rsidRPr="00FA667B" w:rsidRDefault="006002F1" w:rsidP="00FA667B">
      <w:pPr>
        <w:spacing w:line="360" w:lineRule="auto"/>
        <w:jc w:val="both"/>
      </w:pPr>
      <w:r w:rsidRPr="00FA667B">
        <w:t>V diagnostice a současně i léčbě DGE se uplatňuje gastroskopie, která nás informuje o možné</w:t>
      </w:r>
      <w:r w:rsidR="00CA4DA4">
        <w:t>m zúžení</w:t>
      </w:r>
      <w:r w:rsidRPr="00FA667B">
        <w:t xml:space="preserve"> DJA/GJA</w:t>
      </w:r>
      <w:r w:rsidR="00CA4DA4">
        <w:t>, které může být na podkladě otoku anastomózy nebo funkční povahy</w:t>
      </w:r>
      <w:r w:rsidRPr="00FA667B">
        <w:t>.</w:t>
      </w:r>
      <w:r w:rsidR="003F73CD">
        <w:t xml:space="preserve"> Výhodou endoskopie je možnost</w:t>
      </w:r>
      <w:r w:rsidR="00CA4DA4">
        <w:t xml:space="preserve"> současné</w:t>
      </w:r>
      <w:r w:rsidR="003F73CD">
        <w:t xml:space="preserve"> </w:t>
      </w:r>
      <w:r w:rsidRPr="00FA667B">
        <w:t xml:space="preserve">dilatace anastomózy pomocí endoskopu. V diagnostice </w:t>
      </w:r>
      <w:r w:rsidR="00CA4DA4">
        <w:t xml:space="preserve">dále můžeme využít i zobrazovací metody, </w:t>
      </w:r>
      <w:r w:rsidRPr="00FA667B">
        <w:t xml:space="preserve">pasáž horní částí GIT pomocí kontrastní látky. Jedná se o neinvazivní metodu, která nám ukáže eventuální </w:t>
      </w:r>
      <w:r w:rsidR="00CA4DA4">
        <w:t>stenózu</w:t>
      </w:r>
      <w:r w:rsidRPr="00FA667B">
        <w:t xml:space="preserve"> anastomózy. Léčba DGE spočívá v zavedení NGS, podávání prokinetik, parenterální a event. enterální výživy do obnovení perorálního příjmu. Klasifikace DGE dle ISGPS je popsána v</w:t>
      </w:r>
      <w:r w:rsidR="00E3730B">
        <w:t> tabulce č.6</w:t>
      </w:r>
      <w:r w:rsidR="00CA4DA4">
        <w:t xml:space="preserve">. </w:t>
      </w:r>
      <w:r w:rsidR="00320760" w:rsidRPr="00FA667B">
        <w:t>[66]</w:t>
      </w:r>
    </w:p>
    <w:p w:rsidR="002100F7" w:rsidRDefault="002100F7" w:rsidP="00FA667B">
      <w:pPr>
        <w:spacing w:line="360" w:lineRule="auto"/>
        <w:jc w:val="both"/>
      </w:pPr>
    </w:p>
    <w:p w:rsidR="002100F7" w:rsidRDefault="002100F7" w:rsidP="00FA667B">
      <w:pPr>
        <w:spacing w:line="360" w:lineRule="auto"/>
        <w:jc w:val="both"/>
      </w:pPr>
    </w:p>
    <w:p w:rsidR="006002F1" w:rsidRPr="00FA667B" w:rsidRDefault="006002F1" w:rsidP="00FA667B">
      <w:pPr>
        <w:spacing w:line="360" w:lineRule="auto"/>
        <w:jc w:val="both"/>
      </w:pPr>
      <w:r w:rsidRPr="00FA667B">
        <w:t>Tab.č.</w:t>
      </w:r>
      <w:r w:rsidR="005455CB" w:rsidRPr="00FA667B">
        <w:t>6.</w:t>
      </w:r>
      <w:r w:rsidRPr="00FA667B">
        <w:t xml:space="preserve"> </w:t>
      </w:r>
      <w:r w:rsidR="00320760" w:rsidRPr="00FA667B">
        <w:t>Klasifikace DGE dle ISGPS</w:t>
      </w:r>
    </w:p>
    <w:tbl>
      <w:tblPr>
        <w:tblW w:w="10178" w:type="dxa"/>
        <w:jc w:val="center"/>
        <w:tblCellMar>
          <w:left w:w="70" w:type="dxa"/>
          <w:right w:w="70" w:type="dxa"/>
        </w:tblCellMar>
        <w:tblLook w:val="0000" w:firstRow="0" w:lastRow="0" w:firstColumn="0" w:lastColumn="0" w:noHBand="0" w:noVBand="0"/>
      </w:tblPr>
      <w:tblGrid>
        <w:gridCol w:w="971"/>
        <w:gridCol w:w="3258"/>
        <w:gridCol w:w="1983"/>
        <w:gridCol w:w="1983"/>
        <w:gridCol w:w="1983"/>
      </w:tblGrid>
      <w:tr w:rsidR="006002F1" w:rsidRPr="00FA667B" w:rsidTr="00DE1C1A">
        <w:trPr>
          <w:trHeight w:val="514"/>
          <w:jc w:val="center"/>
        </w:trPr>
        <w:tc>
          <w:tcPr>
            <w:tcW w:w="971"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DGE stupeň</w:t>
            </w:r>
          </w:p>
        </w:tc>
        <w:tc>
          <w:tcPr>
            <w:tcW w:w="3258" w:type="dxa"/>
            <w:tcBorders>
              <w:top w:val="single" w:sz="8" w:space="0" w:color="auto"/>
              <w:left w:val="nil"/>
              <w:bottom w:val="single" w:sz="8" w:space="0" w:color="auto"/>
              <w:right w:val="nil"/>
            </w:tcBorders>
            <w:vAlign w:val="center"/>
          </w:tcPr>
          <w:p w:rsidR="006002F1" w:rsidRPr="00FA667B" w:rsidRDefault="006002F1" w:rsidP="008E5B85">
            <w:pPr>
              <w:spacing w:line="360" w:lineRule="auto"/>
              <w:jc w:val="center"/>
              <w:rPr>
                <w:b/>
                <w:bCs/>
              </w:rPr>
            </w:pPr>
            <w:r w:rsidRPr="00FA667B">
              <w:rPr>
                <w:b/>
                <w:bCs/>
              </w:rPr>
              <w:t>Potřeba NGS</w:t>
            </w:r>
          </w:p>
        </w:tc>
        <w:tc>
          <w:tcPr>
            <w:tcW w:w="1983" w:type="dxa"/>
            <w:tcBorders>
              <w:top w:val="single" w:sz="8" w:space="0" w:color="auto"/>
              <w:left w:val="single" w:sz="8" w:space="0" w:color="auto"/>
              <w:bottom w:val="single" w:sz="8" w:space="0" w:color="auto"/>
              <w:right w:val="single" w:sz="8" w:space="0" w:color="auto"/>
            </w:tcBorders>
            <w:vAlign w:val="center"/>
          </w:tcPr>
          <w:p w:rsidR="006002F1" w:rsidRPr="00FA667B" w:rsidRDefault="00320760" w:rsidP="008E5B85">
            <w:pPr>
              <w:spacing w:line="360" w:lineRule="auto"/>
              <w:jc w:val="center"/>
              <w:rPr>
                <w:b/>
                <w:bCs/>
              </w:rPr>
            </w:pPr>
            <w:r w:rsidRPr="00FA667B">
              <w:rPr>
                <w:b/>
                <w:bCs/>
              </w:rPr>
              <w:t>Nelze tolerovat p.o.</w:t>
            </w:r>
          </w:p>
          <w:p w:rsidR="00524E66" w:rsidRPr="00FA667B" w:rsidRDefault="00524E66" w:rsidP="008E5B85">
            <w:pPr>
              <w:spacing w:line="360" w:lineRule="auto"/>
              <w:jc w:val="center"/>
              <w:rPr>
                <w:b/>
                <w:bCs/>
              </w:rPr>
            </w:pPr>
            <w:r w:rsidRPr="00FA667B">
              <w:rPr>
                <w:b/>
                <w:bCs/>
              </w:rPr>
              <w:t>POD</w:t>
            </w:r>
          </w:p>
        </w:tc>
        <w:tc>
          <w:tcPr>
            <w:tcW w:w="1983" w:type="dxa"/>
            <w:tcBorders>
              <w:top w:val="single" w:sz="8" w:space="0" w:color="auto"/>
              <w:left w:val="nil"/>
              <w:bottom w:val="single" w:sz="8" w:space="0" w:color="auto"/>
              <w:right w:val="nil"/>
            </w:tcBorders>
            <w:vAlign w:val="center"/>
          </w:tcPr>
          <w:p w:rsidR="006002F1" w:rsidRPr="00FA667B" w:rsidRDefault="006002F1" w:rsidP="008E5B85">
            <w:pPr>
              <w:spacing w:line="360" w:lineRule="auto"/>
              <w:jc w:val="center"/>
              <w:rPr>
                <w:b/>
                <w:bCs/>
              </w:rPr>
            </w:pPr>
            <w:r w:rsidRPr="00FA667B">
              <w:rPr>
                <w:b/>
                <w:bCs/>
              </w:rPr>
              <w:t>Zvracení/distenze žaludku</w:t>
            </w:r>
          </w:p>
        </w:tc>
        <w:tc>
          <w:tcPr>
            <w:tcW w:w="1983"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rPr>
                <w:b/>
                <w:bCs/>
              </w:rPr>
            </w:pPr>
            <w:r w:rsidRPr="00FA667B">
              <w:rPr>
                <w:b/>
                <w:bCs/>
              </w:rPr>
              <w:t>Použití prokinetik</w:t>
            </w:r>
          </w:p>
        </w:tc>
      </w:tr>
      <w:tr w:rsidR="006002F1" w:rsidRPr="00FA667B" w:rsidTr="00DE1C1A">
        <w:trPr>
          <w:trHeight w:val="514"/>
          <w:jc w:val="center"/>
        </w:trPr>
        <w:tc>
          <w:tcPr>
            <w:tcW w:w="971"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A</w:t>
            </w:r>
          </w:p>
        </w:tc>
        <w:tc>
          <w:tcPr>
            <w:tcW w:w="3258" w:type="dxa"/>
            <w:tcBorders>
              <w:top w:val="nil"/>
              <w:left w:val="nil"/>
              <w:bottom w:val="single" w:sz="4" w:space="0" w:color="auto"/>
              <w:right w:val="nil"/>
            </w:tcBorders>
            <w:vAlign w:val="center"/>
          </w:tcPr>
          <w:p w:rsidR="006002F1" w:rsidRPr="00FA667B" w:rsidRDefault="006002F1" w:rsidP="008E5B85">
            <w:pPr>
              <w:spacing w:line="360" w:lineRule="auto"/>
              <w:jc w:val="center"/>
            </w:pPr>
            <w:r w:rsidRPr="00FA667B">
              <w:t>4-7dní nebo znovuzavedení ˃POD 3</w:t>
            </w:r>
          </w:p>
        </w:tc>
        <w:tc>
          <w:tcPr>
            <w:tcW w:w="1983"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jc w:val="center"/>
            </w:pPr>
            <w:r w:rsidRPr="00FA667B">
              <w:t>7</w:t>
            </w:r>
          </w:p>
        </w:tc>
        <w:tc>
          <w:tcPr>
            <w:tcW w:w="1983" w:type="dxa"/>
            <w:tcBorders>
              <w:top w:val="nil"/>
              <w:left w:val="nil"/>
              <w:bottom w:val="single" w:sz="4" w:space="0" w:color="auto"/>
              <w:right w:val="nil"/>
            </w:tcBorders>
            <w:vAlign w:val="center"/>
          </w:tcPr>
          <w:p w:rsidR="006002F1" w:rsidRPr="00FA667B" w:rsidRDefault="006002F1" w:rsidP="008E5B85">
            <w:pPr>
              <w:spacing w:line="360" w:lineRule="auto"/>
              <w:jc w:val="center"/>
            </w:pPr>
            <w:r w:rsidRPr="00FA667B">
              <w:t>ano</w:t>
            </w:r>
          </w:p>
        </w:tc>
        <w:tc>
          <w:tcPr>
            <w:tcW w:w="1983"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jc w:val="center"/>
            </w:pPr>
            <w:r w:rsidRPr="00FA667B">
              <w:t>ano</w:t>
            </w:r>
          </w:p>
        </w:tc>
      </w:tr>
      <w:tr w:rsidR="006002F1" w:rsidRPr="00FA667B" w:rsidTr="00DE1C1A">
        <w:trPr>
          <w:trHeight w:val="514"/>
          <w:jc w:val="center"/>
        </w:trPr>
        <w:tc>
          <w:tcPr>
            <w:tcW w:w="971"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B</w:t>
            </w:r>
          </w:p>
        </w:tc>
        <w:tc>
          <w:tcPr>
            <w:tcW w:w="3258" w:type="dxa"/>
            <w:tcBorders>
              <w:top w:val="nil"/>
              <w:left w:val="nil"/>
              <w:bottom w:val="single" w:sz="4" w:space="0" w:color="auto"/>
              <w:right w:val="nil"/>
            </w:tcBorders>
            <w:vAlign w:val="center"/>
          </w:tcPr>
          <w:p w:rsidR="006002F1" w:rsidRPr="00FA667B" w:rsidRDefault="006002F1" w:rsidP="008E5B85">
            <w:pPr>
              <w:spacing w:line="360" w:lineRule="auto"/>
              <w:jc w:val="center"/>
            </w:pPr>
            <w:r w:rsidRPr="00FA667B">
              <w:t>8-14dní nebo znovuzavedení˃POD 7</w:t>
            </w:r>
          </w:p>
        </w:tc>
        <w:tc>
          <w:tcPr>
            <w:tcW w:w="1983"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jc w:val="center"/>
            </w:pPr>
            <w:r w:rsidRPr="00FA667B">
              <w:t>14</w:t>
            </w:r>
          </w:p>
        </w:tc>
        <w:tc>
          <w:tcPr>
            <w:tcW w:w="1983" w:type="dxa"/>
            <w:tcBorders>
              <w:top w:val="nil"/>
              <w:left w:val="nil"/>
              <w:bottom w:val="single" w:sz="4" w:space="0" w:color="auto"/>
              <w:right w:val="nil"/>
            </w:tcBorders>
            <w:vAlign w:val="center"/>
          </w:tcPr>
          <w:p w:rsidR="006002F1" w:rsidRPr="00FA667B" w:rsidRDefault="006002F1" w:rsidP="008E5B85">
            <w:pPr>
              <w:spacing w:line="360" w:lineRule="auto"/>
              <w:jc w:val="center"/>
            </w:pPr>
            <w:r w:rsidRPr="00FA667B">
              <w:t>ano</w:t>
            </w:r>
          </w:p>
        </w:tc>
        <w:tc>
          <w:tcPr>
            <w:tcW w:w="1983"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jc w:val="center"/>
            </w:pPr>
            <w:r w:rsidRPr="00FA667B">
              <w:t>ano</w:t>
            </w:r>
          </w:p>
        </w:tc>
      </w:tr>
      <w:tr w:rsidR="006002F1" w:rsidRPr="00FA667B" w:rsidTr="00DE1C1A">
        <w:trPr>
          <w:trHeight w:val="514"/>
          <w:jc w:val="center"/>
        </w:trPr>
        <w:tc>
          <w:tcPr>
            <w:tcW w:w="971"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C</w:t>
            </w:r>
          </w:p>
        </w:tc>
        <w:tc>
          <w:tcPr>
            <w:tcW w:w="3258" w:type="dxa"/>
            <w:tcBorders>
              <w:top w:val="nil"/>
              <w:left w:val="nil"/>
              <w:bottom w:val="nil"/>
              <w:right w:val="nil"/>
            </w:tcBorders>
            <w:vAlign w:val="center"/>
          </w:tcPr>
          <w:p w:rsidR="006002F1" w:rsidRPr="00FA667B" w:rsidRDefault="006002F1" w:rsidP="008E5B85">
            <w:pPr>
              <w:spacing w:line="360" w:lineRule="auto"/>
              <w:jc w:val="center"/>
            </w:pPr>
            <w:r w:rsidRPr="00FA667B">
              <w:t>˃14dní nebo znovuzavedení ˃POD 14</w:t>
            </w:r>
          </w:p>
        </w:tc>
        <w:tc>
          <w:tcPr>
            <w:tcW w:w="1983"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pPr>
            <w:r w:rsidRPr="00FA667B">
              <w:t>21</w:t>
            </w:r>
          </w:p>
        </w:tc>
        <w:tc>
          <w:tcPr>
            <w:tcW w:w="1983" w:type="dxa"/>
            <w:tcBorders>
              <w:top w:val="nil"/>
              <w:left w:val="nil"/>
              <w:bottom w:val="single" w:sz="8" w:space="0" w:color="auto"/>
              <w:right w:val="nil"/>
            </w:tcBorders>
            <w:vAlign w:val="center"/>
          </w:tcPr>
          <w:p w:rsidR="006002F1" w:rsidRPr="00FA667B" w:rsidRDefault="006002F1" w:rsidP="008E5B85">
            <w:pPr>
              <w:spacing w:line="360" w:lineRule="auto"/>
              <w:jc w:val="center"/>
            </w:pPr>
            <w:r w:rsidRPr="00FA667B">
              <w:t>ano</w:t>
            </w:r>
          </w:p>
        </w:tc>
        <w:tc>
          <w:tcPr>
            <w:tcW w:w="1983"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pPr>
            <w:r w:rsidRPr="00FA667B">
              <w:t>ano</w:t>
            </w:r>
          </w:p>
        </w:tc>
      </w:tr>
      <w:tr w:rsidR="006002F1" w:rsidRPr="00FA667B" w:rsidTr="00DE1C1A">
        <w:trPr>
          <w:trHeight w:val="255"/>
          <w:jc w:val="center"/>
        </w:trPr>
        <w:tc>
          <w:tcPr>
            <w:tcW w:w="971" w:type="dxa"/>
            <w:tcBorders>
              <w:top w:val="nil"/>
              <w:left w:val="nil"/>
              <w:bottom w:val="nil"/>
              <w:right w:val="nil"/>
            </w:tcBorders>
            <w:vAlign w:val="center"/>
          </w:tcPr>
          <w:p w:rsidR="006002F1" w:rsidRPr="00FA667B" w:rsidRDefault="006002F1" w:rsidP="00FA667B">
            <w:pPr>
              <w:spacing w:line="360" w:lineRule="auto"/>
              <w:jc w:val="both"/>
            </w:pPr>
          </w:p>
        </w:tc>
        <w:tc>
          <w:tcPr>
            <w:tcW w:w="3258" w:type="dxa"/>
            <w:tcBorders>
              <w:top w:val="single" w:sz="8" w:space="0" w:color="auto"/>
              <w:left w:val="single" w:sz="8" w:space="0" w:color="auto"/>
              <w:bottom w:val="single" w:sz="4" w:space="0" w:color="auto"/>
              <w:right w:val="single" w:sz="8" w:space="0" w:color="auto"/>
            </w:tcBorders>
            <w:vAlign w:val="center"/>
          </w:tcPr>
          <w:p w:rsidR="006002F1" w:rsidRPr="00FA667B" w:rsidRDefault="006002F1" w:rsidP="008E5B85">
            <w:pPr>
              <w:spacing w:line="360" w:lineRule="auto"/>
              <w:jc w:val="center"/>
            </w:pPr>
            <w:r w:rsidRPr="00FA667B">
              <w:t>p.o. - perorální příjem</w:t>
            </w: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r>
      <w:tr w:rsidR="006002F1" w:rsidRPr="00FA667B" w:rsidTr="00DE1C1A">
        <w:trPr>
          <w:trHeight w:val="257"/>
          <w:jc w:val="center"/>
        </w:trPr>
        <w:tc>
          <w:tcPr>
            <w:tcW w:w="971" w:type="dxa"/>
            <w:tcBorders>
              <w:top w:val="nil"/>
              <w:left w:val="nil"/>
              <w:bottom w:val="nil"/>
              <w:right w:val="nil"/>
            </w:tcBorders>
            <w:vAlign w:val="center"/>
          </w:tcPr>
          <w:p w:rsidR="006002F1" w:rsidRPr="00FA667B" w:rsidRDefault="006002F1" w:rsidP="00FA667B">
            <w:pPr>
              <w:spacing w:line="360" w:lineRule="auto"/>
              <w:jc w:val="both"/>
            </w:pPr>
          </w:p>
        </w:tc>
        <w:tc>
          <w:tcPr>
            <w:tcW w:w="3258"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jc w:val="center"/>
            </w:pPr>
            <w:r w:rsidRPr="00FA667B">
              <w:t>POD - pooperační den</w:t>
            </w: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c>
          <w:tcPr>
            <w:tcW w:w="1983" w:type="dxa"/>
            <w:tcBorders>
              <w:top w:val="nil"/>
              <w:left w:val="nil"/>
              <w:bottom w:val="nil"/>
              <w:right w:val="nil"/>
            </w:tcBorders>
            <w:vAlign w:val="center"/>
          </w:tcPr>
          <w:p w:rsidR="006002F1" w:rsidRPr="00FA667B" w:rsidRDefault="006002F1" w:rsidP="008E5B85">
            <w:pPr>
              <w:spacing w:line="360" w:lineRule="auto"/>
              <w:jc w:val="center"/>
            </w:pPr>
          </w:p>
        </w:tc>
      </w:tr>
    </w:tbl>
    <w:p w:rsidR="008E5B85" w:rsidRDefault="008E5B85" w:rsidP="00FA667B">
      <w:pPr>
        <w:spacing w:line="360" w:lineRule="auto"/>
        <w:jc w:val="both"/>
      </w:pPr>
    </w:p>
    <w:p w:rsidR="00CA4DA4" w:rsidRDefault="00CA4DA4" w:rsidP="00FA667B">
      <w:pPr>
        <w:spacing w:line="360" w:lineRule="auto"/>
        <w:jc w:val="both"/>
      </w:pPr>
    </w:p>
    <w:p w:rsidR="006002F1" w:rsidRPr="00FA667B" w:rsidRDefault="005455CB" w:rsidP="00FA667B">
      <w:pPr>
        <w:spacing w:line="360" w:lineRule="auto"/>
        <w:jc w:val="both"/>
      </w:pPr>
      <w:r w:rsidRPr="00FA667B">
        <w:t>Tab.č.7</w:t>
      </w:r>
      <w:r w:rsidR="00320760" w:rsidRPr="00FA667B">
        <w:t>. Klasifikace</w:t>
      </w:r>
      <w:r w:rsidR="006002F1" w:rsidRPr="00FA667B">
        <w:t xml:space="preserve"> pro grading DGE</w:t>
      </w:r>
    </w:p>
    <w:tbl>
      <w:tblPr>
        <w:tblW w:w="11081" w:type="dxa"/>
        <w:jc w:val="center"/>
        <w:tblCellMar>
          <w:left w:w="70" w:type="dxa"/>
          <w:right w:w="70" w:type="dxa"/>
        </w:tblCellMar>
        <w:tblLook w:val="0000" w:firstRow="0" w:lastRow="0" w:firstColumn="0" w:lastColumn="0" w:noHBand="0" w:noVBand="0"/>
      </w:tblPr>
      <w:tblGrid>
        <w:gridCol w:w="1844"/>
        <w:gridCol w:w="2835"/>
        <w:gridCol w:w="3260"/>
        <w:gridCol w:w="3142"/>
      </w:tblGrid>
      <w:tr w:rsidR="006002F1" w:rsidRPr="00FA667B" w:rsidTr="00E6773A">
        <w:trPr>
          <w:trHeight w:val="600"/>
          <w:jc w:val="center"/>
        </w:trPr>
        <w:tc>
          <w:tcPr>
            <w:tcW w:w="1844"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DGE</w:t>
            </w:r>
          </w:p>
        </w:tc>
        <w:tc>
          <w:tcPr>
            <w:tcW w:w="2835" w:type="dxa"/>
            <w:tcBorders>
              <w:top w:val="single" w:sz="8" w:space="0" w:color="auto"/>
              <w:left w:val="nil"/>
              <w:bottom w:val="single" w:sz="8" w:space="0" w:color="auto"/>
              <w:right w:val="nil"/>
            </w:tcBorders>
            <w:vAlign w:val="center"/>
          </w:tcPr>
          <w:p w:rsidR="006002F1" w:rsidRPr="00FA667B" w:rsidRDefault="006002F1" w:rsidP="008E5B85">
            <w:pPr>
              <w:spacing w:line="360" w:lineRule="auto"/>
              <w:rPr>
                <w:b/>
                <w:bCs/>
              </w:rPr>
            </w:pPr>
            <w:r w:rsidRPr="00FA667B">
              <w:rPr>
                <w:b/>
                <w:bCs/>
              </w:rPr>
              <w:t>A</w:t>
            </w:r>
          </w:p>
        </w:tc>
        <w:tc>
          <w:tcPr>
            <w:tcW w:w="32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8E5B85">
            <w:pPr>
              <w:spacing w:line="360" w:lineRule="auto"/>
              <w:rPr>
                <w:b/>
                <w:bCs/>
              </w:rPr>
            </w:pPr>
            <w:r w:rsidRPr="00FA667B">
              <w:rPr>
                <w:b/>
                <w:bCs/>
              </w:rPr>
              <w:t>B</w:t>
            </w:r>
          </w:p>
        </w:tc>
        <w:tc>
          <w:tcPr>
            <w:tcW w:w="3142" w:type="dxa"/>
            <w:tcBorders>
              <w:top w:val="single" w:sz="8" w:space="0" w:color="auto"/>
              <w:left w:val="nil"/>
              <w:bottom w:val="single" w:sz="8" w:space="0" w:color="auto"/>
              <w:right w:val="single" w:sz="8" w:space="0" w:color="auto"/>
            </w:tcBorders>
            <w:vAlign w:val="center"/>
          </w:tcPr>
          <w:p w:rsidR="006002F1" w:rsidRPr="00FA667B" w:rsidRDefault="006002F1" w:rsidP="008E5B85">
            <w:pPr>
              <w:spacing w:line="360" w:lineRule="auto"/>
              <w:rPr>
                <w:b/>
                <w:bCs/>
              </w:rPr>
            </w:pPr>
            <w:r w:rsidRPr="00FA667B">
              <w:rPr>
                <w:b/>
                <w:bCs/>
              </w:rPr>
              <w:t>C</w:t>
            </w:r>
          </w:p>
        </w:tc>
      </w:tr>
      <w:tr w:rsidR="006002F1" w:rsidRPr="00FA667B" w:rsidTr="00E6773A">
        <w:trPr>
          <w:trHeight w:val="961"/>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klinický stav</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dobrý</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často dobrý/malé potíže</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špatný/závažné potíže                          (zvýšené celkové rizikov důsledku operace a komplikací</w:t>
            </w:r>
          </w:p>
        </w:tc>
      </w:tr>
      <w:tr w:rsidR="006002F1" w:rsidRPr="00FA667B" w:rsidTr="00E6773A">
        <w:trPr>
          <w:trHeight w:val="773"/>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komorbidity</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ne</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mohou být                                       (pankreatický leak nebo POPF, intraabdominální absces)</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možná ano                                        (pankreatický leak nebo píštěl, intraabdominální absces)</w:t>
            </w:r>
          </w:p>
        </w:tc>
      </w:tr>
      <w:tr w:rsidR="006002F1" w:rsidRPr="00FA667B" w:rsidTr="00E6773A">
        <w:trPr>
          <w:trHeight w:val="873"/>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b/>
                <w:bCs/>
              </w:rPr>
            </w:pPr>
            <w:r w:rsidRPr="00FA667B">
              <w:rPr>
                <w:b/>
                <w:bCs/>
              </w:rPr>
              <w:t>specifická léčba</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možná (prokinetika)</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ano                                                  (prokinetika, potenciální zavedení NGS)</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ano                                                   (založení NGS)</w:t>
            </w:r>
          </w:p>
        </w:tc>
      </w:tr>
      <w:tr w:rsidR="006002F1" w:rsidRPr="00FA667B" w:rsidTr="00E6773A">
        <w:trPr>
          <w:trHeight w:val="1242"/>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rPr>
                <w:b/>
                <w:bCs/>
              </w:rPr>
            </w:pPr>
            <w:r w:rsidRPr="00FA667B">
              <w:rPr>
                <w:b/>
                <w:bCs/>
              </w:rPr>
              <w:t>nutriční podpora                             (střevní nebo parenterální)</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možná ano                                      (pomalejší návrat k příjmu pevné potravy)</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ano                                                      (částečná parenterální výživa)</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ano                                                                     (totální enterální a parenterální výživa cestou NGS prodloužená na ˃3 týdny po operaci)</w:t>
            </w:r>
          </w:p>
        </w:tc>
      </w:tr>
      <w:tr w:rsidR="006002F1" w:rsidRPr="00FA667B" w:rsidTr="00E6773A">
        <w:trPr>
          <w:trHeight w:val="1002"/>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rPr>
                <w:b/>
                <w:bCs/>
              </w:rPr>
            </w:pPr>
            <w:r w:rsidRPr="00FA667B">
              <w:rPr>
                <w:b/>
                <w:bCs/>
              </w:rPr>
              <w:lastRenderedPageBreak/>
              <w:t>diagnostická evaluace</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ne</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možná                                                (endoskopie,kontrastní vyšetření horního GIT,CT)</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ano                                                (endoskopie, kontrastní vyšetřšní horního GIT)</w:t>
            </w:r>
          </w:p>
        </w:tc>
      </w:tr>
      <w:tr w:rsidR="006002F1" w:rsidRPr="00FA667B" w:rsidTr="00E6773A">
        <w:trPr>
          <w:trHeight w:val="1220"/>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rPr>
                <w:b/>
                <w:bCs/>
              </w:rPr>
            </w:pPr>
            <w:r w:rsidRPr="00FA667B">
              <w:rPr>
                <w:b/>
                <w:bCs/>
              </w:rPr>
              <w:t>intervenční léčba</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ne</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ne</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možná                                             (mj.drenáž abscesu, léčba komplikací, relaparotomie po DGE)</w:t>
            </w:r>
          </w:p>
        </w:tc>
      </w:tr>
      <w:tr w:rsidR="006002F1" w:rsidRPr="00FA667B" w:rsidTr="00E6773A">
        <w:trPr>
          <w:trHeight w:val="708"/>
          <w:jc w:val="center"/>
        </w:trPr>
        <w:tc>
          <w:tcPr>
            <w:tcW w:w="1844"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rPr>
                <w:b/>
                <w:bCs/>
              </w:rPr>
            </w:pPr>
            <w:r w:rsidRPr="00FA667B">
              <w:rPr>
                <w:b/>
                <w:bCs/>
              </w:rPr>
              <w:t>prodloužení pobytu v nemocnici</w:t>
            </w:r>
          </w:p>
        </w:tc>
        <w:tc>
          <w:tcPr>
            <w:tcW w:w="2835" w:type="dxa"/>
            <w:tcBorders>
              <w:top w:val="nil"/>
              <w:left w:val="nil"/>
              <w:bottom w:val="single" w:sz="4" w:space="0" w:color="auto"/>
              <w:right w:val="nil"/>
            </w:tcBorders>
            <w:vAlign w:val="center"/>
          </w:tcPr>
          <w:p w:rsidR="006002F1" w:rsidRPr="00FA667B" w:rsidRDefault="006002F1" w:rsidP="008E5B85">
            <w:pPr>
              <w:spacing w:line="360" w:lineRule="auto"/>
            </w:pPr>
            <w:r w:rsidRPr="00FA667B">
              <w:t xml:space="preserve"> možná</w:t>
            </w:r>
          </w:p>
        </w:tc>
        <w:tc>
          <w:tcPr>
            <w:tcW w:w="3260" w:type="dxa"/>
            <w:tcBorders>
              <w:top w:val="nil"/>
              <w:left w:val="single" w:sz="8" w:space="0" w:color="auto"/>
              <w:bottom w:val="single" w:sz="4" w:space="0" w:color="auto"/>
              <w:right w:val="single" w:sz="8" w:space="0" w:color="auto"/>
            </w:tcBorders>
            <w:vAlign w:val="center"/>
          </w:tcPr>
          <w:p w:rsidR="006002F1" w:rsidRPr="00FA667B" w:rsidRDefault="006002F1" w:rsidP="008E5B85">
            <w:pPr>
              <w:spacing w:line="360" w:lineRule="auto"/>
            </w:pPr>
            <w:r w:rsidRPr="00FA667B">
              <w:t>ano</w:t>
            </w:r>
          </w:p>
        </w:tc>
        <w:tc>
          <w:tcPr>
            <w:tcW w:w="3142" w:type="dxa"/>
            <w:tcBorders>
              <w:top w:val="nil"/>
              <w:left w:val="nil"/>
              <w:bottom w:val="single" w:sz="4" w:space="0" w:color="auto"/>
              <w:right w:val="single" w:sz="8" w:space="0" w:color="auto"/>
            </w:tcBorders>
            <w:vAlign w:val="center"/>
          </w:tcPr>
          <w:p w:rsidR="006002F1" w:rsidRPr="00FA667B" w:rsidRDefault="006002F1" w:rsidP="008E5B85">
            <w:pPr>
              <w:spacing w:line="360" w:lineRule="auto"/>
            </w:pPr>
            <w:r w:rsidRPr="00FA667B">
              <w:t>ano</w:t>
            </w:r>
          </w:p>
        </w:tc>
      </w:tr>
      <w:tr w:rsidR="006002F1" w:rsidRPr="00FA667B" w:rsidTr="00E6773A">
        <w:trPr>
          <w:trHeight w:val="548"/>
          <w:jc w:val="center"/>
        </w:trPr>
        <w:tc>
          <w:tcPr>
            <w:tcW w:w="1844"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rPr>
                <w:b/>
                <w:bCs/>
              </w:rPr>
            </w:pPr>
            <w:r w:rsidRPr="00FA667B">
              <w:rPr>
                <w:b/>
                <w:bCs/>
              </w:rPr>
              <w:t>zpoždění adjuvantní terapie</w:t>
            </w:r>
          </w:p>
        </w:tc>
        <w:tc>
          <w:tcPr>
            <w:tcW w:w="2835" w:type="dxa"/>
            <w:tcBorders>
              <w:top w:val="nil"/>
              <w:left w:val="nil"/>
              <w:bottom w:val="single" w:sz="8" w:space="0" w:color="auto"/>
              <w:right w:val="nil"/>
            </w:tcBorders>
            <w:vAlign w:val="center"/>
          </w:tcPr>
          <w:p w:rsidR="006002F1" w:rsidRPr="00FA667B" w:rsidRDefault="006002F1" w:rsidP="008E5B85">
            <w:pPr>
              <w:spacing w:line="360" w:lineRule="auto"/>
            </w:pPr>
            <w:r w:rsidRPr="00FA667B">
              <w:t>ne</w:t>
            </w:r>
          </w:p>
        </w:tc>
        <w:tc>
          <w:tcPr>
            <w:tcW w:w="3260" w:type="dxa"/>
            <w:tcBorders>
              <w:top w:val="nil"/>
              <w:left w:val="single" w:sz="8" w:space="0" w:color="auto"/>
              <w:bottom w:val="single" w:sz="8" w:space="0" w:color="auto"/>
              <w:right w:val="single" w:sz="8" w:space="0" w:color="auto"/>
            </w:tcBorders>
            <w:vAlign w:val="center"/>
          </w:tcPr>
          <w:p w:rsidR="006002F1" w:rsidRPr="00FA667B" w:rsidRDefault="006002F1" w:rsidP="008E5B85">
            <w:pPr>
              <w:spacing w:line="360" w:lineRule="auto"/>
            </w:pPr>
            <w:r w:rsidRPr="00FA667B">
              <w:t>ano</w:t>
            </w:r>
          </w:p>
        </w:tc>
        <w:tc>
          <w:tcPr>
            <w:tcW w:w="3142" w:type="dxa"/>
            <w:tcBorders>
              <w:top w:val="nil"/>
              <w:left w:val="nil"/>
              <w:bottom w:val="single" w:sz="8" w:space="0" w:color="auto"/>
              <w:right w:val="single" w:sz="8" w:space="0" w:color="auto"/>
            </w:tcBorders>
            <w:vAlign w:val="center"/>
          </w:tcPr>
          <w:p w:rsidR="006002F1" w:rsidRPr="00FA667B" w:rsidRDefault="006002F1" w:rsidP="008E5B85">
            <w:pPr>
              <w:spacing w:line="360" w:lineRule="auto"/>
            </w:pPr>
            <w:r w:rsidRPr="00FA667B">
              <w:t>ano</w:t>
            </w:r>
          </w:p>
        </w:tc>
      </w:tr>
    </w:tbl>
    <w:p w:rsidR="006002F1" w:rsidRPr="00FA667B" w:rsidRDefault="006002F1" w:rsidP="00FA667B">
      <w:pPr>
        <w:spacing w:line="360" w:lineRule="auto"/>
        <w:jc w:val="both"/>
        <w:rPr>
          <w:b/>
          <w:i/>
        </w:rPr>
      </w:pPr>
    </w:p>
    <w:p w:rsidR="00DE1C1A" w:rsidRPr="00FA667B" w:rsidRDefault="00DE1C1A" w:rsidP="00FA667B">
      <w:pPr>
        <w:spacing w:line="360" w:lineRule="auto"/>
        <w:jc w:val="both"/>
        <w:rPr>
          <w:b/>
          <w:i/>
        </w:rPr>
      </w:pPr>
    </w:p>
    <w:p w:rsidR="006002F1" w:rsidRPr="00FA667B" w:rsidRDefault="008E5B85" w:rsidP="00FA667B">
      <w:pPr>
        <w:spacing w:line="360" w:lineRule="auto"/>
        <w:jc w:val="both"/>
        <w:rPr>
          <w:b/>
          <w:i/>
          <w:u w:val="single"/>
        </w:rPr>
      </w:pPr>
      <w:r>
        <w:rPr>
          <w:b/>
          <w:i/>
          <w:u w:val="single"/>
        </w:rPr>
        <w:t>4.4</w:t>
      </w:r>
      <w:r w:rsidR="006002F1" w:rsidRPr="00FA667B">
        <w:rPr>
          <w:b/>
          <w:i/>
          <w:u w:val="single"/>
        </w:rPr>
        <w:t>.Biliární leak</w:t>
      </w:r>
    </w:p>
    <w:p w:rsidR="00320760" w:rsidRPr="00FA667B" w:rsidRDefault="006002F1" w:rsidP="00FA667B">
      <w:pPr>
        <w:spacing w:line="360" w:lineRule="auto"/>
        <w:jc w:val="both"/>
        <w:rPr>
          <w:rStyle w:val="articlecitationpages"/>
        </w:rPr>
      </w:pPr>
      <w:r w:rsidRPr="00FA667B">
        <w:t>Leak z hepatikojejunoanastomózy (HJA) je druhý nejčastější leak u</w:t>
      </w:r>
      <w:r w:rsidR="00320760" w:rsidRPr="00FA667B">
        <w:t xml:space="preserve"> PDE. </w:t>
      </w:r>
      <w:r w:rsidR="00320760" w:rsidRPr="00FA667B">
        <w:rPr>
          <w:rStyle w:val="articlecitationpages"/>
        </w:rPr>
        <w:t xml:space="preserve">Biliární leak se může vyskytovat samostatně nebo současně s pankreatickou píštělí. Je to závažná komplikace zhoršující jak mortalitu, tak i morbiditu nemocných. </w:t>
      </w:r>
      <w:r w:rsidR="00320760" w:rsidRPr="00FA667B">
        <w:t>[67]</w:t>
      </w:r>
    </w:p>
    <w:p w:rsidR="006002F1" w:rsidRPr="00FA667B" w:rsidRDefault="006002F1" w:rsidP="00FA667B">
      <w:pPr>
        <w:spacing w:line="360" w:lineRule="auto"/>
        <w:jc w:val="both"/>
        <w:rPr>
          <w:rStyle w:val="articlecitationpages"/>
        </w:rPr>
      </w:pPr>
      <w:r w:rsidRPr="00FA667B">
        <w:rPr>
          <w:rStyle w:val="articlecitationpages"/>
        </w:rPr>
        <w:t>Nejzávažnější komplikací biliárního leaku je biliární peritonitida, nitrobřišní absces, sepse,</w:t>
      </w:r>
      <w:r w:rsidR="00E97A20" w:rsidRPr="00FA667B">
        <w:rPr>
          <w:rStyle w:val="articlecitationpages"/>
        </w:rPr>
        <w:t xml:space="preserve"> </w:t>
      </w:r>
      <w:r w:rsidR="00320760" w:rsidRPr="00FA667B">
        <w:rPr>
          <w:rStyle w:val="articlecitationpages"/>
        </w:rPr>
        <w:t>které mohou</w:t>
      </w:r>
      <w:r w:rsidRPr="00FA667B">
        <w:rPr>
          <w:rStyle w:val="articlecitationpages"/>
        </w:rPr>
        <w:t xml:space="preserve"> vést až k úmrtí. Také má vliv na celkové přežívání nemocných po</w:t>
      </w:r>
      <w:r w:rsidR="00320760" w:rsidRPr="00FA667B">
        <w:rPr>
          <w:rStyle w:val="articlecitationpages"/>
        </w:rPr>
        <w:t xml:space="preserve"> PDE</w:t>
      </w:r>
      <w:r w:rsidRPr="00FA667B">
        <w:rPr>
          <w:rStyle w:val="articlecitationpages"/>
        </w:rPr>
        <w:t>, jelikož se oddaluje zahájení onkologické léčby. Incidence leaku z HJA se vyskytuje 0,4-8%.</w:t>
      </w:r>
    </w:p>
    <w:p w:rsidR="006002F1" w:rsidRPr="00FA667B" w:rsidRDefault="006002F1" w:rsidP="00FA667B">
      <w:pPr>
        <w:spacing w:line="360" w:lineRule="auto"/>
        <w:jc w:val="both"/>
        <w:rPr>
          <w:rStyle w:val="articlecitationpages"/>
        </w:rPr>
      </w:pPr>
      <w:r w:rsidRPr="00FA667B">
        <w:rPr>
          <w:rStyle w:val="articlecitationpages"/>
        </w:rPr>
        <w:t xml:space="preserve">International study group of liver surgery (ISGLS) v roce 2008 podala první návrh na znění definice a dělení biliárního leaku. V roce 2010 byla přijata tato definice: </w:t>
      </w:r>
    </w:p>
    <w:p w:rsidR="006002F1" w:rsidRPr="00FA667B" w:rsidRDefault="006002F1" w:rsidP="00FA667B">
      <w:pPr>
        <w:spacing w:line="360" w:lineRule="auto"/>
        <w:jc w:val="both"/>
        <w:rPr>
          <w:rStyle w:val="articlecitationpages"/>
        </w:rPr>
      </w:pPr>
      <w:r w:rsidRPr="00FA667B">
        <w:rPr>
          <w:rStyle w:val="articlecitationpages"/>
        </w:rPr>
        <w:t>„</w:t>
      </w:r>
      <w:r w:rsidRPr="00FA667B">
        <w:rPr>
          <w:rStyle w:val="articlecitationpages"/>
          <w:i/>
        </w:rPr>
        <w:t>Biliární leak” nebo také „bilární píštěl</w:t>
      </w:r>
      <w:r w:rsidRPr="00FA667B">
        <w:rPr>
          <w:rStyle w:val="articlecitationpages"/>
        </w:rPr>
        <w:t xml:space="preserve">” je definována jako přítomnost tekutiny (intraabdominálně nebo v drénu) se zvýšenou koncentrací bilirubinu třetí pooperační den. </w:t>
      </w:r>
      <w:r w:rsidR="00E97A20" w:rsidRPr="00FA667B">
        <w:rPr>
          <w:rStyle w:val="articlecitationpages"/>
        </w:rPr>
        <w:t>U nemocného je n</w:t>
      </w:r>
      <w:r w:rsidRPr="00FA667B">
        <w:rPr>
          <w:rStyle w:val="articlecitationpages"/>
        </w:rPr>
        <w:t xml:space="preserve">utnost radiologické intervence nebo operační revize pro biliární peritonitidu. </w:t>
      </w:r>
    </w:p>
    <w:p w:rsidR="006002F1" w:rsidRPr="00FA667B" w:rsidRDefault="006002F1" w:rsidP="00FA667B">
      <w:pPr>
        <w:spacing w:line="360" w:lineRule="auto"/>
        <w:jc w:val="both"/>
        <w:rPr>
          <w:rStyle w:val="articlecitationpages"/>
        </w:rPr>
      </w:pPr>
      <w:r w:rsidRPr="00FA667B">
        <w:rPr>
          <w:rStyle w:val="articlecitationpages"/>
          <w:i/>
        </w:rPr>
        <w:t>Zvýšená koncentrace bilirubinu</w:t>
      </w:r>
      <w:r w:rsidRPr="00FA667B">
        <w:rPr>
          <w:rStyle w:val="articlecitationpages"/>
        </w:rPr>
        <w:t xml:space="preserve"> v drénu nebo v intraabdominální kolekci je definována jako </w:t>
      </w:r>
      <w:r w:rsidRPr="00FA667B">
        <w:rPr>
          <w:rStyle w:val="tlid-translationtranslation"/>
        </w:rPr>
        <w:t>koncentrace bilirubinu nejméně 3krát vyšší než koncentrace bilirubinu v séru.</w:t>
      </w:r>
    </w:p>
    <w:p w:rsidR="00E97A20" w:rsidRPr="00876D52" w:rsidRDefault="006002F1" w:rsidP="00FA667B">
      <w:pPr>
        <w:spacing w:line="360" w:lineRule="auto"/>
        <w:jc w:val="both"/>
      </w:pPr>
      <w:r w:rsidRPr="00FA667B">
        <w:rPr>
          <w:rStyle w:val="articlecitationpages"/>
          <w:i/>
        </w:rPr>
        <w:t>Bilom</w:t>
      </w:r>
      <w:r w:rsidRPr="00FA667B">
        <w:rPr>
          <w:rStyle w:val="articlecitationpages"/>
        </w:rPr>
        <w:t xml:space="preserve"> se používá pro</w:t>
      </w:r>
      <w:r w:rsidR="00E97A20" w:rsidRPr="00FA667B">
        <w:rPr>
          <w:rStyle w:val="articlecitationpages"/>
        </w:rPr>
        <w:t xml:space="preserve"> označení pooperační žlučové kolekce</w:t>
      </w:r>
      <w:r w:rsidRPr="00FA667B">
        <w:rPr>
          <w:rStyle w:val="articlecitationpages"/>
        </w:rPr>
        <w:t xml:space="preserve"> v dutině břišní vyžadující drenáž. [68]</w:t>
      </w:r>
    </w:p>
    <w:p w:rsidR="00CA373D" w:rsidRDefault="00E97A20" w:rsidP="00FA667B">
      <w:pPr>
        <w:spacing w:line="360" w:lineRule="auto"/>
        <w:jc w:val="both"/>
      </w:pPr>
      <w:r w:rsidRPr="00FA667B">
        <w:t>Podle závažnosti je biliární leak dělen do tří stadií: r</w:t>
      </w:r>
      <w:r w:rsidR="006002F1" w:rsidRPr="00FA667B">
        <w:t>adiologický leak – nemá klinickou symptomatologii a nevyžaduje žádné řešení</w:t>
      </w:r>
      <w:r w:rsidRPr="00FA667B">
        <w:t xml:space="preserve"> a leak typu A,B,C</w:t>
      </w:r>
      <w:r w:rsidR="00E3730B">
        <w:t xml:space="preserve">, které se klinicky manifestují. </w:t>
      </w:r>
      <w:r w:rsidRPr="00FA667B">
        <w:t>(viz.tab.č.7)</w:t>
      </w:r>
    </w:p>
    <w:p w:rsidR="006002F1" w:rsidRPr="00FA667B" w:rsidRDefault="006002F1" w:rsidP="00FA667B">
      <w:pPr>
        <w:spacing w:line="360" w:lineRule="auto"/>
        <w:jc w:val="both"/>
        <w:rPr>
          <w:rStyle w:val="articlecitationpages"/>
        </w:rPr>
      </w:pPr>
      <w:r w:rsidRPr="00FA667B">
        <w:rPr>
          <w:rStyle w:val="articlecitationpages"/>
        </w:rPr>
        <w:lastRenderedPageBreak/>
        <w:t>Tab.č.</w:t>
      </w:r>
      <w:r w:rsidR="005455CB" w:rsidRPr="00FA667B">
        <w:rPr>
          <w:rStyle w:val="articlecitationpages"/>
        </w:rPr>
        <w:t>8</w:t>
      </w:r>
      <w:r w:rsidRPr="00FA667B">
        <w:rPr>
          <w:rStyle w:val="articlecitationpages"/>
        </w:rPr>
        <w:t>. Dělení biliárního leaku</w:t>
      </w:r>
    </w:p>
    <w:tbl>
      <w:tblPr>
        <w:tblpPr w:leftFromText="141" w:rightFromText="141" w:vertAnchor="text" w:horzAnchor="margin" w:tblpXSpec="center" w:tblpY="1"/>
        <w:tblW w:w="10280" w:type="dxa"/>
        <w:tblCellMar>
          <w:left w:w="70" w:type="dxa"/>
          <w:right w:w="70" w:type="dxa"/>
        </w:tblCellMar>
        <w:tblLook w:val="0000" w:firstRow="0" w:lastRow="0" w:firstColumn="0" w:lastColumn="0" w:noHBand="0" w:noVBand="0"/>
      </w:tblPr>
      <w:tblGrid>
        <w:gridCol w:w="2180"/>
        <w:gridCol w:w="2700"/>
        <w:gridCol w:w="2700"/>
        <w:gridCol w:w="2700"/>
      </w:tblGrid>
      <w:tr w:rsidR="006002F1" w:rsidRPr="00FA667B" w:rsidTr="00C26746">
        <w:trPr>
          <w:trHeight w:val="600"/>
        </w:trPr>
        <w:tc>
          <w:tcPr>
            <w:tcW w:w="2180" w:type="dxa"/>
            <w:tcBorders>
              <w:top w:val="nil"/>
              <w:left w:val="nil"/>
              <w:bottom w:val="nil"/>
              <w:right w:val="nil"/>
            </w:tcBorders>
            <w:vAlign w:val="center"/>
          </w:tcPr>
          <w:p w:rsidR="006002F1" w:rsidRPr="00FA667B" w:rsidRDefault="006002F1" w:rsidP="00FA667B">
            <w:pPr>
              <w:spacing w:line="360" w:lineRule="auto"/>
              <w:jc w:val="both"/>
              <w:rPr>
                <w:color w:val="000000"/>
              </w:rPr>
            </w:pPr>
          </w:p>
          <w:p w:rsidR="006002F1" w:rsidRPr="00FA667B" w:rsidRDefault="006002F1" w:rsidP="00FA667B">
            <w:pPr>
              <w:spacing w:line="360" w:lineRule="auto"/>
              <w:jc w:val="both"/>
              <w:rPr>
                <w:color w:val="000000"/>
              </w:rPr>
            </w:pPr>
          </w:p>
        </w:tc>
        <w:tc>
          <w:tcPr>
            <w:tcW w:w="270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b/>
                <w:bCs/>
                <w:color w:val="000000"/>
              </w:rPr>
            </w:pPr>
            <w:r w:rsidRPr="00FA667B">
              <w:rPr>
                <w:b/>
                <w:bCs/>
                <w:color w:val="000000"/>
              </w:rPr>
              <w:t>Grade A</w:t>
            </w:r>
          </w:p>
        </w:tc>
        <w:tc>
          <w:tcPr>
            <w:tcW w:w="2700" w:type="dxa"/>
            <w:tcBorders>
              <w:top w:val="single" w:sz="8" w:space="0" w:color="auto"/>
              <w:left w:val="nil"/>
              <w:bottom w:val="single" w:sz="8" w:space="0" w:color="auto"/>
              <w:right w:val="single" w:sz="8" w:space="0" w:color="auto"/>
            </w:tcBorders>
            <w:vAlign w:val="center"/>
          </w:tcPr>
          <w:p w:rsidR="006002F1" w:rsidRPr="00FA667B" w:rsidRDefault="006002F1" w:rsidP="00FA667B">
            <w:pPr>
              <w:spacing w:line="360" w:lineRule="auto"/>
              <w:jc w:val="both"/>
              <w:rPr>
                <w:b/>
                <w:bCs/>
                <w:color w:val="000000"/>
              </w:rPr>
            </w:pPr>
            <w:r w:rsidRPr="00FA667B">
              <w:rPr>
                <w:b/>
                <w:bCs/>
                <w:color w:val="000000"/>
              </w:rPr>
              <w:t>Grade B</w:t>
            </w:r>
          </w:p>
        </w:tc>
        <w:tc>
          <w:tcPr>
            <w:tcW w:w="2700" w:type="dxa"/>
            <w:tcBorders>
              <w:top w:val="single" w:sz="8" w:space="0" w:color="auto"/>
              <w:left w:val="nil"/>
              <w:bottom w:val="nil"/>
              <w:right w:val="single" w:sz="8" w:space="0" w:color="auto"/>
            </w:tcBorders>
            <w:vAlign w:val="center"/>
          </w:tcPr>
          <w:p w:rsidR="006002F1" w:rsidRPr="00FA667B" w:rsidRDefault="006002F1" w:rsidP="00FA667B">
            <w:pPr>
              <w:spacing w:line="360" w:lineRule="auto"/>
              <w:jc w:val="both"/>
              <w:rPr>
                <w:b/>
                <w:bCs/>
                <w:color w:val="000000"/>
              </w:rPr>
            </w:pPr>
            <w:r w:rsidRPr="00FA667B">
              <w:rPr>
                <w:b/>
                <w:bCs/>
                <w:color w:val="000000"/>
              </w:rPr>
              <w:t>Grade C</w:t>
            </w:r>
          </w:p>
        </w:tc>
      </w:tr>
      <w:tr w:rsidR="006002F1" w:rsidRPr="00FA667B" w:rsidTr="00C26746">
        <w:trPr>
          <w:trHeight w:val="799"/>
        </w:trPr>
        <w:tc>
          <w:tcPr>
            <w:tcW w:w="2180" w:type="dxa"/>
            <w:tcBorders>
              <w:top w:val="single" w:sz="8" w:space="0" w:color="auto"/>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Klinický stav</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CA373D">
            <w:pPr>
              <w:spacing w:line="360" w:lineRule="auto"/>
              <w:jc w:val="both"/>
              <w:rPr>
                <w:color w:val="000000"/>
              </w:rPr>
            </w:pPr>
            <w:r w:rsidRPr="00FA667B">
              <w:rPr>
                <w:color w:val="000000"/>
              </w:rPr>
              <w:t xml:space="preserve">mírně </w:t>
            </w:r>
            <w:r w:rsidR="00CA373D">
              <w:rPr>
                <w:color w:val="000000"/>
              </w:rPr>
              <w:t>závažný</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 xml:space="preserve">středně závažný                                                   </w:t>
            </w:r>
          </w:p>
        </w:tc>
        <w:tc>
          <w:tcPr>
            <w:tcW w:w="2700" w:type="dxa"/>
            <w:tcBorders>
              <w:top w:val="single" w:sz="8" w:space="0" w:color="auto"/>
              <w:left w:val="single" w:sz="8" w:space="0" w:color="auto"/>
              <w:bottom w:val="single" w:sz="4" w:space="0" w:color="auto"/>
              <w:right w:val="single" w:sz="8" w:space="0" w:color="auto"/>
            </w:tcBorders>
            <w:vAlign w:val="center"/>
          </w:tcPr>
          <w:p w:rsidR="006002F1" w:rsidRPr="00FA667B" w:rsidRDefault="00CA373D" w:rsidP="00CA373D">
            <w:pPr>
              <w:spacing w:line="360" w:lineRule="auto"/>
              <w:jc w:val="both"/>
              <w:rPr>
                <w:color w:val="000000"/>
              </w:rPr>
            </w:pPr>
            <w:r>
              <w:rPr>
                <w:color w:val="000000"/>
              </w:rPr>
              <w:t>závážný</w:t>
            </w:r>
            <w:r w:rsidR="006002F1" w:rsidRPr="00FA667B">
              <w:rPr>
                <w:color w:val="000000"/>
              </w:rPr>
              <w:t xml:space="preserve">                                                                  </w:t>
            </w:r>
          </w:p>
        </w:tc>
      </w:tr>
      <w:tr w:rsidR="006002F1" w:rsidRPr="00FA667B" w:rsidTr="00C26746">
        <w:trPr>
          <w:trHeight w:val="1002"/>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Klinické symptomy</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CA373D" w:rsidP="00FA667B">
            <w:pPr>
              <w:spacing w:line="360" w:lineRule="auto"/>
              <w:jc w:val="both"/>
              <w:rPr>
                <w:color w:val="000000"/>
              </w:rPr>
            </w:pPr>
            <w:r>
              <w:rPr>
                <w:color w:val="000000"/>
              </w:rPr>
              <w:t>ojediněle</w:t>
            </w:r>
          </w:p>
        </w:tc>
        <w:tc>
          <w:tcPr>
            <w:tcW w:w="2700" w:type="dxa"/>
            <w:tcBorders>
              <w:top w:val="nil"/>
              <w:left w:val="nil"/>
              <w:bottom w:val="single" w:sz="4" w:space="0" w:color="auto"/>
              <w:right w:val="nil"/>
            </w:tcBorders>
            <w:vAlign w:val="center"/>
          </w:tcPr>
          <w:p w:rsidR="006002F1" w:rsidRPr="00FA667B" w:rsidRDefault="00CA373D" w:rsidP="00FA667B">
            <w:pPr>
              <w:spacing w:line="360" w:lineRule="auto"/>
              <w:jc w:val="both"/>
              <w:rPr>
                <w:color w:val="000000"/>
              </w:rPr>
            </w:pPr>
            <w:r>
              <w:rPr>
                <w:color w:val="000000"/>
              </w:rPr>
              <w:t xml:space="preserve">Většinou </w:t>
            </w:r>
            <w:r w:rsidR="006002F1" w:rsidRPr="00FA667B">
              <w:rPr>
                <w:color w:val="000000"/>
              </w:rPr>
              <w:t>bolesti břicha, možnost infekce</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 xml:space="preserve"> život ohrožující stav s možností selhání jednoho nebo více orgánů/biliární peritonitida</w:t>
            </w:r>
          </w:p>
        </w:tc>
      </w:tr>
      <w:tr w:rsidR="006002F1" w:rsidRPr="00FA667B" w:rsidTr="00C26746">
        <w:trPr>
          <w:trHeight w:val="799"/>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Drenáž ˃ 1 týden</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ne</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obvykle ano</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ano</w:t>
            </w:r>
          </w:p>
        </w:tc>
      </w:tr>
      <w:tr w:rsidR="006002F1" w:rsidRPr="00FA667B" w:rsidTr="00C26746">
        <w:trPr>
          <w:trHeight w:val="1002"/>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Potřeba diagnostických postupů</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ne</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obvykle ano</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ano</w:t>
            </w:r>
          </w:p>
        </w:tc>
      </w:tr>
      <w:tr w:rsidR="006002F1" w:rsidRPr="00FA667B" w:rsidTr="00C26746">
        <w:trPr>
          <w:trHeight w:val="1002"/>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Pozitivní radiologický nález                                 (bilom, absces,únik)</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možná ano</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obvykle ano</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obvykle ano</w:t>
            </w:r>
          </w:p>
        </w:tc>
      </w:tr>
      <w:tr w:rsidR="006002F1" w:rsidRPr="00FA667B" w:rsidTr="00C26746">
        <w:trPr>
          <w:trHeight w:val="1002"/>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Radiologická nebo endoskopická intervence</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ne</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obvykle ano</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ne/ano</w:t>
            </w:r>
          </w:p>
        </w:tc>
      </w:tr>
      <w:tr w:rsidR="006002F1" w:rsidRPr="00FA667B" w:rsidTr="00C26746">
        <w:trPr>
          <w:trHeight w:val="799"/>
        </w:trPr>
        <w:tc>
          <w:tcPr>
            <w:tcW w:w="2180" w:type="dxa"/>
            <w:tcBorders>
              <w:top w:val="nil"/>
              <w:left w:val="single" w:sz="8" w:space="0" w:color="auto"/>
              <w:bottom w:val="single" w:sz="4"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Relaparotomie</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ne</w:t>
            </w:r>
          </w:p>
        </w:tc>
        <w:tc>
          <w:tcPr>
            <w:tcW w:w="2700" w:type="dxa"/>
            <w:tcBorders>
              <w:top w:val="nil"/>
              <w:left w:val="nil"/>
              <w:bottom w:val="single" w:sz="4" w:space="0" w:color="auto"/>
              <w:right w:val="nil"/>
            </w:tcBorders>
            <w:vAlign w:val="center"/>
          </w:tcPr>
          <w:p w:rsidR="006002F1" w:rsidRPr="00FA667B" w:rsidRDefault="006002F1" w:rsidP="00FA667B">
            <w:pPr>
              <w:spacing w:line="360" w:lineRule="auto"/>
              <w:jc w:val="both"/>
              <w:rPr>
                <w:color w:val="000000"/>
              </w:rPr>
            </w:pPr>
            <w:r w:rsidRPr="00FA667B">
              <w:rPr>
                <w:color w:val="000000"/>
              </w:rPr>
              <w:t>ne</w:t>
            </w:r>
          </w:p>
        </w:tc>
        <w:tc>
          <w:tcPr>
            <w:tcW w:w="2700" w:type="dxa"/>
            <w:tcBorders>
              <w:top w:val="nil"/>
              <w:left w:val="single" w:sz="8" w:space="0" w:color="auto"/>
              <w:bottom w:val="single" w:sz="4"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ano</w:t>
            </w:r>
          </w:p>
        </w:tc>
      </w:tr>
      <w:tr w:rsidR="006002F1" w:rsidRPr="00FA667B" w:rsidTr="00C26746">
        <w:trPr>
          <w:trHeight w:val="799"/>
        </w:trPr>
        <w:tc>
          <w:tcPr>
            <w:tcW w:w="2180" w:type="dxa"/>
            <w:tcBorders>
              <w:top w:val="nil"/>
              <w:left w:val="single" w:sz="8" w:space="0" w:color="auto"/>
              <w:bottom w:val="single" w:sz="8" w:space="0" w:color="auto"/>
              <w:right w:val="nil"/>
            </w:tcBorders>
            <w:vAlign w:val="center"/>
          </w:tcPr>
          <w:p w:rsidR="006002F1" w:rsidRPr="00FA667B" w:rsidRDefault="006002F1" w:rsidP="00FA667B">
            <w:pPr>
              <w:spacing w:line="360" w:lineRule="auto"/>
              <w:jc w:val="both"/>
              <w:rPr>
                <w:b/>
                <w:bCs/>
                <w:color w:val="000000"/>
              </w:rPr>
            </w:pPr>
            <w:r w:rsidRPr="00FA667B">
              <w:rPr>
                <w:b/>
                <w:bCs/>
                <w:color w:val="000000"/>
              </w:rPr>
              <w:t>Prodloužená hospitalizace</w:t>
            </w:r>
          </w:p>
        </w:tc>
        <w:tc>
          <w:tcPr>
            <w:tcW w:w="2700" w:type="dxa"/>
            <w:tcBorders>
              <w:top w:val="nil"/>
              <w:left w:val="single" w:sz="8" w:space="0" w:color="auto"/>
              <w:bottom w:val="single" w:sz="8" w:space="0" w:color="auto"/>
              <w:right w:val="single" w:sz="8" w:space="0" w:color="auto"/>
            </w:tcBorders>
            <w:vAlign w:val="center"/>
          </w:tcPr>
          <w:p w:rsidR="006002F1" w:rsidRPr="00FA667B" w:rsidRDefault="00CA373D" w:rsidP="00FA667B">
            <w:pPr>
              <w:spacing w:line="360" w:lineRule="auto"/>
              <w:jc w:val="both"/>
              <w:rPr>
                <w:color w:val="000000"/>
              </w:rPr>
            </w:pPr>
            <w:r>
              <w:rPr>
                <w:color w:val="000000"/>
              </w:rPr>
              <w:t>vyjímečně</w:t>
            </w:r>
          </w:p>
        </w:tc>
        <w:tc>
          <w:tcPr>
            <w:tcW w:w="2700" w:type="dxa"/>
            <w:tcBorders>
              <w:top w:val="nil"/>
              <w:left w:val="nil"/>
              <w:bottom w:val="single" w:sz="8" w:space="0" w:color="auto"/>
              <w:right w:val="nil"/>
            </w:tcBorders>
            <w:vAlign w:val="center"/>
          </w:tcPr>
          <w:p w:rsidR="006002F1" w:rsidRPr="00FA667B" w:rsidRDefault="006002F1" w:rsidP="00FA667B">
            <w:pPr>
              <w:spacing w:line="360" w:lineRule="auto"/>
              <w:jc w:val="both"/>
              <w:rPr>
                <w:color w:val="000000"/>
              </w:rPr>
            </w:pPr>
            <w:r w:rsidRPr="00FA667B">
              <w:rPr>
                <w:color w:val="000000"/>
              </w:rPr>
              <w:t>obvykle ano</w:t>
            </w:r>
          </w:p>
        </w:tc>
        <w:tc>
          <w:tcPr>
            <w:tcW w:w="2700" w:type="dxa"/>
            <w:tcBorders>
              <w:top w:val="nil"/>
              <w:left w:val="single" w:sz="8" w:space="0" w:color="auto"/>
              <w:bottom w:val="single" w:sz="8" w:space="0" w:color="auto"/>
              <w:right w:val="single" w:sz="8" w:space="0" w:color="auto"/>
            </w:tcBorders>
            <w:vAlign w:val="center"/>
          </w:tcPr>
          <w:p w:rsidR="006002F1" w:rsidRPr="00FA667B" w:rsidRDefault="006002F1" w:rsidP="00FA667B">
            <w:pPr>
              <w:spacing w:line="360" w:lineRule="auto"/>
              <w:jc w:val="both"/>
              <w:rPr>
                <w:color w:val="000000"/>
              </w:rPr>
            </w:pPr>
            <w:r w:rsidRPr="00FA667B">
              <w:rPr>
                <w:color w:val="000000"/>
              </w:rPr>
              <w:t>ano</w:t>
            </w:r>
          </w:p>
        </w:tc>
      </w:tr>
    </w:tbl>
    <w:p w:rsidR="006002F1" w:rsidRPr="00FA667B" w:rsidRDefault="006002F1" w:rsidP="00FA667B">
      <w:pPr>
        <w:spacing w:line="360" w:lineRule="auto"/>
        <w:jc w:val="both"/>
      </w:pPr>
    </w:p>
    <w:p w:rsidR="00E97A20" w:rsidRPr="00CA4DA4" w:rsidRDefault="00E97A20" w:rsidP="00FA667B">
      <w:pPr>
        <w:spacing w:line="360" w:lineRule="auto"/>
        <w:jc w:val="both"/>
        <w:rPr>
          <w:rStyle w:val="articlecitationpages"/>
          <w:color w:val="FF0000"/>
        </w:rPr>
      </w:pPr>
      <w:r w:rsidRPr="00FA667B">
        <w:rPr>
          <w:rStyle w:val="articlecitationpages"/>
        </w:rPr>
        <w:t xml:space="preserve">Mezi rizikové faktory podílející se na vzniku biliárního leaku patří technická chyba rekonstrukce anastomózy, malý průměr žlučovodu, nadměrná </w:t>
      </w:r>
      <w:r w:rsidR="00CA4DA4">
        <w:rPr>
          <w:rStyle w:val="articlecitationpages"/>
        </w:rPr>
        <w:t xml:space="preserve">stavění krvácení </w:t>
      </w:r>
      <w:r w:rsidRPr="00FA667B">
        <w:rPr>
          <w:rStyle w:val="articlecitationpages"/>
        </w:rPr>
        <w:t>při resekční ploše žlučovodu</w:t>
      </w:r>
      <w:r w:rsidR="00CA4DA4">
        <w:rPr>
          <w:rStyle w:val="articlecitationpages"/>
        </w:rPr>
        <w:t xml:space="preserve"> a tím jeho ischemie</w:t>
      </w:r>
      <w:r w:rsidRPr="00FA667B">
        <w:rPr>
          <w:rStyle w:val="articlecitationpages"/>
        </w:rPr>
        <w:t>, pankreat</w:t>
      </w:r>
      <w:r w:rsidR="00CA4DA4">
        <w:rPr>
          <w:rStyle w:val="articlecitationpages"/>
        </w:rPr>
        <w:t xml:space="preserve">ická píštěl, neoadjuvantní CHT nebo </w:t>
      </w:r>
      <w:r w:rsidRPr="00FA667B">
        <w:rPr>
          <w:rStyle w:val="articlecitationpages"/>
        </w:rPr>
        <w:t xml:space="preserve">malnutrice. </w:t>
      </w:r>
      <w:r w:rsidRPr="00CA4DA4">
        <w:rPr>
          <w:rStyle w:val="articlecitationpages"/>
        </w:rPr>
        <w:t>[69]</w:t>
      </w:r>
    </w:p>
    <w:p w:rsidR="00CA4DA4" w:rsidRDefault="00E97A20" w:rsidP="00FA667B">
      <w:pPr>
        <w:spacing w:line="360" w:lineRule="auto"/>
        <w:jc w:val="both"/>
        <w:rPr>
          <w:rStyle w:val="articlecitationpages"/>
        </w:rPr>
      </w:pPr>
      <w:r w:rsidRPr="00FA667B">
        <w:rPr>
          <w:rStyle w:val="articlecitationpages"/>
        </w:rPr>
        <w:t xml:space="preserve">Biliární leak typu A je nejméně závažný. Dostačující léčbou je ponechání </w:t>
      </w:r>
      <w:r w:rsidR="003D7B0F" w:rsidRPr="00FA667B">
        <w:rPr>
          <w:rStyle w:val="articlecitationpages"/>
        </w:rPr>
        <w:t>peroperačně zavedených drénů</w:t>
      </w:r>
      <w:r w:rsidRPr="00FA667B">
        <w:rPr>
          <w:rStyle w:val="articlecitationpages"/>
        </w:rPr>
        <w:t xml:space="preserve">, samozřejmě za pravidelné kontroly laboratoří a zobrazovacích metod (UZ nebo kontrolního CT břicha) k vyloučení kolekce charakteru abscesu. </w:t>
      </w:r>
    </w:p>
    <w:p w:rsidR="00CA4DA4" w:rsidRDefault="00E97A20" w:rsidP="00FA667B">
      <w:pPr>
        <w:spacing w:line="360" w:lineRule="auto"/>
        <w:jc w:val="both"/>
        <w:rPr>
          <w:rStyle w:val="articlecitationpages"/>
        </w:rPr>
      </w:pPr>
      <w:r w:rsidRPr="00FA667B">
        <w:rPr>
          <w:rStyle w:val="articlecitationpages"/>
        </w:rPr>
        <w:t xml:space="preserve">Biliární leak typu B je </w:t>
      </w:r>
      <w:r w:rsidR="00CA373D">
        <w:rPr>
          <w:rStyle w:val="articlecitationpages"/>
        </w:rPr>
        <w:t>záva</w:t>
      </w:r>
      <w:r w:rsidRPr="00FA667B">
        <w:rPr>
          <w:rStyle w:val="articlecitationpages"/>
        </w:rPr>
        <w:t xml:space="preserve">žnější, projevuje se klinickými příznaky jako je bolest břicha nebo teplota. Léčba spočívá v ponechání původního drénu a zavedení perkutánní transhepatální </w:t>
      </w:r>
      <w:r w:rsidRPr="00FA667B">
        <w:rPr>
          <w:rStyle w:val="articlecitationpages"/>
        </w:rPr>
        <w:lastRenderedPageBreak/>
        <w:t xml:space="preserve">drenáže nebo-li zevně vnitřní drenáže (PTCD). Tím odkloníme odtok žluči anastomózou a urychlíme hojení HJA. V případě vzniku bilomu je indikována drenáž pod CT. Součástí léčby je podávání antibiotik, abychom předešli vzniku infekce a abscesu. Průměrná doba hojení je 2 měsíce. Po zahojení HJA se PTCD odstraní. </w:t>
      </w:r>
    </w:p>
    <w:p w:rsidR="00E97A20" w:rsidRPr="00FA667B" w:rsidRDefault="00E97A20" w:rsidP="00FA667B">
      <w:pPr>
        <w:spacing w:line="360" w:lineRule="auto"/>
        <w:jc w:val="both"/>
        <w:rPr>
          <w:rStyle w:val="articlecitationpages"/>
        </w:rPr>
      </w:pPr>
      <w:r w:rsidRPr="00FA667B">
        <w:rPr>
          <w:rStyle w:val="articlecitationpages"/>
        </w:rPr>
        <w:t xml:space="preserve">Nejzávažnější je biliární leak typu </w:t>
      </w:r>
      <w:r w:rsidRPr="00FA667B">
        <w:rPr>
          <w:noProof/>
        </w:rPr>
        <w:t xml:space="preserve">C. Projevuje se známkami sepse a </w:t>
      </w:r>
      <w:r w:rsidRPr="00FA667B">
        <w:rPr>
          <w:rStyle w:val="articlecitationpages"/>
        </w:rPr>
        <w:t>vysokými odpady</w:t>
      </w:r>
      <w:r w:rsidR="00145AF7" w:rsidRPr="00FA667B">
        <w:rPr>
          <w:rStyle w:val="articlecitationpages"/>
        </w:rPr>
        <w:t xml:space="preserve"> žluči</w:t>
      </w:r>
      <w:r w:rsidRPr="00FA667B">
        <w:rPr>
          <w:rStyle w:val="articlecitationpages"/>
        </w:rPr>
        <w:t xml:space="preserve"> z drénu. V diagnostice využíváme CT břicha a PTCD. Zde musíme pomýšlet na vznik biliární peritonitidy, která si vyžaduje chirurgickou revizi. [70]</w:t>
      </w:r>
    </w:p>
    <w:p w:rsidR="006002F1" w:rsidRPr="00CA4DA4" w:rsidRDefault="00CA4DA4" w:rsidP="00FA667B">
      <w:pPr>
        <w:spacing w:line="360" w:lineRule="auto"/>
        <w:jc w:val="both"/>
      </w:pPr>
      <w:r w:rsidRPr="00CA4DA4">
        <w:rPr>
          <w:rStyle w:val="articlecitationpages"/>
        </w:rPr>
        <w:t xml:space="preserve">Dlouhodobou komplikací v hojení HJA je její striktura, která se vyskytuje asi ve 2,6% případů. Medián vzniku benigní striktury se odhaduje podle studií na 13 měsíců. </w:t>
      </w:r>
      <w:r>
        <w:rPr>
          <w:rStyle w:val="articlecitationpages"/>
        </w:rPr>
        <w:t>Řešením striktury je zavedení PTCD, dilatací nebo zavedení</w:t>
      </w:r>
      <w:r w:rsidR="00637675">
        <w:rPr>
          <w:rStyle w:val="articlecitationpages"/>
        </w:rPr>
        <w:t>m</w:t>
      </w:r>
      <w:r>
        <w:rPr>
          <w:rStyle w:val="articlecitationpages"/>
        </w:rPr>
        <w:t xml:space="preserve"> stentu. </w:t>
      </w:r>
      <w:r w:rsidRPr="00CA4DA4">
        <w:rPr>
          <w:rStyle w:val="articlecitationpages"/>
        </w:rPr>
        <w:t>[69]</w:t>
      </w:r>
    </w:p>
    <w:p w:rsidR="00145AF7" w:rsidRPr="00FA667B" w:rsidRDefault="00145AF7" w:rsidP="00FA667B">
      <w:pPr>
        <w:spacing w:line="360" w:lineRule="auto"/>
        <w:jc w:val="both"/>
        <w:rPr>
          <w:b/>
          <w:u w:val="single"/>
        </w:rPr>
      </w:pPr>
    </w:p>
    <w:p w:rsidR="006002F1" w:rsidRPr="008E5B85" w:rsidRDefault="003744AD" w:rsidP="00FA667B">
      <w:pPr>
        <w:spacing w:line="360" w:lineRule="auto"/>
        <w:jc w:val="both"/>
        <w:rPr>
          <w:b/>
          <w:u w:val="single"/>
        </w:rPr>
      </w:pPr>
      <w:r>
        <w:rPr>
          <w:b/>
          <w:u w:val="single"/>
        </w:rPr>
        <w:t>4.</w:t>
      </w:r>
      <w:r w:rsidR="008E5B85">
        <w:rPr>
          <w:b/>
          <w:u w:val="single"/>
        </w:rPr>
        <w:t>5</w:t>
      </w:r>
      <w:r w:rsidR="006002F1" w:rsidRPr="00FA667B">
        <w:rPr>
          <w:b/>
          <w:u w:val="single"/>
        </w:rPr>
        <w:t>.Drenáž n</w:t>
      </w:r>
      <w:r w:rsidR="00CA373D">
        <w:rPr>
          <w:b/>
          <w:u w:val="single"/>
        </w:rPr>
        <w:t>itrobřišních kolekcí po resekcích pankreatu</w:t>
      </w:r>
    </w:p>
    <w:p w:rsidR="006002F1" w:rsidRPr="00FA667B" w:rsidRDefault="006002F1" w:rsidP="00FA667B">
      <w:pPr>
        <w:spacing w:line="360" w:lineRule="auto"/>
        <w:jc w:val="both"/>
      </w:pPr>
      <w:r w:rsidRPr="00FA667B">
        <w:t>Intraabdominální kolekce je jedn</w:t>
      </w:r>
      <w:r w:rsidR="00637675">
        <w:t>a ze závažných komplikací po pankreatoduodenektomii</w:t>
      </w:r>
      <w:r w:rsidRPr="00FA667B">
        <w:t xml:space="preserve">. Tyto kolekce mohou </w:t>
      </w:r>
      <w:r w:rsidR="00637675">
        <w:t>vzniknout jako následek krvácení nebo</w:t>
      </w:r>
      <w:r w:rsidRPr="00FA667B">
        <w:t xml:space="preserve"> píštělí GIT. </w:t>
      </w:r>
      <w:r w:rsidR="001E1EC8" w:rsidRPr="00FA667B">
        <w:t xml:space="preserve">Nitrobřišní kolekce jsou </w:t>
      </w:r>
      <w:r w:rsidRPr="00FA667B">
        <w:t xml:space="preserve">příčinou zvýšené mortality, morbidity i prodloužené doby hospitalizace. </w:t>
      </w:r>
      <w:r w:rsidR="00637675" w:rsidRPr="00FA667B">
        <w:t>Incidence pooperačních nitrobřišních kolekcí je 0-</w:t>
      </w:r>
      <w:r w:rsidR="00637675">
        <w:t xml:space="preserve">17%. </w:t>
      </w:r>
      <w:r w:rsidRPr="00FA667B">
        <w:t>Mezi rizikové faktory, které se mohou podílet na vzniku pooperačních</w:t>
      </w:r>
      <w:r w:rsidR="004531D0" w:rsidRPr="00FA667B">
        <w:t xml:space="preserve"> intraabdominálních kolekcí patří</w:t>
      </w:r>
      <w:r w:rsidR="00637675">
        <w:t>:</w:t>
      </w:r>
      <w:r w:rsidRPr="00FA667B">
        <w:t xml:space="preserve"> soft pankreas, průměr ducutus Wirsung ≤ 3mm, </w:t>
      </w:r>
      <w:r w:rsidR="00637675">
        <w:t>žilní resekce</w:t>
      </w:r>
      <w:r w:rsidRPr="00FA667B">
        <w:t xml:space="preserve"> nebo krevní ztráty nad 800ml.</w:t>
      </w:r>
      <w:r w:rsidR="001E1EC8" w:rsidRPr="00FA667B">
        <w:t>[71]</w:t>
      </w:r>
      <w:r w:rsidRPr="00FA667B">
        <w:t xml:space="preserve"> Na vyšších peroperačních krevních ztrátách se může podílet předchozí pankreatitida, srůsty po předchozích operacích, lokálně pokročilé onemocnění. V těchto případech je nutnost adekvátní drenáže a také drény ponechat dostatečně dlouhou dobu. Byla provedena řada studií např. Zink et al. prokázal</w:t>
      </w:r>
      <w:r w:rsidR="00637675">
        <w:t>i</w:t>
      </w:r>
      <w:r w:rsidRPr="00FA667B">
        <w:t xml:space="preserve"> vznik intraabdominálních abscesů až v 74% na podkladě špatně drénovaných kolekcí. </w:t>
      </w:r>
      <w:r w:rsidR="00637675">
        <w:t>Ve studii</w:t>
      </w:r>
      <w:r w:rsidRPr="00FA667B">
        <w:t xml:space="preserve"> Zhao et al. ukazuj</w:t>
      </w:r>
      <w:r w:rsidR="00637675">
        <w:t>í</w:t>
      </w:r>
      <w:r w:rsidR="001E1EC8" w:rsidRPr="00FA667B">
        <w:t xml:space="preserve"> na skutečnost, že přibližně </w:t>
      </w:r>
      <w:r w:rsidR="00637675">
        <w:t xml:space="preserve">67% </w:t>
      </w:r>
      <w:r w:rsidR="00EE1266">
        <w:t>a</w:t>
      </w:r>
      <w:r w:rsidRPr="00FA667B">
        <w:t xml:space="preserve">symptomatických intraabdominálních kolekcí je spojeno s pankreatickou píštělí (20%), žlučovou píštělí (13%), enterickou píštělí (2%), krvácením (7%), únikem  lymfy </w:t>
      </w:r>
      <w:r w:rsidR="00637675">
        <w:t>(22%) a abdominálním abscesem (</w:t>
      </w:r>
      <w:r w:rsidRPr="00FA667B">
        <w:t xml:space="preserve">4%). </w:t>
      </w:r>
      <w:r w:rsidR="00EE1266">
        <w:t xml:space="preserve">Vysoké procento zjištěných asymptomatických píštělí je dáno častějším využitím zobrazovacích metod, které v dnešní době máme k dipozici. </w:t>
      </w:r>
      <w:r w:rsidRPr="00FA667B">
        <w:t>Terapeutickým řešením je, pokud je to vhodné, perkutánní drenáž pod CT</w:t>
      </w:r>
      <w:r w:rsidR="00EE1266">
        <w:t xml:space="preserve">. </w:t>
      </w:r>
      <w:r w:rsidR="00CA373D">
        <w:t xml:space="preserve">Pokud nelze provést drenáž pod CT nebo je-li progrese sepse (např. při nedostatečné drenáži) musíme </w:t>
      </w:r>
      <w:r w:rsidR="00EE1266">
        <w:t xml:space="preserve">přistoupit k </w:t>
      </w:r>
      <w:r w:rsidRPr="00FA667B">
        <w:t>peroperační drenáž</w:t>
      </w:r>
      <w:r w:rsidR="00EE1266">
        <w:t>i</w:t>
      </w:r>
      <w:r w:rsidRPr="00FA667B">
        <w:t xml:space="preserve">. [71] </w:t>
      </w:r>
    </w:p>
    <w:p w:rsidR="00E37850" w:rsidRPr="00FA667B" w:rsidRDefault="006002F1" w:rsidP="00FA667B">
      <w:pPr>
        <w:spacing w:line="360" w:lineRule="auto"/>
        <w:jc w:val="both"/>
      </w:pPr>
      <w:r w:rsidRPr="00FA667B">
        <w:t xml:space="preserve">Tekutinové kolekce se vyskytují i po levostranné pankreatektomii.  </w:t>
      </w:r>
      <w:r w:rsidR="001E1EC8" w:rsidRPr="00FA667B">
        <w:t xml:space="preserve">Za tekutinovou kolekci se dle definice považuje </w:t>
      </w:r>
      <w:r w:rsidRPr="00FA667B">
        <w:t>kolek</w:t>
      </w:r>
      <w:r w:rsidR="001E1EC8" w:rsidRPr="00FA667B">
        <w:t>ce větší  ≥ 3cm navazující na re</w:t>
      </w:r>
      <w:r w:rsidR="00EE1266">
        <w:t xml:space="preserve">sekční plochu pankreatu po levostranné resekci pankreatu </w:t>
      </w:r>
      <w:r w:rsidRPr="00FA667B">
        <w:t xml:space="preserve">podle CT vyšetření. Souvisí to se vznikem pankreatické píštěle. Symptomy doprovázející intraabdominální tekutinové kolekce jsou bolest, febrilie, poruchy pasáže, elevace zánětlivých parametrů. V diagnostice se jednoznačně uplatňuje CT vyšetření. </w:t>
      </w:r>
      <w:r w:rsidRPr="00FA667B">
        <w:lastRenderedPageBreak/>
        <w:t>Řešením je drenáž pod CT nebo drenáž pomocí endoUZ. V literatuře se uvádí, že pouze u 10% po LP je nutnost intervenční terapie. Ke spontánní resorpci kolekce dochází až v 79%. [72]</w:t>
      </w:r>
    </w:p>
    <w:p w:rsidR="00E37850" w:rsidRPr="00FA667B" w:rsidRDefault="00CA373D" w:rsidP="00FA667B">
      <w:pPr>
        <w:spacing w:line="360" w:lineRule="auto"/>
        <w:jc w:val="both"/>
      </w:pPr>
      <w:r>
        <w:t xml:space="preserve">Tekutinové kolekce po totální pankreatektomii nejsou tak časté, ale mohou být vytvořeny na podkladě pooperačního krvácení nebo nahromaděním lymfy. Velmi často je důvodem vzniku nedostatečná drenáž operačního pole. </w:t>
      </w: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E37850" w:rsidRPr="00FA667B" w:rsidRDefault="00E37850" w:rsidP="00FA667B">
      <w:pPr>
        <w:spacing w:line="360" w:lineRule="auto"/>
        <w:jc w:val="both"/>
      </w:pPr>
    </w:p>
    <w:p w:rsidR="000C4F65" w:rsidRPr="00FA667B" w:rsidRDefault="000C4F65" w:rsidP="00FA667B">
      <w:pPr>
        <w:spacing w:line="360" w:lineRule="auto"/>
        <w:jc w:val="both"/>
      </w:pPr>
    </w:p>
    <w:p w:rsidR="000C4F65" w:rsidRPr="00FA667B" w:rsidRDefault="000C4F65" w:rsidP="00FA667B">
      <w:pPr>
        <w:spacing w:line="360" w:lineRule="auto"/>
        <w:jc w:val="both"/>
      </w:pPr>
    </w:p>
    <w:p w:rsidR="00876D52" w:rsidRDefault="00876D52" w:rsidP="00FA667B">
      <w:pPr>
        <w:spacing w:line="360" w:lineRule="auto"/>
        <w:jc w:val="both"/>
      </w:pPr>
    </w:p>
    <w:p w:rsidR="008E5B85" w:rsidRDefault="008E5B85" w:rsidP="00FA667B">
      <w:pPr>
        <w:spacing w:line="360" w:lineRule="auto"/>
        <w:jc w:val="both"/>
        <w:rPr>
          <w:b/>
          <w:sz w:val="28"/>
          <w:szCs w:val="28"/>
        </w:rPr>
      </w:pPr>
    </w:p>
    <w:p w:rsidR="00EE1266" w:rsidRDefault="00EE1266" w:rsidP="00FA667B">
      <w:pPr>
        <w:spacing w:line="360" w:lineRule="auto"/>
        <w:jc w:val="both"/>
        <w:rPr>
          <w:b/>
          <w:sz w:val="28"/>
          <w:szCs w:val="28"/>
        </w:rPr>
      </w:pPr>
    </w:p>
    <w:p w:rsidR="00EE1266" w:rsidRDefault="00EE1266" w:rsidP="00FA667B">
      <w:pPr>
        <w:spacing w:line="360" w:lineRule="auto"/>
        <w:jc w:val="both"/>
        <w:rPr>
          <w:b/>
          <w:sz w:val="28"/>
          <w:szCs w:val="28"/>
        </w:rPr>
      </w:pPr>
    </w:p>
    <w:p w:rsidR="00EE1266" w:rsidRDefault="00EE1266" w:rsidP="00FA667B">
      <w:pPr>
        <w:spacing w:line="360" w:lineRule="auto"/>
        <w:jc w:val="both"/>
        <w:rPr>
          <w:b/>
          <w:sz w:val="28"/>
          <w:szCs w:val="28"/>
        </w:rPr>
      </w:pPr>
    </w:p>
    <w:p w:rsidR="00EE1266" w:rsidRDefault="00EE1266" w:rsidP="00FA667B">
      <w:pPr>
        <w:spacing w:line="360" w:lineRule="auto"/>
        <w:jc w:val="both"/>
        <w:rPr>
          <w:b/>
          <w:sz w:val="28"/>
          <w:szCs w:val="28"/>
        </w:rPr>
      </w:pPr>
    </w:p>
    <w:p w:rsidR="00EE1266" w:rsidRDefault="00EE1266" w:rsidP="00FA667B">
      <w:pPr>
        <w:spacing w:line="360" w:lineRule="auto"/>
        <w:jc w:val="both"/>
        <w:rPr>
          <w:b/>
          <w:sz w:val="28"/>
          <w:szCs w:val="28"/>
        </w:rPr>
      </w:pPr>
    </w:p>
    <w:p w:rsidR="00CA373D" w:rsidRDefault="00CA373D" w:rsidP="00FA667B">
      <w:pPr>
        <w:spacing w:line="360" w:lineRule="auto"/>
        <w:jc w:val="both"/>
        <w:rPr>
          <w:b/>
          <w:sz w:val="28"/>
          <w:szCs w:val="28"/>
        </w:rPr>
      </w:pPr>
    </w:p>
    <w:p w:rsidR="002100F7" w:rsidRDefault="002100F7" w:rsidP="00FA667B">
      <w:pPr>
        <w:spacing w:line="360" w:lineRule="auto"/>
        <w:jc w:val="both"/>
        <w:rPr>
          <w:b/>
          <w:sz w:val="28"/>
          <w:szCs w:val="28"/>
        </w:rPr>
      </w:pPr>
    </w:p>
    <w:p w:rsidR="002100F7" w:rsidRDefault="002100F7" w:rsidP="00FA667B">
      <w:pPr>
        <w:spacing w:line="360" w:lineRule="auto"/>
        <w:jc w:val="both"/>
        <w:rPr>
          <w:b/>
          <w:sz w:val="28"/>
          <w:szCs w:val="28"/>
        </w:rPr>
      </w:pPr>
    </w:p>
    <w:p w:rsidR="006002F1" w:rsidRPr="00876D52" w:rsidRDefault="003744AD" w:rsidP="00FA667B">
      <w:pPr>
        <w:spacing w:line="360" w:lineRule="auto"/>
        <w:jc w:val="both"/>
        <w:rPr>
          <w:sz w:val="28"/>
          <w:szCs w:val="28"/>
        </w:rPr>
      </w:pPr>
      <w:r>
        <w:rPr>
          <w:b/>
          <w:sz w:val="28"/>
          <w:szCs w:val="28"/>
        </w:rPr>
        <w:lastRenderedPageBreak/>
        <w:t>5</w:t>
      </w:r>
      <w:r w:rsidR="006002F1" w:rsidRPr="00876D52">
        <w:rPr>
          <w:b/>
          <w:sz w:val="28"/>
          <w:szCs w:val="28"/>
        </w:rPr>
        <w:t>.Samostatná výzkumná práce</w:t>
      </w:r>
    </w:p>
    <w:p w:rsidR="006002F1" w:rsidRPr="00FA667B" w:rsidRDefault="006002F1" w:rsidP="00FA667B">
      <w:pPr>
        <w:spacing w:line="360" w:lineRule="auto"/>
        <w:jc w:val="both"/>
      </w:pPr>
    </w:p>
    <w:p w:rsidR="006002F1" w:rsidRPr="00FA667B" w:rsidRDefault="003744AD" w:rsidP="00FA667B">
      <w:pPr>
        <w:spacing w:line="360" w:lineRule="auto"/>
        <w:jc w:val="both"/>
        <w:rPr>
          <w:b/>
          <w:u w:val="single"/>
        </w:rPr>
      </w:pPr>
      <w:r>
        <w:rPr>
          <w:b/>
          <w:u w:val="single"/>
        </w:rPr>
        <w:t>5</w:t>
      </w:r>
      <w:r w:rsidR="006002F1" w:rsidRPr="00FA667B">
        <w:rPr>
          <w:b/>
          <w:u w:val="single"/>
        </w:rPr>
        <w:t>.1.Cíl práce</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Cílem práce bylo </w:t>
      </w:r>
      <w:r w:rsidR="00A90362">
        <w:t>zhodnotit</w:t>
      </w:r>
      <w:r w:rsidRPr="00FA667B">
        <w:t xml:space="preserve"> komplikace související s technikou rekonstrukce PJA. Srovnávali jsme výskyt komplikací u dvou různých technik rekonstrukce PJA - „mucosa to mucosa” v.s. „duct to mucosa”. Hodnotili jsme výskyt pankreatické píštěle, krvácení, opožděnou evakuaci žaludku a zánětlivé komplikace u obou technik rekonstrukce PJA. Další oblastí</w:t>
      </w:r>
      <w:r w:rsidR="00E37850" w:rsidRPr="00FA667B">
        <w:t>,</w:t>
      </w:r>
      <w:r w:rsidRPr="00FA667B">
        <w:t xml:space="preserve"> na kterou jsme se zaměřili byl </w:t>
      </w:r>
      <w:r w:rsidR="00E16635" w:rsidRPr="00FA667B">
        <w:t xml:space="preserve">vliv komplikací vzniklých po operaci (DPE, LPE, TPE) na celkové době přežívání. Hodnotili jsme i </w:t>
      </w:r>
      <w:r w:rsidRPr="00FA667B">
        <w:t>celkové přežívání u nemocných, kteří nepodstoupili adjuvantní onkologickou léčbu z důvodů pooperačních komplikací</w:t>
      </w:r>
      <w:r w:rsidR="00E16635" w:rsidRPr="00FA667B">
        <w:t xml:space="preserve"> ve srovnání s nemocnými, kteří onkologickou léčbu podstoupili</w:t>
      </w:r>
      <w:r w:rsidRPr="00FA667B">
        <w:t>.</w:t>
      </w:r>
    </w:p>
    <w:p w:rsidR="006002F1" w:rsidRPr="00FA667B" w:rsidRDefault="006002F1" w:rsidP="00FA667B">
      <w:pPr>
        <w:spacing w:line="360" w:lineRule="auto"/>
        <w:jc w:val="both"/>
      </w:pPr>
    </w:p>
    <w:p w:rsidR="006002F1" w:rsidRPr="00FA667B" w:rsidRDefault="003744AD" w:rsidP="00FA667B">
      <w:pPr>
        <w:spacing w:line="360" w:lineRule="auto"/>
        <w:jc w:val="both"/>
        <w:rPr>
          <w:b/>
          <w:u w:val="single"/>
        </w:rPr>
      </w:pPr>
      <w:r>
        <w:rPr>
          <w:b/>
          <w:u w:val="single"/>
        </w:rPr>
        <w:t>5</w:t>
      </w:r>
      <w:r w:rsidR="006002F1" w:rsidRPr="00FA667B">
        <w:rPr>
          <w:b/>
          <w:u w:val="single"/>
        </w:rPr>
        <w:t>.2.Materiál a metody</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Hodnotili jsme pomocí retrospektivně prospektivní studie soubor nemocných operovaných od ledna 2012 do prosince 2019 na I.chirurgické klinice FNOL. Jedná se o soubor s celkovým počtem 241 nemocných s diagnózou adenokarcinomu pankreatu. </w:t>
      </w:r>
    </w:p>
    <w:p w:rsidR="006002F1" w:rsidRPr="00FA667B" w:rsidRDefault="006002F1" w:rsidP="00FA667B">
      <w:pPr>
        <w:spacing w:line="360" w:lineRule="auto"/>
        <w:jc w:val="both"/>
      </w:pPr>
      <w:r w:rsidRPr="00FA667B">
        <w:t>Tuto skupinu nemocných jsme rozdělili do dvou podskupin. První podskupinu tvořili pacienti, kteří byli na I.chirurgické klinice FN Olomouc operováni v letech 2012-2014. V tomto období byla používána technika šití pankreatikojejunoanas</w:t>
      </w:r>
      <w:r w:rsidR="00EA15E9" w:rsidRPr="00FA667B">
        <w:t>tomózy „mucosa</w:t>
      </w:r>
      <w:r w:rsidRPr="00FA667B">
        <w:t xml:space="preserve"> to mucosa”. Do druhé podskupiny byli zařazeni nemocní za období 2014-2019, kdy jsme začali provádět rekonstrukci PJA tzv. </w:t>
      </w:r>
      <w:r w:rsidR="00E16635" w:rsidRPr="00FA667B">
        <w:t>„</w:t>
      </w:r>
      <w:r w:rsidRPr="00FA667B">
        <w:t>duct to mucosa”.</w:t>
      </w:r>
    </w:p>
    <w:p w:rsidR="006002F1" w:rsidRPr="00FA667B" w:rsidRDefault="006002F1" w:rsidP="00FA667B">
      <w:pPr>
        <w:spacing w:line="360" w:lineRule="auto"/>
        <w:jc w:val="both"/>
      </w:pPr>
      <w:r w:rsidRPr="00FA667B">
        <w:t>V</w:t>
      </w:r>
      <w:r w:rsidR="00715A39" w:rsidRPr="00FA667B">
        <w:t xml:space="preserve"> našem souboru nemocných byly </w:t>
      </w:r>
      <w:r w:rsidR="00525ABB" w:rsidRPr="00FA667B">
        <w:t>hodnoceny</w:t>
      </w:r>
      <w:r w:rsidR="00715A39" w:rsidRPr="00FA667B">
        <w:t xml:space="preserve"> komplikace</w:t>
      </w:r>
      <w:r w:rsidRPr="00FA667B">
        <w:t xml:space="preserve"> podl</w:t>
      </w:r>
      <w:r w:rsidR="00FB4385" w:rsidRPr="00FA667B">
        <w:t xml:space="preserve">e Clavien-Dindo klasifikace </w:t>
      </w:r>
      <w:r w:rsidR="00715A39" w:rsidRPr="00FA667B">
        <w:t xml:space="preserve">    </w:t>
      </w:r>
      <w:r w:rsidR="00FB4385" w:rsidRPr="00FA667B">
        <w:t>I-V</w:t>
      </w:r>
      <w:r w:rsidR="00525ABB" w:rsidRPr="00FA667B">
        <w:t>. Mezi dalšími sledovanými parametry byly pohlaví, věk, BMI, délka</w:t>
      </w:r>
      <w:r w:rsidR="00715A39" w:rsidRPr="00FA667B">
        <w:t xml:space="preserve"> hospitalizace, ASA, stad</w:t>
      </w:r>
      <w:r w:rsidR="00A90362">
        <w:t>ium</w:t>
      </w:r>
      <w:r w:rsidR="00715A39" w:rsidRPr="00FA667B">
        <w:t>, provedené předoperační zobrazovací metody,</w:t>
      </w:r>
      <w:r w:rsidR="00525ABB" w:rsidRPr="00FA667B">
        <w:t xml:space="preserve"> komplikace při rozdílné rekonstrukci PJA (technika „mucosa to mucosa” vs. „duct to mucosa”), c</w:t>
      </w:r>
      <w:r w:rsidR="00715A39" w:rsidRPr="00FA667B">
        <w:t>elková</w:t>
      </w:r>
      <w:r w:rsidR="00A421C6" w:rsidRPr="00FA667B">
        <w:t xml:space="preserve"> </w:t>
      </w:r>
      <w:r w:rsidR="00715A39" w:rsidRPr="00FA667B">
        <w:t>doba</w:t>
      </w:r>
      <w:r w:rsidRPr="00FA667B">
        <w:t xml:space="preserve"> přežívání </w:t>
      </w:r>
      <w:r w:rsidR="00525ABB" w:rsidRPr="00FA667B">
        <w:t xml:space="preserve">ve vztahu k adjuvantní terapii. </w:t>
      </w:r>
    </w:p>
    <w:p w:rsidR="00525ABB" w:rsidRPr="00FA667B" w:rsidRDefault="00525ABB"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524E66" w:rsidRPr="00FA667B" w:rsidRDefault="00524E66" w:rsidP="00FA667B">
      <w:pPr>
        <w:spacing w:line="360" w:lineRule="auto"/>
        <w:jc w:val="both"/>
      </w:pPr>
    </w:p>
    <w:p w:rsidR="006002F1" w:rsidRPr="00FA667B" w:rsidRDefault="006002F1" w:rsidP="00FA667B">
      <w:pPr>
        <w:spacing w:line="360" w:lineRule="auto"/>
        <w:jc w:val="both"/>
      </w:pPr>
      <w:r w:rsidRPr="00FA667B">
        <w:lastRenderedPageBreak/>
        <w:t>Statistické analýzy a matematické výpočty byly zpracovány za spolupráce Mgr.Jany Zapletalové z Ústavu lékařské biofyziky Lékařské fakulty Univerzity Palackého v Olomouci. Ke zpracování byl použit statistický software</w:t>
      </w:r>
      <w:r w:rsidRPr="00FA667B">
        <w:rPr>
          <w:color w:val="000000"/>
        </w:rPr>
        <w:t xml:space="preserve"> IBM SPSS Statistics for Windows, Version 22.0. K porovnání skupin DPE, LPE a TPE v kvantitativních parametrech byl použit Kruskal-Wallis test s post-hoc testy Dunnové. V kvalitativních parametrech byly skupiny porovnány pomocí Fisherova exaktního testu (Fisher’s exact test) s Bonferroniho korekcí signifikance na mnohonásobné porovnávání. Fisherův exaktní test byl použit také k porovnání výskytu komplikací v obdobích 2012-</w:t>
      </w:r>
      <w:smartTag w:uri="urn:schemas-microsoft-com:office:smarttags" w:element="metricconverter">
        <w:smartTagPr>
          <w:attr w:name="ProductID" w:val="2013 a"/>
        </w:smartTagPr>
        <w:r w:rsidRPr="00FA667B">
          <w:rPr>
            <w:color w:val="000000"/>
          </w:rPr>
          <w:t>2013 a</w:t>
        </w:r>
      </w:smartTag>
      <w:r w:rsidRPr="00FA667B">
        <w:rPr>
          <w:color w:val="000000"/>
        </w:rPr>
        <w:t xml:space="preserve"> 2014-2019. Přežívání pacientů bylo hodnoceno pomocí Kaplan-Meierovy analýzy a Log-rank testu. Normalita dat byla testována pomocí Kruskal-Wallisova testu. Všechny testy byly dělány na hladině signifikance 0,05.</w:t>
      </w:r>
    </w:p>
    <w:p w:rsidR="006002F1" w:rsidRPr="00FA667B" w:rsidRDefault="006002F1"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t>5</w:t>
      </w:r>
      <w:r w:rsidR="006002F1" w:rsidRPr="00FA667B">
        <w:rPr>
          <w:b/>
          <w:u w:val="single"/>
        </w:rPr>
        <w:t>.3.Vlastní soubor nemocných</w:t>
      </w:r>
    </w:p>
    <w:p w:rsidR="006002F1" w:rsidRPr="00FA667B" w:rsidRDefault="006002F1" w:rsidP="00FA667B">
      <w:pPr>
        <w:spacing w:line="360" w:lineRule="auto"/>
        <w:jc w:val="both"/>
        <w:rPr>
          <w:b/>
        </w:rPr>
      </w:pPr>
    </w:p>
    <w:p w:rsidR="006002F1" w:rsidRPr="00FA667B" w:rsidRDefault="006002F1" w:rsidP="00FA667B">
      <w:pPr>
        <w:spacing w:line="360" w:lineRule="auto"/>
        <w:jc w:val="both"/>
      </w:pPr>
      <w:r w:rsidRPr="00FA667B">
        <w:t xml:space="preserve">Za období 2012-2019 bylo na I.chirurgické klinice FNOL celkově operováno pro patologii na slinivce 361 nemocných. </w:t>
      </w:r>
      <w:r w:rsidR="00FB4385" w:rsidRPr="00FA667B">
        <w:t>Diagnóza</w:t>
      </w:r>
      <w:r w:rsidRPr="00FA667B">
        <w:t xml:space="preserve"> adenokarcinomu hlavy pankreatu</w:t>
      </w:r>
      <w:r w:rsidR="00FB4385" w:rsidRPr="00FA667B">
        <w:t xml:space="preserve"> byla histologicky potvrzena u 241 (66,7%) nemocných</w:t>
      </w:r>
      <w:r w:rsidRPr="00FA667B">
        <w:t xml:space="preserve">. </w:t>
      </w:r>
      <w:r w:rsidR="00FB4385" w:rsidRPr="00FA667B">
        <w:t xml:space="preserve"> </w:t>
      </w:r>
      <w:r w:rsidRPr="00FA667B">
        <w:t xml:space="preserve">Z celkového počtu 241 nemocných podstoupilo 172 (71,4%) pravostrannou pyloru šetřící pankreatoduodenektomii pro tumor lokalizovaný v oblasti hlavy slinivky. Z důvodu radikality výkonu a dosažení R0 resekce byla u 27 (15,7%) nemocných součástí výkonu i vaskulární resekce (resekce vena portae nebo vena mesenterica superior). </w:t>
      </w:r>
      <w:r w:rsidR="00FB4385" w:rsidRPr="00FA667B">
        <w:t>Levostranná</w:t>
      </w:r>
      <w:r w:rsidRPr="00FA667B">
        <w:t xml:space="preserve"> pank</w:t>
      </w:r>
      <w:r w:rsidR="00FB4385" w:rsidRPr="00FA667B">
        <w:t>reatektomie se splenektomií byla provedena</w:t>
      </w:r>
      <w:r w:rsidRPr="00FA667B">
        <w:t xml:space="preserve"> u 49 (20,3%) nemocných pro tumor lokalizovaný v oblasti těla a kaudy pankreatu. Totální pankreatektomii podstoupilo 20 (8,3%) nemocných jako primární výkon z důvodu lokalizace nádoru, peroperačně prokázané pozitivní resekční linie nebo tzv.„soft pankreatu”. </w:t>
      </w:r>
      <w:r w:rsidR="00FB4385" w:rsidRPr="00FA667B">
        <w:t xml:space="preserve">Dokončení </w:t>
      </w:r>
      <w:r w:rsidRPr="00FA667B">
        <w:t>t</w:t>
      </w:r>
      <w:r w:rsidR="00FB4385" w:rsidRPr="00FA667B">
        <w:t>otální pankreatektomie bylo</w:t>
      </w:r>
      <w:r w:rsidRPr="00FA667B">
        <w:t xml:space="preserve"> u 3 (1,7%) nemocných z důvodů komplikací souvisejících s provedením pankreatoduoden</w:t>
      </w:r>
      <w:r w:rsidR="00A90362">
        <w:t>e</w:t>
      </w:r>
      <w:r w:rsidRPr="00FA667B">
        <w:t>ktomie (pankreatická píštěl, krvácení). Totální pankrea</w:t>
      </w:r>
      <w:r w:rsidR="00FB4385" w:rsidRPr="00FA667B">
        <w:t>tektomie s nutností resekce vena portae</w:t>
      </w:r>
      <w:r w:rsidRPr="00FA667B">
        <w:t xml:space="preserve"> byla u 10 (50%) nemocných.</w:t>
      </w:r>
    </w:p>
    <w:p w:rsidR="006002F1" w:rsidRPr="00FA667B" w:rsidRDefault="006002F1" w:rsidP="00FA667B">
      <w:pPr>
        <w:spacing w:line="360" w:lineRule="auto"/>
        <w:jc w:val="both"/>
      </w:pPr>
    </w:p>
    <w:p w:rsidR="006002F1" w:rsidRPr="00FA667B" w:rsidRDefault="00A90362" w:rsidP="00FA667B">
      <w:pPr>
        <w:spacing w:line="360" w:lineRule="auto"/>
        <w:jc w:val="both"/>
      </w:pPr>
      <w:r>
        <w:t>Průměrný v</w:t>
      </w:r>
      <w:r w:rsidR="006002F1" w:rsidRPr="00FA667B">
        <w:t>ěk pacientů v době diagnózy byl 68 let, věkové rozmezí se pohybovalo mezi 4</w:t>
      </w:r>
      <w:r w:rsidR="00525ABB" w:rsidRPr="00FA667B">
        <w:t>0 – 83 lety</w:t>
      </w:r>
      <w:r w:rsidR="006002F1" w:rsidRPr="00FA667B">
        <w:t>. Zastoupení muži vs. ženy je v poměru 116 (48,1%) vs. 125 (51,9%). Průměrná doba hospitalizace byla 11,3 dní</w:t>
      </w:r>
      <w:r w:rsidR="00FB4385" w:rsidRPr="00FA667B">
        <w:t xml:space="preserve"> ( minimum 6,3 dne</w:t>
      </w:r>
      <w:r w:rsidR="006002F1" w:rsidRPr="00FA667B">
        <w:t>, maximum 58</w:t>
      </w:r>
      <w:r w:rsidR="00FB4385" w:rsidRPr="00FA667B">
        <w:t xml:space="preserve"> </w:t>
      </w:r>
      <w:r w:rsidR="006002F1" w:rsidRPr="00FA667B">
        <w:t xml:space="preserve">dní) . </w:t>
      </w:r>
      <w:r w:rsidR="00E66254" w:rsidRPr="00FA667B">
        <w:t xml:space="preserve">V době operace bylo u </w:t>
      </w:r>
      <w:r w:rsidR="00CA373D">
        <w:t xml:space="preserve">34 (14,2%) pacientů stanoveno stadium I, u </w:t>
      </w:r>
      <w:r w:rsidR="00E66254" w:rsidRPr="00FA667B">
        <w:t xml:space="preserve">180 (75,5%) pacientů </w:t>
      </w:r>
      <w:r w:rsidR="00CA373D">
        <w:t xml:space="preserve">stadium II, stadium III bylo určeno u 18 (7,5%) nemocných a u 7 pacintů (2,9%) stanoveno stadium IV. </w:t>
      </w:r>
      <w:r w:rsidR="006002F1" w:rsidRPr="00FA667B">
        <w:t xml:space="preserve">Při diagnostice onemocnění bylo u 234 nemocných (97%) provedeno CT vyšetření. Endosonografické vyšetření podstoupilo 143 (59%), z toho v 57 (40%) případech byla současně provedena FNAB. </w:t>
      </w:r>
      <w:r w:rsidR="006002F1" w:rsidRPr="00FA667B">
        <w:lastRenderedPageBreak/>
        <w:t xml:space="preserve">ERCP podstoupilo v rámci diagnostiky 148 (61,4%) nemocných, z toho 90 (61%) pacientům byl </w:t>
      </w:r>
      <w:r w:rsidR="00E66254" w:rsidRPr="00FA667B">
        <w:t xml:space="preserve">předoperačně </w:t>
      </w:r>
      <w:r w:rsidR="006002F1" w:rsidRPr="00FA667B">
        <w:rPr>
          <w:noProof/>
        </w:rPr>
        <w:t>zaveden</w:t>
      </w:r>
      <w:r w:rsidR="006002F1" w:rsidRPr="00FA667B">
        <w:t xml:space="preserve"> duodenobiliární stent. </w:t>
      </w:r>
    </w:p>
    <w:p w:rsidR="006002F1" w:rsidRPr="00FA667B" w:rsidRDefault="006002F1" w:rsidP="00FA667B">
      <w:pPr>
        <w:spacing w:line="360" w:lineRule="auto"/>
        <w:jc w:val="both"/>
      </w:pPr>
    </w:p>
    <w:p w:rsidR="006002F1" w:rsidRPr="00FA667B" w:rsidRDefault="005455CB" w:rsidP="00FA667B">
      <w:pPr>
        <w:spacing w:line="360" w:lineRule="auto"/>
        <w:jc w:val="both"/>
      </w:pPr>
      <w:r w:rsidRPr="00FA667B">
        <w:t>Tab.č.9.</w:t>
      </w:r>
      <w:r w:rsidR="006002F1" w:rsidRPr="00FA667B">
        <w:t xml:space="preserve"> Sledované par</w:t>
      </w:r>
      <w:r w:rsidR="00E66254" w:rsidRPr="00FA667B">
        <w:t>ametry – M-Ž,výkon, věk,BMI,dél</w:t>
      </w:r>
      <w:r w:rsidR="006002F1" w:rsidRPr="00FA667B">
        <w:t>k</w:t>
      </w:r>
      <w:r w:rsidR="00E66254" w:rsidRPr="00FA667B">
        <w:t>a</w:t>
      </w:r>
      <w:r w:rsidR="006002F1" w:rsidRPr="00FA667B">
        <w:t xml:space="preserve"> hospitalizace, ASA, stadium, grade, provedené vyšetřovací metody</w:t>
      </w:r>
    </w:p>
    <w:tbl>
      <w:tblPr>
        <w:tblW w:w="5500" w:type="dxa"/>
        <w:tblInd w:w="1791" w:type="dxa"/>
        <w:tblCellMar>
          <w:left w:w="70" w:type="dxa"/>
          <w:right w:w="70" w:type="dxa"/>
        </w:tblCellMar>
        <w:tblLook w:val="0000" w:firstRow="0" w:lastRow="0" w:firstColumn="0" w:lastColumn="0" w:noHBand="0" w:noVBand="0"/>
      </w:tblPr>
      <w:tblGrid>
        <w:gridCol w:w="2180"/>
        <w:gridCol w:w="1660"/>
        <w:gridCol w:w="1660"/>
      </w:tblGrid>
      <w:tr w:rsidR="006002F1" w:rsidRPr="00FA667B" w:rsidTr="00C245E1">
        <w:trPr>
          <w:trHeight w:val="600"/>
        </w:trPr>
        <w:tc>
          <w:tcPr>
            <w:tcW w:w="2180" w:type="dxa"/>
            <w:tcBorders>
              <w:top w:val="single" w:sz="8" w:space="0" w:color="auto"/>
              <w:left w:val="single" w:sz="8" w:space="0" w:color="auto"/>
              <w:bottom w:val="nil"/>
              <w:right w:val="nil"/>
            </w:tcBorders>
            <w:vAlign w:val="center"/>
          </w:tcPr>
          <w:p w:rsidR="006002F1" w:rsidRPr="00FA667B" w:rsidRDefault="006002F1" w:rsidP="00FA667B">
            <w:pPr>
              <w:jc w:val="both"/>
              <w:rPr>
                <w:b/>
                <w:bCs/>
              </w:rPr>
            </w:pPr>
            <w:r w:rsidRPr="00FA667B">
              <w:rPr>
                <w:b/>
                <w:bCs/>
              </w:rPr>
              <w:t>Hodnocený parametr</w:t>
            </w:r>
          </w:p>
        </w:tc>
        <w:tc>
          <w:tcPr>
            <w:tcW w:w="1660" w:type="dxa"/>
            <w:tcBorders>
              <w:top w:val="single" w:sz="8" w:space="0" w:color="auto"/>
              <w:left w:val="single" w:sz="8" w:space="0" w:color="auto"/>
              <w:bottom w:val="nil"/>
              <w:right w:val="single" w:sz="8" w:space="0" w:color="auto"/>
            </w:tcBorders>
            <w:vAlign w:val="center"/>
          </w:tcPr>
          <w:p w:rsidR="006002F1" w:rsidRPr="00FA667B" w:rsidRDefault="006002F1" w:rsidP="00FA667B">
            <w:pPr>
              <w:jc w:val="both"/>
              <w:rPr>
                <w:b/>
                <w:bCs/>
              </w:rPr>
            </w:pPr>
            <w:r w:rsidRPr="00FA667B">
              <w:rPr>
                <w:b/>
                <w:bCs/>
              </w:rPr>
              <w:t>Počet</w:t>
            </w:r>
          </w:p>
        </w:tc>
        <w:tc>
          <w:tcPr>
            <w:tcW w:w="1660" w:type="dxa"/>
            <w:tcBorders>
              <w:top w:val="single" w:sz="8" w:space="0" w:color="auto"/>
              <w:left w:val="nil"/>
              <w:bottom w:val="nil"/>
              <w:right w:val="single" w:sz="8" w:space="0" w:color="auto"/>
            </w:tcBorders>
            <w:vAlign w:val="center"/>
          </w:tcPr>
          <w:p w:rsidR="006002F1" w:rsidRPr="00FA667B" w:rsidRDefault="006002F1" w:rsidP="00FA667B">
            <w:pPr>
              <w:jc w:val="both"/>
              <w:rPr>
                <w:b/>
                <w:bCs/>
              </w:rPr>
            </w:pPr>
            <w:r w:rsidRPr="00FA667B">
              <w:rPr>
                <w:b/>
                <w:bCs/>
              </w:rPr>
              <w:t>Procento</w:t>
            </w:r>
          </w:p>
        </w:tc>
      </w:tr>
      <w:tr w:rsidR="006002F1" w:rsidRPr="00FA667B" w:rsidTr="00C245E1">
        <w:trPr>
          <w:trHeight w:val="300"/>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Muži: Ženy</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116:125</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48,1%:51,9%</w:t>
            </w:r>
          </w:p>
        </w:tc>
      </w:tr>
      <w:tr w:rsidR="006002F1" w:rsidRPr="00FA667B" w:rsidTr="00C245E1">
        <w:trPr>
          <w:trHeight w:val="300"/>
        </w:trPr>
        <w:tc>
          <w:tcPr>
            <w:tcW w:w="2180" w:type="dxa"/>
            <w:tcBorders>
              <w:top w:val="nil"/>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Výkon</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 </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DPE</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172</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71,40%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LPE</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49</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20,30%</w:t>
            </w:r>
          </w:p>
        </w:tc>
      </w:tr>
      <w:tr w:rsidR="006002F1" w:rsidRPr="00FA667B" w:rsidTr="00C245E1">
        <w:trPr>
          <w:trHeight w:val="300"/>
        </w:trPr>
        <w:tc>
          <w:tcPr>
            <w:tcW w:w="2180" w:type="dxa"/>
            <w:tcBorders>
              <w:top w:val="nil"/>
              <w:left w:val="single" w:sz="8" w:space="0" w:color="auto"/>
              <w:bottom w:val="nil"/>
              <w:right w:val="nil"/>
            </w:tcBorders>
            <w:vAlign w:val="center"/>
          </w:tcPr>
          <w:p w:rsidR="006002F1" w:rsidRPr="00FA667B" w:rsidRDefault="006002F1" w:rsidP="00FA667B">
            <w:pPr>
              <w:jc w:val="both"/>
            </w:pPr>
            <w:r w:rsidRPr="00FA667B">
              <w:t>TPE</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20</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8,30%</w:t>
            </w:r>
          </w:p>
        </w:tc>
      </w:tr>
      <w:tr w:rsidR="006002F1" w:rsidRPr="00FA667B" w:rsidTr="00C245E1">
        <w:trPr>
          <w:trHeight w:val="300"/>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Věk (let)</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68(40-83)</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nil"/>
              <w:right w:val="nil"/>
            </w:tcBorders>
            <w:vAlign w:val="center"/>
          </w:tcPr>
          <w:p w:rsidR="006002F1" w:rsidRPr="00FA667B" w:rsidRDefault="006002F1" w:rsidP="00FA667B">
            <w:pPr>
              <w:jc w:val="both"/>
              <w:rPr>
                <w:b/>
                <w:bCs/>
              </w:rPr>
            </w:pPr>
            <w:r w:rsidRPr="00FA667B">
              <w:rPr>
                <w:b/>
                <w:bCs/>
              </w:rPr>
              <w:t>BMI</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25,6 (15,2-40,6)</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702"/>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Délka hospitalizace (dny)</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12 (5-89)</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ASA</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 </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8</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3,40%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173</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72,70%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III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55</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23,10%</w:t>
            </w:r>
          </w:p>
        </w:tc>
      </w:tr>
      <w:tr w:rsidR="006002F1" w:rsidRPr="00FA667B" w:rsidTr="00C245E1">
        <w:trPr>
          <w:trHeight w:val="300"/>
        </w:trPr>
        <w:tc>
          <w:tcPr>
            <w:tcW w:w="2180" w:type="dxa"/>
            <w:tcBorders>
              <w:top w:val="nil"/>
              <w:left w:val="single" w:sz="8" w:space="0" w:color="auto"/>
              <w:bottom w:val="nil"/>
              <w:right w:val="nil"/>
            </w:tcBorders>
            <w:vAlign w:val="center"/>
          </w:tcPr>
          <w:p w:rsidR="006002F1" w:rsidRPr="00FA667B" w:rsidRDefault="006002F1" w:rsidP="00FA667B">
            <w:pPr>
              <w:jc w:val="both"/>
            </w:pPr>
            <w:r w:rsidRPr="00FA667B">
              <w:t>IV</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2</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0,80%</w:t>
            </w:r>
          </w:p>
        </w:tc>
      </w:tr>
      <w:tr w:rsidR="006002F1" w:rsidRPr="00FA667B" w:rsidTr="00C245E1">
        <w:trPr>
          <w:trHeight w:val="300"/>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Stadium</w:t>
            </w:r>
            <w:r w:rsidR="00A90362">
              <w:rPr>
                <w:b/>
                <w:bCs/>
              </w:rPr>
              <w:t xml:space="preserve"> tumoru</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 </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34</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14,20%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180</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75,30%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III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18</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7,50%</w:t>
            </w:r>
          </w:p>
        </w:tc>
      </w:tr>
      <w:tr w:rsidR="006002F1" w:rsidRPr="00FA667B" w:rsidTr="00C245E1">
        <w:trPr>
          <w:trHeight w:val="300"/>
        </w:trPr>
        <w:tc>
          <w:tcPr>
            <w:tcW w:w="2180" w:type="dxa"/>
            <w:tcBorders>
              <w:top w:val="nil"/>
              <w:left w:val="single" w:sz="8" w:space="0" w:color="auto"/>
              <w:bottom w:val="nil"/>
              <w:right w:val="nil"/>
            </w:tcBorders>
            <w:vAlign w:val="center"/>
          </w:tcPr>
          <w:p w:rsidR="006002F1" w:rsidRPr="00FA667B" w:rsidRDefault="006002F1" w:rsidP="00FA667B">
            <w:pPr>
              <w:jc w:val="both"/>
            </w:pPr>
            <w:r w:rsidRPr="00FA667B">
              <w:t>IV</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7</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2,90%</w:t>
            </w:r>
          </w:p>
        </w:tc>
      </w:tr>
      <w:tr w:rsidR="006002F1" w:rsidRPr="00FA667B" w:rsidTr="00C245E1">
        <w:trPr>
          <w:trHeight w:val="300"/>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Grade</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 </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G1</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25</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11,10%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G2</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109</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48,20%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G3</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90</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39,80%</w:t>
            </w:r>
          </w:p>
        </w:tc>
      </w:tr>
      <w:tr w:rsidR="006002F1" w:rsidRPr="00FA667B" w:rsidTr="00C245E1">
        <w:trPr>
          <w:trHeight w:val="300"/>
        </w:trPr>
        <w:tc>
          <w:tcPr>
            <w:tcW w:w="2180" w:type="dxa"/>
            <w:tcBorders>
              <w:top w:val="nil"/>
              <w:left w:val="single" w:sz="8" w:space="0" w:color="auto"/>
              <w:bottom w:val="nil"/>
              <w:right w:val="nil"/>
            </w:tcBorders>
            <w:vAlign w:val="center"/>
          </w:tcPr>
          <w:p w:rsidR="006002F1" w:rsidRPr="00FA667B" w:rsidRDefault="006002F1" w:rsidP="00FA667B">
            <w:pPr>
              <w:jc w:val="both"/>
            </w:pPr>
            <w:r w:rsidRPr="00FA667B">
              <w:t>G4</w:t>
            </w:r>
          </w:p>
        </w:tc>
        <w:tc>
          <w:tcPr>
            <w:tcW w:w="1660" w:type="dxa"/>
            <w:tcBorders>
              <w:top w:val="nil"/>
              <w:left w:val="single" w:sz="8" w:space="0" w:color="auto"/>
              <w:bottom w:val="nil"/>
              <w:right w:val="single" w:sz="8" w:space="0" w:color="auto"/>
            </w:tcBorders>
            <w:vAlign w:val="center"/>
          </w:tcPr>
          <w:p w:rsidR="006002F1" w:rsidRPr="00FA667B" w:rsidRDefault="006002F1" w:rsidP="00FA667B">
            <w:pPr>
              <w:jc w:val="both"/>
            </w:pPr>
            <w:r w:rsidRPr="00FA667B">
              <w:t>2</w:t>
            </w:r>
          </w:p>
        </w:tc>
        <w:tc>
          <w:tcPr>
            <w:tcW w:w="1660" w:type="dxa"/>
            <w:tcBorders>
              <w:top w:val="nil"/>
              <w:left w:val="nil"/>
              <w:bottom w:val="nil"/>
              <w:right w:val="single" w:sz="8" w:space="0" w:color="auto"/>
            </w:tcBorders>
            <w:vAlign w:val="center"/>
          </w:tcPr>
          <w:p w:rsidR="006002F1" w:rsidRPr="00FA667B" w:rsidRDefault="006002F1" w:rsidP="00FA667B">
            <w:pPr>
              <w:jc w:val="both"/>
            </w:pPr>
            <w:r w:rsidRPr="00FA667B">
              <w:t>0,90%</w:t>
            </w:r>
          </w:p>
        </w:tc>
      </w:tr>
      <w:tr w:rsidR="006002F1" w:rsidRPr="00FA667B" w:rsidTr="00C245E1">
        <w:trPr>
          <w:trHeight w:val="300"/>
        </w:trPr>
        <w:tc>
          <w:tcPr>
            <w:tcW w:w="2180" w:type="dxa"/>
            <w:tcBorders>
              <w:top w:val="single" w:sz="8" w:space="0" w:color="auto"/>
              <w:left w:val="single" w:sz="8" w:space="0" w:color="auto"/>
              <w:bottom w:val="single" w:sz="8" w:space="0" w:color="auto"/>
              <w:right w:val="nil"/>
            </w:tcBorders>
            <w:vAlign w:val="center"/>
          </w:tcPr>
          <w:p w:rsidR="006002F1" w:rsidRPr="00FA667B" w:rsidRDefault="006002F1" w:rsidP="00FA667B">
            <w:pPr>
              <w:jc w:val="both"/>
              <w:rPr>
                <w:b/>
                <w:bCs/>
              </w:rPr>
            </w:pPr>
            <w:r w:rsidRPr="00FA667B">
              <w:rPr>
                <w:b/>
                <w:bCs/>
              </w:rPr>
              <w:t>Vyšetřovací metody</w:t>
            </w:r>
          </w:p>
        </w:tc>
        <w:tc>
          <w:tcPr>
            <w:tcW w:w="1660" w:type="dxa"/>
            <w:tcBorders>
              <w:top w:val="single" w:sz="8" w:space="0" w:color="auto"/>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 </w:t>
            </w:r>
          </w:p>
        </w:tc>
        <w:tc>
          <w:tcPr>
            <w:tcW w:w="1660" w:type="dxa"/>
            <w:tcBorders>
              <w:top w:val="single" w:sz="8" w:space="0" w:color="auto"/>
              <w:left w:val="nil"/>
              <w:bottom w:val="single" w:sz="8" w:space="0" w:color="auto"/>
              <w:right w:val="single" w:sz="8" w:space="0" w:color="auto"/>
            </w:tcBorders>
            <w:vAlign w:val="center"/>
          </w:tcPr>
          <w:p w:rsidR="006002F1" w:rsidRPr="00FA667B" w:rsidRDefault="006002F1" w:rsidP="00FA667B">
            <w:pPr>
              <w:jc w:val="both"/>
            </w:pPr>
            <w:r w:rsidRPr="00FA667B">
              <w:t> </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ERCP</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148</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61,40%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FNAB</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97</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40,20%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endoUZ</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143</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59,60%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CT</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234</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97,10%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PET/CT</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57</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23,70%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MRCP</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1</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0,40%</w:t>
            </w:r>
          </w:p>
        </w:tc>
      </w:tr>
      <w:tr w:rsidR="006002F1" w:rsidRPr="00FA667B" w:rsidTr="00C245E1">
        <w:trPr>
          <w:trHeight w:val="300"/>
        </w:trPr>
        <w:tc>
          <w:tcPr>
            <w:tcW w:w="2180" w:type="dxa"/>
            <w:tcBorders>
              <w:top w:val="nil"/>
              <w:left w:val="single" w:sz="8" w:space="0" w:color="auto"/>
              <w:bottom w:val="single" w:sz="4" w:space="0" w:color="auto"/>
              <w:right w:val="nil"/>
            </w:tcBorders>
            <w:vAlign w:val="center"/>
          </w:tcPr>
          <w:p w:rsidR="006002F1" w:rsidRPr="00FA667B" w:rsidRDefault="006002F1" w:rsidP="00FA667B">
            <w:pPr>
              <w:jc w:val="both"/>
            </w:pPr>
            <w:r w:rsidRPr="00FA667B">
              <w:t>MRI</w:t>
            </w:r>
          </w:p>
        </w:tc>
        <w:tc>
          <w:tcPr>
            <w:tcW w:w="1660" w:type="dxa"/>
            <w:tcBorders>
              <w:top w:val="nil"/>
              <w:left w:val="single" w:sz="8" w:space="0" w:color="auto"/>
              <w:bottom w:val="single" w:sz="4" w:space="0" w:color="auto"/>
              <w:right w:val="single" w:sz="8" w:space="0" w:color="auto"/>
            </w:tcBorders>
            <w:vAlign w:val="center"/>
          </w:tcPr>
          <w:p w:rsidR="006002F1" w:rsidRPr="00FA667B" w:rsidRDefault="006002F1" w:rsidP="00FA667B">
            <w:pPr>
              <w:jc w:val="both"/>
            </w:pPr>
            <w:r w:rsidRPr="00FA667B">
              <w:t>2</w:t>
            </w:r>
          </w:p>
        </w:tc>
        <w:tc>
          <w:tcPr>
            <w:tcW w:w="1660" w:type="dxa"/>
            <w:tcBorders>
              <w:top w:val="nil"/>
              <w:left w:val="nil"/>
              <w:bottom w:val="single" w:sz="4" w:space="0" w:color="auto"/>
              <w:right w:val="single" w:sz="8" w:space="0" w:color="auto"/>
            </w:tcBorders>
            <w:vAlign w:val="center"/>
          </w:tcPr>
          <w:p w:rsidR="006002F1" w:rsidRPr="00FA667B" w:rsidRDefault="006002F1" w:rsidP="00FA667B">
            <w:pPr>
              <w:jc w:val="both"/>
            </w:pPr>
            <w:r w:rsidRPr="00FA667B">
              <w:t>0,80%</w:t>
            </w:r>
          </w:p>
        </w:tc>
      </w:tr>
      <w:tr w:rsidR="006002F1" w:rsidRPr="00FA667B" w:rsidTr="00C245E1">
        <w:trPr>
          <w:trHeight w:val="300"/>
        </w:trPr>
        <w:tc>
          <w:tcPr>
            <w:tcW w:w="2180" w:type="dxa"/>
            <w:tcBorders>
              <w:top w:val="nil"/>
              <w:left w:val="single" w:sz="8" w:space="0" w:color="auto"/>
              <w:bottom w:val="single" w:sz="8" w:space="0" w:color="auto"/>
              <w:right w:val="nil"/>
            </w:tcBorders>
            <w:vAlign w:val="center"/>
          </w:tcPr>
          <w:p w:rsidR="006002F1" w:rsidRPr="00FA667B" w:rsidRDefault="006002F1" w:rsidP="00FA667B">
            <w:pPr>
              <w:jc w:val="both"/>
            </w:pPr>
            <w:r w:rsidRPr="00FA667B">
              <w:t>PTCD</w:t>
            </w:r>
          </w:p>
        </w:tc>
        <w:tc>
          <w:tcPr>
            <w:tcW w:w="1660" w:type="dxa"/>
            <w:tcBorders>
              <w:top w:val="nil"/>
              <w:left w:val="single" w:sz="8" w:space="0" w:color="auto"/>
              <w:bottom w:val="single" w:sz="8" w:space="0" w:color="auto"/>
              <w:right w:val="single" w:sz="8" w:space="0" w:color="auto"/>
            </w:tcBorders>
            <w:vAlign w:val="center"/>
          </w:tcPr>
          <w:p w:rsidR="006002F1" w:rsidRPr="00FA667B" w:rsidRDefault="006002F1" w:rsidP="00FA667B">
            <w:pPr>
              <w:jc w:val="both"/>
            </w:pPr>
            <w:r w:rsidRPr="00FA667B">
              <w:t>4</w:t>
            </w:r>
          </w:p>
        </w:tc>
        <w:tc>
          <w:tcPr>
            <w:tcW w:w="1660" w:type="dxa"/>
            <w:tcBorders>
              <w:top w:val="nil"/>
              <w:left w:val="nil"/>
              <w:bottom w:val="single" w:sz="8" w:space="0" w:color="auto"/>
              <w:right w:val="single" w:sz="8" w:space="0" w:color="auto"/>
            </w:tcBorders>
            <w:vAlign w:val="center"/>
          </w:tcPr>
          <w:p w:rsidR="006002F1" w:rsidRPr="00FA667B" w:rsidRDefault="006002F1" w:rsidP="00FA667B">
            <w:pPr>
              <w:jc w:val="both"/>
            </w:pPr>
            <w:r w:rsidRPr="00FA667B">
              <w:t>1,70%</w:t>
            </w:r>
          </w:p>
        </w:tc>
      </w:tr>
    </w:tbl>
    <w:p w:rsidR="00A90362" w:rsidRDefault="00A90362"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lastRenderedPageBreak/>
        <w:t>5</w:t>
      </w:r>
      <w:r w:rsidR="006002F1" w:rsidRPr="00FA667B">
        <w:rPr>
          <w:b/>
          <w:u w:val="single"/>
        </w:rPr>
        <w:t>.4.Výsledky</w:t>
      </w:r>
    </w:p>
    <w:p w:rsidR="00601A03" w:rsidRPr="00FA667B" w:rsidRDefault="00601A03" w:rsidP="00FA667B">
      <w:pPr>
        <w:spacing w:line="360" w:lineRule="auto"/>
        <w:jc w:val="both"/>
        <w:rPr>
          <w:b/>
          <w:u w:val="single"/>
        </w:rPr>
      </w:pPr>
    </w:p>
    <w:p w:rsidR="00393E44" w:rsidRPr="00C14942" w:rsidRDefault="00A90362" w:rsidP="00FA667B">
      <w:pPr>
        <w:spacing w:line="360" w:lineRule="auto"/>
        <w:jc w:val="both"/>
        <w:rPr>
          <w:b/>
          <w:i/>
          <w:u w:val="single"/>
        </w:rPr>
      </w:pPr>
      <w:r w:rsidRPr="00C14942">
        <w:rPr>
          <w:b/>
          <w:i/>
          <w:u w:val="single"/>
        </w:rPr>
        <w:t xml:space="preserve">A: </w:t>
      </w:r>
      <w:r w:rsidR="00393E44" w:rsidRPr="00C14942">
        <w:rPr>
          <w:b/>
          <w:i/>
          <w:u w:val="single"/>
        </w:rPr>
        <w:t xml:space="preserve">Specifické komplikace </w:t>
      </w:r>
    </w:p>
    <w:p w:rsidR="00177918" w:rsidRPr="00FA667B" w:rsidRDefault="00177918" w:rsidP="00FA667B">
      <w:pPr>
        <w:spacing w:line="360" w:lineRule="auto"/>
        <w:jc w:val="both"/>
      </w:pPr>
      <w:r w:rsidRPr="00FA667B">
        <w:t>Hodnotili jsme výskyt jednotl</w:t>
      </w:r>
      <w:r w:rsidR="00393E44">
        <w:t xml:space="preserve">ivých typů pankreatické píštěle, postpankreatektomickou hemoragii, opožděnou evakuaci žaludku </w:t>
      </w:r>
      <w:r w:rsidRPr="00FA667B">
        <w:t xml:space="preserve">po </w:t>
      </w:r>
      <w:r w:rsidR="00A90362">
        <w:t>pankreatoduodenektomii a levostrann</w:t>
      </w:r>
      <w:r w:rsidR="00393E44">
        <w:t>é resekci pankreatu a leak z hepatikojejunoanastomózy po pankreatoduodenektomii a totální pankreatektomii. Zaměřili jsme se také na diagnostiku a řešení dané komplikace.</w:t>
      </w:r>
    </w:p>
    <w:p w:rsidR="00393E44" w:rsidRDefault="00393E44" w:rsidP="00A90362">
      <w:pPr>
        <w:spacing w:line="360" w:lineRule="auto"/>
        <w:jc w:val="both"/>
        <w:rPr>
          <w:i/>
          <w:u w:val="single"/>
        </w:rPr>
      </w:pPr>
    </w:p>
    <w:p w:rsidR="00A90362" w:rsidRPr="00A90362" w:rsidRDefault="00A90362" w:rsidP="00A90362">
      <w:pPr>
        <w:spacing w:line="360" w:lineRule="auto"/>
        <w:jc w:val="both"/>
        <w:rPr>
          <w:i/>
          <w:u w:val="single"/>
        </w:rPr>
      </w:pPr>
      <w:r w:rsidRPr="00A90362">
        <w:rPr>
          <w:i/>
          <w:u w:val="single"/>
        </w:rPr>
        <w:t xml:space="preserve">1. </w:t>
      </w:r>
      <w:r w:rsidR="005F1250">
        <w:rPr>
          <w:i/>
          <w:u w:val="single"/>
        </w:rPr>
        <w:t>Pankreatická píště po pankreatoduodenektomii</w:t>
      </w:r>
    </w:p>
    <w:p w:rsidR="00177918" w:rsidRPr="00FA667B" w:rsidRDefault="00177918" w:rsidP="00A90362">
      <w:pPr>
        <w:spacing w:line="360" w:lineRule="auto"/>
        <w:jc w:val="both"/>
      </w:pPr>
      <w:r w:rsidRPr="00FA667B">
        <w:t xml:space="preserve">Nejčastějším typem pankreatické píštěle </w:t>
      </w:r>
      <w:r w:rsidR="00A90362">
        <w:t>po PDE (172</w:t>
      </w:r>
      <w:r w:rsidR="00C200FA">
        <w:t>/241</w:t>
      </w:r>
      <w:r w:rsidR="00A90362">
        <w:t xml:space="preserve">) </w:t>
      </w:r>
      <w:r w:rsidRPr="00FA667B">
        <w:t>v našem souboru byla POPF typu A u 25 nemocných (10,4%). U pankreatické píštěle typu A bylo řešením ponechat drény zavedené peroperačně, tedy cílenou drenáž. Průměrná délka ponechání drénů byla 20</w:t>
      </w:r>
      <w:r w:rsidR="00524E66" w:rsidRPr="00FA667B">
        <w:t xml:space="preserve"> </w:t>
      </w:r>
      <w:r w:rsidRPr="00FA667B">
        <w:t>dní (</w:t>
      </w:r>
      <w:r w:rsidR="008E1263" w:rsidRPr="00FA667B">
        <w:t>10-3</w:t>
      </w:r>
      <w:r w:rsidRPr="00FA667B">
        <w:t>1dní.).</w:t>
      </w:r>
    </w:p>
    <w:p w:rsidR="00177918" w:rsidRPr="00FA667B" w:rsidRDefault="00177918" w:rsidP="00FA667B">
      <w:pPr>
        <w:spacing w:line="360" w:lineRule="auto"/>
        <w:jc w:val="both"/>
      </w:pPr>
      <w:r w:rsidRPr="00FA667B">
        <w:t>POPF typu B se vyskytla u pěti (2%) nemocných. U tří nemocných jsme na základě CT vyšetření, kde byla prokázána kolekce v okolí PJA, provedli cílenou drenáž pod CT, součástí byla i ATB terapie. Drén byl ponechán</w:t>
      </w:r>
      <w:r w:rsidR="00C14942">
        <w:t xml:space="preserve">, jestliže </w:t>
      </w:r>
      <w:r w:rsidRPr="00FA667B">
        <w:t>ne</w:t>
      </w:r>
      <w:r w:rsidR="0079694E">
        <w:t>byl pokles</w:t>
      </w:r>
      <w:r w:rsidRPr="00FA667B">
        <w:t xml:space="preserve"> sekrece z drénu pod 5ml/24hod. Ve dvou případech jsme ve skupině nemocných s POPF typu B provedli operační revizi s cílenou drenáží. Drény byly ponechány po dobu </w:t>
      </w:r>
      <w:smartTag w:uri="urn:schemas-microsoft-com:office:smarttags" w:element="metricconverter">
        <w:smartTagPr>
          <w:attr w:name="ProductID" w:val="14 a"/>
        </w:smartTagPr>
        <w:r w:rsidRPr="00FA667B">
          <w:t>14 a</w:t>
        </w:r>
      </w:smartTag>
      <w:r w:rsidRPr="00FA667B">
        <w:t xml:space="preserve"> 19</w:t>
      </w:r>
      <w:r w:rsidR="008E1263" w:rsidRPr="00FA667B">
        <w:t xml:space="preserve"> </w:t>
      </w:r>
      <w:r w:rsidRPr="00FA667B">
        <w:t>dní, tím došlo k převedení na ohra</w:t>
      </w:r>
      <w:r w:rsidR="0079694E">
        <w:t>ničenou zevní píštěl a na zevní</w:t>
      </w:r>
      <w:r w:rsidRPr="00FA667B">
        <w:t xml:space="preserve"> ústí </w:t>
      </w:r>
      <w:r w:rsidR="0079694E">
        <w:t xml:space="preserve">kůže </w:t>
      </w:r>
      <w:r w:rsidRPr="00FA667B">
        <w:t>byl nalepen sběrný sáček</w:t>
      </w:r>
      <w:r w:rsidR="0079694E">
        <w:t xml:space="preserve"> </w:t>
      </w:r>
      <w:r w:rsidRPr="00FA667B">
        <w:t xml:space="preserve">ke sledování množství a charakteru sekretu. </w:t>
      </w:r>
    </w:p>
    <w:p w:rsidR="00177918" w:rsidRPr="00FA667B" w:rsidRDefault="00177918" w:rsidP="00FA667B">
      <w:pPr>
        <w:spacing w:line="360" w:lineRule="auto"/>
        <w:jc w:val="both"/>
      </w:pPr>
      <w:r w:rsidRPr="00FA667B">
        <w:t>Nejzávažnější typ pankreatické píštěle typu C se v</w:t>
      </w:r>
      <w:r w:rsidR="008E1263" w:rsidRPr="00FA667B">
        <w:rPr>
          <w:noProof/>
        </w:rPr>
        <w:t>yskytly</w:t>
      </w:r>
      <w:r w:rsidRPr="00FA667B">
        <w:rPr>
          <w:noProof/>
        </w:rPr>
        <w:t xml:space="preserve"> u dvou nemocných (</w:t>
      </w:r>
      <w:r w:rsidRPr="00FA667B">
        <w:t>0,8%). V obou případech jsme zvolili operační reviz</w:t>
      </w:r>
      <w:r w:rsidR="0079694E">
        <w:t xml:space="preserve">i s dokončením pankreatektomie. </w:t>
      </w:r>
      <w:r w:rsidRPr="00FA667B">
        <w:t xml:space="preserve">V dalším pooperačním období došlo k multiorgánovému selhání a úmrtí nemocných. </w:t>
      </w:r>
    </w:p>
    <w:p w:rsidR="00177918" w:rsidRPr="00FA667B" w:rsidRDefault="00177918" w:rsidP="00FA667B">
      <w:pPr>
        <w:spacing w:line="360" w:lineRule="auto"/>
        <w:jc w:val="both"/>
      </w:pPr>
    </w:p>
    <w:p w:rsidR="0079694E" w:rsidRPr="0079694E" w:rsidRDefault="0079694E" w:rsidP="00FA667B">
      <w:pPr>
        <w:spacing w:line="360" w:lineRule="auto"/>
        <w:jc w:val="both"/>
        <w:rPr>
          <w:i/>
          <w:u w:val="single"/>
        </w:rPr>
      </w:pPr>
      <w:r w:rsidRPr="0079694E">
        <w:rPr>
          <w:i/>
          <w:u w:val="single"/>
        </w:rPr>
        <w:t>2.</w:t>
      </w:r>
      <w:r>
        <w:rPr>
          <w:i/>
          <w:u w:val="single"/>
        </w:rPr>
        <w:t xml:space="preserve"> </w:t>
      </w:r>
      <w:r w:rsidR="005F1250">
        <w:rPr>
          <w:i/>
          <w:u w:val="single"/>
        </w:rPr>
        <w:t>Pankreatická píštěl po l</w:t>
      </w:r>
      <w:r w:rsidRPr="0079694E">
        <w:rPr>
          <w:i/>
          <w:u w:val="single"/>
        </w:rPr>
        <w:t>evostrann</w:t>
      </w:r>
      <w:r w:rsidR="005F1250">
        <w:rPr>
          <w:i/>
          <w:u w:val="single"/>
        </w:rPr>
        <w:t>é</w:t>
      </w:r>
      <w:r w:rsidRPr="0079694E">
        <w:rPr>
          <w:i/>
          <w:u w:val="single"/>
        </w:rPr>
        <w:t xml:space="preserve"> resekc</w:t>
      </w:r>
      <w:r w:rsidR="005F1250">
        <w:rPr>
          <w:i/>
          <w:u w:val="single"/>
        </w:rPr>
        <w:t>i</w:t>
      </w:r>
      <w:r w:rsidRPr="0079694E">
        <w:rPr>
          <w:i/>
          <w:u w:val="single"/>
        </w:rPr>
        <w:t xml:space="preserve"> pankreatu</w:t>
      </w:r>
    </w:p>
    <w:p w:rsidR="00177918" w:rsidRPr="00FA667B" w:rsidRDefault="00177918" w:rsidP="00FA667B">
      <w:pPr>
        <w:spacing w:line="360" w:lineRule="auto"/>
        <w:jc w:val="both"/>
      </w:pPr>
      <w:r w:rsidRPr="00FA667B">
        <w:t xml:space="preserve">Na našem souboru </w:t>
      </w:r>
      <w:r w:rsidR="0079694E">
        <w:t xml:space="preserve">241 nemocných byla provedena u </w:t>
      </w:r>
      <w:r w:rsidRPr="00FA667B">
        <w:t>49 nemocných</w:t>
      </w:r>
      <w:r w:rsidR="0079694E">
        <w:t xml:space="preserve"> </w:t>
      </w:r>
      <w:r w:rsidRPr="00FA667B">
        <w:t xml:space="preserve">levostranná </w:t>
      </w:r>
      <w:r w:rsidR="0079694E">
        <w:t xml:space="preserve">resekce pankreatu se splenektomií. Zde se </w:t>
      </w:r>
      <w:r w:rsidRPr="00FA667B">
        <w:t xml:space="preserve">vyskytla ve třech případech pankreatická píštěl, na jejímž základě vznikla patologická kolekce při resekční ploše pankreatu. </w:t>
      </w:r>
      <w:r w:rsidR="0079694E">
        <w:t xml:space="preserve">U dvou nemocných </w:t>
      </w:r>
      <w:r w:rsidRPr="00FA667B">
        <w:t xml:space="preserve">bylo provedeno ERCP </w:t>
      </w:r>
      <w:r w:rsidR="0079694E">
        <w:t xml:space="preserve">se </w:t>
      </w:r>
      <w:r w:rsidRPr="00FA667B">
        <w:t>zavedení</w:t>
      </w:r>
      <w:r w:rsidR="0079694E">
        <w:t>m</w:t>
      </w:r>
      <w:r w:rsidRPr="00FA667B">
        <w:t xml:space="preserve"> stentu do pankreatického vývodu. Cí</w:t>
      </w:r>
      <w:r w:rsidR="008E1263" w:rsidRPr="00FA667B">
        <w:t>lem bylo snížení tlaku a drenáž</w:t>
      </w:r>
      <w:r w:rsidRPr="00FA667B">
        <w:t xml:space="preserve"> pankreatické šťávy do duodena. Součástí terapie byla i cílená ATB terapie. V jednom případě byla provedena drenáž kolekce pod CT a cílená ATB terapie.</w:t>
      </w:r>
    </w:p>
    <w:p w:rsidR="00177918" w:rsidRPr="00FA667B" w:rsidRDefault="00177918" w:rsidP="00FA667B">
      <w:pPr>
        <w:spacing w:line="360" w:lineRule="auto"/>
        <w:jc w:val="both"/>
      </w:pPr>
    </w:p>
    <w:p w:rsidR="00C14942" w:rsidRDefault="00C14942" w:rsidP="00FA667B">
      <w:pPr>
        <w:spacing w:line="360" w:lineRule="auto"/>
        <w:jc w:val="both"/>
        <w:rPr>
          <w:i/>
          <w:u w:val="single"/>
        </w:rPr>
      </w:pPr>
    </w:p>
    <w:p w:rsidR="00C14942" w:rsidRDefault="00C14942" w:rsidP="00FA667B">
      <w:pPr>
        <w:spacing w:line="360" w:lineRule="auto"/>
        <w:jc w:val="both"/>
        <w:rPr>
          <w:i/>
          <w:u w:val="single"/>
        </w:rPr>
      </w:pPr>
    </w:p>
    <w:p w:rsidR="000A124D" w:rsidRDefault="005F1250" w:rsidP="00FA667B">
      <w:pPr>
        <w:spacing w:line="360" w:lineRule="auto"/>
        <w:jc w:val="both"/>
        <w:rPr>
          <w:i/>
          <w:u w:val="single"/>
        </w:rPr>
      </w:pPr>
      <w:r w:rsidRPr="005F1250">
        <w:rPr>
          <w:i/>
          <w:u w:val="single"/>
        </w:rPr>
        <w:lastRenderedPageBreak/>
        <w:t xml:space="preserve">3. Postpankreatektomická hemoragie </w:t>
      </w:r>
    </w:p>
    <w:p w:rsidR="000A124D" w:rsidRDefault="000A124D" w:rsidP="00FA667B">
      <w:pPr>
        <w:spacing w:line="360" w:lineRule="auto"/>
        <w:jc w:val="both"/>
        <w:rPr>
          <w:i/>
          <w:u w:val="single"/>
        </w:rPr>
      </w:pPr>
      <w:r w:rsidRPr="00FA667B">
        <w:t xml:space="preserve">Pooperační krvácení se v našem souboru </w:t>
      </w:r>
      <w:r>
        <w:t xml:space="preserve">241 nemocných </w:t>
      </w:r>
      <w:r w:rsidRPr="00FA667B">
        <w:t>o</w:t>
      </w:r>
      <w:r>
        <w:t>bjevilo u desíti nemocných (</w:t>
      </w:r>
      <w:r w:rsidRPr="00FA667B">
        <w:t>4,1%).</w:t>
      </w:r>
    </w:p>
    <w:p w:rsidR="00C14942" w:rsidRDefault="00C14942" w:rsidP="00FA667B">
      <w:pPr>
        <w:spacing w:line="360" w:lineRule="auto"/>
        <w:jc w:val="both"/>
        <w:rPr>
          <w:u w:val="single"/>
        </w:rPr>
      </w:pPr>
    </w:p>
    <w:p w:rsidR="005F1250" w:rsidRPr="000A124D" w:rsidRDefault="000A124D" w:rsidP="00FA667B">
      <w:pPr>
        <w:spacing w:line="360" w:lineRule="auto"/>
        <w:jc w:val="both"/>
        <w:rPr>
          <w:u w:val="single"/>
        </w:rPr>
      </w:pPr>
      <w:r w:rsidRPr="000A124D">
        <w:rPr>
          <w:u w:val="single"/>
        </w:rPr>
        <w:t xml:space="preserve">a) </w:t>
      </w:r>
      <w:r w:rsidR="005F1250" w:rsidRPr="000A124D">
        <w:rPr>
          <w:u w:val="single"/>
        </w:rPr>
        <w:t>po pankreatoduodenektomii</w:t>
      </w:r>
    </w:p>
    <w:p w:rsidR="005F1250" w:rsidRDefault="00177918" w:rsidP="00FA667B">
      <w:pPr>
        <w:spacing w:line="360" w:lineRule="auto"/>
        <w:jc w:val="both"/>
      </w:pPr>
      <w:r w:rsidRPr="00FA667B">
        <w:t xml:space="preserve">Pooperační krvácení </w:t>
      </w:r>
      <w:r w:rsidR="000A124D">
        <w:t xml:space="preserve">po PDE </w:t>
      </w:r>
      <w:r w:rsidRPr="00FA667B">
        <w:t xml:space="preserve">se v našem souboru </w:t>
      </w:r>
      <w:r w:rsidR="005F1250">
        <w:t xml:space="preserve">241 nemocných </w:t>
      </w:r>
      <w:r w:rsidRPr="00FA667B">
        <w:t>o</w:t>
      </w:r>
      <w:r w:rsidR="002023F8">
        <w:t xml:space="preserve">bjevilo u </w:t>
      </w:r>
      <w:r w:rsidR="000A124D">
        <w:t xml:space="preserve">devíti </w:t>
      </w:r>
      <w:r w:rsidR="005F1250">
        <w:t xml:space="preserve"> nemocných (</w:t>
      </w:r>
      <w:r w:rsidR="000A124D">
        <w:t>3,73</w:t>
      </w:r>
      <w:r w:rsidRPr="00FA667B">
        <w:t xml:space="preserve">%). Pokud byl nemocný oběhově stabilní, v první době jsme volili provedení CTAG, které nám ozřejmilo zdroj krvácení. </w:t>
      </w:r>
      <w:r w:rsidR="000A124D">
        <w:t>J</w:t>
      </w:r>
      <w:r w:rsidR="005F1250">
        <w:t>ednalo</w:t>
      </w:r>
      <w:r w:rsidR="000A124D">
        <w:t xml:space="preserve"> se </w:t>
      </w:r>
      <w:r w:rsidR="005F1250">
        <w:t xml:space="preserve">o tři nemocné (3/10), u kterých bylo diagnostikováno </w:t>
      </w:r>
      <w:r w:rsidRPr="00FA667B">
        <w:t>krvácení z p</w:t>
      </w:r>
      <w:r w:rsidR="005F1250">
        <w:t>ahýlu arteria gastroduodenalis</w:t>
      </w:r>
      <w:r w:rsidRPr="00FA667B">
        <w:t xml:space="preserve">. U všech bylo provedeno CTAG a coiling pahýlu arteria gastroduodenalis. </w:t>
      </w:r>
    </w:p>
    <w:p w:rsidR="005F1250" w:rsidRPr="00FA667B" w:rsidRDefault="005F1250" w:rsidP="005F1250">
      <w:pPr>
        <w:spacing w:line="360" w:lineRule="auto"/>
        <w:jc w:val="both"/>
      </w:pPr>
      <w:r w:rsidRPr="00FA667B">
        <w:t>V d</w:t>
      </w:r>
      <w:r w:rsidR="000A124D">
        <w:t xml:space="preserve">alším případě u nemocného po pankreatoduodenektomii </w:t>
      </w:r>
      <w:r w:rsidR="00C200FA">
        <w:t>(</w:t>
      </w:r>
      <w:r w:rsidR="000A124D">
        <w:t>1</w:t>
      </w:r>
      <w:r w:rsidR="00C200FA">
        <w:t>/10</w:t>
      </w:r>
      <w:r w:rsidR="000A124D">
        <w:t>)</w:t>
      </w:r>
      <w:r w:rsidRPr="00FA667B">
        <w:t xml:space="preserve"> se vyskytlo pseudoaneurysma arteria lienalis. Výkon se prováděl na hybridním sále, kde intervenční radiolog provedl coiling arteria lienalis. Vzhledem k septickému stavu nemocného bylo v dalším kroku přistoupeno k operační revizi a cílené drenáži kolekce. </w:t>
      </w:r>
    </w:p>
    <w:p w:rsidR="005F1250" w:rsidRPr="00FA667B" w:rsidRDefault="005F1250" w:rsidP="005F1250">
      <w:pPr>
        <w:spacing w:line="360" w:lineRule="auto"/>
        <w:jc w:val="both"/>
      </w:pPr>
      <w:r w:rsidRPr="00FA667B">
        <w:t xml:space="preserve">U dalšího pacienta </w:t>
      </w:r>
      <w:r w:rsidR="00C200FA">
        <w:t>(1</w:t>
      </w:r>
      <w:r w:rsidR="000A124D">
        <w:t>/1</w:t>
      </w:r>
      <w:r w:rsidR="00C200FA">
        <w:t>0</w:t>
      </w:r>
      <w:r w:rsidR="000A124D">
        <w:t xml:space="preserve">) </w:t>
      </w:r>
      <w:r w:rsidRPr="00FA667B">
        <w:t xml:space="preserve">se objevila </w:t>
      </w:r>
      <w:r w:rsidR="000A124D">
        <w:t>meléna</w:t>
      </w:r>
      <w:r w:rsidRPr="00FA667B">
        <w:t xml:space="preserve"> jako známka krvácení. Na CTAG byla prokázána extravazace proximální jejunální větve. I zde byl proveden coiling příslušné větve. </w:t>
      </w:r>
    </w:p>
    <w:p w:rsidR="005F1250" w:rsidRPr="00FA667B" w:rsidRDefault="005F1250" w:rsidP="005F1250">
      <w:pPr>
        <w:spacing w:line="360" w:lineRule="auto"/>
        <w:jc w:val="both"/>
      </w:pPr>
      <w:r w:rsidRPr="00FA667B">
        <w:t xml:space="preserve">Ve dvou případech </w:t>
      </w:r>
      <w:r w:rsidR="00C200FA">
        <w:t>(</w:t>
      </w:r>
      <w:r w:rsidR="000A124D">
        <w:t>2</w:t>
      </w:r>
      <w:r w:rsidR="00C200FA">
        <w:t>/10</w:t>
      </w:r>
      <w:r w:rsidR="000A124D">
        <w:t xml:space="preserve">) </w:t>
      </w:r>
      <w:r w:rsidRPr="00FA667B">
        <w:t xml:space="preserve">se krvácení projevilo v podobě melény. V rámci diagnostiky jsme provedli akutní gastroskopické vyšetření. U jednoho nemocného </w:t>
      </w:r>
      <w:r w:rsidR="00C200FA">
        <w:t>(</w:t>
      </w:r>
      <w:r w:rsidR="000A124D">
        <w:t>1</w:t>
      </w:r>
      <w:r w:rsidR="00C200FA">
        <w:t>/10</w:t>
      </w:r>
      <w:r w:rsidR="000A124D">
        <w:t xml:space="preserve">) </w:t>
      </w:r>
      <w:r w:rsidRPr="00FA667B">
        <w:t>bylo zjištěno krvácení z</w:t>
      </w:r>
      <w:r w:rsidR="000A124D">
        <w:t xml:space="preserve"> duodenojejunoanastomózy</w:t>
      </w:r>
      <w:r w:rsidRPr="00FA667B">
        <w:t xml:space="preserve">. Krvácení bylo ošetřeno klipem, bez dalšího projevu krvácení. U druhého nemocného </w:t>
      </w:r>
      <w:r w:rsidR="00C200FA">
        <w:t>(</w:t>
      </w:r>
      <w:r w:rsidR="000A124D">
        <w:t>1</w:t>
      </w:r>
      <w:r w:rsidR="00C200FA">
        <w:t>/10</w:t>
      </w:r>
      <w:r w:rsidR="000A124D">
        <w:t xml:space="preserve">) </w:t>
      </w:r>
      <w:r w:rsidRPr="00FA667B">
        <w:t>se jednalo o vředovo</w:t>
      </w:r>
      <w:r w:rsidR="000A124D">
        <w:t>u lézi v oblasti DJA, která byla vyřešena opichem s adrenalinem.</w:t>
      </w:r>
    </w:p>
    <w:p w:rsidR="000A124D" w:rsidRDefault="000A124D" w:rsidP="00FA667B">
      <w:pPr>
        <w:spacing w:line="360" w:lineRule="auto"/>
        <w:jc w:val="both"/>
      </w:pPr>
    </w:p>
    <w:p w:rsidR="000A124D" w:rsidRPr="000A124D" w:rsidRDefault="000A124D" w:rsidP="000A124D">
      <w:pPr>
        <w:spacing w:line="360" w:lineRule="auto"/>
        <w:jc w:val="both"/>
        <w:rPr>
          <w:u w:val="single"/>
        </w:rPr>
      </w:pPr>
      <w:r w:rsidRPr="000A124D">
        <w:rPr>
          <w:u w:val="single"/>
        </w:rPr>
        <w:t xml:space="preserve">b) po levostranné resekci pankreatu </w:t>
      </w:r>
    </w:p>
    <w:p w:rsidR="005F1250" w:rsidRDefault="00177918" w:rsidP="000A124D">
      <w:pPr>
        <w:spacing w:line="360" w:lineRule="auto"/>
        <w:jc w:val="both"/>
      </w:pPr>
      <w:r w:rsidRPr="00FA667B">
        <w:t>V jednom případě</w:t>
      </w:r>
      <w:r w:rsidR="000A124D">
        <w:t xml:space="preserve"> (1/1</w:t>
      </w:r>
      <w:r w:rsidR="00C200FA">
        <w:t>0</w:t>
      </w:r>
      <w:r w:rsidR="000A124D">
        <w:t>), tedy v</w:t>
      </w:r>
      <w:r w:rsidRPr="00FA667B">
        <w:t xml:space="preserve"> </w:t>
      </w:r>
      <w:r w:rsidR="000A124D">
        <w:t xml:space="preserve">0,14% </w:t>
      </w:r>
      <w:r w:rsidRPr="00FA667B">
        <w:t>po levostranné pankreatektomii, kde byla přítomna pankreatická píštěl typu B, došlo ke vzniku pseudoaneurysmatu arteria hepatica communis,</w:t>
      </w:r>
      <w:r w:rsidR="00CA373D">
        <w:t>které bylo vyřešeno zavedením stentu</w:t>
      </w:r>
      <w:r w:rsidR="000A124D">
        <w:t>.</w:t>
      </w:r>
    </w:p>
    <w:p w:rsidR="00177918" w:rsidRPr="00FA667B" w:rsidRDefault="00177918" w:rsidP="00FA667B">
      <w:pPr>
        <w:spacing w:line="360" w:lineRule="auto"/>
        <w:jc w:val="both"/>
      </w:pPr>
    </w:p>
    <w:p w:rsidR="00393E44" w:rsidRPr="00393E44" w:rsidRDefault="000A124D" w:rsidP="00FA667B">
      <w:pPr>
        <w:spacing w:line="360" w:lineRule="auto"/>
        <w:jc w:val="both"/>
        <w:rPr>
          <w:i/>
          <w:u w:val="single"/>
        </w:rPr>
      </w:pPr>
      <w:r w:rsidRPr="00393E44">
        <w:rPr>
          <w:i/>
          <w:u w:val="single"/>
        </w:rPr>
        <w:t xml:space="preserve">4. </w:t>
      </w:r>
      <w:r w:rsidR="00177918" w:rsidRPr="00393E44">
        <w:rPr>
          <w:i/>
          <w:u w:val="single"/>
        </w:rPr>
        <w:t xml:space="preserve">Opožděná evakuace žaludku </w:t>
      </w:r>
    </w:p>
    <w:p w:rsidR="00177918" w:rsidRPr="00FA667B" w:rsidRDefault="00393E44" w:rsidP="00FA667B">
      <w:pPr>
        <w:spacing w:line="360" w:lineRule="auto"/>
        <w:jc w:val="both"/>
      </w:pPr>
      <w:r>
        <w:t xml:space="preserve">Delayed Gatric emptying </w:t>
      </w:r>
      <w:r w:rsidR="00177918" w:rsidRPr="00FA667B">
        <w:t xml:space="preserve">se v našem souboru vyskytl u 28 </w:t>
      </w:r>
      <w:r>
        <w:t>(28</w:t>
      </w:r>
      <w:r w:rsidR="00C200FA">
        <w:t>/241</w:t>
      </w:r>
      <w:r>
        <w:t xml:space="preserve">) </w:t>
      </w:r>
      <w:r w:rsidR="00177918" w:rsidRPr="00FA667B">
        <w:t>nemocných</w:t>
      </w:r>
      <w:r>
        <w:t>, tedy v 11,6%</w:t>
      </w:r>
      <w:r w:rsidR="00177918" w:rsidRPr="00FA667B">
        <w:t xml:space="preserve">. Nemocní měli zavedenou nasogastrickou sondu, parenterální výživu, </w:t>
      </w:r>
      <w:r>
        <w:t xml:space="preserve">ordinovali jsme </w:t>
      </w:r>
      <w:r w:rsidR="00177918" w:rsidRPr="00FA667B">
        <w:t xml:space="preserve">prokinetika, event. kortikoterapii při otoku </w:t>
      </w:r>
      <w:r>
        <w:t>duodenojejunoanastomózy</w:t>
      </w:r>
      <w:r w:rsidR="00177918" w:rsidRPr="00FA667B">
        <w:t xml:space="preserve">. Z paraklinických vyšetření jsme provedli </w:t>
      </w:r>
      <w:r>
        <w:t>gastroskopii</w:t>
      </w:r>
      <w:r w:rsidR="00177918" w:rsidRPr="00FA667B">
        <w:t xml:space="preserve"> k vyloučení otoku </w:t>
      </w:r>
      <w:r>
        <w:t>duodenojejunoanastomózy</w:t>
      </w:r>
      <w:r w:rsidR="00177918" w:rsidRPr="00FA667B">
        <w:t xml:space="preserve"> nebo pasáž horní č</w:t>
      </w:r>
      <w:r>
        <w:t>ásti GIT k vyloučení stenózy</w:t>
      </w:r>
      <w:r w:rsidR="00177918" w:rsidRPr="00FA667B">
        <w:t xml:space="preserve"> nebo eventuálního leaku z DJA.</w:t>
      </w:r>
    </w:p>
    <w:p w:rsidR="00393E44" w:rsidRDefault="00393E44" w:rsidP="00FA667B">
      <w:pPr>
        <w:spacing w:line="360" w:lineRule="auto"/>
        <w:jc w:val="both"/>
      </w:pPr>
    </w:p>
    <w:p w:rsidR="00C14942" w:rsidRDefault="00C14942" w:rsidP="00FA667B">
      <w:pPr>
        <w:spacing w:line="360" w:lineRule="auto"/>
        <w:jc w:val="both"/>
        <w:rPr>
          <w:i/>
          <w:u w:val="single"/>
        </w:rPr>
      </w:pPr>
    </w:p>
    <w:p w:rsidR="00393E44" w:rsidRPr="00393E44" w:rsidRDefault="00393E44" w:rsidP="00FA667B">
      <w:pPr>
        <w:spacing w:line="360" w:lineRule="auto"/>
        <w:jc w:val="both"/>
        <w:rPr>
          <w:i/>
          <w:u w:val="single"/>
        </w:rPr>
      </w:pPr>
      <w:r w:rsidRPr="00393E44">
        <w:rPr>
          <w:i/>
          <w:u w:val="single"/>
        </w:rPr>
        <w:lastRenderedPageBreak/>
        <w:t>5. Leak z hepatikojejunoanastomózy</w:t>
      </w:r>
    </w:p>
    <w:p w:rsidR="00177918" w:rsidRPr="00FA667B" w:rsidRDefault="00177918" w:rsidP="00FA667B">
      <w:pPr>
        <w:spacing w:line="360" w:lineRule="auto"/>
        <w:jc w:val="both"/>
      </w:pPr>
      <w:r w:rsidRPr="00FA667B">
        <w:t xml:space="preserve">Méně častou komplikací byl leak z hepatikojejunoanastomózy. V našem souboru </w:t>
      </w:r>
      <w:r w:rsidR="00CA373D">
        <w:t xml:space="preserve">192 </w:t>
      </w:r>
      <w:r w:rsidRPr="00FA667B">
        <w:t xml:space="preserve">nemocných jsme se setkali s šesti (2,5%) případy leaku z HJA. U nemocných s podezřením na leak </w:t>
      </w:r>
      <w:r w:rsidR="004B5F3A" w:rsidRPr="00FA667B">
        <w:t xml:space="preserve">z HJA bylo provedeno CT břicha. Řešením k objasnění úniku z HJA a zároveň i léčebnou metodou bylo provedení perkutánní transhepatické cholangiografie a </w:t>
      </w:r>
      <w:r w:rsidR="00E96A4E" w:rsidRPr="00FA667B">
        <w:t xml:space="preserve">zavedení </w:t>
      </w:r>
      <w:r w:rsidR="004B5F3A" w:rsidRPr="00FA667B">
        <w:t>zevně vnitřní drenáže</w:t>
      </w:r>
      <w:r w:rsidR="00E96A4E" w:rsidRPr="00FA667B">
        <w:t xml:space="preserve">. </w:t>
      </w:r>
      <w:r w:rsidR="004B5F3A" w:rsidRPr="00FA667B">
        <w:t>Principem je sníží</w:t>
      </w:r>
      <w:r w:rsidRPr="00FA667B">
        <w:t xml:space="preserve"> tlak</w:t>
      </w:r>
      <w:r w:rsidR="004B5F3A" w:rsidRPr="00FA667B">
        <w:t xml:space="preserve">u v oblasti HJA </w:t>
      </w:r>
      <w:r w:rsidRPr="00FA667B">
        <w:t xml:space="preserve">a tím napomůžeme </w:t>
      </w:r>
      <w:r w:rsidR="00E96A4E" w:rsidRPr="00FA667B">
        <w:t xml:space="preserve">jejímu </w:t>
      </w:r>
      <w:r w:rsidRPr="00FA667B">
        <w:t xml:space="preserve">hojení. </w:t>
      </w:r>
    </w:p>
    <w:p w:rsidR="00524E66" w:rsidRPr="00FA667B" w:rsidRDefault="00524E66" w:rsidP="00FA667B">
      <w:pPr>
        <w:spacing w:line="360" w:lineRule="auto"/>
        <w:jc w:val="both"/>
      </w:pPr>
    </w:p>
    <w:p w:rsidR="00625635" w:rsidRPr="00FA667B" w:rsidRDefault="00177918" w:rsidP="00FA667B">
      <w:pPr>
        <w:spacing w:line="360" w:lineRule="auto"/>
        <w:jc w:val="both"/>
      </w:pPr>
      <w:r w:rsidRPr="00FA667B">
        <w:t>Tab.č.</w:t>
      </w:r>
      <w:r w:rsidR="005455CB" w:rsidRPr="00FA667B">
        <w:t>10</w:t>
      </w:r>
      <w:r w:rsidRPr="00FA667B">
        <w:t>. P</w:t>
      </w:r>
      <w:r w:rsidR="0063237C" w:rsidRPr="00FA667B">
        <w:t xml:space="preserve">řehled výskytu </w:t>
      </w:r>
      <w:r w:rsidR="00393E44">
        <w:t>pankreatické píštěle</w:t>
      </w:r>
      <w:r w:rsidR="00625635" w:rsidRPr="00FA667B">
        <w:t>,</w:t>
      </w:r>
      <w:r w:rsidR="00393E44">
        <w:t xml:space="preserve"> postpankreatické hemoragie</w:t>
      </w:r>
      <w:r w:rsidR="00625635" w:rsidRPr="00FA667B">
        <w:t>,</w:t>
      </w:r>
      <w:r w:rsidR="00393E44">
        <w:t xml:space="preserve"> opožděné evakuace žaludku, leaku z hepatikojejunoanastomózy</w:t>
      </w:r>
    </w:p>
    <w:tbl>
      <w:tblPr>
        <w:tblW w:w="4480" w:type="dxa"/>
        <w:jc w:val="center"/>
        <w:tblCellMar>
          <w:left w:w="70" w:type="dxa"/>
          <w:right w:w="70" w:type="dxa"/>
        </w:tblCellMar>
        <w:tblLook w:val="04A0" w:firstRow="1" w:lastRow="0" w:firstColumn="1" w:lastColumn="0" w:noHBand="0" w:noVBand="1"/>
      </w:tblPr>
      <w:tblGrid>
        <w:gridCol w:w="1120"/>
        <w:gridCol w:w="1120"/>
        <w:gridCol w:w="1120"/>
        <w:gridCol w:w="1120"/>
      </w:tblGrid>
      <w:tr w:rsidR="00625635" w:rsidRPr="00FA667B" w:rsidTr="00C14942">
        <w:trPr>
          <w:trHeight w:val="402"/>
          <w:jc w:val="center"/>
        </w:trPr>
        <w:tc>
          <w:tcPr>
            <w:tcW w:w="1120" w:type="dxa"/>
            <w:tcBorders>
              <w:top w:val="nil"/>
              <w:left w:val="nil"/>
              <w:bottom w:val="nil"/>
              <w:right w:val="nil"/>
            </w:tcBorders>
            <w:shd w:val="clear" w:color="auto" w:fill="auto"/>
            <w:vAlign w:val="center"/>
            <w:hideMark/>
          </w:tcPr>
          <w:p w:rsidR="00625635" w:rsidRPr="00FA667B" w:rsidRDefault="00625635" w:rsidP="00FA667B">
            <w:pPr>
              <w:jc w:val="both"/>
            </w:pPr>
          </w:p>
        </w:tc>
        <w:tc>
          <w:tcPr>
            <w:tcW w:w="1120" w:type="dxa"/>
            <w:tcBorders>
              <w:top w:val="nil"/>
              <w:left w:val="nil"/>
              <w:bottom w:val="nil"/>
              <w:right w:val="nil"/>
            </w:tcBorders>
            <w:shd w:val="clear" w:color="auto" w:fill="auto"/>
            <w:vAlign w:val="center"/>
            <w:hideMark/>
          </w:tcPr>
          <w:p w:rsidR="00625635" w:rsidRPr="00FA667B" w:rsidRDefault="00625635" w:rsidP="00FA667B">
            <w:pPr>
              <w:jc w:val="both"/>
            </w:pPr>
          </w:p>
        </w:tc>
        <w:tc>
          <w:tcPr>
            <w:tcW w:w="1120" w:type="dxa"/>
            <w:tcBorders>
              <w:top w:val="single" w:sz="8" w:space="0" w:color="auto"/>
              <w:left w:val="single" w:sz="8" w:space="0" w:color="auto"/>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 xml:space="preserve">počet </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procento</w:t>
            </w:r>
          </w:p>
        </w:tc>
      </w:tr>
      <w:tr w:rsidR="00625635" w:rsidRPr="00FA667B" w:rsidTr="00C14942">
        <w:trPr>
          <w:trHeight w:val="402"/>
          <w:jc w:val="center"/>
        </w:trPr>
        <w:tc>
          <w:tcPr>
            <w:tcW w:w="1120" w:type="dxa"/>
            <w:tcBorders>
              <w:top w:val="single" w:sz="8" w:space="0" w:color="auto"/>
              <w:left w:val="single" w:sz="8" w:space="0" w:color="auto"/>
              <w:bottom w:val="single" w:sz="4"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POPF typ</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0</w:t>
            </w:r>
          </w:p>
        </w:tc>
        <w:tc>
          <w:tcPr>
            <w:tcW w:w="1120" w:type="dxa"/>
            <w:tcBorders>
              <w:top w:val="nil"/>
              <w:left w:val="nil"/>
              <w:bottom w:val="single" w:sz="4" w:space="0" w:color="auto"/>
              <w:right w:val="nil"/>
            </w:tcBorders>
            <w:shd w:val="clear" w:color="auto" w:fill="auto"/>
            <w:vAlign w:val="center"/>
            <w:hideMark/>
          </w:tcPr>
          <w:p w:rsidR="00625635" w:rsidRPr="00FA667B" w:rsidRDefault="00393E44" w:rsidP="00FA667B">
            <w:pPr>
              <w:jc w:val="both"/>
              <w:rPr>
                <w:color w:val="000000"/>
              </w:rPr>
            </w:pPr>
            <w:r>
              <w:rPr>
                <w:color w:val="000000"/>
              </w:rPr>
              <w:t>209</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393E44" w:rsidP="00FA667B">
            <w:pPr>
              <w:jc w:val="both"/>
              <w:rPr>
                <w:color w:val="000000"/>
              </w:rPr>
            </w:pPr>
            <w:r>
              <w:rPr>
                <w:color w:val="000000"/>
              </w:rPr>
              <w:t>86,7</w:t>
            </w:r>
            <w:r w:rsidR="00625635" w:rsidRPr="00FA667B">
              <w:rPr>
                <w:color w:val="000000"/>
              </w:rPr>
              <w:t>0%</w:t>
            </w:r>
          </w:p>
        </w:tc>
      </w:tr>
      <w:tr w:rsidR="00625635" w:rsidRPr="00FA667B" w:rsidTr="00C14942">
        <w:trPr>
          <w:trHeight w:val="402"/>
          <w:jc w:val="center"/>
        </w:trPr>
        <w:tc>
          <w:tcPr>
            <w:tcW w:w="1120" w:type="dxa"/>
            <w:tcBorders>
              <w:top w:val="nil"/>
              <w:left w:val="single" w:sz="8" w:space="0" w:color="auto"/>
              <w:bottom w:val="nil"/>
              <w:right w:val="nil"/>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A</w:t>
            </w:r>
          </w:p>
        </w:tc>
        <w:tc>
          <w:tcPr>
            <w:tcW w:w="1120" w:type="dxa"/>
            <w:tcBorders>
              <w:top w:val="nil"/>
              <w:left w:val="nil"/>
              <w:bottom w:val="single" w:sz="4"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25</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10,40%</w:t>
            </w:r>
          </w:p>
        </w:tc>
      </w:tr>
      <w:tr w:rsidR="00625635" w:rsidRPr="00FA667B" w:rsidTr="00C14942">
        <w:trPr>
          <w:trHeight w:val="402"/>
          <w:jc w:val="center"/>
        </w:trPr>
        <w:tc>
          <w:tcPr>
            <w:tcW w:w="1120" w:type="dxa"/>
            <w:tcBorders>
              <w:top w:val="nil"/>
              <w:left w:val="single" w:sz="8" w:space="0" w:color="auto"/>
              <w:bottom w:val="nil"/>
              <w:right w:val="nil"/>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B</w:t>
            </w:r>
          </w:p>
        </w:tc>
        <w:tc>
          <w:tcPr>
            <w:tcW w:w="1120" w:type="dxa"/>
            <w:tcBorders>
              <w:top w:val="nil"/>
              <w:left w:val="nil"/>
              <w:bottom w:val="single" w:sz="4"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5</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2,10%</w:t>
            </w:r>
          </w:p>
        </w:tc>
      </w:tr>
      <w:tr w:rsidR="00625635" w:rsidRPr="00FA667B" w:rsidTr="00C14942">
        <w:trPr>
          <w:trHeight w:val="402"/>
          <w:jc w:val="center"/>
        </w:trPr>
        <w:tc>
          <w:tcPr>
            <w:tcW w:w="1120" w:type="dxa"/>
            <w:tcBorders>
              <w:top w:val="nil"/>
              <w:left w:val="single" w:sz="8" w:space="0" w:color="auto"/>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nil"/>
              <w:left w:val="single" w:sz="8" w:space="0" w:color="auto"/>
              <w:bottom w:val="nil"/>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C</w:t>
            </w:r>
          </w:p>
        </w:tc>
        <w:tc>
          <w:tcPr>
            <w:tcW w:w="1120" w:type="dxa"/>
            <w:tcBorders>
              <w:top w:val="nil"/>
              <w:left w:val="nil"/>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2</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0,80%</w:t>
            </w:r>
          </w:p>
        </w:tc>
      </w:tr>
      <w:tr w:rsidR="00625635" w:rsidRPr="00FA667B" w:rsidTr="00C14942">
        <w:trPr>
          <w:trHeight w:val="402"/>
          <w:jc w:val="center"/>
        </w:trPr>
        <w:tc>
          <w:tcPr>
            <w:tcW w:w="1120" w:type="dxa"/>
            <w:tcBorders>
              <w:top w:val="nil"/>
              <w:left w:val="single" w:sz="8" w:space="0" w:color="auto"/>
              <w:bottom w:val="nil"/>
              <w:right w:val="nil"/>
            </w:tcBorders>
            <w:shd w:val="clear" w:color="auto" w:fill="auto"/>
            <w:vAlign w:val="center"/>
            <w:hideMark/>
          </w:tcPr>
          <w:p w:rsidR="00625635" w:rsidRPr="00FA667B" w:rsidRDefault="00625635" w:rsidP="00FA667B">
            <w:pPr>
              <w:jc w:val="both"/>
              <w:rPr>
                <w:color w:val="000000"/>
              </w:rPr>
            </w:pPr>
            <w:r w:rsidRPr="00FA667B">
              <w:rPr>
                <w:color w:val="000000"/>
              </w:rPr>
              <w:t>PPH</w:t>
            </w:r>
          </w:p>
        </w:tc>
        <w:tc>
          <w:tcPr>
            <w:tcW w:w="11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nil"/>
              <w:left w:val="nil"/>
              <w:bottom w:val="nil"/>
              <w:right w:val="nil"/>
            </w:tcBorders>
            <w:shd w:val="clear" w:color="auto" w:fill="auto"/>
            <w:vAlign w:val="center"/>
            <w:hideMark/>
          </w:tcPr>
          <w:p w:rsidR="00625635" w:rsidRPr="00FA667B" w:rsidRDefault="00625635" w:rsidP="00FA667B">
            <w:pPr>
              <w:jc w:val="both"/>
              <w:rPr>
                <w:color w:val="000000"/>
              </w:rPr>
            </w:pPr>
            <w:r w:rsidRPr="00FA667B">
              <w:rPr>
                <w:color w:val="000000"/>
              </w:rPr>
              <w:t>10</w:t>
            </w:r>
          </w:p>
        </w:tc>
        <w:tc>
          <w:tcPr>
            <w:tcW w:w="1120" w:type="dxa"/>
            <w:tcBorders>
              <w:top w:val="nil"/>
              <w:left w:val="single" w:sz="8" w:space="0" w:color="auto"/>
              <w:bottom w:val="nil"/>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4,10%</w:t>
            </w:r>
          </w:p>
        </w:tc>
      </w:tr>
      <w:tr w:rsidR="00625635" w:rsidRPr="00FA667B" w:rsidTr="00C14942">
        <w:trPr>
          <w:trHeight w:val="402"/>
          <w:jc w:val="center"/>
        </w:trPr>
        <w:tc>
          <w:tcPr>
            <w:tcW w:w="1120" w:type="dxa"/>
            <w:tcBorders>
              <w:top w:val="single" w:sz="8" w:space="0" w:color="auto"/>
              <w:left w:val="single" w:sz="8" w:space="0" w:color="auto"/>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DGE</w:t>
            </w:r>
          </w:p>
        </w:tc>
        <w:tc>
          <w:tcPr>
            <w:tcW w:w="1120" w:type="dxa"/>
            <w:tcBorders>
              <w:top w:val="nil"/>
              <w:left w:val="single" w:sz="8" w:space="0" w:color="auto"/>
              <w:bottom w:val="single" w:sz="4"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single" w:sz="8" w:space="0" w:color="auto"/>
              <w:left w:val="nil"/>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28</w:t>
            </w:r>
          </w:p>
        </w:tc>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11,60%</w:t>
            </w:r>
          </w:p>
        </w:tc>
      </w:tr>
      <w:tr w:rsidR="00625635" w:rsidRPr="00FA667B" w:rsidTr="00C14942">
        <w:trPr>
          <w:trHeight w:val="402"/>
          <w:jc w:val="center"/>
        </w:trPr>
        <w:tc>
          <w:tcPr>
            <w:tcW w:w="1120" w:type="dxa"/>
            <w:tcBorders>
              <w:top w:val="nil"/>
              <w:left w:val="single" w:sz="8" w:space="0" w:color="auto"/>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leak HJA</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625635" w:rsidRPr="00FA667B" w:rsidRDefault="00625635" w:rsidP="00FA667B">
            <w:pPr>
              <w:jc w:val="both"/>
              <w:rPr>
                <w:color w:val="000000"/>
              </w:rPr>
            </w:pPr>
            <w:r w:rsidRPr="00FA667B">
              <w:rPr>
                <w:color w:val="000000"/>
              </w:rPr>
              <w:t> </w:t>
            </w:r>
          </w:p>
        </w:tc>
        <w:tc>
          <w:tcPr>
            <w:tcW w:w="1120" w:type="dxa"/>
            <w:tcBorders>
              <w:top w:val="nil"/>
              <w:left w:val="nil"/>
              <w:bottom w:val="single" w:sz="8" w:space="0" w:color="auto"/>
              <w:right w:val="nil"/>
            </w:tcBorders>
            <w:shd w:val="clear" w:color="auto" w:fill="auto"/>
            <w:vAlign w:val="center"/>
            <w:hideMark/>
          </w:tcPr>
          <w:p w:rsidR="00625635" w:rsidRPr="00FA667B" w:rsidRDefault="00625635" w:rsidP="00FA667B">
            <w:pPr>
              <w:jc w:val="both"/>
              <w:rPr>
                <w:color w:val="000000"/>
              </w:rPr>
            </w:pPr>
            <w:r w:rsidRPr="00FA667B">
              <w:rPr>
                <w:color w:val="000000"/>
              </w:rPr>
              <w:t>6</w:t>
            </w:r>
          </w:p>
        </w:tc>
        <w:tc>
          <w:tcPr>
            <w:tcW w:w="1120" w:type="dxa"/>
            <w:tcBorders>
              <w:top w:val="nil"/>
              <w:left w:val="single" w:sz="8" w:space="0" w:color="auto"/>
              <w:bottom w:val="single" w:sz="8" w:space="0" w:color="auto"/>
              <w:right w:val="single" w:sz="8" w:space="0" w:color="auto"/>
            </w:tcBorders>
            <w:shd w:val="clear" w:color="auto" w:fill="auto"/>
            <w:vAlign w:val="center"/>
            <w:hideMark/>
          </w:tcPr>
          <w:p w:rsidR="00625635" w:rsidRPr="00FA667B" w:rsidRDefault="00853DD1" w:rsidP="00FA667B">
            <w:pPr>
              <w:jc w:val="both"/>
              <w:rPr>
                <w:color w:val="000000"/>
              </w:rPr>
            </w:pPr>
            <w:r>
              <w:rPr>
                <w:color w:val="000000"/>
              </w:rPr>
              <w:t>2,</w:t>
            </w:r>
            <w:r w:rsidR="00625635" w:rsidRPr="00FA667B">
              <w:rPr>
                <w:color w:val="000000"/>
              </w:rPr>
              <w:t>5%</w:t>
            </w:r>
          </w:p>
        </w:tc>
      </w:tr>
    </w:tbl>
    <w:p w:rsidR="00625635" w:rsidRPr="00FA667B" w:rsidRDefault="00625635" w:rsidP="00FA667B">
      <w:pPr>
        <w:spacing w:line="360" w:lineRule="auto"/>
        <w:jc w:val="both"/>
      </w:pPr>
    </w:p>
    <w:p w:rsidR="00C14942" w:rsidRPr="00C14942" w:rsidRDefault="00C14942" w:rsidP="00FA667B">
      <w:pPr>
        <w:spacing w:line="360" w:lineRule="auto"/>
        <w:jc w:val="both"/>
        <w:rPr>
          <w:b/>
          <w:i/>
          <w:u w:val="single"/>
        </w:rPr>
      </w:pPr>
      <w:r w:rsidRPr="00C14942">
        <w:rPr>
          <w:b/>
          <w:i/>
          <w:u w:val="single"/>
        </w:rPr>
        <w:t>B: Nespecifické komplikace</w:t>
      </w:r>
    </w:p>
    <w:p w:rsidR="00177918" w:rsidRPr="00FA667B" w:rsidRDefault="00177918" w:rsidP="00FA667B">
      <w:pPr>
        <w:spacing w:line="360" w:lineRule="auto"/>
        <w:jc w:val="both"/>
      </w:pPr>
      <w:r w:rsidRPr="00FA667B">
        <w:t>Z nespecifických komplikací, které mohou ovlivnit jak délku hospitalizace, tak i zahájení adjuvantní onkologické léčby jsou</w:t>
      </w:r>
      <w:r w:rsidR="00C14942">
        <w:t xml:space="preserve"> pooperační </w:t>
      </w:r>
      <w:r w:rsidRPr="00FA667B">
        <w:t xml:space="preserve">zánětlivé komplikace, které se </w:t>
      </w:r>
      <w:r w:rsidR="00C14942">
        <w:t xml:space="preserve">z 241 pacientů </w:t>
      </w:r>
      <w:r w:rsidRPr="00FA667B">
        <w:t>vyskytly u 61 (25,3%). U 16</w:t>
      </w:r>
      <w:r w:rsidR="00C14942">
        <w:t xml:space="preserve"> z 61</w:t>
      </w:r>
      <w:r w:rsidRPr="00FA667B">
        <w:t xml:space="preserve"> (6,6%) nemocných se jednalo o pneumonii, v</w:t>
      </w:r>
      <w:r w:rsidR="001607C1" w:rsidRPr="00FA667B">
        <w:t>e 26</w:t>
      </w:r>
      <w:r w:rsidR="00C14942">
        <w:t>/61</w:t>
      </w:r>
      <w:r w:rsidRPr="00FA667B">
        <w:t xml:space="preserve"> </w:t>
      </w:r>
      <w:r w:rsidR="001607C1" w:rsidRPr="00FA667B">
        <w:t>(10,78</w:t>
      </w:r>
      <w:r w:rsidRPr="00FA667B">
        <w:t>%) případech byl</w:t>
      </w:r>
      <w:r w:rsidR="00853DD1">
        <w:t>y</w:t>
      </w:r>
      <w:r w:rsidRPr="00FA667B">
        <w:t xml:space="preserve"> nitrobřišní</w:t>
      </w:r>
      <w:r w:rsidR="00C14942">
        <w:t xml:space="preserve"> kolekce</w:t>
      </w:r>
      <w:r w:rsidRPr="00FA667B">
        <w:t xml:space="preserve"> a u 19</w:t>
      </w:r>
      <w:r w:rsidR="00C14942">
        <w:t>/61</w:t>
      </w:r>
      <w:r w:rsidRPr="00FA667B">
        <w:t xml:space="preserve"> nemocných (7,9%) bylo sekundární hojení rány. </w:t>
      </w:r>
    </w:p>
    <w:p w:rsidR="00177918" w:rsidRPr="00FA667B" w:rsidRDefault="00177918" w:rsidP="00FA667B">
      <w:pPr>
        <w:spacing w:line="360" w:lineRule="auto"/>
        <w:jc w:val="both"/>
      </w:pPr>
      <w:r w:rsidRPr="00FA667B">
        <w:t>Tab.č.</w:t>
      </w:r>
      <w:r w:rsidR="005455CB" w:rsidRPr="00FA667B">
        <w:t>11</w:t>
      </w:r>
      <w:r w:rsidRPr="00FA667B">
        <w:t>.</w:t>
      </w:r>
      <w:r w:rsidR="001607C1" w:rsidRPr="00FA667B">
        <w:t xml:space="preserve"> Přehled zánětlivých komplikací</w:t>
      </w:r>
    </w:p>
    <w:tbl>
      <w:tblPr>
        <w:tblW w:w="4980" w:type="dxa"/>
        <w:jc w:val="center"/>
        <w:tblCellMar>
          <w:left w:w="70" w:type="dxa"/>
          <w:right w:w="70" w:type="dxa"/>
        </w:tblCellMar>
        <w:tblLook w:val="04A0" w:firstRow="1" w:lastRow="0" w:firstColumn="1" w:lastColumn="0" w:noHBand="0" w:noVBand="1"/>
      </w:tblPr>
      <w:tblGrid>
        <w:gridCol w:w="1660"/>
        <w:gridCol w:w="1660"/>
        <w:gridCol w:w="1660"/>
      </w:tblGrid>
      <w:tr w:rsidR="001607C1" w:rsidRPr="00FA667B" w:rsidTr="00C14942">
        <w:trPr>
          <w:trHeight w:val="702"/>
          <w:jc w:val="center"/>
        </w:trPr>
        <w:tc>
          <w:tcPr>
            <w:tcW w:w="1660" w:type="dxa"/>
            <w:tcBorders>
              <w:top w:val="single" w:sz="8" w:space="0" w:color="auto"/>
              <w:left w:val="single" w:sz="8" w:space="0" w:color="auto"/>
              <w:bottom w:val="single" w:sz="8" w:space="0" w:color="auto"/>
              <w:right w:val="nil"/>
            </w:tcBorders>
            <w:shd w:val="clear" w:color="auto" w:fill="auto"/>
            <w:vAlign w:val="center"/>
            <w:hideMark/>
          </w:tcPr>
          <w:p w:rsidR="001607C1" w:rsidRPr="00FA667B" w:rsidRDefault="001607C1" w:rsidP="00FA667B">
            <w:pPr>
              <w:jc w:val="both"/>
              <w:rPr>
                <w:color w:val="000000"/>
              </w:rPr>
            </w:pPr>
            <w:r w:rsidRPr="00FA667B">
              <w:rPr>
                <w:color w:val="000000"/>
              </w:rPr>
              <w:t>Typ zánětlivé komplikace</w:t>
            </w:r>
          </w:p>
        </w:tc>
        <w:tc>
          <w:tcPr>
            <w:tcW w:w="1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počet</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procento</w:t>
            </w:r>
          </w:p>
        </w:tc>
      </w:tr>
      <w:tr w:rsidR="001607C1" w:rsidRPr="00FA667B" w:rsidTr="00C14942">
        <w:trPr>
          <w:trHeight w:val="702"/>
          <w:jc w:val="center"/>
        </w:trPr>
        <w:tc>
          <w:tcPr>
            <w:tcW w:w="1660" w:type="dxa"/>
            <w:tcBorders>
              <w:top w:val="nil"/>
              <w:left w:val="single" w:sz="8" w:space="0" w:color="auto"/>
              <w:bottom w:val="single" w:sz="4" w:space="0" w:color="auto"/>
              <w:right w:val="nil"/>
            </w:tcBorders>
            <w:shd w:val="clear" w:color="auto" w:fill="auto"/>
            <w:vAlign w:val="center"/>
            <w:hideMark/>
          </w:tcPr>
          <w:p w:rsidR="001607C1" w:rsidRPr="00FA667B" w:rsidRDefault="001607C1" w:rsidP="00FA667B">
            <w:pPr>
              <w:jc w:val="both"/>
              <w:rPr>
                <w:color w:val="000000"/>
              </w:rPr>
            </w:pPr>
            <w:r w:rsidRPr="00FA667B">
              <w:rPr>
                <w:color w:val="000000"/>
              </w:rPr>
              <w:t>pneumonie</w:t>
            </w:r>
          </w:p>
        </w:tc>
        <w:tc>
          <w:tcPr>
            <w:tcW w:w="1660" w:type="dxa"/>
            <w:tcBorders>
              <w:top w:val="nil"/>
              <w:left w:val="single" w:sz="8" w:space="0" w:color="auto"/>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16</w:t>
            </w:r>
          </w:p>
        </w:tc>
        <w:tc>
          <w:tcPr>
            <w:tcW w:w="1660" w:type="dxa"/>
            <w:tcBorders>
              <w:top w:val="nil"/>
              <w:left w:val="nil"/>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6,60%</w:t>
            </w:r>
          </w:p>
        </w:tc>
      </w:tr>
      <w:tr w:rsidR="001607C1" w:rsidRPr="00FA667B" w:rsidTr="00C14942">
        <w:trPr>
          <w:trHeight w:val="702"/>
          <w:jc w:val="center"/>
        </w:trPr>
        <w:tc>
          <w:tcPr>
            <w:tcW w:w="1660" w:type="dxa"/>
            <w:tcBorders>
              <w:top w:val="nil"/>
              <w:left w:val="single" w:sz="8" w:space="0" w:color="auto"/>
              <w:bottom w:val="single" w:sz="4" w:space="0" w:color="auto"/>
              <w:right w:val="nil"/>
            </w:tcBorders>
            <w:shd w:val="clear" w:color="auto" w:fill="auto"/>
            <w:vAlign w:val="center"/>
            <w:hideMark/>
          </w:tcPr>
          <w:p w:rsidR="001607C1" w:rsidRPr="00FA667B" w:rsidRDefault="001607C1" w:rsidP="00FA667B">
            <w:pPr>
              <w:jc w:val="both"/>
              <w:rPr>
                <w:color w:val="000000"/>
              </w:rPr>
            </w:pPr>
            <w:r w:rsidRPr="00FA667B">
              <w:rPr>
                <w:color w:val="000000"/>
              </w:rPr>
              <w:t>ranné infekce</w:t>
            </w:r>
          </w:p>
        </w:tc>
        <w:tc>
          <w:tcPr>
            <w:tcW w:w="1660" w:type="dxa"/>
            <w:tcBorders>
              <w:top w:val="nil"/>
              <w:left w:val="single" w:sz="8" w:space="0" w:color="auto"/>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19</w:t>
            </w:r>
          </w:p>
        </w:tc>
        <w:tc>
          <w:tcPr>
            <w:tcW w:w="1660" w:type="dxa"/>
            <w:tcBorders>
              <w:top w:val="nil"/>
              <w:left w:val="nil"/>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7,90%</w:t>
            </w:r>
          </w:p>
        </w:tc>
      </w:tr>
      <w:tr w:rsidR="001607C1" w:rsidRPr="00FA667B" w:rsidTr="00C14942">
        <w:trPr>
          <w:trHeight w:val="702"/>
          <w:jc w:val="center"/>
        </w:trPr>
        <w:tc>
          <w:tcPr>
            <w:tcW w:w="1660" w:type="dxa"/>
            <w:tcBorders>
              <w:top w:val="nil"/>
              <w:left w:val="single" w:sz="8" w:space="0" w:color="auto"/>
              <w:bottom w:val="single" w:sz="4" w:space="0" w:color="auto"/>
              <w:right w:val="nil"/>
            </w:tcBorders>
            <w:shd w:val="clear" w:color="auto" w:fill="auto"/>
            <w:vAlign w:val="center"/>
            <w:hideMark/>
          </w:tcPr>
          <w:p w:rsidR="001607C1" w:rsidRPr="00FA667B" w:rsidRDefault="001607C1" w:rsidP="00FA667B">
            <w:pPr>
              <w:jc w:val="both"/>
              <w:rPr>
                <w:color w:val="000000"/>
              </w:rPr>
            </w:pPr>
            <w:r w:rsidRPr="00FA667B">
              <w:rPr>
                <w:color w:val="000000"/>
              </w:rPr>
              <w:t>nitrobřišní kolekce</w:t>
            </w:r>
          </w:p>
        </w:tc>
        <w:tc>
          <w:tcPr>
            <w:tcW w:w="1660" w:type="dxa"/>
            <w:tcBorders>
              <w:top w:val="nil"/>
              <w:left w:val="single" w:sz="8" w:space="0" w:color="auto"/>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26</w:t>
            </w:r>
          </w:p>
        </w:tc>
        <w:tc>
          <w:tcPr>
            <w:tcW w:w="1660" w:type="dxa"/>
            <w:tcBorders>
              <w:top w:val="nil"/>
              <w:left w:val="nil"/>
              <w:bottom w:val="single" w:sz="4"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10,78%</w:t>
            </w:r>
          </w:p>
        </w:tc>
      </w:tr>
      <w:tr w:rsidR="001607C1" w:rsidRPr="00FA667B" w:rsidTr="00C14942">
        <w:trPr>
          <w:trHeight w:val="702"/>
          <w:jc w:val="center"/>
        </w:trPr>
        <w:tc>
          <w:tcPr>
            <w:tcW w:w="1660" w:type="dxa"/>
            <w:tcBorders>
              <w:top w:val="nil"/>
              <w:left w:val="single" w:sz="8" w:space="0" w:color="auto"/>
              <w:bottom w:val="single" w:sz="8" w:space="0" w:color="auto"/>
              <w:right w:val="nil"/>
            </w:tcBorders>
            <w:shd w:val="clear" w:color="auto" w:fill="auto"/>
            <w:vAlign w:val="center"/>
            <w:hideMark/>
          </w:tcPr>
          <w:p w:rsidR="001607C1" w:rsidRPr="00FA667B" w:rsidRDefault="001607C1" w:rsidP="00FA667B">
            <w:pPr>
              <w:jc w:val="both"/>
              <w:rPr>
                <w:color w:val="000000"/>
              </w:rPr>
            </w:pPr>
            <w:r w:rsidRPr="00FA667B">
              <w:rPr>
                <w:color w:val="000000"/>
              </w:rPr>
              <w:t>celkem</w:t>
            </w:r>
          </w:p>
        </w:tc>
        <w:tc>
          <w:tcPr>
            <w:tcW w:w="1660" w:type="dxa"/>
            <w:tcBorders>
              <w:top w:val="nil"/>
              <w:left w:val="single" w:sz="8" w:space="0" w:color="auto"/>
              <w:bottom w:val="single" w:sz="8"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61</w:t>
            </w:r>
          </w:p>
        </w:tc>
        <w:tc>
          <w:tcPr>
            <w:tcW w:w="1660" w:type="dxa"/>
            <w:tcBorders>
              <w:top w:val="nil"/>
              <w:left w:val="nil"/>
              <w:bottom w:val="single" w:sz="8" w:space="0" w:color="auto"/>
              <w:right w:val="single" w:sz="8" w:space="0" w:color="auto"/>
            </w:tcBorders>
            <w:shd w:val="clear" w:color="auto" w:fill="auto"/>
            <w:vAlign w:val="center"/>
            <w:hideMark/>
          </w:tcPr>
          <w:p w:rsidR="001607C1" w:rsidRPr="00FA667B" w:rsidRDefault="001607C1" w:rsidP="00FA667B">
            <w:pPr>
              <w:jc w:val="both"/>
              <w:rPr>
                <w:color w:val="000000"/>
              </w:rPr>
            </w:pPr>
            <w:r w:rsidRPr="00FA667B">
              <w:rPr>
                <w:color w:val="000000"/>
              </w:rPr>
              <w:t>25,30%</w:t>
            </w:r>
          </w:p>
        </w:tc>
      </w:tr>
    </w:tbl>
    <w:p w:rsidR="002100F7" w:rsidRDefault="002100F7" w:rsidP="00FA667B">
      <w:pPr>
        <w:spacing w:line="360" w:lineRule="auto"/>
        <w:jc w:val="both"/>
        <w:rPr>
          <w:b/>
          <w:i/>
          <w:u w:val="single"/>
        </w:rPr>
      </w:pPr>
    </w:p>
    <w:p w:rsidR="00C14942" w:rsidRPr="00C14942" w:rsidRDefault="00C14942" w:rsidP="00FA667B">
      <w:pPr>
        <w:spacing w:line="360" w:lineRule="auto"/>
        <w:jc w:val="both"/>
        <w:rPr>
          <w:b/>
          <w:i/>
          <w:u w:val="single"/>
        </w:rPr>
      </w:pPr>
      <w:r w:rsidRPr="00C14942">
        <w:rPr>
          <w:b/>
          <w:i/>
          <w:u w:val="single"/>
        </w:rPr>
        <w:lastRenderedPageBreak/>
        <w:t>C: Technika rekonstrukce pankreatojejunoanastomózy</w:t>
      </w:r>
    </w:p>
    <w:p w:rsidR="00DF12B7" w:rsidRPr="00947246" w:rsidRDefault="00DF12B7" w:rsidP="00FA667B">
      <w:pPr>
        <w:spacing w:line="360" w:lineRule="auto"/>
        <w:jc w:val="both"/>
      </w:pPr>
      <w:r w:rsidRPr="00FA667B">
        <w:t>Dalším cílem naší práce bylo srovnat výskyt komplikací ve dvou podskupinách na základě ro</w:t>
      </w:r>
      <w:r w:rsidR="00C14942">
        <w:t>zdílné techniky rekonstrukce pankreatojejunoanastomózy</w:t>
      </w:r>
      <w:r w:rsidRPr="00FA667B">
        <w:t>. Do první podskupiny byl</w:t>
      </w:r>
      <w:r w:rsidR="00947246">
        <w:t>o zařazeno 46</w:t>
      </w:r>
      <w:r w:rsidR="00853DD1">
        <w:t xml:space="preserve"> nemocných z celkového počtu 241</w:t>
      </w:r>
      <w:r w:rsidR="00947246">
        <w:t xml:space="preserve"> pacientů</w:t>
      </w:r>
      <w:r w:rsidRPr="00FA667B">
        <w:t xml:space="preserve"> </w:t>
      </w:r>
      <w:r w:rsidR="00947246">
        <w:t>operovaných</w:t>
      </w:r>
      <w:r w:rsidRPr="00FA667B">
        <w:t xml:space="preserve"> v roce 2012-2013, kdy jsme použili techniku rekonstrukce anastomózy „mucosa-to-mucosa”. Do druhé pods</w:t>
      </w:r>
      <w:r w:rsidR="00947246">
        <w:t>kupiny bylo zařazeno 195 pacientů z celkového počtu 241 nemocných operovaných</w:t>
      </w:r>
      <w:r w:rsidRPr="00FA667B">
        <w:t xml:space="preserve"> v období 2014-2019, kdy jsme prováděli techniku rekonstrukce anastomózy „duct-to-mucosa”. </w:t>
      </w:r>
    </w:p>
    <w:p w:rsidR="001607C1" w:rsidRPr="00FA667B" w:rsidRDefault="00DF12B7" w:rsidP="00FA667B">
      <w:pPr>
        <w:spacing w:line="360" w:lineRule="auto"/>
        <w:jc w:val="both"/>
      </w:pPr>
      <w:r w:rsidRPr="00FA667B">
        <w:t>V období  2012-2013 bylo prokázáno signifikantně více závažných komplikací (C-D III-V) než v období 2014-2019 (17,1% vs. 6,2%, p = 0,043</w:t>
      </w:r>
      <w:r w:rsidR="00C14942">
        <w:t>)</w:t>
      </w:r>
      <w:r w:rsidRPr="00FA667B">
        <w:t xml:space="preserve">. </w:t>
      </w:r>
    </w:p>
    <w:p w:rsidR="00947246" w:rsidRDefault="00947246" w:rsidP="00FA667B">
      <w:pPr>
        <w:spacing w:line="360" w:lineRule="auto"/>
        <w:jc w:val="both"/>
      </w:pPr>
    </w:p>
    <w:p w:rsidR="001607C1" w:rsidRPr="00FA667B" w:rsidRDefault="00DF12B7" w:rsidP="00FA667B">
      <w:pPr>
        <w:spacing w:line="360" w:lineRule="auto"/>
        <w:jc w:val="both"/>
      </w:pPr>
      <w:r w:rsidRPr="00FA667B">
        <w:t>Tab.č.</w:t>
      </w:r>
      <w:r w:rsidR="005455CB" w:rsidRPr="00FA667B">
        <w:t>12</w:t>
      </w:r>
      <w:r w:rsidRPr="00FA667B">
        <w:t>. Srovnání komplikací za období 2012-</w:t>
      </w:r>
      <w:smartTag w:uri="urn:schemas-microsoft-com:office:smarttags" w:element="metricconverter">
        <w:smartTagPr>
          <w:attr w:name="ProductID" w:val="2013 a"/>
        </w:smartTagPr>
        <w:r w:rsidRPr="00FA667B">
          <w:t>2013 a</w:t>
        </w:r>
      </w:smartTag>
      <w:r w:rsidR="001607C1" w:rsidRPr="00FA667B">
        <w:t xml:space="preserve"> 2014-2019 pomocí</w:t>
      </w:r>
      <w:r w:rsidRPr="00FA667B">
        <w:t xml:space="preserve"> klasifikaci C</w:t>
      </w:r>
      <w:r w:rsidR="00C200FA">
        <w:t>lavien</w:t>
      </w:r>
      <w:r w:rsidR="001607C1" w:rsidRPr="00FA667B">
        <w:t>-D</w:t>
      </w:r>
      <w:r w:rsidR="00C200FA">
        <w:t>indo</w:t>
      </w:r>
      <w:r w:rsidR="001607C1" w:rsidRPr="00FA667B">
        <w:t xml:space="preserve"> </w:t>
      </w:r>
    </w:p>
    <w:tbl>
      <w:tblPr>
        <w:tblW w:w="7020" w:type="dxa"/>
        <w:jc w:val="center"/>
        <w:tblCellMar>
          <w:left w:w="70" w:type="dxa"/>
          <w:right w:w="70" w:type="dxa"/>
        </w:tblCellMar>
        <w:tblLook w:val="00A0" w:firstRow="1" w:lastRow="0" w:firstColumn="1" w:lastColumn="0" w:noHBand="0" w:noVBand="0"/>
      </w:tblPr>
      <w:tblGrid>
        <w:gridCol w:w="1680"/>
        <w:gridCol w:w="700"/>
        <w:gridCol w:w="760"/>
        <w:gridCol w:w="980"/>
        <w:gridCol w:w="740"/>
        <w:gridCol w:w="980"/>
        <w:gridCol w:w="1180"/>
      </w:tblGrid>
      <w:tr w:rsidR="00DF12B7" w:rsidRPr="00FA667B" w:rsidTr="00C14942">
        <w:trPr>
          <w:trHeight w:val="300"/>
          <w:jc w:val="center"/>
        </w:trPr>
        <w:tc>
          <w:tcPr>
            <w:tcW w:w="2380" w:type="dxa"/>
            <w:gridSpan w:val="2"/>
            <w:vMerge w:val="restart"/>
            <w:tcBorders>
              <w:top w:val="single" w:sz="4" w:space="0" w:color="auto"/>
              <w:left w:val="single" w:sz="4" w:space="0" w:color="auto"/>
              <w:bottom w:val="single" w:sz="4" w:space="0" w:color="auto"/>
              <w:right w:val="single" w:sz="4" w:space="0" w:color="auto"/>
            </w:tcBorders>
            <w:vAlign w:val="bottom"/>
          </w:tcPr>
          <w:p w:rsidR="00DF12B7" w:rsidRPr="00FA667B" w:rsidRDefault="00DF12B7" w:rsidP="00FA667B">
            <w:pPr>
              <w:spacing w:line="360" w:lineRule="auto"/>
              <w:jc w:val="both"/>
              <w:rPr>
                <w:color w:val="000000"/>
              </w:rPr>
            </w:pPr>
            <w:r w:rsidRPr="00FA667B">
              <w:rPr>
                <w:color w:val="000000"/>
              </w:rPr>
              <w:t> </w:t>
            </w:r>
          </w:p>
        </w:tc>
        <w:tc>
          <w:tcPr>
            <w:tcW w:w="1740" w:type="dxa"/>
            <w:gridSpan w:val="2"/>
            <w:tcBorders>
              <w:top w:val="single" w:sz="4" w:space="0" w:color="auto"/>
              <w:left w:val="nil"/>
              <w:bottom w:val="single" w:sz="4" w:space="0" w:color="auto"/>
              <w:right w:val="single" w:sz="4" w:space="0" w:color="auto"/>
            </w:tcBorders>
            <w:noWrap/>
            <w:vAlign w:val="bottom"/>
          </w:tcPr>
          <w:p w:rsidR="00DF12B7" w:rsidRPr="00FA667B" w:rsidRDefault="00DF12B7" w:rsidP="00FA667B">
            <w:pPr>
              <w:spacing w:line="360" w:lineRule="auto"/>
              <w:jc w:val="both"/>
              <w:rPr>
                <w:color w:val="000000"/>
              </w:rPr>
            </w:pPr>
            <w:r w:rsidRPr="00FA667B">
              <w:rPr>
                <w:color w:val="000000"/>
              </w:rPr>
              <w:t>r. 2012-2013</w:t>
            </w:r>
          </w:p>
        </w:tc>
        <w:tc>
          <w:tcPr>
            <w:tcW w:w="1720" w:type="dxa"/>
            <w:gridSpan w:val="2"/>
            <w:tcBorders>
              <w:top w:val="single" w:sz="4" w:space="0" w:color="auto"/>
              <w:left w:val="nil"/>
              <w:bottom w:val="single" w:sz="4" w:space="0" w:color="auto"/>
              <w:right w:val="single" w:sz="4" w:space="0" w:color="auto"/>
            </w:tcBorders>
            <w:noWrap/>
            <w:vAlign w:val="bottom"/>
          </w:tcPr>
          <w:p w:rsidR="00DF12B7" w:rsidRPr="00FA667B" w:rsidRDefault="00DF12B7" w:rsidP="00FA667B">
            <w:pPr>
              <w:spacing w:line="360" w:lineRule="auto"/>
              <w:jc w:val="both"/>
              <w:rPr>
                <w:color w:val="000000"/>
              </w:rPr>
            </w:pPr>
            <w:r w:rsidRPr="00FA667B">
              <w:rPr>
                <w:color w:val="000000"/>
              </w:rPr>
              <w:t>r. 2014-2019</w:t>
            </w:r>
          </w:p>
        </w:tc>
        <w:tc>
          <w:tcPr>
            <w:tcW w:w="1180" w:type="dxa"/>
            <w:vMerge w:val="restart"/>
            <w:tcBorders>
              <w:top w:val="single" w:sz="4" w:space="0" w:color="auto"/>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pPr>
            <w:r w:rsidRPr="00FA667B">
              <w:t xml:space="preserve">Fisher's exact test </w:t>
            </w:r>
            <w:r w:rsidRPr="00853DD1">
              <w:rPr>
                <w:b/>
              </w:rPr>
              <w:t>p</w:t>
            </w:r>
            <w:r w:rsidR="00853DD1" w:rsidRPr="00853DD1">
              <w:rPr>
                <w:b/>
              </w:rPr>
              <w:t xml:space="preserve"> 0,</w:t>
            </w:r>
            <w:r w:rsidR="00853DD1">
              <w:rPr>
                <w:b/>
              </w:rPr>
              <w:t>0</w:t>
            </w:r>
            <w:r w:rsidR="00853DD1" w:rsidRPr="00853DD1">
              <w:rPr>
                <w:b/>
              </w:rPr>
              <w:t>43</w:t>
            </w:r>
          </w:p>
        </w:tc>
      </w:tr>
      <w:tr w:rsidR="00DF12B7" w:rsidRPr="00FA667B" w:rsidTr="00947246">
        <w:trPr>
          <w:trHeight w:val="428"/>
          <w:jc w:val="center"/>
        </w:trPr>
        <w:tc>
          <w:tcPr>
            <w:tcW w:w="2380" w:type="dxa"/>
            <w:gridSpan w:val="2"/>
            <w:vMerge/>
            <w:tcBorders>
              <w:top w:val="single" w:sz="4" w:space="0" w:color="auto"/>
              <w:left w:val="single" w:sz="4" w:space="0" w:color="auto"/>
              <w:bottom w:val="single" w:sz="4" w:space="0" w:color="auto"/>
              <w:right w:val="single" w:sz="4" w:space="0" w:color="auto"/>
            </w:tcBorders>
            <w:vAlign w:val="center"/>
          </w:tcPr>
          <w:p w:rsidR="00DF12B7" w:rsidRPr="00FA667B" w:rsidRDefault="00DF12B7" w:rsidP="00FA667B">
            <w:pPr>
              <w:spacing w:line="360" w:lineRule="auto"/>
              <w:jc w:val="both"/>
              <w:rPr>
                <w:color w:val="000000"/>
              </w:rPr>
            </w:pPr>
          </w:p>
        </w:tc>
        <w:tc>
          <w:tcPr>
            <w:tcW w:w="760" w:type="dxa"/>
            <w:tcBorders>
              <w:top w:val="nil"/>
              <w:left w:val="nil"/>
              <w:bottom w:val="nil"/>
              <w:right w:val="single" w:sz="4" w:space="0" w:color="auto"/>
            </w:tcBorders>
            <w:vAlign w:val="bottom"/>
          </w:tcPr>
          <w:p w:rsidR="00DF12B7" w:rsidRPr="00FA667B" w:rsidRDefault="00DF12B7" w:rsidP="00FA667B">
            <w:pPr>
              <w:spacing w:line="360" w:lineRule="auto"/>
              <w:jc w:val="both"/>
              <w:rPr>
                <w:color w:val="000000"/>
              </w:rPr>
            </w:pPr>
            <w:r w:rsidRPr="00FA667B">
              <w:rPr>
                <w:color w:val="000000"/>
              </w:rPr>
              <w:t>počet</w:t>
            </w:r>
          </w:p>
        </w:tc>
        <w:tc>
          <w:tcPr>
            <w:tcW w:w="980" w:type="dxa"/>
            <w:tcBorders>
              <w:top w:val="nil"/>
              <w:left w:val="nil"/>
              <w:bottom w:val="nil"/>
              <w:right w:val="single" w:sz="4" w:space="0" w:color="auto"/>
            </w:tcBorders>
            <w:vAlign w:val="bottom"/>
          </w:tcPr>
          <w:p w:rsidR="00DF12B7" w:rsidRPr="00FA667B" w:rsidRDefault="00DF12B7" w:rsidP="00FA667B">
            <w:pPr>
              <w:spacing w:line="360" w:lineRule="auto"/>
              <w:jc w:val="both"/>
              <w:rPr>
                <w:color w:val="000000"/>
              </w:rPr>
            </w:pPr>
            <w:r w:rsidRPr="00FA667B">
              <w:rPr>
                <w:color w:val="000000"/>
              </w:rPr>
              <w:t>procento</w:t>
            </w:r>
          </w:p>
        </w:tc>
        <w:tc>
          <w:tcPr>
            <w:tcW w:w="740" w:type="dxa"/>
            <w:tcBorders>
              <w:top w:val="nil"/>
              <w:left w:val="nil"/>
              <w:bottom w:val="nil"/>
              <w:right w:val="single" w:sz="4" w:space="0" w:color="auto"/>
            </w:tcBorders>
            <w:vAlign w:val="bottom"/>
          </w:tcPr>
          <w:p w:rsidR="00DF12B7" w:rsidRPr="00FA667B" w:rsidRDefault="00DF12B7" w:rsidP="00FA667B">
            <w:pPr>
              <w:spacing w:line="360" w:lineRule="auto"/>
              <w:jc w:val="both"/>
              <w:rPr>
                <w:color w:val="000000"/>
              </w:rPr>
            </w:pPr>
            <w:r w:rsidRPr="00FA667B">
              <w:rPr>
                <w:color w:val="000000"/>
              </w:rPr>
              <w:t>počet</w:t>
            </w:r>
          </w:p>
        </w:tc>
        <w:tc>
          <w:tcPr>
            <w:tcW w:w="980" w:type="dxa"/>
            <w:tcBorders>
              <w:top w:val="nil"/>
              <w:left w:val="nil"/>
              <w:bottom w:val="nil"/>
              <w:right w:val="single" w:sz="4" w:space="0" w:color="auto"/>
            </w:tcBorders>
            <w:vAlign w:val="bottom"/>
          </w:tcPr>
          <w:p w:rsidR="00DF12B7" w:rsidRPr="00FA667B" w:rsidRDefault="00DF12B7" w:rsidP="00FA667B">
            <w:pPr>
              <w:spacing w:line="360" w:lineRule="auto"/>
              <w:jc w:val="both"/>
              <w:rPr>
                <w:color w:val="000000"/>
              </w:rPr>
            </w:pPr>
            <w:r w:rsidRPr="00FA667B">
              <w:rPr>
                <w:color w:val="000000"/>
              </w:rPr>
              <w:t>procento</w:t>
            </w:r>
          </w:p>
        </w:tc>
        <w:tc>
          <w:tcPr>
            <w:tcW w:w="1180" w:type="dxa"/>
            <w:vMerge/>
            <w:tcBorders>
              <w:top w:val="single" w:sz="4" w:space="0" w:color="auto"/>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pPr>
          </w:p>
        </w:tc>
      </w:tr>
      <w:tr w:rsidR="00DF12B7" w:rsidRPr="00FA667B" w:rsidTr="00C14942">
        <w:trPr>
          <w:trHeight w:val="300"/>
          <w:jc w:val="center"/>
        </w:trPr>
        <w:tc>
          <w:tcPr>
            <w:tcW w:w="1680" w:type="dxa"/>
            <w:vMerge w:val="restart"/>
            <w:tcBorders>
              <w:top w:val="single" w:sz="4" w:space="0" w:color="auto"/>
              <w:left w:val="single" w:sz="4" w:space="0" w:color="auto"/>
              <w:bottom w:val="single" w:sz="4" w:space="0" w:color="000000"/>
              <w:right w:val="nil"/>
            </w:tcBorders>
            <w:vAlign w:val="center"/>
          </w:tcPr>
          <w:p w:rsidR="00DF12B7" w:rsidRPr="00FA667B" w:rsidRDefault="006F5532" w:rsidP="00FA667B">
            <w:pPr>
              <w:spacing w:line="360" w:lineRule="auto"/>
              <w:jc w:val="both"/>
              <w:rPr>
                <w:color w:val="000000"/>
              </w:rPr>
            </w:pPr>
            <w:r w:rsidRPr="00FA667B">
              <w:rPr>
                <w:color w:val="000000"/>
              </w:rPr>
              <w:t>Clavien-Dindo</w:t>
            </w:r>
            <w:r w:rsidR="00C200FA">
              <w:rPr>
                <w:color w:val="000000"/>
              </w:rPr>
              <w:t xml:space="preserve"> klasifikace</w:t>
            </w:r>
          </w:p>
        </w:tc>
        <w:tc>
          <w:tcPr>
            <w:tcW w:w="70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1</w:t>
            </w:r>
          </w:p>
        </w:tc>
        <w:tc>
          <w:tcPr>
            <w:tcW w:w="760" w:type="dxa"/>
            <w:tcBorders>
              <w:top w:val="nil"/>
              <w:left w:val="nil"/>
              <w:bottom w:val="nil"/>
              <w:right w:val="nil"/>
            </w:tcBorders>
            <w:noWrap/>
          </w:tcPr>
          <w:p w:rsidR="00DF12B7" w:rsidRPr="00FA667B" w:rsidRDefault="006F5532" w:rsidP="00FA667B">
            <w:pPr>
              <w:spacing w:line="360" w:lineRule="auto"/>
              <w:jc w:val="both"/>
              <w:rPr>
                <w:color w:val="000000"/>
              </w:rPr>
            </w:pPr>
            <w:r w:rsidRPr="00FA667B">
              <w:rPr>
                <w:color w:val="000000"/>
              </w:rPr>
              <w:t>3</w:t>
            </w:r>
            <w:r w:rsidR="00853DD1">
              <w:rPr>
                <w:color w:val="000000"/>
              </w:rPr>
              <w:t>9</w:t>
            </w:r>
          </w:p>
        </w:tc>
        <w:tc>
          <w:tcPr>
            <w:tcW w:w="980" w:type="dxa"/>
            <w:tcBorders>
              <w:top w:val="nil"/>
              <w:left w:val="single" w:sz="4" w:space="0" w:color="auto"/>
              <w:bottom w:val="nil"/>
              <w:right w:val="nil"/>
            </w:tcBorders>
            <w:noWrap/>
          </w:tcPr>
          <w:p w:rsidR="00DF12B7" w:rsidRPr="00FA667B" w:rsidRDefault="00947246" w:rsidP="00FA667B">
            <w:pPr>
              <w:spacing w:line="360" w:lineRule="auto"/>
              <w:jc w:val="both"/>
              <w:rPr>
                <w:color w:val="000000"/>
              </w:rPr>
            </w:pPr>
            <w:r>
              <w:rPr>
                <w:color w:val="000000"/>
              </w:rPr>
              <w:t>76,08</w:t>
            </w:r>
            <w:r w:rsidR="00DF12B7" w:rsidRPr="00FA667B">
              <w:rPr>
                <w:color w:val="000000"/>
              </w:rPr>
              <w:t>%</w:t>
            </w:r>
          </w:p>
        </w:tc>
        <w:tc>
          <w:tcPr>
            <w:tcW w:w="740" w:type="dxa"/>
            <w:tcBorders>
              <w:top w:val="nil"/>
              <w:left w:val="single" w:sz="4" w:space="0" w:color="auto"/>
              <w:bottom w:val="nil"/>
              <w:right w:val="single" w:sz="4" w:space="0" w:color="auto"/>
            </w:tcBorders>
            <w:noWrap/>
          </w:tcPr>
          <w:p w:rsidR="00DF12B7" w:rsidRPr="00FA667B" w:rsidRDefault="006F5532" w:rsidP="00FA667B">
            <w:pPr>
              <w:spacing w:line="360" w:lineRule="auto"/>
              <w:jc w:val="both"/>
              <w:rPr>
                <w:color w:val="000000"/>
              </w:rPr>
            </w:pPr>
            <w:r w:rsidRPr="00FA667B">
              <w:rPr>
                <w:color w:val="000000"/>
              </w:rPr>
              <w:t>1</w:t>
            </w:r>
            <w:r w:rsidR="00DF12B7" w:rsidRPr="00FA667B">
              <w:rPr>
                <w:color w:val="000000"/>
              </w:rPr>
              <w:t>28</w:t>
            </w:r>
          </w:p>
        </w:tc>
        <w:tc>
          <w:tcPr>
            <w:tcW w:w="980" w:type="dxa"/>
            <w:tcBorders>
              <w:top w:val="nil"/>
              <w:left w:val="nil"/>
              <w:bottom w:val="nil"/>
              <w:right w:val="single" w:sz="4" w:space="0" w:color="auto"/>
            </w:tcBorders>
            <w:noWrap/>
          </w:tcPr>
          <w:p w:rsidR="00DF12B7" w:rsidRPr="00FA667B" w:rsidRDefault="006F5532" w:rsidP="00FA667B">
            <w:pPr>
              <w:spacing w:line="360" w:lineRule="auto"/>
              <w:jc w:val="both"/>
              <w:rPr>
                <w:color w:val="000000"/>
              </w:rPr>
            </w:pPr>
            <w:r w:rsidRPr="00FA667B">
              <w:rPr>
                <w:color w:val="000000"/>
              </w:rPr>
              <w:t>65,7</w:t>
            </w:r>
            <w:r w:rsidR="00DF12B7" w:rsidRPr="00FA667B">
              <w:rPr>
                <w:color w:val="000000"/>
              </w:rPr>
              <w:t>%</w:t>
            </w:r>
          </w:p>
        </w:tc>
        <w:tc>
          <w:tcPr>
            <w:tcW w:w="1180" w:type="dxa"/>
            <w:vMerge/>
            <w:tcBorders>
              <w:top w:val="nil"/>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rPr>
                <w:b/>
                <w:bCs/>
              </w:rPr>
            </w:pPr>
          </w:p>
        </w:tc>
      </w:tr>
      <w:tr w:rsidR="00DF12B7" w:rsidRPr="00FA667B" w:rsidTr="00C14942">
        <w:trPr>
          <w:trHeight w:val="300"/>
          <w:jc w:val="center"/>
        </w:trPr>
        <w:tc>
          <w:tcPr>
            <w:tcW w:w="1680" w:type="dxa"/>
            <w:vMerge/>
            <w:tcBorders>
              <w:top w:val="single" w:sz="4" w:space="0" w:color="auto"/>
              <w:left w:val="single" w:sz="4" w:space="0" w:color="auto"/>
              <w:bottom w:val="single" w:sz="4" w:space="0" w:color="000000"/>
              <w:right w:val="nil"/>
            </w:tcBorders>
            <w:vAlign w:val="center"/>
          </w:tcPr>
          <w:p w:rsidR="00DF12B7" w:rsidRPr="00FA667B" w:rsidRDefault="00DF12B7" w:rsidP="00FA667B">
            <w:pPr>
              <w:spacing w:line="360" w:lineRule="auto"/>
              <w:jc w:val="both"/>
              <w:rPr>
                <w:color w:val="000000"/>
              </w:rPr>
            </w:pPr>
          </w:p>
        </w:tc>
        <w:tc>
          <w:tcPr>
            <w:tcW w:w="70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2</w:t>
            </w:r>
          </w:p>
        </w:tc>
        <w:tc>
          <w:tcPr>
            <w:tcW w:w="760" w:type="dxa"/>
            <w:tcBorders>
              <w:top w:val="nil"/>
              <w:left w:val="nil"/>
              <w:bottom w:val="nil"/>
              <w:right w:val="nil"/>
            </w:tcBorders>
            <w:noWrap/>
          </w:tcPr>
          <w:p w:rsidR="00DF12B7" w:rsidRPr="00FA667B" w:rsidRDefault="00DF12B7" w:rsidP="00FA667B">
            <w:pPr>
              <w:spacing w:line="360" w:lineRule="auto"/>
              <w:jc w:val="both"/>
              <w:rPr>
                <w:color w:val="000000"/>
              </w:rPr>
            </w:pPr>
            <w:r w:rsidRPr="00FA667B">
              <w:rPr>
                <w:color w:val="000000"/>
              </w:rPr>
              <w:t>4</w:t>
            </w:r>
          </w:p>
        </w:tc>
        <w:tc>
          <w:tcPr>
            <w:tcW w:w="980" w:type="dxa"/>
            <w:tcBorders>
              <w:top w:val="nil"/>
              <w:left w:val="single" w:sz="4" w:space="0" w:color="auto"/>
              <w:bottom w:val="nil"/>
              <w:right w:val="nil"/>
            </w:tcBorders>
            <w:noWrap/>
          </w:tcPr>
          <w:p w:rsidR="00DF12B7" w:rsidRPr="00FA667B" w:rsidRDefault="00947246" w:rsidP="00FA667B">
            <w:pPr>
              <w:spacing w:line="360" w:lineRule="auto"/>
              <w:jc w:val="both"/>
              <w:rPr>
                <w:b/>
                <w:bCs/>
                <w:color w:val="000000"/>
              </w:rPr>
            </w:pPr>
            <w:r>
              <w:rPr>
                <w:b/>
                <w:bCs/>
                <w:color w:val="000000"/>
              </w:rPr>
              <w:t>8,69</w:t>
            </w:r>
            <w:r w:rsidR="00DF12B7" w:rsidRPr="00FA667B">
              <w:rPr>
                <w:b/>
                <w:bCs/>
                <w:color w:val="000000"/>
              </w:rPr>
              <w:t>%</w:t>
            </w:r>
          </w:p>
        </w:tc>
        <w:tc>
          <w:tcPr>
            <w:tcW w:w="74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55</w:t>
            </w:r>
          </w:p>
        </w:tc>
        <w:tc>
          <w:tcPr>
            <w:tcW w:w="980" w:type="dxa"/>
            <w:tcBorders>
              <w:top w:val="nil"/>
              <w:left w:val="nil"/>
              <w:bottom w:val="nil"/>
              <w:right w:val="single" w:sz="4" w:space="0" w:color="auto"/>
            </w:tcBorders>
            <w:noWrap/>
          </w:tcPr>
          <w:p w:rsidR="00DF12B7" w:rsidRPr="00FA667B" w:rsidRDefault="00DF12B7" w:rsidP="00FA667B">
            <w:pPr>
              <w:spacing w:line="360" w:lineRule="auto"/>
              <w:jc w:val="both"/>
              <w:rPr>
                <w:b/>
                <w:bCs/>
                <w:color w:val="000000"/>
              </w:rPr>
            </w:pPr>
            <w:r w:rsidRPr="00FA667B">
              <w:rPr>
                <w:b/>
                <w:bCs/>
                <w:color w:val="000000"/>
              </w:rPr>
              <w:t>28,2%</w:t>
            </w:r>
          </w:p>
        </w:tc>
        <w:tc>
          <w:tcPr>
            <w:tcW w:w="1180" w:type="dxa"/>
            <w:vMerge/>
            <w:tcBorders>
              <w:top w:val="nil"/>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rPr>
                <w:b/>
                <w:bCs/>
              </w:rPr>
            </w:pPr>
          </w:p>
        </w:tc>
      </w:tr>
      <w:tr w:rsidR="00DF12B7" w:rsidRPr="00FA667B" w:rsidTr="00C14942">
        <w:trPr>
          <w:trHeight w:val="300"/>
          <w:jc w:val="center"/>
        </w:trPr>
        <w:tc>
          <w:tcPr>
            <w:tcW w:w="1680" w:type="dxa"/>
            <w:vMerge/>
            <w:tcBorders>
              <w:top w:val="single" w:sz="4" w:space="0" w:color="auto"/>
              <w:left w:val="single" w:sz="4" w:space="0" w:color="auto"/>
              <w:bottom w:val="single" w:sz="4" w:space="0" w:color="000000"/>
              <w:right w:val="nil"/>
            </w:tcBorders>
            <w:vAlign w:val="center"/>
          </w:tcPr>
          <w:p w:rsidR="00DF12B7" w:rsidRPr="00FA667B" w:rsidRDefault="00DF12B7" w:rsidP="00FA667B">
            <w:pPr>
              <w:spacing w:line="360" w:lineRule="auto"/>
              <w:jc w:val="both"/>
              <w:rPr>
                <w:color w:val="000000"/>
              </w:rPr>
            </w:pPr>
          </w:p>
        </w:tc>
        <w:tc>
          <w:tcPr>
            <w:tcW w:w="70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3</w:t>
            </w:r>
          </w:p>
        </w:tc>
        <w:tc>
          <w:tcPr>
            <w:tcW w:w="760" w:type="dxa"/>
            <w:tcBorders>
              <w:top w:val="nil"/>
              <w:left w:val="nil"/>
              <w:bottom w:val="nil"/>
              <w:right w:val="nil"/>
            </w:tcBorders>
            <w:noWrap/>
          </w:tcPr>
          <w:p w:rsidR="00DF12B7" w:rsidRPr="00FA667B" w:rsidRDefault="00DF12B7" w:rsidP="00FA667B">
            <w:pPr>
              <w:spacing w:line="360" w:lineRule="auto"/>
              <w:jc w:val="both"/>
              <w:rPr>
                <w:color w:val="000000"/>
              </w:rPr>
            </w:pPr>
            <w:r w:rsidRPr="00FA667B">
              <w:rPr>
                <w:color w:val="000000"/>
              </w:rPr>
              <w:t>6</w:t>
            </w:r>
          </w:p>
        </w:tc>
        <w:tc>
          <w:tcPr>
            <w:tcW w:w="980" w:type="dxa"/>
            <w:tcBorders>
              <w:top w:val="nil"/>
              <w:left w:val="single" w:sz="4" w:space="0" w:color="auto"/>
              <w:bottom w:val="nil"/>
              <w:right w:val="nil"/>
            </w:tcBorders>
            <w:noWrap/>
          </w:tcPr>
          <w:p w:rsidR="00DF12B7" w:rsidRPr="00FA667B" w:rsidRDefault="00947246" w:rsidP="00947246">
            <w:pPr>
              <w:spacing w:line="360" w:lineRule="auto"/>
              <w:jc w:val="both"/>
              <w:rPr>
                <w:b/>
                <w:bCs/>
                <w:color w:val="000000"/>
              </w:rPr>
            </w:pPr>
            <w:r>
              <w:rPr>
                <w:b/>
                <w:bCs/>
                <w:color w:val="000000"/>
              </w:rPr>
              <w:t>13</w:t>
            </w:r>
            <w:r w:rsidR="00DF12B7" w:rsidRPr="00FA667B">
              <w:rPr>
                <w:b/>
                <w:bCs/>
                <w:color w:val="000000"/>
              </w:rPr>
              <w:t>,</w:t>
            </w:r>
            <w:r>
              <w:rPr>
                <w:b/>
                <w:bCs/>
                <w:color w:val="000000"/>
              </w:rPr>
              <w:t>04</w:t>
            </w:r>
            <w:r w:rsidR="00DF12B7" w:rsidRPr="00FA667B">
              <w:rPr>
                <w:b/>
                <w:bCs/>
                <w:color w:val="000000"/>
              </w:rPr>
              <w:t>%</w:t>
            </w:r>
          </w:p>
        </w:tc>
        <w:tc>
          <w:tcPr>
            <w:tcW w:w="74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4</w:t>
            </w:r>
          </w:p>
        </w:tc>
        <w:tc>
          <w:tcPr>
            <w:tcW w:w="980" w:type="dxa"/>
            <w:tcBorders>
              <w:top w:val="nil"/>
              <w:left w:val="nil"/>
              <w:bottom w:val="nil"/>
              <w:right w:val="single" w:sz="4" w:space="0" w:color="auto"/>
            </w:tcBorders>
            <w:noWrap/>
          </w:tcPr>
          <w:p w:rsidR="00DF12B7" w:rsidRPr="00FA667B" w:rsidRDefault="00DF12B7" w:rsidP="00FA667B">
            <w:pPr>
              <w:spacing w:line="360" w:lineRule="auto"/>
              <w:jc w:val="both"/>
              <w:rPr>
                <w:b/>
                <w:bCs/>
                <w:color w:val="000000"/>
              </w:rPr>
            </w:pPr>
            <w:r w:rsidRPr="00FA667B">
              <w:rPr>
                <w:b/>
                <w:bCs/>
                <w:color w:val="000000"/>
              </w:rPr>
              <w:t>2,1%</w:t>
            </w:r>
          </w:p>
        </w:tc>
        <w:tc>
          <w:tcPr>
            <w:tcW w:w="1180" w:type="dxa"/>
            <w:vMerge/>
            <w:tcBorders>
              <w:top w:val="nil"/>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rPr>
                <w:b/>
                <w:bCs/>
              </w:rPr>
            </w:pPr>
          </w:p>
        </w:tc>
      </w:tr>
      <w:tr w:rsidR="00DF12B7" w:rsidRPr="00FA667B" w:rsidTr="00C14942">
        <w:trPr>
          <w:trHeight w:val="300"/>
          <w:jc w:val="center"/>
        </w:trPr>
        <w:tc>
          <w:tcPr>
            <w:tcW w:w="1680" w:type="dxa"/>
            <w:vMerge/>
            <w:tcBorders>
              <w:top w:val="single" w:sz="4" w:space="0" w:color="auto"/>
              <w:left w:val="single" w:sz="4" w:space="0" w:color="auto"/>
              <w:bottom w:val="single" w:sz="4" w:space="0" w:color="000000"/>
              <w:right w:val="nil"/>
            </w:tcBorders>
            <w:vAlign w:val="center"/>
          </w:tcPr>
          <w:p w:rsidR="00DF12B7" w:rsidRPr="00FA667B" w:rsidRDefault="00DF12B7" w:rsidP="00FA667B">
            <w:pPr>
              <w:spacing w:line="360" w:lineRule="auto"/>
              <w:jc w:val="both"/>
              <w:rPr>
                <w:color w:val="000000"/>
              </w:rPr>
            </w:pPr>
          </w:p>
        </w:tc>
        <w:tc>
          <w:tcPr>
            <w:tcW w:w="70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4</w:t>
            </w:r>
          </w:p>
        </w:tc>
        <w:tc>
          <w:tcPr>
            <w:tcW w:w="760" w:type="dxa"/>
            <w:tcBorders>
              <w:top w:val="nil"/>
              <w:left w:val="nil"/>
              <w:bottom w:val="nil"/>
              <w:right w:val="nil"/>
            </w:tcBorders>
            <w:noWrap/>
          </w:tcPr>
          <w:p w:rsidR="00DF12B7" w:rsidRPr="00FA667B" w:rsidRDefault="00DF12B7" w:rsidP="00FA667B">
            <w:pPr>
              <w:spacing w:line="360" w:lineRule="auto"/>
              <w:jc w:val="both"/>
              <w:rPr>
                <w:color w:val="000000"/>
              </w:rPr>
            </w:pPr>
            <w:r w:rsidRPr="00FA667B">
              <w:rPr>
                <w:color w:val="000000"/>
              </w:rPr>
              <w:t>1</w:t>
            </w:r>
          </w:p>
        </w:tc>
        <w:tc>
          <w:tcPr>
            <w:tcW w:w="980" w:type="dxa"/>
            <w:tcBorders>
              <w:top w:val="nil"/>
              <w:left w:val="single" w:sz="4" w:space="0" w:color="auto"/>
              <w:bottom w:val="nil"/>
              <w:right w:val="nil"/>
            </w:tcBorders>
            <w:noWrap/>
          </w:tcPr>
          <w:p w:rsidR="00DF12B7" w:rsidRPr="00FA667B" w:rsidRDefault="00947246" w:rsidP="00FA667B">
            <w:pPr>
              <w:spacing w:line="360" w:lineRule="auto"/>
              <w:jc w:val="both"/>
              <w:rPr>
                <w:color w:val="000000"/>
              </w:rPr>
            </w:pPr>
            <w:r>
              <w:rPr>
                <w:color w:val="000000"/>
              </w:rPr>
              <w:t>2,17</w:t>
            </w:r>
            <w:r w:rsidR="00DF12B7" w:rsidRPr="00FA667B">
              <w:rPr>
                <w:color w:val="000000"/>
              </w:rPr>
              <w:t>%</w:t>
            </w:r>
          </w:p>
        </w:tc>
        <w:tc>
          <w:tcPr>
            <w:tcW w:w="740" w:type="dxa"/>
            <w:tcBorders>
              <w:top w:val="nil"/>
              <w:left w:val="single" w:sz="4" w:space="0" w:color="auto"/>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5</w:t>
            </w:r>
          </w:p>
        </w:tc>
        <w:tc>
          <w:tcPr>
            <w:tcW w:w="980" w:type="dxa"/>
            <w:tcBorders>
              <w:top w:val="nil"/>
              <w:left w:val="nil"/>
              <w:bottom w:val="nil"/>
              <w:right w:val="single" w:sz="4" w:space="0" w:color="auto"/>
            </w:tcBorders>
            <w:noWrap/>
          </w:tcPr>
          <w:p w:rsidR="00DF12B7" w:rsidRPr="00FA667B" w:rsidRDefault="00DF12B7" w:rsidP="00FA667B">
            <w:pPr>
              <w:spacing w:line="360" w:lineRule="auto"/>
              <w:jc w:val="both"/>
              <w:rPr>
                <w:color w:val="000000"/>
              </w:rPr>
            </w:pPr>
            <w:r w:rsidRPr="00FA667B">
              <w:rPr>
                <w:color w:val="000000"/>
              </w:rPr>
              <w:t>2,6%</w:t>
            </w:r>
          </w:p>
        </w:tc>
        <w:tc>
          <w:tcPr>
            <w:tcW w:w="1180" w:type="dxa"/>
            <w:vMerge/>
            <w:tcBorders>
              <w:top w:val="nil"/>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rPr>
                <w:b/>
                <w:bCs/>
              </w:rPr>
            </w:pPr>
          </w:p>
        </w:tc>
      </w:tr>
      <w:tr w:rsidR="00DF12B7" w:rsidRPr="00FA667B" w:rsidTr="00C14942">
        <w:trPr>
          <w:trHeight w:val="300"/>
          <w:jc w:val="center"/>
        </w:trPr>
        <w:tc>
          <w:tcPr>
            <w:tcW w:w="1680" w:type="dxa"/>
            <w:vMerge/>
            <w:tcBorders>
              <w:top w:val="single" w:sz="4" w:space="0" w:color="auto"/>
              <w:left w:val="single" w:sz="4" w:space="0" w:color="auto"/>
              <w:bottom w:val="single" w:sz="4" w:space="0" w:color="000000"/>
              <w:right w:val="nil"/>
            </w:tcBorders>
            <w:vAlign w:val="center"/>
          </w:tcPr>
          <w:p w:rsidR="00DF12B7" w:rsidRPr="00FA667B" w:rsidRDefault="00DF12B7" w:rsidP="00FA667B">
            <w:pPr>
              <w:spacing w:line="360" w:lineRule="auto"/>
              <w:jc w:val="both"/>
              <w:rPr>
                <w:color w:val="000000"/>
              </w:rPr>
            </w:pPr>
          </w:p>
        </w:tc>
        <w:tc>
          <w:tcPr>
            <w:tcW w:w="700" w:type="dxa"/>
            <w:tcBorders>
              <w:top w:val="nil"/>
              <w:left w:val="single" w:sz="4" w:space="0" w:color="auto"/>
              <w:bottom w:val="single" w:sz="4" w:space="0" w:color="auto"/>
              <w:right w:val="single" w:sz="4" w:space="0" w:color="auto"/>
            </w:tcBorders>
            <w:noWrap/>
          </w:tcPr>
          <w:p w:rsidR="00DF12B7" w:rsidRPr="00FA667B" w:rsidRDefault="00DF12B7" w:rsidP="00FA667B">
            <w:pPr>
              <w:spacing w:line="360" w:lineRule="auto"/>
              <w:jc w:val="both"/>
              <w:rPr>
                <w:color w:val="000000"/>
              </w:rPr>
            </w:pPr>
            <w:r w:rsidRPr="00FA667B">
              <w:rPr>
                <w:color w:val="000000"/>
              </w:rPr>
              <w:t>5</w:t>
            </w:r>
          </w:p>
        </w:tc>
        <w:tc>
          <w:tcPr>
            <w:tcW w:w="760" w:type="dxa"/>
            <w:tcBorders>
              <w:top w:val="nil"/>
              <w:left w:val="nil"/>
              <w:bottom w:val="single" w:sz="4" w:space="0" w:color="auto"/>
              <w:right w:val="nil"/>
            </w:tcBorders>
            <w:noWrap/>
          </w:tcPr>
          <w:p w:rsidR="00DF12B7" w:rsidRPr="00FA667B" w:rsidRDefault="00DF12B7" w:rsidP="00FA667B">
            <w:pPr>
              <w:spacing w:line="360" w:lineRule="auto"/>
              <w:jc w:val="both"/>
              <w:rPr>
                <w:color w:val="000000"/>
              </w:rPr>
            </w:pPr>
            <w:r w:rsidRPr="00FA667B">
              <w:rPr>
                <w:color w:val="000000"/>
              </w:rPr>
              <w:t>0</w:t>
            </w:r>
          </w:p>
        </w:tc>
        <w:tc>
          <w:tcPr>
            <w:tcW w:w="980" w:type="dxa"/>
            <w:tcBorders>
              <w:top w:val="nil"/>
              <w:left w:val="single" w:sz="4" w:space="0" w:color="auto"/>
              <w:bottom w:val="single" w:sz="4" w:space="0" w:color="auto"/>
              <w:right w:val="nil"/>
            </w:tcBorders>
            <w:noWrap/>
          </w:tcPr>
          <w:p w:rsidR="00DF12B7" w:rsidRPr="00FA667B" w:rsidRDefault="00DF12B7" w:rsidP="00FA667B">
            <w:pPr>
              <w:spacing w:line="360" w:lineRule="auto"/>
              <w:jc w:val="both"/>
              <w:rPr>
                <w:color w:val="000000"/>
              </w:rPr>
            </w:pPr>
            <w:r w:rsidRPr="00FA667B">
              <w:rPr>
                <w:color w:val="000000"/>
              </w:rPr>
              <w:t>0,0%</w:t>
            </w:r>
          </w:p>
        </w:tc>
        <w:tc>
          <w:tcPr>
            <w:tcW w:w="740" w:type="dxa"/>
            <w:tcBorders>
              <w:top w:val="nil"/>
              <w:left w:val="single" w:sz="4" w:space="0" w:color="auto"/>
              <w:bottom w:val="single" w:sz="4" w:space="0" w:color="auto"/>
              <w:right w:val="single" w:sz="4" w:space="0" w:color="auto"/>
            </w:tcBorders>
            <w:noWrap/>
          </w:tcPr>
          <w:p w:rsidR="00DF12B7" w:rsidRPr="00FA667B" w:rsidRDefault="00DF12B7" w:rsidP="00FA667B">
            <w:pPr>
              <w:spacing w:line="360" w:lineRule="auto"/>
              <w:jc w:val="both"/>
              <w:rPr>
                <w:color w:val="000000"/>
              </w:rPr>
            </w:pPr>
            <w:r w:rsidRPr="00FA667B">
              <w:rPr>
                <w:color w:val="000000"/>
              </w:rPr>
              <w:t>3</w:t>
            </w:r>
          </w:p>
        </w:tc>
        <w:tc>
          <w:tcPr>
            <w:tcW w:w="980" w:type="dxa"/>
            <w:tcBorders>
              <w:top w:val="nil"/>
              <w:left w:val="nil"/>
              <w:bottom w:val="single" w:sz="4" w:space="0" w:color="auto"/>
              <w:right w:val="single" w:sz="4" w:space="0" w:color="auto"/>
            </w:tcBorders>
            <w:noWrap/>
          </w:tcPr>
          <w:p w:rsidR="00DF12B7" w:rsidRPr="00FA667B" w:rsidRDefault="00947246" w:rsidP="00FA667B">
            <w:pPr>
              <w:spacing w:line="360" w:lineRule="auto"/>
              <w:jc w:val="both"/>
              <w:rPr>
                <w:color w:val="000000"/>
              </w:rPr>
            </w:pPr>
            <w:r>
              <w:rPr>
                <w:color w:val="000000"/>
              </w:rPr>
              <w:t>1,4</w:t>
            </w:r>
            <w:r w:rsidR="00DF12B7" w:rsidRPr="00FA667B">
              <w:rPr>
                <w:color w:val="000000"/>
              </w:rPr>
              <w:t>%</w:t>
            </w:r>
          </w:p>
        </w:tc>
        <w:tc>
          <w:tcPr>
            <w:tcW w:w="1180" w:type="dxa"/>
            <w:vMerge/>
            <w:tcBorders>
              <w:top w:val="nil"/>
              <w:left w:val="single" w:sz="4" w:space="0" w:color="auto"/>
              <w:bottom w:val="single" w:sz="4" w:space="0" w:color="000000"/>
              <w:right w:val="single" w:sz="4" w:space="0" w:color="auto"/>
            </w:tcBorders>
            <w:vAlign w:val="center"/>
          </w:tcPr>
          <w:p w:rsidR="00DF12B7" w:rsidRPr="00FA667B" w:rsidRDefault="00DF12B7" w:rsidP="00FA667B">
            <w:pPr>
              <w:spacing w:line="360" w:lineRule="auto"/>
              <w:jc w:val="both"/>
              <w:rPr>
                <w:b/>
                <w:bCs/>
              </w:rPr>
            </w:pPr>
          </w:p>
        </w:tc>
      </w:tr>
    </w:tbl>
    <w:p w:rsidR="00876D52" w:rsidRDefault="00876D52" w:rsidP="00FA667B">
      <w:pPr>
        <w:spacing w:line="360" w:lineRule="auto"/>
        <w:jc w:val="both"/>
      </w:pPr>
    </w:p>
    <w:p w:rsidR="00947246" w:rsidRPr="00FA667B" w:rsidRDefault="00DF12B7" w:rsidP="00947246">
      <w:pPr>
        <w:spacing w:line="360" w:lineRule="auto"/>
        <w:jc w:val="both"/>
      </w:pPr>
      <w:r w:rsidRPr="00FA667B">
        <w:t xml:space="preserve">V období r. 2012-2013 byl prokázán signifikantně menší výskyt nitrobřišních </w:t>
      </w:r>
      <w:r w:rsidR="00947246">
        <w:t>kolekcí</w:t>
      </w:r>
      <w:r w:rsidRPr="00FA667B">
        <w:t xml:space="preserve"> než v období r. 2014-2019 (4,9% vs. 17,9%, p = 0,035).</w:t>
      </w:r>
      <w:r w:rsidR="00947246">
        <w:t xml:space="preserve"> Výsledek může být ovlivněn nerovnoměrným počtem nemocných v obou </w:t>
      </w:r>
      <w:r w:rsidR="007F7DEC">
        <w:t>pod</w:t>
      </w:r>
      <w:r w:rsidR="00947246">
        <w:t>skupinách. Také si to můžeme vysvětlit i tím, že v období 2014-2019 jsme prováděli častěji CT vyšetření při elevaci zánětlivých parametrů nebo podezření na nitrobřišní komplikaci.</w:t>
      </w:r>
    </w:p>
    <w:p w:rsidR="00DF12B7" w:rsidRPr="00FA667B" w:rsidRDefault="00DF12B7" w:rsidP="00FA667B">
      <w:pPr>
        <w:spacing w:line="360" w:lineRule="auto"/>
        <w:jc w:val="both"/>
      </w:pPr>
    </w:p>
    <w:p w:rsidR="00600AA9" w:rsidRPr="00FA667B" w:rsidRDefault="00DF12B7" w:rsidP="00FA667B">
      <w:pPr>
        <w:spacing w:line="360" w:lineRule="auto"/>
        <w:jc w:val="both"/>
      </w:pPr>
      <w:r w:rsidRPr="00FA667B">
        <w:t xml:space="preserve">Dále byl prokázán signifikantně vyšší výskyt POPF typ B za období 2012-2013 </w:t>
      </w:r>
      <w:r w:rsidR="00600AA9" w:rsidRPr="00FA667B">
        <w:t xml:space="preserve">ve srovnání s obdobím 2014-2019 </w:t>
      </w:r>
      <w:r w:rsidRPr="00FA667B">
        <w:t>(7,3% vs. 1,0%, p = 0,027).</w:t>
      </w:r>
    </w:p>
    <w:p w:rsidR="00853DD1" w:rsidRDefault="00853DD1" w:rsidP="00FA667B">
      <w:pPr>
        <w:spacing w:line="360" w:lineRule="auto"/>
        <w:jc w:val="both"/>
      </w:pPr>
    </w:p>
    <w:p w:rsidR="007F7DEC" w:rsidRDefault="006002F1" w:rsidP="00FA667B">
      <w:pPr>
        <w:spacing w:line="360" w:lineRule="auto"/>
        <w:jc w:val="both"/>
      </w:pPr>
      <w:r w:rsidRPr="00FA667B">
        <w:t>Komplikace spoj</w:t>
      </w:r>
      <w:r w:rsidR="00853DD1">
        <w:t>ené s operacemi</w:t>
      </w:r>
      <w:r w:rsidRPr="00FA667B">
        <w:t xml:space="preserve"> slinivky břišní b</w:t>
      </w:r>
      <w:r w:rsidR="00600AA9" w:rsidRPr="00FA667B">
        <w:t>yly hodnoceny na základě C</w:t>
      </w:r>
      <w:r w:rsidR="007F7DEC">
        <w:t>lavien</w:t>
      </w:r>
      <w:r w:rsidR="00600AA9" w:rsidRPr="00FA667B">
        <w:t>-D</w:t>
      </w:r>
      <w:r w:rsidR="007F7DEC">
        <w:t>indo</w:t>
      </w:r>
      <w:r w:rsidRPr="00FA667B">
        <w:t xml:space="preserve"> klasifikace I-V. </w:t>
      </w:r>
      <w:r w:rsidR="00357348" w:rsidRPr="00FA667B">
        <w:t xml:space="preserve">30-ti denní mortalita byla u tří pacientů </w:t>
      </w:r>
      <w:r w:rsidR="007F7DEC">
        <w:t>3/241</w:t>
      </w:r>
      <w:r w:rsidR="00C200FA">
        <w:t xml:space="preserve"> </w:t>
      </w:r>
      <w:r w:rsidR="00357348" w:rsidRPr="00FA667B">
        <w:t>(</w:t>
      </w:r>
      <w:r w:rsidRPr="00FA667B">
        <w:t>1,3%</w:t>
      </w:r>
      <w:r w:rsidR="00E66254" w:rsidRPr="00FA667B">
        <w:t xml:space="preserve"> </w:t>
      </w:r>
      <w:r w:rsidR="00357348" w:rsidRPr="00FA667B">
        <w:t>)</w:t>
      </w:r>
      <w:r w:rsidRPr="00FA667B">
        <w:t xml:space="preserve">. U dvou nemocných </w:t>
      </w:r>
      <w:r w:rsidR="00C200FA">
        <w:t xml:space="preserve">2/241 </w:t>
      </w:r>
      <w:r w:rsidRPr="00FA667B">
        <w:t xml:space="preserve">byla příčina úmrtí POPF typu C, </w:t>
      </w:r>
      <w:r w:rsidR="00853DD1">
        <w:t>komplikované krvácením.</w:t>
      </w:r>
    </w:p>
    <w:p w:rsidR="006002F1" w:rsidRPr="00FA667B" w:rsidRDefault="007F7DEC" w:rsidP="00FA667B">
      <w:pPr>
        <w:spacing w:line="360" w:lineRule="auto"/>
        <w:jc w:val="both"/>
      </w:pPr>
      <w:r>
        <w:lastRenderedPageBreak/>
        <w:t xml:space="preserve">V jednom případě </w:t>
      </w:r>
      <w:r w:rsidR="006002F1" w:rsidRPr="00FA667B">
        <w:t>pankreatická píštěl způsobila krvácení z pahýlu arteria gastroduodenalis. Vzhledem k oběhové nestabilitě pacientky jsme provedli akutní revizi na operačním sále. Krvácení bylo ošetřeno opichem arteria gastroduodenalis a vzhlede</w:t>
      </w:r>
      <w:r w:rsidR="00E66254" w:rsidRPr="00FA667B">
        <w:t>m k rozsáhlému leaku z PJA byla dokončena totální pankreatektomie</w:t>
      </w:r>
      <w:r w:rsidR="006002F1" w:rsidRPr="00FA667B">
        <w:t>. V p</w:t>
      </w:r>
      <w:r>
        <w:t xml:space="preserve">ooperačním průběhu dále došlo k </w:t>
      </w:r>
      <w:r w:rsidR="006002F1" w:rsidRPr="00FA667B">
        <w:t>multiorgánovému sel</w:t>
      </w:r>
      <w:r w:rsidR="00853DD1">
        <w:t>hání.</w:t>
      </w:r>
    </w:p>
    <w:p w:rsidR="006002F1" w:rsidRPr="00FA667B" w:rsidRDefault="00853DD1" w:rsidP="00FA667B">
      <w:pPr>
        <w:spacing w:line="360" w:lineRule="auto"/>
        <w:jc w:val="both"/>
      </w:pPr>
      <w:r>
        <w:t>U druhého nemocného vznikla také POPF C s krvácením manifestujícím se melenou. P</w:t>
      </w:r>
      <w:r w:rsidR="006002F1" w:rsidRPr="00FA667B">
        <w:t xml:space="preserve">rovedli </w:t>
      </w:r>
      <w:r>
        <w:t xml:space="preserve">jsme </w:t>
      </w:r>
      <w:r w:rsidR="006002F1" w:rsidRPr="00FA667B">
        <w:t>CTAG, kde nebylo prokázáno aktivní krvácení. Pro pokračující melén</w:t>
      </w:r>
      <w:r w:rsidR="007F7DEC">
        <w:t xml:space="preserve">u </w:t>
      </w:r>
      <w:r w:rsidR="006002F1" w:rsidRPr="00FA667B">
        <w:t xml:space="preserve">byla doplněna gastroskopie, kde </w:t>
      </w:r>
      <w:r w:rsidR="00E66254" w:rsidRPr="00FA667B">
        <w:t xml:space="preserve">v oblasti žaludku a gastroenteroanastomózy </w:t>
      </w:r>
      <w:r w:rsidR="006002F1" w:rsidRPr="00FA667B">
        <w:t xml:space="preserve">nebyl nalezen zdroj krvácení. Vzhledem k další progresi </w:t>
      </w:r>
      <w:r w:rsidR="007F7DEC">
        <w:t xml:space="preserve">celkového </w:t>
      </w:r>
      <w:r w:rsidR="006002F1" w:rsidRPr="00FA667B">
        <w:t xml:space="preserve">stavu jsme přistoupili k operační revizi. Příčinou krvácení byla dehiscence </w:t>
      </w:r>
      <w:r w:rsidR="007F7DEC">
        <w:t xml:space="preserve">pankreatojejunoanastomózy, proto jsme se rozhodli pro dokončení </w:t>
      </w:r>
      <w:r w:rsidR="006002F1" w:rsidRPr="00FA667B">
        <w:t xml:space="preserve">pankreatektomie. V dalším průběhu u nemocného došlo k rozvoji septického šoku a úmrtí. </w:t>
      </w:r>
    </w:p>
    <w:p w:rsidR="00853DD1" w:rsidRDefault="006002F1" w:rsidP="00FA667B">
      <w:pPr>
        <w:spacing w:line="360" w:lineRule="auto"/>
        <w:jc w:val="both"/>
      </w:pPr>
      <w:r w:rsidRPr="00FA667B">
        <w:t xml:space="preserve">Ve třetím případě došlo k úmrtí pacientky z důvodu respiračního selhání. Na základě CT vyšetření jsme nezjistili patologii související s operací. </w:t>
      </w:r>
    </w:p>
    <w:p w:rsidR="007F7DEC" w:rsidRDefault="00357348" w:rsidP="00FA667B">
      <w:pPr>
        <w:spacing w:line="360" w:lineRule="auto"/>
        <w:jc w:val="both"/>
      </w:pPr>
      <w:r w:rsidRPr="00FA667B">
        <w:t>Výskyt komplikací ve vztahu dle C</w:t>
      </w:r>
      <w:r w:rsidR="00C87EC0">
        <w:t>lavien</w:t>
      </w:r>
      <w:r w:rsidRPr="00FA667B">
        <w:t>-D</w:t>
      </w:r>
      <w:r w:rsidR="00C87EC0">
        <w:t>indo</w:t>
      </w:r>
      <w:r w:rsidRPr="00FA667B">
        <w:t xml:space="preserve"> klasifikace ve vztahu k provedené operaci </w:t>
      </w:r>
      <w:r w:rsidR="006002F1" w:rsidRPr="00FA667B">
        <w:t>je popsán v tab.č.</w:t>
      </w:r>
      <w:r w:rsidR="00601A03" w:rsidRPr="00FA667B">
        <w:t>13</w:t>
      </w:r>
      <w:r w:rsidR="006002F1" w:rsidRPr="00FA667B">
        <w:t>.</w:t>
      </w:r>
    </w:p>
    <w:p w:rsidR="00853DD1" w:rsidRDefault="00853DD1" w:rsidP="00FA667B">
      <w:pPr>
        <w:spacing w:line="360" w:lineRule="auto"/>
        <w:jc w:val="both"/>
      </w:pPr>
    </w:p>
    <w:p w:rsidR="0011596E" w:rsidRPr="00FA667B" w:rsidRDefault="0011596E" w:rsidP="00FA667B">
      <w:pPr>
        <w:spacing w:line="360" w:lineRule="auto"/>
        <w:jc w:val="both"/>
      </w:pPr>
      <w:r w:rsidRPr="00FA667B">
        <w:t>Tab.č.13. Výskyt jednotlivých komplikací 2012-</w:t>
      </w:r>
      <w:smartTag w:uri="urn:schemas-microsoft-com:office:smarttags" w:element="metricconverter">
        <w:smartTagPr>
          <w:attr w:name="ProductID" w:val="2013 a"/>
        </w:smartTagPr>
        <w:r w:rsidRPr="00FA667B">
          <w:t>2013 a</w:t>
        </w:r>
      </w:smartTag>
      <w:r w:rsidRPr="00FA667B">
        <w:t xml:space="preserve"> 2014-2019</w:t>
      </w:r>
    </w:p>
    <w:tbl>
      <w:tblPr>
        <w:tblpPr w:leftFromText="141" w:rightFromText="141" w:vertAnchor="text" w:horzAnchor="page" w:tblpXSpec="center" w:tblpY="112"/>
        <w:tblW w:w="6540" w:type="dxa"/>
        <w:tblCellMar>
          <w:left w:w="70" w:type="dxa"/>
          <w:right w:w="70" w:type="dxa"/>
        </w:tblCellMar>
        <w:tblLook w:val="00A0" w:firstRow="1" w:lastRow="0" w:firstColumn="1" w:lastColumn="0" w:noHBand="0" w:noVBand="0"/>
      </w:tblPr>
      <w:tblGrid>
        <w:gridCol w:w="1260"/>
        <w:gridCol w:w="600"/>
        <w:gridCol w:w="760"/>
        <w:gridCol w:w="980"/>
        <w:gridCol w:w="720"/>
        <w:gridCol w:w="980"/>
        <w:gridCol w:w="1240"/>
      </w:tblGrid>
      <w:tr w:rsidR="0011596E" w:rsidRPr="00FA667B" w:rsidTr="007F7DEC">
        <w:trPr>
          <w:trHeight w:val="360"/>
        </w:trPr>
        <w:tc>
          <w:tcPr>
            <w:tcW w:w="1860" w:type="dxa"/>
            <w:gridSpan w:val="2"/>
            <w:vMerge w:val="restart"/>
            <w:tcBorders>
              <w:top w:val="single" w:sz="4" w:space="0" w:color="auto"/>
              <w:left w:val="single" w:sz="4" w:space="0" w:color="auto"/>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 </w:t>
            </w:r>
          </w:p>
        </w:tc>
        <w:tc>
          <w:tcPr>
            <w:tcW w:w="1740" w:type="dxa"/>
            <w:gridSpan w:val="2"/>
            <w:tcBorders>
              <w:top w:val="single" w:sz="4" w:space="0" w:color="auto"/>
              <w:left w:val="nil"/>
              <w:bottom w:val="single" w:sz="4" w:space="0" w:color="auto"/>
              <w:right w:val="single" w:sz="4" w:space="0" w:color="auto"/>
            </w:tcBorders>
            <w:noWrap/>
            <w:vAlign w:val="bottom"/>
          </w:tcPr>
          <w:p w:rsidR="0011596E" w:rsidRPr="00FA667B" w:rsidRDefault="0011596E" w:rsidP="00FA667B">
            <w:pPr>
              <w:spacing w:line="360" w:lineRule="auto"/>
              <w:jc w:val="both"/>
              <w:rPr>
                <w:color w:val="000000"/>
              </w:rPr>
            </w:pPr>
            <w:r w:rsidRPr="00FA667B">
              <w:rPr>
                <w:color w:val="000000"/>
              </w:rPr>
              <w:t>r. 2012-2013</w:t>
            </w:r>
          </w:p>
        </w:tc>
        <w:tc>
          <w:tcPr>
            <w:tcW w:w="1700" w:type="dxa"/>
            <w:gridSpan w:val="2"/>
            <w:tcBorders>
              <w:top w:val="single" w:sz="4" w:space="0" w:color="auto"/>
              <w:left w:val="nil"/>
              <w:bottom w:val="single" w:sz="4" w:space="0" w:color="auto"/>
              <w:right w:val="single" w:sz="4" w:space="0" w:color="auto"/>
            </w:tcBorders>
            <w:noWrap/>
            <w:vAlign w:val="bottom"/>
          </w:tcPr>
          <w:p w:rsidR="0011596E" w:rsidRPr="00FA667B" w:rsidRDefault="0011596E" w:rsidP="00FA667B">
            <w:pPr>
              <w:spacing w:line="360" w:lineRule="auto"/>
              <w:jc w:val="both"/>
              <w:rPr>
                <w:color w:val="000000"/>
              </w:rPr>
            </w:pPr>
            <w:r w:rsidRPr="00FA667B">
              <w:rPr>
                <w:color w:val="000000"/>
              </w:rPr>
              <w:t>r. 2014-2019</w:t>
            </w:r>
          </w:p>
        </w:tc>
        <w:tc>
          <w:tcPr>
            <w:tcW w:w="1240" w:type="dxa"/>
            <w:vMerge w:val="restart"/>
            <w:tcBorders>
              <w:top w:val="single" w:sz="4" w:space="0" w:color="auto"/>
              <w:left w:val="single" w:sz="4" w:space="0" w:color="auto"/>
              <w:bottom w:val="nil"/>
              <w:right w:val="single" w:sz="4" w:space="0" w:color="auto"/>
            </w:tcBorders>
            <w:vAlign w:val="center"/>
          </w:tcPr>
          <w:p w:rsidR="0011596E" w:rsidRPr="00FA667B" w:rsidRDefault="0011596E" w:rsidP="00FA667B">
            <w:pPr>
              <w:spacing w:line="360" w:lineRule="auto"/>
              <w:jc w:val="both"/>
            </w:pPr>
            <w:r w:rsidRPr="00FA667B">
              <w:t>Fisher's exact test p</w:t>
            </w:r>
          </w:p>
        </w:tc>
      </w:tr>
      <w:tr w:rsidR="0011596E" w:rsidRPr="00FA667B" w:rsidTr="007F7DEC">
        <w:trPr>
          <w:trHeight w:val="375"/>
        </w:trPr>
        <w:tc>
          <w:tcPr>
            <w:tcW w:w="1860" w:type="dxa"/>
            <w:gridSpan w:val="2"/>
            <w:vMerge/>
            <w:tcBorders>
              <w:top w:val="single" w:sz="4" w:space="0" w:color="auto"/>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760" w:type="dxa"/>
            <w:tcBorders>
              <w:top w:val="nil"/>
              <w:left w:val="nil"/>
              <w:bottom w:val="nil"/>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počet</w:t>
            </w:r>
          </w:p>
        </w:tc>
        <w:tc>
          <w:tcPr>
            <w:tcW w:w="980" w:type="dxa"/>
            <w:tcBorders>
              <w:top w:val="nil"/>
              <w:left w:val="nil"/>
              <w:bottom w:val="nil"/>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procento</w:t>
            </w:r>
          </w:p>
        </w:tc>
        <w:tc>
          <w:tcPr>
            <w:tcW w:w="720" w:type="dxa"/>
            <w:tcBorders>
              <w:top w:val="nil"/>
              <w:left w:val="nil"/>
              <w:bottom w:val="nil"/>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počet</w:t>
            </w:r>
          </w:p>
        </w:tc>
        <w:tc>
          <w:tcPr>
            <w:tcW w:w="980" w:type="dxa"/>
            <w:tcBorders>
              <w:top w:val="nil"/>
              <w:left w:val="nil"/>
              <w:bottom w:val="nil"/>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procento</w:t>
            </w:r>
          </w:p>
        </w:tc>
        <w:tc>
          <w:tcPr>
            <w:tcW w:w="1240" w:type="dxa"/>
            <w:vMerge/>
            <w:tcBorders>
              <w:top w:val="single" w:sz="4" w:space="0" w:color="auto"/>
              <w:left w:val="single" w:sz="4" w:space="0" w:color="auto"/>
              <w:bottom w:val="nil"/>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30"/>
        </w:trPr>
        <w:tc>
          <w:tcPr>
            <w:tcW w:w="1260" w:type="dxa"/>
            <w:vMerge w:val="restart"/>
            <w:tcBorders>
              <w:top w:val="single" w:sz="4" w:space="0" w:color="auto"/>
              <w:left w:val="single" w:sz="4" w:space="0" w:color="auto"/>
              <w:bottom w:val="single" w:sz="4" w:space="0" w:color="000000"/>
              <w:right w:val="nil"/>
            </w:tcBorders>
          </w:tcPr>
          <w:p w:rsidR="0011596E" w:rsidRPr="00FA667B" w:rsidRDefault="0011596E" w:rsidP="00FA667B">
            <w:pPr>
              <w:spacing w:line="360" w:lineRule="auto"/>
              <w:jc w:val="both"/>
              <w:rPr>
                <w:color w:val="000000"/>
              </w:rPr>
            </w:pPr>
            <w:r w:rsidRPr="00FA667B">
              <w:rPr>
                <w:color w:val="000000"/>
              </w:rPr>
              <w:t>POPF typ</w:t>
            </w:r>
          </w:p>
        </w:tc>
        <w:tc>
          <w:tcPr>
            <w:tcW w:w="600" w:type="dxa"/>
            <w:tcBorders>
              <w:top w:val="single" w:sz="4" w:space="0" w:color="auto"/>
              <w:left w:val="single" w:sz="4" w:space="0" w:color="auto"/>
              <w:bottom w:val="nil"/>
              <w:right w:val="single" w:sz="4" w:space="0" w:color="auto"/>
            </w:tcBorders>
          </w:tcPr>
          <w:p w:rsidR="0011596E" w:rsidRPr="00FA667B" w:rsidRDefault="0011596E" w:rsidP="00FA667B">
            <w:pPr>
              <w:spacing w:line="360" w:lineRule="auto"/>
              <w:jc w:val="both"/>
              <w:rPr>
                <w:color w:val="000000"/>
              </w:rPr>
            </w:pPr>
            <w:r w:rsidRPr="00FA667B">
              <w:rPr>
                <w:color w:val="000000"/>
              </w:rPr>
              <w:t>0</w:t>
            </w:r>
          </w:p>
        </w:tc>
        <w:tc>
          <w:tcPr>
            <w:tcW w:w="760" w:type="dxa"/>
            <w:tcBorders>
              <w:top w:val="single" w:sz="4" w:space="0" w:color="auto"/>
              <w:left w:val="nil"/>
              <w:bottom w:val="nil"/>
              <w:right w:val="nil"/>
            </w:tcBorders>
            <w:noWrap/>
          </w:tcPr>
          <w:p w:rsidR="0011596E" w:rsidRPr="00FA667B" w:rsidRDefault="0011596E" w:rsidP="00FA667B">
            <w:pPr>
              <w:spacing w:line="360" w:lineRule="auto"/>
              <w:jc w:val="both"/>
              <w:rPr>
                <w:color w:val="000000"/>
              </w:rPr>
            </w:pPr>
            <w:r w:rsidRPr="00FA667B">
              <w:rPr>
                <w:color w:val="000000"/>
              </w:rPr>
              <w:t>37</w:t>
            </w:r>
          </w:p>
        </w:tc>
        <w:tc>
          <w:tcPr>
            <w:tcW w:w="980" w:type="dxa"/>
            <w:tcBorders>
              <w:top w:val="single" w:sz="4" w:space="0" w:color="auto"/>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90,2%</w:t>
            </w:r>
          </w:p>
        </w:tc>
        <w:tc>
          <w:tcPr>
            <w:tcW w:w="72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171</w:t>
            </w:r>
          </w:p>
        </w:tc>
        <w:tc>
          <w:tcPr>
            <w:tcW w:w="980" w:type="dxa"/>
            <w:tcBorders>
              <w:top w:val="single" w:sz="4" w:space="0" w:color="auto"/>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85,5%</w:t>
            </w:r>
          </w:p>
        </w:tc>
        <w:tc>
          <w:tcPr>
            <w:tcW w:w="1240" w:type="dxa"/>
            <w:vMerge w:val="restart"/>
            <w:tcBorders>
              <w:top w:val="single" w:sz="4" w:space="0" w:color="auto"/>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rPr>
                <w:b/>
                <w:bCs/>
              </w:rPr>
            </w:pPr>
            <w:r w:rsidRPr="00FA667B">
              <w:rPr>
                <w:b/>
                <w:bCs/>
              </w:rPr>
              <w:t>0,027</w:t>
            </w: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tcPr>
          <w:p w:rsidR="0011596E" w:rsidRPr="00FA667B" w:rsidRDefault="0011596E" w:rsidP="00FA667B">
            <w:pPr>
              <w:spacing w:line="360" w:lineRule="auto"/>
              <w:jc w:val="both"/>
              <w:rPr>
                <w:color w:val="000000"/>
              </w:rPr>
            </w:pPr>
            <w:r w:rsidRPr="00FA667B">
              <w:rPr>
                <w:color w:val="000000"/>
              </w:rPr>
              <w:t>A</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1</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2,4%</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24</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12,0%</w:t>
            </w:r>
          </w:p>
        </w:tc>
        <w:tc>
          <w:tcPr>
            <w:tcW w:w="1240" w:type="dxa"/>
            <w:vMerge/>
            <w:tcBorders>
              <w:top w:val="single" w:sz="4" w:space="0" w:color="auto"/>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rPr>
                <w:b/>
                <w:bCs/>
              </w:rPr>
            </w:pP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tcPr>
          <w:p w:rsidR="0011596E" w:rsidRPr="00FA667B" w:rsidRDefault="0011596E" w:rsidP="00FA667B">
            <w:pPr>
              <w:spacing w:line="360" w:lineRule="auto"/>
              <w:jc w:val="both"/>
              <w:rPr>
                <w:color w:val="000000"/>
              </w:rPr>
            </w:pPr>
            <w:r w:rsidRPr="00FA667B">
              <w:rPr>
                <w:color w:val="000000"/>
              </w:rPr>
              <w:t>B</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3</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b/>
                <w:bCs/>
                <w:color w:val="000000"/>
              </w:rPr>
            </w:pPr>
            <w:r w:rsidRPr="00FA667B">
              <w:rPr>
                <w:b/>
                <w:bCs/>
                <w:color w:val="000000"/>
              </w:rPr>
              <w:t>7,3%</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2</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b/>
                <w:bCs/>
                <w:color w:val="000000"/>
              </w:rPr>
            </w:pPr>
            <w:r w:rsidRPr="00FA667B">
              <w:rPr>
                <w:b/>
                <w:bCs/>
                <w:color w:val="000000"/>
              </w:rPr>
              <w:t>1,0%</w:t>
            </w:r>
          </w:p>
        </w:tc>
        <w:tc>
          <w:tcPr>
            <w:tcW w:w="1240" w:type="dxa"/>
            <w:vMerge/>
            <w:tcBorders>
              <w:top w:val="single" w:sz="4" w:space="0" w:color="auto"/>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rPr>
                <w:b/>
                <w:bCs/>
              </w:rPr>
            </w:pP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tcPr>
          <w:p w:rsidR="0011596E" w:rsidRPr="00FA667B" w:rsidRDefault="0011596E" w:rsidP="00FA667B">
            <w:pPr>
              <w:spacing w:line="360" w:lineRule="auto"/>
              <w:jc w:val="both"/>
              <w:rPr>
                <w:color w:val="000000"/>
              </w:rPr>
            </w:pPr>
            <w:r w:rsidRPr="00FA667B">
              <w:rPr>
                <w:color w:val="000000"/>
              </w:rPr>
              <w:t>C</w:t>
            </w:r>
          </w:p>
        </w:tc>
        <w:tc>
          <w:tcPr>
            <w:tcW w:w="760" w:type="dxa"/>
            <w:tcBorders>
              <w:top w:val="nil"/>
              <w:left w:val="nil"/>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0</w:t>
            </w:r>
          </w:p>
        </w:tc>
        <w:tc>
          <w:tcPr>
            <w:tcW w:w="980" w:type="dxa"/>
            <w:tcBorders>
              <w:top w:val="nil"/>
              <w:left w:val="single" w:sz="4" w:space="0" w:color="auto"/>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0,0%</w:t>
            </w:r>
          </w:p>
        </w:tc>
        <w:tc>
          <w:tcPr>
            <w:tcW w:w="72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w:t>
            </w:r>
          </w:p>
        </w:tc>
        <w:tc>
          <w:tcPr>
            <w:tcW w:w="98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1,0%</w:t>
            </w:r>
          </w:p>
        </w:tc>
        <w:tc>
          <w:tcPr>
            <w:tcW w:w="1240" w:type="dxa"/>
            <w:vMerge/>
            <w:tcBorders>
              <w:top w:val="single" w:sz="4" w:space="0" w:color="auto"/>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rPr>
                <w:b/>
                <w:bCs/>
              </w:rPr>
            </w:pPr>
          </w:p>
        </w:tc>
      </w:tr>
      <w:tr w:rsidR="0011596E" w:rsidRPr="00FA667B" w:rsidTr="007F7DEC">
        <w:trPr>
          <w:trHeight w:val="300"/>
        </w:trPr>
        <w:tc>
          <w:tcPr>
            <w:tcW w:w="1260" w:type="dxa"/>
            <w:vMerge w:val="restart"/>
            <w:tcBorders>
              <w:top w:val="nil"/>
              <w:left w:val="single" w:sz="4" w:space="0" w:color="auto"/>
              <w:bottom w:val="nil"/>
              <w:right w:val="nil"/>
            </w:tcBorders>
          </w:tcPr>
          <w:p w:rsidR="0011596E" w:rsidRPr="00FA667B" w:rsidRDefault="0011596E" w:rsidP="00FA667B">
            <w:pPr>
              <w:spacing w:line="360" w:lineRule="auto"/>
              <w:jc w:val="both"/>
              <w:rPr>
                <w:color w:val="000000"/>
              </w:rPr>
            </w:pPr>
            <w:r w:rsidRPr="00FA667B">
              <w:rPr>
                <w:color w:val="000000"/>
              </w:rPr>
              <w:t>PPH</w:t>
            </w:r>
          </w:p>
        </w:tc>
        <w:tc>
          <w:tcPr>
            <w:tcW w:w="60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40</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97,6%</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191</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95,5%</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1,000</w:t>
            </w:r>
          </w:p>
        </w:tc>
      </w:tr>
      <w:tr w:rsidR="0011596E" w:rsidRPr="00FA667B" w:rsidTr="007F7DEC">
        <w:trPr>
          <w:trHeight w:val="300"/>
        </w:trPr>
        <w:tc>
          <w:tcPr>
            <w:tcW w:w="1260" w:type="dxa"/>
            <w:vMerge/>
            <w:tcBorders>
              <w:top w:val="nil"/>
              <w:left w:val="single" w:sz="4" w:space="0" w:color="auto"/>
              <w:bottom w:val="nil"/>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1</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2,4%</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4,5%</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single" w:sz="4" w:space="0" w:color="auto"/>
              <w:left w:val="single" w:sz="4" w:space="0" w:color="auto"/>
              <w:bottom w:val="single" w:sz="4" w:space="0" w:color="000000"/>
              <w:right w:val="nil"/>
            </w:tcBorders>
          </w:tcPr>
          <w:p w:rsidR="0011596E" w:rsidRPr="00FA667B" w:rsidRDefault="0011596E" w:rsidP="00FA667B">
            <w:pPr>
              <w:spacing w:line="360" w:lineRule="auto"/>
              <w:jc w:val="both"/>
              <w:rPr>
                <w:color w:val="000000"/>
              </w:rPr>
            </w:pPr>
            <w:r w:rsidRPr="00FA667B">
              <w:rPr>
                <w:color w:val="000000"/>
              </w:rPr>
              <w:t>DGE</w:t>
            </w: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single" w:sz="4" w:space="0" w:color="auto"/>
              <w:left w:val="nil"/>
              <w:bottom w:val="nil"/>
              <w:right w:val="nil"/>
            </w:tcBorders>
            <w:noWrap/>
          </w:tcPr>
          <w:p w:rsidR="0011596E" w:rsidRPr="00FA667B" w:rsidRDefault="0011596E" w:rsidP="00FA667B">
            <w:pPr>
              <w:spacing w:line="360" w:lineRule="auto"/>
              <w:jc w:val="both"/>
              <w:rPr>
                <w:color w:val="000000"/>
              </w:rPr>
            </w:pPr>
            <w:r w:rsidRPr="00FA667B">
              <w:rPr>
                <w:color w:val="000000"/>
              </w:rPr>
              <w:t>35</w:t>
            </w:r>
          </w:p>
        </w:tc>
        <w:tc>
          <w:tcPr>
            <w:tcW w:w="980" w:type="dxa"/>
            <w:tcBorders>
              <w:top w:val="single" w:sz="4" w:space="0" w:color="auto"/>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85,4%</w:t>
            </w:r>
          </w:p>
        </w:tc>
        <w:tc>
          <w:tcPr>
            <w:tcW w:w="72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178</w:t>
            </w:r>
          </w:p>
        </w:tc>
        <w:tc>
          <w:tcPr>
            <w:tcW w:w="980" w:type="dxa"/>
            <w:tcBorders>
              <w:top w:val="single" w:sz="4" w:space="0" w:color="auto"/>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89,0%</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0,591</w:t>
            </w: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6</w:t>
            </w:r>
          </w:p>
        </w:tc>
        <w:tc>
          <w:tcPr>
            <w:tcW w:w="980" w:type="dxa"/>
            <w:tcBorders>
              <w:top w:val="nil"/>
              <w:left w:val="single" w:sz="4" w:space="0" w:color="auto"/>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14,6%</w:t>
            </w:r>
          </w:p>
        </w:tc>
        <w:tc>
          <w:tcPr>
            <w:tcW w:w="72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22</w:t>
            </w:r>
          </w:p>
        </w:tc>
        <w:tc>
          <w:tcPr>
            <w:tcW w:w="98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11,0%</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nil"/>
              <w:left w:val="single" w:sz="4" w:space="0" w:color="auto"/>
              <w:bottom w:val="nil"/>
              <w:right w:val="nil"/>
            </w:tcBorders>
          </w:tcPr>
          <w:p w:rsidR="0011596E" w:rsidRPr="00FA667B" w:rsidRDefault="0011596E" w:rsidP="00FA667B">
            <w:pPr>
              <w:spacing w:line="360" w:lineRule="auto"/>
              <w:jc w:val="both"/>
              <w:rPr>
                <w:color w:val="000000"/>
              </w:rPr>
            </w:pPr>
            <w:r w:rsidRPr="00FA667B">
              <w:rPr>
                <w:color w:val="000000"/>
              </w:rPr>
              <w:t>HJA</w:t>
            </w:r>
          </w:p>
        </w:tc>
        <w:tc>
          <w:tcPr>
            <w:tcW w:w="60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40</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97,6%</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195</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97,5%</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1,000</w:t>
            </w:r>
          </w:p>
        </w:tc>
      </w:tr>
      <w:tr w:rsidR="0011596E" w:rsidRPr="00FA667B" w:rsidTr="007F7DEC">
        <w:trPr>
          <w:trHeight w:val="300"/>
        </w:trPr>
        <w:tc>
          <w:tcPr>
            <w:tcW w:w="1260" w:type="dxa"/>
            <w:vMerge/>
            <w:tcBorders>
              <w:top w:val="nil"/>
              <w:left w:val="single" w:sz="4" w:space="0" w:color="auto"/>
              <w:bottom w:val="nil"/>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1</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2,4%</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5</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2,5%</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single" w:sz="4" w:space="0" w:color="auto"/>
              <w:left w:val="single" w:sz="4" w:space="0" w:color="auto"/>
              <w:bottom w:val="single" w:sz="4" w:space="0" w:color="000000"/>
              <w:right w:val="nil"/>
            </w:tcBorders>
          </w:tcPr>
          <w:p w:rsidR="0011596E" w:rsidRPr="00FA667B" w:rsidRDefault="0011596E" w:rsidP="00FA667B">
            <w:pPr>
              <w:spacing w:line="360" w:lineRule="auto"/>
              <w:jc w:val="both"/>
              <w:rPr>
                <w:color w:val="000000"/>
              </w:rPr>
            </w:pPr>
            <w:r w:rsidRPr="00FA667B">
              <w:rPr>
                <w:color w:val="000000"/>
              </w:rPr>
              <w:t xml:space="preserve">zánětlivá komplikace </w:t>
            </w: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single" w:sz="4" w:space="0" w:color="auto"/>
              <w:left w:val="nil"/>
              <w:bottom w:val="nil"/>
              <w:right w:val="nil"/>
            </w:tcBorders>
            <w:noWrap/>
          </w:tcPr>
          <w:p w:rsidR="0011596E" w:rsidRPr="00FA667B" w:rsidRDefault="0011596E" w:rsidP="00FA667B">
            <w:pPr>
              <w:spacing w:line="360" w:lineRule="auto"/>
              <w:jc w:val="both"/>
              <w:rPr>
                <w:color w:val="000000"/>
              </w:rPr>
            </w:pPr>
            <w:r w:rsidRPr="00FA667B">
              <w:rPr>
                <w:color w:val="000000"/>
              </w:rPr>
              <w:t>33</w:t>
            </w:r>
          </w:p>
        </w:tc>
        <w:tc>
          <w:tcPr>
            <w:tcW w:w="980" w:type="dxa"/>
            <w:tcBorders>
              <w:top w:val="single" w:sz="4" w:space="0" w:color="auto"/>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80,5%</w:t>
            </w:r>
          </w:p>
        </w:tc>
        <w:tc>
          <w:tcPr>
            <w:tcW w:w="72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147</w:t>
            </w:r>
          </w:p>
        </w:tc>
        <w:tc>
          <w:tcPr>
            <w:tcW w:w="980" w:type="dxa"/>
            <w:tcBorders>
              <w:top w:val="single" w:sz="4" w:space="0" w:color="auto"/>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73,5%</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0,432</w:t>
            </w: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8</w:t>
            </w:r>
          </w:p>
        </w:tc>
        <w:tc>
          <w:tcPr>
            <w:tcW w:w="980" w:type="dxa"/>
            <w:tcBorders>
              <w:top w:val="nil"/>
              <w:left w:val="single" w:sz="4" w:space="0" w:color="auto"/>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19,5%</w:t>
            </w:r>
          </w:p>
        </w:tc>
        <w:tc>
          <w:tcPr>
            <w:tcW w:w="72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53</w:t>
            </w:r>
          </w:p>
        </w:tc>
        <w:tc>
          <w:tcPr>
            <w:tcW w:w="98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26,5%</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nil"/>
              <w:left w:val="single" w:sz="4" w:space="0" w:color="auto"/>
              <w:bottom w:val="nil"/>
              <w:right w:val="nil"/>
            </w:tcBorders>
          </w:tcPr>
          <w:p w:rsidR="0011596E" w:rsidRPr="00FA667B" w:rsidRDefault="0011596E" w:rsidP="00FA667B">
            <w:pPr>
              <w:spacing w:line="360" w:lineRule="auto"/>
              <w:jc w:val="both"/>
              <w:rPr>
                <w:color w:val="000000"/>
              </w:rPr>
            </w:pPr>
            <w:r w:rsidRPr="00FA667B">
              <w:rPr>
                <w:color w:val="000000"/>
              </w:rPr>
              <w:t>pneumonie</w:t>
            </w:r>
          </w:p>
        </w:tc>
        <w:tc>
          <w:tcPr>
            <w:tcW w:w="60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37</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90,2%</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188</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94,0%</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0,487</w:t>
            </w:r>
          </w:p>
        </w:tc>
      </w:tr>
      <w:tr w:rsidR="0011596E" w:rsidRPr="00FA667B" w:rsidTr="007F7DEC">
        <w:trPr>
          <w:trHeight w:val="300"/>
        </w:trPr>
        <w:tc>
          <w:tcPr>
            <w:tcW w:w="1260" w:type="dxa"/>
            <w:vMerge/>
            <w:tcBorders>
              <w:top w:val="nil"/>
              <w:left w:val="single" w:sz="4" w:space="0" w:color="auto"/>
              <w:bottom w:val="nil"/>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4</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9,8%</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12</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6,0%</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single" w:sz="4" w:space="0" w:color="auto"/>
              <w:left w:val="single" w:sz="4" w:space="0" w:color="auto"/>
              <w:bottom w:val="single" w:sz="4" w:space="0" w:color="000000"/>
              <w:right w:val="nil"/>
            </w:tcBorders>
          </w:tcPr>
          <w:p w:rsidR="0011596E" w:rsidRPr="00FA667B" w:rsidRDefault="0011596E" w:rsidP="00FA667B">
            <w:pPr>
              <w:spacing w:line="360" w:lineRule="auto"/>
              <w:jc w:val="both"/>
              <w:rPr>
                <w:color w:val="000000"/>
              </w:rPr>
            </w:pPr>
            <w:r w:rsidRPr="00FA667B">
              <w:rPr>
                <w:color w:val="000000"/>
              </w:rPr>
              <w:lastRenderedPageBreak/>
              <w:t>ranné komplikace</w:t>
            </w: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single" w:sz="4" w:space="0" w:color="auto"/>
              <w:left w:val="nil"/>
              <w:bottom w:val="nil"/>
              <w:right w:val="nil"/>
            </w:tcBorders>
            <w:noWrap/>
          </w:tcPr>
          <w:p w:rsidR="0011596E" w:rsidRPr="00FA667B" w:rsidRDefault="0011596E" w:rsidP="00FA667B">
            <w:pPr>
              <w:spacing w:line="360" w:lineRule="auto"/>
              <w:jc w:val="both"/>
              <w:rPr>
                <w:color w:val="000000"/>
              </w:rPr>
            </w:pPr>
            <w:r w:rsidRPr="00FA667B">
              <w:rPr>
                <w:color w:val="000000"/>
              </w:rPr>
              <w:t>39</w:t>
            </w:r>
          </w:p>
        </w:tc>
        <w:tc>
          <w:tcPr>
            <w:tcW w:w="980" w:type="dxa"/>
            <w:tcBorders>
              <w:top w:val="single" w:sz="4" w:space="0" w:color="auto"/>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95,1%</w:t>
            </w:r>
          </w:p>
        </w:tc>
        <w:tc>
          <w:tcPr>
            <w:tcW w:w="72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183</w:t>
            </w:r>
          </w:p>
        </w:tc>
        <w:tc>
          <w:tcPr>
            <w:tcW w:w="980" w:type="dxa"/>
            <w:tcBorders>
              <w:top w:val="single" w:sz="4" w:space="0" w:color="auto"/>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91,5%</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pPr>
            <w:r w:rsidRPr="00FA667B">
              <w:t>0,749</w:t>
            </w:r>
          </w:p>
        </w:tc>
      </w:tr>
      <w:tr w:rsidR="0011596E" w:rsidRPr="00FA667B" w:rsidTr="007F7DEC">
        <w:trPr>
          <w:trHeight w:val="300"/>
        </w:trPr>
        <w:tc>
          <w:tcPr>
            <w:tcW w:w="1260" w:type="dxa"/>
            <w:vMerge/>
            <w:tcBorders>
              <w:top w:val="single" w:sz="4" w:space="0" w:color="auto"/>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2</w:t>
            </w:r>
          </w:p>
        </w:tc>
        <w:tc>
          <w:tcPr>
            <w:tcW w:w="980" w:type="dxa"/>
            <w:tcBorders>
              <w:top w:val="nil"/>
              <w:left w:val="single" w:sz="4" w:space="0" w:color="auto"/>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4,9%</w:t>
            </w:r>
          </w:p>
        </w:tc>
        <w:tc>
          <w:tcPr>
            <w:tcW w:w="72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17</w:t>
            </w:r>
          </w:p>
        </w:tc>
        <w:tc>
          <w:tcPr>
            <w:tcW w:w="98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8,5%</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pPr>
          </w:p>
        </w:tc>
      </w:tr>
      <w:tr w:rsidR="0011596E" w:rsidRPr="00FA667B" w:rsidTr="007F7DEC">
        <w:trPr>
          <w:trHeight w:val="300"/>
        </w:trPr>
        <w:tc>
          <w:tcPr>
            <w:tcW w:w="1260" w:type="dxa"/>
            <w:vMerge w:val="restart"/>
            <w:tcBorders>
              <w:top w:val="nil"/>
              <w:left w:val="single" w:sz="4" w:space="0" w:color="auto"/>
              <w:bottom w:val="single" w:sz="4" w:space="0" w:color="000000"/>
              <w:right w:val="nil"/>
            </w:tcBorders>
          </w:tcPr>
          <w:p w:rsidR="0011596E" w:rsidRPr="00FA667B" w:rsidRDefault="0011596E" w:rsidP="00FA667B">
            <w:pPr>
              <w:spacing w:line="360" w:lineRule="auto"/>
              <w:jc w:val="both"/>
              <w:rPr>
                <w:color w:val="000000"/>
              </w:rPr>
            </w:pPr>
            <w:r w:rsidRPr="00FA667B">
              <w:rPr>
                <w:color w:val="000000"/>
              </w:rPr>
              <w:t>nitrobřišní kolekce</w:t>
            </w:r>
          </w:p>
        </w:tc>
        <w:tc>
          <w:tcPr>
            <w:tcW w:w="600" w:type="dxa"/>
            <w:tcBorders>
              <w:top w:val="single" w:sz="4" w:space="0" w:color="auto"/>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ne</w:t>
            </w:r>
          </w:p>
        </w:tc>
        <w:tc>
          <w:tcPr>
            <w:tcW w:w="760" w:type="dxa"/>
            <w:tcBorders>
              <w:top w:val="nil"/>
              <w:left w:val="nil"/>
              <w:bottom w:val="nil"/>
              <w:right w:val="nil"/>
            </w:tcBorders>
            <w:noWrap/>
          </w:tcPr>
          <w:p w:rsidR="0011596E" w:rsidRPr="00FA667B" w:rsidRDefault="0011596E" w:rsidP="00FA667B">
            <w:pPr>
              <w:spacing w:line="360" w:lineRule="auto"/>
              <w:jc w:val="both"/>
              <w:rPr>
                <w:color w:val="000000"/>
              </w:rPr>
            </w:pPr>
            <w:r w:rsidRPr="00FA667B">
              <w:rPr>
                <w:color w:val="000000"/>
              </w:rPr>
              <w:t>39</w:t>
            </w:r>
          </w:p>
        </w:tc>
        <w:tc>
          <w:tcPr>
            <w:tcW w:w="980" w:type="dxa"/>
            <w:tcBorders>
              <w:top w:val="nil"/>
              <w:left w:val="single" w:sz="4" w:space="0" w:color="auto"/>
              <w:bottom w:val="nil"/>
              <w:right w:val="nil"/>
            </w:tcBorders>
            <w:noWrap/>
          </w:tcPr>
          <w:p w:rsidR="0011596E" w:rsidRPr="00FA667B" w:rsidRDefault="0011596E" w:rsidP="00FA667B">
            <w:pPr>
              <w:spacing w:line="360" w:lineRule="auto"/>
              <w:jc w:val="both"/>
              <w:rPr>
                <w:color w:val="000000"/>
              </w:rPr>
            </w:pPr>
            <w:r w:rsidRPr="00FA667B">
              <w:rPr>
                <w:color w:val="000000"/>
              </w:rPr>
              <w:t>95,1%</w:t>
            </w:r>
          </w:p>
        </w:tc>
        <w:tc>
          <w:tcPr>
            <w:tcW w:w="72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160</w:t>
            </w:r>
          </w:p>
        </w:tc>
        <w:tc>
          <w:tcPr>
            <w:tcW w:w="98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82,1%</w:t>
            </w:r>
          </w:p>
        </w:tc>
        <w:tc>
          <w:tcPr>
            <w:tcW w:w="1240" w:type="dxa"/>
            <w:vMerge w:val="restart"/>
            <w:tcBorders>
              <w:top w:val="nil"/>
              <w:left w:val="single" w:sz="4" w:space="0" w:color="auto"/>
              <w:bottom w:val="single" w:sz="4" w:space="0" w:color="000000"/>
              <w:right w:val="single" w:sz="4" w:space="0" w:color="auto"/>
            </w:tcBorders>
            <w:noWrap/>
            <w:vAlign w:val="center"/>
          </w:tcPr>
          <w:p w:rsidR="0011596E" w:rsidRPr="00FA667B" w:rsidRDefault="0011596E" w:rsidP="00FA667B">
            <w:pPr>
              <w:spacing w:line="360" w:lineRule="auto"/>
              <w:jc w:val="both"/>
              <w:rPr>
                <w:b/>
                <w:bCs/>
              </w:rPr>
            </w:pPr>
            <w:r w:rsidRPr="00FA667B">
              <w:rPr>
                <w:b/>
                <w:bCs/>
              </w:rPr>
              <w:t>0,035</w:t>
            </w:r>
          </w:p>
        </w:tc>
      </w:tr>
      <w:tr w:rsidR="0011596E" w:rsidRPr="00FA667B" w:rsidTr="007F7DEC">
        <w:trPr>
          <w:trHeight w:val="300"/>
        </w:trPr>
        <w:tc>
          <w:tcPr>
            <w:tcW w:w="1260" w:type="dxa"/>
            <w:vMerge/>
            <w:tcBorders>
              <w:top w:val="nil"/>
              <w:left w:val="single" w:sz="4" w:space="0" w:color="auto"/>
              <w:bottom w:val="single" w:sz="4" w:space="0" w:color="000000"/>
              <w:right w:val="nil"/>
            </w:tcBorders>
            <w:vAlign w:val="center"/>
          </w:tcPr>
          <w:p w:rsidR="0011596E" w:rsidRPr="00FA667B" w:rsidRDefault="0011596E" w:rsidP="00FA667B">
            <w:pPr>
              <w:spacing w:line="360" w:lineRule="auto"/>
              <w:jc w:val="both"/>
              <w:rPr>
                <w:color w:val="000000"/>
              </w:rPr>
            </w:pPr>
          </w:p>
        </w:tc>
        <w:tc>
          <w:tcPr>
            <w:tcW w:w="60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ano</w:t>
            </w:r>
          </w:p>
        </w:tc>
        <w:tc>
          <w:tcPr>
            <w:tcW w:w="760" w:type="dxa"/>
            <w:tcBorders>
              <w:top w:val="nil"/>
              <w:left w:val="nil"/>
              <w:bottom w:val="single" w:sz="4" w:space="0" w:color="auto"/>
              <w:right w:val="nil"/>
            </w:tcBorders>
            <w:noWrap/>
          </w:tcPr>
          <w:p w:rsidR="0011596E" w:rsidRPr="00FA667B" w:rsidRDefault="0011596E" w:rsidP="00FA667B">
            <w:pPr>
              <w:spacing w:line="360" w:lineRule="auto"/>
              <w:jc w:val="both"/>
              <w:rPr>
                <w:color w:val="000000"/>
              </w:rPr>
            </w:pPr>
            <w:r w:rsidRPr="00FA667B">
              <w:rPr>
                <w:color w:val="000000"/>
              </w:rPr>
              <w:t>2</w:t>
            </w:r>
          </w:p>
        </w:tc>
        <w:tc>
          <w:tcPr>
            <w:tcW w:w="980" w:type="dxa"/>
            <w:tcBorders>
              <w:top w:val="nil"/>
              <w:left w:val="single" w:sz="4" w:space="0" w:color="auto"/>
              <w:bottom w:val="single" w:sz="4" w:space="0" w:color="auto"/>
              <w:right w:val="nil"/>
            </w:tcBorders>
            <w:noWrap/>
          </w:tcPr>
          <w:p w:rsidR="0011596E" w:rsidRPr="00FA667B" w:rsidRDefault="0011596E" w:rsidP="00FA667B">
            <w:pPr>
              <w:spacing w:line="360" w:lineRule="auto"/>
              <w:jc w:val="both"/>
              <w:rPr>
                <w:b/>
                <w:bCs/>
                <w:color w:val="000000"/>
              </w:rPr>
            </w:pPr>
            <w:r w:rsidRPr="00FA667B">
              <w:rPr>
                <w:b/>
                <w:bCs/>
                <w:color w:val="000000"/>
              </w:rPr>
              <w:t>4,9%</w:t>
            </w:r>
          </w:p>
        </w:tc>
        <w:tc>
          <w:tcPr>
            <w:tcW w:w="72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35</w:t>
            </w:r>
          </w:p>
        </w:tc>
        <w:tc>
          <w:tcPr>
            <w:tcW w:w="98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b/>
                <w:bCs/>
                <w:color w:val="000000"/>
              </w:rPr>
            </w:pPr>
            <w:r w:rsidRPr="00FA667B">
              <w:rPr>
                <w:b/>
                <w:bCs/>
                <w:color w:val="000000"/>
              </w:rPr>
              <w:t>17,9%</w:t>
            </w:r>
          </w:p>
        </w:tc>
        <w:tc>
          <w:tcPr>
            <w:tcW w:w="1240" w:type="dxa"/>
            <w:vMerge/>
            <w:tcBorders>
              <w:top w:val="nil"/>
              <w:left w:val="single" w:sz="4" w:space="0" w:color="auto"/>
              <w:bottom w:val="single" w:sz="4" w:space="0" w:color="000000"/>
              <w:right w:val="single" w:sz="4" w:space="0" w:color="auto"/>
            </w:tcBorders>
            <w:vAlign w:val="center"/>
          </w:tcPr>
          <w:p w:rsidR="0011596E" w:rsidRPr="00FA667B" w:rsidRDefault="0011596E" w:rsidP="00FA667B">
            <w:pPr>
              <w:spacing w:line="360" w:lineRule="auto"/>
              <w:jc w:val="both"/>
              <w:rPr>
                <w:b/>
                <w:bCs/>
              </w:rPr>
            </w:pPr>
          </w:p>
        </w:tc>
      </w:tr>
    </w:tbl>
    <w:p w:rsidR="008E1E0C" w:rsidRPr="00FA667B" w:rsidRDefault="008E1E0C" w:rsidP="00FA667B">
      <w:pPr>
        <w:spacing w:line="360" w:lineRule="auto"/>
        <w:jc w:val="both"/>
      </w:pPr>
    </w:p>
    <w:p w:rsidR="008E1E0C" w:rsidRPr="00FA667B" w:rsidRDefault="008E1E0C" w:rsidP="00FA667B">
      <w:pPr>
        <w:spacing w:line="360" w:lineRule="auto"/>
        <w:jc w:val="both"/>
      </w:pPr>
    </w:p>
    <w:p w:rsidR="006002F1" w:rsidRPr="00FA667B" w:rsidRDefault="006002F1"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7F7DEC" w:rsidRPr="007F7DEC" w:rsidRDefault="007F7DEC" w:rsidP="00FA667B">
      <w:pPr>
        <w:spacing w:line="360" w:lineRule="auto"/>
        <w:jc w:val="both"/>
        <w:rPr>
          <w:b/>
          <w:i/>
          <w:u w:val="single"/>
        </w:rPr>
      </w:pPr>
      <w:r w:rsidRPr="007F7DEC">
        <w:rPr>
          <w:b/>
          <w:i/>
          <w:u w:val="single"/>
        </w:rPr>
        <w:t>D: Komplikace podle jednotlivých výkonů na slinivce</w:t>
      </w:r>
    </w:p>
    <w:p w:rsidR="007F7DEC" w:rsidRDefault="007F7DEC" w:rsidP="00FA667B">
      <w:pPr>
        <w:spacing w:line="360" w:lineRule="auto"/>
        <w:jc w:val="both"/>
      </w:pPr>
      <w:r>
        <w:t>Hodnotili jsme</w:t>
      </w:r>
      <w:r w:rsidR="006002F1" w:rsidRPr="00FA667B">
        <w:t xml:space="preserve"> výskyt komplikací po</w:t>
      </w:r>
      <w:r>
        <w:t>dle jednotlivých výkonů</w:t>
      </w:r>
      <w:r w:rsidR="006002F1" w:rsidRPr="00FA667B">
        <w:t xml:space="preserve"> tedy po DPE, LPE a TPE. </w:t>
      </w:r>
    </w:p>
    <w:p w:rsidR="007F7DEC" w:rsidRPr="007F7DEC" w:rsidRDefault="007F7DEC" w:rsidP="00FA667B">
      <w:pPr>
        <w:spacing w:line="360" w:lineRule="auto"/>
        <w:jc w:val="both"/>
        <w:rPr>
          <w:i/>
          <w:u w:val="single"/>
        </w:rPr>
      </w:pPr>
      <w:r w:rsidRPr="007F7DEC">
        <w:rPr>
          <w:i/>
          <w:u w:val="single"/>
        </w:rPr>
        <w:t>1. Pankreatoduodenektomie</w:t>
      </w:r>
    </w:p>
    <w:p w:rsidR="007F7DEC" w:rsidRDefault="007F7DEC" w:rsidP="00FA667B">
      <w:pPr>
        <w:spacing w:line="360" w:lineRule="auto"/>
        <w:jc w:val="both"/>
      </w:pPr>
      <w:r w:rsidRPr="00FA667B">
        <w:t>Statisticky významné (p= 0,003) je výs</w:t>
      </w:r>
      <w:r>
        <w:t>kyt méně závažných komplikací (</w:t>
      </w:r>
      <w:r w:rsidRPr="00FA667B">
        <w:t xml:space="preserve">C-D I-II) ve skupině nemocných, kteří podstoupili pravostrannou pankreatoduodenektomii </w:t>
      </w:r>
      <w:r w:rsidR="00C87EC0">
        <w:t xml:space="preserve">172/241, </w:t>
      </w:r>
      <w:r w:rsidRPr="00FA667B">
        <w:t xml:space="preserve">než ve skupině nemocných po LPE </w:t>
      </w:r>
      <w:r w:rsidR="00C87EC0">
        <w:t xml:space="preserve">49/241 </w:t>
      </w:r>
      <w:r w:rsidRPr="00FA667B">
        <w:t>a TPE</w:t>
      </w:r>
      <w:r w:rsidR="00C87EC0">
        <w:t xml:space="preserve"> 20/241</w:t>
      </w:r>
      <w:r w:rsidRPr="00FA667B">
        <w:t>.</w:t>
      </w:r>
    </w:p>
    <w:p w:rsidR="007F7DEC" w:rsidRPr="007F7DEC" w:rsidRDefault="007F7DEC" w:rsidP="00FA667B">
      <w:pPr>
        <w:spacing w:line="360" w:lineRule="auto"/>
        <w:jc w:val="both"/>
        <w:rPr>
          <w:i/>
          <w:u w:val="single"/>
        </w:rPr>
      </w:pPr>
      <w:r w:rsidRPr="007F7DEC">
        <w:rPr>
          <w:i/>
          <w:u w:val="single"/>
        </w:rPr>
        <w:t>2. Levostranná resekce pankreatu</w:t>
      </w:r>
    </w:p>
    <w:p w:rsidR="007F7DEC" w:rsidRDefault="006002F1" w:rsidP="00FA667B">
      <w:pPr>
        <w:spacing w:line="360" w:lineRule="auto"/>
        <w:jc w:val="both"/>
      </w:pPr>
      <w:r w:rsidRPr="00FA667B">
        <w:t>Ve skupině nemocných, kteří podstoupili levostrannou p</w:t>
      </w:r>
      <w:r w:rsidR="00852FCE" w:rsidRPr="00FA667B">
        <w:t>ankreatektomii</w:t>
      </w:r>
      <w:r w:rsidR="000B7246" w:rsidRPr="00FA667B">
        <w:t xml:space="preserve"> </w:t>
      </w:r>
      <w:r w:rsidRPr="00FA667B">
        <w:t>bylo nejvíce pacientů u kterých se nev</w:t>
      </w:r>
      <w:r w:rsidR="00852FCE" w:rsidRPr="00FA667B">
        <w:t xml:space="preserve">yskytla </w:t>
      </w:r>
      <w:r w:rsidR="007F7DEC">
        <w:t>žádná komplikace (36, tj.76,6%)</w:t>
      </w:r>
      <w:r w:rsidRPr="00FA667B">
        <w:t xml:space="preserve">, podle Fischerova exaktního testu je signifikatní významnost p=0,001. </w:t>
      </w:r>
    </w:p>
    <w:p w:rsidR="007F7DEC" w:rsidRPr="007F7DEC" w:rsidRDefault="007F7DEC" w:rsidP="00FA667B">
      <w:pPr>
        <w:spacing w:line="360" w:lineRule="auto"/>
        <w:jc w:val="both"/>
        <w:rPr>
          <w:i/>
          <w:u w:val="single"/>
        </w:rPr>
      </w:pPr>
      <w:r w:rsidRPr="007F7DEC">
        <w:rPr>
          <w:i/>
          <w:u w:val="single"/>
        </w:rPr>
        <w:t>3. Totální pankreatektomie</w:t>
      </w:r>
    </w:p>
    <w:p w:rsidR="00852FCE" w:rsidRPr="00FA667B" w:rsidRDefault="007F7DEC" w:rsidP="00FA667B">
      <w:pPr>
        <w:spacing w:line="360" w:lineRule="auto"/>
        <w:jc w:val="both"/>
      </w:pPr>
      <w:r>
        <w:t xml:space="preserve">Po totální pankreatektomii jsme nezaznamenali žádnou komplikaci. </w:t>
      </w:r>
      <w:r w:rsidR="00852FCE" w:rsidRPr="00FA667B">
        <w:t>Přehled viz. tab.14.</w:t>
      </w:r>
    </w:p>
    <w:p w:rsidR="00853DD1" w:rsidRDefault="00853DD1" w:rsidP="00FA667B">
      <w:pPr>
        <w:spacing w:line="360" w:lineRule="auto"/>
        <w:jc w:val="both"/>
      </w:pPr>
    </w:p>
    <w:p w:rsidR="0011596E" w:rsidRPr="00FA667B" w:rsidRDefault="0011596E" w:rsidP="00FA667B">
      <w:pPr>
        <w:spacing w:line="360" w:lineRule="auto"/>
        <w:jc w:val="both"/>
      </w:pPr>
      <w:r w:rsidRPr="00FA667B">
        <w:t>Tab.č.14.  Výskyt komplikací ve vztahu dle C</w:t>
      </w:r>
      <w:r w:rsidR="007F7DEC">
        <w:t>lavien</w:t>
      </w:r>
      <w:r w:rsidRPr="00FA667B">
        <w:t>-D</w:t>
      </w:r>
      <w:r w:rsidR="007F7DEC">
        <w:t>indo</w:t>
      </w:r>
      <w:r w:rsidRPr="00FA667B">
        <w:t xml:space="preserve"> klasifikace ve vztahu k provedené operaci – DPE, LPE, TPE</w:t>
      </w:r>
    </w:p>
    <w:tbl>
      <w:tblPr>
        <w:tblpPr w:leftFromText="141" w:rightFromText="141" w:vertAnchor="text" w:horzAnchor="margin" w:tblpXSpec="center" w:tblpY="91"/>
        <w:tblW w:w="5360" w:type="dxa"/>
        <w:tblCellMar>
          <w:left w:w="70" w:type="dxa"/>
          <w:right w:w="70" w:type="dxa"/>
        </w:tblCellMar>
        <w:tblLook w:val="00A0" w:firstRow="1" w:lastRow="0" w:firstColumn="1" w:lastColumn="0" w:noHBand="0" w:noVBand="0"/>
      </w:tblPr>
      <w:tblGrid>
        <w:gridCol w:w="1260"/>
        <w:gridCol w:w="394"/>
        <w:gridCol w:w="826"/>
        <w:gridCol w:w="960"/>
        <w:gridCol w:w="960"/>
        <w:gridCol w:w="960"/>
      </w:tblGrid>
      <w:tr w:rsidR="0011596E" w:rsidRPr="00FA667B" w:rsidTr="0011596E">
        <w:trPr>
          <w:trHeight w:val="300"/>
        </w:trPr>
        <w:tc>
          <w:tcPr>
            <w:tcW w:w="2480" w:type="dxa"/>
            <w:gridSpan w:val="3"/>
            <w:vMerge w:val="restart"/>
            <w:tcBorders>
              <w:top w:val="single" w:sz="4" w:space="0" w:color="auto"/>
              <w:left w:val="single" w:sz="4" w:space="0" w:color="auto"/>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 </w:t>
            </w:r>
          </w:p>
        </w:tc>
        <w:tc>
          <w:tcPr>
            <w:tcW w:w="2880" w:type="dxa"/>
            <w:gridSpan w:val="3"/>
            <w:tcBorders>
              <w:top w:val="single" w:sz="4" w:space="0" w:color="auto"/>
              <w:left w:val="nil"/>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skupina</w:t>
            </w:r>
          </w:p>
        </w:tc>
      </w:tr>
      <w:tr w:rsidR="0011596E" w:rsidRPr="00FA667B" w:rsidTr="0011596E">
        <w:trPr>
          <w:trHeight w:val="300"/>
        </w:trPr>
        <w:tc>
          <w:tcPr>
            <w:tcW w:w="2480" w:type="dxa"/>
            <w:gridSpan w:val="3"/>
            <w:vMerge/>
            <w:tcBorders>
              <w:top w:val="single" w:sz="4" w:space="0" w:color="auto"/>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960" w:type="dxa"/>
            <w:tcBorders>
              <w:top w:val="nil"/>
              <w:left w:val="nil"/>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DPE</w:t>
            </w:r>
          </w:p>
        </w:tc>
        <w:tc>
          <w:tcPr>
            <w:tcW w:w="960" w:type="dxa"/>
            <w:tcBorders>
              <w:top w:val="nil"/>
              <w:left w:val="nil"/>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LPE</w:t>
            </w:r>
          </w:p>
        </w:tc>
        <w:tc>
          <w:tcPr>
            <w:tcW w:w="960" w:type="dxa"/>
            <w:tcBorders>
              <w:top w:val="nil"/>
              <w:left w:val="nil"/>
              <w:bottom w:val="single" w:sz="4" w:space="0" w:color="auto"/>
              <w:right w:val="single" w:sz="4" w:space="0" w:color="auto"/>
            </w:tcBorders>
            <w:vAlign w:val="bottom"/>
          </w:tcPr>
          <w:p w:rsidR="0011596E" w:rsidRPr="00FA667B" w:rsidRDefault="0011596E" w:rsidP="00FA667B">
            <w:pPr>
              <w:spacing w:line="360" w:lineRule="auto"/>
              <w:jc w:val="both"/>
              <w:rPr>
                <w:color w:val="000000"/>
              </w:rPr>
            </w:pPr>
            <w:r w:rsidRPr="00FA667B">
              <w:rPr>
                <w:color w:val="000000"/>
              </w:rPr>
              <w:t>TPE</w:t>
            </w:r>
          </w:p>
        </w:tc>
      </w:tr>
      <w:tr w:rsidR="0011596E" w:rsidRPr="00FA667B" w:rsidTr="0011596E">
        <w:trPr>
          <w:trHeight w:val="300"/>
        </w:trPr>
        <w:tc>
          <w:tcPr>
            <w:tcW w:w="1260" w:type="dxa"/>
            <w:vMerge w:val="restart"/>
            <w:tcBorders>
              <w:top w:val="nil"/>
              <w:left w:val="single" w:sz="4" w:space="0" w:color="auto"/>
              <w:bottom w:val="single" w:sz="4" w:space="0" w:color="auto"/>
              <w:right w:val="single" w:sz="4" w:space="0" w:color="auto"/>
            </w:tcBorders>
            <w:vAlign w:val="center"/>
          </w:tcPr>
          <w:p w:rsidR="0011596E" w:rsidRPr="00FA667B" w:rsidRDefault="006F5532" w:rsidP="00C87EC0">
            <w:pPr>
              <w:spacing w:line="360" w:lineRule="auto"/>
              <w:jc w:val="both"/>
              <w:rPr>
                <w:color w:val="000000"/>
              </w:rPr>
            </w:pPr>
            <w:r w:rsidRPr="00FA667B">
              <w:rPr>
                <w:color w:val="000000"/>
              </w:rPr>
              <w:t xml:space="preserve">C-D </w:t>
            </w:r>
            <w:r w:rsidR="00C87EC0">
              <w:rPr>
                <w:color w:val="000000"/>
              </w:rPr>
              <w:t>klasifikace</w:t>
            </w:r>
          </w:p>
        </w:tc>
        <w:tc>
          <w:tcPr>
            <w:tcW w:w="394" w:type="dxa"/>
            <w:vMerge w:val="restart"/>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I</w:t>
            </w:r>
          </w:p>
        </w:tc>
        <w:tc>
          <w:tcPr>
            <w:tcW w:w="826" w:type="dxa"/>
            <w:tcBorders>
              <w:top w:val="nil"/>
              <w:left w:val="nil"/>
              <w:bottom w:val="nil"/>
              <w:right w:val="nil"/>
            </w:tcBorders>
          </w:tcPr>
          <w:p w:rsidR="0011596E" w:rsidRPr="00FA667B" w:rsidRDefault="0011596E" w:rsidP="00FA667B">
            <w:pPr>
              <w:spacing w:line="360" w:lineRule="auto"/>
              <w:jc w:val="both"/>
              <w:rPr>
                <w:color w:val="000000"/>
              </w:rPr>
            </w:pPr>
            <w:r w:rsidRPr="00FA667B">
              <w:rPr>
                <w:color w:val="000000"/>
              </w:rPr>
              <w:t>počet</w:t>
            </w:r>
          </w:p>
        </w:tc>
        <w:tc>
          <w:tcPr>
            <w:tcW w:w="960" w:type="dxa"/>
            <w:tcBorders>
              <w:top w:val="nil"/>
              <w:left w:val="single" w:sz="4" w:space="0" w:color="auto"/>
              <w:bottom w:val="nil"/>
              <w:right w:val="single" w:sz="4" w:space="0" w:color="auto"/>
            </w:tcBorders>
            <w:noWrap/>
          </w:tcPr>
          <w:p w:rsidR="0011596E" w:rsidRPr="00FA667B" w:rsidRDefault="006F5532" w:rsidP="00FA667B">
            <w:pPr>
              <w:spacing w:line="360" w:lineRule="auto"/>
              <w:jc w:val="both"/>
              <w:rPr>
                <w:color w:val="000000"/>
              </w:rPr>
            </w:pPr>
            <w:r w:rsidRPr="00FA667B">
              <w:rPr>
                <w:color w:val="000000"/>
              </w:rPr>
              <w:t>10</w:t>
            </w:r>
            <w:r w:rsidR="00C87EC0">
              <w:rPr>
                <w:color w:val="000000"/>
              </w:rPr>
              <w:t>8</w:t>
            </w:r>
          </w:p>
        </w:tc>
        <w:tc>
          <w:tcPr>
            <w:tcW w:w="960" w:type="dxa"/>
            <w:tcBorders>
              <w:top w:val="nil"/>
              <w:left w:val="nil"/>
              <w:bottom w:val="nil"/>
              <w:right w:val="single" w:sz="4" w:space="0" w:color="auto"/>
            </w:tcBorders>
            <w:noWrap/>
          </w:tcPr>
          <w:p w:rsidR="0011596E" w:rsidRPr="00FA667B" w:rsidRDefault="006F5532" w:rsidP="00FA667B">
            <w:pPr>
              <w:spacing w:line="360" w:lineRule="auto"/>
              <w:jc w:val="both"/>
              <w:rPr>
                <w:color w:val="000000"/>
              </w:rPr>
            </w:pPr>
            <w:r w:rsidRPr="00FA667B">
              <w:rPr>
                <w:color w:val="000000"/>
              </w:rPr>
              <w:t>4</w:t>
            </w:r>
            <w:r w:rsidR="00C87EC0">
              <w:rPr>
                <w:color w:val="000000"/>
              </w:rPr>
              <w:t>2</w:t>
            </w:r>
          </w:p>
        </w:tc>
        <w:tc>
          <w:tcPr>
            <w:tcW w:w="960" w:type="dxa"/>
            <w:tcBorders>
              <w:top w:val="nil"/>
              <w:left w:val="nil"/>
              <w:bottom w:val="nil"/>
              <w:right w:val="single" w:sz="4" w:space="0" w:color="auto"/>
            </w:tcBorders>
            <w:noWrap/>
          </w:tcPr>
          <w:p w:rsidR="0011596E" w:rsidRPr="00FA667B" w:rsidRDefault="006F5532" w:rsidP="00FA667B">
            <w:pPr>
              <w:spacing w:line="360" w:lineRule="auto"/>
              <w:jc w:val="both"/>
              <w:rPr>
                <w:color w:val="000000"/>
              </w:rPr>
            </w:pPr>
            <w:r w:rsidRPr="00FA667B">
              <w:rPr>
                <w:color w:val="000000"/>
              </w:rPr>
              <w:t>1</w:t>
            </w:r>
            <w:r w:rsidR="00C87EC0">
              <w:rPr>
                <w:color w:val="000000"/>
              </w:rPr>
              <w:t>3</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826" w:type="dxa"/>
            <w:tcBorders>
              <w:top w:val="nil"/>
              <w:left w:val="nil"/>
              <w:bottom w:val="single" w:sz="4" w:space="0" w:color="auto"/>
              <w:right w:val="nil"/>
            </w:tcBorders>
          </w:tcPr>
          <w:p w:rsidR="0011596E" w:rsidRPr="00FA667B" w:rsidRDefault="0011596E" w:rsidP="00FA667B">
            <w:pPr>
              <w:spacing w:line="360" w:lineRule="auto"/>
              <w:jc w:val="both"/>
              <w:rPr>
                <w:color w:val="000000"/>
              </w:rPr>
            </w:pPr>
            <w:r w:rsidRPr="00FA667B">
              <w:rPr>
                <w:color w:val="000000"/>
              </w:rPr>
              <w:t>%</w:t>
            </w:r>
          </w:p>
        </w:tc>
        <w:tc>
          <w:tcPr>
            <w:tcW w:w="960" w:type="dxa"/>
            <w:tcBorders>
              <w:top w:val="nil"/>
              <w:left w:val="single" w:sz="4" w:space="0" w:color="auto"/>
              <w:bottom w:val="single" w:sz="4" w:space="0" w:color="auto"/>
              <w:right w:val="single" w:sz="4" w:space="0" w:color="auto"/>
            </w:tcBorders>
            <w:noWrap/>
          </w:tcPr>
          <w:p w:rsidR="0011596E" w:rsidRPr="00FA667B" w:rsidRDefault="006F5532" w:rsidP="00FA667B">
            <w:pPr>
              <w:spacing w:line="360" w:lineRule="auto"/>
              <w:jc w:val="both"/>
              <w:rPr>
                <w:color w:val="000000"/>
              </w:rPr>
            </w:pPr>
            <w:r w:rsidRPr="00FA667B">
              <w:rPr>
                <w:color w:val="000000"/>
              </w:rPr>
              <w:t>62,3</w:t>
            </w:r>
            <w:r w:rsidR="0011596E" w:rsidRPr="00FA667B">
              <w:rPr>
                <w:color w:val="000000"/>
              </w:rPr>
              <w:t>%</w:t>
            </w:r>
          </w:p>
        </w:tc>
        <w:tc>
          <w:tcPr>
            <w:tcW w:w="960" w:type="dxa"/>
            <w:tcBorders>
              <w:top w:val="nil"/>
              <w:left w:val="nil"/>
              <w:bottom w:val="single" w:sz="4" w:space="0" w:color="auto"/>
              <w:right w:val="single" w:sz="4" w:space="0" w:color="auto"/>
            </w:tcBorders>
            <w:noWrap/>
          </w:tcPr>
          <w:p w:rsidR="0011596E" w:rsidRPr="00FA667B" w:rsidRDefault="006F5532" w:rsidP="00FA667B">
            <w:pPr>
              <w:spacing w:line="360" w:lineRule="auto"/>
              <w:jc w:val="both"/>
              <w:rPr>
                <w:color w:val="000000"/>
              </w:rPr>
            </w:pPr>
            <w:r w:rsidRPr="00FA667B">
              <w:rPr>
                <w:color w:val="000000"/>
              </w:rPr>
              <w:t>85,1</w:t>
            </w:r>
            <w:r w:rsidR="0011596E" w:rsidRPr="00FA667B">
              <w:rPr>
                <w:color w:val="000000"/>
              </w:rPr>
              <w:t>%</w:t>
            </w:r>
          </w:p>
        </w:tc>
        <w:tc>
          <w:tcPr>
            <w:tcW w:w="960" w:type="dxa"/>
            <w:tcBorders>
              <w:top w:val="nil"/>
              <w:left w:val="nil"/>
              <w:bottom w:val="single" w:sz="4" w:space="0" w:color="auto"/>
              <w:right w:val="single" w:sz="4" w:space="0" w:color="auto"/>
            </w:tcBorders>
            <w:noWrap/>
          </w:tcPr>
          <w:p w:rsidR="0011596E" w:rsidRPr="00FA667B" w:rsidRDefault="006F5532" w:rsidP="00FA667B">
            <w:pPr>
              <w:spacing w:line="360" w:lineRule="auto"/>
              <w:jc w:val="both"/>
              <w:rPr>
                <w:color w:val="000000"/>
              </w:rPr>
            </w:pPr>
            <w:r w:rsidRPr="00FA667B">
              <w:rPr>
                <w:color w:val="000000"/>
              </w:rPr>
              <w:t>63,1</w:t>
            </w:r>
            <w:r w:rsidR="0011596E" w:rsidRPr="00FA667B">
              <w:rPr>
                <w:color w:val="000000"/>
              </w:rPr>
              <w:t>%</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val="restart"/>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II</w:t>
            </w:r>
          </w:p>
        </w:tc>
        <w:tc>
          <w:tcPr>
            <w:tcW w:w="826" w:type="dxa"/>
            <w:tcBorders>
              <w:top w:val="nil"/>
              <w:left w:val="nil"/>
              <w:bottom w:val="nil"/>
              <w:right w:val="nil"/>
            </w:tcBorders>
          </w:tcPr>
          <w:p w:rsidR="0011596E" w:rsidRPr="00FA667B" w:rsidRDefault="0011596E" w:rsidP="00FA667B">
            <w:pPr>
              <w:spacing w:line="360" w:lineRule="auto"/>
              <w:jc w:val="both"/>
              <w:rPr>
                <w:color w:val="000000"/>
              </w:rPr>
            </w:pPr>
            <w:r w:rsidRPr="00FA667B">
              <w:rPr>
                <w:color w:val="000000"/>
              </w:rPr>
              <w:t>počet</w:t>
            </w:r>
          </w:p>
        </w:tc>
        <w:tc>
          <w:tcPr>
            <w:tcW w:w="96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48</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5</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6</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826" w:type="dxa"/>
            <w:tcBorders>
              <w:top w:val="nil"/>
              <w:left w:val="nil"/>
              <w:bottom w:val="single" w:sz="4" w:space="0" w:color="auto"/>
              <w:right w:val="nil"/>
            </w:tcBorders>
          </w:tcPr>
          <w:p w:rsidR="0011596E" w:rsidRPr="00FA667B" w:rsidRDefault="0011596E" w:rsidP="00FA667B">
            <w:pPr>
              <w:spacing w:line="360" w:lineRule="auto"/>
              <w:jc w:val="both"/>
              <w:rPr>
                <w:color w:val="000000"/>
              </w:rPr>
            </w:pPr>
            <w:r w:rsidRPr="00FA667B">
              <w:rPr>
                <w:color w:val="000000"/>
              </w:rPr>
              <w:t>%</w:t>
            </w:r>
          </w:p>
        </w:tc>
        <w:tc>
          <w:tcPr>
            <w:tcW w:w="96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28,2%</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10,6%</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31,6%</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val="restart"/>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III</w:t>
            </w:r>
          </w:p>
        </w:tc>
        <w:tc>
          <w:tcPr>
            <w:tcW w:w="826" w:type="dxa"/>
            <w:tcBorders>
              <w:top w:val="nil"/>
              <w:left w:val="nil"/>
              <w:bottom w:val="nil"/>
              <w:right w:val="nil"/>
            </w:tcBorders>
          </w:tcPr>
          <w:p w:rsidR="0011596E" w:rsidRPr="00FA667B" w:rsidRDefault="0011596E" w:rsidP="00FA667B">
            <w:pPr>
              <w:spacing w:line="360" w:lineRule="auto"/>
              <w:jc w:val="both"/>
              <w:rPr>
                <w:color w:val="000000"/>
              </w:rPr>
            </w:pPr>
            <w:r w:rsidRPr="00FA667B">
              <w:rPr>
                <w:color w:val="000000"/>
              </w:rPr>
              <w:t>počet</w:t>
            </w:r>
          </w:p>
        </w:tc>
        <w:tc>
          <w:tcPr>
            <w:tcW w:w="96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9</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0</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826" w:type="dxa"/>
            <w:tcBorders>
              <w:top w:val="nil"/>
              <w:left w:val="nil"/>
              <w:bottom w:val="single" w:sz="4" w:space="0" w:color="auto"/>
              <w:right w:val="nil"/>
            </w:tcBorders>
          </w:tcPr>
          <w:p w:rsidR="0011596E" w:rsidRPr="00FA667B" w:rsidRDefault="0011596E" w:rsidP="00FA667B">
            <w:pPr>
              <w:spacing w:line="360" w:lineRule="auto"/>
              <w:jc w:val="both"/>
              <w:rPr>
                <w:color w:val="000000"/>
              </w:rPr>
            </w:pPr>
            <w:r w:rsidRPr="00FA667B">
              <w:rPr>
                <w:color w:val="000000"/>
              </w:rPr>
              <w:t>%</w:t>
            </w:r>
          </w:p>
        </w:tc>
        <w:tc>
          <w:tcPr>
            <w:tcW w:w="96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5,3%</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2,1%</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0,0%</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val="restart"/>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IV</w:t>
            </w:r>
          </w:p>
        </w:tc>
        <w:tc>
          <w:tcPr>
            <w:tcW w:w="826" w:type="dxa"/>
            <w:tcBorders>
              <w:top w:val="nil"/>
              <w:left w:val="nil"/>
              <w:bottom w:val="nil"/>
              <w:right w:val="nil"/>
            </w:tcBorders>
          </w:tcPr>
          <w:p w:rsidR="0011596E" w:rsidRPr="00FA667B" w:rsidRDefault="0011596E" w:rsidP="00FA667B">
            <w:pPr>
              <w:spacing w:line="360" w:lineRule="auto"/>
              <w:jc w:val="both"/>
              <w:rPr>
                <w:color w:val="000000"/>
              </w:rPr>
            </w:pPr>
            <w:r w:rsidRPr="00FA667B">
              <w:rPr>
                <w:color w:val="000000"/>
              </w:rPr>
              <w:t>počet</w:t>
            </w:r>
          </w:p>
        </w:tc>
        <w:tc>
          <w:tcPr>
            <w:tcW w:w="96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4</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1</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826" w:type="dxa"/>
            <w:tcBorders>
              <w:top w:val="nil"/>
              <w:left w:val="nil"/>
              <w:bottom w:val="single" w:sz="4" w:space="0" w:color="auto"/>
              <w:right w:val="nil"/>
            </w:tcBorders>
          </w:tcPr>
          <w:p w:rsidR="0011596E" w:rsidRPr="00FA667B" w:rsidRDefault="0011596E" w:rsidP="00FA667B">
            <w:pPr>
              <w:spacing w:line="360" w:lineRule="auto"/>
              <w:jc w:val="both"/>
              <w:rPr>
                <w:color w:val="000000"/>
              </w:rPr>
            </w:pPr>
            <w:r w:rsidRPr="00FA667B">
              <w:rPr>
                <w:color w:val="000000"/>
              </w:rPr>
              <w:t>%</w:t>
            </w:r>
          </w:p>
        </w:tc>
        <w:tc>
          <w:tcPr>
            <w:tcW w:w="96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2,4%</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2,1%</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5,3%</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val="restart"/>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V</w:t>
            </w:r>
          </w:p>
        </w:tc>
        <w:tc>
          <w:tcPr>
            <w:tcW w:w="826" w:type="dxa"/>
            <w:tcBorders>
              <w:top w:val="nil"/>
              <w:left w:val="nil"/>
              <w:bottom w:val="nil"/>
              <w:right w:val="nil"/>
            </w:tcBorders>
          </w:tcPr>
          <w:p w:rsidR="0011596E" w:rsidRPr="00FA667B" w:rsidRDefault="0011596E" w:rsidP="00FA667B">
            <w:pPr>
              <w:spacing w:line="360" w:lineRule="auto"/>
              <w:jc w:val="both"/>
              <w:rPr>
                <w:color w:val="000000"/>
              </w:rPr>
            </w:pPr>
            <w:r w:rsidRPr="00FA667B">
              <w:rPr>
                <w:color w:val="000000"/>
              </w:rPr>
              <w:t>počet</w:t>
            </w:r>
          </w:p>
        </w:tc>
        <w:tc>
          <w:tcPr>
            <w:tcW w:w="960" w:type="dxa"/>
            <w:tcBorders>
              <w:top w:val="nil"/>
              <w:left w:val="single" w:sz="4" w:space="0" w:color="auto"/>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3</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0</w:t>
            </w:r>
          </w:p>
        </w:tc>
        <w:tc>
          <w:tcPr>
            <w:tcW w:w="960" w:type="dxa"/>
            <w:tcBorders>
              <w:top w:val="nil"/>
              <w:left w:val="nil"/>
              <w:bottom w:val="nil"/>
              <w:right w:val="single" w:sz="4" w:space="0" w:color="auto"/>
            </w:tcBorders>
            <w:noWrap/>
          </w:tcPr>
          <w:p w:rsidR="0011596E" w:rsidRPr="00FA667B" w:rsidRDefault="0011596E" w:rsidP="00FA667B">
            <w:pPr>
              <w:spacing w:line="360" w:lineRule="auto"/>
              <w:jc w:val="both"/>
              <w:rPr>
                <w:color w:val="000000"/>
              </w:rPr>
            </w:pPr>
            <w:r w:rsidRPr="00FA667B">
              <w:rPr>
                <w:color w:val="000000"/>
              </w:rPr>
              <w:t>0</w:t>
            </w:r>
          </w:p>
        </w:tc>
      </w:tr>
      <w:tr w:rsidR="0011596E" w:rsidRPr="00FA667B" w:rsidTr="0011596E">
        <w:trPr>
          <w:trHeight w:val="300"/>
        </w:trPr>
        <w:tc>
          <w:tcPr>
            <w:tcW w:w="1260"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394" w:type="dxa"/>
            <w:vMerge/>
            <w:tcBorders>
              <w:top w:val="nil"/>
              <w:left w:val="single" w:sz="4" w:space="0" w:color="auto"/>
              <w:bottom w:val="single" w:sz="4" w:space="0" w:color="auto"/>
              <w:right w:val="single" w:sz="4" w:space="0" w:color="auto"/>
            </w:tcBorders>
            <w:vAlign w:val="center"/>
          </w:tcPr>
          <w:p w:rsidR="0011596E" w:rsidRPr="00FA667B" w:rsidRDefault="0011596E" w:rsidP="00FA667B">
            <w:pPr>
              <w:spacing w:line="360" w:lineRule="auto"/>
              <w:jc w:val="both"/>
              <w:rPr>
                <w:color w:val="000000"/>
              </w:rPr>
            </w:pPr>
          </w:p>
        </w:tc>
        <w:tc>
          <w:tcPr>
            <w:tcW w:w="826" w:type="dxa"/>
            <w:tcBorders>
              <w:top w:val="nil"/>
              <w:left w:val="nil"/>
              <w:bottom w:val="single" w:sz="4" w:space="0" w:color="auto"/>
              <w:right w:val="nil"/>
            </w:tcBorders>
          </w:tcPr>
          <w:p w:rsidR="0011596E" w:rsidRPr="00FA667B" w:rsidRDefault="0011596E" w:rsidP="00FA667B">
            <w:pPr>
              <w:spacing w:line="360" w:lineRule="auto"/>
              <w:jc w:val="both"/>
              <w:rPr>
                <w:color w:val="000000"/>
              </w:rPr>
            </w:pPr>
            <w:r w:rsidRPr="00FA667B">
              <w:rPr>
                <w:color w:val="000000"/>
              </w:rPr>
              <w:t>%</w:t>
            </w:r>
          </w:p>
        </w:tc>
        <w:tc>
          <w:tcPr>
            <w:tcW w:w="960" w:type="dxa"/>
            <w:tcBorders>
              <w:top w:val="nil"/>
              <w:left w:val="single" w:sz="4" w:space="0" w:color="auto"/>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1,8%</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0,0%</w:t>
            </w:r>
          </w:p>
        </w:tc>
        <w:tc>
          <w:tcPr>
            <w:tcW w:w="960" w:type="dxa"/>
            <w:tcBorders>
              <w:top w:val="nil"/>
              <w:left w:val="nil"/>
              <w:bottom w:val="single" w:sz="4" w:space="0" w:color="auto"/>
              <w:right w:val="single" w:sz="4" w:space="0" w:color="auto"/>
            </w:tcBorders>
            <w:noWrap/>
          </w:tcPr>
          <w:p w:rsidR="0011596E" w:rsidRPr="00FA667B" w:rsidRDefault="0011596E" w:rsidP="00FA667B">
            <w:pPr>
              <w:spacing w:line="360" w:lineRule="auto"/>
              <w:jc w:val="both"/>
              <w:rPr>
                <w:color w:val="000000"/>
              </w:rPr>
            </w:pPr>
            <w:r w:rsidRPr="00FA667B">
              <w:rPr>
                <w:color w:val="000000"/>
              </w:rPr>
              <w:t>0,0%</w:t>
            </w:r>
          </w:p>
        </w:tc>
      </w:tr>
    </w:tbl>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r w:rsidRPr="00FA667B">
        <w:lastRenderedPageBreak/>
        <w:t>Tab.č.15. Srovnání výskytu lehkých a těžkých komplikací dle C</w:t>
      </w:r>
      <w:r w:rsidR="007F7DEC">
        <w:t>lavien</w:t>
      </w:r>
      <w:r w:rsidRPr="00FA667B">
        <w:t>-D</w:t>
      </w:r>
      <w:r w:rsidR="007F7DEC">
        <w:t>indo</w:t>
      </w:r>
      <w:r w:rsidRPr="00FA667B">
        <w:t xml:space="preserve"> klasifikace ve vztahu k jednotlivým výkonům - DPE, LPE a TPE</w:t>
      </w:r>
    </w:p>
    <w:tbl>
      <w:tblPr>
        <w:tblpPr w:leftFromText="141" w:rightFromText="141" w:vertAnchor="text" w:horzAnchor="margin" w:tblpXSpec="center" w:tblpY="139"/>
        <w:tblW w:w="4059" w:type="dxa"/>
        <w:tblCellMar>
          <w:left w:w="70" w:type="dxa"/>
          <w:right w:w="70" w:type="dxa"/>
        </w:tblCellMar>
        <w:tblLook w:val="04A0" w:firstRow="1" w:lastRow="0" w:firstColumn="1" w:lastColumn="0" w:noHBand="0" w:noVBand="1"/>
      </w:tblPr>
      <w:tblGrid>
        <w:gridCol w:w="960"/>
        <w:gridCol w:w="219"/>
        <w:gridCol w:w="741"/>
        <w:gridCol w:w="219"/>
        <w:gridCol w:w="960"/>
        <w:gridCol w:w="960"/>
      </w:tblGrid>
      <w:tr w:rsidR="006F5532" w:rsidRPr="00FA667B" w:rsidTr="00C87EC0">
        <w:trPr>
          <w:gridAfter w:val="3"/>
          <w:wAfter w:w="2139" w:type="dxa"/>
          <w:trHeight w:val="402"/>
        </w:trPr>
        <w:tc>
          <w:tcPr>
            <w:tcW w:w="960" w:type="dxa"/>
            <w:tcBorders>
              <w:top w:val="nil"/>
              <w:left w:val="nil"/>
              <w:bottom w:val="nil"/>
              <w:right w:val="nil"/>
            </w:tcBorders>
            <w:shd w:val="clear" w:color="auto" w:fill="auto"/>
            <w:vAlign w:val="center"/>
            <w:hideMark/>
          </w:tcPr>
          <w:p w:rsidR="006F5532" w:rsidRPr="00FA667B" w:rsidRDefault="006F5532" w:rsidP="00FA667B">
            <w:pPr>
              <w:jc w:val="both"/>
              <w:rPr>
                <w:color w:val="000000"/>
              </w:rPr>
            </w:pPr>
          </w:p>
        </w:tc>
        <w:tc>
          <w:tcPr>
            <w:tcW w:w="960" w:type="dxa"/>
            <w:gridSpan w:val="2"/>
            <w:tcBorders>
              <w:top w:val="nil"/>
              <w:left w:val="nil"/>
              <w:bottom w:val="nil"/>
              <w:right w:val="nil"/>
            </w:tcBorders>
            <w:shd w:val="clear" w:color="auto" w:fill="auto"/>
            <w:vAlign w:val="center"/>
            <w:hideMark/>
          </w:tcPr>
          <w:p w:rsidR="006F5532" w:rsidRPr="00FA667B" w:rsidRDefault="006F5532" w:rsidP="00FA667B">
            <w:pPr>
              <w:jc w:val="both"/>
            </w:pPr>
          </w:p>
        </w:tc>
      </w:tr>
      <w:tr w:rsidR="006F5532" w:rsidRPr="00FA667B" w:rsidTr="00C87EC0">
        <w:trPr>
          <w:trHeight w:val="402"/>
        </w:trPr>
        <w:tc>
          <w:tcPr>
            <w:tcW w:w="1179" w:type="dxa"/>
            <w:gridSpan w:val="2"/>
            <w:tcBorders>
              <w:top w:val="single" w:sz="8" w:space="0" w:color="auto"/>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výkon</w:t>
            </w:r>
          </w:p>
        </w:tc>
        <w:tc>
          <w:tcPr>
            <w:tcW w:w="960" w:type="dxa"/>
            <w:gridSpan w:val="2"/>
            <w:tcBorders>
              <w:top w:val="single" w:sz="8" w:space="0" w:color="auto"/>
              <w:left w:val="nil"/>
              <w:bottom w:val="nil"/>
              <w:right w:val="single" w:sz="4" w:space="0" w:color="auto"/>
            </w:tcBorders>
            <w:shd w:val="clear" w:color="auto" w:fill="auto"/>
            <w:vAlign w:val="center"/>
            <w:hideMark/>
          </w:tcPr>
          <w:p w:rsidR="006F5532" w:rsidRPr="00FA667B" w:rsidRDefault="006F5532" w:rsidP="00FA667B">
            <w:pPr>
              <w:jc w:val="both"/>
              <w:rPr>
                <w:color w:val="000000"/>
              </w:rPr>
            </w:pPr>
            <w:r w:rsidRPr="00FA667B">
              <w:rPr>
                <w:color w:val="000000"/>
              </w:rPr>
              <w:t>I-II</w:t>
            </w:r>
          </w:p>
        </w:tc>
        <w:tc>
          <w:tcPr>
            <w:tcW w:w="960" w:type="dxa"/>
            <w:tcBorders>
              <w:top w:val="single" w:sz="8" w:space="0" w:color="auto"/>
              <w:left w:val="nil"/>
              <w:bottom w:val="nil"/>
              <w:right w:val="nil"/>
            </w:tcBorders>
            <w:shd w:val="clear" w:color="auto" w:fill="auto"/>
            <w:vAlign w:val="center"/>
            <w:hideMark/>
          </w:tcPr>
          <w:p w:rsidR="006F5532" w:rsidRPr="00FA667B" w:rsidRDefault="006F5532" w:rsidP="00FA667B">
            <w:pPr>
              <w:jc w:val="both"/>
              <w:rPr>
                <w:color w:val="000000"/>
              </w:rPr>
            </w:pPr>
            <w:r w:rsidRPr="00FA667B">
              <w:rPr>
                <w:color w:val="000000"/>
              </w:rPr>
              <w:t>III-V</w:t>
            </w:r>
          </w:p>
        </w:tc>
        <w:tc>
          <w:tcPr>
            <w:tcW w:w="960" w:type="dxa"/>
            <w:tcBorders>
              <w:top w:val="single" w:sz="8" w:space="0" w:color="auto"/>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p</w:t>
            </w:r>
          </w:p>
        </w:tc>
      </w:tr>
      <w:tr w:rsidR="006F5532" w:rsidRPr="00FA667B" w:rsidTr="00C87EC0">
        <w:trPr>
          <w:trHeight w:val="402"/>
        </w:trPr>
        <w:tc>
          <w:tcPr>
            <w:tcW w:w="1179"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DPE</w:t>
            </w:r>
          </w:p>
        </w:tc>
        <w:tc>
          <w:tcPr>
            <w:tcW w:w="960" w:type="dxa"/>
            <w:gridSpan w:val="2"/>
            <w:tcBorders>
              <w:top w:val="single" w:sz="8" w:space="0" w:color="auto"/>
              <w:left w:val="nil"/>
              <w:bottom w:val="single" w:sz="4" w:space="0" w:color="auto"/>
              <w:right w:val="single" w:sz="4" w:space="0" w:color="auto"/>
            </w:tcBorders>
            <w:shd w:val="clear" w:color="auto" w:fill="auto"/>
            <w:vAlign w:val="center"/>
            <w:hideMark/>
          </w:tcPr>
          <w:p w:rsidR="006F5532" w:rsidRPr="00FA667B" w:rsidRDefault="00C87EC0" w:rsidP="00FA667B">
            <w:pPr>
              <w:jc w:val="both"/>
              <w:rPr>
                <w:color w:val="000000"/>
              </w:rPr>
            </w:pPr>
            <w:r>
              <w:rPr>
                <w:color w:val="000000"/>
              </w:rPr>
              <w:t>156</w:t>
            </w:r>
          </w:p>
        </w:tc>
        <w:tc>
          <w:tcPr>
            <w:tcW w:w="960" w:type="dxa"/>
            <w:tcBorders>
              <w:top w:val="single" w:sz="8" w:space="0" w:color="auto"/>
              <w:left w:val="nil"/>
              <w:bottom w:val="single" w:sz="4" w:space="0" w:color="auto"/>
              <w:right w:val="nil"/>
            </w:tcBorders>
            <w:shd w:val="clear" w:color="auto" w:fill="auto"/>
            <w:vAlign w:val="center"/>
            <w:hideMark/>
          </w:tcPr>
          <w:p w:rsidR="006F5532" w:rsidRPr="00FA667B" w:rsidRDefault="006F5532" w:rsidP="00FA667B">
            <w:pPr>
              <w:jc w:val="both"/>
              <w:rPr>
                <w:color w:val="000000"/>
              </w:rPr>
            </w:pPr>
            <w:r w:rsidRPr="00FA667B">
              <w:rPr>
                <w:color w:val="000000"/>
              </w:rPr>
              <w:t>16</w:t>
            </w:r>
          </w:p>
        </w:tc>
        <w:tc>
          <w:tcPr>
            <w:tcW w:w="960" w:type="dxa"/>
            <w:tcBorders>
              <w:top w:val="single" w:sz="8" w:space="0" w:color="auto"/>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r>
      <w:tr w:rsidR="006F5532" w:rsidRPr="00FA667B" w:rsidTr="00C87EC0">
        <w:trPr>
          <w:trHeight w:val="402"/>
        </w:trPr>
        <w:tc>
          <w:tcPr>
            <w:tcW w:w="1179" w:type="dxa"/>
            <w:gridSpan w:val="2"/>
            <w:tcBorders>
              <w:top w:val="nil"/>
              <w:left w:val="single" w:sz="8" w:space="0" w:color="auto"/>
              <w:bottom w:val="single" w:sz="8"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c>
          <w:tcPr>
            <w:tcW w:w="960" w:type="dxa"/>
            <w:gridSpan w:val="2"/>
            <w:tcBorders>
              <w:top w:val="nil"/>
              <w:left w:val="nil"/>
              <w:bottom w:val="single" w:sz="8" w:space="0" w:color="auto"/>
              <w:right w:val="single" w:sz="4" w:space="0" w:color="auto"/>
            </w:tcBorders>
            <w:shd w:val="clear" w:color="auto" w:fill="auto"/>
            <w:vAlign w:val="center"/>
            <w:hideMark/>
          </w:tcPr>
          <w:p w:rsidR="006F5532" w:rsidRPr="00FA667B" w:rsidRDefault="006F5532" w:rsidP="00FA667B">
            <w:pPr>
              <w:jc w:val="both"/>
              <w:rPr>
                <w:color w:val="000000"/>
              </w:rPr>
            </w:pPr>
            <w:r w:rsidRPr="00FA667B">
              <w:rPr>
                <w:color w:val="000000"/>
              </w:rPr>
              <w:t>90,6%</w:t>
            </w:r>
          </w:p>
        </w:tc>
        <w:tc>
          <w:tcPr>
            <w:tcW w:w="960" w:type="dxa"/>
            <w:tcBorders>
              <w:top w:val="nil"/>
              <w:left w:val="nil"/>
              <w:bottom w:val="single" w:sz="8" w:space="0" w:color="auto"/>
              <w:right w:val="nil"/>
            </w:tcBorders>
            <w:shd w:val="clear" w:color="auto" w:fill="auto"/>
            <w:vAlign w:val="center"/>
            <w:hideMark/>
          </w:tcPr>
          <w:p w:rsidR="006F5532" w:rsidRPr="00FA667B" w:rsidRDefault="006F5532" w:rsidP="00FA667B">
            <w:pPr>
              <w:jc w:val="both"/>
              <w:rPr>
                <w:color w:val="000000"/>
              </w:rPr>
            </w:pPr>
            <w:r w:rsidRPr="00FA667B">
              <w:rPr>
                <w:color w:val="000000"/>
              </w:rPr>
              <w:t>9,40%</w:t>
            </w:r>
          </w:p>
        </w:tc>
        <w:tc>
          <w:tcPr>
            <w:tcW w:w="960" w:type="dxa"/>
            <w:tcBorders>
              <w:top w:val="nil"/>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r>
      <w:tr w:rsidR="006F5532" w:rsidRPr="00FA667B" w:rsidTr="00C87EC0">
        <w:trPr>
          <w:trHeight w:val="402"/>
        </w:trPr>
        <w:tc>
          <w:tcPr>
            <w:tcW w:w="1179" w:type="dxa"/>
            <w:gridSpan w:val="2"/>
            <w:tcBorders>
              <w:top w:val="nil"/>
              <w:left w:val="single" w:sz="8" w:space="0" w:color="auto"/>
              <w:bottom w:val="single" w:sz="4"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LPE</w:t>
            </w:r>
          </w:p>
        </w:tc>
        <w:tc>
          <w:tcPr>
            <w:tcW w:w="960" w:type="dxa"/>
            <w:gridSpan w:val="2"/>
            <w:tcBorders>
              <w:top w:val="nil"/>
              <w:left w:val="nil"/>
              <w:bottom w:val="single" w:sz="4" w:space="0" w:color="auto"/>
              <w:right w:val="single" w:sz="4" w:space="0" w:color="auto"/>
            </w:tcBorders>
            <w:shd w:val="clear" w:color="auto" w:fill="auto"/>
            <w:vAlign w:val="center"/>
            <w:hideMark/>
          </w:tcPr>
          <w:p w:rsidR="006F5532" w:rsidRPr="00FA667B" w:rsidRDefault="00C87EC0" w:rsidP="00FA667B">
            <w:pPr>
              <w:jc w:val="both"/>
              <w:rPr>
                <w:color w:val="000000"/>
              </w:rPr>
            </w:pPr>
            <w:r>
              <w:rPr>
                <w:color w:val="000000"/>
              </w:rPr>
              <w:t>47</w:t>
            </w:r>
          </w:p>
        </w:tc>
        <w:tc>
          <w:tcPr>
            <w:tcW w:w="960" w:type="dxa"/>
            <w:tcBorders>
              <w:top w:val="nil"/>
              <w:left w:val="nil"/>
              <w:bottom w:val="single" w:sz="4" w:space="0" w:color="auto"/>
              <w:right w:val="nil"/>
            </w:tcBorders>
            <w:shd w:val="clear" w:color="auto" w:fill="auto"/>
            <w:vAlign w:val="center"/>
            <w:hideMark/>
          </w:tcPr>
          <w:p w:rsidR="006F5532" w:rsidRPr="00FA667B" w:rsidRDefault="006F5532" w:rsidP="00FA667B">
            <w:pPr>
              <w:jc w:val="both"/>
              <w:rPr>
                <w:color w:val="000000"/>
              </w:rPr>
            </w:pPr>
            <w:r w:rsidRPr="00FA667B">
              <w:rPr>
                <w:color w:val="000000"/>
              </w:rPr>
              <w:t>2</w:t>
            </w:r>
          </w:p>
        </w:tc>
        <w:tc>
          <w:tcPr>
            <w:tcW w:w="960" w:type="dxa"/>
            <w:tcBorders>
              <w:top w:val="nil"/>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0,003</w:t>
            </w:r>
          </w:p>
        </w:tc>
      </w:tr>
      <w:tr w:rsidR="006F5532" w:rsidRPr="00FA667B" w:rsidTr="00C87EC0">
        <w:trPr>
          <w:trHeight w:val="402"/>
        </w:trPr>
        <w:tc>
          <w:tcPr>
            <w:tcW w:w="1179" w:type="dxa"/>
            <w:gridSpan w:val="2"/>
            <w:tcBorders>
              <w:top w:val="nil"/>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c>
          <w:tcPr>
            <w:tcW w:w="960" w:type="dxa"/>
            <w:gridSpan w:val="2"/>
            <w:tcBorders>
              <w:top w:val="nil"/>
              <w:left w:val="nil"/>
              <w:bottom w:val="nil"/>
              <w:right w:val="single" w:sz="4" w:space="0" w:color="auto"/>
            </w:tcBorders>
            <w:shd w:val="clear" w:color="auto" w:fill="auto"/>
            <w:vAlign w:val="center"/>
            <w:hideMark/>
          </w:tcPr>
          <w:p w:rsidR="006F5532" w:rsidRPr="00FA667B" w:rsidRDefault="006F5532" w:rsidP="00FA667B">
            <w:pPr>
              <w:jc w:val="both"/>
              <w:rPr>
                <w:color w:val="000000"/>
              </w:rPr>
            </w:pPr>
            <w:r w:rsidRPr="00FA667B">
              <w:rPr>
                <w:color w:val="000000"/>
              </w:rPr>
              <w:t>95,7%</w:t>
            </w:r>
          </w:p>
        </w:tc>
        <w:tc>
          <w:tcPr>
            <w:tcW w:w="960" w:type="dxa"/>
            <w:tcBorders>
              <w:top w:val="nil"/>
              <w:left w:val="nil"/>
              <w:bottom w:val="nil"/>
              <w:right w:val="nil"/>
            </w:tcBorders>
            <w:shd w:val="clear" w:color="auto" w:fill="auto"/>
            <w:vAlign w:val="center"/>
            <w:hideMark/>
          </w:tcPr>
          <w:p w:rsidR="006F5532" w:rsidRPr="00FA667B" w:rsidRDefault="006F5532" w:rsidP="00FA667B">
            <w:pPr>
              <w:jc w:val="both"/>
              <w:rPr>
                <w:color w:val="000000"/>
              </w:rPr>
            </w:pPr>
            <w:r w:rsidRPr="00FA667B">
              <w:rPr>
                <w:color w:val="000000"/>
              </w:rPr>
              <w:t>4,30%</w:t>
            </w:r>
          </w:p>
        </w:tc>
        <w:tc>
          <w:tcPr>
            <w:tcW w:w="960" w:type="dxa"/>
            <w:tcBorders>
              <w:top w:val="nil"/>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r>
      <w:tr w:rsidR="006F5532" w:rsidRPr="00FA667B" w:rsidTr="00C87EC0">
        <w:trPr>
          <w:trHeight w:val="402"/>
        </w:trPr>
        <w:tc>
          <w:tcPr>
            <w:tcW w:w="1179" w:type="dxa"/>
            <w:gridSpan w:val="2"/>
            <w:tcBorders>
              <w:top w:val="single" w:sz="8" w:space="0" w:color="auto"/>
              <w:left w:val="single" w:sz="8" w:space="0" w:color="auto"/>
              <w:bottom w:val="single" w:sz="4"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TPE</w:t>
            </w:r>
          </w:p>
        </w:tc>
        <w:tc>
          <w:tcPr>
            <w:tcW w:w="960" w:type="dxa"/>
            <w:gridSpan w:val="2"/>
            <w:tcBorders>
              <w:top w:val="single" w:sz="8" w:space="0" w:color="auto"/>
              <w:left w:val="nil"/>
              <w:bottom w:val="single" w:sz="4" w:space="0" w:color="auto"/>
              <w:right w:val="single" w:sz="4" w:space="0" w:color="auto"/>
            </w:tcBorders>
            <w:shd w:val="clear" w:color="auto" w:fill="auto"/>
            <w:vAlign w:val="center"/>
            <w:hideMark/>
          </w:tcPr>
          <w:p w:rsidR="006F5532" w:rsidRPr="00FA667B" w:rsidRDefault="00C87EC0" w:rsidP="00FA667B">
            <w:pPr>
              <w:jc w:val="both"/>
              <w:rPr>
                <w:color w:val="000000"/>
              </w:rPr>
            </w:pPr>
            <w:r>
              <w:rPr>
                <w:color w:val="000000"/>
              </w:rPr>
              <w:t>19</w:t>
            </w:r>
          </w:p>
        </w:tc>
        <w:tc>
          <w:tcPr>
            <w:tcW w:w="960" w:type="dxa"/>
            <w:tcBorders>
              <w:top w:val="single" w:sz="8" w:space="0" w:color="auto"/>
              <w:left w:val="nil"/>
              <w:bottom w:val="single" w:sz="4" w:space="0" w:color="auto"/>
              <w:right w:val="nil"/>
            </w:tcBorders>
            <w:shd w:val="clear" w:color="auto" w:fill="auto"/>
            <w:vAlign w:val="center"/>
            <w:hideMark/>
          </w:tcPr>
          <w:p w:rsidR="006F5532" w:rsidRPr="00FA667B" w:rsidRDefault="006F5532" w:rsidP="00FA667B">
            <w:pPr>
              <w:jc w:val="both"/>
              <w:rPr>
                <w:color w:val="000000"/>
              </w:rPr>
            </w:pPr>
            <w:r w:rsidRPr="00FA667B">
              <w:rPr>
                <w:color w:val="000000"/>
              </w:rPr>
              <w:t>1</w:t>
            </w:r>
          </w:p>
        </w:tc>
        <w:tc>
          <w:tcPr>
            <w:tcW w:w="960" w:type="dxa"/>
            <w:tcBorders>
              <w:top w:val="nil"/>
              <w:left w:val="single" w:sz="8" w:space="0" w:color="auto"/>
              <w:bottom w:val="nil"/>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r>
      <w:tr w:rsidR="006F5532" w:rsidRPr="00FA667B" w:rsidTr="00C87EC0">
        <w:trPr>
          <w:trHeight w:val="402"/>
        </w:trPr>
        <w:tc>
          <w:tcPr>
            <w:tcW w:w="1179" w:type="dxa"/>
            <w:gridSpan w:val="2"/>
            <w:tcBorders>
              <w:top w:val="nil"/>
              <w:left w:val="single" w:sz="8" w:space="0" w:color="auto"/>
              <w:bottom w:val="single" w:sz="8"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c>
          <w:tcPr>
            <w:tcW w:w="960" w:type="dxa"/>
            <w:gridSpan w:val="2"/>
            <w:tcBorders>
              <w:top w:val="nil"/>
              <w:left w:val="nil"/>
              <w:bottom w:val="single" w:sz="8" w:space="0" w:color="auto"/>
              <w:right w:val="single" w:sz="4" w:space="0" w:color="auto"/>
            </w:tcBorders>
            <w:shd w:val="clear" w:color="auto" w:fill="auto"/>
            <w:vAlign w:val="center"/>
            <w:hideMark/>
          </w:tcPr>
          <w:p w:rsidR="006F5532" w:rsidRPr="00FA667B" w:rsidRDefault="006F5532" w:rsidP="00FA667B">
            <w:pPr>
              <w:jc w:val="both"/>
              <w:rPr>
                <w:color w:val="000000"/>
              </w:rPr>
            </w:pPr>
            <w:r w:rsidRPr="00FA667B">
              <w:rPr>
                <w:color w:val="000000"/>
              </w:rPr>
              <w:t>94,70%</w:t>
            </w:r>
          </w:p>
        </w:tc>
        <w:tc>
          <w:tcPr>
            <w:tcW w:w="960" w:type="dxa"/>
            <w:tcBorders>
              <w:top w:val="nil"/>
              <w:left w:val="nil"/>
              <w:bottom w:val="single" w:sz="8" w:space="0" w:color="auto"/>
              <w:right w:val="nil"/>
            </w:tcBorders>
            <w:shd w:val="clear" w:color="auto" w:fill="auto"/>
            <w:vAlign w:val="center"/>
            <w:hideMark/>
          </w:tcPr>
          <w:p w:rsidR="006F5532" w:rsidRPr="00FA667B" w:rsidRDefault="006F5532" w:rsidP="00FA667B">
            <w:pPr>
              <w:jc w:val="both"/>
              <w:rPr>
                <w:color w:val="000000"/>
              </w:rPr>
            </w:pPr>
            <w:r w:rsidRPr="00FA667B">
              <w:rPr>
                <w:color w:val="000000"/>
              </w:rPr>
              <w:t>5,30%</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6F5532" w:rsidRPr="00FA667B" w:rsidRDefault="006F5532" w:rsidP="00FA667B">
            <w:pPr>
              <w:jc w:val="both"/>
              <w:rPr>
                <w:color w:val="000000"/>
              </w:rPr>
            </w:pPr>
            <w:r w:rsidRPr="00FA667B">
              <w:rPr>
                <w:color w:val="000000"/>
              </w:rPr>
              <w:t> </w:t>
            </w:r>
          </w:p>
        </w:tc>
      </w:tr>
    </w:tbl>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C87EC0" w:rsidRDefault="00C87EC0" w:rsidP="00FA667B">
      <w:pPr>
        <w:spacing w:line="360" w:lineRule="auto"/>
        <w:jc w:val="both"/>
      </w:pPr>
    </w:p>
    <w:p w:rsidR="00C87EC0" w:rsidRPr="00C87EC0" w:rsidRDefault="00C87EC0" w:rsidP="00FA667B">
      <w:pPr>
        <w:spacing w:line="360" w:lineRule="auto"/>
        <w:jc w:val="both"/>
        <w:rPr>
          <w:b/>
          <w:i/>
          <w:u w:val="single"/>
        </w:rPr>
      </w:pPr>
      <w:r w:rsidRPr="00C87EC0">
        <w:rPr>
          <w:b/>
          <w:i/>
          <w:u w:val="single"/>
        </w:rPr>
        <w:t>E: Komplikace a onkologická léčba</w:t>
      </w:r>
    </w:p>
    <w:p w:rsidR="00DF12B7" w:rsidRPr="00FA667B" w:rsidRDefault="00C87EC0" w:rsidP="00FA667B">
      <w:pPr>
        <w:spacing w:line="360" w:lineRule="auto"/>
        <w:jc w:val="both"/>
      </w:pPr>
      <w:r>
        <w:t xml:space="preserve">Další otázku, </w:t>
      </w:r>
      <w:r w:rsidR="00DF12B7" w:rsidRPr="00FA667B">
        <w:t>kterou jsme se snaži</w:t>
      </w:r>
      <w:r w:rsidR="00852FCE" w:rsidRPr="00FA667B">
        <w:t>li zodpovědě</w:t>
      </w:r>
      <w:r>
        <w:t>t byla</w:t>
      </w:r>
      <w:r w:rsidR="00853DD1">
        <w:t>,</w:t>
      </w:r>
      <w:r w:rsidR="00DF12B7" w:rsidRPr="00FA667B">
        <w:t xml:space="preserve"> jakou roli hrají komplikace dle klasifikace Clavien – Dindo I-V  ke vztahu k zahájení onkologické léčby.</w:t>
      </w:r>
    </w:p>
    <w:p w:rsidR="00443081" w:rsidRPr="00FA667B" w:rsidRDefault="00443081" w:rsidP="00FA667B">
      <w:pPr>
        <w:spacing w:line="360" w:lineRule="auto"/>
        <w:jc w:val="both"/>
      </w:pPr>
      <w:r w:rsidRPr="00FA667B">
        <w:t>Z výsledků vyplý</w:t>
      </w:r>
      <w:r w:rsidR="00C87EC0">
        <w:t>vá, že 181/241</w:t>
      </w:r>
      <w:r w:rsidR="009929CD" w:rsidRPr="00FA667B">
        <w:t xml:space="preserve"> nemocných (95.5</w:t>
      </w:r>
      <w:r w:rsidRPr="00FA667B">
        <w:t xml:space="preserve">%) </w:t>
      </w:r>
      <w:r w:rsidR="00D83951">
        <w:t>bylo indikováno k onkologické</w:t>
      </w:r>
      <w:r w:rsidRPr="00FA667B">
        <w:t xml:space="preserve"> adjuvantní terapii</w:t>
      </w:r>
      <w:r w:rsidR="009929CD" w:rsidRPr="00FA667B">
        <w:t>. Z toho 98</w:t>
      </w:r>
      <w:r w:rsidR="00C87EC0">
        <w:t>/181</w:t>
      </w:r>
      <w:r w:rsidR="009929CD" w:rsidRPr="00FA667B">
        <w:t xml:space="preserve"> nemocných (54,4%) nemělo žádné pooperační komplikace a 74</w:t>
      </w:r>
      <w:r w:rsidR="00C87EC0">
        <w:t>/181</w:t>
      </w:r>
      <w:r w:rsidR="009929CD" w:rsidRPr="00FA667B">
        <w:t xml:space="preserve"> nemocných (41,1</w:t>
      </w:r>
      <w:r w:rsidR="00D83951">
        <w:t xml:space="preserve">%) mělo méně závažné komplikace. </w:t>
      </w:r>
      <w:r w:rsidRPr="00FA667B">
        <w:t>Pouze 9</w:t>
      </w:r>
      <w:r w:rsidR="00C87EC0">
        <w:t>/181 nemocných (4,9</w:t>
      </w:r>
      <w:r w:rsidRPr="00FA667B">
        <w:t>%) vzhledem k závažným komplikacím nebylo schopno podstoupit následnou onkologickou léčbu.</w:t>
      </w:r>
    </w:p>
    <w:p w:rsidR="00DF12B7" w:rsidRDefault="009E0A58" w:rsidP="00FA667B">
      <w:pPr>
        <w:spacing w:line="360" w:lineRule="auto"/>
        <w:jc w:val="both"/>
      </w:pPr>
      <w:r w:rsidRPr="00FA667B">
        <w:t>Adjuvanntí onkologická léčba nebyla podána 33</w:t>
      </w:r>
      <w:r w:rsidR="000C0986">
        <w:t>/181</w:t>
      </w:r>
      <w:r w:rsidRPr="00FA667B">
        <w:t xml:space="preserve"> (13,7%) nemocných, ať již z důvodu pooperačních komplikací </w:t>
      </w:r>
      <w:r w:rsidR="00D83951">
        <w:t xml:space="preserve">9/181 </w:t>
      </w:r>
      <w:r w:rsidRPr="00FA667B">
        <w:t>nebo odmítnutím následné léčby</w:t>
      </w:r>
      <w:r w:rsidR="00D83951">
        <w:t xml:space="preserve"> 24/181</w:t>
      </w:r>
      <w:r w:rsidRPr="00FA667B">
        <w:t xml:space="preserve">. </w:t>
      </w:r>
    </w:p>
    <w:p w:rsidR="00D83951" w:rsidRPr="00FA667B" w:rsidRDefault="00D83951" w:rsidP="00FA667B">
      <w:pPr>
        <w:spacing w:line="360" w:lineRule="auto"/>
        <w:jc w:val="both"/>
      </w:pPr>
    </w:p>
    <w:p w:rsidR="00DF12B7" w:rsidRPr="00FA667B" w:rsidRDefault="00601A03" w:rsidP="00FA667B">
      <w:pPr>
        <w:spacing w:line="360" w:lineRule="auto"/>
        <w:jc w:val="both"/>
      </w:pPr>
      <w:r w:rsidRPr="00FA667B">
        <w:t>Tab.č. 16</w:t>
      </w:r>
      <w:r w:rsidR="00DF12B7" w:rsidRPr="00FA667B">
        <w:t>. Vztah mezi pooperačními komplikacemi a aplikací adjuvantní onkologické terapie</w:t>
      </w:r>
    </w:p>
    <w:tbl>
      <w:tblPr>
        <w:tblW w:w="7840" w:type="dxa"/>
        <w:jc w:val="center"/>
        <w:tblCellMar>
          <w:left w:w="70" w:type="dxa"/>
          <w:right w:w="70" w:type="dxa"/>
        </w:tblCellMar>
        <w:tblLook w:val="04A0" w:firstRow="1" w:lastRow="0" w:firstColumn="1" w:lastColumn="0" w:noHBand="0" w:noVBand="1"/>
      </w:tblPr>
      <w:tblGrid>
        <w:gridCol w:w="2700"/>
        <w:gridCol w:w="3220"/>
        <w:gridCol w:w="960"/>
        <w:gridCol w:w="960"/>
      </w:tblGrid>
      <w:tr w:rsidR="009E0A58" w:rsidRPr="00FA667B" w:rsidTr="000C0986">
        <w:trPr>
          <w:trHeight w:val="600"/>
          <w:jc w:val="center"/>
        </w:trPr>
        <w:tc>
          <w:tcPr>
            <w:tcW w:w="2700" w:type="dxa"/>
            <w:tcBorders>
              <w:top w:val="single" w:sz="8" w:space="0" w:color="auto"/>
              <w:left w:val="single" w:sz="8" w:space="0" w:color="auto"/>
              <w:bottom w:val="nil"/>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 xml:space="preserve">Adjuvantní léčba ANO </w:t>
            </w:r>
          </w:p>
        </w:tc>
        <w:tc>
          <w:tcPr>
            <w:tcW w:w="3220" w:type="dxa"/>
            <w:tcBorders>
              <w:top w:val="single" w:sz="8" w:space="0" w:color="auto"/>
              <w:left w:val="nil"/>
              <w:bottom w:val="double" w:sz="6" w:space="0" w:color="auto"/>
              <w:right w:val="nil"/>
            </w:tcBorders>
            <w:shd w:val="clear" w:color="auto" w:fill="auto"/>
            <w:vAlign w:val="center"/>
            <w:hideMark/>
          </w:tcPr>
          <w:p w:rsidR="009E0A58" w:rsidRPr="00FA667B" w:rsidRDefault="009E0A58" w:rsidP="00FA667B">
            <w:pPr>
              <w:jc w:val="both"/>
              <w:rPr>
                <w:color w:val="000000"/>
              </w:rPr>
            </w:pPr>
            <w:r w:rsidRPr="00FA667B">
              <w:rPr>
                <w:color w:val="000000"/>
              </w:rPr>
              <w:t>celkem</w:t>
            </w:r>
          </w:p>
        </w:tc>
        <w:tc>
          <w:tcPr>
            <w:tcW w:w="960" w:type="dxa"/>
            <w:tcBorders>
              <w:top w:val="single" w:sz="8" w:space="0" w:color="auto"/>
              <w:left w:val="single" w:sz="8" w:space="0" w:color="auto"/>
              <w:bottom w:val="double" w:sz="6"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181</w:t>
            </w:r>
          </w:p>
        </w:tc>
        <w:tc>
          <w:tcPr>
            <w:tcW w:w="960" w:type="dxa"/>
            <w:tcBorders>
              <w:top w:val="single" w:sz="8" w:space="0" w:color="auto"/>
              <w:left w:val="nil"/>
              <w:bottom w:val="double" w:sz="6"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75,1%</w:t>
            </w:r>
          </w:p>
        </w:tc>
      </w:tr>
      <w:tr w:rsidR="009E0A58" w:rsidRPr="00FA667B" w:rsidTr="000C0986">
        <w:trPr>
          <w:trHeight w:val="600"/>
          <w:jc w:val="center"/>
        </w:trPr>
        <w:tc>
          <w:tcPr>
            <w:tcW w:w="2700" w:type="dxa"/>
            <w:tcBorders>
              <w:top w:val="nil"/>
              <w:left w:val="single" w:sz="8" w:space="0" w:color="auto"/>
              <w:bottom w:val="nil"/>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 </w:t>
            </w:r>
          </w:p>
        </w:tc>
        <w:tc>
          <w:tcPr>
            <w:tcW w:w="3220" w:type="dxa"/>
            <w:tcBorders>
              <w:top w:val="nil"/>
              <w:left w:val="nil"/>
              <w:bottom w:val="single" w:sz="4" w:space="0" w:color="auto"/>
              <w:right w:val="nil"/>
            </w:tcBorders>
            <w:shd w:val="clear" w:color="auto" w:fill="auto"/>
            <w:vAlign w:val="center"/>
            <w:hideMark/>
          </w:tcPr>
          <w:p w:rsidR="009E0A58" w:rsidRPr="00FA667B" w:rsidRDefault="009E0A58" w:rsidP="00FA667B">
            <w:pPr>
              <w:jc w:val="both"/>
              <w:rPr>
                <w:color w:val="000000"/>
              </w:rPr>
            </w:pPr>
            <w:r w:rsidRPr="00FA667B">
              <w:rPr>
                <w:color w:val="000000"/>
              </w:rPr>
              <w:t>bez pooperačních komplikací</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98</w:t>
            </w:r>
          </w:p>
        </w:tc>
        <w:tc>
          <w:tcPr>
            <w:tcW w:w="960" w:type="dxa"/>
            <w:tcBorders>
              <w:top w:val="nil"/>
              <w:left w:val="nil"/>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54,1%</w:t>
            </w:r>
          </w:p>
        </w:tc>
      </w:tr>
      <w:tr w:rsidR="009E0A58" w:rsidRPr="00FA667B" w:rsidTr="000C0986">
        <w:trPr>
          <w:trHeight w:val="600"/>
          <w:jc w:val="center"/>
        </w:trPr>
        <w:tc>
          <w:tcPr>
            <w:tcW w:w="2700" w:type="dxa"/>
            <w:tcBorders>
              <w:top w:val="nil"/>
              <w:left w:val="single" w:sz="8" w:space="0" w:color="auto"/>
              <w:bottom w:val="nil"/>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 </w:t>
            </w:r>
          </w:p>
        </w:tc>
        <w:tc>
          <w:tcPr>
            <w:tcW w:w="3220" w:type="dxa"/>
            <w:tcBorders>
              <w:top w:val="nil"/>
              <w:left w:val="nil"/>
              <w:bottom w:val="single" w:sz="4" w:space="0" w:color="auto"/>
              <w:right w:val="nil"/>
            </w:tcBorders>
            <w:shd w:val="clear" w:color="auto" w:fill="auto"/>
            <w:vAlign w:val="center"/>
            <w:hideMark/>
          </w:tcPr>
          <w:p w:rsidR="009E0A58" w:rsidRPr="00FA667B" w:rsidRDefault="00D83951" w:rsidP="00FA667B">
            <w:pPr>
              <w:jc w:val="both"/>
              <w:rPr>
                <w:color w:val="000000"/>
              </w:rPr>
            </w:pPr>
            <w:r>
              <w:rPr>
                <w:color w:val="000000"/>
              </w:rPr>
              <w:t>Méně závažné komplikace</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74</w:t>
            </w:r>
          </w:p>
        </w:tc>
        <w:tc>
          <w:tcPr>
            <w:tcW w:w="960" w:type="dxa"/>
            <w:tcBorders>
              <w:top w:val="nil"/>
              <w:left w:val="nil"/>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40,9%</w:t>
            </w:r>
          </w:p>
        </w:tc>
      </w:tr>
      <w:tr w:rsidR="009E0A58" w:rsidRPr="00FA667B" w:rsidTr="000C0986">
        <w:trPr>
          <w:trHeight w:val="600"/>
          <w:jc w:val="center"/>
        </w:trPr>
        <w:tc>
          <w:tcPr>
            <w:tcW w:w="2700" w:type="dxa"/>
            <w:tcBorders>
              <w:top w:val="nil"/>
              <w:left w:val="single" w:sz="8" w:space="0" w:color="auto"/>
              <w:bottom w:val="nil"/>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 </w:t>
            </w:r>
          </w:p>
        </w:tc>
        <w:tc>
          <w:tcPr>
            <w:tcW w:w="3220" w:type="dxa"/>
            <w:tcBorders>
              <w:top w:val="nil"/>
              <w:left w:val="nil"/>
              <w:bottom w:val="single" w:sz="8" w:space="0" w:color="auto"/>
              <w:right w:val="nil"/>
            </w:tcBorders>
            <w:shd w:val="clear" w:color="auto" w:fill="auto"/>
            <w:vAlign w:val="center"/>
            <w:hideMark/>
          </w:tcPr>
          <w:p w:rsidR="009E0A58" w:rsidRPr="00FA667B" w:rsidRDefault="009E0A58" w:rsidP="00D83951">
            <w:pPr>
              <w:jc w:val="both"/>
              <w:rPr>
                <w:color w:val="000000"/>
              </w:rPr>
            </w:pPr>
            <w:r w:rsidRPr="00FA667B">
              <w:rPr>
                <w:color w:val="000000"/>
              </w:rPr>
              <w:t xml:space="preserve">nedokončilo pro komplikace </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9</w:t>
            </w:r>
          </w:p>
        </w:tc>
        <w:tc>
          <w:tcPr>
            <w:tcW w:w="960" w:type="dxa"/>
            <w:tcBorders>
              <w:top w:val="nil"/>
              <w:left w:val="nil"/>
              <w:bottom w:val="single" w:sz="8"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4.9%</w:t>
            </w:r>
          </w:p>
        </w:tc>
      </w:tr>
      <w:tr w:rsidR="009E0A58" w:rsidRPr="00FA667B" w:rsidTr="000C0986">
        <w:trPr>
          <w:trHeight w:val="600"/>
          <w:jc w:val="center"/>
        </w:trPr>
        <w:tc>
          <w:tcPr>
            <w:tcW w:w="2700" w:type="dxa"/>
            <w:tcBorders>
              <w:top w:val="single" w:sz="8" w:space="0" w:color="auto"/>
              <w:left w:val="single" w:sz="8" w:space="0" w:color="auto"/>
              <w:bottom w:val="nil"/>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Adjuvantní léčba NE</w:t>
            </w:r>
          </w:p>
        </w:tc>
        <w:tc>
          <w:tcPr>
            <w:tcW w:w="3220" w:type="dxa"/>
            <w:tcBorders>
              <w:top w:val="nil"/>
              <w:left w:val="nil"/>
              <w:bottom w:val="single" w:sz="4" w:space="0" w:color="auto"/>
              <w:right w:val="nil"/>
            </w:tcBorders>
            <w:shd w:val="clear" w:color="auto" w:fill="auto"/>
            <w:vAlign w:val="center"/>
            <w:hideMark/>
          </w:tcPr>
          <w:p w:rsidR="009E0A58" w:rsidRPr="00FA667B" w:rsidRDefault="009E0A58" w:rsidP="00FA667B">
            <w:pPr>
              <w:jc w:val="both"/>
              <w:rPr>
                <w:color w:val="000000"/>
              </w:rPr>
            </w:pPr>
            <w:r w:rsidRPr="00FA667B">
              <w:rPr>
                <w:color w:val="000000"/>
              </w:rPr>
              <w:t>celkem</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33</w:t>
            </w:r>
          </w:p>
        </w:tc>
        <w:tc>
          <w:tcPr>
            <w:tcW w:w="960" w:type="dxa"/>
            <w:tcBorders>
              <w:top w:val="nil"/>
              <w:left w:val="nil"/>
              <w:bottom w:val="single" w:sz="4"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13,69%</w:t>
            </w:r>
          </w:p>
        </w:tc>
      </w:tr>
      <w:tr w:rsidR="009E0A58" w:rsidRPr="00FA667B" w:rsidTr="000C0986">
        <w:trPr>
          <w:trHeight w:val="600"/>
          <w:jc w:val="center"/>
        </w:trPr>
        <w:tc>
          <w:tcPr>
            <w:tcW w:w="2700" w:type="dxa"/>
            <w:tcBorders>
              <w:top w:val="nil"/>
              <w:left w:val="single" w:sz="8" w:space="0" w:color="auto"/>
              <w:bottom w:val="single" w:sz="8"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Celkem nemocných</w:t>
            </w:r>
          </w:p>
        </w:tc>
        <w:tc>
          <w:tcPr>
            <w:tcW w:w="3220" w:type="dxa"/>
            <w:tcBorders>
              <w:top w:val="nil"/>
              <w:left w:val="nil"/>
              <w:bottom w:val="single" w:sz="8"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 </w:t>
            </w:r>
          </w:p>
        </w:tc>
        <w:tc>
          <w:tcPr>
            <w:tcW w:w="960" w:type="dxa"/>
            <w:tcBorders>
              <w:top w:val="nil"/>
              <w:left w:val="nil"/>
              <w:bottom w:val="single" w:sz="8" w:space="0" w:color="auto"/>
              <w:right w:val="nil"/>
            </w:tcBorders>
            <w:shd w:val="clear" w:color="auto" w:fill="auto"/>
            <w:vAlign w:val="center"/>
            <w:hideMark/>
          </w:tcPr>
          <w:p w:rsidR="009E0A58" w:rsidRPr="00FA667B" w:rsidRDefault="009E0A58" w:rsidP="00FA667B">
            <w:pPr>
              <w:jc w:val="both"/>
              <w:rPr>
                <w:color w:val="000000"/>
              </w:rPr>
            </w:pPr>
            <w:r w:rsidRPr="00FA667B">
              <w:rPr>
                <w:color w:val="000000"/>
              </w:rPr>
              <w:t>241</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9E0A58" w:rsidRPr="00FA667B" w:rsidRDefault="009E0A58" w:rsidP="00FA667B">
            <w:pPr>
              <w:jc w:val="both"/>
              <w:rPr>
                <w:color w:val="000000"/>
              </w:rPr>
            </w:pPr>
            <w:r w:rsidRPr="00FA667B">
              <w:rPr>
                <w:color w:val="000000"/>
              </w:rPr>
              <w:t>100%</w:t>
            </w:r>
          </w:p>
        </w:tc>
      </w:tr>
    </w:tbl>
    <w:p w:rsidR="00DF12B7" w:rsidRPr="00FA667B" w:rsidRDefault="00DF12B7" w:rsidP="00FA667B">
      <w:pPr>
        <w:spacing w:line="360" w:lineRule="auto"/>
        <w:jc w:val="both"/>
      </w:pPr>
    </w:p>
    <w:p w:rsidR="00DF12B7" w:rsidRPr="00FA667B" w:rsidRDefault="00DF12B7" w:rsidP="00FA667B">
      <w:pPr>
        <w:spacing w:line="360" w:lineRule="auto"/>
        <w:jc w:val="both"/>
      </w:pPr>
      <w:r w:rsidRPr="00FA667B">
        <w:lastRenderedPageBreak/>
        <w:t>Z našeho souboru pacientů jsme dále prokázali, že není</w:t>
      </w:r>
      <w:r w:rsidR="000C0986">
        <w:t xml:space="preserve"> statisticky</w:t>
      </w:r>
      <w:r w:rsidRPr="00FA667B">
        <w:t xml:space="preserve"> signifikantní rozdíl v přežívání (p=0,196) mezi nemocnými, kteří po radikálním chirurgickém výkonu podstoupili onkologickou adjuvantní terapii a těmi, kteří ji nepodstoupili</w:t>
      </w:r>
      <w:r w:rsidR="00AE260D" w:rsidRPr="00FA667B">
        <w:t xml:space="preserve"> z důvodu pooperačních komplikací</w:t>
      </w:r>
      <w:r w:rsidRPr="00FA667B">
        <w:t>.</w:t>
      </w:r>
      <w:r w:rsidR="00443081" w:rsidRPr="00FA667B">
        <w:t xml:space="preserve"> </w:t>
      </w:r>
      <w:r w:rsidR="000C0986">
        <w:t xml:space="preserve">I přestože nám nevyšel statisticky signifikatní výsledek, ze zkušeností víme, že podání adjuvantní léčby pozitivně ovlivňuje prodloužení doby přežívání.  </w:t>
      </w:r>
      <w:r w:rsidR="00443081" w:rsidRPr="00FA667B">
        <w:t>Viz- graf č.1</w:t>
      </w:r>
    </w:p>
    <w:p w:rsidR="00876D52" w:rsidRDefault="00876D52" w:rsidP="00FA667B">
      <w:pPr>
        <w:spacing w:line="360" w:lineRule="auto"/>
        <w:jc w:val="both"/>
      </w:pPr>
    </w:p>
    <w:p w:rsidR="00443081" w:rsidRPr="00FA667B" w:rsidRDefault="00601A03" w:rsidP="00FA667B">
      <w:pPr>
        <w:spacing w:line="360" w:lineRule="auto"/>
        <w:jc w:val="both"/>
      </w:pPr>
      <w:r w:rsidRPr="00FA667B">
        <w:t>Graf.č. 1.</w:t>
      </w:r>
      <w:r w:rsidR="00443081" w:rsidRPr="00FA667B">
        <w:t xml:space="preserve"> Kaplan-Meier křivka, celkové přežívání ve vztahu k podání adjuvantní terapii. Rozdíl mezi nemocnými, kteří ji podstoupili a těmi, kteří ji nepodstoupili</w:t>
      </w:r>
    </w:p>
    <w:p w:rsidR="00DF12B7" w:rsidRPr="00FA667B" w:rsidRDefault="00497DBD" w:rsidP="00FA667B">
      <w:pPr>
        <w:spacing w:line="360" w:lineRule="auto"/>
        <w:jc w:val="both"/>
      </w:pPr>
      <w:r>
        <w:rPr>
          <w:noProof/>
        </w:rPr>
        <w:drawing>
          <wp:anchor distT="0" distB="0" distL="114300" distR="114300" simplePos="0" relativeHeight="251672064" behindDoc="0" locked="0" layoutInCell="1" allowOverlap="1">
            <wp:simplePos x="0" y="0"/>
            <wp:positionH relativeFrom="column">
              <wp:posOffset>685800</wp:posOffset>
            </wp:positionH>
            <wp:positionV relativeFrom="paragraph">
              <wp:posOffset>213360</wp:posOffset>
            </wp:positionV>
            <wp:extent cx="4448175" cy="3743325"/>
            <wp:effectExtent l="0" t="0" r="9525" b="9525"/>
            <wp:wrapSquare wrapText="bothSides"/>
            <wp:docPr id="3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8175" cy="3743325"/>
                    </a:xfrm>
                    <a:prstGeom prst="rect">
                      <a:avLst/>
                    </a:prstGeom>
                    <a:noFill/>
                  </pic:spPr>
                </pic:pic>
              </a:graphicData>
            </a:graphic>
            <wp14:sizeRelH relativeFrom="page">
              <wp14:pctWidth>0</wp14:pctWidth>
            </wp14:sizeRelH>
            <wp14:sizeRelV relativeFrom="page">
              <wp14:pctHeight>0</wp14:pctHeight>
            </wp14:sizeRelV>
          </wp:anchor>
        </w:drawing>
      </w: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p>
    <w:p w:rsidR="00DF12B7" w:rsidRPr="00FA667B" w:rsidRDefault="00DF12B7" w:rsidP="00FA667B">
      <w:pPr>
        <w:spacing w:line="360" w:lineRule="auto"/>
        <w:jc w:val="both"/>
      </w:pPr>
      <w:r w:rsidRPr="00FA667B">
        <w:t xml:space="preserve">Při srovnání obou skupin, tedy v období 2012-2013 vs. 2014-2019, stran podání onkologické adjuvantní terapie </w:t>
      </w:r>
      <w:r w:rsidR="00AE260D" w:rsidRPr="00FA667B">
        <w:t xml:space="preserve">ve vztahu s pooperačními komplikacemi </w:t>
      </w:r>
      <w:r w:rsidRPr="00FA667B">
        <w:t>jsme nezjistili signifikantní rozdíl v procentu podání adjuvantní léčby (p=0,151).</w:t>
      </w:r>
    </w:p>
    <w:p w:rsidR="0046384D" w:rsidRPr="00FA667B" w:rsidRDefault="0046384D" w:rsidP="00FA667B">
      <w:pPr>
        <w:spacing w:line="360" w:lineRule="auto"/>
        <w:jc w:val="both"/>
      </w:pPr>
    </w:p>
    <w:p w:rsidR="006002F1" w:rsidRPr="00FA667B" w:rsidRDefault="006002F1" w:rsidP="00FA667B">
      <w:pPr>
        <w:spacing w:line="360" w:lineRule="auto"/>
        <w:jc w:val="both"/>
      </w:pPr>
      <w:r w:rsidRPr="00FA667B">
        <w:t>V našem souboru byla průměrná doba přežívání pacientů 31 měsíců. Medián přežívání byl 24,2 měsíců. Doba přežívání je znázorněna pomocí Kaplan-Meierovy křivk</w:t>
      </w:r>
      <w:r w:rsidR="00443081" w:rsidRPr="00FA667B">
        <w:t>y, viz.graf.č.2</w:t>
      </w:r>
    </w:p>
    <w:p w:rsidR="00443081" w:rsidRPr="00FA667B" w:rsidRDefault="00443081"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6002F1" w:rsidRPr="00FA667B" w:rsidRDefault="00601A03" w:rsidP="00FA667B">
      <w:pPr>
        <w:spacing w:line="360" w:lineRule="auto"/>
        <w:jc w:val="both"/>
      </w:pPr>
      <w:r w:rsidRPr="00FA667B">
        <w:lastRenderedPageBreak/>
        <w:t>Graf. č.2.</w:t>
      </w:r>
      <w:r w:rsidR="006002F1" w:rsidRPr="00FA667B">
        <w:t xml:space="preserve"> Kaplan-Meierova křivka přežívání u všech pacientů operovaných pro adenokarcinom pankreatu</w:t>
      </w:r>
    </w:p>
    <w:p w:rsidR="006002F1" w:rsidRPr="00FA667B" w:rsidRDefault="00497DBD" w:rsidP="000C0986">
      <w:pPr>
        <w:spacing w:line="360" w:lineRule="auto"/>
        <w:jc w:val="center"/>
        <w:rPr>
          <w:noProof/>
        </w:rPr>
      </w:pPr>
      <w:r>
        <w:rPr>
          <w:noProof/>
        </w:rPr>
        <w:drawing>
          <wp:inline distT="0" distB="0" distL="0" distR="0">
            <wp:extent cx="4143375" cy="3333750"/>
            <wp:effectExtent l="0" t="0" r="952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6002F1" w:rsidRPr="00FA667B" w:rsidRDefault="006002F1" w:rsidP="00FA667B">
      <w:pPr>
        <w:spacing w:line="360" w:lineRule="auto"/>
        <w:jc w:val="both"/>
        <w:rPr>
          <w:noProof/>
        </w:rPr>
      </w:pPr>
    </w:p>
    <w:p w:rsidR="006002F1" w:rsidRPr="00FA667B" w:rsidRDefault="006002F1" w:rsidP="00FA667B">
      <w:pPr>
        <w:spacing w:line="360" w:lineRule="auto"/>
        <w:jc w:val="both"/>
      </w:pPr>
      <w:r w:rsidRPr="00FA667B">
        <w:rPr>
          <w:noProof/>
        </w:rPr>
        <w:t xml:space="preserve">Při srovnání souboru nemocných s adenokarcinomem pankreatu podle Long-rank testu nebyl prokázán </w:t>
      </w:r>
      <w:r w:rsidRPr="00FA667B">
        <w:t>signifikantní rozdíl v přežívání mezi pacienty, kteří podstoupili pankreatoduodenektomii, levostrannou pankreatektomii se splenektomií nebo totální pankreatektomii (p = 0,982). Z toho můžeme hodnotit, že diagnóza adenokarcinomu pankreatu má špatnou prognózu bez ohledu na lokalizaci nádoru. Grafické znázorní přežívání ve vztahu k</w:t>
      </w:r>
      <w:r w:rsidR="00443081" w:rsidRPr="00FA667B">
        <w:t> výkonu je zobrazen v grafu č.3.</w:t>
      </w:r>
    </w:p>
    <w:p w:rsidR="00443081" w:rsidRPr="00FA667B" w:rsidRDefault="00443081"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11596E" w:rsidRPr="00FA667B" w:rsidRDefault="0011596E" w:rsidP="00FA667B">
      <w:pPr>
        <w:spacing w:line="360" w:lineRule="auto"/>
        <w:jc w:val="both"/>
      </w:pPr>
    </w:p>
    <w:p w:rsidR="006002F1" w:rsidRPr="00FA667B" w:rsidRDefault="00601A03" w:rsidP="00FA667B">
      <w:pPr>
        <w:spacing w:line="360" w:lineRule="auto"/>
        <w:jc w:val="both"/>
      </w:pPr>
      <w:r w:rsidRPr="00FA667B">
        <w:lastRenderedPageBreak/>
        <w:t>Graf č.3</w:t>
      </w:r>
      <w:r w:rsidR="006002F1" w:rsidRPr="00FA667B">
        <w:t>. Kaplan-Meierova křivka přežívání podle typu výkonu (DPE, LPE, TPE)</w:t>
      </w:r>
    </w:p>
    <w:p w:rsidR="006002F1" w:rsidRPr="00FA667B" w:rsidRDefault="00497DBD" w:rsidP="000C0986">
      <w:pPr>
        <w:spacing w:line="360" w:lineRule="auto"/>
        <w:jc w:val="center"/>
        <w:rPr>
          <w:noProof/>
        </w:rPr>
      </w:pPr>
      <w:r>
        <w:rPr>
          <w:noProof/>
        </w:rPr>
        <w:drawing>
          <wp:inline distT="0" distB="0" distL="0" distR="0">
            <wp:extent cx="4143375" cy="3333750"/>
            <wp:effectExtent l="0" t="0" r="9525"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6002F1" w:rsidRPr="00FA667B" w:rsidRDefault="006002F1" w:rsidP="00FA667B">
      <w:pPr>
        <w:spacing w:line="360" w:lineRule="auto"/>
        <w:jc w:val="both"/>
      </w:pPr>
      <w:r w:rsidRPr="00FA667B">
        <w:t>Dalším zajímavým výsledkem na naší sestavě nemocných bylo zhodnocení doby přežívání v závislosti na závažnosti komplikací. Nebyl prokázán signifikantní rozdíl v přežívání mezi pacienty s různým stupněm komplikací hodnocených d</w:t>
      </w:r>
      <w:r w:rsidR="0011596E" w:rsidRPr="00FA667B">
        <w:t xml:space="preserve">le Clavien-Dindo klasifikace </w:t>
      </w:r>
      <w:r w:rsidRPr="00FA667B">
        <w:t>I-II, III-V (p = 0,323).</w:t>
      </w:r>
    </w:p>
    <w:p w:rsidR="0011596E" w:rsidRPr="00FA667B" w:rsidRDefault="0011596E" w:rsidP="00FA667B">
      <w:pPr>
        <w:spacing w:line="360" w:lineRule="auto"/>
        <w:jc w:val="both"/>
      </w:pPr>
    </w:p>
    <w:p w:rsidR="006002F1" w:rsidRPr="00FA667B" w:rsidRDefault="00601A03" w:rsidP="00FA667B">
      <w:pPr>
        <w:spacing w:line="360" w:lineRule="auto"/>
        <w:jc w:val="both"/>
      </w:pPr>
      <w:r w:rsidRPr="00FA667B">
        <w:t>Graf.č.4.</w:t>
      </w:r>
      <w:r w:rsidR="006002F1" w:rsidRPr="00FA667B">
        <w:t xml:space="preserve"> Kaplan-Meierova křivka přežívání všech pacientů ve vztahu komplikacím dle Clavien-Dindo klasifikace</w:t>
      </w:r>
      <w:r w:rsidR="003E493A" w:rsidRPr="00FA667B">
        <w:t xml:space="preserve"> (</w:t>
      </w:r>
      <w:r w:rsidR="00AE260D" w:rsidRPr="00FA667B">
        <w:t xml:space="preserve">I-II, III-V, </w:t>
      </w:r>
      <w:r w:rsidR="003E493A" w:rsidRPr="00FA667B">
        <w:t>p = 0,323).</w:t>
      </w:r>
    </w:p>
    <w:p w:rsidR="00D83951" w:rsidRDefault="00497DBD" w:rsidP="00D83951">
      <w:pPr>
        <w:spacing w:line="360" w:lineRule="auto"/>
        <w:jc w:val="center"/>
      </w:pPr>
      <w:r>
        <w:rPr>
          <w:b/>
          <w:noProof/>
        </w:rPr>
        <w:drawing>
          <wp:inline distT="0" distB="0" distL="0" distR="0">
            <wp:extent cx="4143375" cy="33337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6002F1" w:rsidRPr="00FA667B" w:rsidRDefault="003744AD" w:rsidP="00D83951">
      <w:pPr>
        <w:spacing w:line="360" w:lineRule="auto"/>
      </w:pPr>
      <w:r>
        <w:rPr>
          <w:b/>
          <w:u w:val="single"/>
        </w:rPr>
        <w:lastRenderedPageBreak/>
        <w:t>5</w:t>
      </w:r>
      <w:r w:rsidR="006002F1" w:rsidRPr="00FA667B">
        <w:rPr>
          <w:b/>
          <w:u w:val="single"/>
        </w:rPr>
        <w:t>.5.Diskuze</w:t>
      </w:r>
    </w:p>
    <w:p w:rsidR="006002F1" w:rsidRPr="00FA667B" w:rsidRDefault="006002F1" w:rsidP="00FA667B">
      <w:pPr>
        <w:spacing w:line="360" w:lineRule="auto"/>
        <w:jc w:val="both"/>
      </w:pPr>
    </w:p>
    <w:p w:rsidR="00442BBB" w:rsidRPr="00FA667B" w:rsidRDefault="006002F1" w:rsidP="00FA667B">
      <w:pPr>
        <w:spacing w:line="360" w:lineRule="auto"/>
        <w:jc w:val="both"/>
      </w:pPr>
      <w:r w:rsidRPr="00FA667B">
        <w:t>Adenokarcinom pankreatu je onemocnění s velmi špatnou prognózou. Je čtrnáctým nejčastějším onkologickým onemocněním a sedmou nejčas</w:t>
      </w:r>
      <w:r w:rsidR="00B033FE">
        <w:t>tější příčinou úmrtí na maligní nádor</w:t>
      </w:r>
      <w:r w:rsidRPr="00FA667B">
        <w:t xml:space="preserve"> na světě. Mezi hlavní rizikové faktory, které se podílí na vzniku adenokarcinomu pankreatu</w:t>
      </w:r>
      <w:r w:rsidR="002023F8">
        <w:t>,</w:t>
      </w:r>
      <w:r w:rsidRPr="00FA667B">
        <w:t xml:space="preserve"> jsou alkohol, kouření a obezita. Význam</w:t>
      </w:r>
      <w:r w:rsidR="00B033FE">
        <w:t>nou roli hraje i genetická dispozice</w:t>
      </w:r>
      <w:r w:rsidRPr="00FA667B">
        <w:t>. U kuřáků je až o 74% vyšší riziko vzniku PDAC a o 20% zvýšené riziko vzniku PDAC u bývalých kuřáků. V naší sestavě bylo 75 (33,9%) nemocných, kteří pravidelně kouřili. Druhým rizikovým faktorem je pravidelný abusus alkoholu. Studie ukazují, že pravidelná konzumace více jak 30g alkoholu za den má až o 15% vyšší pravděpodobnost vzniku PDAC.  V naší sestavě se ukazuje, že 25 (11,3%) nemocných bylo pravidelnými uživateli alkoholu. Vzhledem k nárůstu obezity v naší populaci se dává do souvislosti i její podíl na vzniku PDAC. Studie prokazují, že je až 10% zvýšené riziko vzniku PDAC na každých 5 jednotek BMI nad rámec normy.</w:t>
      </w:r>
      <w:r w:rsidR="002826A6" w:rsidRPr="00FA667B">
        <w:t xml:space="preserve"> [74] </w:t>
      </w:r>
      <w:r w:rsidRPr="00FA667B">
        <w:t xml:space="preserve"> </w:t>
      </w:r>
    </w:p>
    <w:p w:rsidR="006002F1" w:rsidRPr="00FA667B" w:rsidRDefault="006002F1" w:rsidP="00FA667B">
      <w:pPr>
        <w:spacing w:line="360" w:lineRule="auto"/>
        <w:jc w:val="both"/>
      </w:pPr>
      <w:r w:rsidRPr="00FA667B">
        <w:t>V našem souboru byli pacienti s BMI v průměru 25, maximum</w:t>
      </w:r>
      <w:r w:rsidR="002826A6" w:rsidRPr="00FA667B">
        <w:t xml:space="preserve"> bylo BMI 40, minimum BMI 15,2. </w:t>
      </w:r>
      <w:r w:rsidRPr="00FA667B">
        <w:t xml:space="preserve">Samozřejmě jak obezita, tak i </w:t>
      </w:r>
      <w:r w:rsidR="00B033FE">
        <w:t>malnutrice</w:t>
      </w:r>
      <w:r w:rsidRPr="00FA667B">
        <w:t xml:space="preserve"> má vliv na pooperační průběh a vznik komplikací. </w:t>
      </w:r>
      <w:r w:rsidR="00D83951">
        <w:t>V</w:t>
      </w:r>
      <w:r w:rsidR="00C871DD" w:rsidRPr="00FA667B">
        <w:t>liv hodnoty BMI na míře výskytu pooperačních komplikací</w:t>
      </w:r>
      <w:r w:rsidR="00D83951">
        <w:t xml:space="preserve">m jsme však neprokázali jako statisticky významné. </w:t>
      </w:r>
    </w:p>
    <w:p w:rsidR="00D37484" w:rsidRDefault="00D83951" w:rsidP="00FA667B">
      <w:pPr>
        <w:spacing w:line="360" w:lineRule="auto"/>
        <w:jc w:val="both"/>
      </w:pPr>
      <w:r>
        <w:t xml:space="preserve">Až v </w:t>
      </w:r>
      <w:r w:rsidR="00442BBB" w:rsidRPr="00FA667B">
        <w:t xml:space="preserve">8% případech </w:t>
      </w:r>
      <w:r>
        <w:t xml:space="preserve">se </w:t>
      </w:r>
      <w:r w:rsidR="00442BBB" w:rsidRPr="00FA667B">
        <w:t>vyskytuje u adenokarcinomu pankreatu</w:t>
      </w:r>
      <w:r>
        <w:t xml:space="preserve"> diabetes mellitus</w:t>
      </w:r>
      <w:r w:rsidR="00442BBB" w:rsidRPr="00FA667B">
        <w:t xml:space="preserve">. Příčina vzniku je nedostatečná funkce jak exokrinní, tak i endokrinní části pankreatu. V důsledku nedostatečné sekrece inzulinu vzniká hyperglykémie. U nemocných nad 50 let věku s nově diagnostikovaným DM je předpoklad, že v 1% se do 5 let u těchto nemocných objeví adenokarcinom pankreatu. DM 3c.typu je dnes dáván do souvislosti s výskytem adenokarcinomu pankreatu a je často zaměňován za DM 2.typu. </w:t>
      </w:r>
      <w:r w:rsidR="002826A6" w:rsidRPr="00FA667B">
        <w:t>[73,74]</w:t>
      </w:r>
      <w:r w:rsidR="00442BBB" w:rsidRPr="00FA667B">
        <w:t xml:space="preserve">       </w:t>
      </w:r>
    </w:p>
    <w:p w:rsidR="0011670A" w:rsidRPr="00FA667B" w:rsidRDefault="006002F1" w:rsidP="00FA667B">
      <w:pPr>
        <w:spacing w:line="360" w:lineRule="auto"/>
        <w:jc w:val="both"/>
      </w:pPr>
      <w:r w:rsidRPr="00FA667B">
        <w:t>DM</w:t>
      </w:r>
      <w:r w:rsidR="00442BBB" w:rsidRPr="00FA667B">
        <w:t xml:space="preserve"> 3c.</w:t>
      </w:r>
      <w:r w:rsidRPr="00FA667B">
        <w:t>typu, kt</w:t>
      </w:r>
      <w:r w:rsidR="00621DEE" w:rsidRPr="00FA667B">
        <w:t>erý je predispozicí pro vznik PDAC</w:t>
      </w:r>
      <w:r w:rsidR="002826A6" w:rsidRPr="00FA667B">
        <w:t xml:space="preserve"> mělo </w:t>
      </w:r>
      <w:r w:rsidR="00442BBB" w:rsidRPr="00FA667B">
        <w:t xml:space="preserve">v naší sestavě </w:t>
      </w:r>
      <w:r w:rsidR="002826A6" w:rsidRPr="00FA667B">
        <w:t xml:space="preserve">18 nemocných, tedy 7,5%. </w:t>
      </w:r>
    </w:p>
    <w:p w:rsidR="006002F1" w:rsidRPr="00FA667B" w:rsidRDefault="006002F1" w:rsidP="00FA667B">
      <w:pPr>
        <w:spacing w:line="360" w:lineRule="auto"/>
        <w:jc w:val="both"/>
        <w:rPr>
          <w:b/>
        </w:rPr>
      </w:pPr>
      <w:r w:rsidRPr="00FA667B">
        <w:rPr>
          <w:rStyle w:val="Siln"/>
          <w:b w:val="0"/>
        </w:rPr>
        <w:t>Nejzávažnější komplikací při resekčním výkonu na slinivce je vznik pankreatické pí</w:t>
      </w:r>
      <w:r w:rsidR="00D37484">
        <w:rPr>
          <w:rStyle w:val="Siln"/>
          <w:b w:val="0"/>
        </w:rPr>
        <w:t>štěle. Technika rekonstrukce pankreatijejunoanastomózy</w:t>
      </w:r>
      <w:r w:rsidRPr="00FA667B">
        <w:rPr>
          <w:rStyle w:val="Siln"/>
          <w:b w:val="0"/>
        </w:rPr>
        <w:t xml:space="preserve"> prošla dlouhým vývojem. Srovnávali se nejrůznější techniky zanoření pahýlu pankreatu a </w:t>
      </w:r>
      <w:r w:rsidR="002826A6" w:rsidRPr="00FA667B">
        <w:rPr>
          <w:rStyle w:val="Siln"/>
          <w:b w:val="0"/>
        </w:rPr>
        <w:t xml:space="preserve">jejich </w:t>
      </w:r>
      <w:r w:rsidRPr="00FA667B">
        <w:rPr>
          <w:rStyle w:val="Siln"/>
          <w:b w:val="0"/>
        </w:rPr>
        <w:t xml:space="preserve">vliv na vznik pankreatické píštěle. Podle řady studií se ukazuje, že technika </w:t>
      </w:r>
      <w:r w:rsidR="00D83951">
        <w:rPr>
          <w:rStyle w:val="Siln"/>
          <w:b w:val="0"/>
        </w:rPr>
        <w:t xml:space="preserve">současné </w:t>
      </w:r>
      <w:r w:rsidRPr="00FA667B">
        <w:rPr>
          <w:rStyle w:val="Siln"/>
          <w:b w:val="0"/>
        </w:rPr>
        <w:t>rekonstrukce PJA tzv. „duct to mucosa” má</w:t>
      </w:r>
      <w:r w:rsidR="002826A6" w:rsidRPr="00FA667B">
        <w:rPr>
          <w:rStyle w:val="Siln"/>
          <w:b w:val="0"/>
        </w:rPr>
        <w:t xml:space="preserve"> dobré výsledky a menší míru výskytu </w:t>
      </w:r>
      <w:r w:rsidR="00D37484">
        <w:rPr>
          <w:rStyle w:val="Siln"/>
          <w:b w:val="0"/>
        </w:rPr>
        <w:t>vzniku pankreatické píštěle</w:t>
      </w:r>
      <w:r w:rsidRPr="00FA667B">
        <w:rPr>
          <w:rStyle w:val="Siln"/>
          <w:b w:val="0"/>
        </w:rPr>
        <w:t>.</w:t>
      </w:r>
    </w:p>
    <w:p w:rsidR="006002F1" w:rsidRPr="00FA667B" w:rsidRDefault="006002F1" w:rsidP="00FA667B">
      <w:pPr>
        <w:spacing w:line="360" w:lineRule="auto"/>
        <w:jc w:val="both"/>
      </w:pPr>
      <w:r w:rsidRPr="00FA667B">
        <w:t>H</w:t>
      </w:r>
      <w:r w:rsidR="0011670A" w:rsidRPr="00FA667B">
        <w:t>oward et al. publikoval</w:t>
      </w:r>
      <w:r w:rsidR="00D37484">
        <w:t>i</w:t>
      </w:r>
      <w:r w:rsidRPr="00FA667B">
        <w:t xml:space="preserve"> sestavu 56-ti nemocných u kterých byla provedena PDE za použití techniky PJA end to end anastomózy právě s využitím „duct to mucosa”.  U žádného z pacientů nebyla prokázána pankreatická píštěl. Pouze u tří pacientů byla prokázána peripankreatická </w:t>
      </w:r>
      <w:r w:rsidRPr="00FA667B">
        <w:lastRenderedPageBreak/>
        <w:t xml:space="preserve">infekce způsobená lokálním leakem z anastomózy, ale bez průkazu </w:t>
      </w:r>
      <w:r w:rsidR="002826A6" w:rsidRPr="00FA667B">
        <w:t xml:space="preserve">zevní </w:t>
      </w:r>
      <w:r w:rsidRPr="00FA667B">
        <w:t xml:space="preserve">pankreatické píštěle. Procento </w:t>
      </w:r>
      <w:r w:rsidR="009B247C" w:rsidRPr="00FA667B">
        <w:t xml:space="preserve">méně závažných </w:t>
      </w:r>
      <w:r w:rsidRPr="00FA667B">
        <w:t>komplikací dosáhlo 5,4%. [74]</w:t>
      </w:r>
    </w:p>
    <w:p w:rsidR="006002F1" w:rsidRPr="00FA667B" w:rsidRDefault="00D37484" w:rsidP="00FA667B">
      <w:pPr>
        <w:spacing w:line="360" w:lineRule="auto"/>
        <w:jc w:val="both"/>
      </w:pPr>
      <w:r>
        <w:t>Ohwada et.al, který</w:t>
      </w:r>
      <w:r w:rsidR="006002F1" w:rsidRPr="00FA667B">
        <w:t xml:space="preserve"> publikoval sestavu 100 nemocných, kteří podstoupili PDE právě se  zmíněnou technikou šití PJA „duct to mucosa” end to side anastomózy. Rozdílem oproti minulé technice je, že sliznice pankreatického vývodu a sliznice jejuna byla šita pokračujícím stehem. Pankretická píštěl se objevila ve 4%. [75]</w:t>
      </w:r>
    </w:p>
    <w:p w:rsidR="006002F1" w:rsidRPr="00FA667B" w:rsidRDefault="00D37484" w:rsidP="00FA667B">
      <w:pPr>
        <w:spacing w:line="360" w:lineRule="auto"/>
        <w:jc w:val="both"/>
      </w:pPr>
      <w:r>
        <w:t xml:space="preserve">Dalším typem rekonstrukce anastomózy je pankreatogastroanastomóza. </w:t>
      </w:r>
      <w:r w:rsidR="006002F1" w:rsidRPr="00FA667B">
        <w:t>Bylo provedeno několik systematických review a meta-analýz porovnávající rozdílnou techniku PJA a PGA a riziko vzniku POPF. Již v roce 1991 italská skupina autorů publikovala statistic</w:t>
      </w:r>
      <w:r>
        <w:t xml:space="preserve">kou analýzu srovnání vzniku pankreatické píštěle </w:t>
      </w:r>
      <w:r w:rsidR="006002F1" w:rsidRPr="00FA667B">
        <w:t xml:space="preserve">u PJA a PGA ve prospěch PGA 6% resp. 11%. Nevýhodou PGA bylo vyšší pooperační krvácení a vyšší procento opožděné evakuace žaludku. V roce 2007 byla provedena meta-analýza a 3 randomizované kontrolované studie, které tyto výsledky nepotvrdily. Ze závěru vyplynulo, že není statisticky </w:t>
      </w:r>
      <w:r>
        <w:t>signifikantní rozdíl vzniku pankreatické píštěle mezi PJA a PGA, avšak u PGA je vyšší míra</w:t>
      </w:r>
      <w:r w:rsidR="006002F1" w:rsidRPr="00FA667B">
        <w:t xml:space="preserve"> vzniku pooperačního krvácení. [76,77,78]</w:t>
      </w:r>
    </w:p>
    <w:p w:rsidR="0011670A" w:rsidRPr="00FA667B" w:rsidRDefault="006002F1" w:rsidP="00FA667B">
      <w:pPr>
        <w:spacing w:line="360" w:lineRule="auto"/>
        <w:jc w:val="both"/>
      </w:pPr>
      <w:r w:rsidRPr="00FA667B">
        <w:t>Na našem pracovišti preferujeme u re</w:t>
      </w:r>
      <w:r w:rsidR="00D37484">
        <w:t>sekčních výkonů rekonstrukci pankreatojejunoanastomózy</w:t>
      </w:r>
      <w:r w:rsidRPr="00FA667B">
        <w:t>.</w:t>
      </w:r>
      <w:r w:rsidR="00D37484">
        <w:t xml:space="preserve"> </w:t>
      </w:r>
      <w:r w:rsidRPr="00FA667B">
        <w:t>V práci jsem se soustředila na výskyt pankreatické píštěle u dvou skupin nemocných na základě rozdílné techniky rekonstrukce PJ</w:t>
      </w:r>
      <w:r w:rsidR="002826A6" w:rsidRPr="00FA667B">
        <w:t xml:space="preserve">A. V první skupině byli nemocní, </w:t>
      </w:r>
      <w:r w:rsidRPr="00FA667B">
        <w:t>u kterých byla provedena rekonstrukce PJA technikou „mucosa to mucosa” v </w:t>
      </w:r>
      <w:r w:rsidRPr="00FA667B">
        <w:rPr>
          <w:noProof/>
        </w:rPr>
        <w:t>letech</w:t>
      </w:r>
      <w:r w:rsidRPr="00FA667B">
        <w:t xml:space="preserve"> 2012-2013. Ve druhé skupině jsou zařazeni nemocní</w:t>
      </w:r>
      <w:r w:rsidR="00D37484">
        <w:t>,</w:t>
      </w:r>
      <w:r w:rsidRPr="00FA667B">
        <w:t xml:space="preserve"> u kterých byla provedena rekonstrukce PJA technikou „duct to mucosa” v období 2014-2019. Na naše souboru nemocných jsme prokázali menší výskyt pankreatických píštělí při rekonstrukci anastomózy technikou</w:t>
      </w:r>
      <w:r w:rsidR="00621DEE" w:rsidRPr="00FA667B">
        <w:t xml:space="preserve"> </w:t>
      </w:r>
      <w:r w:rsidRPr="00FA667B">
        <w:t xml:space="preserve">„duct to mucosa”, </w:t>
      </w:r>
      <w:r w:rsidR="002826A6" w:rsidRPr="00FA667B">
        <w:t>což odpovídá výsledkům sestav uváděných ve světové literatuře</w:t>
      </w:r>
      <w:r w:rsidR="0011670A" w:rsidRPr="00FA667B">
        <w:t xml:space="preserve">. </w:t>
      </w:r>
    </w:p>
    <w:p w:rsidR="006002F1" w:rsidRPr="00FA667B" w:rsidRDefault="006002F1" w:rsidP="00FA667B">
      <w:pPr>
        <w:spacing w:line="360" w:lineRule="auto"/>
        <w:jc w:val="both"/>
      </w:pPr>
      <w:r w:rsidRPr="00FA667B">
        <w:rPr>
          <w:bCs/>
        </w:rPr>
        <w:t>Byla provedena řada studií, které měly za úkol prokázat snížený výskyt pankreatické píštěle při profylaktickém podávání Sandostatinu, jako inhibitoru</w:t>
      </w:r>
      <w:r w:rsidR="002826A6" w:rsidRPr="00FA667B">
        <w:rPr>
          <w:bCs/>
        </w:rPr>
        <w:t xml:space="preserve"> sekrece</w:t>
      </w:r>
      <w:r w:rsidRPr="00FA667B">
        <w:rPr>
          <w:bCs/>
        </w:rPr>
        <w:t xml:space="preserve"> pankr</w:t>
      </w:r>
      <w:r w:rsidRPr="00FA667B">
        <w:rPr>
          <w:noProof/>
        </w:rPr>
        <w:t xml:space="preserve">eatických </w:t>
      </w:r>
      <w:r w:rsidRPr="00FA667B">
        <w:rPr>
          <w:bCs/>
        </w:rPr>
        <w:t xml:space="preserve">enzymů. </w:t>
      </w:r>
      <w:r w:rsidR="002826A6" w:rsidRPr="00FA667B">
        <w:rPr>
          <w:bCs/>
        </w:rPr>
        <w:t>Na základě prvotních studií by</w:t>
      </w:r>
      <w:r w:rsidRPr="00FA667B">
        <w:rPr>
          <w:bCs/>
        </w:rPr>
        <w:t>l předpoklad, že při jeho p</w:t>
      </w:r>
      <w:r w:rsidR="00D37484">
        <w:rPr>
          <w:bCs/>
        </w:rPr>
        <w:t>odávání by se snížil výskyt pankreatické píštěle</w:t>
      </w:r>
      <w:r w:rsidRPr="00FA667B">
        <w:rPr>
          <w:bCs/>
        </w:rPr>
        <w:t xml:space="preserve"> až o 50%. Prospektivní randomizované studie však neprokázaly statisticky signifikantní snížení </w:t>
      </w:r>
      <w:r w:rsidRPr="00FA667B">
        <w:rPr>
          <w:noProof/>
        </w:rPr>
        <w:t>incidence pankreatické</w:t>
      </w:r>
      <w:r w:rsidRPr="00FA667B">
        <w:rPr>
          <w:bCs/>
        </w:rPr>
        <w:t xml:space="preserve"> píštěle při jeho profylaktickém podání. Řada pracovišť jako prevenci výskytu POPF Sandostatin používá. Doporučením je používat Sandostatin u nemocných s rizikem rozvoje POPF, tedy u nemocných s tzv. měkkým „soft” pankreatem. [76,79,80]</w:t>
      </w:r>
    </w:p>
    <w:p w:rsidR="00DB1F0C" w:rsidRDefault="00D37484" w:rsidP="00FA667B">
      <w:pPr>
        <w:spacing w:line="360" w:lineRule="auto"/>
        <w:jc w:val="both"/>
        <w:rPr>
          <w:bCs/>
        </w:rPr>
      </w:pPr>
      <w:r>
        <w:rPr>
          <w:bCs/>
        </w:rPr>
        <w:t xml:space="preserve">Na našem pracovišti podáváme </w:t>
      </w:r>
      <w:r w:rsidR="006002F1" w:rsidRPr="00FA667B">
        <w:rPr>
          <w:bCs/>
        </w:rPr>
        <w:t>Sandostatin j</w:t>
      </w:r>
      <w:r w:rsidR="00DB1F0C">
        <w:rPr>
          <w:bCs/>
        </w:rPr>
        <w:t xml:space="preserve">ako prevenci vzniku u nemocných, kde bychom předpokládali vznik pankreatické píštěle na podkladě rizikových faktorů, tedy u nemocných s měkkým pankreatem, </w:t>
      </w:r>
      <w:r w:rsidR="000B4D0D" w:rsidRPr="00FA667B">
        <w:rPr>
          <w:bCs/>
        </w:rPr>
        <w:t>šíří pankreatického vývodu méně</w:t>
      </w:r>
      <w:r w:rsidR="00DB1F0C">
        <w:rPr>
          <w:bCs/>
        </w:rPr>
        <w:t xml:space="preserve"> než 2mm a jeho lokalizací při zadní stěne pankreatu.</w:t>
      </w:r>
      <w:r w:rsidR="006002F1" w:rsidRPr="00FA667B">
        <w:rPr>
          <w:bCs/>
        </w:rPr>
        <w:t xml:space="preserve"> </w:t>
      </w:r>
      <w:r w:rsidR="000B4D0D" w:rsidRPr="00FA667B">
        <w:rPr>
          <w:bCs/>
        </w:rPr>
        <w:t>Doba podávání Sandostatinu je</w:t>
      </w:r>
      <w:r w:rsidR="00DB1F0C">
        <w:rPr>
          <w:bCs/>
        </w:rPr>
        <w:t xml:space="preserve"> individuální. Ponecháváme ho minimálně po </w:t>
      </w:r>
      <w:r w:rsidR="00DB1F0C">
        <w:rPr>
          <w:bCs/>
        </w:rPr>
        <w:lastRenderedPageBreak/>
        <w:t xml:space="preserve">dobu tří dnů od operace nebo do </w:t>
      </w:r>
      <w:r w:rsidR="006002F1" w:rsidRPr="00FA667B">
        <w:rPr>
          <w:bCs/>
        </w:rPr>
        <w:t>poklesu laboratorních hodnot amyláz a l</w:t>
      </w:r>
      <w:r w:rsidR="000B4D0D" w:rsidRPr="00FA667B">
        <w:rPr>
          <w:bCs/>
        </w:rPr>
        <w:t>ipáz jak v drénu, tak i v</w:t>
      </w:r>
      <w:r w:rsidR="00DB1F0C">
        <w:rPr>
          <w:bCs/>
        </w:rPr>
        <w:t> </w:t>
      </w:r>
      <w:r w:rsidR="000B4D0D" w:rsidRPr="00FA667B">
        <w:rPr>
          <w:bCs/>
        </w:rPr>
        <w:t>séru</w:t>
      </w:r>
      <w:r w:rsidR="00DB1F0C">
        <w:rPr>
          <w:bCs/>
        </w:rPr>
        <w:t>.</w:t>
      </w:r>
      <w:r w:rsidR="000B4D0D" w:rsidRPr="00FA667B">
        <w:rPr>
          <w:bCs/>
        </w:rPr>
        <w:t xml:space="preserve"> </w:t>
      </w:r>
    </w:p>
    <w:p w:rsidR="00BD2BE6" w:rsidRPr="00FA667B" w:rsidRDefault="006002F1" w:rsidP="00FA667B">
      <w:pPr>
        <w:spacing w:line="360" w:lineRule="auto"/>
        <w:jc w:val="both"/>
        <w:rPr>
          <w:bCs/>
        </w:rPr>
      </w:pPr>
      <w:r w:rsidRPr="00FA667B">
        <w:rPr>
          <w:bCs/>
        </w:rPr>
        <w:t xml:space="preserve">Dalším diskutovaným tématem je podíl vzniku POPF </w:t>
      </w:r>
      <w:r w:rsidR="00DB1F0C">
        <w:rPr>
          <w:bCs/>
        </w:rPr>
        <w:t>u nemocných</w:t>
      </w:r>
      <w:r w:rsidRPr="00FA667B">
        <w:rPr>
          <w:bCs/>
        </w:rPr>
        <w:t xml:space="preserve"> s vnitřní drenáží pankreatického vývodu. Přímý odtok pankreatického sekretu drénem zavedeným do zbylé části ductus Wirsung přes odvodnou kličku a tím odklonění přímého kontaktu pankreatické šťávy s anastomózou může mít příznivý vliv na nižší riziko výskytu POPF. Problémem však </w:t>
      </w:r>
      <w:r w:rsidR="00DB1F0C">
        <w:rPr>
          <w:bCs/>
        </w:rPr>
        <w:t xml:space="preserve">je </w:t>
      </w:r>
      <w:r w:rsidRPr="00FA667B">
        <w:rPr>
          <w:bCs/>
        </w:rPr>
        <w:t xml:space="preserve">udržení drénu v místě anastomózy. Migrace stentu se </w:t>
      </w:r>
      <w:r w:rsidR="000B4D0D" w:rsidRPr="00FA667B">
        <w:rPr>
          <w:bCs/>
        </w:rPr>
        <w:t>v literatuře udává až v 16% případech</w:t>
      </w:r>
      <w:r w:rsidRPr="00FA667B">
        <w:rPr>
          <w:bCs/>
        </w:rPr>
        <w:t>. Na podkladě řady studií nebyl prokázán rozdíl v mo</w:t>
      </w:r>
      <w:r w:rsidR="000B4D0D" w:rsidRPr="00FA667B">
        <w:rPr>
          <w:bCs/>
        </w:rPr>
        <w:t>r</w:t>
      </w:r>
      <w:r w:rsidRPr="00FA667B">
        <w:rPr>
          <w:bCs/>
        </w:rPr>
        <w:t xml:space="preserve">biditě a mortalitě u nemocných se zavedeným stentem do pankreatického vývodu </w:t>
      </w:r>
      <w:r w:rsidR="00DB1F0C">
        <w:rPr>
          <w:bCs/>
        </w:rPr>
        <w:t>a bez zavedení stentu. Dále byl srovnáván</w:t>
      </w:r>
      <w:r w:rsidRPr="00FA667B">
        <w:rPr>
          <w:bCs/>
        </w:rPr>
        <w:t xml:space="preserve"> výskyt POPF u nemocných se zavedeným stentem do pankreatického vývodu a zevní drenáži. Zde nebyl shledán signifikantní rozdíl výskytu POPF. [76,81]</w:t>
      </w:r>
    </w:p>
    <w:p w:rsidR="006002F1" w:rsidRPr="00FA667B" w:rsidRDefault="00DB1F0C" w:rsidP="00FA667B">
      <w:pPr>
        <w:spacing w:line="360" w:lineRule="auto"/>
        <w:jc w:val="both"/>
        <w:rPr>
          <w:bCs/>
        </w:rPr>
      </w:pPr>
      <w:r>
        <w:t>Naopak n</w:t>
      </w:r>
      <w:r w:rsidR="000B4D0D" w:rsidRPr="00FA667B">
        <w:t xml:space="preserve">ěkteré studie poukazují na možnou souvislost </w:t>
      </w:r>
      <w:r w:rsidR="006002F1" w:rsidRPr="00FA667B">
        <w:t xml:space="preserve">vzniku pankreatické píštěle </w:t>
      </w:r>
      <w:r>
        <w:t>při obstrukci</w:t>
      </w:r>
      <w:r w:rsidR="006002F1" w:rsidRPr="00FA667B">
        <w:t xml:space="preserve"> lumen pankreatického vývodu u PJA. V roce 1991 Greene et al. provedli experimentální studii na psech, kde srovnávali průchodnost pankreatického vývodu v místě PJA. Srovnávala se end to end PJA versus end to side PJA. Průchodnost pankreatického vývodu byla hodnocena </w:t>
      </w:r>
      <w:smartTag w:uri="urn:schemas-microsoft-com:office:smarttags" w:element="metricconverter">
        <w:smartTagPr>
          <w:attr w:name="ProductID" w:val="8. a"/>
        </w:smartTagPr>
        <w:r w:rsidR="006002F1" w:rsidRPr="00FA667B">
          <w:t>8. a</w:t>
        </w:r>
      </w:smartTag>
      <w:r w:rsidR="006002F1" w:rsidRPr="00FA667B">
        <w:t xml:space="preserve"> 12.týden od operace pomocí pankreatobiligrafie. Průchodnost pankreatického vývodu v místě PJA byla 50% vs.</w:t>
      </w:r>
      <w:r w:rsidR="002023F8">
        <w:t xml:space="preserve"> </w:t>
      </w:r>
      <w:r w:rsidR="006002F1" w:rsidRPr="00FA667B">
        <w:t>100%. [82]</w:t>
      </w:r>
    </w:p>
    <w:p w:rsidR="00801420" w:rsidRPr="00FA667B" w:rsidRDefault="00DB1F0C" w:rsidP="00FA667B">
      <w:pPr>
        <w:spacing w:line="360" w:lineRule="auto"/>
        <w:jc w:val="both"/>
      </w:pPr>
      <w:r>
        <w:rPr>
          <w:bCs/>
        </w:rPr>
        <w:t>Důležitou otázkou je, jak léčit</w:t>
      </w:r>
      <w:r w:rsidR="006002F1" w:rsidRPr="00FA667B">
        <w:rPr>
          <w:bCs/>
        </w:rPr>
        <w:t xml:space="preserve"> nemocné, u kterých je prokázána POPF</w:t>
      </w:r>
      <w:r w:rsidR="00801420" w:rsidRPr="00FA667B">
        <w:rPr>
          <w:bCs/>
        </w:rPr>
        <w:t xml:space="preserve"> typu B a C</w:t>
      </w:r>
      <w:r w:rsidR="006002F1" w:rsidRPr="00FA667B">
        <w:rPr>
          <w:bCs/>
        </w:rPr>
        <w:t xml:space="preserve">. </w:t>
      </w:r>
      <w:r w:rsidR="006002F1" w:rsidRPr="00FA667B">
        <w:t xml:space="preserve">Multicenticentrická retrospektivní kohortová studie nizozemských autorů srovnávala </w:t>
      </w:r>
      <w:r>
        <w:t xml:space="preserve">klasickou chirurgickou operační drenáž nitrobřišních kolekcí vzniklé po pankreatoduodenektomii a miniinvazivní </w:t>
      </w:r>
      <w:r w:rsidR="006002F1" w:rsidRPr="00FA667B">
        <w:t xml:space="preserve">drenáž </w:t>
      </w:r>
      <w:r>
        <w:t xml:space="preserve">za </w:t>
      </w:r>
      <w:r w:rsidR="004D61C8">
        <w:t xml:space="preserve">pomocí zobrazovacích metod (CT). </w:t>
      </w:r>
      <w:r w:rsidR="006002F1" w:rsidRPr="00FA667B">
        <w:t xml:space="preserve">Miniinvazivní </w:t>
      </w:r>
      <w:r>
        <w:t xml:space="preserve">CT </w:t>
      </w:r>
      <w:r w:rsidR="006002F1" w:rsidRPr="00FA667B">
        <w:t>drenáž byla provedena u 77% nemocných. Tento postup se zdá být benefit</w:t>
      </w:r>
      <w:r w:rsidR="006002F1" w:rsidRPr="00FA667B">
        <w:rPr>
          <w:noProof/>
        </w:rPr>
        <w:t>em</w:t>
      </w:r>
      <w:r w:rsidR="006002F1" w:rsidRPr="00FA667B">
        <w:t xml:space="preserve">, jelikož nemusí </w:t>
      </w:r>
      <w:r w:rsidR="004D61C8">
        <w:t xml:space="preserve">nemocný </w:t>
      </w:r>
      <w:r w:rsidR="006002F1" w:rsidRPr="00FA667B">
        <w:t>podstupovat další zatěžující chirurgický výkon, který by</w:t>
      </w:r>
      <w:r w:rsidR="00477995" w:rsidRPr="00FA667B">
        <w:t xml:space="preserve"> mohl vést k</w:t>
      </w:r>
      <w:r w:rsidR="006002F1" w:rsidRPr="00FA667B">
        <w:t xml:space="preserve"> orgánovému selhání, jak se ukázalo až v 39%</w:t>
      </w:r>
      <w:r w:rsidR="000B4D0D" w:rsidRPr="00FA667B">
        <w:t xml:space="preserve"> případech</w:t>
      </w:r>
      <w:r w:rsidR="006002F1" w:rsidRPr="00FA667B">
        <w:t xml:space="preserve"> </w:t>
      </w:r>
      <w:r w:rsidR="000B4D0D" w:rsidRPr="00FA667B">
        <w:t xml:space="preserve"> (</w:t>
      </w:r>
      <w:r w:rsidR="006002F1" w:rsidRPr="00FA667B">
        <w:t>resp. 15% u miniinvazivní drenáže). Důležitou podmínkou však je adekvátní</w:t>
      </w:r>
      <w:r w:rsidR="00621DEE" w:rsidRPr="00FA667B">
        <w:t xml:space="preserve"> drenáž. Ze studie závěrem vyplý</w:t>
      </w:r>
      <w:r w:rsidR="00801420" w:rsidRPr="00FA667B">
        <w:t xml:space="preserve">vá, že miniinvazivní přístup s cílem drenáže </w:t>
      </w:r>
      <w:r w:rsidR="004D61C8">
        <w:t xml:space="preserve">kolekce vzniklé na podkladě </w:t>
      </w:r>
      <w:r w:rsidR="00801420" w:rsidRPr="00FA667B">
        <w:t>POPF B a POPF C by mohl být</w:t>
      </w:r>
      <w:r w:rsidR="006002F1" w:rsidRPr="00FA667B">
        <w:t xml:space="preserve"> benefitem pro nemocné. [56]       </w:t>
      </w:r>
      <w:r w:rsidR="000B4D0D" w:rsidRPr="00FA667B">
        <w:t xml:space="preserve">     </w:t>
      </w:r>
    </w:p>
    <w:p w:rsidR="00477995" w:rsidRPr="00FA667B" w:rsidRDefault="006002F1" w:rsidP="00FA667B">
      <w:pPr>
        <w:spacing w:line="360" w:lineRule="auto"/>
        <w:jc w:val="both"/>
      </w:pPr>
      <w:r w:rsidRPr="00FA667B">
        <w:rPr>
          <w:bCs/>
        </w:rPr>
        <w:t xml:space="preserve">Na našem souboru nemocných jsme v případě průkazu POPF vycházeli z klinického stavu nemocného. V případě, že patologická kolekce, která vznikla na podkladě POPF </w:t>
      </w:r>
      <w:r w:rsidR="000A437A" w:rsidRPr="00FA667B">
        <w:rPr>
          <w:bCs/>
        </w:rPr>
        <w:t xml:space="preserve">a </w:t>
      </w:r>
      <w:r w:rsidRPr="00FA667B">
        <w:rPr>
          <w:bCs/>
        </w:rPr>
        <w:t xml:space="preserve">byla vhodná </w:t>
      </w:r>
      <w:r w:rsidR="00312776" w:rsidRPr="00FA667B">
        <w:rPr>
          <w:bCs/>
        </w:rPr>
        <w:t>k drenáži</w:t>
      </w:r>
      <w:r w:rsidRPr="00FA667B">
        <w:rPr>
          <w:bCs/>
        </w:rPr>
        <w:t xml:space="preserve"> pod CT a </w:t>
      </w:r>
      <w:r w:rsidR="00066652" w:rsidRPr="00FA667B">
        <w:rPr>
          <w:bCs/>
        </w:rPr>
        <w:t>nemocný nebyl v</w:t>
      </w:r>
      <w:r w:rsidR="000A437A" w:rsidRPr="00FA667B">
        <w:rPr>
          <w:bCs/>
        </w:rPr>
        <w:t xml:space="preserve"> septickém stavu, jsme zvolili </w:t>
      </w:r>
      <w:r w:rsidRPr="00FA667B">
        <w:rPr>
          <w:bCs/>
        </w:rPr>
        <w:t>miniinvazivní cestu. Tuto metodu jsme z</w:t>
      </w:r>
      <w:r w:rsidR="002023F8">
        <w:rPr>
          <w:bCs/>
        </w:rPr>
        <w:t xml:space="preserve">volili u třech nemocných z pěti, </w:t>
      </w:r>
      <w:r w:rsidRPr="00FA667B">
        <w:rPr>
          <w:bCs/>
        </w:rPr>
        <w:t>u kterých se v pooperačním období vyskytl absces na základě POPF. V případě, že nemocný byl v septickém stavu a kolekce nebyla drénovatelná pod CT</w:t>
      </w:r>
      <w:r w:rsidR="000B4D0D" w:rsidRPr="00FA667B">
        <w:rPr>
          <w:bCs/>
        </w:rPr>
        <w:t xml:space="preserve">, </w:t>
      </w:r>
      <w:r w:rsidR="00D83951">
        <w:rPr>
          <w:bCs/>
        </w:rPr>
        <w:t>zvolili jsme</w:t>
      </w:r>
      <w:r w:rsidRPr="00FA667B">
        <w:rPr>
          <w:bCs/>
        </w:rPr>
        <w:t xml:space="preserve"> operační revizi. Z daného souboru, tedy pěti nemocných, nedošlo u žádného pacienta k úmrtí. </w:t>
      </w:r>
    </w:p>
    <w:p w:rsidR="0011670A" w:rsidRPr="00FA667B" w:rsidRDefault="0011670A" w:rsidP="00FA667B">
      <w:pPr>
        <w:spacing w:line="360" w:lineRule="auto"/>
        <w:jc w:val="both"/>
      </w:pPr>
    </w:p>
    <w:p w:rsidR="00EF6B2E" w:rsidRPr="00FA667B" w:rsidRDefault="004D61C8" w:rsidP="00FA667B">
      <w:pPr>
        <w:spacing w:line="360" w:lineRule="auto"/>
        <w:jc w:val="both"/>
      </w:pPr>
      <w:r>
        <w:lastRenderedPageBreak/>
        <w:t>Z</w:t>
      </w:r>
      <w:r w:rsidR="000B4D0D" w:rsidRPr="00FA667B">
        <w:t>ávažnou komplikací</w:t>
      </w:r>
      <w:r w:rsidR="006002F1" w:rsidRPr="00FA667B">
        <w:t xml:space="preserve"> související s resekčním výko</w:t>
      </w:r>
      <w:r w:rsidR="00EF6B2E" w:rsidRPr="00FA667B">
        <w:t xml:space="preserve">nem na pankreatu je </w:t>
      </w:r>
      <w:r>
        <w:t>postpankreatektomická hemoragie</w:t>
      </w:r>
      <w:r w:rsidR="006002F1" w:rsidRPr="00FA667B">
        <w:t>. Je-li podezření na PPH da</w:t>
      </w:r>
      <w:r w:rsidR="00D763BE" w:rsidRPr="00FA667B">
        <w:t xml:space="preserve">lší </w:t>
      </w:r>
      <w:r w:rsidR="006002F1" w:rsidRPr="00FA667B">
        <w:t xml:space="preserve">kroky se odvíjí od </w:t>
      </w:r>
      <w:r w:rsidR="00EF6B2E" w:rsidRPr="00FA667B">
        <w:t>hemodynamické stability</w:t>
      </w:r>
      <w:r w:rsidR="006002F1" w:rsidRPr="00FA667B">
        <w:t xml:space="preserve"> nemocného</w:t>
      </w:r>
      <w:r w:rsidR="00EF6B2E" w:rsidRPr="00FA667B">
        <w:t xml:space="preserve">. Prvním krokem při podezření na PPH by mělo být provedení </w:t>
      </w:r>
      <w:r w:rsidR="006002F1" w:rsidRPr="00FA667B">
        <w:t>CT</w:t>
      </w:r>
      <w:r w:rsidR="00EF6B2E" w:rsidRPr="00FA667B">
        <w:t xml:space="preserve"> angiografie (CT</w:t>
      </w:r>
      <w:r w:rsidR="006002F1" w:rsidRPr="00FA667B">
        <w:t>AG</w:t>
      </w:r>
      <w:r w:rsidR="00EF6B2E" w:rsidRPr="00FA667B">
        <w:t>)</w:t>
      </w:r>
      <w:r w:rsidR="006002F1" w:rsidRPr="00FA667B">
        <w:t xml:space="preserve">, </w:t>
      </w:r>
      <w:r w:rsidR="00EF6B2E" w:rsidRPr="00FA667B">
        <w:t>která nám dá důležité inform</w:t>
      </w:r>
      <w:r w:rsidR="00D763BE" w:rsidRPr="00FA667B">
        <w:t>ace o zdroji a rozsahu krvácení, zobrazí extravazaci kontrastní látky, nepravidelné vinutí cév, pseudoaneurysma aj. Omezení tohoto vyšetření je při žilním, difúzním nebo intermitentním krvácení, kdy se nám nezobrazí zdroj krvácení.</w:t>
      </w:r>
    </w:p>
    <w:p w:rsidR="00D93E5B" w:rsidRPr="00FA667B" w:rsidRDefault="003A0171" w:rsidP="00FA667B">
      <w:pPr>
        <w:spacing w:line="360" w:lineRule="auto"/>
        <w:jc w:val="both"/>
      </w:pPr>
      <w:r w:rsidRPr="00FA667B">
        <w:t xml:space="preserve">Významnou úlohu nejen v diagnostice, ale i v terapii </w:t>
      </w:r>
      <w:r w:rsidR="004D61C8">
        <w:t>mají</w:t>
      </w:r>
      <w:r w:rsidRPr="00FA667B">
        <w:t xml:space="preserve"> intervenční radiologové. Endovaskulární metody v řešení PPH se ukazují být bezpeč</w:t>
      </w:r>
      <w:r w:rsidRPr="00FA667B">
        <w:rPr>
          <w:noProof/>
        </w:rPr>
        <w:t xml:space="preserve">né a mají pozitivní vliv na pokles mortality a morbidity v souvislosti s PPH. </w:t>
      </w:r>
      <w:r w:rsidRPr="00FA667B">
        <w:t xml:space="preserve">V literatuře se technický úspěch endovaskulární léčby uvádí mezi 82-100%. </w:t>
      </w:r>
      <w:r w:rsidR="004D61C8">
        <w:t>Problémem</w:t>
      </w:r>
      <w:r w:rsidRPr="00FA667B">
        <w:t xml:space="preserve"> může být opakující se krvácení,</w:t>
      </w:r>
      <w:r w:rsidR="004D61C8">
        <w:t xml:space="preserve"> které se vyskytuje v 7-30%. Nejčastější komplikací související s emboliazací tepen je výskyt jaterních komplikací, které se mohou objevit ve </w:t>
      </w:r>
      <w:r w:rsidRPr="00FA667B">
        <w:t>12-63</w:t>
      </w:r>
      <w:r w:rsidR="004D61C8">
        <w:t>%, jsou to</w:t>
      </w:r>
      <w:r w:rsidRPr="00FA667B">
        <w:t xml:space="preserve"> např. absces</w:t>
      </w:r>
      <w:r w:rsidR="004D61C8">
        <w:t xml:space="preserve"> jater</w:t>
      </w:r>
      <w:r w:rsidRPr="00FA667B">
        <w:t>, ischémie jater, selhání jater. Celková úmrtnost po endovaskulárním výkonu je v 7-54% případů. Výsledky endovaskulární léčby ukazují, že angiografie má až o čtvrtinu nižší úmrtnost oproti chirurgické interven</w:t>
      </w:r>
      <w:r w:rsidR="00D93E5B" w:rsidRPr="00FA667B">
        <w:t>ci, je zde kratší operační doba</w:t>
      </w:r>
      <w:r w:rsidRPr="00FA667B">
        <w:t>, nižší krevní</w:t>
      </w:r>
      <w:r w:rsidR="00D93E5B" w:rsidRPr="00FA667B">
        <w:t xml:space="preserve"> ztráty a kratší intenzivní péče</w:t>
      </w:r>
      <w:r w:rsidRPr="00FA667B">
        <w:t>. Celková úspěš</w:t>
      </w:r>
      <w:r w:rsidR="00066652" w:rsidRPr="00FA667B">
        <w:t>nost dosažení hemostázy je 87%.</w:t>
      </w:r>
    </w:p>
    <w:p w:rsidR="006002F1" w:rsidRPr="00FA667B" w:rsidRDefault="006002F1" w:rsidP="00FA667B">
      <w:pPr>
        <w:spacing w:line="360" w:lineRule="auto"/>
        <w:jc w:val="both"/>
      </w:pPr>
      <w:r w:rsidRPr="00FA667B">
        <w:t xml:space="preserve">Metanalýza do které bylo zařazeno 163 nemocných s PPH nezjistila statisticky </w:t>
      </w:r>
      <w:r w:rsidR="004D61C8">
        <w:t xml:space="preserve">signifikantní </w:t>
      </w:r>
      <w:r w:rsidRPr="00FA667B">
        <w:t xml:space="preserve">rozdíly mezi intervenční radiologií a chirurgickou léčbou </w:t>
      </w:r>
      <w:r w:rsidR="004D61C8">
        <w:t xml:space="preserve">co se týká </w:t>
      </w:r>
      <w:r w:rsidRPr="00FA667B">
        <w:t>dosažení</w:t>
      </w:r>
      <w:r w:rsidR="004D61C8">
        <w:t xml:space="preserve"> úplné hemostázy nebo úmrtností. V</w:t>
      </w:r>
      <w:r w:rsidRPr="00FA667B">
        <w:t xml:space="preserve">ýsledky </w:t>
      </w:r>
      <w:r w:rsidR="00B90D19">
        <w:t xml:space="preserve">z této studie </w:t>
      </w:r>
      <w:r w:rsidRPr="00FA667B">
        <w:t>však ukazují na menší míru komplikací ve prospěch intervenční radiologie 36%  vs. 70% ve skupině s chirurgickým řešením PPH a úmrtnosti 21% oproti 43%. Novější výsledky systematického přehledu uvádí</w:t>
      </w:r>
      <w:r w:rsidR="00066652" w:rsidRPr="00FA667B">
        <w:t xml:space="preserve"> statisticky významný rozdíl, </w:t>
      </w:r>
      <w:r w:rsidRPr="00FA667B">
        <w:t>pokud jde o úmrtnost ve prospěch intervenční radiologii 22% oproti 47% ve skupině s chirurgickou intervencí, což je výsledek, který velmi silně podporuje význ</w:t>
      </w:r>
      <w:r w:rsidR="00D83951">
        <w:t>am a přínos endovaskulární léčby</w:t>
      </w:r>
      <w:r w:rsidRPr="00FA667B">
        <w:t xml:space="preserve"> v rámci řešen</w:t>
      </w:r>
      <w:r w:rsidR="004D61C8">
        <w:t>í</w:t>
      </w:r>
      <w:r w:rsidRPr="00FA667B">
        <w:t xml:space="preserve"> PPH.</w:t>
      </w:r>
    </w:p>
    <w:p w:rsidR="006002F1" w:rsidRPr="00FA667B" w:rsidRDefault="006002F1" w:rsidP="00FA667B">
      <w:pPr>
        <w:spacing w:line="360" w:lineRule="auto"/>
        <w:jc w:val="both"/>
      </w:pPr>
      <w:r w:rsidRPr="00FA667B">
        <w:t>Doposud nebyla provedena žádná prospektivní randomizovaná klinická studie porovnávající chirurgickou a endovaskulární intervenci. Proto neexistuje doporučení</w:t>
      </w:r>
      <w:r w:rsidR="00066652" w:rsidRPr="00FA667B">
        <w:t>,</w:t>
      </w:r>
      <w:r w:rsidRPr="00FA667B">
        <w:t xml:space="preserve"> podle kterého bychom se měli </w:t>
      </w:r>
      <w:r w:rsidR="00066652" w:rsidRPr="00FA667B">
        <w:t xml:space="preserve">jednoznačně </w:t>
      </w:r>
      <w:r w:rsidRPr="00FA667B">
        <w:t xml:space="preserve">řídit. O managmentu PPH rozhoduje klinický stav nemocného, také </w:t>
      </w:r>
      <w:r w:rsidR="00D93E5B" w:rsidRPr="00FA667B">
        <w:t xml:space="preserve">ale </w:t>
      </w:r>
      <w:r w:rsidRPr="00FA667B">
        <w:t xml:space="preserve">technické zázemí daného pracoviště. Endovaskulární léčba je však považována za potenciální léčbu první volby u pacientů, kteří jsou hemodynamicky stabilní. Chirurgický zákrok je preferován u nemocných, </w:t>
      </w:r>
      <w:r w:rsidR="00D677AB" w:rsidRPr="00FA667B">
        <w:t xml:space="preserve">u kterých i přes adekvátní léčbu dochází k </w:t>
      </w:r>
      <w:r w:rsidRPr="00FA667B">
        <w:t>oběhov</w:t>
      </w:r>
      <w:r w:rsidR="00D677AB" w:rsidRPr="00FA667B">
        <w:t>é nestabilitě</w:t>
      </w:r>
      <w:r w:rsidRPr="00FA667B">
        <w:t xml:space="preserve"> nebo pokud jsou vyčerpány dostupné metody. Chir</w:t>
      </w:r>
      <w:r w:rsidR="00D83951">
        <w:t xml:space="preserve">urgická léčba je také důležitá při </w:t>
      </w:r>
      <w:r w:rsidRPr="00FA667B">
        <w:t xml:space="preserve">řešení komplikací spojených s intervenčními metodami. Snahou je úzká spolupráce intervenčního radiologa a chirurga. Toho se dá docílit budováním hybridních sálů. </w:t>
      </w:r>
      <w:r w:rsidR="00066652" w:rsidRPr="00FA667B">
        <w:t xml:space="preserve">Endoskopické metody se v dnešní době využívají až ve druhé době po vyloučení extraluminálního krvácení. Jejich </w:t>
      </w:r>
      <w:r w:rsidR="00066652" w:rsidRPr="00FA667B">
        <w:lastRenderedPageBreak/>
        <w:t xml:space="preserve">výhodou </w:t>
      </w:r>
      <w:r w:rsidR="000A437A" w:rsidRPr="00FA667B">
        <w:t xml:space="preserve">je možnost </w:t>
      </w:r>
      <w:r w:rsidR="00B90D19">
        <w:t xml:space="preserve">diagnostiky a současně i </w:t>
      </w:r>
      <w:r w:rsidR="000A437A" w:rsidRPr="00FA667B">
        <w:t>lokálního</w:t>
      </w:r>
      <w:r w:rsidR="00066652" w:rsidRPr="00FA667B">
        <w:t xml:space="preserve"> ošetření krvácení z oblasti DJA/GJA. </w:t>
      </w:r>
      <w:r w:rsidRPr="00FA667B">
        <w:t>[83,84]</w:t>
      </w:r>
    </w:p>
    <w:p w:rsidR="00E0128C" w:rsidRDefault="00E0128C" w:rsidP="00FA667B">
      <w:pPr>
        <w:spacing w:line="360" w:lineRule="auto"/>
        <w:jc w:val="both"/>
      </w:pPr>
    </w:p>
    <w:p w:rsidR="002D7385" w:rsidRPr="00FA667B" w:rsidRDefault="002D7385" w:rsidP="00FA667B">
      <w:pPr>
        <w:spacing w:line="360" w:lineRule="auto"/>
        <w:jc w:val="both"/>
      </w:pPr>
      <w:r w:rsidRPr="00FA667B">
        <w:t>Další součástí na</w:t>
      </w:r>
      <w:r w:rsidR="00266DE7">
        <w:t>ší práce bylo vyhodnocení celkové doby</w:t>
      </w:r>
      <w:r w:rsidRPr="00FA667B">
        <w:t xml:space="preserve"> přežívání</w:t>
      </w:r>
      <w:r w:rsidR="00266DE7">
        <w:t xml:space="preserve"> ve vztahu ke komplikacím</w:t>
      </w:r>
      <w:r w:rsidRPr="00FA667B">
        <w:t xml:space="preserve"> a</w:t>
      </w:r>
      <w:r w:rsidR="00266DE7">
        <w:t xml:space="preserve"> srovnání celkové doby přežívání v souvislosti s podáním a ukončením </w:t>
      </w:r>
      <w:r w:rsidRPr="00FA667B">
        <w:t>adjuvantní terapi</w:t>
      </w:r>
      <w:r w:rsidR="00266DE7">
        <w:t>e</w:t>
      </w:r>
      <w:r w:rsidRPr="00FA667B">
        <w:t xml:space="preserve">. </w:t>
      </w:r>
    </w:p>
    <w:p w:rsidR="00266DE7" w:rsidRDefault="00F13F6E" w:rsidP="00FA667B">
      <w:pPr>
        <w:spacing w:line="360" w:lineRule="auto"/>
        <w:jc w:val="both"/>
      </w:pPr>
      <w:r w:rsidRPr="00FA667B">
        <w:t>Celková doba přežívání je ov</w:t>
      </w:r>
      <w:r w:rsidR="00A3462A" w:rsidRPr="00FA667B">
        <w:t>livněna</w:t>
      </w:r>
      <w:r w:rsidR="00266DE7">
        <w:t xml:space="preserve"> jednak</w:t>
      </w:r>
      <w:r w:rsidR="00862DED">
        <w:t xml:space="preserve"> </w:t>
      </w:r>
      <w:r w:rsidR="003744AD">
        <w:t>radikalitou</w:t>
      </w:r>
      <w:r w:rsidR="00120CA0">
        <w:t xml:space="preserve"> výkonu</w:t>
      </w:r>
      <w:r w:rsidR="00A3462A" w:rsidRPr="00FA667B">
        <w:t xml:space="preserve">, </w:t>
      </w:r>
      <w:r w:rsidR="00266DE7">
        <w:t>metastatickým</w:t>
      </w:r>
      <w:r w:rsidR="009F1625" w:rsidRPr="00FA667B">
        <w:t xml:space="preserve"> postižení</w:t>
      </w:r>
      <w:r w:rsidR="00266DE7">
        <w:t>m</w:t>
      </w:r>
      <w:r w:rsidR="009F1625" w:rsidRPr="00FA667B">
        <w:t xml:space="preserve"> lymfatických</w:t>
      </w:r>
      <w:r w:rsidRPr="00FA667B">
        <w:t xml:space="preserve"> uzlin, perineurálním šířením, </w:t>
      </w:r>
      <w:r w:rsidR="00120CA0">
        <w:t>angioinvazí, ale také adjuvantní</w:t>
      </w:r>
      <w:r w:rsidRPr="00FA667B">
        <w:t xml:space="preserve"> onkologickou léčbou. </w:t>
      </w:r>
      <w:r w:rsidR="00B90D19" w:rsidRPr="00FA667B">
        <w:t xml:space="preserve">Z našeho souboru pacientů jsme </w:t>
      </w:r>
      <w:r w:rsidR="00B90D19">
        <w:t xml:space="preserve">sice </w:t>
      </w:r>
      <w:r w:rsidR="00B90D19" w:rsidRPr="00FA667B">
        <w:t>prokázali, že není</w:t>
      </w:r>
      <w:r w:rsidR="00B90D19">
        <w:t xml:space="preserve"> statisticky</w:t>
      </w:r>
      <w:r w:rsidR="00B90D19" w:rsidRPr="00FA667B">
        <w:t xml:space="preserve"> signifikantní rozdíl v přežívání mezi nemocnými, kteří po radikálním chirurgickém výkonu podstoupili onkologickou adjuvantní terapii a těmi, kteří ji nepodstoupili z důvodu pooperačních komplikací. </w:t>
      </w:r>
      <w:r w:rsidR="00B90D19">
        <w:t xml:space="preserve">Ale i přestože nám nevyšel statisticky signifikatní výsledek, ze zkušeností víme, že podání adjuvantní léčby pozitivně ovlivňuje prodloužení doby přežívání.  </w:t>
      </w:r>
    </w:p>
    <w:p w:rsidR="00FC3DFB" w:rsidRPr="00FA667B" w:rsidRDefault="00FC3DFB" w:rsidP="00FC3DFB">
      <w:pPr>
        <w:spacing w:line="360" w:lineRule="auto"/>
        <w:jc w:val="both"/>
      </w:pPr>
      <w:r w:rsidRPr="00FA667B">
        <w:t xml:space="preserve">Adenokarcinom těla a kaudy pankreatu </w:t>
      </w:r>
      <w:r w:rsidR="00B90D19">
        <w:t xml:space="preserve">je dlouhou dobu asymptomatický, proto se většinou diagnostikuje </w:t>
      </w:r>
      <w:r w:rsidRPr="00FA667B">
        <w:t>až v pozdním stádiu. Podle dostupné literatury má delší dobu přežívání oproti</w:t>
      </w:r>
      <w:r>
        <w:t xml:space="preserve"> adenokarcinomu hlavy pankreatu</w:t>
      </w:r>
      <w:r w:rsidRPr="00FA667B">
        <w:t xml:space="preserve">, </w:t>
      </w:r>
      <w:r w:rsidR="00BC092B">
        <w:t>uvádí se medián přežívání až 33,5 měsíců</w:t>
      </w:r>
      <w:r w:rsidRPr="00FA667B">
        <w:t xml:space="preserve">.[32] Z našich výsledků jsme tento fakt však nepotvrdili. Neprokázali jsme rozdíl v přežívání mezi pacienty, kteří podstoupili DPE, LPE nebo TPE. Můžeme tedy říct, že PDAC má všeobecně špatnou prognózu a to bez ohledu na lokalizaci tumoru. </w:t>
      </w:r>
    </w:p>
    <w:p w:rsidR="00FA667B" w:rsidRDefault="00AE4C2C" w:rsidP="00FA667B">
      <w:pPr>
        <w:spacing w:line="360" w:lineRule="auto"/>
        <w:jc w:val="both"/>
      </w:pPr>
      <w:r w:rsidRPr="00FA667B">
        <w:t>Systematické</w:t>
      </w:r>
      <w:r w:rsidR="00B92EAC">
        <w:t xml:space="preserve"> review italských autorů, ve kterém</w:t>
      </w:r>
      <w:r w:rsidR="00023580">
        <w:t xml:space="preserve"> srovnáva</w:t>
      </w:r>
      <w:r w:rsidR="00FC3DFB">
        <w:t xml:space="preserve">li </w:t>
      </w:r>
      <w:r w:rsidR="00B92EAC">
        <w:t>celkovou dobu přežívá</w:t>
      </w:r>
      <w:r w:rsidR="00A3462A" w:rsidRPr="00FA667B">
        <w:t xml:space="preserve">tí u PDAC v Evropě </w:t>
      </w:r>
      <w:r w:rsidRPr="00FA667B">
        <w:t>ukazuje</w:t>
      </w:r>
      <w:r w:rsidR="00FC3DFB">
        <w:t>, že pacienti</w:t>
      </w:r>
      <w:r w:rsidRPr="00FA667B">
        <w:t>, kteří podstoupili pouze paliativní CHT/CH</w:t>
      </w:r>
      <w:r w:rsidR="002B3A15" w:rsidRPr="00FA667B">
        <w:t>R</w:t>
      </w:r>
      <w:r w:rsidRPr="00FA667B">
        <w:t xml:space="preserve">T nebo paliativní chirurgický výkon </w:t>
      </w:r>
      <w:r w:rsidR="00FC3DFB">
        <w:t xml:space="preserve">mají </w:t>
      </w:r>
      <w:r w:rsidRPr="00FA667B">
        <w:t>celkovou dobu přežívá</w:t>
      </w:r>
      <w:r w:rsidR="00FC3DFB">
        <w:t xml:space="preserve">ní </w:t>
      </w:r>
      <w:r w:rsidR="002B3A15" w:rsidRPr="00FA667B">
        <w:t>8,1 měsíců oproti nemocný</w:t>
      </w:r>
      <w:r w:rsidRPr="00FA667B">
        <w:t>m, kteří podstoupili radikální chirurgický výkon s následnou onkol</w:t>
      </w:r>
      <w:r w:rsidR="00FC3DFB">
        <w:t xml:space="preserve">ogickou léčbou, </w:t>
      </w:r>
      <w:r w:rsidR="00023580">
        <w:t>medián přežití v této skupině byl</w:t>
      </w:r>
      <w:r w:rsidR="002B3A15" w:rsidRPr="00FA667B">
        <w:t xml:space="preserve"> </w:t>
      </w:r>
      <w:r w:rsidRPr="00FA667B">
        <w:t>25,7 měsíců.[</w:t>
      </w:r>
      <w:r w:rsidR="009F1625" w:rsidRPr="00FA667B">
        <w:t>43,</w:t>
      </w:r>
      <w:r w:rsidRPr="00FA667B">
        <w:t>100]</w:t>
      </w:r>
      <w:r w:rsidR="002B3A15" w:rsidRPr="00FA667B">
        <w:t xml:space="preserve"> </w:t>
      </w:r>
    </w:p>
    <w:p w:rsidR="00FB490B" w:rsidRPr="00ED2ACC" w:rsidRDefault="002E1D11" w:rsidP="00FA667B">
      <w:pPr>
        <w:spacing w:line="360" w:lineRule="auto"/>
        <w:jc w:val="both"/>
      </w:pPr>
      <w:r w:rsidRPr="00ED2ACC">
        <w:t xml:space="preserve">Proběhla velká randomizovaná studie </w:t>
      </w:r>
      <w:r w:rsidR="00ED2ACC" w:rsidRPr="00ED2ACC">
        <w:t>European Study Group for Pancreas Cancer (ESPAC), která srovnávala celkovou dob</w:t>
      </w:r>
      <w:r w:rsidR="00862DED">
        <w:t xml:space="preserve">u přežívání u pacientů, kteří </w:t>
      </w:r>
      <w:r w:rsidR="00ED2ACC" w:rsidRPr="00ED2ACC">
        <w:t>podstoupil</w:t>
      </w:r>
      <w:r w:rsidR="00862DED">
        <w:t xml:space="preserve">i pouze samotný chirurgický výkon, </w:t>
      </w:r>
      <w:r w:rsidR="00D0249D">
        <w:t>pooperační CHRT nebo</w:t>
      </w:r>
      <w:r w:rsidR="0019177F">
        <w:t xml:space="preserve"> </w:t>
      </w:r>
      <w:r w:rsidR="008434ED">
        <w:t xml:space="preserve">adjuvantní CHT. </w:t>
      </w:r>
      <w:r w:rsidR="0019177F">
        <w:t>Nejkratší dobu přežívání měla skupina, která podstoupila pouze samotný chirurgický výkon, medián přežití byl</w:t>
      </w:r>
      <w:r w:rsidR="00A4501E">
        <w:t xml:space="preserve"> 13 měsíců.  Druhou skupinu tvořili</w:t>
      </w:r>
      <w:r w:rsidR="00A67095">
        <w:t xml:space="preserve"> pacienti, kteří pooperačně podstoupili </w:t>
      </w:r>
      <w:r w:rsidR="0019177F">
        <w:t>CHRT</w:t>
      </w:r>
      <w:r w:rsidR="00A4501E">
        <w:t xml:space="preserve">. V této skupině byl medián přežívání 17 měsíců. </w:t>
      </w:r>
      <w:r w:rsidR="0019177F">
        <w:t>Hlavní nevýhodou v p</w:t>
      </w:r>
      <w:r w:rsidR="00A4501E">
        <w:t xml:space="preserve">odání CHRT bylo oddálení </w:t>
      </w:r>
      <w:r w:rsidR="0019177F">
        <w:t>systémové léčby, která nás</w:t>
      </w:r>
      <w:r w:rsidR="00A4501E">
        <w:t xml:space="preserve">ledovala po aplikaci samotné RT. </w:t>
      </w:r>
      <w:r w:rsidR="0019177F">
        <w:t>Nejlepších výsledků dosáhla skupina, které byla podána adjuvantní CHT (</w:t>
      </w:r>
      <w:r w:rsidR="00A67095">
        <w:t>z</w:t>
      </w:r>
      <w:r w:rsidR="0019177F" w:rsidRPr="00ED2ACC">
        <w:t>koušely se různé režimy</w:t>
      </w:r>
      <w:r w:rsidR="00A4501E">
        <w:t>, k</w:t>
      </w:r>
      <w:r w:rsidR="0019177F" w:rsidRPr="00ED2ACC">
        <w:t xml:space="preserve">ombinace 5-fluorouracil s leukovorinem, gemcitabine nebo </w:t>
      </w:r>
      <w:r w:rsidR="0019177F">
        <w:t xml:space="preserve">5-fluorouracil), zde byl medián </w:t>
      </w:r>
      <w:r w:rsidR="00862DED">
        <w:t xml:space="preserve">přežívání </w:t>
      </w:r>
      <w:r w:rsidR="0019177F">
        <w:t>23 měsíců.</w:t>
      </w:r>
      <w:r w:rsidR="00ED2ACC" w:rsidRPr="00ED2ACC">
        <w:t>[101]</w:t>
      </w:r>
    </w:p>
    <w:p w:rsidR="009F1625" w:rsidRPr="00FA667B" w:rsidRDefault="009F1625" w:rsidP="00FA667B">
      <w:pPr>
        <w:spacing w:line="360" w:lineRule="auto"/>
        <w:jc w:val="both"/>
      </w:pPr>
      <w:r w:rsidRPr="00FA667B">
        <w:t>Průměrná doba přežívání po radikálním chirurgickém výkonu a následné adjuv</w:t>
      </w:r>
      <w:r w:rsidR="003744AD">
        <w:t>antní léčbě</w:t>
      </w:r>
      <w:r w:rsidRPr="00FA667B">
        <w:t xml:space="preserve"> na našem souboru nemocných byla 31 měsíců, medián přežívání byl 24,2 měsíců. </w:t>
      </w:r>
    </w:p>
    <w:p w:rsidR="007912D4" w:rsidRDefault="009F1625" w:rsidP="00862DED">
      <w:pPr>
        <w:spacing w:line="360" w:lineRule="auto"/>
        <w:jc w:val="both"/>
      </w:pPr>
      <w:r w:rsidRPr="00FA667B">
        <w:lastRenderedPageBreak/>
        <w:t xml:space="preserve">Ukázalo se, že na </w:t>
      </w:r>
      <w:r w:rsidR="003F01C3">
        <w:t>celkovou dobu</w:t>
      </w:r>
      <w:r w:rsidR="00A67095">
        <w:t xml:space="preserve"> přežívání má </w:t>
      </w:r>
      <w:r w:rsidR="007912D4">
        <w:t xml:space="preserve">pozitivní </w:t>
      </w:r>
      <w:r w:rsidR="00A67095">
        <w:t>vliv i</w:t>
      </w:r>
      <w:r w:rsidRPr="00FA667B">
        <w:t xml:space="preserve"> neoadjuvantní</w:t>
      </w:r>
      <w:r w:rsidR="00A67095">
        <w:t xml:space="preserve"> léčba</w:t>
      </w:r>
      <w:r w:rsidR="007912D4">
        <w:t xml:space="preserve"> (FOLFIRINOX)</w:t>
      </w:r>
      <w:r w:rsidRPr="00FA667B">
        <w:t xml:space="preserve">. </w:t>
      </w:r>
      <w:r w:rsidR="00A67095">
        <w:t xml:space="preserve">Ta má své </w:t>
      </w:r>
      <w:r w:rsidRPr="00FA667B">
        <w:t>opo</w:t>
      </w:r>
      <w:r w:rsidR="00A67095">
        <w:t>d</w:t>
      </w:r>
      <w:r w:rsidR="00A4501E">
        <w:t>s</w:t>
      </w:r>
      <w:r w:rsidRPr="00FA667B">
        <w:t xml:space="preserve">tatnění </w:t>
      </w:r>
      <w:r w:rsidR="00A67095">
        <w:t xml:space="preserve">zejména </w:t>
      </w:r>
      <w:r w:rsidRPr="00FA667B">
        <w:t xml:space="preserve">u </w:t>
      </w:r>
      <w:r w:rsidR="008E7510" w:rsidRPr="00FA667B">
        <w:t>bordeline resekabilních nádorů</w:t>
      </w:r>
      <w:r w:rsidR="00A4501E">
        <w:t xml:space="preserve">. </w:t>
      </w:r>
      <w:r w:rsidR="00862DED">
        <w:t>Z</w:t>
      </w:r>
      <w:r w:rsidR="00862DED" w:rsidRPr="00FA667B">
        <w:t xml:space="preserve">de je </w:t>
      </w:r>
      <w:r w:rsidR="00862DED">
        <w:t xml:space="preserve">podle světové literatury prodloužení doby přežívání </w:t>
      </w:r>
      <w:r w:rsidR="00862DED" w:rsidRPr="00FA667B">
        <w:t xml:space="preserve">z 8,5 </w:t>
      </w:r>
      <w:r w:rsidR="00A4501E">
        <w:t xml:space="preserve">měsíce </w:t>
      </w:r>
      <w:r w:rsidR="00862DED" w:rsidRPr="00FA667B">
        <w:t>na 15,3 měsíce</w:t>
      </w:r>
      <w:r w:rsidR="00862DED">
        <w:t>.</w:t>
      </w:r>
    </w:p>
    <w:p w:rsidR="008B4F3A" w:rsidRDefault="00D50A1E" w:rsidP="00FA667B">
      <w:pPr>
        <w:spacing w:line="360" w:lineRule="auto"/>
        <w:jc w:val="both"/>
      </w:pPr>
      <w:r>
        <w:t>Němečtí autoři ve své prospektivní randomizované studii srovnávali vliv neadjuvantní terapie</w:t>
      </w:r>
      <w:r w:rsidR="00F52ECC">
        <w:t xml:space="preserve"> a chirurgického výkonu s následnou adjuvantní terapií </w:t>
      </w:r>
      <w:r>
        <w:t xml:space="preserve">na celkovou dobu přežívání a zvýšení možné resekability PDAC </w:t>
      </w:r>
      <w:r w:rsidR="00F52ECC">
        <w:t>po podání neadjuvantní terapie u lokálně pokročilého nádoru. Zjistili, že</w:t>
      </w:r>
      <w:r w:rsidR="008B4F3A">
        <w:t xml:space="preserve"> až</w:t>
      </w:r>
      <w:r w:rsidR="00F52ECC">
        <w:t xml:space="preserve"> o 36% (70/193) byla </w:t>
      </w:r>
      <w:r w:rsidR="008B4F3A">
        <w:t xml:space="preserve">větší </w:t>
      </w:r>
      <w:r w:rsidR="00F52ECC">
        <w:t xml:space="preserve">možnost provést resekci u lokálně pokročilého nádoru. Celková doba přežívání </w:t>
      </w:r>
      <w:r w:rsidR="008B4F3A">
        <w:t>u nemocných, kteří podstoupili chirurgický výkon a následnou adjuvantní terapii byla 14 měsíců</w:t>
      </w:r>
      <w:r w:rsidR="00F52ECC">
        <w:t>, zatím co u nemocn</w:t>
      </w:r>
      <w:r w:rsidR="008B4F3A">
        <w:t>ých s</w:t>
      </w:r>
      <w:r w:rsidR="00F52ECC">
        <w:t xml:space="preserve"> neadjuvantní </w:t>
      </w:r>
      <w:r w:rsidR="008B4F3A">
        <w:t>terapií se celková doba přež</w:t>
      </w:r>
      <w:r w:rsidR="00F52ECC">
        <w:t xml:space="preserve">ívání prodloužila na 23 měsíců.  </w:t>
      </w:r>
      <w:r w:rsidR="008B4F3A">
        <w:t>Z toho tedy vyplývá, že neadjuvantní terapie má pozitivní vliv nejen na zlepšení celkové doby přežívání, ale i na zvýšení možnosti resekability nádoru.[107]</w:t>
      </w:r>
    </w:p>
    <w:p w:rsidR="009F1625" w:rsidRPr="00FA667B" w:rsidRDefault="007912D4" w:rsidP="00FA667B">
      <w:pPr>
        <w:spacing w:line="360" w:lineRule="auto"/>
        <w:jc w:val="both"/>
      </w:pPr>
      <w:r>
        <w:t xml:space="preserve">Dalším důležitým faktorem </w:t>
      </w:r>
      <w:r w:rsidR="00862DED">
        <w:t xml:space="preserve">neoadjuvantní terapie </w:t>
      </w:r>
      <w:r>
        <w:t>je p</w:t>
      </w:r>
      <w:r w:rsidR="00D575AB">
        <w:t>ředp</w:t>
      </w:r>
      <w:r>
        <w:t xml:space="preserve">oklad </w:t>
      </w:r>
      <w:r w:rsidR="008E7510" w:rsidRPr="00FA667B">
        <w:t>vyselektování nemocných, u kterých</w:t>
      </w:r>
      <w:r>
        <w:t xml:space="preserve"> i přes podání neoadjuvantní CHT dojde k</w:t>
      </w:r>
      <w:r w:rsidR="00862DED">
        <w:t> </w:t>
      </w:r>
      <w:r>
        <w:t>progresi</w:t>
      </w:r>
      <w:r w:rsidR="00862DED">
        <w:t xml:space="preserve"> onemocnění. Je to dáno zejména biologickou povahou nádoru. </w:t>
      </w:r>
      <w:r>
        <w:t xml:space="preserve"> Pro tyto nemocné není dále chirurgické řešení </w:t>
      </w:r>
      <w:r w:rsidR="00862DED">
        <w:t>benefitem.</w:t>
      </w:r>
      <w:r w:rsidR="00ED2ACC">
        <w:t>[102</w:t>
      </w:r>
      <w:r w:rsidR="005D5B73" w:rsidRPr="00876D52">
        <w:t>]</w:t>
      </w:r>
      <w:r w:rsidR="005D5B73" w:rsidRPr="00FA667B">
        <w:rPr>
          <w:color w:val="FF0000"/>
        </w:rPr>
        <w:t xml:space="preserve"> </w:t>
      </w:r>
    </w:p>
    <w:p w:rsidR="003E356C" w:rsidRPr="007410CB" w:rsidRDefault="00D575AB" w:rsidP="00FA667B">
      <w:pPr>
        <w:spacing w:line="360" w:lineRule="auto"/>
        <w:jc w:val="both"/>
      </w:pPr>
      <w:r>
        <w:t>Faktory, které významně ovlivňují</w:t>
      </w:r>
      <w:r w:rsidR="00760385" w:rsidRPr="007410CB">
        <w:t xml:space="preserve"> celkovou dobu přežívání, jsou komplikace s</w:t>
      </w:r>
      <w:r w:rsidR="00033872" w:rsidRPr="007410CB">
        <w:t>ouvisející s chirurgickou léčbou, jedná se zejména o POPF a PPH</w:t>
      </w:r>
      <w:r w:rsidR="00760385" w:rsidRPr="007410CB">
        <w:t>. Mezi další kompli</w:t>
      </w:r>
      <w:r>
        <w:t>ka</w:t>
      </w:r>
      <w:r w:rsidR="00760385" w:rsidRPr="007410CB">
        <w:t>ce, které</w:t>
      </w:r>
      <w:r w:rsidR="003E356C" w:rsidRPr="007410CB">
        <w:t xml:space="preserve"> mají  negativní vliv na</w:t>
      </w:r>
      <w:r w:rsidR="00760385" w:rsidRPr="007410CB">
        <w:t> ce</w:t>
      </w:r>
      <w:r w:rsidR="003F01C3">
        <w:t>lkovou dobu</w:t>
      </w:r>
      <w:r w:rsidR="003E356C" w:rsidRPr="007410CB">
        <w:t xml:space="preserve"> přežívání je</w:t>
      </w:r>
      <w:r w:rsidR="00760385" w:rsidRPr="007410CB">
        <w:t xml:space="preserve"> DGE, plicní kompl</w:t>
      </w:r>
      <w:r w:rsidR="003F01C3">
        <w:t>ikace a</w:t>
      </w:r>
      <w:r w:rsidR="00033872" w:rsidRPr="007410CB">
        <w:t xml:space="preserve"> zánětlivé komplikace. Podle amsterdamských autorů </w:t>
      </w:r>
      <w:r w:rsidR="003E356C" w:rsidRPr="007410CB">
        <w:t>mohou mít</w:t>
      </w:r>
      <w:r w:rsidR="00033872" w:rsidRPr="007410CB">
        <w:t xml:space="preserve"> pooperační komplikace vliv na snížení </w:t>
      </w:r>
      <w:r w:rsidR="003E356C" w:rsidRPr="007410CB">
        <w:t>buněčné imunity a tím mít vliv</w:t>
      </w:r>
      <w:r w:rsidR="00033872" w:rsidRPr="007410CB">
        <w:t xml:space="preserve"> na </w:t>
      </w:r>
      <w:r w:rsidR="003F01C3">
        <w:t>časnou</w:t>
      </w:r>
      <w:r w:rsidR="00033872" w:rsidRPr="007410CB">
        <w:t xml:space="preserve"> rekurenci onemocnění</w:t>
      </w:r>
      <w:r w:rsidR="003E356C" w:rsidRPr="007410CB">
        <w:t xml:space="preserve">. </w:t>
      </w:r>
      <w:r>
        <w:t>[</w:t>
      </w:r>
      <w:r w:rsidR="003E356C" w:rsidRPr="007410CB">
        <w:t xml:space="preserve">103] </w:t>
      </w:r>
    </w:p>
    <w:p w:rsidR="003F01C3" w:rsidRDefault="00B90D19" w:rsidP="00FA667B">
      <w:pPr>
        <w:spacing w:line="360" w:lineRule="auto"/>
        <w:jc w:val="both"/>
      </w:pPr>
      <w:r>
        <w:t>V</w:t>
      </w:r>
      <w:r w:rsidR="007902C0" w:rsidRPr="00FA667B">
        <w:t xml:space="preserve"> naše</w:t>
      </w:r>
      <w:r>
        <w:t>m</w:t>
      </w:r>
      <w:r w:rsidR="007902C0" w:rsidRPr="00FA667B">
        <w:t xml:space="preserve"> souboru nemocných nebyl zjištěn vliv </w:t>
      </w:r>
      <w:r w:rsidR="00A73EF1">
        <w:t xml:space="preserve">výskytu </w:t>
      </w:r>
      <w:r w:rsidR="007902C0" w:rsidRPr="00FA667B">
        <w:t>pooperačních komplikací na celkové době přežívání</w:t>
      </w:r>
      <w:r w:rsidR="00A73EF1">
        <w:t>.</w:t>
      </w:r>
      <w:r w:rsidR="00F77131">
        <w:t xml:space="preserve"> </w:t>
      </w:r>
      <w:r w:rsidR="00A73EF1">
        <w:t>Dále jsme neprokázali významný rozdíl celkové doby přežívání</w:t>
      </w:r>
      <w:r w:rsidR="0067222A">
        <w:t xml:space="preserve"> mezi pacienty, </w:t>
      </w:r>
      <w:r w:rsidR="003F01C3">
        <w:t>kteří</w:t>
      </w:r>
      <w:r w:rsidR="00A73EF1">
        <w:t xml:space="preserve"> p</w:t>
      </w:r>
      <w:r w:rsidR="007902C0" w:rsidRPr="00FA667B">
        <w:t>odstoupili onkologickou léčbu a těmi</w:t>
      </w:r>
      <w:r w:rsidR="003F01C3">
        <w:t>, kteří</w:t>
      </w:r>
      <w:r w:rsidR="007902C0" w:rsidRPr="00FA667B">
        <w:t xml:space="preserve"> ji nepodstoupili z důvodu pooperačních komplikací. </w:t>
      </w:r>
      <w:r w:rsidR="003F01C3">
        <w:t>Faktor</w:t>
      </w:r>
      <w:r w:rsidR="003F01C3" w:rsidRPr="007410CB">
        <w:t>, který mohl ovlivnit</w:t>
      </w:r>
      <w:r w:rsidR="003F01C3">
        <w:t xml:space="preserve"> naše výsledky je, </w:t>
      </w:r>
      <w:r w:rsidR="003F01C3" w:rsidRPr="007410CB">
        <w:t>že jsme měli</w:t>
      </w:r>
      <w:r w:rsidR="003F01C3">
        <w:t xml:space="preserve"> vysoké procento nemocných, kteří podstoupili adjuvantní terap</w:t>
      </w:r>
      <w:r>
        <w:t>ii a nízké procento výskytu záva</w:t>
      </w:r>
      <w:r w:rsidR="003F01C3">
        <w:t xml:space="preserve">žných komplikací. </w:t>
      </w:r>
    </w:p>
    <w:p w:rsidR="000B6749" w:rsidRDefault="003F01C3" w:rsidP="00FA667B">
      <w:pPr>
        <w:spacing w:line="360" w:lineRule="auto"/>
        <w:jc w:val="both"/>
      </w:pPr>
      <w:r w:rsidRPr="007410CB">
        <w:t xml:space="preserve"> </w:t>
      </w:r>
    </w:p>
    <w:p w:rsidR="000B6749" w:rsidRPr="00FA667B" w:rsidRDefault="000B6749" w:rsidP="00FA667B">
      <w:pPr>
        <w:spacing w:line="360" w:lineRule="auto"/>
        <w:jc w:val="both"/>
        <w:rPr>
          <w:color w:val="FF0000"/>
        </w:rPr>
      </w:pPr>
    </w:p>
    <w:p w:rsidR="00040CDF" w:rsidRPr="00FA667B" w:rsidRDefault="00040CDF" w:rsidP="00FA667B">
      <w:pPr>
        <w:spacing w:line="360" w:lineRule="auto"/>
        <w:jc w:val="both"/>
        <w:rPr>
          <w:color w:val="FF0000"/>
        </w:rPr>
      </w:pPr>
    </w:p>
    <w:p w:rsidR="008B4F3A" w:rsidRDefault="008B4F3A" w:rsidP="00FA667B">
      <w:pPr>
        <w:spacing w:line="360" w:lineRule="auto"/>
        <w:jc w:val="both"/>
        <w:rPr>
          <w:color w:val="FF0000"/>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2100F7" w:rsidRDefault="002100F7"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lastRenderedPageBreak/>
        <w:t>5</w:t>
      </w:r>
      <w:r w:rsidR="006002F1" w:rsidRPr="00FA667B">
        <w:rPr>
          <w:b/>
          <w:u w:val="single"/>
        </w:rPr>
        <w:t>.6.Závěr</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Adenkarcinom pankreatu je onemocnění s velmi špatnou prognózou. Celková doba přežití na našem souboru nemocných je srovnatelná se světovou literaturou. </w:t>
      </w:r>
      <w:r w:rsidR="00D677AB" w:rsidRPr="00FA667B">
        <w:t xml:space="preserve">Lokalizace </w:t>
      </w:r>
      <w:r w:rsidR="008B4F3A">
        <w:t xml:space="preserve">adenokarcinomu </w:t>
      </w:r>
      <w:r w:rsidR="00D677AB" w:rsidRPr="00FA667B">
        <w:t>ve slinivce nemá vliv na prognózu</w:t>
      </w:r>
      <w:r w:rsidRPr="00FA667B">
        <w:t xml:space="preserve"> onemocnění</w:t>
      </w:r>
      <w:r w:rsidR="00D677AB" w:rsidRPr="00FA667B">
        <w:t xml:space="preserve">. Komplikace byly hodnoceny </w:t>
      </w:r>
      <w:r w:rsidRPr="00FA667B">
        <w:t>na zákla</w:t>
      </w:r>
      <w:r w:rsidR="008B4F3A">
        <w:t>dě Clavien-Dindo klasifikace. V</w:t>
      </w:r>
      <w:r w:rsidRPr="00FA667B">
        <w:t xml:space="preserve"> našem souboru nebyl zjištěn </w:t>
      </w:r>
      <w:r w:rsidR="00462AC9" w:rsidRPr="00FA667B">
        <w:t>vliv</w:t>
      </w:r>
      <w:r w:rsidR="001E4B7B" w:rsidRPr="00FA667B">
        <w:t xml:space="preserve"> </w:t>
      </w:r>
      <w:r w:rsidRPr="00FA667B">
        <w:t>závažno</w:t>
      </w:r>
      <w:r w:rsidR="00462AC9" w:rsidRPr="00FA667B">
        <w:t>sti</w:t>
      </w:r>
      <w:r w:rsidR="00DE553D" w:rsidRPr="00FA667B">
        <w:t xml:space="preserve"> komplikací na celkové délce</w:t>
      </w:r>
      <w:r w:rsidRPr="00FA667B">
        <w:t xml:space="preserve"> přežívání. Nejzávažnější komplikací je pankreatická píštěl. Pokud </w:t>
      </w:r>
      <w:r w:rsidR="00462AC9" w:rsidRPr="00FA667B">
        <w:t xml:space="preserve">se jedná o pankreatickou píštěl, </w:t>
      </w:r>
      <w:r w:rsidRPr="00FA667B">
        <w:t xml:space="preserve">na jejímž základě vzniká patologická kolekce, </w:t>
      </w:r>
      <w:r w:rsidR="00462AC9" w:rsidRPr="00FA667B">
        <w:t xml:space="preserve">další postup </w:t>
      </w:r>
      <w:r w:rsidRPr="00FA667B">
        <w:t xml:space="preserve">záleží na klinickém stavu nemocného. Pokud </w:t>
      </w:r>
      <w:r w:rsidR="00462AC9" w:rsidRPr="00FA667B">
        <w:t xml:space="preserve">pacient </w:t>
      </w:r>
      <w:r w:rsidRPr="00FA667B">
        <w:t xml:space="preserve">není v septickém stavu a kolekce je </w:t>
      </w:r>
      <w:r w:rsidR="00462AC9" w:rsidRPr="00FA667B">
        <w:t xml:space="preserve">adekvátně </w:t>
      </w:r>
      <w:r w:rsidRPr="00FA667B">
        <w:t xml:space="preserve">drénovatelná pod CT, je to pro nemocného benefitem, není zatížen další celkovou anestezií a laparotomií. V případě, že je nemocný v septickém stavu </w:t>
      </w:r>
      <w:r w:rsidR="001E4B7B" w:rsidRPr="00FA667B">
        <w:t xml:space="preserve">a miniinvazivní </w:t>
      </w:r>
      <w:r w:rsidR="00462AC9" w:rsidRPr="00FA667B">
        <w:t xml:space="preserve">drenáž </w:t>
      </w:r>
      <w:r w:rsidR="001E4B7B" w:rsidRPr="00FA667B">
        <w:t xml:space="preserve">není možná </w:t>
      </w:r>
      <w:r w:rsidR="00462AC9" w:rsidRPr="00FA667B">
        <w:t xml:space="preserve">nebo se nejeví jako adekvátní, </w:t>
      </w:r>
      <w:r w:rsidRPr="00FA667B">
        <w:t>je jednoznačným přínosem pro nemocného operační revize. V případě krvácení se řídíme podle toho, zda je nemocný hemodynamicky stabilní. Jed</w:t>
      </w:r>
      <w:r w:rsidR="00462AC9" w:rsidRPr="00FA667B">
        <w:t xml:space="preserve">noznačným benefitem v případě </w:t>
      </w:r>
      <w:r w:rsidRPr="00FA667B">
        <w:t>hemodynamicky stabilní</w:t>
      </w:r>
      <w:r w:rsidR="00462AC9" w:rsidRPr="00FA667B">
        <w:t>ho</w:t>
      </w:r>
      <w:r w:rsidRPr="00FA667B">
        <w:t xml:space="preserve"> nemocnéh</w:t>
      </w:r>
      <w:r w:rsidR="00F23AAC">
        <w:t>o je výkon</w:t>
      </w:r>
      <w:r w:rsidRPr="00FA667B">
        <w:t xml:space="preserve"> za pomocí intervenčních radiologů</w:t>
      </w:r>
      <w:r w:rsidR="00462AC9" w:rsidRPr="00FA667B">
        <w:t xml:space="preserve"> s využitím endovaskulárních metod, kde je možnost provedení </w:t>
      </w:r>
      <w:r w:rsidRPr="00FA667B">
        <w:t>coiling</w:t>
      </w:r>
      <w:r w:rsidR="00462AC9" w:rsidRPr="00FA667B">
        <w:t>u nebo zavedení</w:t>
      </w:r>
      <w:r w:rsidRPr="00FA667B">
        <w:t xml:space="preserve"> stent</w:t>
      </w:r>
      <w:r w:rsidR="00462AC9" w:rsidRPr="00FA667B">
        <w:t>u</w:t>
      </w:r>
      <w:r w:rsidRPr="00FA667B">
        <w:t xml:space="preserve">. V případě, že </w:t>
      </w:r>
      <w:r w:rsidR="00462AC9" w:rsidRPr="00FA667B">
        <w:t xml:space="preserve">stav nemocného to nedovolí je </w:t>
      </w:r>
      <w:r w:rsidRPr="00FA667B">
        <w:t>indikována urgentní operační revize. Z našich výsle</w:t>
      </w:r>
      <w:r w:rsidR="00232780" w:rsidRPr="00FA667B">
        <w:t>dků vyplý</w:t>
      </w:r>
      <w:r w:rsidRPr="00FA667B">
        <w:t>vá, že i technika rekonstrukce PJA má vliv na možné komplikace. Prokázali jsme jednoznačný benefit rekonstrukce PJA tzv. technikou duct to mucosa oproti mucosa to mucosa. Byl menší výskyt pankreatické píštěle typu B, ale vyšší výskyt</w:t>
      </w:r>
      <w:r w:rsidR="001E4B7B" w:rsidRPr="00FA667B">
        <w:t xml:space="preserve"> patologických kolekcí</w:t>
      </w:r>
      <w:r w:rsidRPr="00FA667B">
        <w:t xml:space="preserve"> v místě PJA ve prospěch techniky duct to mucosa, který však nevedl k ohrožení nemocného na životě. </w:t>
      </w:r>
    </w:p>
    <w:p w:rsidR="006002F1" w:rsidRPr="00FA667B" w:rsidRDefault="00232780" w:rsidP="00FA667B">
      <w:pPr>
        <w:spacing w:line="360" w:lineRule="auto"/>
        <w:jc w:val="both"/>
      </w:pPr>
      <w:r w:rsidRPr="00FA667B">
        <w:t>Dle doporučení vyplý</w:t>
      </w:r>
      <w:r w:rsidR="006002F1" w:rsidRPr="00FA667B">
        <w:t xml:space="preserve">vá, že operace na slinivce by měly být prováděny v centrech zabývající se hepatobiliární chirurgií. Důležitou součástí je mít i zázemí, které je nám v případě závažných komplikací nápomocné jak v diagnostice, tak i v léčbě. </w:t>
      </w:r>
      <w:r w:rsidR="001E4B7B" w:rsidRPr="00FA667B">
        <w:t>Důležitá je kooperace chi</w:t>
      </w:r>
      <w:r w:rsidR="008B4F3A">
        <w:t>rurgů, intervenčních radiologů a gastroenterologů</w:t>
      </w:r>
      <w:r w:rsidR="001E4B7B" w:rsidRPr="00FA667B">
        <w:t xml:space="preserve">. </w:t>
      </w:r>
    </w:p>
    <w:p w:rsidR="006002F1" w:rsidRPr="00FA667B" w:rsidRDefault="006002F1" w:rsidP="00FA667B">
      <w:pPr>
        <w:spacing w:line="360" w:lineRule="auto"/>
        <w:jc w:val="both"/>
        <w:rPr>
          <w:b/>
          <w:u w:val="single"/>
        </w:rPr>
      </w:pPr>
    </w:p>
    <w:p w:rsidR="0011670A" w:rsidRPr="00FA667B" w:rsidRDefault="0011670A" w:rsidP="00FA667B">
      <w:pPr>
        <w:spacing w:line="360" w:lineRule="auto"/>
        <w:jc w:val="both"/>
        <w:rPr>
          <w:b/>
          <w:u w:val="single"/>
        </w:rPr>
      </w:pPr>
    </w:p>
    <w:p w:rsidR="00A36F9A" w:rsidRPr="00FA667B" w:rsidRDefault="00A36F9A" w:rsidP="00FA667B">
      <w:pPr>
        <w:spacing w:line="360" w:lineRule="auto"/>
        <w:jc w:val="both"/>
        <w:rPr>
          <w:b/>
          <w:u w:val="single"/>
        </w:rPr>
      </w:pPr>
    </w:p>
    <w:p w:rsidR="00A36F9A" w:rsidRPr="00FA667B" w:rsidRDefault="00A36F9A" w:rsidP="00FA667B">
      <w:pPr>
        <w:spacing w:line="360" w:lineRule="auto"/>
        <w:jc w:val="both"/>
        <w:rPr>
          <w:b/>
          <w:u w:val="single"/>
        </w:rPr>
      </w:pPr>
    </w:p>
    <w:p w:rsidR="00A36F9A" w:rsidRPr="00FA667B" w:rsidRDefault="00A36F9A" w:rsidP="00FA667B">
      <w:pPr>
        <w:spacing w:line="360" w:lineRule="auto"/>
        <w:jc w:val="both"/>
        <w:rPr>
          <w:b/>
          <w:u w:val="single"/>
        </w:rPr>
      </w:pPr>
    </w:p>
    <w:p w:rsidR="00A36F9A" w:rsidRPr="00FA667B" w:rsidRDefault="00A36F9A" w:rsidP="00FA667B">
      <w:pPr>
        <w:spacing w:line="360" w:lineRule="auto"/>
        <w:jc w:val="both"/>
        <w:rPr>
          <w:b/>
          <w:u w:val="single"/>
        </w:rPr>
      </w:pPr>
    </w:p>
    <w:p w:rsidR="00B800C5" w:rsidRPr="00FA667B" w:rsidRDefault="00B800C5" w:rsidP="00FA667B">
      <w:pPr>
        <w:spacing w:line="360" w:lineRule="auto"/>
        <w:jc w:val="both"/>
        <w:rPr>
          <w:b/>
          <w:u w:val="single"/>
        </w:rPr>
      </w:pPr>
    </w:p>
    <w:p w:rsidR="00876D52" w:rsidRDefault="00876D52" w:rsidP="00FA667B">
      <w:pPr>
        <w:spacing w:line="360" w:lineRule="auto"/>
        <w:jc w:val="both"/>
        <w:rPr>
          <w:b/>
          <w:u w:val="single"/>
        </w:rPr>
      </w:pPr>
    </w:p>
    <w:p w:rsidR="00876D52" w:rsidRDefault="00876D52"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lastRenderedPageBreak/>
        <w:t>6</w:t>
      </w:r>
      <w:r w:rsidR="006002F1" w:rsidRPr="00FA667B">
        <w:rPr>
          <w:b/>
          <w:u w:val="single"/>
        </w:rPr>
        <w:t>.Souhrn</w:t>
      </w:r>
    </w:p>
    <w:p w:rsidR="006002F1" w:rsidRPr="00FA667B" w:rsidRDefault="006002F1" w:rsidP="00FA667B">
      <w:pPr>
        <w:spacing w:line="360" w:lineRule="auto"/>
        <w:jc w:val="both"/>
        <w:rPr>
          <w:b/>
        </w:rPr>
      </w:pPr>
    </w:p>
    <w:p w:rsidR="006002F1" w:rsidRPr="00FA667B" w:rsidRDefault="006002F1" w:rsidP="00FA667B">
      <w:pPr>
        <w:spacing w:line="360" w:lineRule="auto"/>
        <w:jc w:val="both"/>
      </w:pPr>
      <w:r w:rsidRPr="00FA667B">
        <w:rPr>
          <w:b/>
        </w:rPr>
        <w:t xml:space="preserve">Úvod: </w:t>
      </w:r>
      <w:r w:rsidRPr="00FA667B">
        <w:t>Adenokarcinom pankreatu je onemocnění s velmi špatnou prognóz</w:t>
      </w:r>
      <w:r w:rsidR="00FC03A6" w:rsidRPr="00FA667B">
        <w:t>ou. V současné době se řadí na 4</w:t>
      </w:r>
      <w:r w:rsidRPr="00FA667B">
        <w:t xml:space="preserve">.místo v úmrtí na maligní onemocnění. Incidence je 20/100000 obyvatel. Mortalita je 18,5/100000. </w:t>
      </w:r>
      <w:r w:rsidR="001E4B7B" w:rsidRPr="00FA667B">
        <w:t xml:space="preserve">Mezi faktory podílející se na vzniku karcinomu pankreatu patří chronická pankreatitida, abúzus alkoholu, kouření a svůj podíl má i genetická zátěž. </w:t>
      </w:r>
      <w:r w:rsidRPr="00FA667B">
        <w:t>V době d</w:t>
      </w:r>
      <w:r w:rsidR="001E4B7B" w:rsidRPr="00FA667B">
        <w:t>iagnózy je pouze u 15% nemocných možné radikální chirurgické řešení.</w:t>
      </w:r>
      <w:r w:rsidRPr="00FA667B">
        <w:t xml:space="preserve"> Průměrná doba přežití  se pohybuje mezi 13-21 měsíci. 5-ti leté přežití u re</w:t>
      </w:r>
      <w:r w:rsidR="0043532A" w:rsidRPr="00FA667B">
        <w:t>sekabilních nádorů je méně než 20</w:t>
      </w:r>
      <w:r w:rsidRPr="00FA667B">
        <w:t>%. Doba přežití u metastatického one</w:t>
      </w:r>
      <w:r w:rsidR="001E4B7B" w:rsidRPr="00FA667B">
        <w:t xml:space="preserve">mocnění je průměrně 2-3 měsíce. </w:t>
      </w:r>
      <w:r w:rsidR="0043532A" w:rsidRPr="00FA667B">
        <w:t>Základní terapie je radikální chirurgický výkon s dosažením R0 resekce.</w:t>
      </w:r>
      <w:r w:rsidR="001E4B7B" w:rsidRPr="00FA667B">
        <w:t xml:space="preserve"> </w:t>
      </w:r>
    </w:p>
    <w:p w:rsidR="001E4B7B" w:rsidRPr="00FA667B" w:rsidRDefault="001E4B7B" w:rsidP="00FA667B">
      <w:pPr>
        <w:spacing w:line="360" w:lineRule="auto"/>
        <w:jc w:val="both"/>
      </w:pPr>
    </w:p>
    <w:p w:rsidR="006002F1" w:rsidRPr="00FA667B" w:rsidRDefault="006002F1" w:rsidP="00FA667B">
      <w:pPr>
        <w:spacing w:line="360" w:lineRule="auto"/>
        <w:jc w:val="both"/>
      </w:pPr>
      <w:r w:rsidRPr="00FA667B">
        <w:rPr>
          <w:b/>
        </w:rPr>
        <w:t xml:space="preserve">Cíl: </w:t>
      </w:r>
      <w:r w:rsidRPr="00FA667B">
        <w:t>V disertační práci jsem se soustředila na zhodnocení a srovnaní výskytu komplikací, zejména vznik pankreatické píštěle při srovnání dvou technik rekonstrukce pankreatojejunoanastomózy. Zhodnotila jsem i další závažné komplikace, kterými jsou krvácení, opožděná evakuace žaludku, zánětlivé komplikace a způsob jejich řešení. Vliv komplikací na celkovou délku přežívání, mortalitu a morbiditu.</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rPr>
          <w:b/>
        </w:rPr>
        <w:t xml:space="preserve">Materiál a metody: </w:t>
      </w:r>
      <w:r w:rsidRPr="00FA667B">
        <w:t>Hodnotili jsme pomocí retrospektivně prospektivní studie soubor nemocných operovaných od ledna 2012 do prosince 2019 na I.chirurgické klinice FNOL. Jedná se o soubor s celkovým počtem 241 nemocných s diagnózou adenokarcinomu pankreatu. Tuto skupinu nemocných jsme rozdělili do dvou skupin.  Na období v letech 2012-2014, kdy jsme používali techniku šití pankreatikojejunoanastomózy, tzv. mucosa-to-mucosa. A na období 2014-2019, kdy jsme převzali techniku rekon</w:t>
      </w:r>
      <w:r w:rsidR="00E82D90" w:rsidRPr="00FA667B">
        <w:t>strukce PJA od německých chirurgů</w:t>
      </w:r>
      <w:r w:rsidRPr="00FA667B">
        <w:t>, tzv. duct-to-mucosa.</w:t>
      </w:r>
      <w:r w:rsidR="00E82D90" w:rsidRPr="00FA667B">
        <w:t xml:space="preserve"> </w:t>
      </w:r>
      <w:r w:rsidRPr="00FA667B">
        <w:t>V retrospektivně prospektivní studii jsme hodnotili rozdíl výskytu komplikací</w:t>
      </w:r>
      <w:r w:rsidR="0043532A" w:rsidRPr="00FA667B">
        <w:t xml:space="preserve"> mezi oběma technikama a řešení komplikací.</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rPr>
          <w:b/>
        </w:rPr>
        <w:t xml:space="preserve">Výsledky: </w:t>
      </w:r>
      <w:r w:rsidRPr="00FA667B">
        <w:t>Komplikace byly hodn</w:t>
      </w:r>
      <w:r w:rsidR="0043532A" w:rsidRPr="00FA667B">
        <w:t>oceny na základě C-D</w:t>
      </w:r>
      <w:r w:rsidRPr="00FA667B">
        <w:t xml:space="preserve"> klasifikace. Průměrná doba přežívání byla 31měsíců. Na naší sestavě nemocných jsme zjistili nižší výskyt</w:t>
      </w:r>
      <w:r w:rsidR="0043532A" w:rsidRPr="00FA667B">
        <w:t xml:space="preserve"> POPF</w:t>
      </w:r>
      <w:r w:rsidRPr="00FA667B">
        <w:t xml:space="preserve"> typu B u nemocných s technikou rekonstrukce PJA tzv.duct to mucosa. V této skupině se však vyskytl v</w:t>
      </w:r>
      <w:r w:rsidR="00E82D90" w:rsidRPr="00FA667B">
        <w:t>yšší podíl peripankreatických kolekcí</w:t>
      </w:r>
      <w:r w:rsidRPr="00FA667B">
        <w:t>. Dalším zajímavým výsledkem bylo zhodnocení doby přežívání v závislosti na závažnosti komplikací. Nebyl prokázán signifikantní rozdíl v přežívání mezi pacienty s různým stupněm ko</w:t>
      </w:r>
      <w:r w:rsidR="0043532A" w:rsidRPr="00FA667B">
        <w:t xml:space="preserve">mplikací hodnocených dle C-Dklasifikace </w:t>
      </w:r>
      <w:r w:rsidRPr="00FA667B">
        <w:t>I-II, III-V</w:t>
      </w:r>
      <w:r w:rsidR="0043532A" w:rsidRPr="00FA667B">
        <w:t>. POPF</w:t>
      </w:r>
      <w:r w:rsidRPr="00FA667B">
        <w:t xml:space="preserve"> typu A se vyskytla u 25 nemocných, tedy v 10,4%. Řešením bylo ponechání drénu zavedeného p</w:t>
      </w:r>
      <w:r w:rsidR="0043532A" w:rsidRPr="00FA667B">
        <w:t xml:space="preserve">eroperačně. POPF </w:t>
      </w:r>
      <w:r w:rsidRPr="00FA667B">
        <w:t xml:space="preserve">typu B se vyskytla u pěti nemocných, tedy ve 2% případů. Ve třech </w:t>
      </w:r>
      <w:r w:rsidRPr="00FA667B">
        <w:lastRenderedPageBreak/>
        <w:t>případech byla řešena cílenou drenáží pod CT a ATB terapií. Ve dvou případech operační revizí a drenáží pod clonou</w:t>
      </w:r>
      <w:r w:rsidR="0043532A" w:rsidRPr="00FA667B">
        <w:t xml:space="preserve"> antibiotik. POPF</w:t>
      </w:r>
      <w:r w:rsidRPr="00FA667B">
        <w:t xml:space="preserve"> typu C se vyskytla ve dvou případech. Vždy byla ř</w:t>
      </w:r>
      <w:r w:rsidR="00E82D90" w:rsidRPr="00FA667B">
        <w:t xml:space="preserve">ešena operační revizí. PPH </w:t>
      </w:r>
      <w:r w:rsidRPr="00FA667B">
        <w:t xml:space="preserve">bylo </w:t>
      </w:r>
      <w:r w:rsidR="00E82D90" w:rsidRPr="00FA667B">
        <w:t xml:space="preserve">u 10 nemocných, tedy ve 4,1%. </w:t>
      </w:r>
      <w:r w:rsidRPr="00FA667B">
        <w:t xml:space="preserve">V pěti případech </w:t>
      </w:r>
      <w:r w:rsidR="0043532A" w:rsidRPr="00FA667B">
        <w:t>bylo PPF</w:t>
      </w:r>
      <w:r w:rsidRPr="00FA667B">
        <w:t xml:space="preserve"> řešeno za pomocí intervenčních radiologů s provedením coilingu nebo zavedením stentu. </w:t>
      </w:r>
    </w:p>
    <w:p w:rsidR="006002F1" w:rsidRPr="00FA667B" w:rsidRDefault="006002F1" w:rsidP="00FA667B">
      <w:pPr>
        <w:spacing w:line="360" w:lineRule="auto"/>
        <w:jc w:val="both"/>
      </w:pPr>
      <w:r w:rsidRPr="00FA667B">
        <w:rPr>
          <w:b/>
        </w:rPr>
        <w:t xml:space="preserve">Závěr: </w:t>
      </w:r>
      <w:r w:rsidRPr="00FA667B">
        <w:t>Adenokarcinom pankreatu je onemocnění s velmi špatnou prognózou. Jedinou kurativní metodou je chirurgická léčba. Tito nemocní by měli být operování v centrech se zaměřením na hepatobiliá</w:t>
      </w:r>
      <w:r w:rsidR="00E82D90" w:rsidRPr="00FA667B">
        <w:t>rní chirurgii</w:t>
      </w:r>
      <w:r w:rsidRPr="00FA667B">
        <w:t>. V případě výs</w:t>
      </w:r>
      <w:r w:rsidR="00E82D90" w:rsidRPr="00FA667B">
        <w:t>kytu pooperačních komplikací se slaší postup odvíjí od klinického</w:t>
      </w:r>
      <w:r w:rsidRPr="00FA667B">
        <w:t xml:space="preserve"> stavu nemocného. Pokud je nemocný hemodynamicky stabilní, pak je s výhodou využít miniinvazivních metod a přístupů. V případě nestability nemocného je nezbytná urgentní operační revize. </w:t>
      </w:r>
    </w:p>
    <w:p w:rsidR="006002F1" w:rsidRPr="00FA667B" w:rsidRDefault="006002F1" w:rsidP="00FA667B">
      <w:pPr>
        <w:spacing w:line="360" w:lineRule="auto"/>
        <w:jc w:val="both"/>
        <w:rPr>
          <w:b/>
        </w:rPr>
      </w:pPr>
    </w:p>
    <w:p w:rsidR="0043532A" w:rsidRPr="00FA667B" w:rsidRDefault="0043532A"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2100F7" w:rsidRDefault="002100F7" w:rsidP="007410CB">
      <w:pPr>
        <w:spacing w:line="360" w:lineRule="auto"/>
        <w:jc w:val="both"/>
        <w:rPr>
          <w:b/>
          <w:u w:val="single"/>
        </w:rPr>
      </w:pPr>
    </w:p>
    <w:p w:rsidR="002100F7" w:rsidRDefault="002100F7" w:rsidP="007410CB">
      <w:pPr>
        <w:spacing w:line="360" w:lineRule="auto"/>
        <w:jc w:val="both"/>
        <w:rPr>
          <w:b/>
          <w:u w:val="single"/>
        </w:rPr>
      </w:pPr>
      <w:bookmarkStart w:id="4" w:name="_GoBack"/>
      <w:bookmarkEnd w:id="4"/>
    </w:p>
    <w:p w:rsidR="006002F1" w:rsidRPr="00FA667B" w:rsidRDefault="003744AD" w:rsidP="007410CB">
      <w:pPr>
        <w:spacing w:line="360" w:lineRule="auto"/>
        <w:jc w:val="both"/>
        <w:rPr>
          <w:b/>
          <w:u w:val="single"/>
        </w:rPr>
      </w:pPr>
      <w:r>
        <w:rPr>
          <w:b/>
          <w:u w:val="single"/>
        </w:rPr>
        <w:lastRenderedPageBreak/>
        <w:t>6</w:t>
      </w:r>
      <w:r w:rsidR="008E5B85">
        <w:rPr>
          <w:b/>
          <w:u w:val="single"/>
        </w:rPr>
        <w:t>.</w:t>
      </w:r>
      <w:r w:rsidR="006002F1" w:rsidRPr="00FA667B">
        <w:rPr>
          <w:b/>
          <w:u w:val="single"/>
        </w:rPr>
        <w:t>1.Summary</w:t>
      </w:r>
    </w:p>
    <w:p w:rsidR="005B6366" w:rsidRPr="00FA667B" w:rsidRDefault="005B6366" w:rsidP="007410CB">
      <w:pPr>
        <w:pStyle w:val="Normlnweb"/>
        <w:spacing w:line="360" w:lineRule="auto"/>
        <w:jc w:val="both"/>
        <w:rPr>
          <w:color w:val="000000"/>
        </w:rPr>
      </w:pPr>
      <w:r w:rsidRPr="00FA667B">
        <w:rPr>
          <w:color w:val="000000"/>
        </w:rPr>
        <w:t xml:space="preserve">Introduction: Adenocarcinoma of the pancreas is a disease with a very poor prognosis. It is currently 4th in the number of deaths due to a malignancy. The incidence is 20/100000 inhabitants. Mortality is 18.5/100000. At the time of diagnosis, only 15% of patients are indicted for surgical treatment. The average survival time ranges between 13-21 months. 5-year survival in resectable tumours is less than 5%. Survival time in cases of metastatic disease averages between 2-3 months. Factors, which play a role in the development of pancreatic cancer include chronic pancreatitis, alcohol abuse, smoking, as well as genetics. </w:t>
      </w:r>
    </w:p>
    <w:p w:rsidR="005B6366" w:rsidRPr="00FA667B" w:rsidRDefault="005B6366" w:rsidP="007410CB">
      <w:pPr>
        <w:pStyle w:val="Normlnweb"/>
        <w:spacing w:line="360" w:lineRule="auto"/>
        <w:jc w:val="both"/>
        <w:rPr>
          <w:color w:val="000000"/>
        </w:rPr>
      </w:pPr>
      <w:r w:rsidRPr="00FA667B">
        <w:rPr>
          <w:color w:val="000000"/>
        </w:rPr>
        <w:t xml:space="preserve">Aim: The most serious and discussed complication of pancreaticoduodenectomy is pancreatic fistula. Another serious complication, which may develop in association with POPF is bleeding. My dissertation work evaluates and compares the incidence of complications, especially the development of pancreatic fistula when comparing the two techniques of pancreaticojejunoanastomosis reconstruction. In addition, I also evaluated other serious complications, such as bleeding, delayed gastric emptying, inflammatory complications and their methods of treatment. I also analysed the effect of complications on overall survival, mortality and morbidity. </w:t>
      </w:r>
    </w:p>
    <w:p w:rsidR="005B6366" w:rsidRPr="00FA667B" w:rsidRDefault="005B6366" w:rsidP="007410CB">
      <w:pPr>
        <w:pStyle w:val="Normlnweb"/>
        <w:spacing w:line="360" w:lineRule="auto"/>
        <w:jc w:val="both"/>
        <w:rPr>
          <w:color w:val="000000"/>
        </w:rPr>
      </w:pPr>
      <w:r w:rsidRPr="00FA667B">
        <w:rPr>
          <w:color w:val="000000"/>
        </w:rPr>
        <w:t>Materials and methods: Using a retrospectively-prospective study,we evaluated a set of patients operated on between January 2012 and December 2019 at the I. Department of Surgery at the University Hospital Olomouc. The set included 241 patients diagnosed with adenocarcinoma of the pancreas. This patient set was divided into two groups. The first group consisted of patients operated from 2012-2014, when the mucosa-to-mucosa suturing technique was used to construct the pancreaticojejunoanastomosis. The second group included patients operated between 2014-2019, where we adopted the PJA reconstruction technique from German authors from Heidelberg, the so-called duct-to-mucosa technique. Our retrospectively-prospective study evaluated the difference in the incidence of complications. Our study also evaluated the development in treatment of complications.</w:t>
      </w:r>
    </w:p>
    <w:p w:rsidR="005B6366" w:rsidRPr="00FA667B" w:rsidRDefault="005B6366" w:rsidP="007410CB">
      <w:pPr>
        <w:pStyle w:val="Normlnweb"/>
        <w:spacing w:line="360" w:lineRule="auto"/>
        <w:jc w:val="both"/>
        <w:rPr>
          <w:color w:val="000000"/>
        </w:rPr>
      </w:pPr>
      <w:r w:rsidRPr="00FA667B">
        <w:rPr>
          <w:color w:val="000000"/>
        </w:rPr>
        <w:t xml:space="preserve">Results: Complications were evaluated based on the Clavien-Dindo classification. Out of the total 241 patients, no complications were seen in 122. The average survival was 31 months. In our patient set, we discovered a lower incidence of type B pancreatic fistula in patients with the duct-to-mucosa technique of PJA reconstruction. However, this group had a higher number of intraabdominal abscesses. Another interesting finding was in evaluating survival time in </w:t>
      </w:r>
      <w:r w:rsidRPr="00FA667B">
        <w:rPr>
          <w:color w:val="000000"/>
        </w:rPr>
        <w:lastRenderedPageBreak/>
        <w:t xml:space="preserve">association with complication severity. No significant difference in survival was observed  among patients with various degree of complications according to the Clavien-Dindo classification 0, I-II, III-V.  A type A pancreatic fistula developed in 25 patients, which is 10.4%. Treatment was to maintain the intraoperatively introduced drain. A type B pancreatic fistula occurred in five patients, which is 2% of cases. In three cases, treatment consisted of targeted drainage under CT and antibiotic therapy. In the remaining two cases, surgical revision with antibiotics was required. A type C pancreatic fistula was observed in two cases. In both cases it was treated by surgical revision. Bleeding was seen in 10 patients, which is 4.1%. In five cases, bleeding was treated by coiling or stent introduction with the assistance of interventional radiologists.  </w:t>
      </w:r>
    </w:p>
    <w:p w:rsidR="005B6366" w:rsidRPr="00FA667B" w:rsidRDefault="005B6366" w:rsidP="007410CB">
      <w:pPr>
        <w:pStyle w:val="Normlnweb"/>
        <w:spacing w:line="360" w:lineRule="auto"/>
        <w:jc w:val="both"/>
        <w:rPr>
          <w:color w:val="000000"/>
        </w:rPr>
      </w:pPr>
      <w:r w:rsidRPr="00FA667B">
        <w:rPr>
          <w:color w:val="000000"/>
        </w:rPr>
        <w:t>Conclusion: Adenocarcinoma of the pancreas is a disease with a very poor prognosis. The only curative treatment is surgery. These patients should be operated in centres specializing in hepatobiliary surgery with access to a hybrid operating room. The clinical condition of the patient is important in case of postoperative complications. If the patientis hemodynamically stable, it is advantageous to use minimally invasive methods and approaches. In cases of unstable patients, urgent surgical revision is necessary.</w:t>
      </w:r>
    </w:p>
    <w:p w:rsidR="005B6366" w:rsidRPr="00FA667B" w:rsidRDefault="005B6366" w:rsidP="00FA667B">
      <w:pPr>
        <w:jc w:val="both"/>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11670A" w:rsidRPr="00FA667B" w:rsidRDefault="0011670A" w:rsidP="00FA667B">
      <w:pPr>
        <w:spacing w:line="360" w:lineRule="auto"/>
        <w:jc w:val="both"/>
        <w:rPr>
          <w:b/>
          <w:u w:val="single"/>
        </w:rPr>
      </w:pPr>
    </w:p>
    <w:p w:rsidR="00876D52" w:rsidRDefault="00876D52" w:rsidP="00FA667B">
      <w:pPr>
        <w:spacing w:line="360" w:lineRule="auto"/>
        <w:jc w:val="both"/>
        <w:rPr>
          <w:b/>
          <w:u w:val="single"/>
        </w:rPr>
      </w:pPr>
    </w:p>
    <w:p w:rsidR="00876D52" w:rsidRDefault="00876D52" w:rsidP="00FA667B">
      <w:pPr>
        <w:spacing w:line="360" w:lineRule="auto"/>
        <w:jc w:val="both"/>
        <w:rPr>
          <w:b/>
          <w:u w:val="single"/>
        </w:rPr>
      </w:pPr>
    </w:p>
    <w:p w:rsidR="007410CB" w:rsidRDefault="007410CB"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lastRenderedPageBreak/>
        <w:t>7</w:t>
      </w:r>
      <w:r w:rsidR="006002F1" w:rsidRPr="00FA667B">
        <w:rPr>
          <w:b/>
          <w:u w:val="single"/>
        </w:rPr>
        <w:t>.Přehled přednášek a publikací</w:t>
      </w:r>
    </w:p>
    <w:p w:rsidR="006002F1" w:rsidRPr="00FA667B" w:rsidRDefault="006002F1" w:rsidP="00FA667B">
      <w:pPr>
        <w:spacing w:line="360" w:lineRule="auto"/>
        <w:jc w:val="both"/>
        <w:rPr>
          <w:b/>
          <w:u w:val="single"/>
        </w:rPr>
      </w:pPr>
    </w:p>
    <w:p w:rsidR="00EA3468" w:rsidRPr="00FA667B" w:rsidRDefault="006002F1" w:rsidP="00FA667B">
      <w:pPr>
        <w:spacing w:line="360" w:lineRule="auto"/>
        <w:jc w:val="both"/>
      </w:pPr>
      <w:r w:rsidRPr="00FA667B">
        <w:rPr>
          <w:b/>
        </w:rPr>
        <w:t xml:space="preserve">Tesaříková J., </w:t>
      </w:r>
      <w:r w:rsidRPr="00FA667B">
        <w:t>Loveček M., Neoral Č., Vomáčková K., Nebarová L., Skalický P. Solidní pseudopapilární tumor pankreatu. Rozh Chir. 2017;96:163-177</w:t>
      </w:r>
    </w:p>
    <w:p w:rsidR="00EA3468" w:rsidRPr="00FA667B" w:rsidRDefault="00EA3468" w:rsidP="00FA667B">
      <w:pPr>
        <w:spacing w:line="360" w:lineRule="auto"/>
        <w:jc w:val="both"/>
      </w:pPr>
      <w:r w:rsidRPr="00FA667B">
        <w:rPr>
          <w:b/>
          <w:bCs/>
        </w:rPr>
        <w:tab/>
      </w:r>
    </w:p>
    <w:p w:rsidR="0011670A" w:rsidRDefault="00EA3468" w:rsidP="00FA667B">
      <w:pPr>
        <w:spacing w:line="360" w:lineRule="auto"/>
        <w:jc w:val="both"/>
        <w:rPr>
          <w:bCs/>
        </w:rPr>
      </w:pPr>
      <w:r w:rsidRPr="00FA667B">
        <w:t>Skalický P., Loveček M., Klos D., Neoral Č., Prášil V,</w:t>
      </w:r>
      <w:r w:rsidRPr="00FA667B">
        <w:rPr>
          <w:vertAlign w:val="superscript"/>
        </w:rPr>
        <w:t xml:space="preserve"> </w:t>
      </w:r>
      <w:r w:rsidRPr="00FA667B">
        <w:t xml:space="preserve">Starý L., Knápková K., </w:t>
      </w:r>
      <w:r w:rsidRPr="00FA667B">
        <w:rPr>
          <w:b/>
        </w:rPr>
        <w:t>Tesaříková J.</w:t>
      </w:r>
      <w:r w:rsidRPr="00FA667B">
        <w:t xml:space="preserve"> </w:t>
      </w:r>
      <w:r w:rsidRPr="00FA667B">
        <w:rPr>
          <w:bCs/>
        </w:rPr>
        <w:t>Ruptura aneuryzmatu arteria pankreatikoduodenalis inferior jako příčina hemoperitonea – kazuistika a review literatury. Rozh. Chir. 2021;</w:t>
      </w:r>
      <w:r w:rsidR="003A1DD5" w:rsidRPr="00FA667B">
        <w:rPr>
          <w:bCs/>
        </w:rPr>
        <w:t>1:100</w:t>
      </w:r>
    </w:p>
    <w:p w:rsidR="00876D52" w:rsidRPr="00FA667B" w:rsidRDefault="00876D52" w:rsidP="00FA667B">
      <w:pPr>
        <w:spacing w:line="360" w:lineRule="auto"/>
        <w:jc w:val="both"/>
        <w:rPr>
          <w:b/>
        </w:rPr>
      </w:pPr>
    </w:p>
    <w:p w:rsidR="00722E0C" w:rsidRPr="00FA667B" w:rsidRDefault="00EA3468" w:rsidP="00FA667B">
      <w:pPr>
        <w:spacing w:line="360" w:lineRule="auto"/>
        <w:jc w:val="both"/>
        <w:rPr>
          <w:lang w:val="en-CA"/>
        </w:rPr>
      </w:pPr>
      <w:r w:rsidRPr="00FA667B">
        <w:rPr>
          <w:b/>
        </w:rPr>
        <w:t>Tesaříková J.,</w:t>
      </w:r>
      <w:r w:rsidRPr="00FA667B">
        <w:t xml:space="preserve"> Skalický P., Neoral Č., Kurfürstová D., Švébišová H., Urban O., Falt P., Klos D., Loveček M. </w:t>
      </w:r>
      <w:r w:rsidR="00876D52">
        <w:t>Surgical Treatment of Duodenal Adenocarcinoma; Ampullary vs.Non-Ampullary, Short and Long Term Outcomes.</w:t>
      </w:r>
      <w:r w:rsidR="00722E0C" w:rsidRPr="00FA667B">
        <w:rPr>
          <w:lang w:val="en-CA"/>
        </w:rPr>
        <w:t xml:space="preserve"> Biomedical Papers</w:t>
      </w:r>
      <w:r w:rsidR="00C70801" w:rsidRPr="00FA667B">
        <w:rPr>
          <w:lang w:val="en-CA"/>
        </w:rPr>
        <w:t>.2021</w:t>
      </w:r>
      <w:r w:rsidR="007410CB">
        <w:rPr>
          <w:lang w:val="en-CA"/>
        </w:rPr>
        <w:t>;art.no.2786</w:t>
      </w:r>
    </w:p>
    <w:p w:rsidR="0011670A" w:rsidRPr="00FA667B" w:rsidRDefault="0011670A" w:rsidP="00FA667B">
      <w:pPr>
        <w:spacing w:line="360" w:lineRule="auto"/>
        <w:jc w:val="both"/>
      </w:pPr>
    </w:p>
    <w:p w:rsidR="006002F1" w:rsidRPr="00FA667B" w:rsidRDefault="006002F1" w:rsidP="00FA667B">
      <w:pPr>
        <w:spacing w:line="360" w:lineRule="auto"/>
        <w:jc w:val="both"/>
      </w:pPr>
      <w:r w:rsidRPr="00FA667B">
        <w:t xml:space="preserve">Ghotim M., Srovnal J., Nebarová L., </w:t>
      </w:r>
      <w:r w:rsidRPr="00FA667B">
        <w:rPr>
          <w:b/>
        </w:rPr>
        <w:t>Tesaříková J.,</w:t>
      </w:r>
      <w:r w:rsidRPr="00FA667B">
        <w:t xml:space="preserve"> Skalický P., Klos D., Prokopová A., Vahalíková M., Slavík H., Vrbková J., Neoral Č., Havlík R., Hajduch M., Loveček M. Stanovení exprese CEA, EGFR a utery v peritonální laváži u pacientů s adenokarcinomem pankreatu metodou RT-PCR. Rozh Chir. 2015;94:464-476</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Vrba R., Aujeský R., Stašek M., Vomáčková K., </w:t>
      </w:r>
      <w:r w:rsidRPr="00FA667B">
        <w:rPr>
          <w:b/>
        </w:rPr>
        <w:t>Tesaříková J.,</w:t>
      </w:r>
      <w:r w:rsidRPr="00FA667B">
        <w:t xml:space="preserve"> Hlaváčová L., Cincibuch J., Vrána D., Horáková M., Zapletalová J., Neoral Č. Karcinom jícnu – výsledky chirurgickéterapie na I.chirurgické klinice FN Olomouc. Rozh Chir. 2018;97:342-348</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Vrba R., Vrána D., Neoral Č., Aujeský R., Stašek M., Bohanes T</w:t>
      </w:r>
      <w:r w:rsidRPr="00FA667B">
        <w:rPr>
          <w:b/>
        </w:rPr>
        <w:t>., Tesaříková</w:t>
      </w:r>
      <w:r w:rsidRPr="00FA667B">
        <w:t xml:space="preserve"> J., Cincibuch J., Melichar B., Horáková M., Zapletalová J. Complications and mortality of surgical therapy for esophageal cancer: 10 year single center experience. Neoplasma. 2018;65:799-806</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Vrba R., Aujeský R., Neoral Č., Stašek M., Loveček M., </w:t>
      </w:r>
      <w:r w:rsidRPr="00FA667B">
        <w:rPr>
          <w:b/>
        </w:rPr>
        <w:t>Tesaříková J</w:t>
      </w:r>
      <w:r w:rsidRPr="00FA667B">
        <w:t>., Vomáčková K., Horáková M., Zapletalová J. Proximální gastrektomie u selektovaných pacientů s adenokarcinomem gastroezofageální junkce, bezprostřední a dlouhodobé výsledky operační terapie. Rozh Chir. 2016;95:439-443</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Vrba R., Vrána D., Neoral Č., Melichar B., Aujeský R., </w:t>
      </w:r>
      <w:r w:rsidRPr="00FA667B">
        <w:rPr>
          <w:b/>
        </w:rPr>
        <w:t>Tesaříková J.,</w:t>
      </w:r>
      <w:r w:rsidRPr="00FA667B">
        <w:t xml:space="preserve"> Cincibuch J., Zapletalová J., Jínek T., Stašek M. Respiratory complications following mini-invasive </w:t>
      </w:r>
      <w:r w:rsidRPr="00FA667B">
        <w:lastRenderedPageBreak/>
        <w:t>laparoscopic and thoracoscopic esophagectomy for esophageal cancer. Experience in 215 patients. Videosurgery Miniinv. 2019;14(1):52-59</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Aktivní účas na XIII. dnech mladých chirurgů Prf.Stanislava Čárského, Dr.Sc. Liberec, 2013. Přednáška: Střevní ischemie u pacienta po duodenopankreatektomii.</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Aktivní účast na XV.dni mladých chirurgov Prof.Stanislava Čárského, Dr.Sc., Bratislava, 5.-6.6.2015. Přednáška: Markery podílející se na abiogenezi a vzniku metaszát u adenokarcinomu pankreatu – první výsledky. </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Aktivní účast na 7.kongresu chirurgie jater, žlučových cest a pankreatu, Plzeň, 15.-16.6.2015. Přednáška: Markery podílející se na adenokarcinomu pankreatu.</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Aktivní účast na XVII.Pankreatologický den, Brno, 3.6.2016. Přednáška: Solidní pseudopapilární tumor.</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 xml:space="preserve">Aktivní účast na 8.kongresu chirurgie jater, žlučových cestách a pankreatu, Plzeň, 20.-21.9.2018. Poster: Solidní pseudopapilární tumor pankreatu. </w:t>
      </w: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Aktivní účast na 36.českém a aslovenském gastroenterologickém kongrese, Praha, 27.-29.11.2019. Poster: Solidní pseudopapilární tumor pankreatu.</w:t>
      </w:r>
    </w:p>
    <w:p w:rsidR="006002F1" w:rsidRPr="00FA667B" w:rsidRDefault="006002F1" w:rsidP="00FA667B">
      <w:pPr>
        <w:spacing w:line="360" w:lineRule="auto"/>
        <w:jc w:val="both"/>
        <w:rPr>
          <w:b/>
        </w:rPr>
      </w:pPr>
    </w:p>
    <w:p w:rsidR="006002F1" w:rsidRPr="00FA667B" w:rsidRDefault="006002F1" w:rsidP="00FA667B">
      <w:pPr>
        <w:spacing w:line="360" w:lineRule="auto"/>
        <w:jc w:val="both"/>
        <w:rPr>
          <w:b/>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6002F1" w:rsidRPr="00FA667B" w:rsidRDefault="006002F1" w:rsidP="00FA667B">
      <w:pPr>
        <w:spacing w:line="360" w:lineRule="auto"/>
        <w:jc w:val="both"/>
        <w:rPr>
          <w:b/>
          <w:u w:val="single"/>
        </w:rPr>
      </w:pPr>
    </w:p>
    <w:p w:rsidR="00ED2ACC" w:rsidRDefault="00ED2ACC"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7410CB" w:rsidRDefault="007410CB" w:rsidP="00FA667B">
      <w:pPr>
        <w:spacing w:line="360" w:lineRule="auto"/>
        <w:jc w:val="both"/>
        <w:rPr>
          <w:b/>
          <w:u w:val="single"/>
        </w:rPr>
      </w:pPr>
    </w:p>
    <w:p w:rsidR="006002F1" w:rsidRPr="00FA667B" w:rsidRDefault="003744AD" w:rsidP="00FA667B">
      <w:pPr>
        <w:spacing w:line="360" w:lineRule="auto"/>
        <w:jc w:val="both"/>
        <w:rPr>
          <w:b/>
          <w:u w:val="single"/>
        </w:rPr>
      </w:pPr>
      <w:r>
        <w:rPr>
          <w:b/>
          <w:u w:val="single"/>
        </w:rPr>
        <w:lastRenderedPageBreak/>
        <w:t>8</w:t>
      </w:r>
      <w:r w:rsidR="006002F1" w:rsidRPr="00FA667B">
        <w:rPr>
          <w:b/>
          <w:u w:val="single"/>
        </w:rPr>
        <w:t>.Literatura</w:t>
      </w:r>
    </w:p>
    <w:p w:rsidR="006002F1" w:rsidRPr="00FA667B" w:rsidRDefault="006002F1" w:rsidP="00FA667B">
      <w:pPr>
        <w:spacing w:line="360" w:lineRule="auto"/>
        <w:jc w:val="both"/>
      </w:pPr>
    </w:p>
    <w:p w:rsidR="006002F1" w:rsidRPr="00FA667B" w:rsidRDefault="006002F1" w:rsidP="00FA667B">
      <w:pPr>
        <w:numPr>
          <w:ilvl w:val="0"/>
          <w:numId w:val="5"/>
        </w:numPr>
        <w:spacing w:line="360" w:lineRule="auto"/>
        <w:jc w:val="both"/>
      </w:pPr>
      <w:r w:rsidRPr="00FA667B">
        <w:t>Zavoral M. et al. Karcinom pankreatu. Galen. 2005</w:t>
      </w:r>
    </w:p>
    <w:p w:rsidR="006002F1" w:rsidRPr="00FA667B" w:rsidRDefault="002100F7" w:rsidP="00FA667B">
      <w:pPr>
        <w:numPr>
          <w:ilvl w:val="0"/>
          <w:numId w:val="5"/>
        </w:numPr>
        <w:spacing w:line="360" w:lineRule="auto"/>
        <w:jc w:val="both"/>
      </w:pPr>
      <w:hyperlink r:id="rId57" w:history="1">
        <w:r w:rsidR="006002F1" w:rsidRPr="00FA667B">
          <w:rPr>
            <w:rStyle w:val="Hypertextovodkaz"/>
            <w:color w:val="auto"/>
            <w:u w:val="none"/>
          </w:rPr>
          <w:t>Scott AT</w:t>
        </w:r>
      </w:hyperlink>
      <w:r w:rsidR="006002F1" w:rsidRPr="00FA667B">
        <w:t xml:space="preserve">, </w:t>
      </w:r>
      <w:hyperlink r:id="rId58" w:history="1">
        <w:r w:rsidR="006002F1" w:rsidRPr="00FA667B">
          <w:rPr>
            <w:rStyle w:val="Hypertextovodkaz"/>
            <w:color w:val="auto"/>
            <w:u w:val="none"/>
          </w:rPr>
          <w:t>Howe JR</w:t>
        </w:r>
      </w:hyperlink>
      <w:r w:rsidR="006002F1" w:rsidRPr="00FA667B">
        <w:t xml:space="preserve">.et al. Evaluation and Management of Neuroendocrine Tumors of the Pancreas. </w:t>
      </w:r>
      <w:hyperlink r:id="rId59" w:tooltip="The Surgical clinics of North America." w:history="1">
        <w:r w:rsidR="006002F1" w:rsidRPr="00FA667B">
          <w:rPr>
            <w:rStyle w:val="Hypertextovodkaz"/>
            <w:color w:val="auto"/>
            <w:u w:val="none"/>
          </w:rPr>
          <w:t>Surg Clin North Am.</w:t>
        </w:r>
      </w:hyperlink>
      <w:r w:rsidR="006002F1" w:rsidRPr="00FA667B">
        <w:t xml:space="preserve"> 2019;99(4):793-814</w:t>
      </w:r>
    </w:p>
    <w:p w:rsidR="006002F1" w:rsidRPr="00FA667B" w:rsidRDefault="006002F1" w:rsidP="00FA667B">
      <w:pPr>
        <w:numPr>
          <w:ilvl w:val="0"/>
          <w:numId w:val="5"/>
        </w:numPr>
        <w:spacing w:line="360" w:lineRule="auto"/>
        <w:jc w:val="both"/>
      </w:pPr>
      <w:r w:rsidRPr="00FA667B">
        <w:t>Skalický T., Třeška V., Šnajdauf J. Hepato-pankreato-biliární chirurgie. Maxdorfjessenius. 2011</w:t>
      </w:r>
    </w:p>
    <w:p w:rsidR="006002F1" w:rsidRPr="00FA667B" w:rsidRDefault="006002F1" w:rsidP="00FA667B">
      <w:pPr>
        <w:numPr>
          <w:ilvl w:val="0"/>
          <w:numId w:val="5"/>
        </w:numPr>
        <w:spacing w:line="360" w:lineRule="auto"/>
        <w:jc w:val="both"/>
      </w:pPr>
      <w:r w:rsidRPr="00FA667B">
        <w:t>Krška Z., Voskovec D., Petrželka L. et al. Chirurgická onkologie. Grada. 2012</w:t>
      </w:r>
    </w:p>
    <w:p w:rsidR="006002F1" w:rsidRPr="00FA667B" w:rsidRDefault="006002F1" w:rsidP="00FA667B">
      <w:pPr>
        <w:numPr>
          <w:ilvl w:val="0"/>
          <w:numId w:val="5"/>
        </w:numPr>
        <w:spacing w:line="360" w:lineRule="auto"/>
        <w:jc w:val="both"/>
      </w:pPr>
      <w:r w:rsidRPr="00FA667B">
        <w:t xml:space="preserve">Ilic M, Ilic I. Epidemiology of pancreatic cancer. </w:t>
      </w:r>
      <w:hyperlink r:id="rId60" w:history="1">
        <w:r w:rsidRPr="00FA667B">
          <w:rPr>
            <w:rStyle w:val="Hypertextovodkaz"/>
            <w:color w:val="auto"/>
            <w:u w:val="none"/>
          </w:rPr>
          <w:t>World J Gastroenterol</w:t>
        </w:r>
      </w:hyperlink>
      <w:r w:rsidRPr="00FA667B">
        <w:t xml:space="preserve">. 2016; 22(44): 9694–9705. </w:t>
      </w:r>
    </w:p>
    <w:p w:rsidR="006002F1" w:rsidRPr="00FA667B" w:rsidRDefault="002100F7" w:rsidP="00FA667B">
      <w:pPr>
        <w:numPr>
          <w:ilvl w:val="0"/>
          <w:numId w:val="5"/>
        </w:numPr>
        <w:spacing w:line="360" w:lineRule="auto"/>
        <w:jc w:val="both"/>
      </w:pPr>
      <w:hyperlink r:id="rId61" w:history="1">
        <w:r w:rsidR="006002F1" w:rsidRPr="00FA667B">
          <w:rPr>
            <w:rStyle w:val="Hypertextovodkaz"/>
            <w:color w:val="auto"/>
            <w:u w:val="none"/>
          </w:rPr>
          <w:t>Maisonneuve</w:t>
        </w:r>
      </w:hyperlink>
      <w:r w:rsidR="006002F1" w:rsidRPr="00FA667B">
        <w:rPr>
          <w:rStyle w:val="al-author-name-more"/>
        </w:rPr>
        <w:t xml:space="preserve"> P.</w:t>
      </w:r>
      <w:r w:rsidR="006002F1" w:rsidRPr="00FA667B">
        <w:rPr>
          <w:rStyle w:val="delimiter"/>
        </w:rPr>
        <w:t xml:space="preserve">, </w:t>
      </w:r>
      <w:hyperlink r:id="rId62" w:history="1">
        <w:r w:rsidR="006002F1" w:rsidRPr="00FA667B">
          <w:rPr>
            <w:rStyle w:val="Hypertextovodkaz"/>
            <w:color w:val="auto"/>
            <w:u w:val="none"/>
          </w:rPr>
          <w:t>Lowenfels</w:t>
        </w:r>
      </w:hyperlink>
      <w:r w:rsidR="006002F1" w:rsidRPr="00FA667B">
        <w:rPr>
          <w:rStyle w:val="al-author-name-more"/>
        </w:rPr>
        <w:t xml:space="preserve"> A.B. </w:t>
      </w:r>
      <w:r w:rsidR="006002F1" w:rsidRPr="00FA667B">
        <w:t xml:space="preserve">Risk factors for pancreatic cancer: a summary review of meta-analytical studies. </w:t>
      </w:r>
      <w:r w:rsidR="006002F1" w:rsidRPr="00FA667B">
        <w:rPr>
          <w:rStyle w:val="Zdraznn"/>
          <w:i w:val="0"/>
        </w:rPr>
        <w:t>International Journal of Epidemiology</w:t>
      </w:r>
      <w:r w:rsidR="006002F1" w:rsidRPr="00FA667B">
        <w:t>. 2015; 44(1):186–198.</w:t>
      </w:r>
    </w:p>
    <w:p w:rsidR="006002F1" w:rsidRPr="00FA667B" w:rsidRDefault="002100F7" w:rsidP="00FA667B">
      <w:pPr>
        <w:numPr>
          <w:ilvl w:val="0"/>
          <w:numId w:val="5"/>
        </w:numPr>
        <w:spacing w:line="360" w:lineRule="auto"/>
        <w:jc w:val="both"/>
      </w:pPr>
      <w:hyperlink r:id="rId63" w:history="1">
        <w:r w:rsidR="006002F1" w:rsidRPr="00FA667B">
          <w:rPr>
            <w:rStyle w:val="Hypertextovodkaz"/>
            <w:color w:val="auto"/>
            <w:u w:val="none"/>
          </w:rPr>
          <w:t>Aune</w:t>
        </w:r>
      </w:hyperlink>
      <w:r w:rsidR="006002F1" w:rsidRPr="00FA667B">
        <w:rPr>
          <w:rStyle w:val="al-author-name-more"/>
        </w:rPr>
        <w:t xml:space="preserve"> D.</w:t>
      </w:r>
      <w:r w:rsidR="006002F1" w:rsidRPr="00FA667B">
        <w:rPr>
          <w:rStyle w:val="delimiter"/>
        </w:rPr>
        <w:t xml:space="preserve">, </w:t>
      </w:r>
      <w:hyperlink r:id="rId64" w:history="1">
        <w:r w:rsidR="006002F1" w:rsidRPr="00FA667B">
          <w:rPr>
            <w:rStyle w:val="Hypertextovodkaz"/>
            <w:color w:val="auto"/>
            <w:u w:val="none"/>
          </w:rPr>
          <w:t>Greenwood</w:t>
        </w:r>
      </w:hyperlink>
      <w:r w:rsidR="006002F1" w:rsidRPr="00FA667B">
        <w:rPr>
          <w:rStyle w:val="al-author-name-more"/>
        </w:rPr>
        <w:t xml:space="preserve"> D.C.</w:t>
      </w:r>
      <w:r w:rsidR="006002F1" w:rsidRPr="00FA667B">
        <w:rPr>
          <w:rStyle w:val="delimiter"/>
        </w:rPr>
        <w:t xml:space="preserve">, </w:t>
      </w:r>
      <w:hyperlink r:id="rId65" w:history="1">
        <w:r w:rsidR="006002F1" w:rsidRPr="00FA667B">
          <w:rPr>
            <w:rStyle w:val="Hypertextovodkaz"/>
            <w:color w:val="auto"/>
            <w:u w:val="none"/>
          </w:rPr>
          <w:t>Chan</w:t>
        </w:r>
      </w:hyperlink>
      <w:r w:rsidR="006002F1" w:rsidRPr="00FA667B">
        <w:rPr>
          <w:rStyle w:val="al-author-name-more"/>
        </w:rPr>
        <w:t xml:space="preserve"> D.S.M et al. </w:t>
      </w:r>
      <w:r w:rsidR="006002F1" w:rsidRPr="00FA667B">
        <w:rPr>
          <w:rStyle w:val="delimiter"/>
        </w:rPr>
        <w:t xml:space="preserve">, </w:t>
      </w:r>
      <w:r w:rsidR="006002F1" w:rsidRPr="00FA667B">
        <w:t xml:space="preserve">Body mass index, abdominal fatness and pancreatic cancer risk: a systematic review and non-linear dose–response meta-analysis of prospective studies. </w:t>
      </w:r>
      <w:r w:rsidR="006002F1" w:rsidRPr="00FA667B">
        <w:rPr>
          <w:rStyle w:val="Zdraznn"/>
          <w:i w:val="0"/>
        </w:rPr>
        <w:t>Annals of Oncology</w:t>
      </w:r>
      <w:r w:rsidR="006002F1" w:rsidRPr="00FA667B">
        <w:t>. 2012; 23(4):843–852</w:t>
      </w:r>
    </w:p>
    <w:p w:rsidR="006002F1" w:rsidRPr="00FA667B" w:rsidRDefault="006002F1" w:rsidP="00FA667B">
      <w:pPr>
        <w:numPr>
          <w:ilvl w:val="0"/>
          <w:numId w:val="5"/>
        </w:numPr>
        <w:spacing w:line="360" w:lineRule="auto"/>
        <w:jc w:val="both"/>
      </w:pPr>
      <w:r w:rsidRPr="00FA667B">
        <w:rPr>
          <w:rStyle w:val="textsurname"/>
        </w:rPr>
        <w:t>Raimondi S.,</w:t>
      </w:r>
      <w:r w:rsidRPr="00FA667B">
        <w:rPr>
          <w:rStyle w:val="textgiven-name"/>
        </w:rPr>
        <w:t xml:space="preserve"> </w:t>
      </w:r>
      <w:r w:rsidRPr="00FA667B">
        <w:rPr>
          <w:rStyle w:val="textsurname"/>
        </w:rPr>
        <w:t>Lowenfels A.B., Morselli-Labate A.M. et al.</w:t>
      </w:r>
      <w:r w:rsidRPr="00FA667B">
        <w:rPr>
          <w:rStyle w:val="text"/>
        </w:rPr>
        <w:t xml:space="preserve"> </w:t>
      </w:r>
      <w:r w:rsidRPr="00FA667B">
        <w:t xml:space="preserve"> </w:t>
      </w:r>
      <w:r w:rsidRPr="00FA667B">
        <w:rPr>
          <w:rStyle w:val="title-text"/>
        </w:rPr>
        <w:t xml:space="preserve">Pancreatic cancer in chronic pancreatitis; aetiology, incidence, and early detection. </w:t>
      </w:r>
      <w:hyperlink r:id="rId66" w:tooltip="Go to Best Practice &amp; Research Clinical Gastroenterology on ScienceDirect" w:history="1">
        <w:r w:rsidRPr="00FA667B">
          <w:rPr>
            <w:rStyle w:val="Hypertextovodkaz"/>
            <w:color w:val="auto"/>
            <w:u w:val="none"/>
          </w:rPr>
          <w:t>Best Practice &amp; Research Clinical Gastroenterology</w:t>
        </w:r>
      </w:hyperlink>
      <w:r w:rsidRPr="00FA667B">
        <w:t xml:space="preserve">. 2010; </w:t>
      </w:r>
      <w:hyperlink r:id="rId67" w:tooltip="Go to table of contents for this volume/issue" w:history="1">
        <w:r w:rsidRPr="00FA667B">
          <w:rPr>
            <w:rStyle w:val="Hypertextovodkaz"/>
            <w:color w:val="auto"/>
            <w:u w:val="none"/>
          </w:rPr>
          <w:t>24(3</w:t>
        </w:r>
      </w:hyperlink>
      <w:r w:rsidRPr="00FA667B">
        <w:t>):349-358</w:t>
      </w:r>
    </w:p>
    <w:p w:rsidR="006002F1" w:rsidRPr="00FA667B" w:rsidRDefault="006002F1" w:rsidP="00FA667B">
      <w:pPr>
        <w:numPr>
          <w:ilvl w:val="0"/>
          <w:numId w:val="5"/>
        </w:numPr>
        <w:spacing w:line="360" w:lineRule="auto"/>
        <w:jc w:val="both"/>
        <w:rPr>
          <w:rStyle w:val="element-citation"/>
        </w:rPr>
      </w:pPr>
      <w:r w:rsidRPr="00FA667B">
        <w:rPr>
          <w:rStyle w:val="element-citation"/>
        </w:rPr>
        <w:t xml:space="preserve">Greer JB, Whitcomb DC, Brand RE. Genetic predisposition to pancreatic cancer: a brief review. </w:t>
      </w:r>
      <w:r w:rsidRPr="00FA667B">
        <w:rPr>
          <w:rStyle w:val="ref-journal"/>
        </w:rPr>
        <w:t xml:space="preserve">Am J Gastroenterol. </w:t>
      </w:r>
      <w:r w:rsidRPr="00FA667B">
        <w:rPr>
          <w:rStyle w:val="element-citation"/>
        </w:rPr>
        <w:t>2007;</w:t>
      </w:r>
      <w:r w:rsidRPr="00FA667B">
        <w:rPr>
          <w:rStyle w:val="ref-vol"/>
        </w:rPr>
        <w:t>102</w:t>
      </w:r>
      <w:r w:rsidRPr="00FA667B">
        <w:rPr>
          <w:rStyle w:val="element-citation"/>
        </w:rPr>
        <w:t>:2564–2569.</w:t>
      </w:r>
    </w:p>
    <w:p w:rsidR="006002F1" w:rsidRPr="00FA667B" w:rsidRDefault="006002F1" w:rsidP="00FA667B">
      <w:pPr>
        <w:numPr>
          <w:ilvl w:val="0"/>
          <w:numId w:val="5"/>
        </w:numPr>
        <w:spacing w:line="360" w:lineRule="auto"/>
        <w:jc w:val="both"/>
        <w:rPr>
          <w:rStyle w:val="element-citation"/>
        </w:rPr>
      </w:pPr>
      <w:r w:rsidRPr="00FA667B">
        <w:rPr>
          <w:rStyle w:val="element-citation"/>
        </w:rPr>
        <w:t xml:space="preserve">Slebos RJ, Hoppin JA, Tolbert PE et al. K-ras and p53 in pancreatic cancer: association with medical history, histopathology, and environmental exposures in a population-based study. </w:t>
      </w:r>
      <w:r w:rsidRPr="00FA667B">
        <w:rPr>
          <w:rStyle w:val="ref-journal"/>
        </w:rPr>
        <w:t xml:space="preserve">Cancer Epidemiol Biomarkers Prev. </w:t>
      </w:r>
      <w:r w:rsidRPr="00FA667B">
        <w:rPr>
          <w:rStyle w:val="element-citation"/>
        </w:rPr>
        <w:t>2000;</w:t>
      </w:r>
      <w:r w:rsidRPr="00FA667B">
        <w:rPr>
          <w:rStyle w:val="ref-vol"/>
        </w:rPr>
        <w:t>9</w:t>
      </w:r>
      <w:r w:rsidRPr="00FA667B">
        <w:rPr>
          <w:rStyle w:val="element-citation"/>
        </w:rPr>
        <w:t xml:space="preserve">:1223–1232. </w:t>
      </w:r>
    </w:p>
    <w:p w:rsidR="006002F1" w:rsidRPr="00FA667B" w:rsidRDefault="002100F7" w:rsidP="00FA667B">
      <w:pPr>
        <w:numPr>
          <w:ilvl w:val="0"/>
          <w:numId w:val="5"/>
        </w:numPr>
        <w:spacing w:line="360" w:lineRule="auto"/>
        <w:jc w:val="both"/>
      </w:pPr>
      <w:hyperlink r:id="rId68" w:history="1">
        <w:r w:rsidR="006002F1" w:rsidRPr="00FA667B">
          <w:rPr>
            <w:rStyle w:val="Hypertextovodkaz"/>
            <w:color w:val="auto"/>
            <w:u w:val="none"/>
          </w:rPr>
          <w:t>Aggarwal</w:t>
        </w:r>
      </w:hyperlink>
      <w:r w:rsidR="006002F1" w:rsidRPr="00FA667B">
        <w:t xml:space="preserve"> G, </w:t>
      </w:r>
      <w:hyperlink r:id="rId69" w:history="1">
        <w:r w:rsidR="006002F1" w:rsidRPr="00FA667B">
          <w:rPr>
            <w:rStyle w:val="Hypertextovodkaz"/>
            <w:color w:val="auto"/>
            <w:u w:val="none"/>
          </w:rPr>
          <w:t>Kamada</w:t>
        </w:r>
      </w:hyperlink>
      <w:r w:rsidR="006002F1" w:rsidRPr="00FA667B">
        <w:t xml:space="preserve"> P., </w:t>
      </w:r>
      <w:hyperlink r:id="rId70" w:history="1">
        <w:r w:rsidR="006002F1" w:rsidRPr="00FA667B">
          <w:rPr>
            <w:rStyle w:val="Hypertextovodkaz"/>
            <w:color w:val="auto"/>
            <w:u w:val="none"/>
          </w:rPr>
          <w:t>Suresh T. Chari</w:t>
        </w:r>
      </w:hyperlink>
      <w:r w:rsidR="006002F1" w:rsidRPr="00FA667B">
        <w:t xml:space="preserve">. Prevalence of diabetes mellitus in pancreatic cancer compared to common cancers. </w:t>
      </w:r>
      <w:hyperlink r:id="rId71" w:tgtFrame="pmc_ext" w:history="1">
        <w:r w:rsidR="006002F1" w:rsidRPr="00FA667B">
          <w:rPr>
            <w:rStyle w:val="cit"/>
          </w:rPr>
          <w:t xml:space="preserve">Pancreas. 2013 Mar; 42(2): 198–201. </w:t>
        </w:r>
      </w:hyperlink>
    </w:p>
    <w:p w:rsidR="006002F1" w:rsidRPr="00FA667B" w:rsidRDefault="002100F7" w:rsidP="00FA667B">
      <w:pPr>
        <w:numPr>
          <w:ilvl w:val="0"/>
          <w:numId w:val="5"/>
        </w:numPr>
        <w:spacing w:line="360" w:lineRule="auto"/>
        <w:jc w:val="both"/>
      </w:pPr>
      <w:hyperlink r:id="rId72" w:history="1">
        <w:r w:rsidR="006002F1" w:rsidRPr="00FA667B">
          <w:rPr>
            <w:rStyle w:val="highlight"/>
            <w:lang w:val="da-DK"/>
          </w:rPr>
          <w:t>Kim HJ</w:t>
        </w:r>
      </w:hyperlink>
      <w:r w:rsidR="006002F1" w:rsidRPr="00FA667B">
        <w:rPr>
          <w:lang w:val="da-DK"/>
        </w:rPr>
        <w:t xml:space="preserve">, </w:t>
      </w:r>
      <w:hyperlink r:id="rId73" w:history="1">
        <w:r w:rsidR="006002F1" w:rsidRPr="00FA667B">
          <w:rPr>
            <w:rStyle w:val="highlight"/>
            <w:lang w:val="da-DK"/>
          </w:rPr>
          <w:t>Kim MH</w:t>
        </w:r>
      </w:hyperlink>
      <w:r w:rsidR="006002F1" w:rsidRPr="00FA667B">
        <w:rPr>
          <w:lang w:val="da-DK"/>
        </w:rPr>
        <w:t xml:space="preserve">, </w:t>
      </w:r>
      <w:hyperlink r:id="rId74" w:history="1">
        <w:r w:rsidR="006002F1" w:rsidRPr="00FA667B">
          <w:rPr>
            <w:rStyle w:val="highlight"/>
            <w:lang w:val="da-DK"/>
          </w:rPr>
          <w:t>Myung SJ</w:t>
        </w:r>
      </w:hyperlink>
      <w:r w:rsidR="006002F1" w:rsidRPr="00FA667B">
        <w:rPr>
          <w:lang w:val="da-DK"/>
        </w:rPr>
        <w:t xml:space="preserve"> et al. </w:t>
      </w:r>
      <w:r w:rsidR="006002F1" w:rsidRPr="00FA667B">
        <w:t xml:space="preserve">A </w:t>
      </w:r>
      <w:r w:rsidR="006002F1" w:rsidRPr="00FA667B">
        <w:rPr>
          <w:rStyle w:val="highlight"/>
        </w:rPr>
        <w:t>new</w:t>
      </w:r>
      <w:r w:rsidR="006002F1" w:rsidRPr="00FA667B">
        <w:t xml:space="preserve"> </w:t>
      </w:r>
      <w:r w:rsidR="006002F1" w:rsidRPr="00FA667B">
        <w:rPr>
          <w:rStyle w:val="highlight"/>
        </w:rPr>
        <w:t>strategy</w:t>
      </w:r>
      <w:r w:rsidR="006002F1" w:rsidRPr="00FA667B">
        <w:t xml:space="preserve"> for the application of CA19-</w:t>
      </w:r>
      <w:smartTag w:uri="urn:schemas-microsoft-com:office:smarttags" w:element="metricconverter">
        <w:smartTagPr>
          <w:attr w:name="ProductID" w:val="9 in"/>
        </w:smartTagPr>
        <w:r w:rsidR="006002F1" w:rsidRPr="00FA667B">
          <w:t>9 in</w:t>
        </w:r>
      </w:smartTag>
      <w:r w:rsidR="006002F1" w:rsidRPr="00FA667B">
        <w:t xml:space="preserve"> the differentiation of pancreaticobiliary cancer: analysis using a receiver operating characteristic curve. </w:t>
      </w:r>
      <w:hyperlink r:id="rId75" w:tooltip="The American journal of gastroenterology." w:history="1">
        <w:r w:rsidR="006002F1" w:rsidRPr="00FA667B">
          <w:t>Am J.Gastroenterol.</w:t>
        </w:r>
      </w:hyperlink>
      <w:r w:rsidR="006002F1" w:rsidRPr="00FA667B">
        <w:t xml:space="preserve"> 1999; 94(7):1941-6.</w:t>
      </w:r>
    </w:p>
    <w:p w:rsidR="006002F1" w:rsidRPr="00FA667B" w:rsidRDefault="006002F1" w:rsidP="00FA667B">
      <w:pPr>
        <w:numPr>
          <w:ilvl w:val="0"/>
          <w:numId w:val="5"/>
        </w:numPr>
        <w:spacing w:line="360" w:lineRule="auto"/>
        <w:jc w:val="both"/>
        <w:rPr>
          <w:rStyle w:val="tlid-translation"/>
        </w:rPr>
      </w:pPr>
      <w:r w:rsidRPr="00FA667B">
        <w:rPr>
          <w:rStyle w:val="tlid-translation"/>
        </w:rPr>
        <w:t>Hartwig W., Strobek O., Hinz U. et al. Ca 19-</w:t>
      </w:r>
      <w:smartTag w:uri="urn:schemas-microsoft-com:office:smarttags" w:element="metricconverter">
        <w:smartTagPr>
          <w:attr w:name="ProductID" w:val="9 in"/>
        </w:smartTagPr>
        <w:r w:rsidRPr="00FA667B">
          <w:rPr>
            <w:rStyle w:val="tlid-translation"/>
          </w:rPr>
          <w:t>9 in</w:t>
        </w:r>
      </w:smartTag>
      <w:r w:rsidRPr="00FA667B">
        <w:rPr>
          <w:rStyle w:val="tlid-translation"/>
        </w:rPr>
        <w:t xml:space="preserve"> potentially resectable pancreatic cancer: perspective to adjut surgical and perioperative therapy. Ann Surg Oncol. 2013; 20:2188-96</w:t>
      </w:r>
    </w:p>
    <w:p w:rsidR="006002F1" w:rsidRPr="00FA667B" w:rsidRDefault="006002F1" w:rsidP="00FA667B">
      <w:pPr>
        <w:numPr>
          <w:ilvl w:val="0"/>
          <w:numId w:val="5"/>
        </w:numPr>
        <w:spacing w:line="360" w:lineRule="auto"/>
        <w:jc w:val="both"/>
      </w:pPr>
      <w:r w:rsidRPr="00FA667B">
        <w:t>Neoptolemos J.P.,Urrutia R., Abbruzzesse J.L., Büchler M. Pancreatic cancer. Springer. 2010</w:t>
      </w:r>
    </w:p>
    <w:p w:rsidR="006002F1" w:rsidRPr="00FA667B" w:rsidRDefault="006002F1" w:rsidP="00FA667B">
      <w:pPr>
        <w:numPr>
          <w:ilvl w:val="0"/>
          <w:numId w:val="5"/>
        </w:numPr>
        <w:spacing w:line="360" w:lineRule="auto"/>
        <w:jc w:val="both"/>
      </w:pPr>
      <w:r w:rsidRPr="00FA667B">
        <w:lastRenderedPageBreak/>
        <w:t xml:space="preserve">Fogel E.L., Shahda S., Sandrasegaran K. et al. </w:t>
      </w:r>
      <w:r w:rsidRPr="00FA667B">
        <w:rPr>
          <w:bCs/>
        </w:rPr>
        <w:t xml:space="preserve">A Multidisciplinary Approach to Pancreas Cancer in 2016: A Review. </w:t>
      </w:r>
      <w:r w:rsidRPr="00FA667B">
        <w:t>Am J Gastroenterol. 2017; 112(4): 537–554</w:t>
      </w:r>
    </w:p>
    <w:p w:rsidR="006002F1" w:rsidRPr="00FA667B" w:rsidRDefault="006002F1" w:rsidP="00FA667B">
      <w:pPr>
        <w:numPr>
          <w:ilvl w:val="0"/>
          <w:numId w:val="5"/>
        </w:numPr>
        <w:spacing w:line="360" w:lineRule="auto"/>
        <w:jc w:val="both"/>
      </w:pPr>
      <w:r w:rsidRPr="00FA667B">
        <w:rPr>
          <w:bCs/>
        </w:rPr>
        <w:t>Kakita A et al. History of pancreaticojejunostomy in pancreatoduodenectomy: development of a more reliable anastomosis technique. Hepatobiliary Pancreat Surg 2001; 8: 230-237</w:t>
      </w:r>
    </w:p>
    <w:p w:rsidR="006002F1" w:rsidRPr="00FA667B" w:rsidRDefault="002100F7" w:rsidP="00FA667B">
      <w:pPr>
        <w:numPr>
          <w:ilvl w:val="0"/>
          <w:numId w:val="5"/>
        </w:numPr>
        <w:spacing w:line="360" w:lineRule="auto"/>
        <w:jc w:val="both"/>
      </w:pPr>
      <w:hyperlink r:id="rId76" w:history="1">
        <w:r w:rsidR="006002F1" w:rsidRPr="00FA667B">
          <w:rPr>
            <w:rStyle w:val="Hypertextovodkaz"/>
            <w:color w:val="auto"/>
            <w:u w:val="none"/>
          </w:rPr>
          <w:t>Chandrakanth Are</w:t>
        </w:r>
      </w:hyperlink>
      <w:r w:rsidR="006002F1" w:rsidRPr="00FA667B">
        <w:t>, </w:t>
      </w:r>
      <w:hyperlink r:id="rId77" w:history="1">
        <w:r w:rsidR="006002F1" w:rsidRPr="00FA667B">
          <w:rPr>
            <w:rStyle w:val="Hypertextovodkaz"/>
            <w:color w:val="auto"/>
            <w:u w:val="none"/>
          </w:rPr>
          <w:t>Mashaal Dhir</w:t>
        </w:r>
      </w:hyperlink>
      <w:r w:rsidR="006002F1" w:rsidRPr="00FA667B">
        <w:t>, </w:t>
      </w:r>
      <w:hyperlink r:id="rId78" w:history="1">
        <w:r w:rsidR="006002F1" w:rsidRPr="00FA667B">
          <w:rPr>
            <w:rStyle w:val="Hypertextovodkaz"/>
            <w:color w:val="auto"/>
            <w:u w:val="none"/>
          </w:rPr>
          <w:t>Lavanya Ravipati</w:t>
        </w:r>
      </w:hyperlink>
      <w:r w:rsidR="006002F1" w:rsidRPr="00FA667B">
        <w:t xml:space="preserve">. </w:t>
      </w:r>
      <w:r w:rsidR="006002F1" w:rsidRPr="00FA667B">
        <w:rPr>
          <w:bCs/>
        </w:rPr>
        <w:t>History of pancreaticoduodenectomy: early misconceptions, initial milestones and the pioneers. HPB (Oxford). 2011; 13(6): 377-384</w:t>
      </w:r>
    </w:p>
    <w:p w:rsidR="006002F1" w:rsidRPr="00FA667B" w:rsidRDefault="006002F1" w:rsidP="00FA667B">
      <w:pPr>
        <w:numPr>
          <w:ilvl w:val="0"/>
          <w:numId w:val="5"/>
        </w:numPr>
        <w:spacing w:line="360" w:lineRule="auto"/>
        <w:jc w:val="both"/>
      </w:pPr>
      <w:r w:rsidRPr="00FA667B">
        <w:t>Carlos Fernández-del Castillo, Vicente Morales-Oyarvide, Deborah McGrath et.al. Evolution of the Whipple procedure at the Massachusetts General Hospital. Surgery. 2012; 152(3 0 1): 56–63</w:t>
      </w:r>
    </w:p>
    <w:p w:rsidR="006002F1" w:rsidRPr="00FA667B" w:rsidRDefault="006002F1" w:rsidP="00FA667B">
      <w:pPr>
        <w:numPr>
          <w:ilvl w:val="0"/>
          <w:numId w:val="5"/>
        </w:numPr>
        <w:spacing w:line="360" w:lineRule="auto"/>
        <w:jc w:val="both"/>
      </w:pPr>
      <w:r w:rsidRPr="00FA667B">
        <w:t>Hartwig W., Vollmer C.M., Fingerhut A. et al. Extended pancreatectomy in pancreatic ductal adenocarcinoma: definition and consensus of the International Study Group for Pancreatic Surgery (ISGPS). Surgery. 2014;156: 1-14</w:t>
      </w:r>
    </w:p>
    <w:p w:rsidR="006002F1" w:rsidRPr="00FA667B" w:rsidRDefault="006002F1" w:rsidP="00FA667B">
      <w:pPr>
        <w:numPr>
          <w:ilvl w:val="0"/>
          <w:numId w:val="5"/>
        </w:numPr>
        <w:spacing w:line="360" w:lineRule="auto"/>
        <w:jc w:val="both"/>
      </w:pPr>
      <w:r w:rsidRPr="00FA667B">
        <w:t>Strasberg S M et al. Prospective Trial of Blood Supply-Based Technique of Pancreaticojejunostomy: Effect on Anastomotic Failure in the Whipple Procedure. Journal Americal College of Surgeons 2002; 194(6): 746-758</w:t>
      </w:r>
    </w:p>
    <w:p w:rsidR="006002F1" w:rsidRPr="00FA667B" w:rsidRDefault="006002F1" w:rsidP="00FA667B">
      <w:pPr>
        <w:numPr>
          <w:ilvl w:val="0"/>
          <w:numId w:val="5"/>
        </w:numPr>
        <w:spacing w:line="360" w:lineRule="auto"/>
        <w:jc w:val="both"/>
      </w:pPr>
      <w:r w:rsidRPr="00FA667B">
        <w:rPr>
          <w:bCs/>
        </w:rPr>
        <w:t>Yeo CJ et al. A prospective randomized trial of pancreaticogastrostomy versus pancreaticojejunostomy after pancreaticoduodenectomy. Ann Surg 2005;222: 580-588</w:t>
      </w:r>
    </w:p>
    <w:p w:rsidR="006002F1" w:rsidRPr="00FA667B" w:rsidRDefault="006002F1" w:rsidP="00FA667B">
      <w:pPr>
        <w:numPr>
          <w:ilvl w:val="0"/>
          <w:numId w:val="5"/>
        </w:numPr>
        <w:spacing w:line="360" w:lineRule="auto"/>
        <w:jc w:val="both"/>
      </w:pPr>
      <w:r w:rsidRPr="00FA667B">
        <w:rPr>
          <w:bCs/>
        </w:rPr>
        <w:t>Bassi C et al. Reconstruction by pancreaticojejunostomy versus pancreaticogastrostomy following pancreatectomy pancreatectomy: result of a comparative study. Ann Surg 2005; 242:767-771</w:t>
      </w:r>
    </w:p>
    <w:p w:rsidR="006002F1" w:rsidRPr="00FA667B" w:rsidRDefault="006002F1" w:rsidP="00FA667B">
      <w:pPr>
        <w:numPr>
          <w:ilvl w:val="0"/>
          <w:numId w:val="5"/>
        </w:numPr>
        <w:spacing w:line="360" w:lineRule="auto"/>
        <w:jc w:val="both"/>
      </w:pPr>
      <w:r w:rsidRPr="00FA667B">
        <w:t>Bassi et al.</w:t>
      </w:r>
      <w:r w:rsidRPr="00FA667B">
        <w:rPr>
          <w:bCs/>
        </w:rPr>
        <w:t xml:space="preserve"> Open pancreaticogastrostomy after pancreaticoduodenectomy: A pilot study. </w:t>
      </w:r>
      <w:r w:rsidRPr="00FA667B">
        <w:t>Journal of Gastrointestinal Surgery 2006</w:t>
      </w:r>
    </w:p>
    <w:p w:rsidR="006002F1" w:rsidRPr="00FA667B" w:rsidRDefault="006002F1" w:rsidP="00FA667B">
      <w:pPr>
        <w:numPr>
          <w:ilvl w:val="0"/>
          <w:numId w:val="5"/>
        </w:numPr>
        <w:spacing w:line="360" w:lineRule="auto"/>
        <w:jc w:val="both"/>
      </w:pPr>
      <w:r w:rsidRPr="00FA667B">
        <w:t xml:space="preserve">Bitsakou  et al. </w:t>
      </w:r>
      <w:r w:rsidRPr="00FA667B">
        <w:rPr>
          <w:bCs/>
        </w:rPr>
        <w:t>An alternative pancreatic anastomosis following pancreaticoduodenectomy</w:t>
      </w:r>
      <w:r w:rsidRPr="00FA667B">
        <w:t>. Arch Surg 2011</w:t>
      </w:r>
    </w:p>
    <w:p w:rsidR="006002F1" w:rsidRPr="00FA667B" w:rsidRDefault="006002F1" w:rsidP="00FA667B">
      <w:pPr>
        <w:numPr>
          <w:ilvl w:val="0"/>
          <w:numId w:val="5"/>
        </w:numPr>
        <w:spacing w:line="360" w:lineRule="auto"/>
        <w:jc w:val="both"/>
      </w:pPr>
      <w:r w:rsidRPr="00FA667B">
        <w:rPr>
          <w:bCs/>
        </w:rPr>
        <w:t xml:space="preserve">Pancreaticogastrostomy after Pancreaticoduodenectomy. </w:t>
      </w:r>
      <w:r w:rsidRPr="00FA667B">
        <w:t>Annals of the Royal College of Surgeons of England (1990)</w:t>
      </w:r>
    </w:p>
    <w:p w:rsidR="006002F1" w:rsidRPr="00FA667B" w:rsidRDefault="006002F1" w:rsidP="00FA667B">
      <w:pPr>
        <w:numPr>
          <w:ilvl w:val="0"/>
          <w:numId w:val="5"/>
        </w:numPr>
        <w:spacing w:line="360" w:lineRule="auto"/>
        <w:jc w:val="both"/>
      </w:pPr>
      <w:r w:rsidRPr="00FA667B">
        <w:t>Strasberg S M et al. Prospective Trial of Blood Supply-Based Technique of Pancreaticojejunostomy: Effect on Anastomotic Failure in the Whipple Procedure. Journal Americal College of Surgeons 2002; 194(6): 746-758)</w:t>
      </w:r>
    </w:p>
    <w:p w:rsidR="006002F1" w:rsidRPr="00FA667B" w:rsidRDefault="006002F1" w:rsidP="00FA667B">
      <w:pPr>
        <w:numPr>
          <w:ilvl w:val="0"/>
          <w:numId w:val="5"/>
        </w:numPr>
        <w:spacing w:line="360" w:lineRule="auto"/>
        <w:jc w:val="both"/>
      </w:pPr>
      <w:r w:rsidRPr="00FA667B">
        <w:t>Roch A.M., House m.G.Cioffi J. et al. Significance of portal vein invasion and extent of invasion in patients undergoing pancreatoduodenectomy for pancreatic adenocarcinoma. J.Gastrointestinal Surg. 2016; 20: 479-87</w:t>
      </w:r>
    </w:p>
    <w:p w:rsidR="006002F1" w:rsidRPr="00FA667B" w:rsidRDefault="006002F1" w:rsidP="00FA667B">
      <w:pPr>
        <w:numPr>
          <w:ilvl w:val="0"/>
          <w:numId w:val="5"/>
        </w:numPr>
        <w:spacing w:line="360" w:lineRule="auto"/>
        <w:jc w:val="both"/>
      </w:pPr>
      <w:r w:rsidRPr="00FA667B">
        <w:lastRenderedPageBreak/>
        <w:t>Dokmak S., Aussilhous B., Sauvanet A. et al. Parietal peritoneum as an autologous substitute for venous reconstruction in hepatopancreatobiliary surgery. Ann Surg. 2015; 262: 366-71</w:t>
      </w:r>
    </w:p>
    <w:p w:rsidR="006002F1" w:rsidRPr="00FA667B" w:rsidRDefault="006002F1" w:rsidP="00FA667B">
      <w:pPr>
        <w:numPr>
          <w:ilvl w:val="0"/>
          <w:numId w:val="5"/>
        </w:numPr>
        <w:spacing w:line="360" w:lineRule="auto"/>
        <w:jc w:val="both"/>
      </w:pPr>
      <w:r w:rsidRPr="00FA667B">
        <w:t>Fujii T., Yamada S. et al. Vein resections &gt;3cm during pancreatectomy are associated with poor 1-year palency rates. Surgery 2005; 157:708-15</w:t>
      </w:r>
    </w:p>
    <w:p w:rsidR="006002F1" w:rsidRPr="00FA667B" w:rsidRDefault="006002F1" w:rsidP="00FA667B">
      <w:pPr>
        <w:numPr>
          <w:ilvl w:val="0"/>
          <w:numId w:val="5"/>
        </w:numPr>
        <w:spacing w:line="360" w:lineRule="auto"/>
        <w:jc w:val="both"/>
      </w:pPr>
      <w:r w:rsidRPr="00FA667B">
        <w:t>Dokmak S., Aussilhous B., Sauvanet A. et al. Parietal peritoneum as an autologous substitute for venous reconstruction in hepatopancreatobiliary surgery. Ann Surg. 2015; 262: 366-71</w:t>
      </w:r>
    </w:p>
    <w:p w:rsidR="006002F1" w:rsidRPr="00FA667B" w:rsidRDefault="006002F1" w:rsidP="00FA667B">
      <w:pPr>
        <w:numPr>
          <w:ilvl w:val="0"/>
          <w:numId w:val="5"/>
        </w:numPr>
        <w:spacing w:line="360" w:lineRule="auto"/>
        <w:jc w:val="both"/>
      </w:pPr>
      <w:r w:rsidRPr="00FA667B">
        <w:t>Zhang Q., Wu J., Tian Y. et al. Arterial resection and reconstruction in pancreatectomy: surgical technique and outcomes. BMC Surgery. 2019; 19:141-51</w:t>
      </w:r>
    </w:p>
    <w:p w:rsidR="006002F1" w:rsidRPr="00FA667B" w:rsidRDefault="002100F7" w:rsidP="00FA667B">
      <w:pPr>
        <w:numPr>
          <w:ilvl w:val="0"/>
          <w:numId w:val="5"/>
        </w:numPr>
        <w:spacing w:line="360" w:lineRule="auto"/>
        <w:jc w:val="both"/>
      </w:pPr>
      <w:hyperlink r:id="rId79" w:history="1">
        <w:r w:rsidR="006002F1" w:rsidRPr="00FA667B">
          <w:rPr>
            <w:rStyle w:val="Hypertextovodkaz"/>
            <w:color w:val="auto"/>
            <w:u w:val="none"/>
            <w:shd w:val="clear" w:color="auto" w:fill="FFFFFF"/>
          </w:rPr>
          <w:t>Abe Fingerhut</w:t>
        </w:r>
      </w:hyperlink>
      <w:r w:rsidR="006002F1" w:rsidRPr="00FA667B">
        <w:t xml:space="preserve"> A.</w:t>
      </w:r>
      <w:r w:rsidR="006002F1" w:rsidRPr="00FA667B">
        <w:rPr>
          <w:shd w:val="clear" w:color="auto" w:fill="FFFFFF"/>
        </w:rPr>
        <w:t>,</w:t>
      </w:r>
      <w:r w:rsidR="006002F1" w:rsidRPr="00FA667B">
        <w:t xml:space="preserve"> </w:t>
      </w:r>
      <w:hyperlink r:id="rId80" w:history="1">
        <w:r w:rsidR="006002F1" w:rsidRPr="00FA667B">
          <w:rPr>
            <w:rStyle w:val="Hypertextovodkaz"/>
            <w:color w:val="auto"/>
            <w:u w:val="none"/>
            <w:shd w:val="clear" w:color="auto" w:fill="FFFFFF"/>
          </w:rPr>
          <w:t>Selman Uranues</w:t>
        </w:r>
      </w:hyperlink>
      <w:r w:rsidR="006002F1" w:rsidRPr="00FA667B">
        <w:t xml:space="preserve"> S.</w:t>
      </w:r>
      <w:r w:rsidR="006002F1" w:rsidRPr="00FA667B">
        <w:rPr>
          <w:shd w:val="clear" w:color="auto" w:fill="FFFFFF"/>
        </w:rPr>
        <w:t>,</w:t>
      </w:r>
      <w:r w:rsidR="006002F1" w:rsidRPr="00FA667B">
        <w:rPr>
          <w:shd w:val="clear" w:color="auto" w:fill="FFFFFF"/>
          <w:vertAlign w:val="superscript"/>
        </w:rPr>
        <w:t xml:space="preserve"> </w:t>
      </w:r>
      <w:hyperlink r:id="rId81" w:history="1">
        <w:r w:rsidR="006002F1" w:rsidRPr="00FA667B">
          <w:rPr>
            <w:rStyle w:val="Hypertextovodkaz"/>
            <w:color w:val="auto"/>
            <w:u w:val="none"/>
            <w:shd w:val="clear" w:color="auto" w:fill="FFFFFF"/>
          </w:rPr>
          <w:t>Igor Khatkov</w:t>
        </w:r>
      </w:hyperlink>
      <w:r w:rsidR="006002F1" w:rsidRPr="00FA667B">
        <w:t xml:space="preserve"> I.</w:t>
      </w:r>
      <w:r w:rsidR="006002F1" w:rsidRPr="00FA667B">
        <w:rPr>
          <w:shd w:val="clear" w:color="auto" w:fill="FFFFFF"/>
        </w:rPr>
        <w:t xml:space="preserve"> et al. </w:t>
      </w:r>
      <w:r w:rsidR="006002F1" w:rsidRPr="00FA667B">
        <w:rPr>
          <w:bCs/>
        </w:rPr>
        <w:t xml:space="preserve">Laparoscopic distal pancreatectomy: better than open? </w:t>
      </w:r>
      <w:hyperlink r:id="rId82" w:history="1">
        <w:r w:rsidR="006002F1" w:rsidRPr="00FA667B">
          <w:rPr>
            <w:rStyle w:val="Hypertextovodkaz"/>
            <w:color w:val="auto"/>
            <w:u w:val="none"/>
            <w:shd w:val="clear" w:color="auto" w:fill="FFFFFF"/>
          </w:rPr>
          <w:t>Transl Gastroenterol Hepatol</w:t>
        </w:r>
      </w:hyperlink>
      <w:r w:rsidR="006002F1" w:rsidRPr="00FA667B">
        <w:rPr>
          <w:shd w:val="clear" w:color="auto" w:fill="FFFFFF"/>
        </w:rPr>
        <w:t>. 2018; 3: 49.</w:t>
      </w:r>
    </w:p>
    <w:p w:rsidR="006002F1" w:rsidRPr="00FA667B" w:rsidRDefault="002100F7" w:rsidP="00FA667B">
      <w:pPr>
        <w:numPr>
          <w:ilvl w:val="0"/>
          <w:numId w:val="5"/>
        </w:numPr>
        <w:spacing w:line="360" w:lineRule="auto"/>
        <w:jc w:val="both"/>
      </w:pPr>
      <w:hyperlink r:id="rId83" w:history="1">
        <w:r w:rsidR="006002F1" w:rsidRPr="00FA667B">
          <w:rPr>
            <w:rStyle w:val="Hypertextovodkaz"/>
            <w:color w:val="auto"/>
            <w:u w:val="none"/>
            <w:shd w:val="clear" w:color="auto" w:fill="FFFFFF"/>
          </w:rPr>
          <w:t>Antila</w:t>
        </w:r>
      </w:hyperlink>
      <w:r w:rsidR="006002F1" w:rsidRPr="00FA667B">
        <w:t xml:space="preserve"> A.</w:t>
      </w:r>
      <w:r w:rsidR="006002F1" w:rsidRPr="00FA667B">
        <w:rPr>
          <w:shd w:val="clear" w:color="auto" w:fill="FFFFFF"/>
        </w:rPr>
        <w:t>, </w:t>
      </w:r>
      <w:hyperlink r:id="rId84" w:history="1">
        <w:r w:rsidR="006002F1" w:rsidRPr="00FA667B">
          <w:rPr>
            <w:rStyle w:val="Hypertextovodkaz"/>
            <w:color w:val="auto"/>
            <w:u w:val="none"/>
            <w:shd w:val="clear" w:color="auto" w:fill="FFFFFF"/>
          </w:rPr>
          <w:t>Sand</w:t>
        </w:r>
      </w:hyperlink>
      <w:r w:rsidR="006002F1" w:rsidRPr="00FA667B">
        <w:t xml:space="preserve"> J.</w:t>
      </w:r>
      <w:r w:rsidR="006002F1" w:rsidRPr="00FA667B">
        <w:rPr>
          <w:shd w:val="clear" w:color="auto" w:fill="FFFFFF"/>
        </w:rPr>
        <w:t>, </w:t>
      </w:r>
      <w:hyperlink r:id="rId85" w:history="1">
        <w:r w:rsidR="006002F1" w:rsidRPr="00FA667B">
          <w:rPr>
            <w:rStyle w:val="Hypertextovodkaz"/>
            <w:color w:val="auto"/>
            <w:u w:val="none"/>
            <w:shd w:val="clear" w:color="auto" w:fill="FFFFFF"/>
          </w:rPr>
          <w:t>Nordback</w:t>
        </w:r>
      </w:hyperlink>
      <w:r w:rsidR="006002F1" w:rsidRPr="00FA667B">
        <w:t xml:space="preserve"> I. et al.</w:t>
      </w:r>
      <w:r w:rsidR="006002F1" w:rsidRPr="00FA667B">
        <w:rPr>
          <w:bCs/>
        </w:rPr>
        <w:t xml:space="preserve"> Is Roux-Y Binding Pancreaticojejunal Anastomosis Feasible for Patients Undergoing Left Pancreatectomy? Results from a Prospective Randomized Trial. Biomed Res Int. 2014; 6</w:t>
      </w:r>
    </w:p>
    <w:p w:rsidR="006002F1" w:rsidRPr="00FA667B" w:rsidRDefault="002100F7" w:rsidP="00FA667B">
      <w:pPr>
        <w:numPr>
          <w:ilvl w:val="0"/>
          <w:numId w:val="5"/>
        </w:numPr>
        <w:spacing w:line="360" w:lineRule="auto"/>
        <w:jc w:val="both"/>
      </w:pPr>
      <w:hyperlink r:id="rId86" w:history="1">
        <w:r w:rsidR="006002F1" w:rsidRPr="00FA667B">
          <w:rPr>
            <w:rStyle w:val="Hypertextovodkaz"/>
            <w:color w:val="auto"/>
            <w:u w:val="none"/>
          </w:rPr>
          <w:t>Probst P</w:t>
        </w:r>
      </w:hyperlink>
      <w:r w:rsidR="006002F1" w:rsidRPr="00FA667B">
        <w:t>, </w:t>
      </w:r>
      <w:hyperlink r:id="rId87" w:history="1">
        <w:r w:rsidR="006002F1" w:rsidRPr="00FA667B">
          <w:rPr>
            <w:rStyle w:val="Hypertextovodkaz"/>
            <w:color w:val="auto"/>
            <w:u w:val="none"/>
          </w:rPr>
          <w:t>Hüttner FJ</w:t>
        </w:r>
      </w:hyperlink>
      <w:r w:rsidR="006002F1" w:rsidRPr="00FA667B">
        <w:t>, </w:t>
      </w:r>
      <w:hyperlink r:id="rId88" w:history="1">
        <w:r w:rsidR="006002F1" w:rsidRPr="00FA667B">
          <w:rPr>
            <w:rStyle w:val="Hypertextovodkaz"/>
            <w:color w:val="auto"/>
            <w:u w:val="none"/>
          </w:rPr>
          <w:t>Klaiber U</w:t>
        </w:r>
      </w:hyperlink>
      <w:r w:rsidR="006002F1" w:rsidRPr="00FA667B">
        <w:t xml:space="preserve"> et al. </w:t>
      </w:r>
      <w:r w:rsidR="006002F1" w:rsidRPr="00FA667B">
        <w:rPr>
          <w:rStyle w:val="highlight"/>
        </w:rPr>
        <w:t>Stapler</w:t>
      </w:r>
      <w:r w:rsidR="006002F1" w:rsidRPr="00FA667B">
        <w:t> versus scalpel resection followed by hand-sewn closure of the pancreatic remnant for distal </w:t>
      </w:r>
      <w:r w:rsidR="006002F1" w:rsidRPr="00FA667B">
        <w:rPr>
          <w:rStyle w:val="highlight"/>
        </w:rPr>
        <w:t>pancreatectomy</w:t>
      </w:r>
      <w:r w:rsidR="006002F1" w:rsidRPr="00FA667B">
        <w:t xml:space="preserve">. </w:t>
      </w:r>
      <w:hyperlink r:id="rId89" w:tooltip="The Cochrane database of systematic reviews." w:history="1">
        <w:r w:rsidR="006002F1" w:rsidRPr="00FA667B">
          <w:rPr>
            <w:rStyle w:val="Hypertextovodkaz"/>
            <w:color w:val="auto"/>
            <w:u w:val="none"/>
          </w:rPr>
          <w:t>Cochrane Database Syst Rev.</w:t>
        </w:r>
      </w:hyperlink>
      <w:r w:rsidR="006002F1" w:rsidRPr="00FA667B">
        <w:t> 2015;11:3-10</w:t>
      </w:r>
    </w:p>
    <w:p w:rsidR="006002F1" w:rsidRPr="00FA667B" w:rsidRDefault="006002F1" w:rsidP="00FA667B">
      <w:pPr>
        <w:numPr>
          <w:ilvl w:val="0"/>
          <w:numId w:val="5"/>
        </w:numPr>
        <w:spacing w:line="360" w:lineRule="auto"/>
        <w:jc w:val="both"/>
      </w:pPr>
      <w:r w:rsidRPr="00FA667B">
        <w:t>Sarang Hong, Ki Byung Song</w:t>
      </w:r>
      <w:hyperlink r:id="rId90" w:tooltip="mtsong21c@amc.seoul.kr" w:history="1">
        <w:r w:rsidRPr="00FA667B">
          <w:t>,</w:t>
        </w:r>
      </w:hyperlink>
      <w:r w:rsidRPr="00FA667B">
        <w:t xml:space="preserve"> Ahmad A. Madkhali et al. </w:t>
      </w:r>
      <w:r w:rsidRPr="00FA667B">
        <w:rPr>
          <w:bCs/>
          <w:spacing w:val="2"/>
        </w:rPr>
        <w:t xml:space="preserve">Robotic versus laparoscopic distal pancreatectomy for left-sided pancreatic tumors: a single surgeon’s experience of 228 consecutive cases. </w:t>
      </w:r>
      <w:r w:rsidRPr="00FA667B">
        <w:rPr>
          <w:spacing w:val="4"/>
          <w:shd w:val="clear" w:color="auto" w:fill="FCFCFC"/>
        </w:rPr>
        <w:t>Surgical Endoscopy. 2019; pp 1-9</w:t>
      </w:r>
    </w:p>
    <w:p w:rsidR="006002F1" w:rsidRPr="00FA667B" w:rsidRDefault="006002F1" w:rsidP="00FA667B">
      <w:pPr>
        <w:numPr>
          <w:ilvl w:val="0"/>
          <w:numId w:val="5"/>
        </w:numPr>
        <w:spacing w:line="360" w:lineRule="auto"/>
        <w:jc w:val="both"/>
      </w:pPr>
      <w:r w:rsidRPr="00FA667B">
        <w:t>Del Chiaro M, Rangelova E., Segersva R. Are there still indications for total pancreatectomy? Updates Surg. 2016; 68:257–263</w:t>
      </w:r>
    </w:p>
    <w:p w:rsidR="006002F1" w:rsidRPr="00FA667B" w:rsidRDefault="006002F1" w:rsidP="00FA667B">
      <w:pPr>
        <w:numPr>
          <w:ilvl w:val="0"/>
          <w:numId w:val="5"/>
        </w:numPr>
        <w:spacing w:line="360" w:lineRule="auto"/>
        <w:jc w:val="both"/>
      </w:pPr>
      <w:r w:rsidRPr="00FA667B">
        <w:t>Canto M., Harinck F., Hruban RH et al. International Cancer of Pancreas Screening (CAPS) Consortium International Cancer of the Pancreas Screening (CAPS) Consortium summit on the management of patients with increased risk for familial pancreatic cancer. Gut. 2013;62:339–347</w:t>
      </w:r>
    </w:p>
    <w:p w:rsidR="006002F1" w:rsidRPr="00FA667B" w:rsidRDefault="002100F7" w:rsidP="00FA667B">
      <w:pPr>
        <w:numPr>
          <w:ilvl w:val="0"/>
          <w:numId w:val="5"/>
        </w:numPr>
        <w:spacing w:line="360" w:lineRule="auto"/>
        <w:jc w:val="both"/>
      </w:pPr>
      <w:hyperlink r:id="rId91" w:history="1">
        <w:r w:rsidR="006002F1" w:rsidRPr="00FA667B">
          <w:rPr>
            <w:rStyle w:val="Hypertextovodkaz"/>
            <w:color w:val="auto"/>
            <w:u w:val="none"/>
          </w:rPr>
          <w:t>Chandrakanth Are</w:t>
        </w:r>
      </w:hyperlink>
      <w:r w:rsidR="006002F1" w:rsidRPr="00FA667B">
        <w:t>, </w:t>
      </w:r>
      <w:hyperlink r:id="rId92" w:history="1">
        <w:r w:rsidR="006002F1" w:rsidRPr="00FA667B">
          <w:rPr>
            <w:rStyle w:val="Hypertextovodkaz"/>
            <w:color w:val="auto"/>
            <w:u w:val="none"/>
          </w:rPr>
          <w:t>Mashaal Dhir</w:t>
        </w:r>
      </w:hyperlink>
      <w:r w:rsidR="006002F1" w:rsidRPr="00FA667B">
        <w:t>, </w:t>
      </w:r>
      <w:hyperlink r:id="rId93" w:history="1">
        <w:r w:rsidR="006002F1" w:rsidRPr="00FA667B">
          <w:rPr>
            <w:rStyle w:val="Hypertextovodkaz"/>
            <w:color w:val="auto"/>
            <w:u w:val="none"/>
          </w:rPr>
          <w:t>Lavanya Ravipati</w:t>
        </w:r>
      </w:hyperlink>
      <w:r w:rsidR="006002F1" w:rsidRPr="00FA667B">
        <w:t xml:space="preserve">. </w:t>
      </w:r>
      <w:r w:rsidR="006002F1" w:rsidRPr="00FA667B">
        <w:rPr>
          <w:bCs/>
        </w:rPr>
        <w:t>History of pancreaticoduodenectomy: early misconceptions, initial milestones and the pioneers. HPB (Oxford). 2011; 13(6): 377-384</w:t>
      </w:r>
    </w:p>
    <w:p w:rsidR="006002F1" w:rsidRPr="00FA667B" w:rsidRDefault="006002F1" w:rsidP="00FA667B">
      <w:pPr>
        <w:numPr>
          <w:ilvl w:val="0"/>
          <w:numId w:val="5"/>
        </w:numPr>
        <w:spacing w:line="360" w:lineRule="auto"/>
        <w:jc w:val="both"/>
      </w:pPr>
      <w:r w:rsidRPr="00FA667B">
        <w:rPr>
          <w:shd w:val="clear" w:color="auto" w:fill="FFFFFF"/>
        </w:rPr>
        <w:t>Pedrazzoli S., Berger H.g., Obertop H. et al. A surgical and pathological based classification of resective treatment of pancreatic cancer. Summary of an international workshop on surgical procedures in pancreatic cancer. Dig |Surg. 1999;16:337-45</w:t>
      </w:r>
    </w:p>
    <w:p w:rsidR="006002F1" w:rsidRPr="00FA667B" w:rsidRDefault="006002F1" w:rsidP="00FA667B">
      <w:pPr>
        <w:numPr>
          <w:ilvl w:val="0"/>
          <w:numId w:val="5"/>
        </w:numPr>
        <w:spacing w:line="360" w:lineRule="auto"/>
        <w:jc w:val="both"/>
      </w:pPr>
      <w:r w:rsidRPr="00FA667B">
        <w:lastRenderedPageBreak/>
        <w:t>Egawa S., Toma H., Ohigashi H. et al. Japan Pancreatic Cancer Registr: 30th zdar anniversary. Pancreas.  2012;41:985-92</w:t>
      </w:r>
    </w:p>
    <w:p w:rsidR="006002F1" w:rsidRPr="00FA667B" w:rsidRDefault="006002F1" w:rsidP="00FA667B">
      <w:pPr>
        <w:numPr>
          <w:ilvl w:val="0"/>
          <w:numId w:val="5"/>
        </w:numPr>
        <w:spacing w:line="360" w:lineRule="auto"/>
        <w:jc w:val="both"/>
      </w:pPr>
      <w:r w:rsidRPr="00FA667B">
        <w:rPr>
          <w:shd w:val="clear" w:color="auto" w:fill="FFFFFF"/>
        </w:rPr>
        <w:t xml:space="preserve">Tol J., Gouma D., Bassi C. et al. Konsensus: Definition of a standard lymfadenectomy in surgery for pancreatic ductal adenocarcinoma: A consesnsus statement by the International Study Group on Pancreatic Surgery. Surgery. 2014; 591-600 lymfadenektomie </w:t>
      </w:r>
    </w:p>
    <w:p w:rsidR="006002F1" w:rsidRPr="00FA667B" w:rsidRDefault="006002F1" w:rsidP="00FA667B">
      <w:pPr>
        <w:numPr>
          <w:ilvl w:val="0"/>
          <w:numId w:val="5"/>
        </w:numPr>
        <w:spacing w:line="360" w:lineRule="auto"/>
        <w:jc w:val="both"/>
      </w:pPr>
      <w:r w:rsidRPr="00FA667B">
        <w:rPr>
          <w:bCs/>
        </w:rPr>
        <w:t>Tachezy M.,Gebauer F.,Janot M., Waldemar U. Synchronous resections of hepatic oligometastatic pancreatic cancer: Disputing a principle in a time of safe pancreatic operations in a retrospective multicenter analysis. Surgery. 2016; 160 (1):</w:t>
      </w:r>
      <w:r w:rsidRPr="00FA667B">
        <w:t>136-144</w:t>
      </w:r>
    </w:p>
    <w:p w:rsidR="006002F1" w:rsidRPr="00FA667B" w:rsidRDefault="006002F1" w:rsidP="00FA667B">
      <w:pPr>
        <w:numPr>
          <w:ilvl w:val="0"/>
          <w:numId w:val="5"/>
        </w:numPr>
        <w:spacing w:line="360" w:lineRule="auto"/>
        <w:jc w:val="both"/>
      </w:pPr>
      <w:r w:rsidRPr="00FA667B">
        <w:t>Sen N., Falk S., Abrams R.A. et al. Role od Chemoradiotherapy in the Adjutant and Neoadjuvant Settings for Resectabl Pancreatic Cancer. Clinical Oncology. 2014;26:551-559</w:t>
      </w:r>
    </w:p>
    <w:p w:rsidR="006002F1" w:rsidRPr="00FA667B" w:rsidRDefault="006002F1" w:rsidP="00FA667B">
      <w:pPr>
        <w:numPr>
          <w:ilvl w:val="0"/>
          <w:numId w:val="5"/>
        </w:numPr>
        <w:spacing w:line="360" w:lineRule="auto"/>
        <w:jc w:val="both"/>
      </w:pPr>
      <w:r w:rsidRPr="00FA667B">
        <w:t>Stocken D.D. , Büchler M.W. , Dervenis C. et al. Meta-analysis of randomised adjuvant therapy trials for pancreatic cancer. British Journal of Cancer. 2005; 92: 1373-1381</w:t>
      </w:r>
    </w:p>
    <w:p w:rsidR="006002F1" w:rsidRPr="00FA667B" w:rsidRDefault="006002F1" w:rsidP="00FA667B">
      <w:pPr>
        <w:numPr>
          <w:ilvl w:val="0"/>
          <w:numId w:val="5"/>
        </w:numPr>
        <w:spacing w:line="360" w:lineRule="auto"/>
        <w:jc w:val="both"/>
      </w:pPr>
      <w:r w:rsidRPr="00FA667B">
        <w:t>Brunner T.B., Grabenbauer G.G., Meyer T. et al. Primary resection versus neoadjuvantionchemoradiation followed by resection for locally resectable or potentially resectable pancreatic carcinoma without distanc metastatis: A multi-centre prospectively randomised phase II-study of the Interdisciplinary Working Group Gastrointestinal Timours (AIO, ARO and CAO). BMC Cancer. 2007;7:41</w:t>
      </w:r>
    </w:p>
    <w:p w:rsidR="006002F1" w:rsidRPr="00FA667B" w:rsidRDefault="002100F7" w:rsidP="00FA667B">
      <w:pPr>
        <w:numPr>
          <w:ilvl w:val="0"/>
          <w:numId w:val="5"/>
        </w:numPr>
        <w:spacing w:line="360" w:lineRule="auto"/>
        <w:jc w:val="both"/>
      </w:pPr>
      <w:hyperlink r:id="rId94" w:history="1">
        <w:r w:rsidR="006002F1" w:rsidRPr="00FA667B">
          <w:rPr>
            <w:rStyle w:val="Hypertextovodkaz"/>
            <w:color w:val="auto"/>
            <w:u w:val="none"/>
            <w:shd w:val="clear" w:color="auto" w:fill="FFFFFF"/>
          </w:rPr>
          <w:t>Suker</w:t>
        </w:r>
      </w:hyperlink>
      <w:r w:rsidR="006002F1" w:rsidRPr="00FA667B">
        <w:t xml:space="preserve"> M.</w:t>
      </w:r>
      <w:r w:rsidR="006002F1" w:rsidRPr="00FA667B">
        <w:rPr>
          <w:shd w:val="clear" w:color="auto" w:fill="FFFFFF"/>
        </w:rPr>
        <w:t xml:space="preserve">, </w:t>
      </w:r>
      <w:hyperlink r:id="rId95" w:history="1">
        <w:r w:rsidR="006002F1" w:rsidRPr="00FA667B">
          <w:rPr>
            <w:rStyle w:val="Hypertextovodkaz"/>
            <w:color w:val="auto"/>
            <w:u w:val="none"/>
            <w:shd w:val="clear" w:color="auto" w:fill="FFFFFF"/>
          </w:rPr>
          <w:t>Beumer</w:t>
        </w:r>
      </w:hyperlink>
      <w:r w:rsidR="006002F1" w:rsidRPr="00FA667B">
        <w:t xml:space="preserve"> B.R.</w:t>
      </w:r>
      <w:r w:rsidR="006002F1" w:rsidRPr="00FA667B">
        <w:rPr>
          <w:shd w:val="clear" w:color="auto" w:fill="FFFFFF"/>
        </w:rPr>
        <w:t>,</w:t>
      </w:r>
      <w:r w:rsidR="006002F1" w:rsidRPr="00FA667B">
        <w:rPr>
          <w:shd w:val="clear" w:color="auto" w:fill="FFFFFF"/>
          <w:vertAlign w:val="superscript"/>
        </w:rPr>
        <w:t xml:space="preserve"> </w:t>
      </w:r>
      <w:hyperlink r:id="rId96" w:history="1">
        <w:r w:rsidR="006002F1" w:rsidRPr="00FA667B">
          <w:rPr>
            <w:rStyle w:val="Hypertextovodkaz"/>
            <w:color w:val="auto"/>
            <w:u w:val="none"/>
            <w:shd w:val="clear" w:color="auto" w:fill="FFFFFF"/>
          </w:rPr>
          <w:t>Sadot</w:t>
        </w:r>
      </w:hyperlink>
      <w:r w:rsidR="006002F1" w:rsidRPr="00FA667B">
        <w:rPr>
          <w:shd w:val="clear" w:color="auto" w:fill="FFFFFF"/>
        </w:rPr>
        <w:t xml:space="preserve"> E. et al. </w:t>
      </w:r>
      <w:r w:rsidR="006002F1" w:rsidRPr="00FA667B">
        <w:rPr>
          <w:bCs/>
        </w:rPr>
        <w:t>A patient-level meta-analysis of FOLFIRINOX for locally advanced pancreatic cancer. Lancet oncol. 2016; 17(6):801-810</w:t>
      </w:r>
    </w:p>
    <w:p w:rsidR="006002F1" w:rsidRPr="00FA667B" w:rsidRDefault="002100F7" w:rsidP="00FA667B">
      <w:pPr>
        <w:numPr>
          <w:ilvl w:val="0"/>
          <w:numId w:val="5"/>
        </w:numPr>
        <w:spacing w:line="360" w:lineRule="auto"/>
        <w:jc w:val="both"/>
      </w:pPr>
      <w:hyperlink r:id="rId97" w:history="1">
        <w:r w:rsidR="006002F1" w:rsidRPr="00FA667B">
          <w:rPr>
            <w:rStyle w:val="Hypertextovodkaz"/>
            <w:color w:val="auto"/>
            <w:u w:val="none"/>
            <w:shd w:val="clear" w:color="auto" w:fill="FFFFFF"/>
          </w:rPr>
          <w:t>Stefan Heinrich</w:t>
        </w:r>
      </w:hyperlink>
      <w:r w:rsidR="006002F1" w:rsidRPr="00FA667B">
        <w:t xml:space="preserve"> S.</w:t>
      </w:r>
      <w:r w:rsidR="006002F1" w:rsidRPr="00FA667B">
        <w:rPr>
          <w:shd w:val="clear" w:color="auto" w:fill="FFFFFF"/>
        </w:rPr>
        <w:t>, </w:t>
      </w:r>
      <w:hyperlink r:id="rId98" w:history="1">
        <w:r w:rsidR="006002F1" w:rsidRPr="00FA667B">
          <w:rPr>
            <w:rStyle w:val="Hypertextovodkaz"/>
            <w:color w:val="auto"/>
            <w:u w:val="none"/>
            <w:shd w:val="clear" w:color="auto" w:fill="FFFFFF"/>
          </w:rPr>
          <w:t>Pestalozzi</w:t>
        </w:r>
      </w:hyperlink>
      <w:r w:rsidR="006002F1" w:rsidRPr="00FA667B">
        <w:t xml:space="preserve"> B</w:t>
      </w:r>
      <w:r w:rsidR="006002F1" w:rsidRPr="00FA667B">
        <w:rPr>
          <w:shd w:val="clear" w:color="auto" w:fill="FFFFFF"/>
        </w:rPr>
        <w:t>, </w:t>
      </w:r>
      <w:hyperlink r:id="rId99" w:history="1">
        <w:r w:rsidR="006002F1" w:rsidRPr="00FA667B">
          <w:rPr>
            <w:rStyle w:val="Hypertextovodkaz"/>
            <w:color w:val="auto"/>
            <w:u w:val="none"/>
            <w:shd w:val="clear" w:color="auto" w:fill="FFFFFF"/>
          </w:rPr>
          <w:t>Lesurtel</w:t>
        </w:r>
      </w:hyperlink>
      <w:r w:rsidR="006002F1" w:rsidRPr="00FA667B">
        <w:t xml:space="preserve"> M.</w:t>
      </w:r>
      <w:r w:rsidR="006002F1" w:rsidRPr="00FA667B">
        <w:rPr>
          <w:shd w:val="clear" w:color="auto" w:fill="FFFFFF"/>
        </w:rPr>
        <w:t xml:space="preserve"> et al. </w:t>
      </w:r>
      <w:r w:rsidR="006002F1" w:rsidRPr="00FA667B">
        <w:rPr>
          <w:bCs/>
        </w:rPr>
        <w:t>Adjuvant gemcitabine versus NEOadjuvant gemcitabine/oxaliplatin plus adjuvant gemcitabine in resectable pancreatic cancer: a randomized multicenter phase III study (NEOPAC study). BMC Cancer. 2011;11:346</w:t>
      </w:r>
    </w:p>
    <w:p w:rsidR="006002F1" w:rsidRPr="00FA667B" w:rsidRDefault="006002F1" w:rsidP="00FA667B">
      <w:pPr>
        <w:numPr>
          <w:ilvl w:val="0"/>
          <w:numId w:val="5"/>
        </w:numPr>
        <w:spacing w:line="360" w:lineRule="auto"/>
        <w:jc w:val="both"/>
      </w:pPr>
      <w:r w:rsidRPr="00FA667B">
        <w:t>Wentao Zhou, Weiwei Jin, Dansong Wang et al. Laparoskopic versus open pancreaticoduodenectomy for pancreatic ductal adenocarcinoma: a propensity score matching analysis. Cancer Commun. 2019;39:66</w:t>
      </w:r>
    </w:p>
    <w:p w:rsidR="006002F1" w:rsidRPr="00FA667B" w:rsidRDefault="006002F1" w:rsidP="00FA667B">
      <w:pPr>
        <w:numPr>
          <w:ilvl w:val="0"/>
          <w:numId w:val="5"/>
        </w:numPr>
        <w:spacing w:line="360" w:lineRule="auto"/>
        <w:jc w:val="both"/>
      </w:pPr>
      <w:r w:rsidRPr="00FA667B">
        <w:t xml:space="preserve">Nickel F., Haney C., Kowalewski K. et al. Laparoscopic Versus Open Pancreaticoduodenectomy: A Systematic review and Meta-analysis of Randomized Controlled trials. Annals of Surgery. </w:t>
      </w:r>
      <w:r w:rsidRPr="00FA667B">
        <w:rPr>
          <w:shd w:val="clear" w:color="auto" w:fill="FFFFFF"/>
        </w:rPr>
        <w:t>2020;271(1):54-66.</w:t>
      </w:r>
    </w:p>
    <w:p w:rsidR="006002F1" w:rsidRPr="00FA667B" w:rsidRDefault="006002F1" w:rsidP="00FA667B">
      <w:pPr>
        <w:numPr>
          <w:ilvl w:val="0"/>
          <w:numId w:val="5"/>
        </w:numPr>
        <w:spacing w:line="360" w:lineRule="auto"/>
        <w:jc w:val="both"/>
      </w:pPr>
      <w:r w:rsidRPr="00FA667B">
        <w:t xml:space="preserve">Klompmaker, van Hilst, Wellner et al. Outcomes After Minimally-invasive Versus Open Pancreatoduodenectomy: A Pan-European Propensity Score Matched Study. Annals of Surgery. </w:t>
      </w:r>
      <w:r w:rsidRPr="00FA667B">
        <w:rPr>
          <w:shd w:val="clear" w:color="auto" w:fill="FFFFFF"/>
        </w:rPr>
        <w:t>2020 Feb;271(2):356-363.</w:t>
      </w:r>
    </w:p>
    <w:p w:rsidR="006002F1" w:rsidRPr="00FA667B" w:rsidRDefault="006002F1" w:rsidP="00FA667B">
      <w:pPr>
        <w:numPr>
          <w:ilvl w:val="0"/>
          <w:numId w:val="5"/>
        </w:numPr>
        <w:spacing w:line="360" w:lineRule="auto"/>
        <w:jc w:val="both"/>
      </w:pPr>
      <w:r w:rsidRPr="00FA667B">
        <w:rPr>
          <w:bCs/>
        </w:rPr>
        <w:lastRenderedPageBreak/>
        <w:t>Hackert T., Werner J., Büchler M.W. et al. Review: Postoperative pancreatic fistula. The Surgeon. 2011; 9:211-217</w:t>
      </w:r>
    </w:p>
    <w:p w:rsidR="006002F1" w:rsidRPr="00FA667B" w:rsidRDefault="006002F1" w:rsidP="00FA667B">
      <w:pPr>
        <w:numPr>
          <w:ilvl w:val="0"/>
          <w:numId w:val="5"/>
        </w:numPr>
        <w:spacing w:line="360" w:lineRule="auto"/>
        <w:jc w:val="both"/>
      </w:pPr>
      <w:r w:rsidRPr="00FA667B">
        <w:t>Bassi C., Dervenis Ch., Butturini G. Et al. Postoperative pancreatic fistula: An international study group (ISGPF) definition. Surgery. 2005; 138(1): 8-13</w:t>
      </w:r>
    </w:p>
    <w:p w:rsidR="006002F1" w:rsidRPr="00FA667B" w:rsidRDefault="006002F1" w:rsidP="00FA667B">
      <w:pPr>
        <w:numPr>
          <w:ilvl w:val="0"/>
          <w:numId w:val="5"/>
        </w:numPr>
        <w:spacing w:line="360" w:lineRule="auto"/>
        <w:jc w:val="both"/>
      </w:pPr>
      <w:r w:rsidRPr="00FA667B">
        <w:t>Bassi C., Marchegiani G., Dervenis Ch. et al. The 2016 update od the International Study Group (ISGPS) definition and grading of postoperative pancreatic fistula: 11 Years After. Surgery. 2016; 161(3):584-591</w:t>
      </w:r>
    </w:p>
    <w:p w:rsidR="006002F1" w:rsidRPr="00FA667B" w:rsidRDefault="006002F1" w:rsidP="00FA667B">
      <w:pPr>
        <w:numPr>
          <w:ilvl w:val="0"/>
          <w:numId w:val="5"/>
        </w:numPr>
        <w:spacing w:line="360" w:lineRule="auto"/>
        <w:jc w:val="both"/>
      </w:pPr>
      <w:r w:rsidRPr="00FA667B">
        <w:t>Kanda M., Fujii T, Suenaga M. et al. Espimated panceatic parenchymal remnant volume accurately predicts clinically relevant pancreatic fistula after pancreatoduodenectomy. Surgery. 2014; 156(3): 601-610</w:t>
      </w:r>
    </w:p>
    <w:p w:rsidR="006002F1" w:rsidRPr="00FA667B" w:rsidRDefault="006002F1" w:rsidP="00FA667B">
      <w:pPr>
        <w:numPr>
          <w:ilvl w:val="0"/>
          <w:numId w:val="5"/>
        </w:numPr>
        <w:spacing w:line="360" w:lineRule="auto"/>
        <w:jc w:val="both"/>
      </w:pPr>
      <w:r w:rsidRPr="00FA667B">
        <w:rPr>
          <w:bCs/>
        </w:rPr>
        <w:t>Hackert T., Werner J., Büchler M.W. et al. Review: Postoperative pancreatic fistula. The Surgeon. 2011; 9:211-217</w:t>
      </w:r>
    </w:p>
    <w:p w:rsidR="006002F1" w:rsidRPr="00FA667B" w:rsidRDefault="002100F7" w:rsidP="00FA667B">
      <w:pPr>
        <w:numPr>
          <w:ilvl w:val="0"/>
          <w:numId w:val="5"/>
        </w:numPr>
        <w:spacing w:line="360" w:lineRule="auto"/>
        <w:jc w:val="both"/>
      </w:pPr>
      <w:hyperlink r:id="rId100" w:history="1">
        <w:r w:rsidR="006002F1" w:rsidRPr="00FA667B">
          <w:rPr>
            <w:rStyle w:val="Hypertextovodkaz"/>
            <w:color w:val="auto"/>
            <w:u w:val="none"/>
            <w:shd w:val="clear" w:color="auto" w:fill="FFFFFF"/>
          </w:rPr>
          <w:t>Smits</w:t>
        </w:r>
      </w:hyperlink>
      <w:r w:rsidR="006002F1" w:rsidRPr="00FA667B">
        <w:t xml:space="preserve"> F.J.,</w:t>
      </w:r>
      <w:r w:rsidR="006002F1" w:rsidRPr="00FA667B">
        <w:rPr>
          <w:shd w:val="clear" w:color="auto" w:fill="FFFFFF"/>
        </w:rPr>
        <w:t> </w:t>
      </w:r>
      <w:hyperlink r:id="rId101" w:history="1">
        <w:r w:rsidR="006002F1" w:rsidRPr="00FA667B">
          <w:rPr>
            <w:rStyle w:val="Hypertextovodkaz"/>
            <w:color w:val="auto"/>
            <w:u w:val="none"/>
            <w:shd w:val="clear" w:color="auto" w:fill="FFFFFF"/>
          </w:rPr>
          <w:t>van Santvoort</w:t>
        </w:r>
      </w:hyperlink>
      <w:r w:rsidR="006002F1" w:rsidRPr="00FA667B">
        <w:t xml:space="preserve"> H.C.</w:t>
      </w:r>
      <w:r w:rsidR="006002F1" w:rsidRPr="00FA667B">
        <w:rPr>
          <w:shd w:val="clear" w:color="auto" w:fill="FFFFFF"/>
        </w:rPr>
        <w:t>,</w:t>
      </w:r>
      <w:hyperlink r:id="rId102" w:history="1">
        <w:r w:rsidR="006002F1" w:rsidRPr="00FA667B">
          <w:rPr>
            <w:rStyle w:val="Hypertextovodkaz"/>
            <w:color w:val="auto"/>
            <w:u w:val="none"/>
            <w:shd w:val="clear" w:color="auto" w:fill="FFFFFF"/>
          </w:rPr>
          <w:t xml:space="preserve"> Besselink</w:t>
        </w:r>
      </w:hyperlink>
      <w:r w:rsidR="006002F1" w:rsidRPr="00FA667B">
        <w:t xml:space="preserve"> M.G.</w:t>
      </w:r>
      <w:r w:rsidR="006002F1" w:rsidRPr="00FA667B">
        <w:rPr>
          <w:shd w:val="clear" w:color="auto" w:fill="FFFFFF"/>
        </w:rPr>
        <w:t xml:space="preserve"> et al. </w:t>
      </w:r>
      <w:r w:rsidR="006002F1" w:rsidRPr="00FA667B">
        <w:rPr>
          <w:bCs/>
        </w:rPr>
        <w:t xml:space="preserve">Management of Severe Pancreatic Fistula After Pancreatoduodenectomy. </w:t>
      </w:r>
      <w:hyperlink r:id="rId103" w:history="1">
        <w:r w:rsidR="006002F1" w:rsidRPr="00FA667B">
          <w:rPr>
            <w:rStyle w:val="Hypertextovodkaz"/>
            <w:color w:val="auto"/>
            <w:u w:val="none"/>
            <w:shd w:val="clear" w:color="auto" w:fill="FFFFFF"/>
          </w:rPr>
          <w:t>JAMA Surg</w:t>
        </w:r>
      </w:hyperlink>
      <w:r w:rsidR="006002F1" w:rsidRPr="00FA667B">
        <w:rPr>
          <w:shd w:val="clear" w:color="auto" w:fill="FFFFFF"/>
        </w:rPr>
        <w:t>. 2017 Jun; 152(6): 540–548</w:t>
      </w:r>
    </w:p>
    <w:p w:rsidR="006002F1" w:rsidRPr="00FA667B" w:rsidRDefault="002100F7" w:rsidP="00FA667B">
      <w:pPr>
        <w:numPr>
          <w:ilvl w:val="0"/>
          <w:numId w:val="5"/>
        </w:numPr>
        <w:spacing w:line="360" w:lineRule="auto"/>
        <w:jc w:val="both"/>
      </w:pPr>
      <w:hyperlink r:id="rId104" w:history="1">
        <w:r w:rsidR="006002F1" w:rsidRPr="00FA667B">
          <w:rPr>
            <w:rStyle w:val="Hypertextovodkaz"/>
            <w:color w:val="auto"/>
            <w:u w:val="none"/>
            <w:shd w:val="clear" w:color="auto" w:fill="FFFFFF"/>
          </w:rPr>
          <w:t>Čečka</w:t>
        </w:r>
      </w:hyperlink>
      <w:r w:rsidR="006002F1" w:rsidRPr="00FA667B">
        <w:t xml:space="preserve"> F.</w:t>
      </w:r>
      <w:r w:rsidR="006002F1" w:rsidRPr="00FA667B">
        <w:rPr>
          <w:shd w:val="clear" w:color="auto" w:fill="FFFFFF"/>
        </w:rPr>
        <w:t>, </w:t>
      </w:r>
      <w:hyperlink r:id="rId105" w:history="1">
        <w:r w:rsidR="006002F1" w:rsidRPr="00FA667B">
          <w:rPr>
            <w:rStyle w:val="Hypertextovodkaz"/>
            <w:color w:val="auto"/>
            <w:u w:val="none"/>
            <w:shd w:val="clear" w:color="auto" w:fill="FFFFFF"/>
          </w:rPr>
          <w:t>Loveček</w:t>
        </w:r>
      </w:hyperlink>
      <w:r w:rsidR="006002F1" w:rsidRPr="00FA667B">
        <w:t xml:space="preserve"> M.</w:t>
      </w:r>
      <w:r w:rsidR="006002F1" w:rsidRPr="00FA667B">
        <w:rPr>
          <w:shd w:val="clear" w:color="auto" w:fill="FFFFFF"/>
        </w:rPr>
        <w:t xml:space="preserve">, Skalický P. et al. </w:t>
      </w:r>
      <w:r w:rsidR="006002F1" w:rsidRPr="00FA667B">
        <w:rPr>
          <w:bCs/>
        </w:rPr>
        <w:t>Intra-abdominal drainage following pancreatic resection: A systematic review.</w:t>
      </w:r>
      <w:r w:rsidR="006002F1" w:rsidRPr="00FA667B">
        <w:rPr>
          <w:shd w:val="clear" w:color="auto" w:fill="FFFFFF"/>
        </w:rPr>
        <w:t xml:space="preserve"> </w:t>
      </w:r>
      <w:hyperlink r:id="rId106" w:history="1">
        <w:r w:rsidR="006002F1" w:rsidRPr="00FA667B">
          <w:rPr>
            <w:rStyle w:val="Hypertextovodkaz"/>
            <w:color w:val="auto"/>
            <w:u w:val="none"/>
            <w:shd w:val="clear" w:color="auto" w:fill="FFFFFF"/>
          </w:rPr>
          <w:t>World J Gastroenterol</w:t>
        </w:r>
      </w:hyperlink>
      <w:r w:rsidR="006002F1" w:rsidRPr="00FA667B">
        <w:rPr>
          <w:shd w:val="clear" w:color="auto" w:fill="FFFFFF"/>
        </w:rPr>
        <w:t>. 2015 Oct 28; 21(40): 11458–11468.</w:t>
      </w:r>
    </w:p>
    <w:p w:rsidR="006002F1" w:rsidRPr="00FA667B" w:rsidRDefault="006002F1" w:rsidP="00FA667B">
      <w:pPr>
        <w:numPr>
          <w:ilvl w:val="0"/>
          <w:numId w:val="5"/>
        </w:numPr>
        <w:spacing w:line="360" w:lineRule="auto"/>
        <w:jc w:val="both"/>
      </w:pPr>
      <w:r w:rsidRPr="00FA667B">
        <w:t>Wente M.N, Veit J.A., Bassi C. et al. Postpancreatectomy hemorrhyge (PHH)-An International Study Group of Pancreatic Surgery (ISGPS) definition. Surgery. 2007;142(1):20-25</w:t>
      </w:r>
    </w:p>
    <w:p w:rsidR="006002F1" w:rsidRPr="00FA667B" w:rsidRDefault="006002F1" w:rsidP="00FA667B">
      <w:pPr>
        <w:numPr>
          <w:ilvl w:val="0"/>
          <w:numId w:val="5"/>
        </w:numPr>
        <w:spacing w:line="360" w:lineRule="auto"/>
        <w:jc w:val="both"/>
      </w:pPr>
      <w:r w:rsidRPr="00FA667B">
        <w:t>Riediger H., Krüger K., Makowiec F. et al. Symptomatik, Diagnostik, Therapie und Klassifikation von 22 Patienten mit Postpankreatektomie-Hämorrhagien (PPH) in einer Serie von 400 konsekutiven Pankreaskopfresektionen und Pankreatektomien. Zentralbl Chir. 2016; 141(06): 616-624</w:t>
      </w:r>
    </w:p>
    <w:p w:rsidR="006002F1" w:rsidRPr="00FA667B" w:rsidRDefault="002100F7" w:rsidP="00FA667B">
      <w:pPr>
        <w:numPr>
          <w:ilvl w:val="0"/>
          <w:numId w:val="5"/>
        </w:numPr>
        <w:spacing w:line="360" w:lineRule="auto"/>
        <w:jc w:val="both"/>
      </w:pPr>
      <w:hyperlink r:id="rId107" w:history="1">
        <w:r w:rsidR="006002F1" w:rsidRPr="00FA667B">
          <w:rPr>
            <w:rStyle w:val="Hypertextovodkaz"/>
            <w:color w:val="auto"/>
            <w:u w:val="none"/>
            <w:shd w:val="clear" w:color="auto" w:fill="FFFFFF"/>
          </w:rPr>
          <w:t>Biondetti</w:t>
        </w:r>
      </w:hyperlink>
      <w:r w:rsidR="006002F1" w:rsidRPr="00FA667B">
        <w:t xml:space="preserve"> P</w:t>
      </w:r>
      <w:r w:rsidR="006002F1" w:rsidRPr="00FA667B">
        <w:rPr>
          <w:shd w:val="clear" w:color="auto" w:fill="FFFFFF"/>
        </w:rPr>
        <w:t>,</w:t>
      </w:r>
      <w:r w:rsidR="006002F1" w:rsidRPr="00FA667B">
        <w:t xml:space="preserve"> </w:t>
      </w:r>
      <w:hyperlink r:id="rId108" w:history="1">
        <w:r w:rsidR="006002F1" w:rsidRPr="00FA667B">
          <w:rPr>
            <w:rStyle w:val="Hypertextovodkaz"/>
            <w:color w:val="auto"/>
            <w:u w:val="none"/>
            <w:shd w:val="clear" w:color="auto" w:fill="FFFFFF"/>
          </w:rPr>
          <w:t xml:space="preserve"> Fumarola</w:t>
        </w:r>
      </w:hyperlink>
      <w:r w:rsidR="006002F1" w:rsidRPr="00FA667B">
        <w:t xml:space="preserve"> E.M.</w:t>
      </w:r>
      <w:r w:rsidR="006002F1" w:rsidRPr="00FA667B">
        <w:rPr>
          <w:shd w:val="clear" w:color="auto" w:fill="FFFFFF"/>
        </w:rPr>
        <w:t>, </w:t>
      </w:r>
      <w:hyperlink r:id="rId109" w:history="1">
        <w:r w:rsidR="006002F1" w:rsidRPr="00FA667B">
          <w:rPr>
            <w:rStyle w:val="Hypertextovodkaz"/>
            <w:color w:val="auto"/>
            <w:u w:val="none"/>
            <w:shd w:val="clear" w:color="auto" w:fill="FFFFFF"/>
          </w:rPr>
          <w:t xml:space="preserve"> Ierardi</w:t>
        </w:r>
      </w:hyperlink>
      <w:r w:rsidR="006002F1" w:rsidRPr="00FA667B">
        <w:t xml:space="preserve"> A.M.</w:t>
      </w:r>
      <w:r w:rsidR="006002F1" w:rsidRPr="00FA667B">
        <w:rPr>
          <w:shd w:val="clear" w:color="auto" w:fill="FFFFFF"/>
        </w:rPr>
        <w:t xml:space="preserve"> et al. </w:t>
      </w:r>
      <w:r w:rsidR="006002F1" w:rsidRPr="00FA667B">
        <w:rPr>
          <w:bCs/>
        </w:rPr>
        <w:t>Bleeding complications after pancreatic surgery: interventional radiology management.</w:t>
      </w:r>
      <w:r w:rsidR="006002F1" w:rsidRPr="00FA667B">
        <w:rPr>
          <w:shd w:val="clear" w:color="auto" w:fill="FFFFFF"/>
        </w:rPr>
        <w:t xml:space="preserve"> </w:t>
      </w:r>
      <w:hyperlink r:id="rId110" w:history="1">
        <w:r w:rsidR="006002F1" w:rsidRPr="00FA667B">
          <w:rPr>
            <w:rStyle w:val="Hypertextovodkaz"/>
            <w:color w:val="auto"/>
            <w:u w:val="none"/>
            <w:shd w:val="clear" w:color="auto" w:fill="FFFFFF"/>
          </w:rPr>
          <w:t>Gland Surg</w:t>
        </w:r>
      </w:hyperlink>
      <w:r w:rsidR="006002F1" w:rsidRPr="00FA667B">
        <w:rPr>
          <w:shd w:val="clear" w:color="auto" w:fill="FFFFFF"/>
        </w:rPr>
        <w:t>. 2019; 8(2): 150–163.</w:t>
      </w:r>
    </w:p>
    <w:p w:rsidR="006002F1" w:rsidRPr="00FA667B" w:rsidRDefault="002100F7" w:rsidP="00FA667B">
      <w:pPr>
        <w:numPr>
          <w:ilvl w:val="0"/>
          <w:numId w:val="5"/>
        </w:numPr>
        <w:spacing w:line="360" w:lineRule="auto"/>
        <w:jc w:val="both"/>
      </w:pPr>
      <w:hyperlink r:id="rId111" w:history="1">
        <w:r w:rsidR="006002F1" w:rsidRPr="00FA667B">
          <w:rPr>
            <w:rStyle w:val="Hypertextovodkaz"/>
            <w:color w:val="auto"/>
            <w:u w:val="none"/>
          </w:rPr>
          <w:t>van Oosten</w:t>
        </w:r>
      </w:hyperlink>
      <w:r w:rsidR="006002F1" w:rsidRPr="00FA667B">
        <w:t xml:space="preserve"> A.F., </w:t>
      </w:r>
      <w:hyperlink r:id="rId112" w:history="1">
        <w:r w:rsidR="006002F1" w:rsidRPr="00FA667B">
          <w:rPr>
            <w:rStyle w:val="Hypertextovodkaz"/>
            <w:color w:val="auto"/>
            <w:u w:val="none"/>
          </w:rPr>
          <w:t>Smits</w:t>
        </w:r>
      </w:hyperlink>
      <w:r w:rsidR="006002F1" w:rsidRPr="00FA667B">
        <w:t xml:space="preserve"> F.J., </w:t>
      </w:r>
      <w:hyperlink r:id="rId113" w:history="1">
        <w:r w:rsidR="006002F1" w:rsidRPr="00FA667B">
          <w:rPr>
            <w:rStyle w:val="Hypertextovodkaz"/>
            <w:color w:val="auto"/>
            <w:u w:val="none"/>
          </w:rPr>
          <w:t>van den Heuvel</w:t>
        </w:r>
      </w:hyperlink>
      <w:r w:rsidR="006002F1" w:rsidRPr="00FA667B">
        <w:t xml:space="preserve"> D.A.F. et al. </w:t>
      </w:r>
      <w:r w:rsidR="006002F1" w:rsidRPr="00FA667B">
        <w:rPr>
          <w:bCs/>
        </w:rPr>
        <w:t xml:space="preserve">Diagnosis and management of postpancreatectomy hemorrhage: a systematic review and meta-analysis. HPB. </w:t>
      </w:r>
      <w:hyperlink r:id="rId114" w:history="1">
        <w:r w:rsidR="006002F1" w:rsidRPr="00FA667B">
          <w:rPr>
            <w:rStyle w:val="Hypertextovodkaz"/>
            <w:bCs/>
            <w:color w:val="auto"/>
            <w:u w:val="none"/>
            <w:shd w:val="clear" w:color="auto" w:fill="EDF2E0"/>
          </w:rPr>
          <w:t>2019</w:t>
        </w:r>
      </w:hyperlink>
      <w:r w:rsidR="006002F1" w:rsidRPr="00FA667B">
        <w:rPr>
          <w:shd w:val="clear" w:color="auto" w:fill="EDF2E0"/>
        </w:rPr>
        <w:t>; 21(8): 953–961</w:t>
      </w:r>
    </w:p>
    <w:p w:rsidR="006002F1" w:rsidRPr="00FA667B" w:rsidRDefault="002100F7" w:rsidP="00FA667B">
      <w:pPr>
        <w:numPr>
          <w:ilvl w:val="0"/>
          <w:numId w:val="5"/>
        </w:numPr>
        <w:spacing w:line="360" w:lineRule="auto"/>
        <w:jc w:val="both"/>
      </w:pPr>
      <w:hyperlink r:id="rId115" w:anchor="!" w:history="1">
        <w:r w:rsidR="006002F1" w:rsidRPr="00FA667B">
          <w:t>Wolk S.</w:t>
        </w:r>
      </w:hyperlink>
      <w:r w:rsidR="006002F1" w:rsidRPr="00FA667B">
        <w:t xml:space="preserve">, </w:t>
      </w:r>
      <w:hyperlink r:id="rId116" w:anchor="!" w:history="1">
        <w:r w:rsidR="006002F1" w:rsidRPr="00FA667B">
          <w:t xml:space="preserve">Grützmann R., </w:t>
        </w:r>
      </w:hyperlink>
      <w:hyperlink r:id="rId117" w:anchor="!" w:history="1">
        <w:r w:rsidR="006002F1" w:rsidRPr="00FA667B">
          <w:t>Rahbari N.N.</w:t>
        </w:r>
      </w:hyperlink>
      <w:r w:rsidR="006002F1" w:rsidRPr="00FA667B">
        <w:t xml:space="preserve"> et al. </w:t>
      </w:r>
      <w:r w:rsidR="006002F1" w:rsidRPr="00FA667B">
        <w:rPr>
          <w:kern w:val="36"/>
        </w:rPr>
        <w:t>Management of clinically relevant postpancreatectomy hemorrhage (PPH) over two decades – A comparative study of 1 450 consecutive patients undergoing pancreatic resection.</w:t>
      </w:r>
      <w:r w:rsidR="006002F1" w:rsidRPr="00FA667B">
        <w:t xml:space="preserve"> </w:t>
      </w:r>
      <w:hyperlink r:id="rId118" w:tooltip="Go to Pancreatology on ScienceDirect" w:history="1">
        <w:r w:rsidR="006002F1" w:rsidRPr="00FA667B">
          <w:rPr>
            <w:rStyle w:val="Hypertextovodkaz"/>
            <w:color w:val="auto"/>
            <w:u w:val="none"/>
          </w:rPr>
          <w:t>Pancreatology</w:t>
        </w:r>
      </w:hyperlink>
      <w:r w:rsidR="006002F1" w:rsidRPr="00FA667B">
        <w:t>. 2017;</w:t>
      </w:r>
      <w:hyperlink r:id="rId119" w:tooltip="Go to table of contents for this volume/issue" w:history="1">
        <w:r w:rsidR="006002F1" w:rsidRPr="00FA667B">
          <w:rPr>
            <w:rStyle w:val="Hypertextovodkaz"/>
            <w:color w:val="auto"/>
            <w:u w:val="none"/>
          </w:rPr>
          <w:t>17(6</w:t>
        </w:r>
      </w:hyperlink>
      <w:r w:rsidR="006002F1" w:rsidRPr="00FA667B">
        <w:t>): 943-950</w:t>
      </w:r>
    </w:p>
    <w:p w:rsidR="006002F1" w:rsidRPr="00FA667B" w:rsidRDefault="006002F1" w:rsidP="00FA667B">
      <w:pPr>
        <w:numPr>
          <w:ilvl w:val="0"/>
          <w:numId w:val="5"/>
        </w:numPr>
        <w:spacing w:line="360" w:lineRule="auto"/>
        <w:jc w:val="both"/>
      </w:pPr>
      <w:r w:rsidRPr="00FA667B">
        <w:lastRenderedPageBreak/>
        <w:t xml:space="preserve">Roulin D., Cerantola Y., DemartinesN. Et al. Systematic Review of Delayed Postoperative Hemorrhage after Pancreatic Resection. </w:t>
      </w:r>
      <w:hyperlink r:id="rId120" w:tooltip="Journal of Gastrointestinal Surgery" w:history="1">
        <w:r w:rsidRPr="00FA667B">
          <w:rPr>
            <w:rStyle w:val="journaltitle"/>
            <w:spacing w:val="4"/>
          </w:rPr>
          <w:t>Journal of Gastrointestinal Surgery</w:t>
        </w:r>
      </w:hyperlink>
      <w:r w:rsidRPr="00FA667B">
        <w:t xml:space="preserve">. </w:t>
      </w:r>
      <w:r w:rsidRPr="00FA667B">
        <w:rPr>
          <w:rStyle w:val="articlecitationyear"/>
          <w:spacing w:val="4"/>
        </w:rPr>
        <w:t xml:space="preserve">2011; </w:t>
      </w:r>
      <w:r w:rsidRPr="00FA667B">
        <w:rPr>
          <w:rStyle w:val="articlecitationvolume"/>
          <w:spacing w:val="4"/>
        </w:rPr>
        <w:t>15(6):</w:t>
      </w:r>
      <w:r w:rsidRPr="00FA667B">
        <w:rPr>
          <w:rStyle w:val="articlecitationpages"/>
          <w:spacing w:val="4"/>
        </w:rPr>
        <w:t>1055–1062</w:t>
      </w:r>
    </w:p>
    <w:p w:rsidR="006002F1" w:rsidRPr="00FA667B" w:rsidRDefault="006002F1" w:rsidP="00FA667B">
      <w:pPr>
        <w:numPr>
          <w:ilvl w:val="0"/>
          <w:numId w:val="5"/>
        </w:numPr>
        <w:spacing w:line="360" w:lineRule="auto"/>
        <w:jc w:val="both"/>
      </w:pPr>
      <w:r w:rsidRPr="00FA667B">
        <w:t>Wente M., Bassi C., Dervenis Ch. et al. Delayed Gastricemptying (DGE) after pancreatic surgery: A suggested definition by the International Study Group of Pancreatic Surgery (ISGPS).Surgery. 2007; 142(5): 761-768.</w:t>
      </w:r>
    </w:p>
    <w:p w:rsidR="006002F1" w:rsidRPr="00FA667B" w:rsidRDefault="002100F7" w:rsidP="00FA667B">
      <w:pPr>
        <w:numPr>
          <w:ilvl w:val="0"/>
          <w:numId w:val="5"/>
        </w:numPr>
        <w:spacing w:line="360" w:lineRule="auto"/>
        <w:jc w:val="both"/>
      </w:pPr>
      <w:hyperlink r:id="rId121" w:history="1">
        <w:r w:rsidR="006002F1" w:rsidRPr="00FA667B">
          <w:rPr>
            <w:rStyle w:val="Hypertextovodkaz"/>
            <w:color w:val="auto"/>
            <w:u w:val="none"/>
            <w:shd w:val="clear" w:color="auto" w:fill="FFFFFF"/>
          </w:rPr>
          <w:t>Bell</w:t>
        </w:r>
      </w:hyperlink>
      <w:r w:rsidR="006002F1" w:rsidRPr="00FA667B">
        <w:t xml:space="preserve"> R.</w:t>
      </w:r>
      <w:r w:rsidR="006002F1" w:rsidRPr="00FA667B">
        <w:rPr>
          <w:shd w:val="clear" w:color="auto" w:fill="FFFFFF"/>
        </w:rPr>
        <w:t xml:space="preserve">, </w:t>
      </w:r>
      <w:hyperlink r:id="rId122" w:history="1">
        <w:r w:rsidR="006002F1" w:rsidRPr="00FA667B">
          <w:rPr>
            <w:rStyle w:val="Hypertextovodkaz"/>
            <w:color w:val="auto"/>
            <w:u w:val="none"/>
            <w:shd w:val="clear" w:color="auto" w:fill="FFFFFF"/>
          </w:rPr>
          <w:t>Pandanaboyana</w:t>
        </w:r>
      </w:hyperlink>
      <w:r w:rsidR="006002F1" w:rsidRPr="00FA667B">
        <w:t xml:space="preserve"> S</w:t>
      </w:r>
      <w:r w:rsidR="006002F1" w:rsidRPr="00FA667B">
        <w:rPr>
          <w:shd w:val="clear" w:color="auto" w:fill="FFFFFF"/>
        </w:rPr>
        <w:t>,</w:t>
      </w:r>
      <w:hyperlink r:id="rId123" w:history="1">
        <w:r w:rsidR="006002F1" w:rsidRPr="00FA667B">
          <w:rPr>
            <w:rStyle w:val="Hypertextovodkaz"/>
            <w:color w:val="auto"/>
            <w:u w:val="none"/>
            <w:shd w:val="clear" w:color="auto" w:fill="FFFFFF"/>
          </w:rPr>
          <w:t xml:space="preserve"> Shah</w:t>
        </w:r>
      </w:hyperlink>
      <w:r w:rsidR="006002F1" w:rsidRPr="00FA667B">
        <w:rPr>
          <w:shd w:val="clear" w:color="auto" w:fill="FFFFFF"/>
        </w:rPr>
        <w:t xml:space="preserve"> N. et al. </w:t>
      </w:r>
      <w:r w:rsidR="006002F1" w:rsidRPr="00FA667B">
        <w:rPr>
          <w:bCs/>
        </w:rPr>
        <w:t xml:space="preserve">Meta-analysis of antecolic versus retrocolic gastric reconstruction after a pylorus-preserving pancreatoduodenectomy. </w:t>
      </w:r>
      <w:hyperlink r:id="rId124" w:history="1">
        <w:r w:rsidR="006002F1" w:rsidRPr="00FA667B">
          <w:rPr>
            <w:rStyle w:val="Hypertextovodkaz"/>
            <w:color w:val="auto"/>
            <w:u w:val="none"/>
            <w:shd w:val="clear" w:color="auto" w:fill="FFFFFF"/>
          </w:rPr>
          <w:t>HPB (Oxford)</w:t>
        </w:r>
      </w:hyperlink>
      <w:r w:rsidR="006002F1" w:rsidRPr="00FA667B">
        <w:rPr>
          <w:shd w:val="clear" w:color="auto" w:fill="FFFFFF"/>
        </w:rPr>
        <w:t>. 2015; 17(3): 202–208.</w:t>
      </w:r>
    </w:p>
    <w:p w:rsidR="006002F1" w:rsidRPr="00FA667B" w:rsidRDefault="006002F1" w:rsidP="00FA667B">
      <w:pPr>
        <w:numPr>
          <w:ilvl w:val="0"/>
          <w:numId w:val="5"/>
        </w:numPr>
        <w:spacing w:line="360" w:lineRule="auto"/>
        <w:jc w:val="both"/>
      </w:pPr>
      <w:r w:rsidRPr="00FA667B">
        <w:t>Wente M., Bassi C., Dervenis Ch. et al. Delayed Gastricemptying (DGE) after pancreatic surgery: A suggested definition by the International Study Group of Pancreatic Surgery (ISGPS).Surgery. 2007; 142(5): 761-768.</w:t>
      </w:r>
    </w:p>
    <w:p w:rsidR="006002F1" w:rsidRPr="00FA667B" w:rsidRDefault="006002F1" w:rsidP="00FA667B">
      <w:pPr>
        <w:numPr>
          <w:ilvl w:val="0"/>
          <w:numId w:val="5"/>
        </w:numPr>
        <w:spacing w:line="360" w:lineRule="auto"/>
        <w:jc w:val="both"/>
        <w:rPr>
          <w:rStyle w:val="articlecitationpages"/>
        </w:rPr>
      </w:pPr>
      <w:r w:rsidRPr="00FA667B">
        <w:rPr>
          <w:rStyle w:val="authorsname"/>
        </w:rPr>
        <w:t>Burkhart A.R.</w:t>
      </w:r>
      <w:r w:rsidRPr="00FA667B">
        <w:t xml:space="preserve">, </w:t>
      </w:r>
      <w:r w:rsidRPr="00FA667B">
        <w:rPr>
          <w:rStyle w:val="authorsname"/>
        </w:rPr>
        <w:t>Relles D., Pineda</w:t>
      </w:r>
      <w:r w:rsidRPr="00FA667B">
        <w:rPr>
          <w:lang w:val="da-DK"/>
        </w:rPr>
        <w:t xml:space="preserve"> M.D. et al. </w:t>
      </w:r>
      <w:r w:rsidRPr="00FA667B">
        <w:t xml:space="preserve">Defining Treatment and Outcomes of Hepaticojejunostomy Failure Following Pancreaticoduodenectomy. </w:t>
      </w:r>
      <w:hyperlink r:id="rId125" w:tooltip="Journal of Gastrointestinal Surgery" w:history="1">
        <w:r w:rsidRPr="00FA667B">
          <w:t>Journal of Gastrointestinal Surgery</w:t>
        </w:r>
      </w:hyperlink>
      <w:r w:rsidRPr="00FA667B">
        <w:t>.</w:t>
      </w:r>
      <w:r w:rsidRPr="00FA667B">
        <w:rPr>
          <w:rStyle w:val="Nadpis1Char"/>
          <w:rFonts w:ascii="Times New Roman" w:hAnsi="Times New Roman"/>
          <w:b w:val="0"/>
          <w:sz w:val="24"/>
          <w:szCs w:val="24"/>
        </w:rPr>
        <w:t xml:space="preserve"> </w:t>
      </w:r>
      <w:r w:rsidRPr="00FA667B">
        <w:rPr>
          <w:rStyle w:val="articlecitationyear"/>
        </w:rPr>
        <w:t>2013;</w:t>
      </w:r>
      <w:r w:rsidRPr="00FA667B">
        <w:rPr>
          <w:rStyle w:val="articlecitationvolume"/>
        </w:rPr>
        <w:t>17(3):</w:t>
      </w:r>
      <w:r w:rsidRPr="00FA667B">
        <w:rPr>
          <w:rStyle w:val="articlecitationpages"/>
        </w:rPr>
        <w:t>451–460.</w:t>
      </w:r>
    </w:p>
    <w:p w:rsidR="006002F1" w:rsidRPr="00FA667B" w:rsidRDefault="006002F1" w:rsidP="00FA667B">
      <w:pPr>
        <w:numPr>
          <w:ilvl w:val="0"/>
          <w:numId w:val="5"/>
        </w:numPr>
        <w:spacing w:line="360" w:lineRule="auto"/>
        <w:jc w:val="both"/>
        <w:rPr>
          <w:rStyle w:val="articlecitationpages"/>
        </w:rPr>
      </w:pPr>
      <w:r w:rsidRPr="00FA667B">
        <w:rPr>
          <w:rStyle w:val="articlecitationpages"/>
        </w:rPr>
        <w:t>Koch M., Garden J., Padnuty R. et al. Bile leakage after hepatobiliary and pancreatic surgery: A definition and grading of Severiny by the International Study Group of Liver Surgery.Surgery. 2011;149(5):680-688</w:t>
      </w:r>
    </w:p>
    <w:p w:rsidR="006002F1" w:rsidRPr="00FA667B" w:rsidRDefault="006002F1" w:rsidP="00FA667B">
      <w:pPr>
        <w:numPr>
          <w:ilvl w:val="0"/>
          <w:numId w:val="5"/>
        </w:numPr>
        <w:spacing w:line="360" w:lineRule="auto"/>
        <w:jc w:val="both"/>
        <w:rPr>
          <w:rStyle w:val="articlecitationpages"/>
        </w:rPr>
      </w:pPr>
      <w:r w:rsidRPr="00FA667B">
        <w:rPr>
          <w:rStyle w:val="articlecitationpages"/>
        </w:rPr>
        <w:t>Nakeeb A., Sorogy M, Hamed H. et al. Biliary leakage following pancreaticoduodenectomy: Prevalence, risk factor and management. Hepatobiliary &amp; Pancreatic Diseases International.2019;18:67-72</w:t>
      </w:r>
    </w:p>
    <w:p w:rsidR="006002F1" w:rsidRPr="00FA667B" w:rsidRDefault="006002F1" w:rsidP="00FA667B">
      <w:pPr>
        <w:numPr>
          <w:ilvl w:val="0"/>
          <w:numId w:val="5"/>
        </w:numPr>
        <w:spacing w:line="360" w:lineRule="auto"/>
        <w:jc w:val="both"/>
        <w:rPr>
          <w:rStyle w:val="articlecitationpages"/>
        </w:rPr>
      </w:pPr>
      <w:r w:rsidRPr="00FA667B">
        <w:rPr>
          <w:rStyle w:val="articlecitationpages"/>
        </w:rPr>
        <w:t>Burkhart R.A., Relles D., Pineda D.M. et al. Defining Treatment and Outcomes of Hepaticojejunostomy FailureFollowing Pancreaticoduodenectomy. J.Gastrointest Surg. 2013; 17:451-460</w:t>
      </w:r>
    </w:p>
    <w:p w:rsidR="006002F1" w:rsidRPr="00FA667B" w:rsidRDefault="002100F7" w:rsidP="00FA667B">
      <w:pPr>
        <w:numPr>
          <w:ilvl w:val="0"/>
          <w:numId w:val="5"/>
        </w:numPr>
        <w:spacing w:line="360" w:lineRule="auto"/>
        <w:jc w:val="both"/>
      </w:pPr>
      <w:hyperlink r:id="rId126" w:history="1">
        <w:r w:rsidR="006002F1" w:rsidRPr="00FA667B">
          <w:rPr>
            <w:rStyle w:val="Hypertextovodkaz"/>
            <w:color w:val="auto"/>
            <w:u w:val="none"/>
            <w:shd w:val="clear" w:color="auto" w:fill="FFFFFF"/>
          </w:rPr>
          <w:t>Ning Zhao</w:t>
        </w:r>
      </w:hyperlink>
      <w:r w:rsidR="006002F1" w:rsidRPr="00FA667B">
        <w:t xml:space="preserve"> N.</w:t>
      </w:r>
      <w:r w:rsidR="006002F1" w:rsidRPr="00FA667B">
        <w:rPr>
          <w:shd w:val="clear" w:color="auto" w:fill="FFFFFF"/>
        </w:rPr>
        <w:t xml:space="preserve">, </w:t>
      </w:r>
      <w:hyperlink r:id="rId127" w:history="1">
        <w:r w:rsidR="006002F1" w:rsidRPr="00FA667B">
          <w:rPr>
            <w:rStyle w:val="Hypertextovodkaz"/>
            <w:color w:val="auto"/>
            <w:u w:val="none"/>
            <w:shd w:val="clear" w:color="auto" w:fill="FFFFFF"/>
          </w:rPr>
          <w:t>Cui</w:t>
        </w:r>
      </w:hyperlink>
      <w:r w:rsidR="006002F1" w:rsidRPr="00FA667B">
        <w:t xml:space="preserve"> J.</w:t>
      </w:r>
      <w:r w:rsidR="006002F1" w:rsidRPr="00FA667B">
        <w:rPr>
          <w:shd w:val="clear" w:color="auto" w:fill="FFFFFF"/>
        </w:rPr>
        <w:t xml:space="preserve">, </w:t>
      </w:r>
      <w:hyperlink r:id="rId128" w:history="1">
        <w:r w:rsidR="006002F1" w:rsidRPr="00FA667B">
          <w:rPr>
            <w:rStyle w:val="Hypertextovodkaz"/>
            <w:color w:val="auto"/>
            <w:u w:val="none"/>
            <w:shd w:val="clear" w:color="auto" w:fill="FFFFFF"/>
          </w:rPr>
          <w:t>Yang</w:t>
        </w:r>
      </w:hyperlink>
      <w:r w:rsidR="006002F1" w:rsidRPr="00FA667B">
        <w:rPr>
          <w:shd w:val="clear" w:color="auto" w:fill="FFFFFF"/>
        </w:rPr>
        <w:t xml:space="preserve"> Z. et al. </w:t>
      </w:r>
      <w:r w:rsidR="006002F1" w:rsidRPr="00FA667B">
        <w:t>Natural history and therapeutic strategies of post-pancreatoduodenectomy abdominal fluid collections: Ten-year experience in a single institution.</w:t>
      </w:r>
      <w:r w:rsidR="006002F1" w:rsidRPr="00FA667B">
        <w:rPr>
          <w:shd w:val="clear" w:color="auto" w:fill="FFFFFF"/>
        </w:rPr>
        <w:t xml:space="preserve"> </w:t>
      </w:r>
      <w:hyperlink r:id="rId129" w:history="1">
        <w:r w:rsidR="006002F1" w:rsidRPr="00FA667B">
          <w:rPr>
            <w:rStyle w:val="Hypertextovodkaz"/>
            <w:color w:val="auto"/>
            <w:u w:val="none"/>
            <w:shd w:val="clear" w:color="auto" w:fill="FFFFFF"/>
          </w:rPr>
          <w:t>Medicine (Baltimore)</w:t>
        </w:r>
      </w:hyperlink>
      <w:r w:rsidR="006002F1" w:rsidRPr="00FA667B">
        <w:rPr>
          <w:shd w:val="clear" w:color="auto" w:fill="FFFFFF"/>
        </w:rPr>
        <w:t>. 2019 May; 98(22): e15792.</w:t>
      </w:r>
    </w:p>
    <w:p w:rsidR="006002F1" w:rsidRPr="00FA667B" w:rsidRDefault="006002F1" w:rsidP="00FA667B">
      <w:pPr>
        <w:numPr>
          <w:ilvl w:val="0"/>
          <w:numId w:val="5"/>
        </w:numPr>
        <w:spacing w:line="360" w:lineRule="auto"/>
        <w:jc w:val="both"/>
      </w:pPr>
      <w:r w:rsidRPr="00FA667B">
        <w:t>Song K.B., Kwon J., Lee Y.J. et al. The treatment indication and optima management of fluid collection after laparoscopic distal pancreatectomy. Surgical Endoskopy. 2019; 33:3314-3324.</w:t>
      </w:r>
    </w:p>
    <w:p w:rsidR="006002F1" w:rsidRPr="00FA667B" w:rsidRDefault="002100F7" w:rsidP="00FA667B">
      <w:pPr>
        <w:numPr>
          <w:ilvl w:val="0"/>
          <w:numId w:val="5"/>
        </w:numPr>
        <w:spacing w:line="360" w:lineRule="auto"/>
        <w:jc w:val="both"/>
      </w:pPr>
      <w:hyperlink r:id="rId130" w:history="1">
        <w:r w:rsidR="006002F1" w:rsidRPr="00FA667B">
          <w:rPr>
            <w:rStyle w:val="Hypertextovodkaz"/>
            <w:color w:val="auto"/>
            <w:u w:val="none"/>
          </w:rPr>
          <w:t>Hart</w:t>
        </w:r>
      </w:hyperlink>
      <w:r w:rsidR="006002F1" w:rsidRPr="00FA667B">
        <w:t xml:space="preserve"> P.A., </w:t>
      </w:r>
      <w:hyperlink r:id="rId131" w:history="1">
        <w:r w:rsidR="006002F1" w:rsidRPr="00FA667B">
          <w:rPr>
            <w:rStyle w:val="Hypertextovodkaz"/>
            <w:color w:val="auto"/>
            <w:u w:val="none"/>
          </w:rPr>
          <w:t>Bellin</w:t>
        </w:r>
      </w:hyperlink>
      <w:r w:rsidR="006002F1" w:rsidRPr="00FA667B">
        <w:t xml:space="preserve"> M, </w:t>
      </w:r>
      <w:hyperlink r:id="rId132" w:history="1">
        <w:r w:rsidR="006002F1" w:rsidRPr="00FA667B">
          <w:rPr>
            <w:rStyle w:val="Hypertextovodkaz"/>
            <w:color w:val="auto"/>
            <w:u w:val="none"/>
          </w:rPr>
          <w:t>Andersen</w:t>
        </w:r>
      </w:hyperlink>
      <w:r w:rsidR="006002F1" w:rsidRPr="00FA667B">
        <w:t xml:space="preserve"> D.K. et al. </w:t>
      </w:r>
      <w:r w:rsidR="006002F1" w:rsidRPr="00FA667B">
        <w:rPr>
          <w:bCs/>
        </w:rPr>
        <w:t xml:space="preserve">Type 3c (pancreatogenic) diabetes mellitus secondary to chronic pancreatitis and pancreatic cancer. </w:t>
      </w:r>
      <w:hyperlink r:id="rId133" w:tgtFrame="pmc_ext" w:history="1">
        <w:r w:rsidR="006002F1" w:rsidRPr="00FA667B">
          <w:rPr>
            <w:rStyle w:val="cit"/>
          </w:rPr>
          <w:t>Lancet Gastroenterol Hepatol. 2016; 1(3): 226–237.</w:t>
        </w:r>
      </w:hyperlink>
    </w:p>
    <w:p w:rsidR="006002F1" w:rsidRPr="00FA667B" w:rsidRDefault="006002F1" w:rsidP="00FA667B">
      <w:pPr>
        <w:numPr>
          <w:ilvl w:val="0"/>
          <w:numId w:val="5"/>
        </w:numPr>
        <w:spacing w:line="360" w:lineRule="auto"/>
        <w:jc w:val="both"/>
      </w:pPr>
      <w:r w:rsidRPr="00FA667B">
        <w:lastRenderedPageBreak/>
        <w:t xml:space="preserve">Howard JM. </w:t>
      </w:r>
      <w:r w:rsidRPr="00FA667B">
        <w:rPr>
          <w:bCs/>
        </w:rPr>
        <w:t xml:space="preserve">Pancreatojejunostomy: leakage is a preventable complication of the Whipple resection. </w:t>
      </w:r>
      <w:hyperlink r:id="rId134" w:tooltip="Go to the information page for this source" w:history="1">
        <w:r w:rsidRPr="00FA667B">
          <w:rPr>
            <w:rStyle w:val="anchortext6"/>
            <w:bdr w:val="none" w:sz="0" w:space="0" w:color="auto" w:frame="1"/>
            <w:lang w:val="en-US"/>
          </w:rPr>
          <w:t>Journal of the American College of Surgeons</w:t>
        </w:r>
      </w:hyperlink>
      <w:r w:rsidRPr="00FA667B">
        <w:t xml:space="preserve"> (J Am Coll Surg), 1997;184 (5):454-457</w:t>
      </w:r>
    </w:p>
    <w:p w:rsidR="006002F1" w:rsidRPr="00FA667B" w:rsidRDefault="006002F1" w:rsidP="00FA667B">
      <w:pPr>
        <w:numPr>
          <w:ilvl w:val="0"/>
          <w:numId w:val="5"/>
        </w:numPr>
        <w:spacing w:line="360" w:lineRule="auto"/>
        <w:jc w:val="both"/>
      </w:pPr>
      <w:r w:rsidRPr="00FA667B">
        <w:t xml:space="preserve">Ohwada S,  Ogawa T, Kawate S </w:t>
      </w:r>
      <w:r w:rsidRPr="00FA667B">
        <w:rPr>
          <w:iCs/>
        </w:rPr>
        <w:t xml:space="preserve">et al. </w:t>
      </w:r>
      <w:r w:rsidRPr="00FA667B">
        <w:rPr>
          <w:bCs/>
        </w:rPr>
        <w:t>Results of duct-to-mucosa pancreaticojejunostomy for pancreaticoduodenectomy Billroth I type reconstruction in 100 consecutive patients.</w:t>
      </w:r>
      <w:r w:rsidRPr="00FA667B">
        <w:t xml:space="preserve"> J Am Coll Surg. 2001; 193, 29-35</w:t>
      </w:r>
    </w:p>
    <w:p w:rsidR="006002F1" w:rsidRPr="00FA667B" w:rsidRDefault="006002F1" w:rsidP="00FA667B">
      <w:pPr>
        <w:numPr>
          <w:ilvl w:val="0"/>
          <w:numId w:val="5"/>
        </w:numPr>
        <w:spacing w:line="360" w:lineRule="auto"/>
        <w:jc w:val="both"/>
      </w:pPr>
      <w:r w:rsidRPr="00FA667B">
        <w:rPr>
          <w:bCs/>
        </w:rPr>
        <w:t>Hackert T., Werner J., Büchler M.W. et al. Review: Postoperative pancreatic fistula. The Surgeon. 2011; 9:211-217</w:t>
      </w:r>
    </w:p>
    <w:p w:rsidR="006002F1" w:rsidRPr="00FA667B" w:rsidRDefault="006002F1" w:rsidP="00FA667B">
      <w:pPr>
        <w:numPr>
          <w:ilvl w:val="0"/>
          <w:numId w:val="5"/>
        </w:numPr>
        <w:spacing w:line="360" w:lineRule="auto"/>
        <w:jc w:val="both"/>
      </w:pPr>
      <w:r w:rsidRPr="00FA667B">
        <w:rPr>
          <w:bCs/>
        </w:rPr>
        <w:t>Yeo CJ et al. A prospective randomized trial of pancreaticogastrostomy versus pancreaticojejunostomy after pancreaticoduodenectomy. Ann Surg 2005;222: 580-588</w:t>
      </w:r>
    </w:p>
    <w:p w:rsidR="006002F1" w:rsidRPr="00FA667B" w:rsidRDefault="006002F1" w:rsidP="00FA667B">
      <w:pPr>
        <w:numPr>
          <w:ilvl w:val="0"/>
          <w:numId w:val="5"/>
        </w:numPr>
        <w:spacing w:line="360" w:lineRule="auto"/>
        <w:jc w:val="both"/>
      </w:pPr>
      <w:r w:rsidRPr="00FA667B">
        <w:rPr>
          <w:bCs/>
        </w:rPr>
        <w:t>Bassi C et al. Reconstruction by pancreaticojejunostomy versus pancreaticogastrostomy following pancreatectomy pancreatectomy: result of a comparative study. Ann Surg 2005; 242:767-771</w:t>
      </w:r>
    </w:p>
    <w:p w:rsidR="006002F1" w:rsidRPr="00FA667B" w:rsidRDefault="006002F1" w:rsidP="00FA667B">
      <w:pPr>
        <w:numPr>
          <w:ilvl w:val="0"/>
          <w:numId w:val="5"/>
        </w:numPr>
        <w:spacing w:line="360" w:lineRule="auto"/>
        <w:jc w:val="both"/>
      </w:pPr>
      <w:r w:rsidRPr="00FA667B">
        <w:t>Yeo CJ et al. Does prophylactic octreotide decrease the rates of pancreatic fistula and other complications after pancreaticoduodenectomy? Result of a prospective randomized placebo-controlled trial. Ann Surg 2000; 232:419-429)</w:t>
      </w:r>
    </w:p>
    <w:p w:rsidR="006002F1" w:rsidRPr="00FA667B" w:rsidRDefault="006002F1" w:rsidP="00FA667B">
      <w:pPr>
        <w:numPr>
          <w:ilvl w:val="0"/>
          <w:numId w:val="5"/>
        </w:numPr>
        <w:spacing w:line="360" w:lineRule="auto"/>
        <w:jc w:val="both"/>
      </w:pPr>
      <w:r w:rsidRPr="00FA667B">
        <w:t>Lowy AM et al. Prospective, randomized trial of octraotide to prevent pancreatic fistula after pancreaticoduodenectomy for malignat disease. Ann Surg 1997; 226:632-64</w:t>
      </w:r>
    </w:p>
    <w:p w:rsidR="006002F1" w:rsidRPr="00FA667B" w:rsidRDefault="002100F7" w:rsidP="00FA667B">
      <w:pPr>
        <w:numPr>
          <w:ilvl w:val="0"/>
          <w:numId w:val="5"/>
        </w:numPr>
        <w:spacing w:line="360" w:lineRule="auto"/>
        <w:jc w:val="both"/>
      </w:pPr>
      <w:hyperlink r:id="rId135" w:history="1">
        <w:r w:rsidR="006002F1" w:rsidRPr="00FA667B">
          <w:rPr>
            <w:rStyle w:val="Hypertextovodkaz"/>
            <w:color w:val="auto"/>
            <w:u w:val="none"/>
            <w:shd w:val="clear" w:color="auto" w:fill="FFFFFF"/>
          </w:rPr>
          <w:t>Sergio Pedrazzoli</w:t>
        </w:r>
      </w:hyperlink>
      <w:r w:rsidR="006002F1" w:rsidRPr="00FA667B">
        <w:rPr>
          <w:shd w:val="clear" w:color="auto" w:fill="FFFFFF"/>
        </w:rPr>
        <w:t xml:space="preserve"> et al. </w:t>
      </w:r>
      <w:r w:rsidR="006002F1" w:rsidRPr="00FA667B">
        <w:t>Pancreatoduodenectomy (PD) and postoperative pancreatic fistula (POPF)A systematic review and analysis of the POPF-related mortality rate in 60,739 patients retrieved from the English literature published between 1990 and 2015.</w:t>
      </w:r>
      <w:r w:rsidR="006002F1" w:rsidRPr="00FA667B">
        <w:rPr>
          <w:shd w:val="clear" w:color="auto" w:fill="FFFFFF"/>
        </w:rPr>
        <w:t xml:space="preserve"> </w:t>
      </w:r>
      <w:hyperlink r:id="rId136" w:history="1">
        <w:r w:rsidR="006002F1" w:rsidRPr="00FA667B">
          <w:rPr>
            <w:rStyle w:val="Hypertextovodkaz"/>
            <w:color w:val="auto"/>
            <w:u w:val="none"/>
            <w:shd w:val="clear" w:color="auto" w:fill="FFFFFF"/>
          </w:rPr>
          <w:t>Medicine (Baltimore)</w:t>
        </w:r>
      </w:hyperlink>
      <w:r w:rsidR="006002F1" w:rsidRPr="00FA667B">
        <w:rPr>
          <w:shd w:val="clear" w:color="auto" w:fill="FFFFFF"/>
        </w:rPr>
        <w:t>. 2017; 96(19): e6858.</w:t>
      </w:r>
    </w:p>
    <w:p w:rsidR="006002F1" w:rsidRPr="00FA667B" w:rsidRDefault="002100F7" w:rsidP="00FA667B">
      <w:pPr>
        <w:numPr>
          <w:ilvl w:val="0"/>
          <w:numId w:val="5"/>
        </w:numPr>
        <w:spacing w:line="360" w:lineRule="auto"/>
        <w:jc w:val="both"/>
      </w:pPr>
      <w:hyperlink r:id="rId137" w:history="1">
        <w:r w:rsidR="006002F1" w:rsidRPr="00FA667B">
          <w:t>Greene BS</w:t>
        </w:r>
      </w:hyperlink>
      <w:r w:rsidR="006002F1" w:rsidRPr="00FA667B">
        <w:t xml:space="preserve">, </w:t>
      </w:r>
      <w:hyperlink r:id="rId138" w:history="1">
        <w:r w:rsidR="006002F1" w:rsidRPr="00FA667B">
          <w:t>Loubeau JM</w:t>
        </w:r>
      </w:hyperlink>
      <w:r w:rsidR="006002F1" w:rsidRPr="00FA667B">
        <w:t xml:space="preserve">, </w:t>
      </w:r>
      <w:hyperlink r:id="rId139" w:history="1">
        <w:r w:rsidR="006002F1" w:rsidRPr="00FA667B">
          <w:t>Peoples JB</w:t>
        </w:r>
      </w:hyperlink>
      <w:r w:rsidR="006002F1" w:rsidRPr="00FA667B">
        <w:t xml:space="preserve"> et al.</w:t>
      </w:r>
      <w:r w:rsidR="006002F1" w:rsidRPr="00FA667B">
        <w:rPr>
          <w:bCs/>
        </w:rPr>
        <w:t xml:space="preserve"> Are pancreatoenteric anastomoses improved by duct-to-mucosa sutures? Am J Surg. 1991; 161(1):45-50</w:t>
      </w:r>
    </w:p>
    <w:p w:rsidR="006002F1" w:rsidRPr="00FA667B" w:rsidRDefault="002100F7" w:rsidP="00FA667B">
      <w:pPr>
        <w:numPr>
          <w:ilvl w:val="0"/>
          <w:numId w:val="5"/>
        </w:numPr>
        <w:spacing w:line="360" w:lineRule="auto"/>
        <w:jc w:val="both"/>
      </w:pPr>
      <w:hyperlink r:id="rId140" w:history="1">
        <w:r w:rsidR="006002F1" w:rsidRPr="00FA667B">
          <w:rPr>
            <w:rStyle w:val="Hypertextovodkaz"/>
            <w:color w:val="auto"/>
            <w:u w:val="none"/>
            <w:shd w:val="clear" w:color="auto" w:fill="FFFFFF"/>
          </w:rPr>
          <w:t>Yekebas</w:t>
        </w:r>
      </w:hyperlink>
      <w:r w:rsidR="006002F1" w:rsidRPr="00FA667B">
        <w:t xml:space="preserve"> E.F.</w:t>
      </w:r>
      <w:r w:rsidR="006002F1" w:rsidRPr="00FA667B">
        <w:rPr>
          <w:shd w:val="clear" w:color="auto" w:fill="FFFFFF"/>
        </w:rPr>
        <w:t>, </w:t>
      </w:r>
      <w:hyperlink r:id="rId141" w:history="1">
        <w:r w:rsidR="006002F1" w:rsidRPr="00FA667B">
          <w:rPr>
            <w:rStyle w:val="Hypertextovodkaz"/>
            <w:color w:val="auto"/>
            <w:u w:val="none"/>
            <w:shd w:val="clear" w:color="auto" w:fill="FFFFFF"/>
          </w:rPr>
          <w:t>Wolfram</w:t>
        </w:r>
      </w:hyperlink>
      <w:r w:rsidR="006002F1" w:rsidRPr="00FA667B">
        <w:t xml:space="preserve"> L.</w:t>
      </w:r>
      <w:r w:rsidR="006002F1" w:rsidRPr="00FA667B">
        <w:rPr>
          <w:shd w:val="clear" w:color="auto" w:fill="FFFFFF"/>
        </w:rPr>
        <w:t xml:space="preserve">, </w:t>
      </w:r>
      <w:hyperlink r:id="rId142" w:history="1">
        <w:r w:rsidR="006002F1" w:rsidRPr="00FA667B">
          <w:rPr>
            <w:rStyle w:val="Hypertextovodkaz"/>
            <w:color w:val="auto"/>
            <w:u w:val="none"/>
            <w:shd w:val="clear" w:color="auto" w:fill="FFFFFF"/>
          </w:rPr>
          <w:t>Cataldegirmen</w:t>
        </w:r>
      </w:hyperlink>
      <w:r w:rsidR="006002F1" w:rsidRPr="00FA667B">
        <w:t xml:space="preserve"> G.</w:t>
      </w:r>
      <w:r w:rsidR="006002F1" w:rsidRPr="00FA667B">
        <w:rPr>
          <w:shd w:val="clear" w:color="auto" w:fill="FFFFFF"/>
        </w:rPr>
        <w:t xml:space="preserve"> et al. </w:t>
      </w:r>
      <w:r w:rsidR="006002F1" w:rsidRPr="00FA667B">
        <w:t xml:space="preserve">Postpancreatectomy Hemorrhage: Diagnosis and Treatment An Analysis in 1669 Consecutive Pancreatic Resections. </w:t>
      </w:r>
      <w:hyperlink r:id="rId143" w:history="1">
        <w:r w:rsidR="006002F1" w:rsidRPr="00FA667B">
          <w:rPr>
            <w:rStyle w:val="Hypertextovodkaz"/>
            <w:color w:val="auto"/>
            <w:u w:val="none"/>
            <w:shd w:val="clear" w:color="auto" w:fill="FFFFFF"/>
          </w:rPr>
          <w:t>Ann Surg</w:t>
        </w:r>
      </w:hyperlink>
      <w:r w:rsidR="006002F1" w:rsidRPr="00FA667B">
        <w:rPr>
          <w:shd w:val="clear" w:color="auto" w:fill="FFFFFF"/>
        </w:rPr>
        <w:t>. 2007; 246(2): 269–280.</w:t>
      </w:r>
    </w:p>
    <w:p w:rsidR="006002F1" w:rsidRPr="00FA667B" w:rsidRDefault="006002F1" w:rsidP="00FA667B">
      <w:pPr>
        <w:numPr>
          <w:ilvl w:val="0"/>
          <w:numId w:val="5"/>
        </w:numPr>
        <w:spacing w:line="360" w:lineRule="auto"/>
        <w:jc w:val="both"/>
      </w:pPr>
      <w:r w:rsidRPr="00FA667B">
        <w:t>Riediger H., Krüger K., Makowiec F. et al. Symptomatik, Diagnostik, Therapie und Klassifikation von 22 Patienten mit Postpankreatektomie-Hämorrhagien (PPH) in einer Serie von 400 konsekutiven Pankreaskopfresektionen und Pankreatektomien. Zentralbl Chir. 2016; 141(06): 616-624</w:t>
      </w:r>
    </w:p>
    <w:p w:rsidR="006002F1" w:rsidRPr="00FA667B" w:rsidRDefault="002100F7" w:rsidP="00FA667B">
      <w:pPr>
        <w:numPr>
          <w:ilvl w:val="0"/>
          <w:numId w:val="5"/>
        </w:numPr>
        <w:spacing w:line="360" w:lineRule="auto"/>
        <w:jc w:val="both"/>
      </w:pPr>
      <w:hyperlink r:id="rId144" w:history="1">
        <w:r w:rsidR="006002F1" w:rsidRPr="00FA667B">
          <w:rPr>
            <w:rStyle w:val="Hypertextovodkaz"/>
            <w:color w:val="auto"/>
            <w:u w:val="none"/>
          </w:rPr>
          <w:t>Kelly KJ</w:t>
        </w:r>
      </w:hyperlink>
      <w:r w:rsidR="006002F1" w:rsidRPr="00FA667B">
        <w:t>, </w:t>
      </w:r>
      <w:hyperlink r:id="rId145" w:history="1">
        <w:r w:rsidR="006002F1" w:rsidRPr="00FA667B">
          <w:rPr>
            <w:rStyle w:val="Hypertextovodkaz"/>
            <w:color w:val="auto"/>
            <w:u w:val="none"/>
          </w:rPr>
          <w:t>Winslow E</w:t>
        </w:r>
      </w:hyperlink>
      <w:r w:rsidR="006002F1" w:rsidRPr="00FA667B">
        <w:t>, </w:t>
      </w:r>
      <w:hyperlink r:id="rId146" w:history="1">
        <w:r w:rsidR="006002F1" w:rsidRPr="00FA667B">
          <w:rPr>
            <w:rStyle w:val="Hypertextovodkaz"/>
            <w:color w:val="auto"/>
            <w:u w:val="none"/>
          </w:rPr>
          <w:t>Kooby D</w:t>
        </w:r>
      </w:hyperlink>
      <w:r w:rsidR="006002F1" w:rsidRPr="00FA667B">
        <w:t xml:space="preserve"> et al. </w:t>
      </w:r>
      <w:r w:rsidR="006002F1" w:rsidRPr="00FA667B">
        <w:rPr>
          <w:rStyle w:val="highlight"/>
        </w:rPr>
        <w:t>Vein</w:t>
      </w:r>
      <w:r w:rsidR="006002F1" w:rsidRPr="00FA667B">
        <w:t> </w:t>
      </w:r>
      <w:r w:rsidR="006002F1" w:rsidRPr="00FA667B">
        <w:rPr>
          <w:rStyle w:val="highlight"/>
        </w:rPr>
        <w:t>involvement</w:t>
      </w:r>
      <w:r w:rsidR="006002F1" w:rsidRPr="00FA667B">
        <w:t> during </w:t>
      </w:r>
      <w:r w:rsidR="006002F1" w:rsidRPr="00FA667B">
        <w:rPr>
          <w:rStyle w:val="highlight"/>
        </w:rPr>
        <w:t>pancreaticoduodenectomy</w:t>
      </w:r>
      <w:r w:rsidR="006002F1" w:rsidRPr="00FA667B">
        <w:t>: is there a need for redefinition of "borderline resectable disease"?</w:t>
      </w:r>
      <w:hyperlink r:id="rId147" w:tooltip="Journal of gastrointestinal surgery : official journal of the Society for Surgery of the Alimentary Tract." w:history="1">
        <w:r w:rsidR="006002F1" w:rsidRPr="00FA667B">
          <w:rPr>
            <w:rStyle w:val="Hypertextovodkaz"/>
            <w:color w:val="auto"/>
            <w:u w:val="none"/>
          </w:rPr>
          <w:t>J Gastrointest Surg.</w:t>
        </w:r>
      </w:hyperlink>
      <w:r w:rsidR="006002F1" w:rsidRPr="00FA667B">
        <w:t> 2013 Jul;17(7):1209-17</w:t>
      </w:r>
    </w:p>
    <w:p w:rsidR="006002F1" w:rsidRPr="00FA667B" w:rsidRDefault="006002F1" w:rsidP="00FA667B">
      <w:pPr>
        <w:numPr>
          <w:ilvl w:val="0"/>
          <w:numId w:val="5"/>
        </w:numPr>
        <w:spacing w:line="360" w:lineRule="auto"/>
        <w:jc w:val="both"/>
      </w:pPr>
      <w:r w:rsidRPr="00FA667B">
        <w:lastRenderedPageBreak/>
        <w:t>Liao K., Wang H., Chen Q. et al. Prothetic graft for superior mesenteric-portal vein reconstruction in pancreaticoduodenectomy: a retrospective multicenter study. J.Gastrointest.Surg. 2014; 18:1452-61</w:t>
      </w:r>
    </w:p>
    <w:p w:rsidR="006002F1" w:rsidRPr="00FA667B" w:rsidRDefault="006002F1" w:rsidP="00FA667B">
      <w:pPr>
        <w:numPr>
          <w:ilvl w:val="0"/>
          <w:numId w:val="5"/>
        </w:numPr>
        <w:spacing w:line="360" w:lineRule="auto"/>
        <w:jc w:val="both"/>
      </w:pPr>
      <w:r w:rsidRPr="00FA667B">
        <w:t>Fujii T., Yamada S. et al. Vein resections &gt;3cm during pancreatectomy are associated with poor 1-year palency rates. Surgery 2005; 157:708-15</w:t>
      </w:r>
    </w:p>
    <w:p w:rsidR="006002F1" w:rsidRPr="00FA667B" w:rsidRDefault="006002F1" w:rsidP="00FA667B">
      <w:pPr>
        <w:numPr>
          <w:ilvl w:val="0"/>
          <w:numId w:val="5"/>
        </w:numPr>
        <w:spacing w:line="360" w:lineRule="auto"/>
        <w:jc w:val="both"/>
      </w:pPr>
      <w:r w:rsidRPr="00FA667B">
        <w:t>Laurence JM., Tran PD., Morarji K. et al. A systematic review and meta-analysis of survival and surgical outcomes following neoadjuvant chemoradiotherapy for pancreatic cancer. J.Gastrointest.Surg. 2011; 15:2059-69.</w:t>
      </w:r>
    </w:p>
    <w:p w:rsidR="006002F1" w:rsidRPr="00FA667B" w:rsidRDefault="006002F1" w:rsidP="00FA667B">
      <w:pPr>
        <w:numPr>
          <w:ilvl w:val="0"/>
          <w:numId w:val="5"/>
        </w:numPr>
        <w:spacing w:line="360" w:lineRule="auto"/>
        <w:jc w:val="both"/>
      </w:pPr>
      <w:r w:rsidRPr="00FA667B">
        <w:t>Katz MH., Fleming JB., Bhosale P. et al. Response of bordeline resectable pancreatic cancer to neoadjuvant therapy is not reflected by radiographic indicators. Cancer. 2012;118: 5749-56.</w:t>
      </w:r>
    </w:p>
    <w:p w:rsidR="006002F1" w:rsidRPr="00FA667B" w:rsidRDefault="006002F1" w:rsidP="00FA667B">
      <w:pPr>
        <w:numPr>
          <w:ilvl w:val="0"/>
          <w:numId w:val="5"/>
        </w:numPr>
        <w:spacing w:line="360" w:lineRule="auto"/>
        <w:jc w:val="both"/>
      </w:pPr>
      <w:r w:rsidRPr="00FA667B">
        <w:t>Papalezova KT, Tyler DS, Blaze DG. et al. Does preoperative therapy optimize outcomes in patient with resectable pancreatic cancer? J.Surg.Oncol. 2012; 106:111-8</w:t>
      </w:r>
    </w:p>
    <w:p w:rsidR="006002F1" w:rsidRPr="00FA667B" w:rsidRDefault="002100F7" w:rsidP="00FA667B">
      <w:pPr>
        <w:numPr>
          <w:ilvl w:val="0"/>
          <w:numId w:val="5"/>
        </w:numPr>
        <w:spacing w:line="360" w:lineRule="auto"/>
        <w:jc w:val="both"/>
      </w:pPr>
      <w:hyperlink r:id="rId148" w:history="1">
        <w:r w:rsidR="006002F1" w:rsidRPr="00FA667B">
          <w:rPr>
            <w:rStyle w:val="Hypertextovodkaz"/>
            <w:color w:val="auto"/>
            <w:u w:val="none"/>
          </w:rPr>
          <w:t>M.J. Passeri</w:t>
        </w:r>
      </w:hyperlink>
      <w:r w:rsidR="006002F1" w:rsidRPr="00FA667B">
        <w:t xml:space="preserve"> M.J.,</w:t>
      </w:r>
      <w:hyperlink r:id="rId149" w:history="1">
        <w:r w:rsidR="006002F1" w:rsidRPr="00FA667B">
          <w:rPr>
            <w:rStyle w:val="Hypertextovodkaz"/>
            <w:color w:val="auto"/>
            <w:u w:val="none"/>
          </w:rPr>
          <w:t xml:space="preserve"> Baker</w:t>
        </w:r>
      </w:hyperlink>
      <w:r w:rsidR="006002F1" w:rsidRPr="00FA667B">
        <w:t xml:space="preserve"> E.H.,</w:t>
      </w:r>
      <w:hyperlink r:id="rId150" w:history="1">
        <w:r w:rsidR="006002F1" w:rsidRPr="00FA667B">
          <w:rPr>
            <w:rStyle w:val="Hypertextovodkaz"/>
            <w:color w:val="auto"/>
            <w:u w:val="none"/>
          </w:rPr>
          <w:t xml:space="preserve"> Siddiqui</w:t>
        </w:r>
      </w:hyperlink>
      <w:r w:rsidR="006002F1" w:rsidRPr="00FA667B">
        <w:t xml:space="preserve"> I.A. et al. </w:t>
      </w:r>
      <w:r w:rsidR="006002F1" w:rsidRPr="00FA667B">
        <w:rPr>
          <w:bCs/>
        </w:rPr>
        <w:t>Total compared with partial pancreatectomy for pancreatic adenocarcinoma: assessment of resection margin, readmission rate, and survival from the U.S. National Cancer Databasee.</w:t>
      </w:r>
      <w:hyperlink r:id="rId151" w:history="1">
        <w:r w:rsidR="006002F1" w:rsidRPr="00FA667B">
          <w:rPr>
            <w:rStyle w:val="Hypertextovodkaz"/>
            <w:color w:val="auto"/>
            <w:u w:val="none"/>
          </w:rPr>
          <w:t>Curr Oncol</w:t>
        </w:r>
      </w:hyperlink>
      <w:r w:rsidR="006002F1" w:rsidRPr="00FA667B">
        <w:rPr>
          <w:rStyle w:val="cit"/>
        </w:rPr>
        <w:t>. 2019 Jun; 26(3): 346–356.</w:t>
      </w:r>
    </w:p>
    <w:p w:rsidR="006002F1" w:rsidRPr="00FA667B" w:rsidRDefault="006002F1" w:rsidP="00FA667B">
      <w:pPr>
        <w:numPr>
          <w:ilvl w:val="0"/>
          <w:numId w:val="5"/>
        </w:numPr>
        <w:spacing w:line="360" w:lineRule="auto"/>
        <w:jc w:val="both"/>
      </w:pPr>
      <w:r w:rsidRPr="00FA667B">
        <w:rPr>
          <w:bCs/>
        </w:rPr>
        <w:t>Andreou A., Knitter S., Klein F. et al. The role of hepatectomy for synchronous liver metastases from pancreatic adenocarcinoma. Surgical Oncology. 2018; 27:688-694</w:t>
      </w:r>
    </w:p>
    <w:p w:rsidR="006002F1" w:rsidRPr="00FA667B" w:rsidRDefault="006002F1" w:rsidP="00FA667B">
      <w:pPr>
        <w:numPr>
          <w:ilvl w:val="0"/>
          <w:numId w:val="5"/>
        </w:numPr>
        <w:spacing w:line="360" w:lineRule="auto"/>
        <w:jc w:val="both"/>
      </w:pPr>
      <w:r w:rsidRPr="00FA667B">
        <w:rPr>
          <w:bCs/>
        </w:rPr>
        <w:t>Tachezy M.,Gebauer F.,Janot M., Waldemar U. Synchronous resections of hepatic oligometastatic pancreatic cancer: Disputing a principle in a time of safe pancreatic operations in a retrospective multicenter analysis. Surgery. 2016; 160 (1):</w:t>
      </w:r>
      <w:r w:rsidRPr="00FA667B">
        <w:t>136-144</w:t>
      </w:r>
    </w:p>
    <w:p w:rsidR="00703BAB" w:rsidRPr="00FA667B" w:rsidRDefault="002100F7" w:rsidP="00FA667B">
      <w:pPr>
        <w:numPr>
          <w:ilvl w:val="0"/>
          <w:numId w:val="5"/>
        </w:numPr>
        <w:shd w:val="clear" w:color="auto" w:fill="FFFFFF"/>
        <w:spacing w:line="360" w:lineRule="auto"/>
        <w:jc w:val="both"/>
        <w:rPr>
          <w:shd w:val="clear" w:color="auto" w:fill="FFFFFF"/>
        </w:rPr>
      </w:pPr>
      <w:hyperlink r:id="rId152" w:history="1">
        <w:r w:rsidR="00703BAB" w:rsidRPr="00FA667B">
          <w:rPr>
            <w:rStyle w:val="Hypertextovodkaz"/>
            <w:color w:val="auto"/>
            <w:u w:val="none"/>
          </w:rPr>
          <w:t>Hodaka Amano</w:t>
        </w:r>
      </w:hyperlink>
      <w:r w:rsidR="00703BAB" w:rsidRPr="00FA667B">
        <w:rPr>
          <w:rStyle w:val="comma"/>
          <w:shd w:val="clear" w:color="auto" w:fill="FFFFFF"/>
        </w:rPr>
        <w:t>, </w:t>
      </w:r>
      <w:hyperlink r:id="rId153" w:history="1">
        <w:r w:rsidR="00703BAB" w:rsidRPr="00FA667B">
          <w:rPr>
            <w:rStyle w:val="Hypertextovodkaz"/>
            <w:color w:val="auto"/>
            <w:u w:val="none"/>
          </w:rPr>
          <w:t>Fumihiko Miura</w:t>
        </w:r>
      </w:hyperlink>
      <w:r w:rsidR="00703BAB" w:rsidRPr="00FA667B">
        <w:rPr>
          <w:rStyle w:val="comma"/>
          <w:shd w:val="clear" w:color="auto" w:fill="FFFFFF"/>
        </w:rPr>
        <w:t>, </w:t>
      </w:r>
      <w:hyperlink r:id="rId154" w:history="1">
        <w:r w:rsidR="00703BAB" w:rsidRPr="00FA667B">
          <w:rPr>
            <w:rStyle w:val="Hypertextovodkaz"/>
            <w:color w:val="auto"/>
            <w:u w:val="none"/>
          </w:rPr>
          <w:t>Naoyuki Toyota</w:t>
        </w:r>
      </w:hyperlink>
      <w:r w:rsidR="00703BAB" w:rsidRPr="00FA667B">
        <w:rPr>
          <w:rStyle w:val="comma"/>
          <w:shd w:val="clear" w:color="auto" w:fill="FFFFFF"/>
        </w:rPr>
        <w:t xml:space="preserve"> et al. </w:t>
      </w:r>
      <w:r w:rsidR="00703BAB" w:rsidRPr="00FA667B">
        <w:t>Is pancreatectomy with arterial reconstruction a safe and useful procedure for locally advanced pancreatic cancer? J Hepatobiliary Pancreat Surg</w:t>
      </w:r>
      <w:r w:rsidR="00703BAB" w:rsidRPr="00FA667B">
        <w:rPr>
          <w:shd w:val="clear" w:color="auto" w:fill="FFFFFF"/>
        </w:rPr>
        <w:t xml:space="preserve">. 2009;16(6):850-7. </w:t>
      </w:r>
    </w:p>
    <w:p w:rsidR="00703BAB" w:rsidRPr="00FA667B" w:rsidRDefault="00A60BD0" w:rsidP="00FA667B">
      <w:pPr>
        <w:numPr>
          <w:ilvl w:val="0"/>
          <w:numId w:val="5"/>
        </w:numPr>
        <w:spacing w:line="360" w:lineRule="auto"/>
        <w:jc w:val="both"/>
      </w:pPr>
      <w:r w:rsidRPr="00FA667B">
        <w:rPr>
          <w:color w:val="000000"/>
          <w:shd w:val="clear" w:color="auto" w:fill="FFFFFF"/>
        </w:rPr>
        <w:t>Katz MH, Wang H, Balachandran A et al. Effect of neoadjuvant chemoradiation and surgical technique on recurrence of localized pancreatic cancer. J Gastrointest Surg. 2012;16(1):68–78.</w:t>
      </w:r>
    </w:p>
    <w:p w:rsidR="00E173E8" w:rsidRPr="00FA667B" w:rsidRDefault="00CD16CB" w:rsidP="00FA667B">
      <w:pPr>
        <w:numPr>
          <w:ilvl w:val="0"/>
          <w:numId w:val="5"/>
        </w:numPr>
        <w:spacing w:line="360" w:lineRule="auto"/>
        <w:jc w:val="both"/>
      </w:pPr>
      <w:r w:rsidRPr="00FA667B">
        <w:rPr>
          <w:color w:val="000000"/>
          <w:shd w:val="clear" w:color="auto" w:fill="FFFFFF"/>
        </w:rPr>
        <w:t>Fogel E.L., Shahda S., Sandresagaran K. et al. A Multidisciplinary Approach to Pancreas Cancer in 2016: A Review. Am J.Gastroenterol.2017;112(4):537-554</w:t>
      </w:r>
      <w:r w:rsidR="00240578" w:rsidRPr="00FA667B">
        <w:rPr>
          <w:color w:val="000000"/>
          <w:shd w:val="clear" w:color="auto" w:fill="FFFFFF"/>
        </w:rPr>
        <w:t>.</w:t>
      </w:r>
    </w:p>
    <w:p w:rsidR="003A6F82" w:rsidRPr="00FA667B" w:rsidRDefault="003A6F82" w:rsidP="00FA667B">
      <w:pPr>
        <w:numPr>
          <w:ilvl w:val="0"/>
          <w:numId w:val="5"/>
        </w:numPr>
        <w:spacing w:line="360" w:lineRule="auto"/>
        <w:jc w:val="both"/>
      </w:pPr>
      <w:r w:rsidRPr="00FA667B">
        <w:rPr>
          <w:color w:val="000000"/>
          <w:shd w:val="clear" w:color="auto" w:fill="FFFFFF"/>
        </w:rPr>
        <w:t>Yeo CJ et al. Does prophylactic octreotide decrease the rates of pancreatic fistula and other complications after pancreaticoduodenectomy? Result of a prospective randomized placebo-controllled trial. An Surg. 2000;</w:t>
      </w:r>
      <w:r w:rsidR="00240578" w:rsidRPr="00FA667B">
        <w:rPr>
          <w:color w:val="000000"/>
          <w:shd w:val="clear" w:color="auto" w:fill="FFFFFF"/>
        </w:rPr>
        <w:t>232:419-429.</w:t>
      </w:r>
    </w:p>
    <w:p w:rsidR="00FA667B" w:rsidRPr="00FA667B" w:rsidRDefault="00240578" w:rsidP="00FA667B">
      <w:pPr>
        <w:numPr>
          <w:ilvl w:val="0"/>
          <w:numId w:val="5"/>
        </w:numPr>
        <w:spacing w:line="360" w:lineRule="auto"/>
        <w:jc w:val="both"/>
      </w:pPr>
      <w:r w:rsidRPr="00FA667B">
        <w:rPr>
          <w:color w:val="000000"/>
          <w:shd w:val="clear" w:color="auto" w:fill="FFFFFF"/>
        </w:rPr>
        <w:lastRenderedPageBreak/>
        <w:t>Lowy AM et al. Prospective, randomized trial of octreotide to prevent pancreatic fistula after panceaticoduodenectomy for malignant disease. An Surg. 1997;226:632-641.</w:t>
      </w:r>
    </w:p>
    <w:p w:rsidR="00ED2ACC" w:rsidRDefault="00C33DC8" w:rsidP="00ED2ACC">
      <w:pPr>
        <w:numPr>
          <w:ilvl w:val="0"/>
          <w:numId w:val="5"/>
        </w:numPr>
        <w:spacing w:line="360" w:lineRule="auto"/>
        <w:jc w:val="both"/>
      </w:pPr>
      <w:r w:rsidRPr="00FA667B">
        <w:t xml:space="preserve"> Wei-Guo Wang, Shah Ram Babu, Li Wang et al. Use of Clavien</w:t>
      </w:r>
      <w:r w:rsidRPr="00FA667B">
        <w:noBreakHyphen/>
        <w:t>Dindo classification in evaluating complications following pancreaticoduodenectomy in 1,056 cases: A retrospective analysis from one single institution. Onkology Letters. 2018;16:2023-2029</w:t>
      </w:r>
      <w:r w:rsidR="00ED2ACC">
        <w:t>.</w:t>
      </w:r>
    </w:p>
    <w:p w:rsidR="000A3EA7" w:rsidRDefault="000A3EA7" w:rsidP="000A3EA7">
      <w:pPr>
        <w:spacing w:line="360" w:lineRule="auto"/>
        <w:ind w:left="360"/>
      </w:pPr>
      <w:r>
        <w:t>100.</w:t>
      </w:r>
      <w:r w:rsidR="00FA667B" w:rsidRPr="00FA667B">
        <w:t>Carrato A., FalconeA.,Duereux M. et al. A Systematic Review of t</w:t>
      </w:r>
      <w:r>
        <w:t>he Burden of</w:t>
      </w:r>
    </w:p>
    <w:p w:rsidR="000A3EA7" w:rsidRDefault="000A3EA7" w:rsidP="000A3EA7">
      <w:pPr>
        <w:spacing w:line="360" w:lineRule="auto"/>
        <w:ind w:left="360"/>
      </w:pPr>
      <w:r>
        <w:t xml:space="preserve">       </w:t>
      </w:r>
      <w:r w:rsidR="00FA667B" w:rsidRPr="00FA667B">
        <w:t>Pancreatic Cancer in Europe: Real-World Impact o</w:t>
      </w:r>
      <w:r>
        <w:t>n Survival, Quality of Life and</w:t>
      </w:r>
    </w:p>
    <w:p w:rsidR="00A67095" w:rsidRDefault="000A3EA7" w:rsidP="000A3EA7">
      <w:pPr>
        <w:spacing w:line="360" w:lineRule="auto"/>
        <w:ind w:left="360"/>
      </w:pPr>
      <w:r>
        <w:t xml:space="preserve">       </w:t>
      </w:r>
      <w:r w:rsidR="00FA667B" w:rsidRPr="00FA667B">
        <w:t>Costs. J Gastroenterology Canc. 2015;46:201-211.</w:t>
      </w:r>
    </w:p>
    <w:p w:rsidR="000A3EA7" w:rsidRDefault="000A3EA7" w:rsidP="000A3EA7">
      <w:pPr>
        <w:spacing w:line="360" w:lineRule="auto"/>
        <w:ind w:left="360"/>
      </w:pPr>
      <w:r>
        <w:t>101.</w:t>
      </w:r>
      <w:r w:rsidR="00A67095">
        <w:t xml:space="preserve">Neoptolemos JP, Stocken DD, |Friess </w:t>
      </w:r>
      <w:r>
        <w:t>H et all. A randomized trial of</w:t>
      </w:r>
    </w:p>
    <w:p w:rsidR="000A3EA7" w:rsidRDefault="000A3EA7" w:rsidP="000A3EA7">
      <w:pPr>
        <w:spacing w:line="360" w:lineRule="auto"/>
        <w:ind w:left="360"/>
      </w:pPr>
      <w:r>
        <w:t xml:space="preserve">       </w:t>
      </w:r>
      <w:r w:rsidR="00A67095">
        <w:t>chemoradiotherapy and chemotherapy after resection</w:t>
      </w:r>
      <w:r>
        <w:t xml:space="preserve"> of pancreatic cancer. N Engl J</w:t>
      </w:r>
    </w:p>
    <w:p w:rsidR="00A67095" w:rsidRDefault="000A3EA7" w:rsidP="000A3EA7">
      <w:pPr>
        <w:spacing w:line="360" w:lineRule="auto"/>
        <w:ind w:left="360"/>
      </w:pPr>
      <w:r>
        <w:t xml:space="preserve">       </w:t>
      </w:r>
      <w:r w:rsidR="00A67095">
        <w:t>Med. 2004;350:1200-1210.</w:t>
      </w:r>
    </w:p>
    <w:p w:rsidR="000A3EA7" w:rsidRDefault="000A3EA7" w:rsidP="000A3EA7">
      <w:pPr>
        <w:spacing w:line="360" w:lineRule="auto"/>
        <w:ind w:firstLine="360"/>
      </w:pPr>
      <w:r>
        <w:t>102.</w:t>
      </w:r>
      <w:r w:rsidR="00FA667B" w:rsidRPr="00FA667B">
        <w:t>Trond A Buanes et al. Role surgery in pankreas ca</w:t>
      </w:r>
      <w:r>
        <w:t>ncer. World J Gastroenterology.</w:t>
      </w:r>
    </w:p>
    <w:p w:rsidR="00FA667B" w:rsidRDefault="000A3EA7" w:rsidP="000A3EA7">
      <w:pPr>
        <w:spacing w:line="360" w:lineRule="auto"/>
      </w:pPr>
      <w:r>
        <w:t xml:space="preserve">             </w:t>
      </w:r>
      <w:r w:rsidR="00FA667B" w:rsidRPr="00FA667B">
        <w:t>2017;23(21):3765-3770.</w:t>
      </w:r>
    </w:p>
    <w:p w:rsidR="000A3EA7" w:rsidRDefault="000A3EA7" w:rsidP="000A3EA7">
      <w:pPr>
        <w:spacing w:line="360" w:lineRule="auto"/>
        <w:ind w:left="360"/>
      </w:pPr>
      <w:r>
        <w:t>103.</w:t>
      </w:r>
      <w:r w:rsidR="007410CB">
        <w:t>N.A. vander Gaag, K.Harmsen, W.J.Eshuis et al. P</w:t>
      </w:r>
      <w:r>
        <w:t>ancreatoduodenectomy associated</w:t>
      </w:r>
    </w:p>
    <w:p w:rsidR="000A3EA7" w:rsidRDefault="000A3EA7" w:rsidP="000A3EA7">
      <w:pPr>
        <w:spacing w:line="360" w:lineRule="auto"/>
        <w:ind w:left="360"/>
      </w:pPr>
      <w:r>
        <w:t xml:space="preserve">       </w:t>
      </w:r>
      <w:r w:rsidR="007410CB">
        <w:t>complications influence cancer recurrence and time</w:t>
      </w:r>
      <w:r>
        <w:t xml:space="preserve"> interval to dech. Elsevier the</w:t>
      </w:r>
    </w:p>
    <w:p w:rsidR="007410CB" w:rsidRDefault="000A3EA7" w:rsidP="000A3EA7">
      <w:pPr>
        <w:spacing w:line="360" w:lineRule="auto"/>
        <w:ind w:left="360"/>
      </w:pPr>
      <w:r>
        <w:t xml:space="preserve">       </w:t>
      </w:r>
      <w:r w:rsidR="007410CB">
        <w:t>Journal of Cancer Surgery.2014;40:551-558.</w:t>
      </w:r>
    </w:p>
    <w:p w:rsidR="000A3EA7" w:rsidRDefault="000A3EA7" w:rsidP="000A3EA7">
      <w:pPr>
        <w:spacing w:line="360" w:lineRule="auto"/>
        <w:ind w:left="360"/>
      </w:pPr>
      <w:r>
        <w:t>104.Child</w:t>
      </w:r>
      <w:r w:rsidR="00EE1266" w:rsidRPr="000A3EA7">
        <w:t xml:space="preserve"> C.G.</w:t>
      </w:r>
      <w:r w:rsidRPr="000A3EA7">
        <w:t xml:space="preserve"> et al.</w:t>
      </w:r>
      <w:r w:rsidR="00EE1266" w:rsidRPr="000A3EA7">
        <w:t xml:space="preserve"> Pancreaticojejunostomy and Oth</w:t>
      </w:r>
      <w:r>
        <w:t>er Problems Associated With the</w:t>
      </w:r>
    </w:p>
    <w:p w:rsidR="000A3EA7" w:rsidRDefault="000A3EA7" w:rsidP="000A3EA7">
      <w:pPr>
        <w:spacing w:line="360" w:lineRule="auto"/>
        <w:ind w:left="360"/>
      </w:pPr>
      <w:r>
        <w:t xml:space="preserve">       </w:t>
      </w:r>
      <w:r w:rsidR="00EE1266" w:rsidRPr="000A3EA7">
        <w:t xml:space="preserve">Surgical Management of Carcinoma Involving the Head of </w:t>
      </w:r>
      <w:r>
        <w:t>the Pancreas: Report of</w:t>
      </w:r>
    </w:p>
    <w:p w:rsidR="000A3EA7" w:rsidRDefault="000A3EA7" w:rsidP="000A3EA7">
      <w:pPr>
        <w:spacing w:line="360" w:lineRule="auto"/>
        <w:ind w:left="360"/>
      </w:pPr>
      <w:r>
        <w:t xml:space="preserve">       </w:t>
      </w:r>
      <w:r w:rsidR="00EE1266" w:rsidRPr="000A3EA7">
        <w:t>Five Additional Cases of Radical Pancreaticodu</w:t>
      </w:r>
      <w:r>
        <w:t>odenectomy. Ann Surg. 1944; 119</w:t>
      </w:r>
    </w:p>
    <w:p w:rsidR="00EE1266" w:rsidRPr="000A3EA7" w:rsidRDefault="000A3EA7" w:rsidP="000A3EA7">
      <w:pPr>
        <w:spacing w:line="360" w:lineRule="auto"/>
        <w:ind w:left="360"/>
      </w:pPr>
      <w:r>
        <w:t xml:space="preserve">       </w:t>
      </w:r>
      <w:r w:rsidR="00EE1266" w:rsidRPr="000A3EA7">
        <w:t>(6): 845-855.</w:t>
      </w:r>
    </w:p>
    <w:p w:rsidR="000A3EA7" w:rsidRDefault="000A3EA7" w:rsidP="000A3EA7">
      <w:pPr>
        <w:spacing w:line="360" w:lineRule="auto"/>
        <w:ind w:left="360"/>
      </w:pPr>
      <w:r>
        <w:t>105.</w:t>
      </w:r>
      <w:r w:rsidRPr="000A3EA7">
        <w:t>Eshuis W.J., Van Eikck C.H., Gerhards M.F. et al. An</w:t>
      </w:r>
      <w:r>
        <w:t>tecolic versus retrocolic route</w:t>
      </w:r>
    </w:p>
    <w:p w:rsidR="000A3EA7" w:rsidRDefault="000A3EA7" w:rsidP="000A3EA7">
      <w:pPr>
        <w:spacing w:line="360" w:lineRule="auto"/>
        <w:ind w:left="360"/>
      </w:pPr>
      <w:r>
        <w:t xml:space="preserve">       </w:t>
      </w:r>
      <w:r w:rsidRPr="000A3EA7">
        <w:t>of the gastroenteric anastomosis after pancreatoduodenectomy:</w:t>
      </w:r>
      <w:r>
        <w:t xml:space="preserve"> a randomized</w:t>
      </w:r>
    </w:p>
    <w:p w:rsidR="000A3EA7" w:rsidRDefault="000A3EA7" w:rsidP="000A3EA7">
      <w:pPr>
        <w:spacing w:line="360" w:lineRule="auto"/>
        <w:ind w:left="360"/>
      </w:pPr>
      <w:r>
        <w:t xml:space="preserve">       </w:t>
      </w:r>
      <w:r w:rsidRPr="000A3EA7">
        <w:t>controlled trial. Ann Surg. 2014; 259 (1): 45-51.</w:t>
      </w:r>
    </w:p>
    <w:p w:rsidR="000A3EA7" w:rsidRDefault="000A3EA7" w:rsidP="000A3EA7">
      <w:pPr>
        <w:spacing w:line="360" w:lineRule="auto"/>
        <w:ind w:left="360"/>
        <w:jc w:val="both"/>
      </w:pPr>
      <w:r>
        <w:t>106.</w:t>
      </w:r>
      <w:r w:rsidRPr="000A3EA7">
        <w:t>Perwaiz A., Singhal D., Singh A. et al. Is isolated R</w:t>
      </w:r>
      <w:r>
        <w:t>oux loop pancreaticojejunostomy</w:t>
      </w:r>
    </w:p>
    <w:p w:rsidR="000A3EA7" w:rsidRDefault="000A3EA7" w:rsidP="000A3EA7">
      <w:pPr>
        <w:spacing w:line="360" w:lineRule="auto"/>
        <w:ind w:left="360"/>
        <w:jc w:val="both"/>
      </w:pPr>
      <w:r>
        <w:t xml:space="preserve">       </w:t>
      </w:r>
      <w:r w:rsidRPr="000A3EA7">
        <w:t>superior to conventional reconstruction in pancrea</w:t>
      </w:r>
      <w:r>
        <w:t>ticoduodenectomy? HPB (Oxford).</w:t>
      </w:r>
    </w:p>
    <w:p w:rsidR="008B4F3A" w:rsidRDefault="000A3EA7" w:rsidP="008B4F3A">
      <w:pPr>
        <w:spacing w:line="360" w:lineRule="auto"/>
        <w:ind w:left="360"/>
        <w:jc w:val="both"/>
      </w:pPr>
      <w:r>
        <w:t xml:space="preserve">       </w:t>
      </w:r>
      <w:r w:rsidRPr="000A3EA7">
        <w:t>2009; 11 (4): 326-331.</w:t>
      </w:r>
    </w:p>
    <w:p w:rsidR="00246146" w:rsidRDefault="00246146" w:rsidP="008B4F3A">
      <w:pPr>
        <w:spacing w:line="360" w:lineRule="auto"/>
        <w:ind w:left="360"/>
        <w:jc w:val="both"/>
      </w:pPr>
    </w:p>
    <w:p w:rsidR="008B4F3A" w:rsidRDefault="008B4F3A" w:rsidP="008B4F3A">
      <w:pPr>
        <w:spacing w:line="360" w:lineRule="auto"/>
        <w:ind w:left="360"/>
        <w:jc w:val="both"/>
      </w:pPr>
      <w:r w:rsidRPr="008B4F3A">
        <w:t xml:space="preserve">107. </w:t>
      </w:r>
      <w:hyperlink r:id="rId155" w:history="1">
        <w:r w:rsidRPr="008B4F3A">
          <w:rPr>
            <w:rStyle w:val="Hypertextovodkaz"/>
            <w:color w:val="auto"/>
            <w:u w:val="none"/>
            <w:shd w:val="clear" w:color="auto" w:fill="FFFFFF"/>
          </w:rPr>
          <w:t>Brunner</w:t>
        </w:r>
      </w:hyperlink>
      <w:r w:rsidRPr="008B4F3A">
        <w:t xml:space="preserve"> T.B., </w:t>
      </w:r>
      <w:hyperlink r:id="rId156" w:history="1">
        <w:r w:rsidRPr="008B4F3A">
          <w:rPr>
            <w:rStyle w:val="Hypertextovodkaz"/>
            <w:color w:val="auto"/>
            <w:u w:val="none"/>
            <w:shd w:val="clear" w:color="auto" w:fill="FFFFFF"/>
          </w:rPr>
          <w:t>Grabenbauer</w:t>
        </w:r>
      </w:hyperlink>
      <w:r w:rsidRPr="008B4F3A">
        <w:t xml:space="preserve"> G.</w:t>
      </w:r>
      <w:r w:rsidRPr="008B4F3A">
        <w:rPr>
          <w:shd w:val="clear" w:color="auto" w:fill="FFFFFF"/>
        </w:rPr>
        <w:t>,</w:t>
      </w:r>
      <w:hyperlink r:id="rId157" w:history="1">
        <w:r w:rsidRPr="008B4F3A">
          <w:rPr>
            <w:rStyle w:val="Hypertextovodkaz"/>
            <w:color w:val="auto"/>
            <w:u w:val="none"/>
            <w:shd w:val="clear" w:color="auto" w:fill="FFFFFF"/>
          </w:rPr>
          <w:t>Thomas Meyer</w:t>
        </w:r>
      </w:hyperlink>
      <w:r w:rsidRPr="008B4F3A">
        <w:t xml:space="preserve"> T. et al. </w:t>
      </w:r>
      <w:r>
        <w:t>Primary resection versus</w:t>
      </w:r>
    </w:p>
    <w:p w:rsidR="008B4F3A" w:rsidRDefault="008B4F3A" w:rsidP="008B4F3A">
      <w:pPr>
        <w:spacing w:line="360" w:lineRule="auto"/>
        <w:ind w:left="360"/>
        <w:jc w:val="both"/>
      </w:pPr>
      <w:r>
        <w:t xml:space="preserve">        </w:t>
      </w:r>
      <w:r w:rsidRPr="008B4F3A">
        <w:t>neoadjuvant chemoradiation followed by rese</w:t>
      </w:r>
      <w:r>
        <w:t>ction for locally resectable or</w:t>
      </w:r>
    </w:p>
    <w:p w:rsidR="008B4F3A" w:rsidRDefault="008B4F3A" w:rsidP="008B4F3A">
      <w:pPr>
        <w:spacing w:line="360" w:lineRule="auto"/>
        <w:ind w:left="360"/>
        <w:jc w:val="both"/>
      </w:pPr>
      <w:r>
        <w:t xml:space="preserve">        </w:t>
      </w:r>
      <w:r w:rsidRPr="008B4F3A">
        <w:t>potentially resectable pancreatic carcinoma without dis</w:t>
      </w:r>
      <w:r>
        <w:t xml:space="preserve">tant metastasis. A multi-centre  </w:t>
      </w:r>
    </w:p>
    <w:p w:rsidR="008B4F3A" w:rsidRDefault="008B4F3A" w:rsidP="008B4F3A">
      <w:pPr>
        <w:spacing w:line="360" w:lineRule="auto"/>
        <w:jc w:val="both"/>
      </w:pPr>
      <w:r>
        <w:t xml:space="preserve">              </w:t>
      </w:r>
      <w:r w:rsidRPr="008B4F3A">
        <w:t xml:space="preserve">prospectively randomised phase II-study of the </w:t>
      </w:r>
      <w:r>
        <w:t>Interdisciplinary Working Group</w:t>
      </w:r>
    </w:p>
    <w:p w:rsidR="008B4F3A" w:rsidRPr="008B4F3A" w:rsidRDefault="008B4F3A" w:rsidP="008B4F3A">
      <w:pPr>
        <w:spacing w:line="360" w:lineRule="auto"/>
        <w:jc w:val="both"/>
      </w:pPr>
      <w:r>
        <w:t xml:space="preserve">              </w:t>
      </w:r>
      <w:r w:rsidRPr="008B4F3A">
        <w:t>Gastrointestinal Tumours (AIO, ARO, and CAO).</w:t>
      </w:r>
      <w:r w:rsidRPr="008B4F3A">
        <w:rPr>
          <w:shd w:val="clear" w:color="auto" w:fill="FFFFFF"/>
        </w:rPr>
        <w:t xml:space="preserve"> </w:t>
      </w:r>
      <w:hyperlink r:id="rId158" w:history="1">
        <w:r w:rsidRPr="008B4F3A">
          <w:rPr>
            <w:rStyle w:val="Hypertextovodkaz"/>
            <w:color w:val="auto"/>
            <w:u w:val="none"/>
            <w:shd w:val="clear" w:color="auto" w:fill="FFFFFF"/>
          </w:rPr>
          <w:t>BMC Cancer.</w:t>
        </w:r>
      </w:hyperlink>
      <w:r w:rsidRPr="008B4F3A">
        <w:rPr>
          <w:shd w:val="clear" w:color="auto" w:fill="FFFFFF"/>
        </w:rPr>
        <w:t> 2007; 7:41</w:t>
      </w:r>
    </w:p>
    <w:p w:rsidR="00EE2673" w:rsidRDefault="00EE2673" w:rsidP="000A3EA7">
      <w:pPr>
        <w:spacing w:line="360" w:lineRule="auto"/>
        <w:ind w:left="360"/>
        <w:jc w:val="both"/>
      </w:pPr>
      <w:r>
        <w:t>108. Benhaim R., Oussoultzoglou E., Saeedi Y. et al. Pancreatic Metastasis From Clear</w:t>
      </w:r>
    </w:p>
    <w:p w:rsidR="00EE2673" w:rsidRDefault="00EE2673" w:rsidP="000A3EA7">
      <w:pPr>
        <w:spacing w:line="360" w:lineRule="auto"/>
        <w:ind w:left="360"/>
        <w:jc w:val="both"/>
      </w:pPr>
      <w:r>
        <w:lastRenderedPageBreak/>
        <w:t xml:space="preserve">        Cell Renal Cell Carcinoma: Outcome of an Aggressive Approach. Oncology.</w:t>
      </w:r>
    </w:p>
    <w:p w:rsidR="00EE2673" w:rsidRDefault="00EE2673" w:rsidP="00EE2673">
      <w:pPr>
        <w:spacing w:line="360" w:lineRule="auto"/>
        <w:ind w:left="360"/>
        <w:jc w:val="both"/>
      </w:pPr>
      <w:r>
        <w:t xml:space="preserve">        2015;85(1):135-140</w:t>
      </w:r>
    </w:p>
    <w:p w:rsidR="002023F8" w:rsidRDefault="00EE2673" w:rsidP="00EE2673">
      <w:pPr>
        <w:spacing w:line="360" w:lineRule="auto"/>
        <w:ind w:left="360"/>
        <w:jc w:val="both"/>
      </w:pPr>
      <w:r w:rsidRPr="00EE2673">
        <w:t>109. Loveček M., Skalický P., Kliment M. et al. Metastá</w:t>
      </w:r>
      <w:r w:rsidR="002023F8">
        <w:t>zy do pankreatu − diagnostika a</w:t>
      </w:r>
    </w:p>
    <w:p w:rsidR="00EE2673" w:rsidRPr="00EE2673" w:rsidRDefault="002023F8" w:rsidP="00EE2673">
      <w:pPr>
        <w:spacing w:line="360" w:lineRule="auto"/>
        <w:ind w:left="360"/>
        <w:jc w:val="both"/>
      </w:pPr>
      <w:r>
        <w:t xml:space="preserve">        </w:t>
      </w:r>
      <w:r w:rsidR="00EE2673" w:rsidRPr="00EE2673">
        <w:t>možnosti radikální léčby, komplikace, přežívání</w:t>
      </w:r>
      <w:r w:rsidR="00EE2673" w:rsidRPr="00EE2673">
        <w:rPr>
          <w:bCs/>
        </w:rPr>
        <w:t xml:space="preserve">. </w:t>
      </w:r>
      <w:hyperlink r:id="rId159" w:tooltip="Rozhledy v chirurgii 5/2015" w:history="1">
        <w:r w:rsidR="00EE2673">
          <w:rPr>
            <w:rStyle w:val="Hypertextovodkaz"/>
            <w:color w:val="auto"/>
            <w:u w:val="none"/>
          </w:rPr>
          <w:t>Rozhl. Chir.</w:t>
        </w:r>
        <w:r w:rsidR="00EE2673" w:rsidRPr="00EE2673">
          <w:rPr>
            <w:rStyle w:val="Hypertextovodkaz"/>
            <w:color w:val="auto"/>
            <w:u w:val="none"/>
          </w:rPr>
          <w:t xml:space="preserve"> 2015</w:t>
        </w:r>
        <w:r>
          <w:rPr>
            <w:rStyle w:val="Hypertextovodkaz"/>
            <w:color w:val="auto"/>
            <w:u w:val="none"/>
          </w:rPr>
          <w:t xml:space="preserve">; </w:t>
        </w:r>
        <w:r w:rsidR="00EE2673" w:rsidRPr="00EE2673">
          <w:rPr>
            <w:rStyle w:val="Hypertextovodkaz"/>
            <w:color w:val="auto"/>
            <w:u w:val="none"/>
          </w:rPr>
          <w:t>94</w:t>
        </w:r>
        <w:r>
          <w:rPr>
            <w:rStyle w:val="Hypertextovodkaz"/>
            <w:color w:val="auto"/>
            <w:u w:val="none"/>
          </w:rPr>
          <w:t>(</w:t>
        </w:r>
        <w:r w:rsidR="00EE2673" w:rsidRPr="00EE2673">
          <w:rPr>
            <w:rStyle w:val="Hypertextovodkaz"/>
            <w:color w:val="auto"/>
            <w:u w:val="none"/>
          </w:rPr>
          <w:t>5</w:t>
        </w:r>
        <w:r>
          <w:rPr>
            <w:rStyle w:val="Hypertextovodkaz"/>
            <w:color w:val="auto"/>
            <w:u w:val="none"/>
          </w:rPr>
          <w:t>):</w:t>
        </w:r>
        <w:r w:rsidR="00EE2673" w:rsidRPr="00EE2673">
          <w:rPr>
            <w:rStyle w:val="Hypertextovodkaz"/>
            <w:color w:val="auto"/>
            <w:u w:val="none"/>
          </w:rPr>
          <w:t>193-198.</w:t>
        </w:r>
      </w:hyperlink>
    </w:p>
    <w:p w:rsidR="00EE2673" w:rsidRDefault="00EE2673" w:rsidP="000A3EA7">
      <w:pPr>
        <w:spacing w:line="360" w:lineRule="auto"/>
        <w:ind w:left="360"/>
        <w:jc w:val="both"/>
      </w:pPr>
    </w:p>
    <w:p w:rsidR="000A3EA7" w:rsidRDefault="000A3EA7" w:rsidP="00FA667B">
      <w:pPr>
        <w:pStyle w:val="Odstavecseseznamem"/>
        <w:spacing w:line="360" w:lineRule="auto"/>
        <w:ind w:left="0"/>
        <w:jc w:val="both"/>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46146" w:rsidRDefault="00246146" w:rsidP="00FA667B">
      <w:pPr>
        <w:pStyle w:val="Odstavecseseznamem"/>
        <w:spacing w:line="360" w:lineRule="auto"/>
        <w:ind w:left="0"/>
        <w:jc w:val="both"/>
        <w:rPr>
          <w:b/>
          <w:u w:val="single"/>
        </w:rPr>
      </w:pPr>
    </w:p>
    <w:p w:rsidR="002023F8" w:rsidRDefault="002023F8" w:rsidP="00FA667B">
      <w:pPr>
        <w:pStyle w:val="Odstavecseseznamem"/>
        <w:spacing w:line="360" w:lineRule="auto"/>
        <w:ind w:left="0"/>
        <w:jc w:val="both"/>
        <w:rPr>
          <w:b/>
          <w:u w:val="single"/>
        </w:rPr>
      </w:pPr>
    </w:p>
    <w:p w:rsidR="006002F1" w:rsidRPr="00FA667B" w:rsidRDefault="003744AD" w:rsidP="00FA667B">
      <w:pPr>
        <w:pStyle w:val="Odstavecseseznamem"/>
        <w:spacing w:line="360" w:lineRule="auto"/>
        <w:ind w:left="0"/>
        <w:jc w:val="both"/>
        <w:rPr>
          <w:b/>
          <w:u w:val="single"/>
        </w:rPr>
      </w:pPr>
      <w:r>
        <w:rPr>
          <w:b/>
          <w:u w:val="single"/>
        </w:rPr>
        <w:t>9</w:t>
      </w:r>
      <w:r w:rsidR="006002F1" w:rsidRPr="00FA667B">
        <w:rPr>
          <w:b/>
          <w:u w:val="single"/>
        </w:rPr>
        <w:t>. Seznam zkratek</w:t>
      </w:r>
    </w:p>
    <w:p w:rsidR="0043532A" w:rsidRPr="00FA667B" w:rsidRDefault="0043532A" w:rsidP="00FA667B">
      <w:pPr>
        <w:pStyle w:val="Odstavecseseznamem"/>
        <w:spacing w:line="360" w:lineRule="auto"/>
        <w:ind w:left="0"/>
        <w:jc w:val="both"/>
      </w:pPr>
      <w:r w:rsidRPr="00FA667B">
        <w:t>PDAC</w:t>
      </w:r>
      <w:r w:rsidR="006002F1" w:rsidRPr="00FA667B">
        <w:t xml:space="preserve"> – </w:t>
      </w:r>
      <w:r w:rsidRPr="00FA667B">
        <w:t xml:space="preserve">pancreatic ductal </w:t>
      </w:r>
      <w:r w:rsidR="006002F1" w:rsidRPr="00FA667B">
        <w:t>adenokarcinom</w:t>
      </w:r>
      <w:r w:rsidRPr="00FA667B">
        <w:t>a</w:t>
      </w:r>
    </w:p>
    <w:p w:rsidR="006002F1" w:rsidRPr="00FA667B" w:rsidRDefault="006002F1" w:rsidP="00FA667B">
      <w:pPr>
        <w:pStyle w:val="Odstavecseseznamem"/>
        <w:spacing w:line="360" w:lineRule="auto"/>
        <w:ind w:left="0"/>
        <w:jc w:val="both"/>
      </w:pPr>
      <w:r w:rsidRPr="00FA667B">
        <w:t>DM – diabete mellitus</w:t>
      </w:r>
    </w:p>
    <w:p w:rsidR="006002F1" w:rsidRPr="00FA667B" w:rsidRDefault="006002F1" w:rsidP="00FA667B">
      <w:pPr>
        <w:spacing w:line="360" w:lineRule="auto"/>
        <w:jc w:val="both"/>
      </w:pPr>
      <w:r w:rsidRPr="00FA667B">
        <w:t>CT – computer tomograf</w:t>
      </w:r>
    </w:p>
    <w:p w:rsidR="00245AEF" w:rsidRPr="00FA667B" w:rsidRDefault="00245AEF" w:rsidP="00FA667B">
      <w:pPr>
        <w:spacing w:line="360" w:lineRule="auto"/>
        <w:jc w:val="both"/>
      </w:pPr>
      <w:r w:rsidRPr="00FA667B">
        <w:t>PET/CT-pozitronová emisní tomografie</w:t>
      </w:r>
    </w:p>
    <w:p w:rsidR="006002F1" w:rsidRPr="00FA667B" w:rsidRDefault="006002F1" w:rsidP="00FA667B">
      <w:pPr>
        <w:spacing w:line="360" w:lineRule="auto"/>
        <w:jc w:val="both"/>
      </w:pPr>
      <w:r w:rsidRPr="00FA667B">
        <w:t>ERCP – endoskopická retrográdní cholangiografie</w:t>
      </w:r>
    </w:p>
    <w:p w:rsidR="006002F1" w:rsidRPr="00FA667B" w:rsidRDefault="006002F1" w:rsidP="00FA667B">
      <w:pPr>
        <w:spacing w:line="360" w:lineRule="auto"/>
        <w:jc w:val="both"/>
      </w:pPr>
      <w:r w:rsidRPr="00FA667B">
        <w:lastRenderedPageBreak/>
        <w:t>FNAB – fine needle aspiration biopsy</w:t>
      </w:r>
    </w:p>
    <w:p w:rsidR="006002F1" w:rsidRPr="00FA667B" w:rsidRDefault="006002F1" w:rsidP="00FA667B">
      <w:pPr>
        <w:spacing w:line="360" w:lineRule="auto"/>
        <w:jc w:val="both"/>
      </w:pPr>
      <w:r w:rsidRPr="00FA667B">
        <w:t>endoUZ – endosonografie</w:t>
      </w:r>
    </w:p>
    <w:p w:rsidR="00245AEF" w:rsidRPr="00FA667B" w:rsidRDefault="00245AEF" w:rsidP="00FA667B">
      <w:pPr>
        <w:spacing w:line="360" w:lineRule="auto"/>
        <w:jc w:val="both"/>
      </w:pPr>
      <w:r w:rsidRPr="00FA667B">
        <w:t>PTCD – perkutánní transhepatická drenáž</w:t>
      </w:r>
    </w:p>
    <w:p w:rsidR="006002F1" w:rsidRPr="00FA667B" w:rsidRDefault="006002F1" w:rsidP="00FA667B">
      <w:pPr>
        <w:spacing w:line="360" w:lineRule="auto"/>
        <w:jc w:val="both"/>
      </w:pPr>
      <w:r w:rsidRPr="00FA667B">
        <w:t>UICC – Union Internationale Country le Cancer</w:t>
      </w:r>
    </w:p>
    <w:p w:rsidR="006002F1" w:rsidRPr="00FA667B" w:rsidRDefault="000A3EA7" w:rsidP="00FA667B">
      <w:pPr>
        <w:spacing w:line="360" w:lineRule="auto"/>
        <w:jc w:val="both"/>
      </w:pPr>
      <w:r>
        <w:t>AJCC – American J</w:t>
      </w:r>
      <w:r w:rsidR="006002F1" w:rsidRPr="00FA667B">
        <w:t>oint Committee on Cancer</w:t>
      </w:r>
    </w:p>
    <w:p w:rsidR="006002F1" w:rsidRPr="00FA667B" w:rsidRDefault="006002F1" w:rsidP="00FA667B">
      <w:pPr>
        <w:spacing w:line="360" w:lineRule="auto"/>
        <w:jc w:val="both"/>
      </w:pPr>
      <w:r w:rsidRPr="00FA667B">
        <w:t>JPS – japonská pankreatologická společnost</w:t>
      </w:r>
    </w:p>
    <w:p w:rsidR="00245AEF" w:rsidRPr="00FA667B" w:rsidRDefault="00245AEF" w:rsidP="00FA667B">
      <w:pPr>
        <w:spacing w:line="360" w:lineRule="auto"/>
        <w:jc w:val="both"/>
      </w:pPr>
      <w:r w:rsidRPr="00FA667B">
        <w:t>NCCN – National Comprehensive Cancer Network</w:t>
      </w:r>
    </w:p>
    <w:p w:rsidR="006002F1" w:rsidRPr="00FA667B" w:rsidRDefault="006002F1" w:rsidP="00FA667B">
      <w:pPr>
        <w:spacing w:line="360" w:lineRule="auto"/>
        <w:jc w:val="both"/>
      </w:pPr>
      <w:r w:rsidRPr="00FA667B">
        <w:t>AHC – arteria hepatica communis</w:t>
      </w:r>
    </w:p>
    <w:p w:rsidR="006002F1" w:rsidRPr="00FA667B" w:rsidRDefault="006002F1" w:rsidP="00FA667B">
      <w:pPr>
        <w:spacing w:line="360" w:lineRule="auto"/>
        <w:jc w:val="both"/>
      </w:pPr>
      <w:r w:rsidRPr="00FA667B">
        <w:t>TC – truncus coeliacus</w:t>
      </w:r>
    </w:p>
    <w:p w:rsidR="006002F1" w:rsidRPr="00FA667B" w:rsidRDefault="006002F1" w:rsidP="00FA667B">
      <w:pPr>
        <w:spacing w:line="360" w:lineRule="auto"/>
        <w:jc w:val="both"/>
      </w:pPr>
      <w:r w:rsidRPr="00FA667B">
        <w:t>VP – vena portea</w:t>
      </w:r>
    </w:p>
    <w:p w:rsidR="006002F1" w:rsidRPr="00FA667B" w:rsidRDefault="006002F1" w:rsidP="00FA667B">
      <w:pPr>
        <w:spacing w:line="360" w:lineRule="auto"/>
        <w:jc w:val="both"/>
      </w:pPr>
      <w:r w:rsidRPr="00FA667B">
        <w:t>AGD – atretia gastroduodenalis</w:t>
      </w:r>
    </w:p>
    <w:p w:rsidR="006002F1" w:rsidRPr="00FA667B" w:rsidRDefault="006002F1" w:rsidP="00FA667B">
      <w:pPr>
        <w:spacing w:line="360" w:lineRule="auto"/>
        <w:jc w:val="both"/>
      </w:pPr>
      <w:r w:rsidRPr="00FA667B">
        <w:t>AMS – arteria mesenterica superior</w:t>
      </w:r>
    </w:p>
    <w:p w:rsidR="006002F1" w:rsidRPr="00FA667B" w:rsidRDefault="006002F1" w:rsidP="00FA667B">
      <w:pPr>
        <w:spacing w:line="360" w:lineRule="auto"/>
        <w:jc w:val="both"/>
      </w:pPr>
      <w:r w:rsidRPr="00FA667B">
        <w:t>PJA – pankreatikojejuno anastomóza</w:t>
      </w:r>
    </w:p>
    <w:p w:rsidR="00245AEF" w:rsidRPr="00FA667B" w:rsidRDefault="00245AEF" w:rsidP="00FA667B">
      <w:pPr>
        <w:spacing w:line="360" w:lineRule="auto"/>
        <w:jc w:val="both"/>
      </w:pPr>
      <w:r w:rsidRPr="00FA667B">
        <w:t>PGA – pankreatikogastro anastomóza</w:t>
      </w:r>
    </w:p>
    <w:p w:rsidR="00245AEF" w:rsidRPr="00FA667B" w:rsidRDefault="00245AEF" w:rsidP="00FA667B">
      <w:pPr>
        <w:spacing w:line="360" w:lineRule="auto"/>
        <w:jc w:val="both"/>
      </w:pPr>
      <w:r w:rsidRPr="00FA667B">
        <w:t>HJA – hepatikojejuno anastomóza</w:t>
      </w:r>
    </w:p>
    <w:p w:rsidR="006002F1" w:rsidRPr="00FA667B" w:rsidRDefault="00245AEF" w:rsidP="00FA667B">
      <w:pPr>
        <w:spacing w:line="360" w:lineRule="auto"/>
        <w:jc w:val="both"/>
      </w:pPr>
      <w:r w:rsidRPr="00FA667B">
        <w:t>PDE</w:t>
      </w:r>
      <w:r w:rsidR="006002F1" w:rsidRPr="00FA667B">
        <w:t>– pankreatoduodenektomie</w:t>
      </w:r>
    </w:p>
    <w:p w:rsidR="00245AEF" w:rsidRPr="00FA667B" w:rsidRDefault="00245AEF" w:rsidP="00FA667B">
      <w:pPr>
        <w:spacing w:line="360" w:lineRule="auto"/>
        <w:jc w:val="both"/>
      </w:pPr>
      <w:r w:rsidRPr="00FA667B">
        <w:t>LPE – levostranná resekce pankreatu</w:t>
      </w:r>
    </w:p>
    <w:p w:rsidR="00245AEF" w:rsidRPr="00FA667B" w:rsidRDefault="00245AEF" w:rsidP="00FA667B">
      <w:pPr>
        <w:spacing w:line="360" w:lineRule="auto"/>
        <w:jc w:val="both"/>
      </w:pPr>
      <w:r w:rsidRPr="00FA667B">
        <w:t>TPE – totální pankreatektomie</w:t>
      </w:r>
    </w:p>
    <w:p w:rsidR="003E493A" w:rsidRPr="00FA667B" w:rsidRDefault="003E493A" w:rsidP="00FA667B">
      <w:pPr>
        <w:spacing w:line="360" w:lineRule="auto"/>
        <w:jc w:val="both"/>
      </w:pPr>
      <w:r w:rsidRPr="00FA667B">
        <w:t>PPH –</w:t>
      </w:r>
      <w:r w:rsidR="00245AEF" w:rsidRPr="00FA667B">
        <w:t xml:space="preserve"> </w:t>
      </w:r>
      <w:r w:rsidRPr="00FA667B">
        <w:t xml:space="preserve"> </w:t>
      </w:r>
      <w:r w:rsidR="00245AEF" w:rsidRPr="00FA667B">
        <w:t>postpankreatektomická hemoragie</w:t>
      </w:r>
    </w:p>
    <w:p w:rsidR="003E493A" w:rsidRPr="00FA667B" w:rsidRDefault="003E493A" w:rsidP="00FA667B">
      <w:pPr>
        <w:spacing w:line="360" w:lineRule="auto"/>
        <w:jc w:val="both"/>
      </w:pPr>
      <w:r w:rsidRPr="00FA667B">
        <w:t xml:space="preserve">DGE – </w:t>
      </w:r>
      <w:r w:rsidR="00245AEF" w:rsidRPr="00FA667B">
        <w:t>Delayed Gastric emptying</w:t>
      </w:r>
    </w:p>
    <w:p w:rsidR="003E493A" w:rsidRPr="00FA667B" w:rsidRDefault="003E493A" w:rsidP="00FA667B">
      <w:pPr>
        <w:spacing w:line="360" w:lineRule="auto"/>
        <w:jc w:val="both"/>
      </w:pPr>
      <w:r w:rsidRPr="00FA667B">
        <w:t xml:space="preserve">POPF </w:t>
      </w:r>
      <w:r w:rsidR="00245AEF" w:rsidRPr="00FA667B">
        <w:t>–</w:t>
      </w:r>
      <w:r w:rsidRPr="00FA667B">
        <w:t xml:space="preserve"> </w:t>
      </w:r>
      <w:r w:rsidR="000A3EA7">
        <w:t>Postoperative pancreatic fistula</w:t>
      </w:r>
    </w:p>
    <w:p w:rsidR="00245AEF" w:rsidRPr="00FA667B" w:rsidRDefault="00245AEF" w:rsidP="00FA667B">
      <w:pPr>
        <w:spacing w:line="360" w:lineRule="auto"/>
        <w:jc w:val="both"/>
      </w:pPr>
      <w:r w:rsidRPr="00FA667B">
        <w:t>RT – radioterapie</w:t>
      </w:r>
    </w:p>
    <w:p w:rsidR="00245AEF" w:rsidRPr="00FA667B" w:rsidRDefault="00245AEF" w:rsidP="00FA667B">
      <w:pPr>
        <w:spacing w:line="360" w:lineRule="auto"/>
        <w:jc w:val="both"/>
      </w:pPr>
      <w:r w:rsidRPr="00FA667B">
        <w:t>CHT - chemoterapie</w:t>
      </w: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p>
    <w:p w:rsidR="006002F1" w:rsidRPr="00FA667B" w:rsidRDefault="006002F1" w:rsidP="00FA667B">
      <w:pPr>
        <w:spacing w:line="360" w:lineRule="auto"/>
        <w:jc w:val="both"/>
      </w:pPr>
      <w:r w:rsidRPr="00FA667B">
        <w:t>Prohlašuji, že jsem tuto práci vykonala samostatně a uvedla jsem veškerou použitou literaturu. Práce byla realizována na pracovišti I.chirurgické kliniky Fakultní nemocnice Olomouc pod vedení MUDr.Mgr.Pavel Skalický, Ph.D.</w:t>
      </w:r>
    </w:p>
    <w:sectPr w:rsidR="006002F1" w:rsidRPr="00FA667B" w:rsidSect="00E37850">
      <w:headerReference w:type="default" r:id="rId160"/>
      <w:footerReference w:type="default" r:id="rId1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5F5" w:rsidRDefault="00C925F5" w:rsidP="003D3695">
      <w:r>
        <w:separator/>
      </w:r>
    </w:p>
  </w:endnote>
  <w:endnote w:type="continuationSeparator" w:id="0">
    <w:p w:rsidR="00C925F5" w:rsidRDefault="00C925F5" w:rsidP="003D3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F5" w:rsidRDefault="00C925F5">
    <w:pPr>
      <w:pStyle w:val="Zpat"/>
      <w:jc w:val="center"/>
    </w:pPr>
    <w:r>
      <w:rPr>
        <w:noProof/>
      </w:rPr>
      <w:fldChar w:fldCharType="begin"/>
    </w:r>
    <w:r>
      <w:rPr>
        <w:noProof/>
      </w:rPr>
      <w:instrText xml:space="preserve"> PAGE   \* MERGEFORMAT </w:instrText>
    </w:r>
    <w:r>
      <w:rPr>
        <w:noProof/>
      </w:rPr>
      <w:fldChar w:fldCharType="separate"/>
    </w:r>
    <w:r w:rsidR="002100F7">
      <w:rPr>
        <w:noProof/>
      </w:rPr>
      <w:t>8</w:t>
    </w:r>
    <w:r>
      <w:rPr>
        <w:noProof/>
      </w:rPr>
      <w:fldChar w:fldCharType="end"/>
    </w:r>
  </w:p>
  <w:p w:rsidR="00C925F5" w:rsidRDefault="00C925F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5F5" w:rsidRDefault="00C925F5" w:rsidP="003D3695">
      <w:r>
        <w:separator/>
      </w:r>
    </w:p>
  </w:footnote>
  <w:footnote w:type="continuationSeparator" w:id="0">
    <w:p w:rsidR="00C925F5" w:rsidRDefault="00C925F5" w:rsidP="003D3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5F5" w:rsidRPr="00B71A36" w:rsidRDefault="00C925F5" w:rsidP="00B71A36">
    <w:pPr>
      <w:pStyle w:val="Zhlav"/>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FA4A20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2FCE17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F72F52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A92449D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72847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1C17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82C3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E40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425C6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44E6C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54D0C"/>
    <w:multiLevelType w:val="hybridMultilevel"/>
    <w:tmpl w:val="846808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2B80BE1"/>
    <w:multiLevelType w:val="multilevel"/>
    <w:tmpl w:val="1D08399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4FB30A9"/>
    <w:multiLevelType w:val="multilevel"/>
    <w:tmpl w:val="E66A0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E12C75"/>
    <w:multiLevelType w:val="multilevel"/>
    <w:tmpl w:val="6C903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300ED0"/>
    <w:multiLevelType w:val="hybridMultilevel"/>
    <w:tmpl w:val="DCA40AA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06C6B"/>
    <w:multiLevelType w:val="hybridMultilevel"/>
    <w:tmpl w:val="45F0743A"/>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2EA272C"/>
    <w:multiLevelType w:val="hybridMultilevel"/>
    <w:tmpl w:val="4AAABD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33854B2"/>
    <w:multiLevelType w:val="hybridMultilevel"/>
    <w:tmpl w:val="1D08399E"/>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A120A8B"/>
    <w:multiLevelType w:val="hybridMultilevel"/>
    <w:tmpl w:val="8166C0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FD4754"/>
    <w:multiLevelType w:val="hybridMultilevel"/>
    <w:tmpl w:val="E7FE91F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D52FAD"/>
    <w:multiLevelType w:val="hybridMultilevel"/>
    <w:tmpl w:val="690EC7C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68619E"/>
    <w:multiLevelType w:val="hybridMultilevel"/>
    <w:tmpl w:val="7108A130"/>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498404C1"/>
    <w:multiLevelType w:val="hybridMultilevel"/>
    <w:tmpl w:val="3B00CA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907EE0"/>
    <w:multiLevelType w:val="hybridMultilevel"/>
    <w:tmpl w:val="D87C90CE"/>
    <w:lvl w:ilvl="0" w:tplc="04050017">
      <w:start w:val="1"/>
      <w:numFmt w:val="lowerLetter"/>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86A103A"/>
    <w:multiLevelType w:val="multilevel"/>
    <w:tmpl w:val="4C12A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2B3506"/>
    <w:multiLevelType w:val="hybridMultilevel"/>
    <w:tmpl w:val="C8E8E40A"/>
    <w:lvl w:ilvl="0" w:tplc="DB8040FE">
      <w:start w:val="1"/>
      <w:numFmt w:val="bullet"/>
      <w:lvlText w:val="•"/>
      <w:lvlJc w:val="left"/>
      <w:pPr>
        <w:tabs>
          <w:tab w:val="num" w:pos="720"/>
        </w:tabs>
        <w:ind w:left="720" w:hanging="360"/>
      </w:pPr>
      <w:rPr>
        <w:rFonts w:ascii="Arial" w:hAnsi="Arial" w:hint="default"/>
      </w:rPr>
    </w:lvl>
    <w:lvl w:ilvl="1" w:tplc="BE684FEE" w:tentative="1">
      <w:start w:val="1"/>
      <w:numFmt w:val="bullet"/>
      <w:lvlText w:val="•"/>
      <w:lvlJc w:val="left"/>
      <w:pPr>
        <w:tabs>
          <w:tab w:val="num" w:pos="1440"/>
        </w:tabs>
        <w:ind w:left="1440" w:hanging="360"/>
      </w:pPr>
      <w:rPr>
        <w:rFonts w:ascii="Arial" w:hAnsi="Arial" w:hint="default"/>
      </w:rPr>
    </w:lvl>
    <w:lvl w:ilvl="2" w:tplc="B53C301E" w:tentative="1">
      <w:start w:val="1"/>
      <w:numFmt w:val="bullet"/>
      <w:lvlText w:val="•"/>
      <w:lvlJc w:val="left"/>
      <w:pPr>
        <w:tabs>
          <w:tab w:val="num" w:pos="2160"/>
        </w:tabs>
        <w:ind w:left="2160" w:hanging="360"/>
      </w:pPr>
      <w:rPr>
        <w:rFonts w:ascii="Arial" w:hAnsi="Arial" w:hint="default"/>
      </w:rPr>
    </w:lvl>
    <w:lvl w:ilvl="3" w:tplc="4AA872DE" w:tentative="1">
      <w:start w:val="1"/>
      <w:numFmt w:val="bullet"/>
      <w:lvlText w:val="•"/>
      <w:lvlJc w:val="left"/>
      <w:pPr>
        <w:tabs>
          <w:tab w:val="num" w:pos="2880"/>
        </w:tabs>
        <w:ind w:left="2880" w:hanging="360"/>
      </w:pPr>
      <w:rPr>
        <w:rFonts w:ascii="Arial" w:hAnsi="Arial" w:hint="default"/>
      </w:rPr>
    </w:lvl>
    <w:lvl w:ilvl="4" w:tplc="47726660" w:tentative="1">
      <w:start w:val="1"/>
      <w:numFmt w:val="bullet"/>
      <w:lvlText w:val="•"/>
      <w:lvlJc w:val="left"/>
      <w:pPr>
        <w:tabs>
          <w:tab w:val="num" w:pos="3600"/>
        </w:tabs>
        <w:ind w:left="3600" w:hanging="360"/>
      </w:pPr>
      <w:rPr>
        <w:rFonts w:ascii="Arial" w:hAnsi="Arial" w:hint="default"/>
      </w:rPr>
    </w:lvl>
    <w:lvl w:ilvl="5" w:tplc="F8DEE11C" w:tentative="1">
      <w:start w:val="1"/>
      <w:numFmt w:val="bullet"/>
      <w:lvlText w:val="•"/>
      <w:lvlJc w:val="left"/>
      <w:pPr>
        <w:tabs>
          <w:tab w:val="num" w:pos="4320"/>
        </w:tabs>
        <w:ind w:left="4320" w:hanging="360"/>
      </w:pPr>
      <w:rPr>
        <w:rFonts w:ascii="Arial" w:hAnsi="Arial" w:hint="default"/>
      </w:rPr>
    </w:lvl>
    <w:lvl w:ilvl="6" w:tplc="95D24070" w:tentative="1">
      <w:start w:val="1"/>
      <w:numFmt w:val="bullet"/>
      <w:lvlText w:val="•"/>
      <w:lvlJc w:val="left"/>
      <w:pPr>
        <w:tabs>
          <w:tab w:val="num" w:pos="5040"/>
        </w:tabs>
        <w:ind w:left="5040" w:hanging="360"/>
      </w:pPr>
      <w:rPr>
        <w:rFonts w:ascii="Arial" w:hAnsi="Arial" w:hint="default"/>
      </w:rPr>
    </w:lvl>
    <w:lvl w:ilvl="7" w:tplc="5C0E1F16" w:tentative="1">
      <w:start w:val="1"/>
      <w:numFmt w:val="bullet"/>
      <w:lvlText w:val="•"/>
      <w:lvlJc w:val="left"/>
      <w:pPr>
        <w:tabs>
          <w:tab w:val="num" w:pos="5760"/>
        </w:tabs>
        <w:ind w:left="5760" w:hanging="360"/>
      </w:pPr>
      <w:rPr>
        <w:rFonts w:ascii="Arial" w:hAnsi="Arial" w:hint="default"/>
      </w:rPr>
    </w:lvl>
    <w:lvl w:ilvl="8" w:tplc="0B10E69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0543F01"/>
    <w:multiLevelType w:val="hybridMultilevel"/>
    <w:tmpl w:val="D820011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28835B8"/>
    <w:multiLevelType w:val="multilevel"/>
    <w:tmpl w:val="4196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6B1EB6"/>
    <w:multiLevelType w:val="hybridMultilevel"/>
    <w:tmpl w:val="C9A2EC6A"/>
    <w:lvl w:ilvl="0" w:tplc="24460F12">
      <w:start w:val="1"/>
      <w:numFmt w:val="bullet"/>
      <w:lvlText w:val="•"/>
      <w:lvlJc w:val="left"/>
      <w:pPr>
        <w:tabs>
          <w:tab w:val="num" w:pos="720"/>
        </w:tabs>
        <w:ind w:left="720" w:hanging="360"/>
      </w:pPr>
      <w:rPr>
        <w:rFonts w:ascii="Arial" w:hAnsi="Arial" w:hint="default"/>
      </w:rPr>
    </w:lvl>
    <w:lvl w:ilvl="1" w:tplc="A102553A" w:tentative="1">
      <w:start w:val="1"/>
      <w:numFmt w:val="bullet"/>
      <w:lvlText w:val="•"/>
      <w:lvlJc w:val="left"/>
      <w:pPr>
        <w:tabs>
          <w:tab w:val="num" w:pos="1440"/>
        </w:tabs>
        <w:ind w:left="1440" w:hanging="360"/>
      </w:pPr>
      <w:rPr>
        <w:rFonts w:ascii="Arial" w:hAnsi="Arial" w:hint="default"/>
      </w:rPr>
    </w:lvl>
    <w:lvl w:ilvl="2" w:tplc="2490FF5E" w:tentative="1">
      <w:start w:val="1"/>
      <w:numFmt w:val="bullet"/>
      <w:lvlText w:val="•"/>
      <w:lvlJc w:val="left"/>
      <w:pPr>
        <w:tabs>
          <w:tab w:val="num" w:pos="2160"/>
        </w:tabs>
        <w:ind w:left="2160" w:hanging="360"/>
      </w:pPr>
      <w:rPr>
        <w:rFonts w:ascii="Arial" w:hAnsi="Arial" w:hint="default"/>
      </w:rPr>
    </w:lvl>
    <w:lvl w:ilvl="3" w:tplc="6BFADD24" w:tentative="1">
      <w:start w:val="1"/>
      <w:numFmt w:val="bullet"/>
      <w:lvlText w:val="•"/>
      <w:lvlJc w:val="left"/>
      <w:pPr>
        <w:tabs>
          <w:tab w:val="num" w:pos="2880"/>
        </w:tabs>
        <w:ind w:left="2880" w:hanging="360"/>
      </w:pPr>
      <w:rPr>
        <w:rFonts w:ascii="Arial" w:hAnsi="Arial" w:hint="default"/>
      </w:rPr>
    </w:lvl>
    <w:lvl w:ilvl="4" w:tplc="4F48ED44" w:tentative="1">
      <w:start w:val="1"/>
      <w:numFmt w:val="bullet"/>
      <w:lvlText w:val="•"/>
      <w:lvlJc w:val="left"/>
      <w:pPr>
        <w:tabs>
          <w:tab w:val="num" w:pos="3600"/>
        </w:tabs>
        <w:ind w:left="3600" w:hanging="360"/>
      </w:pPr>
      <w:rPr>
        <w:rFonts w:ascii="Arial" w:hAnsi="Arial" w:hint="default"/>
      </w:rPr>
    </w:lvl>
    <w:lvl w:ilvl="5" w:tplc="E0BE7BD2" w:tentative="1">
      <w:start w:val="1"/>
      <w:numFmt w:val="bullet"/>
      <w:lvlText w:val="•"/>
      <w:lvlJc w:val="left"/>
      <w:pPr>
        <w:tabs>
          <w:tab w:val="num" w:pos="4320"/>
        </w:tabs>
        <w:ind w:left="4320" w:hanging="360"/>
      </w:pPr>
      <w:rPr>
        <w:rFonts w:ascii="Arial" w:hAnsi="Arial" w:hint="default"/>
      </w:rPr>
    </w:lvl>
    <w:lvl w:ilvl="6" w:tplc="B51A1F12" w:tentative="1">
      <w:start w:val="1"/>
      <w:numFmt w:val="bullet"/>
      <w:lvlText w:val="•"/>
      <w:lvlJc w:val="left"/>
      <w:pPr>
        <w:tabs>
          <w:tab w:val="num" w:pos="5040"/>
        </w:tabs>
        <w:ind w:left="5040" w:hanging="360"/>
      </w:pPr>
      <w:rPr>
        <w:rFonts w:ascii="Arial" w:hAnsi="Arial" w:hint="default"/>
      </w:rPr>
    </w:lvl>
    <w:lvl w:ilvl="7" w:tplc="6E24FBF0" w:tentative="1">
      <w:start w:val="1"/>
      <w:numFmt w:val="bullet"/>
      <w:lvlText w:val="•"/>
      <w:lvlJc w:val="left"/>
      <w:pPr>
        <w:tabs>
          <w:tab w:val="num" w:pos="5760"/>
        </w:tabs>
        <w:ind w:left="5760" w:hanging="360"/>
      </w:pPr>
      <w:rPr>
        <w:rFonts w:ascii="Arial" w:hAnsi="Arial" w:hint="default"/>
      </w:rPr>
    </w:lvl>
    <w:lvl w:ilvl="8" w:tplc="E58848F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684828"/>
    <w:multiLevelType w:val="multilevel"/>
    <w:tmpl w:val="DC207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E9732C"/>
    <w:multiLevelType w:val="multilevel"/>
    <w:tmpl w:val="3D94C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3"/>
  </w:num>
  <w:num w:numId="3">
    <w:abstractNumId w:val="21"/>
  </w:num>
  <w:num w:numId="4">
    <w:abstractNumId w:val="14"/>
  </w:num>
  <w:num w:numId="5">
    <w:abstractNumId w:val="17"/>
  </w:num>
  <w:num w:numId="6">
    <w:abstractNumId w:val="22"/>
  </w:num>
  <w:num w:numId="7">
    <w:abstractNumId w:val="20"/>
  </w:num>
  <w:num w:numId="8">
    <w:abstractNumId w:val="19"/>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0"/>
  </w:num>
  <w:num w:numId="20">
    <w:abstractNumId w:val="30"/>
  </w:num>
  <w:num w:numId="21">
    <w:abstractNumId w:val="29"/>
  </w:num>
  <w:num w:numId="22">
    <w:abstractNumId w:val="24"/>
  </w:num>
  <w:num w:numId="23">
    <w:abstractNumId w:val="25"/>
  </w:num>
  <w:num w:numId="24">
    <w:abstractNumId w:val="13"/>
  </w:num>
  <w:num w:numId="25">
    <w:abstractNumId w:val="28"/>
  </w:num>
  <w:num w:numId="26">
    <w:abstractNumId w:val="15"/>
  </w:num>
  <w:num w:numId="27">
    <w:abstractNumId w:val="11"/>
  </w:num>
  <w:num w:numId="28">
    <w:abstractNumId w:val="26"/>
  </w:num>
  <w:num w:numId="29">
    <w:abstractNumId w:val="16"/>
  </w:num>
  <w:num w:numId="30">
    <w:abstractNumId w:val="18"/>
  </w:num>
  <w:num w:numId="31">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2B"/>
    <w:rsid w:val="00000AA0"/>
    <w:rsid w:val="00001B8D"/>
    <w:rsid w:val="000030DF"/>
    <w:rsid w:val="00004E71"/>
    <w:rsid w:val="00005D90"/>
    <w:rsid w:val="0000666A"/>
    <w:rsid w:val="000067A1"/>
    <w:rsid w:val="00007170"/>
    <w:rsid w:val="0001308F"/>
    <w:rsid w:val="00014030"/>
    <w:rsid w:val="0001512B"/>
    <w:rsid w:val="00023580"/>
    <w:rsid w:val="00023B94"/>
    <w:rsid w:val="00024733"/>
    <w:rsid w:val="000262FE"/>
    <w:rsid w:val="00031F4D"/>
    <w:rsid w:val="0003204E"/>
    <w:rsid w:val="00033872"/>
    <w:rsid w:val="00033BA2"/>
    <w:rsid w:val="00034BFB"/>
    <w:rsid w:val="00034DAC"/>
    <w:rsid w:val="000402C7"/>
    <w:rsid w:val="00040689"/>
    <w:rsid w:val="00040CDF"/>
    <w:rsid w:val="00044AE4"/>
    <w:rsid w:val="0004774D"/>
    <w:rsid w:val="00051C60"/>
    <w:rsid w:val="0005206C"/>
    <w:rsid w:val="000520FC"/>
    <w:rsid w:val="00053036"/>
    <w:rsid w:val="00057A96"/>
    <w:rsid w:val="00057F28"/>
    <w:rsid w:val="00064592"/>
    <w:rsid w:val="00065A1F"/>
    <w:rsid w:val="00066652"/>
    <w:rsid w:val="00070C07"/>
    <w:rsid w:val="000715C5"/>
    <w:rsid w:val="00074675"/>
    <w:rsid w:val="00075276"/>
    <w:rsid w:val="00075AF2"/>
    <w:rsid w:val="0008200F"/>
    <w:rsid w:val="00082166"/>
    <w:rsid w:val="00082960"/>
    <w:rsid w:val="00083B24"/>
    <w:rsid w:val="0009378F"/>
    <w:rsid w:val="000937B6"/>
    <w:rsid w:val="00094EBE"/>
    <w:rsid w:val="00097D03"/>
    <w:rsid w:val="000A124D"/>
    <w:rsid w:val="000A1897"/>
    <w:rsid w:val="000A2335"/>
    <w:rsid w:val="000A2344"/>
    <w:rsid w:val="000A30B8"/>
    <w:rsid w:val="000A3EA7"/>
    <w:rsid w:val="000A437A"/>
    <w:rsid w:val="000A6544"/>
    <w:rsid w:val="000A6885"/>
    <w:rsid w:val="000A7538"/>
    <w:rsid w:val="000B01D3"/>
    <w:rsid w:val="000B032A"/>
    <w:rsid w:val="000B0F4D"/>
    <w:rsid w:val="000B3D38"/>
    <w:rsid w:val="000B4800"/>
    <w:rsid w:val="000B4D0D"/>
    <w:rsid w:val="000B582B"/>
    <w:rsid w:val="000B6749"/>
    <w:rsid w:val="000B7246"/>
    <w:rsid w:val="000B7F94"/>
    <w:rsid w:val="000C0986"/>
    <w:rsid w:val="000C3376"/>
    <w:rsid w:val="000C3846"/>
    <w:rsid w:val="000C3FA2"/>
    <w:rsid w:val="000C4F65"/>
    <w:rsid w:val="000C541B"/>
    <w:rsid w:val="000C6233"/>
    <w:rsid w:val="000C66EB"/>
    <w:rsid w:val="000D17A7"/>
    <w:rsid w:val="000D4781"/>
    <w:rsid w:val="000D4B5F"/>
    <w:rsid w:val="000D7001"/>
    <w:rsid w:val="000E0689"/>
    <w:rsid w:val="000E0B33"/>
    <w:rsid w:val="000E2D05"/>
    <w:rsid w:val="000E3825"/>
    <w:rsid w:val="000E39B5"/>
    <w:rsid w:val="000E5A9A"/>
    <w:rsid w:val="000E6AE5"/>
    <w:rsid w:val="000F0EE2"/>
    <w:rsid w:val="000F36CE"/>
    <w:rsid w:val="000F4E55"/>
    <w:rsid w:val="000F54D1"/>
    <w:rsid w:val="000F7EA9"/>
    <w:rsid w:val="00100B5C"/>
    <w:rsid w:val="00101CD5"/>
    <w:rsid w:val="00101D67"/>
    <w:rsid w:val="0010602B"/>
    <w:rsid w:val="0011018C"/>
    <w:rsid w:val="0011218D"/>
    <w:rsid w:val="0011299A"/>
    <w:rsid w:val="00112B1D"/>
    <w:rsid w:val="0011596E"/>
    <w:rsid w:val="0011670A"/>
    <w:rsid w:val="00117EFD"/>
    <w:rsid w:val="00117FAA"/>
    <w:rsid w:val="00120CA0"/>
    <w:rsid w:val="00122BAA"/>
    <w:rsid w:val="0012372B"/>
    <w:rsid w:val="00124D4A"/>
    <w:rsid w:val="00125B13"/>
    <w:rsid w:val="00132172"/>
    <w:rsid w:val="00133D2B"/>
    <w:rsid w:val="00137AB8"/>
    <w:rsid w:val="001400B0"/>
    <w:rsid w:val="00144354"/>
    <w:rsid w:val="00145AF7"/>
    <w:rsid w:val="00150EF8"/>
    <w:rsid w:val="00160099"/>
    <w:rsid w:val="001607C1"/>
    <w:rsid w:val="00161139"/>
    <w:rsid w:val="001615FA"/>
    <w:rsid w:val="00162C4D"/>
    <w:rsid w:val="00163B99"/>
    <w:rsid w:val="00165178"/>
    <w:rsid w:val="00167525"/>
    <w:rsid w:val="00170094"/>
    <w:rsid w:val="00171A75"/>
    <w:rsid w:val="00171E8F"/>
    <w:rsid w:val="0017529B"/>
    <w:rsid w:val="00176F84"/>
    <w:rsid w:val="001776DB"/>
    <w:rsid w:val="00177918"/>
    <w:rsid w:val="0018001B"/>
    <w:rsid w:val="00181148"/>
    <w:rsid w:val="00181FFA"/>
    <w:rsid w:val="00184481"/>
    <w:rsid w:val="001856C1"/>
    <w:rsid w:val="00186634"/>
    <w:rsid w:val="001876F2"/>
    <w:rsid w:val="0019177F"/>
    <w:rsid w:val="001A015C"/>
    <w:rsid w:val="001A0B55"/>
    <w:rsid w:val="001A13DB"/>
    <w:rsid w:val="001A2B60"/>
    <w:rsid w:val="001A3C49"/>
    <w:rsid w:val="001A4005"/>
    <w:rsid w:val="001A6978"/>
    <w:rsid w:val="001A6FE4"/>
    <w:rsid w:val="001A71A9"/>
    <w:rsid w:val="001B10E3"/>
    <w:rsid w:val="001B34E4"/>
    <w:rsid w:val="001B3506"/>
    <w:rsid w:val="001B4E5F"/>
    <w:rsid w:val="001B5BB0"/>
    <w:rsid w:val="001B6FCE"/>
    <w:rsid w:val="001C437B"/>
    <w:rsid w:val="001D2F95"/>
    <w:rsid w:val="001D664C"/>
    <w:rsid w:val="001D7753"/>
    <w:rsid w:val="001E056B"/>
    <w:rsid w:val="001E1833"/>
    <w:rsid w:val="001E1EC8"/>
    <w:rsid w:val="001E21FA"/>
    <w:rsid w:val="001E4B7B"/>
    <w:rsid w:val="001E7BB5"/>
    <w:rsid w:val="001E7C3C"/>
    <w:rsid w:val="001E7E87"/>
    <w:rsid w:val="001F2074"/>
    <w:rsid w:val="001F4083"/>
    <w:rsid w:val="001F7EC7"/>
    <w:rsid w:val="00200A26"/>
    <w:rsid w:val="002023F8"/>
    <w:rsid w:val="00202ABF"/>
    <w:rsid w:val="00202CD3"/>
    <w:rsid w:val="0020555E"/>
    <w:rsid w:val="00205EFD"/>
    <w:rsid w:val="002100F7"/>
    <w:rsid w:val="002102EE"/>
    <w:rsid w:val="0021107D"/>
    <w:rsid w:val="00217D33"/>
    <w:rsid w:val="00217D7D"/>
    <w:rsid w:val="0022010E"/>
    <w:rsid w:val="0022196B"/>
    <w:rsid w:val="0022291E"/>
    <w:rsid w:val="00222B9B"/>
    <w:rsid w:val="00223813"/>
    <w:rsid w:val="002238AD"/>
    <w:rsid w:val="00224799"/>
    <w:rsid w:val="00224E71"/>
    <w:rsid w:val="0022559D"/>
    <w:rsid w:val="002269C8"/>
    <w:rsid w:val="00230A7F"/>
    <w:rsid w:val="00230E4E"/>
    <w:rsid w:val="0023187F"/>
    <w:rsid w:val="00232780"/>
    <w:rsid w:val="0023379C"/>
    <w:rsid w:val="00234041"/>
    <w:rsid w:val="002347D8"/>
    <w:rsid w:val="002354EE"/>
    <w:rsid w:val="00240578"/>
    <w:rsid w:val="0024058E"/>
    <w:rsid w:val="002436C9"/>
    <w:rsid w:val="00245AEF"/>
    <w:rsid w:val="00246146"/>
    <w:rsid w:val="00246525"/>
    <w:rsid w:val="0025254D"/>
    <w:rsid w:val="00252C9E"/>
    <w:rsid w:val="00261045"/>
    <w:rsid w:val="00261329"/>
    <w:rsid w:val="00262176"/>
    <w:rsid w:val="00262F90"/>
    <w:rsid w:val="00262FE2"/>
    <w:rsid w:val="00265BDF"/>
    <w:rsid w:val="00266DE7"/>
    <w:rsid w:val="00267D2D"/>
    <w:rsid w:val="00272FC2"/>
    <w:rsid w:val="002751C4"/>
    <w:rsid w:val="00276C55"/>
    <w:rsid w:val="002815C9"/>
    <w:rsid w:val="00282115"/>
    <w:rsid w:val="002826A6"/>
    <w:rsid w:val="002832CB"/>
    <w:rsid w:val="00283EDC"/>
    <w:rsid w:val="00285A40"/>
    <w:rsid w:val="00290072"/>
    <w:rsid w:val="002907DE"/>
    <w:rsid w:val="00291DEA"/>
    <w:rsid w:val="00293999"/>
    <w:rsid w:val="0029788E"/>
    <w:rsid w:val="002A066F"/>
    <w:rsid w:val="002A0853"/>
    <w:rsid w:val="002A4BBD"/>
    <w:rsid w:val="002B113F"/>
    <w:rsid w:val="002B2357"/>
    <w:rsid w:val="002B3122"/>
    <w:rsid w:val="002B3A15"/>
    <w:rsid w:val="002C02E3"/>
    <w:rsid w:val="002C2C0A"/>
    <w:rsid w:val="002C739A"/>
    <w:rsid w:val="002D27F6"/>
    <w:rsid w:val="002D3486"/>
    <w:rsid w:val="002D47DB"/>
    <w:rsid w:val="002D4873"/>
    <w:rsid w:val="002D7077"/>
    <w:rsid w:val="002D7385"/>
    <w:rsid w:val="002D73C2"/>
    <w:rsid w:val="002E1D11"/>
    <w:rsid w:val="002E2683"/>
    <w:rsid w:val="002F0959"/>
    <w:rsid w:val="002F0B7E"/>
    <w:rsid w:val="002F1757"/>
    <w:rsid w:val="002F28AB"/>
    <w:rsid w:val="002F3079"/>
    <w:rsid w:val="002F37FD"/>
    <w:rsid w:val="002F491C"/>
    <w:rsid w:val="002F6CB1"/>
    <w:rsid w:val="002F7129"/>
    <w:rsid w:val="00302F7C"/>
    <w:rsid w:val="00303B54"/>
    <w:rsid w:val="00303E69"/>
    <w:rsid w:val="0030647A"/>
    <w:rsid w:val="00306BA9"/>
    <w:rsid w:val="00310E55"/>
    <w:rsid w:val="00312776"/>
    <w:rsid w:val="003135EC"/>
    <w:rsid w:val="00320760"/>
    <w:rsid w:val="00321E6D"/>
    <w:rsid w:val="00323A9B"/>
    <w:rsid w:val="00323B87"/>
    <w:rsid w:val="00324AA2"/>
    <w:rsid w:val="00325F66"/>
    <w:rsid w:val="003305B3"/>
    <w:rsid w:val="00343749"/>
    <w:rsid w:val="00343BB9"/>
    <w:rsid w:val="003447E3"/>
    <w:rsid w:val="00346541"/>
    <w:rsid w:val="00347B2B"/>
    <w:rsid w:val="0035195A"/>
    <w:rsid w:val="003534D0"/>
    <w:rsid w:val="00354B50"/>
    <w:rsid w:val="0035615E"/>
    <w:rsid w:val="00356CD7"/>
    <w:rsid w:val="0035712A"/>
    <w:rsid w:val="00357348"/>
    <w:rsid w:val="00360023"/>
    <w:rsid w:val="0037061D"/>
    <w:rsid w:val="00372024"/>
    <w:rsid w:val="003744AD"/>
    <w:rsid w:val="00374642"/>
    <w:rsid w:val="003754B6"/>
    <w:rsid w:val="003763D6"/>
    <w:rsid w:val="0038046B"/>
    <w:rsid w:val="00380770"/>
    <w:rsid w:val="00381F3B"/>
    <w:rsid w:val="00382D05"/>
    <w:rsid w:val="00384C70"/>
    <w:rsid w:val="00385543"/>
    <w:rsid w:val="00391169"/>
    <w:rsid w:val="00391685"/>
    <w:rsid w:val="00391B5C"/>
    <w:rsid w:val="003929AD"/>
    <w:rsid w:val="00393E44"/>
    <w:rsid w:val="003949D4"/>
    <w:rsid w:val="003A0171"/>
    <w:rsid w:val="003A022D"/>
    <w:rsid w:val="003A1DD5"/>
    <w:rsid w:val="003A33F6"/>
    <w:rsid w:val="003A5496"/>
    <w:rsid w:val="003A6F82"/>
    <w:rsid w:val="003B0640"/>
    <w:rsid w:val="003B24CB"/>
    <w:rsid w:val="003B6004"/>
    <w:rsid w:val="003B6443"/>
    <w:rsid w:val="003C2E21"/>
    <w:rsid w:val="003C3088"/>
    <w:rsid w:val="003C4368"/>
    <w:rsid w:val="003C78A3"/>
    <w:rsid w:val="003D10A8"/>
    <w:rsid w:val="003D1912"/>
    <w:rsid w:val="003D2C2F"/>
    <w:rsid w:val="003D3695"/>
    <w:rsid w:val="003D39D0"/>
    <w:rsid w:val="003D5A6E"/>
    <w:rsid w:val="003D5CBA"/>
    <w:rsid w:val="003D6061"/>
    <w:rsid w:val="003D7637"/>
    <w:rsid w:val="003D7B0F"/>
    <w:rsid w:val="003D7D20"/>
    <w:rsid w:val="003E1967"/>
    <w:rsid w:val="003E356C"/>
    <w:rsid w:val="003E493A"/>
    <w:rsid w:val="003E5476"/>
    <w:rsid w:val="003E6198"/>
    <w:rsid w:val="003E68FA"/>
    <w:rsid w:val="003E69A3"/>
    <w:rsid w:val="003F01C3"/>
    <w:rsid w:val="003F1D0D"/>
    <w:rsid w:val="003F73CD"/>
    <w:rsid w:val="003F73FF"/>
    <w:rsid w:val="003F7677"/>
    <w:rsid w:val="004037C9"/>
    <w:rsid w:val="00403F35"/>
    <w:rsid w:val="00404081"/>
    <w:rsid w:val="0040513F"/>
    <w:rsid w:val="0040665E"/>
    <w:rsid w:val="004150E1"/>
    <w:rsid w:val="00415A26"/>
    <w:rsid w:val="004169B1"/>
    <w:rsid w:val="00420B06"/>
    <w:rsid w:val="00420B50"/>
    <w:rsid w:val="004216DE"/>
    <w:rsid w:val="00421C64"/>
    <w:rsid w:val="00426327"/>
    <w:rsid w:val="00427EA8"/>
    <w:rsid w:val="0043027F"/>
    <w:rsid w:val="00431614"/>
    <w:rsid w:val="004329ED"/>
    <w:rsid w:val="00432D51"/>
    <w:rsid w:val="00433701"/>
    <w:rsid w:val="00433A65"/>
    <w:rsid w:val="0043532A"/>
    <w:rsid w:val="00435697"/>
    <w:rsid w:val="004361EE"/>
    <w:rsid w:val="00436718"/>
    <w:rsid w:val="00436CB6"/>
    <w:rsid w:val="004417FA"/>
    <w:rsid w:val="00442BBB"/>
    <w:rsid w:val="00443081"/>
    <w:rsid w:val="00444BC4"/>
    <w:rsid w:val="0044652E"/>
    <w:rsid w:val="00450482"/>
    <w:rsid w:val="00450D85"/>
    <w:rsid w:val="004523C8"/>
    <w:rsid w:val="004531D0"/>
    <w:rsid w:val="004543B3"/>
    <w:rsid w:val="0045728C"/>
    <w:rsid w:val="00462AC9"/>
    <w:rsid w:val="0046384D"/>
    <w:rsid w:val="00465784"/>
    <w:rsid w:val="00466163"/>
    <w:rsid w:val="00466A1B"/>
    <w:rsid w:val="00470FC8"/>
    <w:rsid w:val="004715F9"/>
    <w:rsid w:val="00476970"/>
    <w:rsid w:val="00477995"/>
    <w:rsid w:val="00480E7B"/>
    <w:rsid w:val="00483CE7"/>
    <w:rsid w:val="00490CC2"/>
    <w:rsid w:val="0049395D"/>
    <w:rsid w:val="004948A3"/>
    <w:rsid w:val="0049638F"/>
    <w:rsid w:val="00497DBD"/>
    <w:rsid w:val="004A0F83"/>
    <w:rsid w:val="004A345F"/>
    <w:rsid w:val="004A4E25"/>
    <w:rsid w:val="004A6DE5"/>
    <w:rsid w:val="004A702A"/>
    <w:rsid w:val="004A7A84"/>
    <w:rsid w:val="004B0221"/>
    <w:rsid w:val="004B1414"/>
    <w:rsid w:val="004B1ECA"/>
    <w:rsid w:val="004B38E2"/>
    <w:rsid w:val="004B4126"/>
    <w:rsid w:val="004B4AA1"/>
    <w:rsid w:val="004B51F6"/>
    <w:rsid w:val="004B5647"/>
    <w:rsid w:val="004B5F3A"/>
    <w:rsid w:val="004B6A21"/>
    <w:rsid w:val="004B7981"/>
    <w:rsid w:val="004C0385"/>
    <w:rsid w:val="004C121C"/>
    <w:rsid w:val="004C2B84"/>
    <w:rsid w:val="004C50BB"/>
    <w:rsid w:val="004C55ED"/>
    <w:rsid w:val="004C5C8F"/>
    <w:rsid w:val="004C7475"/>
    <w:rsid w:val="004D4A60"/>
    <w:rsid w:val="004D51D9"/>
    <w:rsid w:val="004D5503"/>
    <w:rsid w:val="004D5B9E"/>
    <w:rsid w:val="004D61C8"/>
    <w:rsid w:val="004E02C0"/>
    <w:rsid w:val="004E0EA3"/>
    <w:rsid w:val="004E40FF"/>
    <w:rsid w:val="004F0FB8"/>
    <w:rsid w:val="004F1F74"/>
    <w:rsid w:val="004F5A6E"/>
    <w:rsid w:val="004F5B89"/>
    <w:rsid w:val="004F644B"/>
    <w:rsid w:val="004F70FD"/>
    <w:rsid w:val="00501678"/>
    <w:rsid w:val="00501802"/>
    <w:rsid w:val="0050213F"/>
    <w:rsid w:val="005039AA"/>
    <w:rsid w:val="005051BF"/>
    <w:rsid w:val="00505972"/>
    <w:rsid w:val="00506005"/>
    <w:rsid w:val="005074C7"/>
    <w:rsid w:val="00511661"/>
    <w:rsid w:val="00511DBE"/>
    <w:rsid w:val="00512EA3"/>
    <w:rsid w:val="00513936"/>
    <w:rsid w:val="00522746"/>
    <w:rsid w:val="00523035"/>
    <w:rsid w:val="005230FA"/>
    <w:rsid w:val="00523F48"/>
    <w:rsid w:val="00524846"/>
    <w:rsid w:val="00524E66"/>
    <w:rsid w:val="00525ABB"/>
    <w:rsid w:val="00525C98"/>
    <w:rsid w:val="00526C2C"/>
    <w:rsid w:val="00530CC5"/>
    <w:rsid w:val="00530F8E"/>
    <w:rsid w:val="00530FB9"/>
    <w:rsid w:val="00531082"/>
    <w:rsid w:val="00534ED7"/>
    <w:rsid w:val="005357D1"/>
    <w:rsid w:val="00536D14"/>
    <w:rsid w:val="0053712D"/>
    <w:rsid w:val="005371D6"/>
    <w:rsid w:val="005414DE"/>
    <w:rsid w:val="005427F9"/>
    <w:rsid w:val="0054374C"/>
    <w:rsid w:val="005455CB"/>
    <w:rsid w:val="00547FC8"/>
    <w:rsid w:val="00550981"/>
    <w:rsid w:val="00551DA9"/>
    <w:rsid w:val="00556F14"/>
    <w:rsid w:val="005578B3"/>
    <w:rsid w:val="00562394"/>
    <w:rsid w:val="00563045"/>
    <w:rsid w:val="005631AD"/>
    <w:rsid w:val="00567061"/>
    <w:rsid w:val="005672FB"/>
    <w:rsid w:val="00571CE4"/>
    <w:rsid w:val="00571F89"/>
    <w:rsid w:val="00572BDC"/>
    <w:rsid w:val="00574F63"/>
    <w:rsid w:val="00574FF2"/>
    <w:rsid w:val="00576673"/>
    <w:rsid w:val="00576724"/>
    <w:rsid w:val="00577EA2"/>
    <w:rsid w:val="005854E1"/>
    <w:rsid w:val="00585D31"/>
    <w:rsid w:val="00586550"/>
    <w:rsid w:val="00587664"/>
    <w:rsid w:val="00592FA0"/>
    <w:rsid w:val="00595DC3"/>
    <w:rsid w:val="00595E4C"/>
    <w:rsid w:val="00596ECD"/>
    <w:rsid w:val="00597080"/>
    <w:rsid w:val="005978C5"/>
    <w:rsid w:val="005A164D"/>
    <w:rsid w:val="005A1B6B"/>
    <w:rsid w:val="005A6893"/>
    <w:rsid w:val="005A77A5"/>
    <w:rsid w:val="005B5EE9"/>
    <w:rsid w:val="005B6366"/>
    <w:rsid w:val="005C03C9"/>
    <w:rsid w:val="005C0DBC"/>
    <w:rsid w:val="005C208C"/>
    <w:rsid w:val="005C2D15"/>
    <w:rsid w:val="005C7D15"/>
    <w:rsid w:val="005D24AD"/>
    <w:rsid w:val="005D3D46"/>
    <w:rsid w:val="005D3F21"/>
    <w:rsid w:val="005D405A"/>
    <w:rsid w:val="005D42D5"/>
    <w:rsid w:val="005D4C9F"/>
    <w:rsid w:val="005D5B73"/>
    <w:rsid w:val="005E63A2"/>
    <w:rsid w:val="005F1250"/>
    <w:rsid w:val="005F3418"/>
    <w:rsid w:val="005F455C"/>
    <w:rsid w:val="005F5A90"/>
    <w:rsid w:val="006002F1"/>
    <w:rsid w:val="00600AA9"/>
    <w:rsid w:val="00601440"/>
    <w:rsid w:val="00601A03"/>
    <w:rsid w:val="00613196"/>
    <w:rsid w:val="00613739"/>
    <w:rsid w:val="00613BA1"/>
    <w:rsid w:val="006167E7"/>
    <w:rsid w:val="00616F7A"/>
    <w:rsid w:val="006179CB"/>
    <w:rsid w:val="00621231"/>
    <w:rsid w:val="00621CA4"/>
    <w:rsid w:val="00621DEE"/>
    <w:rsid w:val="00623FED"/>
    <w:rsid w:val="00625635"/>
    <w:rsid w:val="006278E3"/>
    <w:rsid w:val="00630CD8"/>
    <w:rsid w:val="00630E71"/>
    <w:rsid w:val="00631030"/>
    <w:rsid w:val="0063237C"/>
    <w:rsid w:val="00634147"/>
    <w:rsid w:val="00637675"/>
    <w:rsid w:val="00642A8C"/>
    <w:rsid w:val="00645353"/>
    <w:rsid w:val="00647915"/>
    <w:rsid w:val="006502D2"/>
    <w:rsid w:val="00652820"/>
    <w:rsid w:val="0065481D"/>
    <w:rsid w:val="00654A81"/>
    <w:rsid w:val="00654AFF"/>
    <w:rsid w:val="00655EF7"/>
    <w:rsid w:val="006561E3"/>
    <w:rsid w:val="00663525"/>
    <w:rsid w:val="00667CDC"/>
    <w:rsid w:val="006709DA"/>
    <w:rsid w:val="0067222A"/>
    <w:rsid w:val="006722E6"/>
    <w:rsid w:val="006836B4"/>
    <w:rsid w:val="00686EC7"/>
    <w:rsid w:val="00687AD3"/>
    <w:rsid w:val="00693720"/>
    <w:rsid w:val="00694018"/>
    <w:rsid w:val="00694065"/>
    <w:rsid w:val="006A0B2F"/>
    <w:rsid w:val="006A39C1"/>
    <w:rsid w:val="006A3AC6"/>
    <w:rsid w:val="006A611B"/>
    <w:rsid w:val="006A7EE2"/>
    <w:rsid w:val="006B0B42"/>
    <w:rsid w:val="006B5B15"/>
    <w:rsid w:val="006C0DB4"/>
    <w:rsid w:val="006C29C1"/>
    <w:rsid w:val="006C3408"/>
    <w:rsid w:val="006C5884"/>
    <w:rsid w:val="006C5B42"/>
    <w:rsid w:val="006C6FDE"/>
    <w:rsid w:val="006D01D2"/>
    <w:rsid w:val="006D63E3"/>
    <w:rsid w:val="006E04DE"/>
    <w:rsid w:val="006E22E8"/>
    <w:rsid w:val="006E323C"/>
    <w:rsid w:val="006E6123"/>
    <w:rsid w:val="006F02A9"/>
    <w:rsid w:val="006F0B0C"/>
    <w:rsid w:val="006F51F0"/>
    <w:rsid w:val="006F5532"/>
    <w:rsid w:val="006F7674"/>
    <w:rsid w:val="00701E35"/>
    <w:rsid w:val="007027D6"/>
    <w:rsid w:val="00702EAF"/>
    <w:rsid w:val="00703918"/>
    <w:rsid w:val="00703BAB"/>
    <w:rsid w:val="00704057"/>
    <w:rsid w:val="0070463C"/>
    <w:rsid w:val="00706772"/>
    <w:rsid w:val="00707BB0"/>
    <w:rsid w:val="0071208F"/>
    <w:rsid w:val="007155AE"/>
    <w:rsid w:val="00715A39"/>
    <w:rsid w:val="00722952"/>
    <w:rsid w:val="00722E0C"/>
    <w:rsid w:val="00722E72"/>
    <w:rsid w:val="00726408"/>
    <w:rsid w:val="007269BD"/>
    <w:rsid w:val="00726EA3"/>
    <w:rsid w:val="007300B6"/>
    <w:rsid w:val="00731F16"/>
    <w:rsid w:val="007353A9"/>
    <w:rsid w:val="00735B07"/>
    <w:rsid w:val="007410CB"/>
    <w:rsid w:val="00743201"/>
    <w:rsid w:val="00743260"/>
    <w:rsid w:val="007435EC"/>
    <w:rsid w:val="007438C4"/>
    <w:rsid w:val="007451A1"/>
    <w:rsid w:val="00750A2D"/>
    <w:rsid w:val="0075742A"/>
    <w:rsid w:val="00760385"/>
    <w:rsid w:val="007657CD"/>
    <w:rsid w:val="00765B43"/>
    <w:rsid w:val="00766634"/>
    <w:rsid w:val="007736E4"/>
    <w:rsid w:val="00774665"/>
    <w:rsid w:val="0077582B"/>
    <w:rsid w:val="00777418"/>
    <w:rsid w:val="007819AB"/>
    <w:rsid w:val="00783A77"/>
    <w:rsid w:val="00786635"/>
    <w:rsid w:val="0078686F"/>
    <w:rsid w:val="007902C0"/>
    <w:rsid w:val="007912D4"/>
    <w:rsid w:val="00792148"/>
    <w:rsid w:val="00792FB7"/>
    <w:rsid w:val="00794140"/>
    <w:rsid w:val="0079694E"/>
    <w:rsid w:val="007971DA"/>
    <w:rsid w:val="0079766F"/>
    <w:rsid w:val="00797CE6"/>
    <w:rsid w:val="007A0D8C"/>
    <w:rsid w:val="007A1115"/>
    <w:rsid w:val="007A2375"/>
    <w:rsid w:val="007A3172"/>
    <w:rsid w:val="007A47E2"/>
    <w:rsid w:val="007A74E7"/>
    <w:rsid w:val="007A78FC"/>
    <w:rsid w:val="007B00FF"/>
    <w:rsid w:val="007B15D5"/>
    <w:rsid w:val="007B45E6"/>
    <w:rsid w:val="007B4AF4"/>
    <w:rsid w:val="007B5DB8"/>
    <w:rsid w:val="007B6938"/>
    <w:rsid w:val="007B72C0"/>
    <w:rsid w:val="007C017D"/>
    <w:rsid w:val="007C1CB7"/>
    <w:rsid w:val="007C1FF7"/>
    <w:rsid w:val="007C2E44"/>
    <w:rsid w:val="007C3020"/>
    <w:rsid w:val="007C3D51"/>
    <w:rsid w:val="007C497F"/>
    <w:rsid w:val="007D28D9"/>
    <w:rsid w:val="007D2C6F"/>
    <w:rsid w:val="007D3F13"/>
    <w:rsid w:val="007D452B"/>
    <w:rsid w:val="007D5234"/>
    <w:rsid w:val="007D5E32"/>
    <w:rsid w:val="007D774F"/>
    <w:rsid w:val="007E0A80"/>
    <w:rsid w:val="007E0BD8"/>
    <w:rsid w:val="007E0CBC"/>
    <w:rsid w:val="007E163E"/>
    <w:rsid w:val="007E1D5A"/>
    <w:rsid w:val="007E304F"/>
    <w:rsid w:val="007F03E3"/>
    <w:rsid w:val="007F5E25"/>
    <w:rsid w:val="007F69F9"/>
    <w:rsid w:val="007F7DEC"/>
    <w:rsid w:val="00800E89"/>
    <w:rsid w:val="00801420"/>
    <w:rsid w:val="008050D5"/>
    <w:rsid w:val="0080760B"/>
    <w:rsid w:val="00807E7C"/>
    <w:rsid w:val="0081278D"/>
    <w:rsid w:val="00812D13"/>
    <w:rsid w:val="0081364C"/>
    <w:rsid w:val="00816396"/>
    <w:rsid w:val="008175CA"/>
    <w:rsid w:val="00822A47"/>
    <w:rsid w:val="00826633"/>
    <w:rsid w:val="0082724B"/>
    <w:rsid w:val="00831CC6"/>
    <w:rsid w:val="00840E08"/>
    <w:rsid w:val="008430C4"/>
    <w:rsid w:val="008434ED"/>
    <w:rsid w:val="00844485"/>
    <w:rsid w:val="0084495C"/>
    <w:rsid w:val="00845847"/>
    <w:rsid w:val="00847732"/>
    <w:rsid w:val="00847AAE"/>
    <w:rsid w:val="00851486"/>
    <w:rsid w:val="00852FCE"/>
    <w:rsid w:val="00853B30"/>
    <w:rsid w:val="00853DD1"/>
    <w:rsid w:val="008543B4"/>
    <w:rsid w:val="008608A6"/>
    <w:rsid w:val="00862DED"/>
    <w:rsid w:val="00864BFD"/>
    <w:rsid w:val="00873A55"/>
    <w:rsid w:val="0087475D"/>
    <w:rsid w:val="00874AD1"/>
    <w:rsid w:val="00874F39"/>
    <w:rsid w:val="00876D52"/>
    <w:rsid w:val="00876F8B"/>
    <w:rsid w:val="00881313"/>
    <w:rsid w:val="00883EA1"/>
    <w:rsid w:val="00886224"/>
    <w:rsid w:val="0089489D"/>
    <w:rsid w:val="0089498A"/>
    <w:rsid w:val="00895A10"/>
    <w:rsid w:val="008A0774"/>
    <w:rsid w:val="008A2D68"/>
    <w:rsid w:val="008A323A"/>
    <w:rsid w:val="008A3FD0"/>
    <w:rsid w:val="008A6F12"/>
    <w:rsid w:val="008A7179"/>
    <w:rsid w:val="008B19EB"/>
    <w:rsid w:val="008B1EF4"/>
    <w:rsid w:val="008B4F3A"/>
    <w:rsid w:val="008B57CB"/>
    <w:rsid w:val="008C1A96"/>
    <w:rsid w:val="008C2823"/>
    <w:rsid w:val="008C7FF7"/>
    <w:rsid w:val="008D1490"/>
    <w:rsid w:val="008D2F60"/>
    <w:rsid w:val="008D3E85"/>
    <w:rsid w:val="008D412D"/>
    <w:rsid w:val="008D4264"/>
    <w:rsid w:val="008D4937"/>
    <w:rsid w:val="008D5EEA"/>
    <w:rsid w:val="008D6647"/>
    <w:rsid w:val="008D7DF5"/>
    <w:rsid w:val="008E1263"/>
    <w:rsid w:val="008E1BBA"/>
    <w:rsid w:val="008E1E0C"/>
    <w:rsid w:val="008E32B1"/>
    <w:rsid w:val="008E493D"/>
    <w:rsid w:val="008E5B85"/>
    <w:rsid w:val="008E7385"/>
    <w:rsid w:val="008E7510"/>
    <w:rsid w:val="008E7E79"/>
    <w:rsid w:val="008F0024"/>
    <w:rsid w:val="008F25A6"/>
    <w:rsid w:val="008F3477"/>
    <w:rsid w:val="008F5750"/>
    <w:rsid w:val="008F5B78"/>
    <w:rsid w:val="008F7DBE"/>
    <w:rsid w:val="00902386"/>
    <w:rsid w:val="00903422"/>
    <w:rsid w:val="009041B2"/>
    <w:rsid w:val="0090694D"/>
    <w:rsid w:val="009101EA"/>
    <w:rsid w:val="00910B99"/>
    <w:rsid w:val="00913D97"/>
    <w:rsid w:val="00913EFB"/>
    <w:rsid w:val="00914C98"/>
    <w:rsid w:val="00915341"/>
    <w:rsid w:val="00920417"/>
    <w:rsid w:val="00921A85"/>
    <w:rsid w:val="009222F4"/>
    <w:rsid w:val="00922E2E"/>
    <w:rsid w:val="009239D3"/>
    <w:rsid w:val="0092401B"/>
    <w:rsid w:val="00925F95"/>
    <w:rsid w:val="009308E6"/>
    <w:rsid w:val="00930C1C"/>
    <w:rsid w:val="00931839"/>
    <w:rsid w:val="00931E5B"/>
    <w:rsid w:val="0093243C"/>
    <w:rsid w:val="009330CD"/>
    <w:rsid w:val="009348C8"/>
    <w:rsid w:val="00934B39"/>
    <w:rsid w:val="00936132"/>
    <w:rsid w:val="00937316"/>
    <w:rsid w:val="009405D3"/>
    <w:rsid w:val="009433BE"/>
    <w:rsid w:val="00947246"/>
    <w:rsid w:val="00947506"/>
    <w:rsid w:val="00950129"/>
    <w:rsid w:val="00950644"/>
    <w:rsid w:val="00951088"/>
    <w:rsid w:val="0095309D"/>
    <w:rsid w:val="00955B30"/>
    <w:rsid w:val="0095791E"/>
    <w:rsid w:val="00962CD6"/>
    <w:rsid w:val="00963A6A"/>
    <w:rsid w:val="00964CAE"/>
    <w:rsid w:val="00970287"/>
    <w:rsid w:val="0097318F"/>
    <w:rsid w:val="00973222"/>
    <w:rsid w:val="00973B57"/>
    <w:rsid w:val="00976CD3"/>
    <w:rsid w:val="00981349"/>
    <w:rsid w:val="00981A13"/>
    <w:rsid w:val="009864AB"/>
    <w:rsid w:val="009872D7"/>
    <w:rsid w:val="009912CF"/>
    <w:rsid w:val="009929CD"/>
    <w:rsid w:val="00992A2A"/>
    <w:rsid w:val="00994A83"/>
    <w:rsid w:val="0099730C"/>
    <w:rsid w:val="009A2B72"/>
    <w:rsid w:val="009A3BC7"/>
    <w:rsid w:val="009A3D8B"/>
    <w:rsid w:val="009A7BC4"/>
    <w:rsid w:val="009B05BE"/>
    <w:rsid w:val="009B225D"/>
    <w:rsid w:val="009B247C"/>
    <w:rsid w:val="009B4EB8"/>
    <w:rsid w:val="009B74B1"/>
    <w:rsid w:val="009B7D2F"/>
    <w:rsid w:val="009C0271"/>
    <w:rsid w:val="009C2E08"/>
    <w:rsid w:val="009C44FF"/>
    <w:rsid w:val="009C6200"/>
    <w:rsid w:val="009C68B0"/>
    <w:rsid w:val="009C768A"/>
    <w:rsid w:val="009D15B8"/>
    <w:rsid w:val="009D2657"/>
    <w:rsid w:val="009D3E8F"/>
    <w:rsid w:val="009D557A"/>
    <w:rsid w:val="009D59DC"/>
    <w:rsid w:val="009D7326"/>
    <w:rsid w:val="009E0A58"/>
    <w:rsid w:val="009E1EBB"/>
    <w:rsid w:val="009E58E0"/>
    <w:rsid w:val="009E6D32"/>
    <w:rsid w:val="009F1625"/>
    <w:rsid w:val="009F351B"/>
    <w:rsid w:val="009F5400"/>
    <w:rsid w:val="009F5603"/>
    <w:rsid w:val="009F6799"/>
    <w:rsid w:val="009F687C"/>
    <w:rsid w:val="00A03713"/>
    <w:rsid w:val="00A037DF"/>
    <w:rsid w:val="00A04DCE"/>
    <w:rsid w:val="00A057E5"/>
    <w:rsid w:val="00A11ED1"/>
    <w:rsid w:val="00A1200D"/>
    <w:rsid w:val="00A12810"/>
    <w:rsid w:val="00A13B11"/>
    <w:rsid w:val="00A14394"/>
    <w:rsid w:val="00A168D5"/>
    <w:rsid w:val="00A20186"/>
    <w:rsid w:val="00A25AAD"/>
    <w:rsid w:val="00A34405"/>
    <w:rsid w:val="00A3462A"/>
    <w:rsid w:val="00A34E28"/>
    <w:rsid w:val="00A36E74"/>
    <w:rsid w:val="00A36F9A"/>
    <w:rsid w:val="00A4017D"/>
    <w:rsid w:val="00A421C6"/>
    <w:rsid w:val="00A422F9"/>
    <w:rsid w:val="00A424AE"/>
    <w:rsid w:val="00A434A3"/>
    <w:rsid w:val="00A4501E"/>
    <w:rsid w:val="00A506A3"/>
    <w:rsid w:val="00A512D8"/>
    <w:rsid w:val="00A51790"/>
    <w:rsid w:val="00A5252E"/>
    <w:rsid w:val="00A53D21"/>
    <w:rsid w:val="00A5581B"/>
    <w:rsid w:val="00A55926"/>
    <w:rsid w:val="00A566E6"/>
    <w:rsid w:val="00A57367"/>
    <w:rsid w:val="00A60BD0"/>
    <w:rsid w:val="00A61551"/>
    <w:rsid w:val="00A615BB"/>
    <w:rsid w:val="00A61A2A"/>
    <w:rsid w:val="00A61B92"/>
    <w:rsid w:val="00A63044"/>
    <w:rsid w:val="00A648DE"/>
    <w:rsid w:val="00A65112"/>
    <w:rsid w:val="00A668B4"/>
    <w:rsid w:val="00A66D8F"/>
    <w:rsid w:val="00A67095"/>
    <w:rsid w:val="00A671A1"/>
    <w:rsid w:val="00A702B1"/>
    <w:rsid w:val="00A73EF1"/>
    <w:rsid w:val="00A7479E"/>
    <w:rsid w:val="00A77D92"/>
    <w:rsid w:val="00A81685"/>
    <w:rsid w:val="00A8606D"/>
    <w:rsid w:val="00A8690A"/>
    <w:rsid w:val="00A86C93"/>
    <w:rsid w:val="00A90342"/>
    <w:rsid w:val="00A90362"/>
    <w:rsid w:val="00A91FB8"/>
    <w:rsid w:val="00A93C3C"/>
    <w:rsid w:val="00A96DF0"/>
    <w:rsid w:val="00AA1AB7"/>
    <w:rsid w:val="00AA1EB0"/>
    <w:rsid w:val="00AA2BE0"/>
    <w:rsid w:val="00AA401A"/>
    <w:rsid w:val="00AA55B2"/>
    <w:rsid w:val="00AB091E"/>
    <w:rsid w:val="00AB0B27"/>
    <w:rsid w:val="00AB698D"/>
    <w:rsid w:val="00AC2F42"/>
    <w:rsid w:val="00AC38FE"/>
    <w:rsid w:val="00AC6C08"/>
    <w:rsid w:val="00AC6F49"/>
    <w:rsid w:val="00AC7109"/>
    <w:rsid w:val="00AD47CF"/>
    <w:rsid w:val="00AD6255"/>
    <w:rsid w:val="00AD764A"/>
    <w:rsid w:val="00AE260D"/>
    <w:rsid w:val="00AE2E89"/>
    <w:rsid w:val="00AE4C2C"/>
    <w:rsid w:val="00AE5A96"/>
    <w:rsid w:val="00AE6B27"/>
    <w:rsid w:val="00AE7D36"/>
    <w:rsid w:val="00AF2C84"/>
    <w:rsid w:val="00AF339C"/>
    <w:rsid w:val="00AF44ED"/>
    <w:rsid w:val="00AF504C"/>
    <w:rsid w:val="00AF60D1"/>
    <w:rsid w:val="00AF6A2C"/>
    <w:rsid w:val="00B01456"/>
    <w:rsid w:val="00B033FE"/>
    <w:rsid w:val="00B04C8E"/>
    <w:rsid w:val="00B04DF7"/>
    <w:rsid w:val="00B05608"/>
    <w:rsid w:val="00B05E5B"/>
    <w:rsid w:val="00B10C79"/>
    <w:rsid w:val="00B11D33"/>
    <w:rsid w:val="00B14929"/>
    <w:rsid w:val="00B1523E"/>
    <w:rsid w:val="00B170F6"/>
    <w:rsid w:val="00B20851"/>
    <w:rsid w:val="00B2497B"/>
    <w:rsid w:val="00B27002"/>
    <w:rsid w:val="00B30E53"/>
    <w:rsid w:val="00B33510"/>
    <w:rsid w:val="00B35F43"/>
    <w:rsid w:val="00B404EA"/>
    <w:rsid w:val="00B445CF"/>
    <w:rsid w:val="00B45483"/>
    <w:rsid w:val="00B46784"/>
    <w:rsid w:val="00B543AF"/>
    <w:rsid w:val="00B54BBB"/>
    <w:rsid w:val="00B619FC"/>
    <w:rsid w:val="00B62C3B"/>
    <w:rsid w:val="00B630B4"/>
    <w:rsid w:val="00B64E19"/>
    <w:rsid w:val="00B67D5F"/>
    <w:rsid w:val="00B71A36"/>
    <w:rsid w:val="00B72C7E"/>
    <w:rsid w:val="00B72FA1"/>
    <w:rsid w:val="00B745DD"/>
    <w:rsid w:val="00B753C7"/>
    <w:rsid w:val="00B75FC0"/>
    <w:rsid w:val="00B77597"/>
    <w:rsid w:val="00B800C5"/>
    <w:rsid w:val="00B803AC"/>
    <w:rsid w:val="00B8065D"/>
    <w:rsid w:val="00B8200A"/>
    <w:rsid w:val="00B83127"/>
    <w:rsid w:val="00B8407F"/>
    <w:rsid w:val="00B85FFB"/>
    <w:rsid w:val="00B86C75"/>
    <w:rsid w:val="00B90D19"/>
    <w:rsid w:val="00B92BA2"/>
    <w:rsid w:val="00B92EAC"/>
    <w:rsid w:val="00B95D5A"/>
    <w:rsid w:val="00B96D50"/>
    <w:rsid w:val="00BA7732"/>
    <w:rsid w:val="00BB07DE"/>
    <w:rsid w:val="00BB3442"/>
    <w:rsid w:val="00BB4193"/>
    <w:rsid w:val="00BB4512"/>
    <w:rsid w:val="00BB4ADF"/>
    <w:rsid w:val="00BB767B"/>
    <w:rsid w:val="00BC092B"/>
    <w:rsid w:val="00BC1F18"/>
    <w:rsid w:val="00BC528A"/>
    <w:rsid w:val="00BC7852"/>
    <w:rsid w:val="00BD2BE6"/>
    <w:rsid w:val="00BD3E17"/>
    <w:rsid w:val="00BD59AB"/>
    <w:rsid w:val="00BE0789"/>
    <w:rsid w:val="00BE1616"/>
    <w:rsid w:val="00BE2ED5"/>
    <w:rsid w:val="00BE504B"/>
    <w:rsid w:val="00BE6B7C"/>
    <w:rsid w:val="00BF0453"/>
    <w:rsid w:val="00BF39B8"/>
    <w:rsid w:val="00BF4DBA"/>
    <w:rsid w:val="00BF64BA"/>
    <w:rsid w:val="00BF70F0"/>
    <w:rsid w:val="00C03A1B"/>
    <w:rsid w:val="00C051F7"/>
    <w:rsid w:val="00C0562A"/>
    <w:rsid w:val="00C070FE"/>
    <w:rsid w:val="00C07502"/>
    <w:rsid w:val="00C13E2C"/>
    <w:rsid w:val="00C14942"/>
    <w:rsid w:val="00C200FA"/>
    <w:rsid w:val="00C22F79"/>
    <w:rsid w:val="00C245E1"/>
    <w:rsid w:val="00C24BD4"/>
    <w:rsid w:val="00C2571B"/>
    <w:rsid w:val="00C26051"/>
    <w:rsid w:val="00C26593"/>
    <w:rsid w:val="00C26746"/>
    <w:rsid w:val="00C31614"/>
    <w:rsid w:val="00C32AD1"/>
    <w:rsid w:val="00C33CB4"/>
    <w:rsid w:val="00C33DC8"/>
    <w:rsid w:val="00C35FF3"/>
    <w:rsid w:val="00C374B7"/>
    <w:rsid w:val="00C37515"/>
    <w:rsid w:val="00C4409B"/>
    <w:rsid w:val="00C450F1"/>
    <w:rsid w:val="00C50420"/>
    <w:rsid w:val="00C5445C"/>
    <w:rsid w:val="00C572EB"/>
    <w:rsid w:val="00C64FA3"/>
    <w:rsid w:val="00C66FDA"/>
    <w:rsid w:val="00C704AC"/>
    <w:rsid w:val="00C70801"/>
    <w:rsid w:val="00C72F87"/>
    <w:rsid w:val="00C73BBE"/>
    <w:rsid w:val="00C771BD"/>
    <w:rsid w:val="00C832D9"/>
    <w:rsid w:val="00C847FF"/>
    <w:rsid w:val="00C85987"/>
    <w:rsid w:val="00C86543"/>
    <w:rsid w:val="00C871DD"/>
    <w:rsid w:val="00C87EC0"/>
    <w:rsid w:val="00C9013A"/>
    <w:rsid w:val="00C91C11"/>
    <w:rsid w:val="00C925F5"/>
    <w:rsid w:val="00C92609"/>
    <w:rsid w:val="00C92F3B"/>
    <w:rsid w:val="00C9421F"/>
    <w:rsid w:val="00C94773"/>
    <w:rsid w:val="00C9479F"/>
    <w:rsid w:val="00C96512"/>
    <w:rsid w:val="00CA019F"/>
    <w:rsid w:val="00CA1B90"/>
    <w:rsid w:val="00CA2711"/>
    <w:rsid w:val="00CA3708"/>
    <w:rsid w:val="00CA373D"/>
    <w:rsid w:val="00CA4DA4"/>
    <w:rsid w:val="00CA50AA"/>
    <w:rsid w:val="00CA6638"/>
    <w:rsid w:val="00CA6AE5"/>
    <w:rsid w:val="00CA6EFA"/>
    <w:rsid w:val="00CA7B8D"/>
    <w:rsid w:val="00CB236B"/>
    <w:rsid w:val="00CB2929"/>
    <w:rsid w:val="00CB3424"/>
    <w:rsid w:val="00CB4954"/>
    <w:rsid w:val="00CB5A34"/>
    <w:rsid w:val="00CB6D4E"/>
    <w:rsid w:val="00CB6F82"/>
    <w:rsid w:val="00CB7965"/>
    <w:rsid w:val="00CC0A1E"/>
    <w:rsid w:val="00CC25C7"/>
    <w:rsid w:val="00CC2DFA"/>
    <w:rsid w:val="00CC536B"/>
    <w:rsid w:val="00CD16CB"/>
    <w:rsid w:val="00CD3516"/>
    <w:rsid w:val="00CD3ED0"/>
    <w:rsid w:val="00CD6150"/>
    <w:rsid w:val="00CD68DA"/>
    <w:rsid w:val="00CD758C"/>
    <w:rsid w:val="00CE1E3F"/>
    <w:rsid w:val="00CE2804"/>
    <w:rsid w:val="00CE4046"/>
    <w:rsid w:val="00CE4376"/>
    <w:rsid w:val="00CE4F97"/>
    <w:rsid w:val="00CE6A8C"/>
    <w:rsid w:val="00CE75C2"/>
    <w:rsid w:val="00CF0D6C"/>
    <w:rsid w:val="00CF431D"/>
    <w:rsid w:val="00CF53E8"/>
    <w:rsid w:val="00CF5782"/>
    <w:rsid w:val="00CF6D73"/>
    <w:rsid w:val="00CF71B3"/>
    <w:rsid w:val="00CF7EE8"/>
    <w:rsid w:val="00D01C7D"/>
    <w:rsid w:val="00D0249D"/>
    <w:rsid w:val="00D030C0"/>
    <w:rsid w:val="00D04941"/>
    <w:rsid w:val="00D05EBB"/>
    <w:rsid w:val="00D07C85"/>
    <w:rsid w:val="00D17EB8"/>
    <w:rsid w:val="00D217E8"/>
    <w:rsid w:val="00D2524E"/>
    <w:rsid w:val="00D25E86"/>
    <w:rsid w:val="00D321A1"/>
    <w:rsid w:val="00D32E93"/>
    <w:rsid w:val="00D33703"/>
    <w:rsid w:val="00D33C3C"/>
    <w:rsid w:val="00D34268"/>
    <w:rsid w:val="00D37484"/>
    <w:rsid w:val="00D40C2D"/>
    <w:rsid w:val="00D4109D"/>
    <w:rsid w:val="00D44EE4"/>
    <w:rsid w:val="00D463F2"/>
    <w:rsid w:val="00D50A1E"/>
    <w:rsid w:val="00D541D2"/>
    <w:rsid w:val="00D55BBE"/>
    <w:rsid w:val="00D56661"/>
    <w:rsid w:val="00D575AB"/>
    <w:rsid w:val="00D63194"/>
    <w:rsid w:val="00D677AB"/>
    <w:rsid w:val="00D71CA1"/>
    <w:rsid w:val="00D72F3C"/>
    <w:rsid w:val="00D763BE"/>
    <w:rsid w:val="00D77C64"/>
    <w:rsid w:val="00D82E97"/>
    <w:rsid w:val="00D83951"/>
    <w:rsid w:val="00D9096D"/>
    <w:rsid w:val="00D91B68"/>
    <w:rsid w:val="00D93503"/>
    <w:rsid w:val="00D93822"/>
    <w:rsid w:val="00D93E5B"/>
    <w:rsid w:val="00D94354"/>
    <w:rsid w:val="00DA21EB"/>
    <w:rsid w:val="00DA3680"/>
    <w:rsid w:val="00DA36CE"/>
    <w:rsid w:val="00DA49D4"/>
    <w:rsid w:val="00DB0751"/>
    <w:rsid w:val="00DB1F0C"/>
    <w:rsid w:val="00DB2B3C"/>
    <w:rsid w:val="00DB4835"/>
    <w:rsid w:val="00DB4846"/>
    <w:rsid w:val="00DB623F"/>
    <w:rsid w:val="00DB7C4E"/>
    <w:rsid w:val="00DC04FC"/>
    <w:rsid w:val="00DC230E"/>
    <w:rsid w:val="00DC2ED3"/>
    <w:rsid w:val="00DC316A"/>
    <w:rsid w:val="00DC3D9C"/>
    <w:rsid w:val="00DC442E"/>
    <w:rsid w:val="00DC4B1C"/>
    <w:rsid w:val="00DC71AA"/>
    <w:rsid w:val="00DD0B34"/>
    <w:rsid w:val="00DD11FA"/>
    <w:rsid w:val="00DD1605"/>
    <w:rsid w:val="00DD21C9"/>
    <w:rsid w:val="00DD71EC"/>
    <w:rsid w:val="00DE1C1A"/>
    <w:rsid w:val="00DE20ED"/>
    <w:rsid w:val="00DE27C3"/>
    <w:rsid w:val="00DE3379"/>
    <w:rsid w:val="00DE553D"/>
    <w:rsid w:val="00DE7A74"/>
    <w:rsid w:val="00DF0CFA"/>
    <w:rsid w:val="00DF12B7"/>
    <w:rsid w:val="00E0009E"/>
    <w:rsid w:val="00E00C9D"/>
    <w:rsid w:val="00E0128C"/>
    <w:rsid w:val="00E05A3E"/>
    <w:rsid w:val="00E10728"/>
    <w:rsid w:val="00E14104"/>
    <w:rsid w:val="00E15134"/>
    <w:rsid w:val="00E164D3"/>
    <w:rsid w:val="00E16635"/>
    <w:rsid w:val="00E16668"/>
    <w:rsid w:val="00E173E8"/>
    <w:rsid w:val="00E17867"/>
    <w:rsid w:val="00E20ED7"/>
    <w:rsid w:val="00E24DE0"/>
    <w:rsid w:val="00E26AF6"/>
    <w:rsid w:val="00E26C37"/>
    <w:rsid w:val="00E31DDB"/>
    <w:rsid w:val="00E33572"/>
    <w:rsid w:val="00E336C3"/>
    <w:rsid w:val="00E33C58"/>
    <w:rsid w:val="00E34FBF"/>
    <w:rsid w:val="00E3730B"/>
    <w:rsid w:val="00E37850"/>
    <w:rsid w:val="00E4197D"/>
    <w:rsid w:val="00E43D3A"/>
    <w:rsid w:val="00E45A1C"/>
    <w:rsid w:val="00E463C2"/>
    <w:rsid w:val="00E500A2"/>
    <w:rsid w:val="00E506A7"/>
    <w:rsid w:val="00E51520"/>
    <w:rsid w:val="00E53D07"/>
    <w:rsid w:val="00E54A8D"/>
    <w:rsid w:val="00E566EA"/>
    <w:rsid w:val="00E60179"/>
    <w:rsid w:val="00E61675"/>
    <w:rsid w:val="00E61B93"/>
    <w:rsid w:val="00E639AA"/>
    <w:rsid w:val="00E66254"/>
    <w:rsid w:val="00E66597"/>
    <w:rsid w:val="00E6773A"/>
    <w:rsid w:val="00E70E9C"/>
    <w:rsid w:val="00E712BB"/>
    <w:rsid w:val="00E7192C"/>
    <w:rsid w:val="00E72BA2"/>
    <w:rsid w:val="00E76FD0"/>
    <w:rsid w:val="00E770C4"/>
    <w:rsid w:val="00E77A19"/>
    <w:rsid w:val="00E82D90"/>
    <w:rsid w:val="00E872AE"/>
    <w:rsid w:val="00E87689"/>
    <w:rsid w:val="00E940D7"/>
    <w:rsid w:val="00E9661F"/>
    <w:rsid w:val="00E96A4E"/>
    <w:rsid w:val="00E97A20"/>
    <w:rsid w:val="00EA006E"/>
    <w:rsid w:val="00EA01F0"/>
    <w:rsid w:val="00EA15E9"/>
    <w:rsid w:val="00EA1DB9"/>
    <w:rsid w:val="00EA3468"/>
    <w:rsid w:val="00EA52A7"/>
    <w:rsid w:val="00EA538E"/>
    <w:rsid w:val="00EB0057"/>
    <w:rsid w:val="00EB6030"/>
    <w:rsid w:val="00EB66D6"/>
    <w:rsid w:val="00EB6A52"/>
    <w:rsid w:val="00EB727A"/>
    <w:rsid w:val="00EB731C"/>
    <w:rsid w:val="00EC1EA9"/>
    <w:rsid w:val="00EC1F64"/>
    <w:rsid w:val="00EC444F"/>
    <w:rsid w:val="00ED1D14"/>
    <w:rsid w:val="00ED2ACC"/>
    <w:rsid w:val="00ED569A"/>
    <w:rsid w:val="00EE0296"/>
    <w:rsid w:val="00EE1266"/>
    <w:rsid w:val="00EE2673"/>
    <w:rsid w:val="00EE2809"/>
    <w:rsid w:val="00EE29B3"/>
    <w:rsid w:val="00EE775A"/>
    <w:rsid w:val="00EE7C8B"/>
    <w:rsid w:val="00EF1003"/>
    <w:rsid w:val="00EF1A9C"/>
    <w:rsid w:val="00EF27F4"/>
    <w:rsid w:val="00EF2F3A"/>
    <w:rsid w:val="00EF31DA"/>
    <w:rsid w:val="00EF6534"/>
    <w:rsid w:val="00EF6B2E"/>
    <w:rsid w:val="00F0112E"/>
    <w:rsid w:val="00F04BBB"/>
    <w:rsid w:val="00F0575D"/>
    <w:rsid w:val="00F12E2F"/>
    <w:rsid w:val="00F13F6E"/>
    <w:rsid w:val="00F1536D"/>
    <w:rsid w:val="00F17602"/>
    <w:rsid w:val="00F22879"/>
    <w:rsid w:val="00F23AAC"/>
    <w:rsid w:val="00F23BB7"/>
    <w:rsid w:val="00F304AC"/>
    <w:rsid w:val="00F31D95"/>
    <w:rsid w:val="00F31EB2"/>
    <w:rsid w:val="00F34C46"/>
    <w:rsid w:val="00F366C5"/>
    <w:rsid w:val="00F40909"/>
    <w:rsid w:val="00F40AAE"/>
    <w:rsid w:val="00F43995"/>
    <w:rsid w:val="00F46CC5"/>
    <w:rsid w:val="00F4793C"/>
    <w:rsid w:val="00F47B6B"/>
    <w:rsid w:val="00F51F6B"/>
    <w:rsid w:val="00F52ECC"/>
    <w:rsid w:val="00F53D9B"/>
    <w:rsid w:val="00F550F7"/>
    <w:rsid w:val="00F554B8"/>
    <w:rsid w:val="00F57226"/>
    <w:rsid w:val="00F573BF"/>
    <w:rsid w:val="00F607E3"/>
    <w:rsid w:val="00F62D7B"/>
    <w:rsid w:val="00F634F0"/>
    <w:rsid w:val="00F636AB"/>
    <w:rsid w:val="00F64235"/>
    <w:rsid w:val="00F65D6B"/>
    <w:rsid w:val="00F66316"/>
    <w:rsid w:val="00F664F2"/>
    <w:rsid w:val="00F66BDE"/>
    <w:rsid w:val="00F67082"/>
    <w:rsid w:val="00F67092"/>
    <w:rsid w:val="00F7321D"/>
    <w:rsid w:val="00F73413"/>
    <w:rsid w:val="00F742D6"/>
    <w:rsid w:val="00F77131"/>
    <w:rsid w:val="00F81C1B"/>
    <w:rsid w:val="00F82EB3"/>
    <w:rsid w:val="00F84C8A"/>
    <w:rsid w:val="00F908C3"/>
    <w:rsid w:val="00F92A76"/>
    <w:rsid w:val="00F94A44"/>
    <w:rsid w:val="00F95928"/>
    <w:rsid w:val="00FA13F7"/>
    <w:rsid w:val="00FA1E4A"/>
    <w:rsid w:val="00FA667B"/>
    <w:rsid w:val="00FA6BCD"/>
    <w:rsid w:val="00FA70F1"/>
    <w:rsid w:val="00FB19EE"/>
    <w:rsid w:val="00FB2873"/>
    <w:rsid w:val="00FB2FE9"/>
    <w:rsid w:val="00FB3C59"/>
    <w:rsid w:val="00FB4385"/>
    <w:rsid w:val="00FB490B"/>
    <w:rsid w:val="00FB5419"/>
    <w:rsid w:val="00FC03A6"/>
    <w:rsid w:val="00FC3BCC"/>
    <w:rsid w:val="00FC3DFB"/>
    <w:rsid w:val="00FC5513"/>
    <w:rsid w:val="00FC5D1A"/>
    <w:rsid w:val="00FD0AFF"/>
    <w:rsid w:val="00FD3C1A"/>
    <w:rsid w:val="00FD3DB3"/>
    <w:rsid w:val="00FD6FDB"/>
    <w:rsid w:val="00FD7DFF"/>
    <w:rsid w:val="00FE0119"/>
    <w:rsid w:val="00FE0E76"/>
    <w:rsid w:val="00FE3ECE"/>
    <w:rsid w:val="00FE4208"/>
    <w:rsid w:val="00FE450D"/>
    <w:rsid w:val="00FE4916"/>
    <w:rsid w:val="00FE4EE9"/>
    <w:rsid w:val="00FE69EB"/>
    <w:rsid w:val="00FE7356"/>
    <w:rsid w:val="00FF2249"/>
    <w:rsid w:val="00FF3043"/>
    <w:rsid w:val="00FF4525"/>
    <w:rsid w:val="00FF4EE3"/>
    <w:rsid w:val="00FF65B0"/>
    <w:rsid w:val="00FF6C24"/>
    <w:rsid w:val="00FF78EE"/>
    <w:rsid w:val="00FF79F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0"/>
    <o:shapelayout v:ext="edit">
      <o:idmap v:ext="edit" data="1"/>
    </o:shapelayout>
  </w:shapeDefaults>
  <w:decimalSymbol w:val=","/>
  <w:listSeparator w:val=";"/>
  <w15:docId w15:val="{F7EAFCAA-A689-4ED5-8A56-A87349B13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25B13"/>
    <w:rPr>
      <w:rFonts w:ascii="Times New Roman" w:eastAsia="Times New Roman" w:hAnsi="Times New Roman"/>
      <w:sz w:val="24"/>
      <w:szCs w:val="24"/>
    </w:rPr>
  </w:style>
  <w:style w:type="paragraph" w:styleId="Nadpis1">
    <w:name w:val="heading 1"/>
    <w:basedOn w:val="Normln"/>
    <w:link w:val="Nadpis1Char"/>
    <w:uiPriority w:val="9"/>
    <w:qFormat/>
    <w:locked/>
    <w:rsid w:val="003D2C2F"/>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9"/>
    <w:qFormat/>
    <w:locked/>
    <w:rsid w:val="00E51520"/>
    <w:pPr>
      <w:keepNext/>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033BA2"/>
    <w:rPr>
      <w:rFonts w:ascii="Cambria" w:hAnsi="Cambria" w:cs="Times New Roman"/>
      <w:b/>
      <w:bCs/>
      <w:kern w:val="32"/>
      <w:sz w:val="32"/>
      <w:szCs w:val="32"/>
      <w:lang w:eastAsia="en-US"/>
    </w:rPr>
  </w:style>
  <w:style w:type="character" w:customStyle="1" w:styleId="Nadpis2Char">
    <w:name w:val="Nadpis 2 Char"/>
    <w:basedOn w:val="Standardnpsmoodstavce"/>
    <w:link w:val="Nadpis2"/>
    <w:uiPriority w:val="99"/>
    <w:semiHidden/>
    <w:locked/>
    <w:rsid w:val="0080760B"/>
    <w:rPr>
      <w:rFonts w:ascii="Cambria" w:hAnsi="Cambria" w:cs="Times New Roman"/>
      <w:b/>
      <w:bCs/>
      <w:i/>
      <w:iCs/>
      <w:sz w:val="28"/>
      <w:szCs w:val="28"/>
      <w:lang w:eastAsia="en-US"/>
    </w:rPr>
  </w:style>
  <w:style w:type="paragraph" w:styleId="Odstavecseseznamem">
    <w:name w:val="List Paragraph"/>
    <w:basedOn w:val="Normln"/>
    <w:uiPriority w:val="99"/>
    <w:qFormat/>
    <w:rsid w:val="00094EBE"/>
    <w:pPr>
      <w:ind w:left="720"/>
      <w:contextualSpacing/>
    </w:pPr>
  </w:style>
  <w:style w:type="paragraph" w:styleId="Zhlav">
    <w:name w:val="header"/>
    <w:basedOn w:val="Normln"/>
    <w:link w:val="ZhlavChar"/>
    <w:uiPriority w:val="99"/>
    <w:semiHidden/>
    <w:rsid w:val="003D3695"/>
    <w:pPr>
      <w:tabs>
        <w:tab w:val="center" w:pos="4536"/>
        <w:tab w:val="right" w:pos="9072"/>
      </w:tabs>
    </w:pPr>
  </w:style>
  <w:style w:type="character" w:customStyle="1" w:styleId="ZhlavChar">
    <w:name w:val="Záhlaví Char"/>
    <w:basedOn w:val="Standardnpsmoodstavce"/>
    <w:link w:val="Zhlav"/>
    <w:uiPriority w:val="99"/>
    <w:semiHidden/>
    <w:locked/>
    <w:rsid w:val="003D3695"/>
    <w:rPr>
      <w:rFonts w:cs="Times New Roman"/>
    </w:rPr>
  </w:style>
  <w:style w:type="paragraph" w:styleId="Zpat">
    <w:name w:val="footer"/>
    <w:basedOn w:val="Normln"/>
    <w:link w:val="ZpatChar"/>
    <w:uiPriority w:val="99"/>
    <w:rsid w:val="003D3695"/>
    <w:pPr>
      <w:tabs>
        <w:tab w:val="center" w:pos="4536"/>
        <w:tab w:val="right" w:pos="9072"/>
      </w:tabs>
    </w:pPr>
  </w:style>
  <w:style w:type="character" w:customStyle="1" w:styleId="ZpatChar">
    <w:name w:val="Zápatí Char"/>
    <w:basedOn w:val="Standardnpsmoodstavce"/>
    <w:link w:val="Zpat"/>
    <w:uiPriority w:val="99"/>
    <w:locked/>
    <w:rsid w:val="003D3695"/>
    <w:rPr>
      <w:rFonts w:cs="Times New Roman"/>
    </w:rPr>
  </w:style>
  <w:style w:type="character" w:customStyle="1" w:styleId="highlight">
    <w:name w:val="highlight"/>
    <w:basedOn w:val="Standardnpsmoodstavce"/>
    <w:uiPriority w:val="99"/>
    <w:rsid w:val="003D2C2F"/>
    <w:rPr>
      <w:rFonts w:cs="Times New Roman"/>
    </w:rPr>
  </w:style>
  <w:style w:type="character" w:styleId="Hypertextovodkaz">
    <w:name w:val="Hyperlink"/>
    <w:basedOn w:val="Standardnpsmoodstavce"/>
    <w:uiPriority w:val="99"/>
    <w:rsid w:val="003D2C2F"/>
    <w:rPr>
      <w:rFonts w:cs="Times New Roman"/>
      <w:color w:val="0000FF"/>
      <w:u w:val="single"/>
    </w:rPr>
  </w:style>
  <w:style w:type="character" w:customStyle="1" w:styleId="cit">
    <w:name w:val="cit"/>
    <w:basedOn w:val="Standardnpsmoodstavce"/>
    <w:rsid w:val="00285A40"/>
    <w:rPr>
      <w:rFonts w:cs="Times New Roman"/>
    </w:rPr>
  </w:style>
  <w:style w:type="character" w:customStyle="1" w:styleId="fm-vol-iss-date">
    <w:name w:val="fm-vol-iss-date"/>
    <w:basedOn w:val="Standardnpsmoodstavce"/>
    <w:uiPriority w:val="99"/>
    <w:rsid w:val="00285A40"/>
    <w:rPr>
      <w:rFonts w:cs="Times New Roman"/>
    </w:rPr>
  </w:style>
  <w:style w:type="character" w:customStyle="1" w:styleId="doi">
    <w:name w:val="doi"/>
    <w:basedOn w:val="Standardnpsmoodstavce"/>
    <w:uiPriority w:val="99"/>
    <w:rsid w:val="00285A40"/>
    <w:rPr>
      <w:rFonts w:cs="Times New Roman"/>
    </w:rPr>
  </w:style>
  <w:style w:type="character" w:customStyle="1" w:styleId="fm-citation-ids-label">
    <w:name w:val="fm-citation-ids-label"/>
    <w:basedOn w:val="Standardnpsmoodstavce"/>
    <w:uiPriority w:val="99"/>
    <w:rsid w:val="00285A40"/>
    <w:rPr>
      <w:rFonts w:cs="Times New Roman"/>
    </w:rPr>
  </w:style>
  <w:style w:type="character" w:customStyle="1" w:styleId="al-author-name-more">
    <w:name w:val="al-author-name-more"/>
    <w:basedOn w:val="Standardnpsmoodstavce"/>
    <w:uiPriority w:val="99"/>
    <w:rsid w:val="00934B39"/>
    <w:rPr>
      <w:rFonts w:cs="Times New Roman"/>
    </w:rPr>
  </w:style>
  <w:style w:type="character" w:customStyle="1" w:styleId="delimiter">
    <w:name w:val="delimiter"/>
    <w:basedOn w:val="Standardnpsmoodstavce"/>
    <w:uiPriority w:val="99"/>
    <w:rsid w:val="00934B39"/>
    <w:rPr>
      <w:rFonts w:cs="Times New Roman"/>
    </w:rPr>
  </w:style>
  <w:style w:type="character" w:styleId="Zdraznn">
    <w:name w:val="Emphasis"/>
    <w:basedOn w:val="Standardnpsmoodstavce"/>
    <w:uiPriority w:val="99"/>
    <w:qFormat/>
    <w:locked/>
    <w:rsid w:val="00934B39"/>
    <w:rPr>
      <w:rFonts w:cs="Times New Roman"/>
      <w:i/>
      <w:iCs/>
    </w:rPr>
  </w:style>
  <w:style w:type="character" w:customStyle="1" w:styleId="title-text">
    <w:name w:val="title-text"/>
    <w:basedOn w:val="Standardnpsmoodstavce"/>
    <w:rsid w:val="00E51520"/>
    <w:rPr>
      <w:rFonts w:cs="Times New Roman"/>
    </w:rPr>
  </w:style>
  <w:style w:type="character" w:customStyle="1" w:styleId="sr-only">
    <w:name w:val="sr-only"/>
    <w:basedOn w:val="Standardnpsmoodstavce"/>
    <w:uiPriority w:val="99"/>
    <w:rsid w:val="00E51520"/>
    <w:rPr>
      <w:rFonts w:cs="Times New Roman"/>
    </w:rPr>
  </w:style>
  <w:style w:type="character" w:customStyle="1" w:styleId="textgiven-name">
    <w:name w:val="text given-name"/>
    <w:basedOn w:val="Standardnpsmoodstavce"/>
    <w:uiPriority w:val="99"/>
    <w:rsid w:val="00E51520"/>
    <w:rPr>
      <w:rFonts w:cs="Times New Roman"/>
    </w:rPr>
  </w:style>
  <w:style w:type="character" w:customStyle="1" w:styleId="textsurname">
    <w:name w:val="text surname"/>
    <w:basedOn w:val="Standardnpsmoodstavce"/>
    <w:uiPriority w:val="99"/>
    <w:rsid w:val="00E51520"/>
    <w:rPr>
      <w:rFonts w:cs="Times New Roman"/>
    </w:rPr>
  </w:style>
  <w:style w:type="character" w:customStyle="1" w:styleId="text">
    <w:name w:val="text"/>
    <w:basedOn w:val="Standardnpsmoodstavce"/>
    <w:uiPriority w:val="99"/>
    <w:rsid w:val="00E51520"/>
    <w:rPr>
      <w:rFonts w:cs="Times New Roman"/>
    </w:rPr>
  </w:style>
  <w:style w:type="character" w:customStyle="1" w:styleId="author-ref">
    <w:name w:val="author-ref"/>
    <w:basedOn w:val="Standardnpsmoodstavce"/>
    <w:rsid w:val="00E51520"/>
    <w:rPr>
      <w:rFonts w:cs="Times New Roman"/>
    </w:rPr>
  </w:style>
  <w:style w:type="character" w:customStyle="1" w:styleId="element-citation">
    <w:name w:val="element-citation"/>
    <w:basedOn w:val="Standardnpsmoodstavce"/>
    <w:uiPriority w:val="99"/>
    <w:rsid w:val="00A424AE"/>
    <w:rPr>
      <w:rFonts w:cs="Times New Roman"/>
    </w:rPr>
  </w:style>
  <w:style w:type="character" w:customStyle="1" w:styleId="ref-journal">
    <w:name w:val="ref-journal"/>
    <w:basedOn w:val="Standardnpsmoodstavce"/>
    <w:rsid w:val="00A424AE"/>
    <w:rPr>
      <w:rFonts w:cs="Times New Roman"/>
    </w:rPr>
  </w:style>
  <w:style w:type="character" w:customStyle="1" w:styleId="ref-vol">
    <w:name w:val="ref-vol"/>
    <w:basedOn w:val="Standardnpsmoodstavce"/>
    <w:rsid w:val="00A424AE"/>
    <w:rPr>
      <w:rFonts w:cs="Times New Roman"/>
    </w:rPr>
  </w:style>
  <w:style w:type="character" w:customStyle="1" w:styleId="nowrap">
    <w:name w:val="nowrap"/>
    <w:basedOn w:val="Standardnpsmoodstavce"/>
    <w:uiPriority w:val="99"/>
    <w:rsid w:val="00A424AE"/>
    <w:rPr>
      <w:rFonts w:cs="Times New Roman"/>
    </w:rPr>
  </w:style>
  <w:style w:type="character" w:customStyle="1" w:styleId="doi2">
    <w:name w:val="doi2"/>
    <w:uiPriority w:val="99"/>
    <w:rsid w:val="00920417"/>
  </w:style>
  <w:style w:type="paragraph" w:styleId="Nzev">
    <w:name w:val="Title"/>
    <w:basedOn w:val="Normln"/>
    <w:next w:val="Normln"/>
    <w:link w:val="NzevChar"/>
    <w:uiPriority w:val="99"/>
    <w:qFormat/>
    <w:locked/>
    <w:rsid w:val="002102EE"/>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uiPriority w:val="99"/>
    <w:locked/>
    <w:rsid w:val="002102EE"/>
    <w:rPr>
      <w:rFonts w:ascii="Cambria" w:hAnsi="Cambria" w:cs="Times New Roman"/>
      <w:b/>
      <w:bCs/>
      <w:kern w:val="28"/>
      <w:sz w:val="32"/>
      <w:szCs w:val="32"/>
      <w:lang w:eastAsia="en-US"/>
    </w:rPr>
  </w:style>
  <w:style w:type="paragraph" w:styleId="Bezmezer">
    <w:name w:val="No Spacing"/>
    <w:uiPriority w:val="99"/>
    <w:qFormat/>
    <w:rsid w:val="002102EE"/>
    <w:rPr>
      <w:lang w:eastAsia="en-US"/>
    </w:rPr>
  </w:style>
  <w:style w:type="character" w:customStyle="1" w:styleId="tlid-translation">
    <w:name w:val="tlid-translation"/>
    <w:uiPriority w:val="99"/>
    <w:rsid w:val="003C4368"/>
  </w:style>
  <w:style w:type="paragraph" w:customStyle="1" w:styleId="Default">
    <w:name w:val="Default"/>
    <w:uiPriority w:val="99"/>
    <w:rsid w:val="008543B4"/>
    <w:pPr>
      <w:autoSpaceDE w:val="0"/>
      <w:autoSpaceDN w:val="0"/>
      <w:adjustRightInd w:val="0"/>
    </w:pPr>
    <w:rPr>
      <w:rFonts w:ascii="Arial" w:hAnsi="Arial" w:cs="Arial"/>
      <w:color w:val="000000"/>
      <w:sz w:val="24"/>
      <w:szCs w:val="24"/>
    </w:rPr>
  </w:style>
  <w:style w:type="character" w:styleId="Siln">
    <w:name w:val="Strong"/>
    <w:basedOn w:val="Standardnpsmoodstavce"/>
    <w:uiPriority w:val="99"/>
    <w:qFormat/>
    <w:locked/>
    <w:rsid w:val="0025254D"/>
    <w:rPr>
      <w:rFonts w:cs="Times New Roman"/>
      <w:b/>
      <w:bCs/>
    </w:rPr>
  </w:style>
  <w:style w:type="paragraph" w:styleId="Normlnweb">
    <w:name w:val="Normal (Web)"/>
    <w:basedOn w:val="Normln"/>
    <w:uiPriority w:val="99"/>
    <w:rsid w:val="008B57CB"/>
    <w:pPr>
      <w:spacing w:before="100" w:beforeAutospacing="1" w:after="100" w:afterAutospacing="1"/>
    </w:pPr>
  </w:style>
  <w:style w:type="character" w:customStyle="1" w:styleId="list-group-item3">
    <w:name w:val="list-group-item3"/>
    <w:basedOn w:val="Standardnpsmoodstavce"/>
    <w:uiPriority w:val="99"/>
    <w:rsid w:val="004B4126"/>
    <w:rPr>
      <w:rFonts w:cs="Times New Roman"/>
      <w:bdr w:val="none" w:sz="0" w:space="0" w:color="auto" w:frame="1"/>
      <w:shd w:val="clear" w:color="auto" w:fill="FFFFFF"/>
    </w:rPr>
  </w:style>
  <w:style w:type="character" w:customStyle="1" w:styleId="anchortext6">
    <w:name w:val="anchortext6"/>
    <w:basedOn w:val="Standardnpsmoodstavce"/>
    <w:uiPriority w:val="99"/>
    <w:rsid w:val="004B4126"/>
    <w:rPr>
      <w:rFonts w:cs="Times New Roman"/>
    </w:rPr>
  </w:style>
  <w:style w:type="paragraph" w:customStyle="1" w:styleId="captions2">
    <w:name w:val="captions2"/>
    <w:basedOn w:val="Normln"/>
    <w:uiPriority w:val="99"/>
    <w:rsid w:val="0004774D"/>
    <w:pPr>
      <w:spacing w:before="240" w:after="240" w:line="330" w:lineRule="atLeast"/>
      <w:ind w:left="360" w:right="360"/>
    </w:pPr>
    <w:rPr>
      <w:color w:val="323232"/>
    </w:rPr>
  </w:style>
  <w:style w:type="character" w:customStyle="1" w:styleId="label5">
    <w:name w:val="label5"/>
    <w:basedOn w:val="Standardnpsmoodstavce"/>
    <w:uiPriority w:val="99"/>
    <w:rsid w:val="0004774D"/>
    <w:rPr>
      <w:rFonts w:cs="Times New Roman"/>
    </w:rPr>
  </w:style>
  <w:style w:type="character" w:customStyle="1" w:styleId="authorsname">
    <w:name w:val="authors__name"/>
    <w:basedOn w:val="Standardnpsmoodstavce"/>
    <w:uiPriority w:val="99"/>
    <w:rsid w:val="00293999"/>
    <w:rPr>
      <w:rFonts w:cs="Times New Roman"/>
    </w:rPr>
  </w:style>
  <w:style w:type="character" w:customStyle="1" w:styleId="authorscontact">
    <w:name w:val="authors__contact"/>
    <w:basedOn w:val="Standardnpsmoodstavce"/>
    <w:uiPriority w:val="99"/>
    <w:rsid w:val="00293999"/>
    <w:rPr>
      <w:rFonts w:cs="Times New Roman"/>
    </w:rPr>
  </w:style>
  <w:style w:type="character" w:customStyle="1" w:styleId="hiddenreadable">
    <w:name w:val="hiddenreadable"/>
    <w:basedOn w:val="Standardnpsmoodstavce"/>
    <w:uiPriority w:val="99"/>
    <w:rsid w:val="00BE1616"/>
    <w:rPr>
      <w:rFonts w:cs="Times New Roman"/>
    </w:rPr>
  </w:style>
  <w:style w:type="character" w:customStyle="1" w:styleId="journaltitle">
    <w:name w:val="journaltitle"/>
    <w:basedOn w:val="Standardnpsmoodstavce"/>
    <w:uiPriority w:val="99"/>
    <w:rsid w:val="00AC6C08"/>
    <w:rPr>
      <w:rFonts w:cs="Times New Roman"/>
    </w:rPr>
  </w:style>
  <w:style w:type="paragraph" w:customStyle="1" w:styleId="icon--meta-keyline">
    <w:name w:val="icon--meta-keyline"/>
    <w:basedOn w:val="Normln"/>
    <w:uiPriority w:val="99"/>
    <w:rsid w:val="00AC6C08"/>
    <w:pPr>
      <w:spacing w:before="100" w:beforeAutospacing="1" w:after="100" w:afterAutospacing="1"/>
    </w:pPr>
  </w:style>
  <w:style w:type="character" w:customStyle="1" w:styleId="articlecitationyear">
    <w:name w:val="articlecitation_year"/>
    <w:basedOn w:val="Standardnpsmoodstavce"/>
    <w:uiPriority w:val="99"/>
    <w:rsid w:val="00AC6C08"/>
    <w:rPr>
      <w:rFonts w:cs="Times New Roman"/>
    </w:rPr>
  </w:style>
  <w:style w:type="character" w:customStyle="1" w:styleId="articlecitationvolume">
    <w:name w:val="articlecitation_volume"/>
    <w:basedOn w:val="Standardnpsmoodstavce"/>
    <w:uiPriority w:val="99"/>
    <w:rsid w:val="00AC6C08"/>
    <w:rPr>
      <w:rFonts w:cs="Times New Roman"/>
    </w:rPr>
  </w:style>
  <w:style w:type="character" w:customStyle="1" w:styleId="articlecitationpages">
    <w:name w:val="articlecitation_pages"/>
    <w:basedOn w:val="Standardnpsmoodstavce"/>
    <w:uiPriority w:val="99"/>
    <w:rsid w:val="00AC6C08"/>
    <w:rPr>
      <w:rFonts w:cs="Times New Roman"/>
    </w:rPr>
  </w:style>
  <w:style w:type="character" w:customStyle="1" w:styleId="u-inline-blocku-ml-4">
    <w:name w:val="u-inline-block u-ml-4"/>
    <w:basedOn w:val="Standardnpsmoodstavce"/>
    <w:uiPriority w:val="99"/>
    <w:rsid w:val="00AC6C08"/>
    <w:rPr>
      <w:rFonts w:cs="Times New Roman"/>
    </w:rPr>
  </w:style>
  <w:style w:type="character" w:customStyle="1" w:styleId="tlid-translationtranslation">
    <w:name w:val="tlid-translation translation"/>
    <w:basedOn w:val="Standardnpsmoodstavce"/>
    <w:uiPriority w:val="99"/>
    <w:rsid w:val="000A2344"/>
    <w:rPr>
      <w:rFonts w:cs="Times New Roman"/>
    </w:rPr>
  </w:style>
  <w:style w:type="paragraph" w:styleId="Textbubliny">
    <w:name w:val="Balloon Text"/>
    <w:basedOn w:val="Normln"/>
    <w:link w:val="TextbublinyChar"/>
    <w:uiPriority w:val="99"/>
    <w:semiHidden/>
    <w:rsid w:val="00444BC4"/>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444BC4"/>
    <w:rPr>
      <w:rFonts w:ascii="Segoe UI" w:hAnsi="Segoe UI" w:cs="Segoe UI"/>
      <w:sz w:val="18"/>
      <w:szCs w:val="18"/>
      <w:lang w:eastAsia="en-US"/>
    </w:rPr>
  </w:style>
  <w:style w:type="paragraph" w:customStyle="1" w:styleId="c-article-info-details">
    <w:name w:val="c-article-info-details"/>
    <w:basedOn w:val="Normln"/>
    <w:rsid w:val="00125B13"/>
    <w:pPr>
      <w:spacing w:before="100" w:beforeAutospacing="1" w:after="100" w:afterAutospacing="1"/>
    </w:pPr>
  </w:style>
  <w:style w:type="character" w:customStyle="1" w:styleId="u-visually-hidden">
    <w:name w:val="u-visually-hidden"/>
    <w:basedOn w:val="Standardnpsmoodstavce"/>
    <w:rsid w:val="00125B13"/>
  </w:style>
  <w:style w:type="character" w:customStyle="1" w:styleId="authors-list-item">
    <w:name w:val="authors-list-item"/>
    <w:rsid w:val="00AF6A2C"/>
  </w:style>
  <w:style w:type="character" w:customStyle="1" w:styleId="author-sup-separator">
    <w:name w:val="author-sup-separator"/>
    <w:rsid w:val="00AF6A2C"/>
  </w:style>
  <w:style w:type="character" w:customStyle="1" w:styleId="comma">
    <w:name w:val="comma"/>
    <w:rsid w:val="00AF6A2C"/>
  </w:style>
  <w:style w:type="character" w:customStyle="1" w:styleId="period">
    <w:name w:val="period"/>
    <w:rsid w:val="00AF6A2C"/>
  </w:style>
  <w:style w:type="character" w:customStyle="1" w:styleId="sr-only1">
    <w:name w:val="sr-only1"/>
    <w:basedOn w:val="Standardnpsmoodstavce"/>
    <w:rsid w:val="00F40AAE"/>
    <w:rPr>
      <w:bdr w:val="none" w:sz="0" w:space="0" w:color="auto" w:frame="1"/>
    </w:rPr>
  </w:style>
  <w:style w:type="character" w:customStyle="1" w:styleId="text2">
    <w:name w:val="text2"/>
    <w:basedOn w:val="Standardnpsmoodstavce"/>
    <w:rsid w:val="00F40AAE"/>
  </w:style>
  <w:style w:type="character" w:customStyle="1" w:styleId="button-text8">
    <w:name w:val="button-text8"/>
    <w:basedOn w:val="Standardnpsmoodstavce"/>
    <w:rsid w:val="00F40AAE"/>
  </w:style>
  <w:style w:type="character" w:customStyle="1" w:styleId="article-headerjournal">
    <w:name w:val="article-header__journal"/>
    <w:basedOn w:val="Standardnpsmoodstavce"/>
    <w:rsid w:val="00EE2673"/>
  </w:style>
  <w:style w:type="character" w:customStyle="1" w:styleId="article-headersep">
    <w:name w:val="article-header__sep"/>
    <w:basedOn w:val="Standardnpsmoodstavce"/>
    <w:rsid w:val="00EE2673"/>
  </w:style>
  <w:style w:type="character" w:customStyle="1" w:styleId="article-headerpages">
    <w:name w:val="article-header__pages"/>
    <w:basedOn w:val="Standardnpsmoodstavce"/>
    <w:rsid w:val="00EE2673"/>
  </w:style>
  <w:style w:type="character" w:customStyle="1" w:styleId="article-headerdate">
    <w:name w:val="article-header__date"/>
    <w:basedOn w:val="Standardnpsmoodstavce"/>
    <w:rsid w:val="00EE2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9461">
      <w:bodyDiv w:val="1"/>
      <w:marLeft w:val="0"/>
      <w:marRight w:val="0"/>
      <w:marTop w:val="0"/>
      <w:marBottom w:val="0"/>
      <w:divBdr>
        <w:top w:val="none" w:sz="0" w:space="0" w:color="auto"/>
        <w:left w:val="none" w:sz="0" w:space="0" w:color="auto"/>
        <w:bottom w:val="none" w:sz="0" w:space="0" w:color="auto"/>
        <w:right w:val="none" w:sz="0" w:space="0" w:color="auto"/>
      </w:divBdr>
      <w:divsChild>
        <w:div w:id="2055885935">
          <w:marLeft w:val="0"/>
          <w:marRight w:val="0"/>
          <w:marTop w:val="0"/>
          <w:marBottom w:val="0"/>
          <w:divBdr>
            <w:top w:val="none" w:sz="0" w:space="0" w:color="auto"/>
            <w:left w:val="none" w:sz="0" w:space="0" w:color="auto"/>
            <w:bottom w:val="none" w:sz="0" w:space="0" w:color="auto"/>
            <w:right w:val="none" w:sz="0" w:space="0" w:color="auto"/>
          </w:divBdr>
        </w:div>
        <w:div w:id="900480378">
          <w:marLeft w:val="0"/>
          <w:marRight w:val="0"/>
          <w:marTop w:val="0"/>
          <w:marBottom w:val="0"/>
          <w:divBdr>
            <w:top w:val="none" w:sz="0" w:space="0" w:color="auto"/>
            <w:left w:val="none" w:sz="0" w:space="0" w:color="auto"/>
            <w:bottom w:val="none" w:sz="0" w:space="0" w:color="auto"/>
            <w:right w:val="none" w:sz="0" w:space="0" w:color="auto"/>
          </w:divBdr>
        </w:div>
      </w:divsChild>
    </w:div>
    <w:div w:id="38095237">
      <w:bodyDiv w:val="1"/>
      <w:marLeft w:val="0"/>
      <w:marRight w:val="0"/>
      <w:marTop w:val="0"/>
      <w:marBottom w:val="0"/>
      <w:divBdr>
        <w:top w:val="none" w:sz="0" w:space="0" w:color="auto"/>
        <w:left w:val="none" w:sz="0" w:space="0" w:color="auto"/>
        <w:bottom w:val="none" w:sz="0" w:space="0" w:color="auto"/>
        <w:right w:val="none" w:sz="0" w:space="0" w:color="auto"/>
      </w:divBdr>
    </w:div>
    <w:div w:id="48191456">
      <w:bodyDiv w:val="1"/>
      <w:marLeft w:val="0"/>
      <w:marRight w:val="0"/>
      <w:marTop w:val="0"/>
      <w:marBottom w:val="0"/>
      <w:divBdr>
        <w:top w:val="none" w:sz="0" w:space="0" w:color="auto"/>
        <w:left w:val="none" w:sz="0" w:space="0" w:color="auto"/>
        <w:bottom w:val="none" w:sz="0" w:space="0" w:color="auto"/>
        <w:right w:val="none" w:sz="0" w:space="0" w:color="auto"/>
      </w:divBdr>
      <w:divsChild>
        <w:div w:id="1933009802">
          <w:marLeft w:val="0"/>
          <w:marRight w:val="0"/>
          <w:marTop w:val="0"/>
          <w:marBottom w:val="0"/>
          <w:divBdr>
            <w:top w:val="none" w:sz="0" w:space="0" w:color="auto"/>
            <w:left w:val="none" w:sz="0" w:space="0" w:color="auto"/>
            <w:bottom w:val="none" w:sz="0" w:space="0" w:color="auto"/>
            <w:right w:val="none" w:sz="0" w:space="0" w:color="auto"/>
          </w:divBdr>
          <w:divsChild>
            <w:div w:id="681398357">
              <w:marLeft w:val="-240"/>
              <w:marRight w:val="-240"/>
              <w:marTop w:val="0"/>
              <w:marBottom w:val="0"/>
              <w:divBdr>
                <w:top w:val="none" w:sz="0" w:space="0" w:color="auto"/>
                <w:left w:val="none" w:sz="0" w:space="0" w:color="auto"/>
                <w:bottom w:val="none" w:sz="0" w:space="0" w:color="auto"/>
                <w:right w:val="none" w:sz="0" w:space="0" w:color="auto"/>
              </w:divBdr>
              <w:divsChild>
                <w:div w:id="1053625221">
                  <w:marLeft w:val="0"/>
                  <w:marRight w:val="0"/>
                  <w:marTop w:val="0"/>
                  <w:marBottom w:val="0"/>
                  <w:divBdr>
                    <w:top w:val="none" w:sz="0" w:space="0" w:color="auto"/>
                    <w:left w:val="none" w:sz="0" w:space="0" w:color="auto"/>
                    <w:bottom w:val="none" w:sz="0" w:space="0" w:color="auto"/>
                    <w:right w:val="none" w:sz="0" w:space="0" w:color="auto"/>
                  </w:divBdr>
                  <w:divsChild>
                    <w:div w:id="2133205039">
                      <w:marLeft w:val="0"/>
                      <w:marRight w:val="0"/>
                      <w:marTop w:val="150"/>
                      <w:marBottom w:val="300"/>
                      <w:divBdr>
                        <w:top w:val="none" w:sz="0" w:space="0" w:color="auto"/>
                        <w:left w:val="none" w:sz="0" w:space="0" w:color="auto"/>
                        <w:bottom w:val="none" w:sz="0" w:space="0" w:color="auto"/>
                        <w:right w:val="none" w:sz="0" w:space="0" w:color="auto"/>
                      </w:divBdr>
                    </w:div>
                  </w:divsChild>
                </w:div>
                <w:div w:id="518009457">
                  <w:marLeft w:val="0"/>
                  <w:marRight w:val="0"/>
                  <w:marTop w:val="0"/>
                  <w:marBottom w:val="0"/>
                  <w:divBdr>
                    <w:top w:val="none" w:sz="0" w:space="0" w:color="auto"/>
                    <w:left w:val="none" w:sz="0" w:space="0" w:color="auto"/>
                    <w:bottom w:val="none" w:sz="0" w:space="0" w:color="auto"/>
                    <w:right w:val="none" w:sz="0" w:space="0" w:color="auto"/>
                  </w:divBdr>
                  <w:divsChild>
                    <w:div w:id="2041467684">
                      <w:marLeft w:val="0"/>
                      <w:marRight w:val="0"/>
                      <w:marTop w:val="0"/>
                      <w:marBottom w:val="0"/>
                      <w:divBdr>
                        <w:top w:val="none" w:sz="0" w:space="0" w:color="auto"/>
                        <w:left w:val="none" w:sz="0" w:space="0" w:color="auto"/>
                        <w:bottom w:val="none" w:sz="0" w:space="0" w:color="auto"/>
                        <w:right w:val="none" w:sz="0" w:space="0" w:color="auto"/>
                      </w:divBdr>
                      <w:divsChild>
                        <w:div w:id="2045203552">
                          <w:marLeft w:val="0"/>
                          <w:marRight w:val="0"/>
                          <w:marTop w:val="0"/>
                          <w:marBottom w:val="0"/>
                          <w:divBdr>
                            <w:top w:val="none" w:sz="0" w:space="0" w:color="auto"/>
                            <w:left w:val="none" w:sz="0" w:space="0" w:color="auto"/>
                            <w:bottom w:val="none" w:sz="0" w:space="0" w:color="auto"/>
                            <w:right w:val="none" w:sz="0" w:space="0" w:color="auto"/>
                          </w:divBdr>
                          <w:divsChild>
                            <w:div w:id="1619408903">
                              <w:marLeft w:val="0"/>
                              <w:marRight w:val="0"/>
                              <w:marTop w:val="0"/>
                              <w:marBottom w:val="0"/>
                              <w:divBdr>
                                <w:top w:val="none" w:sz="0" w:space="0" w:color="auto"/>
                                <w:left w:val="none" w:sz="0" w:space="0" w:color="auto"/>
                                <w:bottom w:val="none" w:sz="0" w:space="0" w:color="auto"/>
                                <w:right w:val="none" w:sz="0" w:space="0" w:color="auto"/>
                              </w:divBdr>
                              <w:divsChild>
                                <w:div w:id="1462841083">
                                  <w:marLeft w:val="0"/>
                                  <w:marRight w:val="0"/>
                                  <w:marTop w:val="0"/>
                                  <w:marBottom w:val="0"/>
                                  <w:divBdr>
                                    <w:top w:val="none" w:sz="0" w:space="0" w:color="auto"/>
                                    <w:left w:val="none" w:sz="0" w:space="0" w:color="auto"/>
                                    <w:bottom w:val="none" w:sz="0" w:space="0" w:color="auto"/>
                                    <w:right w:val="none" w:sz="0" w:space="0" w:color="auto"/>
                                  </w:divBdr>
                                </w:div>
                                <w:div w:id="1560751566">
                                  <w:marLeft w:val="0"/>
                                  <w:marRight w:val="0"/>
                                  <w:marTop w:val="0"/>
                                  <w:marBottom w:val="0"/>
                                  <w:divBdr>
                                    <w:top w:val="none" w:sz="0" w:space="0" w:color="auto"/>
                                    <w:left w:val="none" w:sz="0" w:space="0" w:color="auto"/>
                                    <w:bottom w:val="none" w:sz="0" w:space="0" w:color="auto"/>
                                    <w:right w:val="none" w:sz="0" w:space="0" w:color="auto"/>
                                  </w:divBdr>
                                </w:div>
                                <w:div w:id="9841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339187">
          <w:marLeft w:val="0"/>
          <w:marRight w:val="0"/>
          <w:marTop w:val="0"/>
          <w:marBottom w:val="0"/>
          <w:divBdr>
            <w:top w:val="none" w:sz="0" w:space="0" w:color="auto"/>
            <w:left w:val="none" w:sz="0" w:space="0" w:color="auto"/>
            <w:bottom w:val="none" w:sz="0" w:space="0" w:color="auto"/>
            <w:right w:val="none" w:sz="0" w:space="0" w:color="auto"/>
          </w:divBdr>
          <w:divsChild>
            <w:div w:id="1206482627">
              <w:marLeft w:val="0"/>
              <w:marRight w:val="0"/>
              <w:marTop w:val="0"/>
              <w:marBottom w:val="0"/>
              <w:divBdr>
                <w:top w:val="none" w:sz="0" w:space="0" w:color="auto"/>
                <w:left w:val="none" w:sz="0" w:space="0" w:color="auto"/>
                <w:bottom w:val="none" w:sz="0" w:space="0" w:color="auto"/>
                <w:right w:val="none" w:sz="0" w:space="0" w:color="auto"/>
              </w:divBdr>
            </w:div>
            <w:div w:id="1179664242">
              <w:marLeft w:val="0"/>
              <w:marRight w:val="0"/>
              <w:marTop w:val="0"/>
              <w:marBottom w:val="0"/>
              <w:divBdr>
                <w:top w:val="none" w:sz="0" w:space="0" w:color="auto"/>
                <w:left w:val="none" w:sz="0" w:space="0" w:color="auto"/>
                <w:bottom w:val="none" w:sz="0" w:space="0" w:color="auto"/>
                <w:right w:val="none" w:sz="0" w:space="0" w:color="auto"/>
              </w:divBdr>
            </w:div>
            <w:div w:id="506871030">
              <w:marLeft w:val="0"/>
              <w:marRight w:val="0"/>
              <w:marTop w:val="0"/>
              <w:marBottom w:val="0"/>
              <w:divBdr>
                <w:top w:val="none" w:sz="0" w:space="0" w:color="auto"/>
                <w:left w:val="none" w:sz="0" w:space="0" w:color="auto"/>
                <w:bottom w:val="none" w:sz="0" w:space="0" w:color="auto"/>
                <w:right w:val="none" w:sz="0" w:space="0" w:color="auto"/>
              </w:divBdr>
            </w:div>
            <w:div w:id="917402353">
              <w:marLeft w:val="0"/>
              <w:marRight w:val="0"/>
              <w:marTop w:val="0"/>
              <w:marBottom w:val="0"/>
              <w:divBdr>
                <w:top w:val="none" w:sz="0" w:space="0" w:color="auto"/>
                <w:left w:val="none" w:sz="0" w:space="0" w:color="auto"/>
                <w:bottom w:val="none" w:sz="0" w:space="0" w:color="auto"/>
                <w:right w:val="none" w:sz="0" w:space="0" w:color="auto"/>
              </w:divBdr>
            </w:div>
            <w:div w:id="1110202532">
              <w:marLeft w:val="0"/>
              <w:marRight w:val="0"/>
              <w:marTop w:val="0"/>
              <w:marBottom w:val="0"/>
              <w:divBdr>
                <w:top w:val="none" w:sz="0" w:space="0" w:color="auto"/>
                <w:left w:val="none" w:sz="0" w:space="0" w:color="auto"/>
                <w:bottom w:val="none" w:sz="0" w:space="0" w:color="auto"/>
                <w:right w:val="none" w:sz="0" w:space="0" w:color="auto"/>
              </w:divBdr>
            </w:div>
            <w:div w:id="99032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68748">
      <w:bodyDiv w:val="1"/>
      <w:marLeft w:val="0"/>
      <w:marRight w:val="0"/>
      <w:marTop w:val="0"/>
      <w:marBottom w:val="0"/>
      <w:divBdr>
        <w:top w:val="none" w:sz="0" w:space="0" w:color="auto"/>
        <w:left w:val="none" w:sz="0" w:space="0" w:color="auto"/>
        <w:bottom w:val="none" w:sz="0" w:space="0" w:color="auto"/>
        <w:right w:val="none" w:sz="0" w:space="0" w:color="auto"/>
      </w:divBdr>
    </w:div>
    <w:div w:id="332686893">
      <w:bodyDiv w:val="1"/>
      <w:marLeft w:val="0"/>
      <w:marRight w:val="0"/>
      <w:marTop w:val="0"/>
      <w:marBottom w:val="0"/>
      <w:divBdr>
        <w:top w:val="none" w:sz="0" w:space="0" w:color="auto"/>
        <w:left w:val="none" w:sz="0" w:space="0" w:color="auto"/>
        <w:bottom w:val="none" w:sz="0" w:space="0" w:color="auto"/>
        <w:right w:val="none" w:sz="0" w:space="0" w:color="auto"/>
      </w:divBdr>
    </w:div>
    <w:div w:id="353306863">
      <w:bodyDiv w:val="1"/>
      <w:marLeft w:val="0"/>
      <w:marRight w:val="0"/>
      <w:marTop w:val="0"/>
      <w:marBottom w:val="0"/>
      <w:divBdr>
        <w:top w:val="none" w:sz="0" w:space="0" w:color="auto"/>
        <w:left w:val="none" w:sz="0" w:space="0" w:color="auto"/>
        <w:bottom w:val="none" w:sz="0" w:space="0" w:color="auto"/>
        <w:right w:val="none" w:sz="0" w:space="0" w:color="auto"/>
      </w:divBdr>
    </w:div>
    <w:div w:id="365836827">
      <w:bodyDiv w:val="1"/>
      <w:marLeft w:val="0"/>
      <w:marRight w:val="0"/>
      <w:marTop w:val="0"/>
      <w:marBottom w:val="0"/>
      <w:divBdr>
        <w:top w:val="none" w:sz="0" w:space="0" w:color="auto"/>
        <w:left w:val="none" w:sz="0" w:space="0" w:color="auto"/>
        <w:bottom w:val="none" w:sz="0" w:space="0" w:color="auto"/>
        <w:right w:val="none" w:sz="0" w:space="0" w:color="auto"/>
      </w:divBdr>
    </w:div>
    <w:div w:id="482936158">
      <w:bodyDiv w:val="1"/>
      <w:marLeft w:val="0"/>
      <w:marRight w:val="0"/>
      <w:marTop w:val="0"/>
      <w:marBottom w:val="0"/>
      <w:divBdr>
        <w:top w:val="none" w:sz="0" w:space="0" w:color="auto"/>
        <w:left w:val="none" w:sz="0" w:space="0" w:color="auto"/>
        <w:bottom w:val="none" w:sz="0" w:space="0" w:color="auto"/>
        <w:right w:val="none" w:sz="0" w:space="0" w:color="auto"/>
      </w:divBdr>
    </w:div>
    <w:div w:id="504514023">
      <w:bodyDiv w:val="1"/>
      <w:marLeft w:val="0"/>
      <w:marRight w:val="0"/>
      <w:marTop w:val="0"/>
      <w:marBottom w:val="0"/>
      <w:divBdr>
        <w:top w:val="none" w:sz="0" w:space="0" w:color="auto"/>
        <w:left w:val="none" w:sz="0" w:space="0" w:color="auto"/>
        <w:bottom w:val="none" w:sz="0" w:space="0" w:color="auto"/>
        <w:right w:val="none" w:sz="0" w:space="0" w:color="auto"/>
      </w:divBdr>
      <w:divsChild>
        <w:div w:id="1938948921">
          <w:marLeft w:val="0"/>
          <w:marRight w:val="0"/>
          <w:marTop w:val="0"/>
          <w:marBottom w:val="0"/>
          <w:divBdr>
            <w:top w:val="none" w:sz="0" w:space="0" w:color="auto"/>
            <w:left w:val="none" w:sz="0" w:space="0" w:color="auto"/>
            <w:bottom w:val="none" w:sz="0" w:space="0" w:color="auto"/>
            <w:right w:val="none" w:sz="0" w:space="0" w:color="auto"/>
          </w:divBdr>
          <w:divsChild>
            <w:div w:id="1837502001">
              <w:marLeft w:val="0"/>
              <w:marRight w:val="0"/>
              <w:marTop w:val="100"/>
              <w:marBottom w:val="100"/>
              <w:divBdr>
                <w:top w:val="none" w:sz="0" w:space="0" w:color="auto"/>
                <w:left w:val="none" w:sz="0" w:space="0" w:color="auto"/>
                <w:bottom w:val="none" w:sz="0" w:space="0" w:color="auto"/>
                <w:right w:val="none" w:sz="0" w:space="0" w:color="auto"/>
              </w:divBdr>
              <w:divsChild>
                <w:div w:id="108744128">
                  <w:marLeft w:val="0"/>
                  <w:marRight w:val="0"/>
                  <w:marTop w:val="0"/>
                  <w:marBottom w:val="0"/>
                  <w:divBdr>
                    <w:top w:val="none" w:sz="0" w:space="0" w:color="auto"/>
                    <w:left w:val="none" w:sz="0" w:space="0" w:color="auto"/>
                    <w:bottom w:val="none" w:sz="0" w:space="0" w:color="auto"/>
                    <w:right w:val="none" w:sz="0" w:space="0" w:color="auto"/>
                  </w:divBdr>
                  <w:divsChild>
                    <w:div w:id="889192591">
                      <w:marLeft w:val="0"/>
                      <w:marRight w:val="0"/>
                      <w:marTop w:val="0"/>
                      <w:marBottom w:val="0"/>
                      <w:divBdr>
                        <w:top w:val="none" w:sz="0" w:space="0" w:color="auto"/>
                        <w:left w:val="none" w:sz="0" w:space="0" w:color="auto"/>
                        <w:bottom w:val="none" w:sz="0" w:space="0" w:color="auto"/>
                        <w:right w:val="none" w:sz="0" w:space="0" w:color="auto"/>
                      </w:divBdr>
                      <w:divsChild>
                        <w:div w:id="996222646">
                          <w:marLeft w:val="0"/>
                          <w:marRight w:val="0"/>
                          <w:marTop w:val="0"/>
                          <w:marBottom w:val="0"/>
                          <w:divBdr>
                            <w:top w:val="none" w:sz="0" w:space="0" w:color="auto"/>
                            <w:left w:val="none" w:sz="0" w:space="0" w:color="auto"/>
                            <w:bottom w:val="none" w:sz="0" w:space="0" w:color="auto"/>
                            <w:right w:val="none" w:sz="0" w:space="0" w:color="auto"/>
                          </w:divBdr>
                          <w:divsChild>
                            <w:div w:id="1012103792">
                              <w:marLeft w:val="0"/>
                              <w:marRight w:val="0"/>
                              <w:marTop w:val="0"/>
                              <w:marBottom w:val="0"/>
                              <w:divBdr>
                                <w:top w:val="none" w:sz="0" w:space="0" w:color="auto"/>
                                <w:left w:val="none" w:sz="0" w:space="0" w:color="auto"/>
                                <w:bottom w:val="none" w:sz="0" w:space="0" w:color="auto"/>
                                <w:right w:val="none" w:sz="0" w:space="0" w:color="auto"/>
                              </w:divBdr>
                              <w:divsChild>
                                <w:div w:id="673341832">
                                  <w:marLeft w:val="0"/>
                                  <w:marRight w:val="0"/>
                                  <w:marTop w:val="100"/>
                                  <w:marBottom w:val="100"/>
                                  <w:divBdr>
                                    <w:top w:val="none" w:sz="0" w:space="0" w:color="auto"/>
                                    <w:left w:val="none" w:sz="0" w:space="0" w:color="auto"/>
                                    <w:bottom w:val="none" w:sz="0" w:space="0" w:color="auto"/>
                                    <w:right w:val="none" w:sz="0" w:space="0" w:color="auto"/>
                                  </w:divBdr>
                                  <w:divsChild>
                                    <w:div w:id="1794052245">
                                      <w:marLeft w:val="0"/>
                                      <w:marRight w:val="0"/>
                                      <w:marTop w:val="0"/>
                                      <w:marBottom w:val="120"/>
                                      <w:divBdr>
                                        <w:top w:val="none" w:sz="0" w:space="0" w:color="auto"/>
                                        <w:left w:val="none" w:sz="0" w:space="0" w:color="auto"/>
                                        <w:bottom w:val="single" w:sz="12" w:space="9" w:color="EBEBEB"/>
                                        <w:right w:val="none" w:sz="0" w:space="0" w:color="auto"/>
                                      </w:divBdr>
                                      <w:divsChild>
                                        <w:div w:id="1861508489">
                                          <w:marLeft w:val="0"/>
                                          <w:marRight w:val="0"/>
                                          <w:marTop w:val="100"/>
                                          <w:marBottom w:val="100"/>
                                          <w:divBdr>
                                            <w:top w:val="none" w:sz="0" w:space="0" w:color="auto"/>
                                            <w:left w:val="none" w:sz="0" w:space="0" w:color="auto"/>
                                            <w:bottom w:val="none" w:sz="0" w:space="0" w:color="auto"/>
                                            <w:right w:val="none" w:sz="0" w:space="0" w:color="auto"/>
                                          </w:divBdr>
                                          <w:divsChild>
                                            <w:div w:id="244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2918">
                                      <w:marLeft w:val="0"/>
                                      <w:marRight w:val="0"/>
                                      <w:marTop w:val="0"/>
                                      <w:marBottom w:val="0"/>
                                      <w:divBdr>
                                        <w:top w:val="none" w:sz="0" w:space="0" w:color="auto"/>
                                        <w:left w:val="none" w:sz="0" w:space="0" w:color="auto"/>
                                        <w:bottom w:val="none" w:sz="0" w:space="0" w:color="auto"/>
                                        <w:right w:val="none" w:sz="0" w:space="0" w:color="auto"/>
                                      </w:divBdr>
                                    </w:div>
                                    <w:div w:id="703597143">
                                      <w:marLeft w:val="0"/>
                                      <w:marRight w:val="0"/>
                                      <w:marTop w:val="0"/>
                                      <w:marBottom w:val="120"/>
                                      <w:divBdr>
                                        <w:top w:val="none" w:sz="0" w:space="0" w:color="auto"/>
                                        <w:left w:val="none" w:sz="0" w:space="0" w:color="auto"/>
                                        <w:bottom w:val="none" w:sz="0" w:space="0" w:color="auto"/>
                                        <w:right w:val="none" w:sz="0" w:space="0" w:color="auto"/>
                                      </w:divBdr>
                                      <w:divsChild>
                                        <w:div w:id="1121848439">
                                          <w:marLeft w:val="0"/>
                                          <w:marRight w:val="0"/>
                                          <w:marTop w:val="0"/>
                                          <w:marBottom w:val="0"/>
                                          <w:divBdr>
                                            <w:top w:val="none" w:sz="0" w:space="0" w:color="auto"/>
                                            <w:left w:val="none" w:sz="0" w:space="0" w:color="auto"/>
                                            <w:bottom w:val="none" w:sz="0" w:space="0" w:color="auto"/>
                                            <w:right w:val="none" w:sz="0" w:space="0" w:color="auto"/>
                                          </w:divBdr>
                                          <w:divsChild>
                                            <w:div w:id="1423063619">
                                              <w:marLeft w:val="0"/>
                                              <w:marRight w:val="0"/>
                                              <w:marTop w:val="0"/>
                                              <w:marBottom w:val="0"/>
                                              <w:divBdr>
                                                <w:top w:val="none" w:sz="0" w:space="0" w:color="auto"/>
                                                <w:left w:val="none" w:sz="0" w:space="0" w:color="auto"/>
                                                <w:bottom w:val="none" w:sz="0" w:space="0" w:color="auto"/>
                                                <w:right w:val="none" w:sz="0" w:space="0" w:color="auto"/>
                                              </w:divBdr>
                                              <w:divsChild>
                                                <w:div w:id="6597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8982274">
      <w:bodyDiv w:val="1"/>
      <w:marLeft w:val="0"/>
      <w:marRight w:val="0"/>
      <w:marTop w:val="0"/>
      <w:marBottom w:val="0"/>
      <w:divBdr>
        <w:top w:val="none" w:sz="0" w:space="0" w:color="auto"/>
        <w:left w:val="none" w:sz="0" w:space="0" w:color="auto"/>
        <w:bottom w:val="none" w:sz="0" w:space="0" w:color="auto"/>
        <w:right w:val="none" w:sz="0" w:space="0" w:color="auto"/>
      </w:divBdr>
    </w:div>
    <w:div w:id="628558562">
      <w:bodyDiv w:val="1"/>
      <w:marLeft w:val="0"/>
      <w:marRight w:val="0"/>
      <w:marTop w:val="0"/>
      <w:marBottom w:val="0"/>
      <w:divBdr>
        <w:top w:val="none" w:sz="0" w:space="0" w:color="auto"/>
        <w:left w:val="none" w:sz="0" w:space="0" w:color="auto"/>
        <w:bottom w:val="none" w:sz="0" w:space="0" w:color="auto"/>
        <w:right w:val="none" w:sz="0" w:space="0" w:color="auto"/>
      </w:divBdr>
    </w:div>
    <w:div w:id="692610875">
      <w:bodyDiv w:val="1"/>
      <w:marLeft w:val="0"/>
      <w:marRight w:val="0"/>
      <w:marTop w:val="0"/>
      <w:marBottom w:val="0"/>
      <w:divBdr>
        <w:top w:val="none" w:sz="0" w:space="0" w:color="auto"/>
        <w:left w:val="none" w:sz="0" w:space="0" w:color="auto"/>
        <w:bottom w:val="none" w:sz="0" w:space="0" w:color="auto"/>
        <w:right w:val="none" w:sz="0" w:space="0" w:color="auto"/>
      </w:divBdr>
    </w:div>
    <w:div w:id="692998724">
      <w:marLeft w:val="0"/>
      <w:marRight w:val="0"/>
      <w:marTop w:val="0"/>
      <w:marBottom w:val="0"/>
      <w:divBdr>
        <w:top w:val="none" w:sz="0" w:space="0" w:color="auto"/>
        <w:left w:val="none" w:sz="0" w:space="0" w:color="auto"/>
        <w:bottom w:val="none" w:sz="0" w:space="0" w:color="auto"/>
        <w:right w:val="none" w:sz="0" w:space="0" w:color="auto"/>
      </w:divBdr>
    </w:div>
    <w:div w:id="692998725">
      <w:marLeft w:val="0"/>
      <w:marRight w:val="0"/>
      <w:marTop w:val="0"/>
      <w:marBottom w:val="0"/>
      <w:divBdr>
        <w:top w:val="none" w:sz="0" w:space="0" w:color="auto"/>
        <w:left w:val="none" w:sz="0" w:space="0" w:color="auto"/>
        <w:bottom w:val="none" w:sz="0" w:space="0" w:color="auto"/>
        <w:right w:val="none" w:sz="0" w:space="0" w:color="auto"/>
      </w:divBdr>
      <w:divsChild>
        <w:div w:id="692998984">
          <w:marLeft w:val="0"/>
          <w:marRight w:val="0"/>
          <w:marTop w:val="0"/>
          <w:marBottom w:val="0"/>
          <w:divBdr>
            <w:top w:val="none" w:sz="0" w:space="0" w:color="auto"/>
            <w:left w:val="none" w:sz="0" w:space="0" w:color="auto"/>
            <w:bottom w:val="none" w:sz="0" w:space="0" w:color="auto"/>
            <w:right w:val="none" w:sz="0" w:space="0" w:color="auto"/>
          </w:divBdr>
          <w:divsChild>
            <w:div w:id="692998961">
              <w:marLeft w:val="0"/>
              <w:marRight w:val="0"/>
              <w:marTop w:val="100"/>
              <w:marBottom w:val="100"/>
              <w:divBdr>
                <w:top w:val="none" w:sz="0" w:space="0" w:color="auto"/>
                <w:left w:val="none" w:sz="0" w:space="0" w:color="auto"/>
                <w:bottom w:val="none" w:sz="0" w:space="0" w:color="auto"/>
                <w:right w:val="none" w:sz="0" w:space="0" w:color="auto"/>
              </w:divBdr>
              <w:divsChild>
                <w:div w:id="692998992">
                  <w:marLeft w:val="0"/>
                  <w:marRight w:val="0"/>
                  <w:marTop w:val="0"/>
                  <w:marBottom w:val="0"/>
                  <w:divBdr>
                    <w:top w:val="none" w:sz="0" w:space="0" w:color="auto"/>
                    <w:left w:val="none" w:sz="0" w:space="0" w:color="auto"/>
                    <w:bottom w:val="none" w:sz="0" w:space="0" w:color="auto"/>
                    <w:right w:val="none" w:sz="0" w:space="0" w:color="auto"/>
                  </w:divBdr>
                  <w:divsChild>
                    <w:div w:id="692998980">
                      <w:marLeft w:val="0"/>
                      <w:marRight w:val="0"/>
                      <w:marTop w:val="0"/>
                      <w:marBottom w:val="0"/>
                      <w:divBdr>
                        <w:top w:val="none" w:sz="0" w:space="0" w:color="auto"/>
                        <w:left w:val="none" w:sz="0" w:space="0" w:color="auto"/>
                        <w:bottom w:val="none" w:sz="0" w:space="0" w:color="auto"/>
                        <w:right w:val="none" w:sz="0" w:space="0" w:color="auto"/>
                      </w:divBdr>
                      <w:divsChild>
                        <w:div w:id="692998945">
                          <w:marLeft w:val="0"/>
                          <w:marRight w:val="0"/>
                          <w:marTop w:val="100"/>
                          <w:marBottom w:val="100"/>
                          <w:divBdr>
                            <w:top w:val="none" w:sz="0" w:space="0" w:color="auto"/>
                            <w:left w:val="none" w:sz="0" w:space="0" w:color="auto"/>
                            <w:bottom w:val="none" w:sz="0" w:space="0" w:color="auto"/>
                            <w:right w:val="none" w:sz="0" w:space="0" w:color="auto"/>
                          </w:divBdr>
                          <w:divsChild>
                            <w:div w:id="692998730">
                              <w:marLeft w:val="0"/>
                              <w:marRight w:val="0"/>
                              <w:marTop w:val="0"/>
                              <w:marBottom w:val="0"/>
                              <w:divBdr>
                                <w:top w:val="none" w:sz="0" w:space="0" w:color="auto"/>
                                <w:left w:val="none" w:sz="0" w:space="0" w:color="auto"/>
                                <w:bottom w:val="none" w:sz="0" w:space="0" w:color="auto"/>
                                <w:right w:val="none" w:sz="0" w:space="0" w:color="auto"/>
                              </w:divBdr>
                            </w:div>
                            <w:div w:id="6929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8727">
      <w:marLeft w:val="0"/>
      <w:marRight w:val="0"/>
      <w:marTop w:val="0"/>
      <w:marBottom w:val="0"/>
      <w:divBdr>
        <w:top w:val="none" w:sz="0" w:space="0" w:color="auto"/>
        <w:left w:val="none" w:sz="0" w:space="0" w:color="auto"/>
        <w:bottom w:val="none" w:sz="0" w:space="0" w:color="auto"/>
        <w:right w:val="none" w:sz="0" w:space="0" w:color="auto"/>
      </w:divBdr>
    </w:div>
    <w:div w:id="692998728">
      <w:marLeft w:val="0"/>
      <w:marRight w:val="0"/>
      <w:marTop w:val="0"/>
      <w:marBottom w:val="0"/>
      <w:divBdr>
        <w:top w:val="none" w:sz="0" w:space="0" w:color="auto"/>
        <w:left w:val="none" w:sz="0" w:space="0" w:color="auto"/>
        <w:bottom w:val="none" w:sz="0" w:space="0" w:color="auto"/>
        <w:right w:val="none" w:sz="0" w:space="0" w:color="auto"/>
      </w:divBdr>
    </w:div>
    <w:div w:id="692998733">
      <w:marLeft w:val="0"/>
      <w:marRight w:val="0"/>
      <w:marTop w:val="0"/>
      <w:marBottom w:val="0"/>
      <w:divBdr>
        <w:top w:val="none" w:sz="0" w:space="0" w:color="auto"/>
        <w:left w:val="none" w:sz="0" w:space="0" w:color="auto"/>
        <w:bottom w:val="none" w:sz="0" w:space="0" w:color="auto"/>
        <w:right w:val="none" w:sz="0" w:space="0" w:color="auto"/>
      </w:divBdr>
      <w:divsChild>
        <w:div w:id="692998968">
          <w:marLeft w:val="547"/>
          <w:marRight w:val="0"/>
          <w:marTop w:val="115"/>
          <w:marBottom w:val="0"/>
          <w:divBdr>
            <w:top w:val="none" w:sz="0" w:space="0" w:color="auto"/>
            <w:left w:val="none" w:sz="0" w:space="0" w:color="auto"/>
            <w:bottom w:val="none" w:sz="0" w:space="0" w:color="auto"/>
            <w:right w:val="none" w:sz="0" w:space="0" w:color="auto"/>
          </w:divBdr>
        </w:div>
        <w:div w:id="692998971">
          <w:marLeft w:val="547"/>
          <w:marRight w:val="0"/>
          <w:marTop w:val="115"/>
          <w:marBottom w:val="0"/>
          <w:divBdr>
            <w:top w:val="none" w:sz="0" w:space="0" w:color="auto"/>
            <w:left w:val="none" w:sz="0" w:space="0" w:color="auto"/>
            <w:bottom w:val="none" w:sz="0" w:space="0" w:color="auto"/>
            <w:right w:val="none" w:sz="0" w:space="0" w:color="auto"/>
          </w:divBdr>
        </w:div>
        <w:div w:id="692998979">
          <w:marLeft w:val="547"/>
          <w:marRight w:val="0"/>
          <w:marTop w:val="115"/>
          <w:marBottom w:val="0"/>
          <w:divBdr>
            <w:top w:val="none" w:sz="0" w:space="0" w:color="auto"/>
            <w:left w:val="none" w:sz="0" w:space="0" w:color="auto"/>
            <w:bottom w:val="none" w:sz="0" w:space="0" w:color="auto"/>
            <w:right w:val="none" w:sz="0" w:space="0" w:color="auto"/>
          </w:divBdr>
        </w:div>
        <w:div w:id="692998990">
          <w:marLeft w:val="547"/>
          <w:marRight w:val="0"/>
          <w:marTop w:val="115"/>
          <w:marBottom w:val="0"/>
          <w:divBdr>
            <w:top w:val="none" w:sz="0" w:space="0" w:color="auto"/>
            <w:left w:val="none" w:sz="0" w:space="0" w:color="auto"/>
            <w:bottom w:val="none" w:sz="0" w:space="0" w:color="auto"/>
            <w:right w:val="none" w:sz="0" w:space="0" w:color="auto"/>
          </w:divBdr>
        </w:div>
        <w:div w:id="692999000">
          <w:marLeft w:val="547"/>
          <w:marRight w:val="0"/>
          <w:marTop w:val="115"/>
          <w:marBottom w:val="0"/>
          <w:divBdr>
            <w:top w:val="none" w:sz="0" w:space="0" w:color="auto"/>
            <w:left w:val="none" w:sz="0" w:space="0" w:color="auto"/>
            <w:bottom w:val="none" w:sz="0" w:space="0" w:color="auto"/>
            <w:right w:val="none" w:sz="0" w:space="0" w:color="auto"/>
          </w:divBdr>
        </w:div>
        <w:div w:id="692999001">
          <w:marLeft w:val="547"/>
          <w:marRight w:val="0"/>
          <w:marTop w:val="115"/>
          <w:marBottom w:val="0"/>
          <w:divBdr>
            <w:top w:val="none" w:sz="0" w:space="0" w:color="auto"/>
            <w:left w:val="none" w:sz="0" w:space="0" w:color="auto"/>
            <w:bottom w:val="none" w:sz="0" w:space="0" w:color="auto"/>
            <w:right w:val="none" w:sz="0" w:space="0" w:color="auto"/>
          </w:divBdr>
        </w:div>
      </w:divsChild>
    </w:div>
    <w:div w:id="692998734">
      <w:marLeft w:val="0"/>
      <w:marRight w:val="0"/>
      <w:marTop w:val="0"/>
      <w:marBottom w:val="0"/>
      <w:divBdr>
        <w:top w:val="none" w:sz="0" w:space="0" w:color="auto"/>
        <w:left w:val="none" w:sz="0" w:space="0" w:color="auto"/>
        <w:bottom w:val="none" w:sz="0" w:space="0" w:color="auto"/>
        <w:right w:val="none" w:sz="0" w:space="0" w:color="auto"/>
      </w:divBdr>
    </w:div>
    <w:div w:id="692998735">
      <w:marLeft w:val="0"/>
      <w:marRight w:val="0"/>
      <w:marTop w:val="0"/>
      <w:marBottom w:val="0"/>
      <w:divBdr>
        <w:top w:val="none" w:sz="0" w:space="0" w:color="auto"/>
        <w:left w:val="none" w:sz="0" w:space="0" w:color="auto"/>
        <w:bottom w:val="none" w:sz="0" w:space="0" w:color="auto"/>
        <w:right w:val="none" w:sz="0" w:space="0" w:color="auto"/>
      </w:divBdr>
    </w:div>
    <w:div w:id="692998736">
      <w:marLeft w:val="0"/>
      <w:marRight w:val="0"/>
      <w:marTop w:val="0"/>
      <w:marBottom w:val="0"/>
      <w:divBdr>
        <w:top w:val="none" w:sz="0" w:space="0" w:color="auto"/>
        <w:left w:val="none" w:sz="0" w:space="0" w:color="auto"/>
        <w:bottom w:val="none" w:sz="0" w:space="0" w:color="auto"/>
        <w:right w:val="none" w:sz="0" w:space="0" w:color="auto"/>
      </w:divBdr>
    </w:div>
    <w:div w:id="692998737">
      <w:marLeft w:val="0"/>
      <w:marRight w:val="0"/>
      <w:marTop w:val="0"/>
      <w:marBottom w:val="0"/>
      <w:divBdr>
        <w:top w:val="none" w:sz="0" w:space="0" w:color="auto"/>
        <w:left w:val="none" w:sz="0" w:space="0" w:color="auto"/>
        <w:bottom w:val="none" w:sz="0" w:space="0" w:color="auto"/>
        <w:right w:val="none" w:sz="0" w:space="0" w:color="auto"/>
      </w:divBdr>
    </w:div>
    <w:div w:id="692998738">
      <w:marLeft w:val="0"/>
      <w:marRight w:val="0"/>
      <w:marTop w:val="0"/>
      <w:marBottom w:val="0"/>
      <w:divBdr>
        <w:top w:val="none" w:sz="0" w:space="0" w:color="auto"/>
        <w:left w:val="none" w:sz="0" w:space="0" w:color="auto"/>
        <w:bottom w:val="none" w:sz="0" w:space="0" w:color="auto"/>
        <w:right w:val="none" w:sz="0" w:space="0" w:color="auto"/>
      </w:divBdr>
    </w:div>
    <w:div w:id="692998741">
      <w:marLeft w:val="0"/>
      <w:marRight w:val="0"/>
      <w:marTop w:val="0"/>
      <w:marBottom w:val="0"/>
      <w:divBdr>
        <w:top w:val="none" w:sz="0" w:space="0" w:color="auto"/>
        <w:left w:val="none" w:sz="0" w:space="0" w:color="auto"/>
        <w:bottom w:val="none" w:sz="0" w:space="0" w:color="auto"/>
        <w:right w:val="none" w:sz="0" w:space="0" w:color="auto"/>
      </w:divBdr>
      <w:divsChild>
        <w:div w:id="692998740">
          <w:marLeft w:val="0"/>
          <w:marRight w:val="0"/>
          <w:marTop w:val="0"/>
          <w:marBottom w:val="0"/>
          <w:divBdr>
            <w:top w:val="none" w:sz="0" w:space="0" w:color="auto"/>
            <w:left w:val="none" w:sz="0" w:space="0" w:color="auto"/>
            <w:bottom w:val="none" w:sz="0" w:space="0" w:color="auto"/>
            <w:right w:val="none" w:sz="0" w:space="0" w:color="auto"/>
          </w:divBdr>
          <w:divsChild>
            <w:div w:id="692998754">
              <w:marLeft w:val="0"/>
              <w:marRight w:val="0"/>
              <w:marTop w:val="0"/>
              <w:marBottom w:val="0"/>
              <w:divBdr>
                <w:top w:val="none" w:sz="0" w:space="0" w:color="auto"/>
                <w:left w:val="none" w:sz="0" w:space="0" w:color="auto"/>
                <w:bottom w:val="none" w:sz="0" w:space="0" w:color="auto"/>
                <w:right w:val="none" w:sz="0" w:space="0" w:color="auto"/>
              </w:divBdr>
              <w:divsChild>
                <w:div w:id="692998755">
                  <w:marLeft w:val="0"/>
                  <w:marRight w:val="0"/>
                  <w:marTop w:val="0"/>
                  <w:marBottom w:val="0"/>
                  <w:divBdr>
                    <w:top w:val="none" w:sz="0" w:space="0" w:color="auto"/>
                    <w:left w:val="none" w:sz="0" w:space="0" w:color="auto"/>
                    <w:bottom w:val="none" w:sz="0" w:space="0" w:color="auto"/>
                    <w:right w:val="none" w:sz="0" w:space="0" w:color="auto"/>
                  </w:divBdr>
                  <w:divsChild>
                    <w:div w:id="69299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98751">
      <w:marLeft w:val="0"/>
      <w:marRight w:val="0"/>
      <w:marTop w:val="0"/>
      <w:marBottom w:val="0"/>
      <w:divBdr>
        <w:top w:val="none" w:sz="0" w:space="0" w:color="auto"/>
        <w:left w:val="none" w:sz="0" w:space="0" w:color="auto"/>
        <w:bottom w:val="none" w:sz="0" w:space="0" w:color="auto"/>
        <w:right w:val="none" w:sz="0" w:space="0" w:color="auto"/>
      </w:divBdr>
      <w:divsChild>
        <w:div w:id="692998739">
          <w:marLeft w:val="0"/>
          <w:marRight w:val="0"/>
          <w:marTop w:val="0"/>
          <w:marBottom w:val="0"/>
          <w:divBdr>
            <w:top w:val="none" w:sz="0" w:space="0" w:color="auto"/>
            <w:left w:val="none" w:sz="0" w:space="0" w:color="auto"/>
            <w:bottom w:val="none" w:sz="0" w:space="0" w:color="auto"/>
            <w:right w:val="none" w:sz="0" w:space="0" w:color="auto"/>
          </w:divBdr>
          <w:divsChild>
            <w:div w:id="692998771">
              <w:marLeft w:val="0"/>
              <w:marRight w:val="0"/>
              <w:marTop w:val="0"/>
              <w:marBottom w:val="0"/>
              <w:divBdr>
                <w:top w:val="none" w:sz="0" w:space="0" w:color="auto"/>
                <w:left w:val="none" w:sz="0" w:space="0" w:color="auto"/>
                <w:bottom w:val="none" w:sz="0" w:space="0" w:color="auto"/>
                <w:right w:val="none" w:sz="0" w:space="0" w:color="auto"/>
              </w:divBdr>
            </w:div>
          </w:divsChild>
        </w:div>
        <w:div w:id="692998762">
          <w:marLeft w:val="0"/>
          <w:marRight w:val="0"/>
          <w:marTop w:val="0"/>
          <w:marBottom w:val="0"/>
          <w:divBdr>
            <w:top w:val="none" w:sz="0" w:space="0" w:color="auto"/>
            <w:left w:val="none" w:sz="0" w:space="0" w:color="auto"/>
            <w:bottom w:val="none" w:sz="0" w:space="0" w:color="auto"/>
            <w:right w:val="none" w:sz="0" w:space="0" w:color="auto"/>
          </w:divBdr>
          <w:divsChild>
            <w:div w:id="692998742">
              <w:marLeft w:val="0"/>
              <w:marRight w:val="0"/>
              <w:marTop w:val="0"/>
              <w:marBottom w:val="0"/>
              <w:divBdr>
                <w:top w:val="none" w:sz="0" w:space="0" w:color="auto"/>
                <w:left w:val="none" w:sz="0" w:space="0" w:color="auto"/>
                <w:bottom w:val="none" w:sz="0" w:space="0" w:color="auto"/>
                <w:right w:val="none" w:sz="0" w:space="0" w:color="auto"/>
              </w:divBdr>
              <w:divsChild>
                <w:div w:id="6929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8758">
      <w:marLeft w:val="0"/>
      <w:marRight w:val="0"/>
      <w:marTop w:val="0"/>
      <w:marBottom w:val="0"/>
      <w:divBdr>
        <w:top w:val="none" w:sz="0" w:space="0" w:color="auto"/>
        <w:left w:val="none" w:sz="0" w:space="0" w:color="auto"/>
        <w:bottom w:val="none" w:sz="0" w:space="0" w:color="auto"/>
        <w:right w:val="none" w:sz="0" w:space="0" w:color="auto"/>
      </w:divBdr>
      <w:divsChild>
        <w:div w:id="692998764">
          <w:marLeft w:val="0"/>
          <w:marRight w:val="0"/>
          <w:marTop w:val="0"/>
          <w:marBottom w:val="0"/>
          <w:divBdr>
            <w:top w:val="none" w:sz="0" w:space="0" w:color="auto"/>
            <w:left w:val="none" w:sz="0" w:space="0" w:color="auto"/>
            <w:bottom w:val="none" w:sz="0" w:space="0" w:color="auto"/>
            <w:right w:val="none" w:sz="0" w:space="0" w:color="auto"/>
          </w:divBdr>
        </w:div>
        <w:div w:id="692998769">
          <w:marLeft w:val="0"/>
          <w:marRight w:val="0"/>
          <w:marTop w:val="0"/>
          <w:marBottom w:val="0"/>
          <w:divBdr>
            <w:top w:val="none" w:sz="0" w:space="0" w:color="auto"/>
            <w:left w:val="none" w:sz="0" w:space="0" w:color="auto"/>
            <w:bottom w:val="none" w:sz="0" w:space="0" w:color="auto"/>
            <w:right w:val="none" w:sz="0" w:space="0" w:color="auto"/>
          </w:divBdr>
        </w:div>
      </w:divsChild>
    </w:div>
    <w:div w:id="692998761">
      <w:marLeft w:val="0"/>
      <w:marRight w:val="0"/>
      <w:marTop w:val="0"/>
      <w:marBottom w:val="0"/>
      <w:divBdr>
        <w:top w:val="none" w:sz="0" w:space="0" w:color="auto"/>
        <w:left w:val="none" w:sz="0" w:space="0" w:color="auto"/>
        <w:bottom w:val="none" w:sz="0" w:space="0" w:color="auto"/>
        <w:right w:val="none" w:sz="0" w:space="0" w:color="auto"/>
      </w:divBdr>
      <w:divsChild>
        <w:div w:id="692998744">
          <w:marLeft w:val="0"/>
          <w:marRight w:val="0"/>
          <w:marTop w:val="0"/>
          <w:marBottom w:val="0"/>
          <w:divBdr>
            <w:top w:val="none" w:sz="0" w:space="0" w:color="auto"/>
            <w:left w:val="none" w:sz="0" w:space="0" w:color="auto"/>
            <w:bottom w:val="none" w:sz="0" w:space="0" w:color="auto"/>
            <w:right w:val="none" w:sz="0" w:space="0" w:color="auto"/>
          </w:divBdr>
          <w:divsChild>
            <w:div w:id="692998745">
              <w:marLeft w:val="0"/>
              <w:marRight w:val="0"/>
              <w:marTop w:val="0"/>
              <w:marBottom w:val="0"/>
              <w:divBdr>
                <w:top w:val="none" w:sz="0" w:space="0" w:color="auto"/>
                <w:left w:val="none" w:sz="0" w:space="0" w:color="auto"/>
                <w:bottom w:val="none" w:sz="0" w:space="0" w:color="auto"/>
                <w:right w:val="none" w:sz="0" w:space="0" w:color="auto"/>
              </w:divBdr>
            </w:div>
          </w:divsChild>
        </w:div>
        <w:div w:id="692998746">
          <w:marLeft w:val="0"/>
          <w:marRight w:val="0"/>
          <w:marTop w:val="0"/>
          <w:marBottom w:val="0"/>
          <w:divBdr>
            <w:top w:val="none" w:sz="0" w:space="0" w:color="auto"/>
            <w:left w:val="none" w:sz="0" w:space="0" w:color="auto"/>
            <w:bottom w:val="none" w:sz="0" w:space="0" w:color="auto"/>
            <w:right w:val="none" w:sz="0" w:space="0" w:color="auto"/>
          </w:divBdr>
          <w:divsChild>
            <w:div w:id="692998757">
              <w:marLeft w:val="0"/>
              <w:marRight w:val="0"/>
              <w:marTop w:val="0"/>
              <w:marBottom w:val="0"/>
              <w:divBdr>
                <w:top w:val="none" w:sz="0" w:space="0" w:color="auto"/>
                <w:left w:val="none" w:sz="0" w:space="0" w:color="auto"/>
                <w:bottom w:val="none" w:sz="0" w:space="0" w:color="auto"/>
                <w:right w:val="none" w:sz="0" w:space="0" w:color="auto"/>
              </w:divBdr>
              <w:divsChild>
                <w:div w:id="6929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8767">
      <w:marLeft w:val="0"/>
      <w:marRight w:val="0"/>
      <w:marTop w:val="0"/>
      <w:marBottom w:val="0"/>
      <w:divBdr>
        <w:top w:val="none" w:sz="0" w:space="0" w:color="auto"/>
        <w:left w:val="none" w:sz="0" w:space="0" w:color="auto"/>
        <w:bottom w:val="none" w:sz="0" w:space="0" w:color="auto"/>
        <w:right w:val="none" w:sz="0" w:space="0" w:color="auto"/>
      </w:divBdr>
      <w:divsChild>
        <w:div w:id="692998750">
          <w:marLeft w:val="0"/>
          <w:marRight w:val="0"/>
          <w:marTop w:val="0"/>
          <w:marBottom w:val="0"/>
          <w:divBdr>
            <w:top w:val="none" w:sz="0" w:space="0" w:color="auto"/>
            <w:left w:val="none" w:sz="0" w:space="0" w:color="auto"/>
            <w:bottom w:val="none" w:sz="0" w:space="0" w:color="auto"/>
            <w:right w:val="none" w:sz="0" w:space="0" w:color="auto"/>
          </w:divBdr>
          <w:divsChild>
            <w:div w:id="6929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770">
      <w:marLeft w:val="0"/>
      <w:marRight w:val="0"/>
      <w:marTop w:val="0"/>
      <w:marBottom w:val="0"/>
      <w:divBdr>
        <w:top w:val="none" w:sz="0" w:space="0" w:color="auto"/>
        <w:left w:val="none" w:sz="0" w:space="0" w:color="auto"/>
        <w:bottom w:val="none" w:sz="0" w:space="0" w:color="auto"/>
        <w:right w:val="none" w:sz="0" w:space="0" w:color="auto"/>
      </w:divBdr>
      <w:divsChild>
        <w:div w:id="692998759">
          <w:marLeft w:val="0"/>
          <w:marRight w:val="0"/>
          <w:marTop w:val="0"/>
          <w:marBottom w:val="0"/>
          <w:divBdr>
            <w:top w:val="none" w:sz="0" w:space="0" w:color="auto"/>
            <w:left w:val="none" w:sz="0" w:space="0" w:color="auto"/>
            <w:bottom w:val="none" w:sz="0" w:space="0" w:color="auto"/>
            <w:right w:val="none" w:sz="0" w:space="0" w:color="auto"/>
          </w:divBdr>
          <w:divsChild>
            <w:div w:id="692998763">
              <w:marLeft w:val="0"/>
              <w:marRight w:val="0"/>
              <w:marTop w:val="0"/>
              <w:marBottom w:val="0"/>
              <w:divBdr>
                <w:top w:val="none" w:sz="0" w:space="0" w:color="auto"/>
                <w:left w:val="none" w:sz="0" w:space="0" w:color="auto"/>
                <w:bottom w:val="none" w:sz="0" w:space="0" w:color="auto"/>
                <w:right w:val="none" w:sz="0" w:space="0" w:color="auto"/>
              </w:divBdr>
              <w:divsChild>
                <w:div w:id="692998768">
                  <w:marLeft w:val="0"/>
                  <w:marRight w:val="0"/>
                  <w:marTop w:val="0"/>
                  <w:marBottom w:val="0"/>
                  <w:divBdr>
                    <w:top w:val="none" w:sz="0" w:space="0" w:color="auto"/>
                    <w:left w:val="none" w:sz="0" w:space="0" w:color="auto"/>
                    <w:bottom w:val="none" w:sz="0" w:space="0" w:color="auto"/>
                    <w:right w:val="none" w:sz="0" w:space="0" w:color="auto"/>
                  </w:divBdr>
                  <w:divsChild>
                    <w:div w:id="692998743">
                      <w:marLeft w:val="0"/>
                      <w:marRight w:val="0"/>
                      <w:marTop w:val="0"/>
                      <w:marBottom w:val="0"/>
                      <w:divBdr>
                        <w:top w:val="none" w:sz="0" w:space="0" w:color="auto"/>
                        <w:left w:val="none" w:sz="0" w:space="0" w:color="auto"/>
                        <w:bottom w:val="none" w:sz="0" w:space="0" w:color="auto"/>
                        <w:right w:val="none" w:sz="0" w:space="0" w:color="auto"/>
                      </w:divBdr>
                    </w:div>
                    <w:div w:id="692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765">
              <w:marLeft w:val="0"/>
              <w:marRight w:val="0"/>
              <w:marTop w:val="0"/>
              <w:marBottom w:val="0"/>
              <w:divBdr>
                <w:top w:val="none" w:sz="0" w:space="0" w:color="auto"/>
                <w:left w:val="none" w:sz="0" w:space="0" w:color="auto"/>
                <w:bottom w:val="none" w:sz="0" w:space="0" w:color="auto"/>
                <w:right w:val="none" w:sz="0" w:space="0" w:color="auto"/>
              </w:divBdr>
              <w:divsChild>
                <w:div w:id="692998766">
                  <w:marLeft w:val="0"/>
                  <w:marRight w:val="0"/>
                  <w:marTop w:val="0"/>
                  <w:marBottom w:val="0"/>
                  <w:divBdr>
                    <w:top w:val="none" w:sz="0" w:space="0" w:color="auto"/>
                    <w:left w:val="none" w:sz="0" w:space="0" w:color="auto"/>
                    <w:bottom w:val="none" w:sz="0" w:space="0" w:color="auto"/>
                    <w:right w:val="none" w:sz="0" w:space="0" w:color="auto"/>
                  </w:divBdr>
                  <w:divsChild>
                    <w:div w:id="692998748">
                      <w:marLeft w:val="0"/>
                      <w:marRight w:val="0"/>
                      <w:marTop w:val="0"/>
                      <w:marBottom w:val="0"/>
                      <w:divBdr>
                        <w:top w:val="none" w:sz="0" w:space="0" w:color="auto"/>
                        <w:left w:val="none" w:sz="0" w:space="0" w:color="auto"/>
                        <w:bottom w:val="none" w:sz="0" w:space="0" w:color="auto"/>
                        <w:right w:val="none" w:sz="0" w:space="0" w:color="auto"/>
                      </w:divBdr>
                    </w:div>
                    <w:div w:id="6929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998785">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692998780">
              <w:marLeft w:val="0"/>
              <w:marRight w:val="0"/>
              <w:marTop w:val="0"/>
              <w:marBottom w:val="0"/>
              <w:divBdr>
                <w:top w:val="none" w:sz="0" w:space="0" w:color="auto"/>
                <w:left w:val="none" w:sz="0" w:space="0" w:color="auto"/>
                <w:bottom w:val="none" w:sz="0" w:space="0" w:color="auto"/>
                <w:right w:val="none" w:sz="0" w:space="0" w:color="auto"/>
              </w:divBdr>
              <w:divsChild>
                <w:div w:id="692998790">
                  <w:marLeft w:val="0"/>
                  <w:marRight w:val="0"/>
                  <w:marTop w:val="0"/>
                  <w:marBottom w:val="0"/>
                  <w:divBdr>
                    <w:top w:val="none" w:sz="0" w:space="0" w:color="auto"/>
                    <w:left w:val="none" w:sz="0" w:space="0" w:color="auto"/>
                    <w:bottom w:val="none" w:sz="0" w:space="0" w:color="auto"/>
                    <w:right w:val="none" w:sz="0" w:space="0" w:color="auto"/>
                  </w:divBdr>
                  <w:divsChild>
                    <w:div w:id="692998792">
                      <w:marLeft w:val="0"/>
                      <w:marRight w:val="0"/>
                      <w:marTop w:val="0"/>
                      <w:marBottom w:val="0"/>
                      <w:divBdr>
                        <w:top w:val="none" w:sz="0" w:space="0" w:color="auto"/>
                        <w:left w:val="none" w:sz="0" w:space="0" w:color="auto"/>
                        <w:bottom w:val="none" w:sz="0" w:space="0" w:color="auto"/>
                        <w:right w:val="none" w:sz="0" w:space="0" w:color="auto"/>
                      </w:divBdr>
                      <w:divsChild>
                        <w:div w:id="692998798">
                          <w:marLeft w:val="0"/>
                          <w:marRight w:val="0"/>
                          <w:marTop w:val="0"/>
                          <w:marBottom w:val="0"/>
                          <w:divBdr>
                            <w:top w:val="none" w:sz="0" w:space="0" w:color="auto"/>
                            <w:left w:val="none" w:sz="0" w:space="0" w:color="auto"/>
                            <w:bottom w:val="none" w:sz="0" w:space="0" w:color="auto"/>
                            <w:right w:val="none" w:sz="0" w:space="0" w:color="auto"/>
                          </w:divBdr>
                          <w:divsChild>
                            <w:div w:id="692998802">
                              <w:marLeft w:val="0"/>
                              <w:marRight w:val="0"/>
                              <w:marTop w:val="0"/>
                              <w:marBottom w:val="0"/>
                              <w:divBdr>
                                <w:top w:val="none" w:sz="0" w:space="0" w:color="auto"/>
                                <w:left w:val="none" w:sz="0" w:space="0" w:color="auto"/>
                                <w:bottom w:val="none" w:sz="0" w:space="0" w:color="auto"/>
                                <w:right w:val="none" w:sz="0" w:space="0" w:color="auto"/>
                              </w:divBdr>
                              <w:divsChild>
                                <w:div w:id="692998776">
                                  <w:marLeft w:val="0"/>
                                  <w:marRight w:val="0"/>
                                  <w:marTop w:val="0"/>
                                  <w:marBottom w:val="0"/>
                                  <w:divBdr>
                                    <w:top w:val="none" w:sz="0" w:space="0" w:color="auto"/>
                                    <w:left w:val="none" w:sz="0" w:space="0" w:color="auto"/>
                                    <w:bottom w:val="none" w:sz="0" w:space="0" w:color="auto"/>
                                    <w:right w:val="none" w:sz="0" w:space="0" w:color="auto"/>
                                  </w:divBdr>
                                  <w:divsChild>
                                    <w:div w:id="692998782">
                                      <w:marLeft w:val="0"/>
                                      <w:marRight w:val="0"/>
                                      <w:marTop w:val="0"/>
                                      <w:marBottom w:val="0"/>
                                      <w:divBdr>
                                        <w:top w:val="none" w:sz="0" w:space="0" w:color="auto"/>
                                        <w:left w:val="none" w:sz="0" w:space="0" w:color="auto"/>
                                        <w:bottom w:val="none" w:sz="0" w:space="0" w:color="auto"/>
                                        <w:right w:val="none" w:sz="0" w:space="0" w:color="auto"/>
                                      </w:divBdr>
                                      <w:divsChild>
                                        <w:div w:id="692998795">
                                          <w:marLeft w:val="0"/>
                                          <w:marRight w:val="0"/>
                                          <w:marTop w:val="0"/>
                                          <w:marBottom w:val="0"/>
                                          <w:divBdr>
                                            <w:top w:val="none" w:sz="0" w:space="0" w:color="auto"/>
                                            <w:left w:val="none" w:sz="0" w:space="0" w:color="auto"/>
                                            <w:bottom w:val="none" w:sz="0" w:space="0" w:color="auto"/>
                                            <w:right w:val="none" w:sz="0" w:space="0" w:color="auto"/>
                                          </w:divBdr>
                                          <w:divsChild>
                                            <w:div w:id="692998801">
                                              <w:marLeft w:val="0"/>
                                              <w:marRight w:val="0"/>
                                              <w:marTop w:val="0"/>
                                              <w:marBottom w:val="0"/>
                                              <w:divBdr>
                                                <w:top w:val="none" w:sz="0" w:space="0" w:color="auto"/>
                                                <w:left w:val="none" w:sz="0" w:space="0" w:color="auto"/>
                                                <w:bottom w:val="none" w:sz="0" w:space="0" w:color="auto"/>
                                                <w:right w:val="none" w:sz="0" w:space="0" w:color="auto"/>
                                              </w:divBdr>
                                              <w:divsChild>
                                                <w:div w:id="692998791">
                                                  <w:marLeft w:val="0"/>
                                                  <w:marRight w:val="0"/>
                                                  <w:marTop w:val="0"/>
                                                  <w:marBottom w:val="0"/>
                                                  <w:divBdr>
                                                    <w:top w:val="none" w:sz="0" w:space="0" w:color="auto"/>
                                                    <w:left w:val="none" w:sz="0" w:space="0" w:color="auto"/>
                                                    <w:bottom w:val="none" w:sz="0" w:space="0" w:color="auto"/>
                                                    <w:right w:val="none" w:sz="0" w:space="0" w:color="auto"/>
                                                  </w:divBdr>
                                                  <w:divsChild>
                                                    <w:div w:id="692998784">
                                                      <w:marLeft w:val="0"/>
                                                      <w:marRight w:val="0"/>
                                                      <w:marTop w:val="0"/>
                                                      <w:marBottom w:val="0"/>
                                                      <w:divBdr>
                                                        <w:top w:val="none" w:sz="0" w:space="0" w:color="auto"/>
                                                        <w:left w:val="none" w:sz="0" w:space="0" w:color="auto"/>
                                                        <w:bottom w:val="none" w:sz="0" w:space="0" w:color="auto"/>
                                                        <w:right w:val="none" w:sz="0" w:space="0" w:color="auto"/>
                                                      </w:divBdr>
                                                      <w:divsChild>
                                                        <w:div w:id="692998804">
                                                          <w:marLeft w:val="0"/>
                                                          <w:marRight w:val="0"/>
                                                          <w:marTop w:val="0"/>
                                                          <w:marBottom w:val="0"/>
                                                          <w:divBdr>
                                                            <w:top w:val="none" w:sz="0" w:space="0" w:color="auto"/>
                                                            <w:left w:val="none" w:sz="0" w:space="0" w:color="auto"/>
                                                            <w:bottom w:val="none" w:sz="0" w:space="0" w:color="auto"/>
                                                            <w:right w:val="none" w:sz="0" w:space="0" w:color="auto"/>
                                                          </w:divBdr>
                                                        </w:div>
                                                      </w:divsChild>
                                                    </w:div>
                                                    <w:div w:id="692998805">
                                                      <w:marLeft w:val="0"/>
                                                      <w:marRight w:val="0"/>
                                                      <w:marTop w:val="0"/>
                                                      <w:marBottom w:val="0"/>
                                                      <w:divBdr>
                                                        <w:top w:val="none" w:sz="0" w:space="0" w:color="auto"/>
                                                        <w:left w:val="none" w:sz="0" w:space="0" w:color="auto"/>
                                                        <w:bottom w:val="none" w:sz="0" w:space="0" w:color="auto"/>
                                                        <w:right w:val="none" w:sz="0" w:space="0" w:color="auto"/>
                                                      </w:divBdr>
                                                      <w:divsChild>
                                                        <w:div w:id="692998786">
                                                          <w:marLeft w:val="0"/>
                                                          <w:marRight w:val="0"/>
                                                          <w:marTop w:val="0"/>
                                                          <w:marBottom w:val="0"/>
                                                          <w:divBdr>
                                                            <w:top w:val="none" w:sz="0" w:space="0" w:color="auto"/>
                                                            <w:left w:val="none" w:sz="0" w:space="0" w:color="auto"/>
                                                            <w:bottom w:val="none" w:sz="0" w:space="0" w:color="auto"/>
                                                            <w:right w:val="none" w:sz="0" w:space="0" w:color="auto"/>
                                                          </w:divBdr>
                                                          <w:divsChild>
                                                            <w:div w:id="692998789">
                                                              <w:marLeft w:val="0"/>
                                                              <w:marRight w:val="0"/>
                                                              <w:marTop w:val="0"/>
                                                              <w:marBottom w:val="0"/>
                                                              <w:divBdr>
                                                                <w:top w:val="none" w:sz="0" w:space="0" w:color="auto"/>
                                                                <w:left w:val="none" w:sz="0" w:space="0" w:color="auto"/>
                                                                <w:bottom w:val="none" w:sz="0" w:space="0" w:color="auto"/>
                                                                <w:right w:val="none" w:sz="0" w:space="0" w:color="auto"/>
                                                              </w:divBdr>
                                                              <w:divsChild>
                                                                <w:div w:id="692998774">
                                                                  <w:marLeft w:val="0"/>
                                                                  <w:marRight w:val="0"/>
                                                                  <w:marTop w:val="0"/>
                                                                  <w:marBottom w:val="0"/>
                                                                  <w:divBdr>
                                                                    <w:top w:val="none" w:sz="0" w:space="0" w:color="auto"/>
                                                                    <w:left w:val="none" w:sz="0" w:space="0" w:color="auto"/>
                                                                    <w:bottom w:val="none" w:sz="0" w:space="0" w:color="auto"/>
                                                                    <w:right w:val="none" w:sz="0" w:space="0" w:color="auto"/>
                                                                  </w:divBdr>
                                                                </w:div>
                                                                <w:div w:id="692998775">
                                                                  <w:marLeft w:val="0"/>
                                                                  <w:marRight w:val="0"/>
                                                                  <w:marTop w:val="0"/>
                                                                  <w:marBottom w:val="0"/>
                                                                  <w:divBdr>
                                                                    <w:top w:val="none" w:sz="0" w:space="0" w:color="auto"/>
                                                                    <w:left w:val="none" w:sz="0" w:space="0" w:color="auto"/>
                                                                    <w:bottom w:val="none" w:sz="0" w:space="0" w:color="auto"/>
                                                                    <w:right w:val="none" w:sz="0" w:space="0" w:color="auto"/>
                                                                  </w:divBdr>
                                                                </w:div>
                                                                <w:div w:id="69299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797">
                                                          <w:marLeft w:val="0"/>
                                                          <w:marRight w:val="0"/>
                                                          <w:marTop w:val="0"/>
                                                          <w:marBottom w:val="0"/>
                                                          <w:divBdr>
                                                            <w:top w:val="none" w:sz="0" w:space="0" w:color="auto"/>
                                                            <w:left w:val="none" w:sz="0" w:space="0" w:color="auto"/>
                                                            <w:bottom w:val="none" w:sz="0" w:space="0" w:color="auto"/>
                                                            <w:right w:val="none" w:sz="0" w:space="0" w:color="auto"/>
                                                          </w:divBdr>
                                                          <w:divsChild>
                                                            <w:div w:id="692998777">
                                                              <w:marLeft w:val="240"/>
                                                              <w:marRight w:val="0"/>
                                                              <w:marTop w:val="0"/>
                                                              <w:marBottom w:val="0"/>
                                                              <w:divBdr>
                                                                <w:top w:val="none" w:sz="0" w:space="0" w:color="auto"/>
                                                                <w:left w:val="none" w:sz="0" w:space="0" w:color="auto"/>
                                                                <w:bottom w:val="none" w:sz="0" w:space="0" w:color="auto"/>
                                                                <w:right w:val="none" w:sz="0" w:space="0" w:color="auto"/>
                                                              </w:divBdr>
                                                              <w:divsChild>
                                                                <w:div w:id="692998773">
                                                                  <w:marLeft w:val="0"/>
                                                                  <w:marRight w:val="0"/>
                                                                  <w:marTop w:val="0"/>
                                                                  <w:marBottom w:val="0"/>
                                                                  <w:divBdr>
                                                                    <w:top w:val="none" w:sz="0" w:space="0" w:color="auto"/>
                                                                    <w:left w:val="none" w:sz="0" w:space="0" w:color="auto"/>
                                                                    <w:bottom w:val="none" w:sz="0" w:space="0" w:color="auto"/>
                                                                    <w:right w:val="none" w:sz="0" w:space="0" w:color="auto"/>
                                                                  </w:divBdr>
                                                                </w:div>
                                                              </w:divsChild>
                                                            </w:div>
                                                            <w:div w:id="692998787">
                                                              <w:marLeft w:val="0"/>
                                                              <w:marRight w:val="0"/>
                                                              <w:marTop w:val="0"/>
                                                              <w:marBottom w:val="0"/>
                                                              <w:divBdr>
                                                                <w:top w:val="none" w:sz="0" w:space="0" w:color="auto"/>
                                                                <w:left w:val="none" w:sz="0" w:space="0" w:color="auto"/>
                                                                <w:bottom w:val="none" w:sz="0" w:space="0" w:color="auto"/>
                                                                <w:right w:val="none" w:sz="0" w:space="0" w:color="auto"/>
                                                              </w:divBdr>
                                                            </w:div>
                                                            <w:div w:id="6929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2998793">
      <w:marLeft w:val="0"/>
      <w:marRight w:val="0"/>
      <w:marTop w:val="0"/>
      <w:marBottom w:val="0"/>
      <w:divBdr>
        <w:top w:val="none" w:sz="0" w:space="0" w:color="auto"/>
        <w:left w:val="none" w:sz="0" w:space="0" w:color="auto"/>
        <w:bottom w:val="none" w:sz="0" w:space="0" w:color="auto"/>
        <w:right w:val="none" w:sz="0" w:space="0" w:color="auto"/>
      </w:divBdr>
      <w:divsChild>
        <w:div w:id="692998803">
          <w:marLeft w:val="0"/>
          <w:marRight w:val="1"/>
          <w:marTop w:val="0"/>
          <w:marBottom w:val="0"/>
          <w:divBdr>
            <w:top w:val="none" w:sz="0" w:space="0" w:color="auto"/>
            <w:left w:val="none" w:sz="0" w:space="0" w:color="auto"/>
            <w:bottom w:val="none" w:sz="0" w:space="0" w:color="auto"/>
            <w:right w:val="none" w:sz="0" w:space="0" w:color="auto"/>
          </w:divBdr>
          <w:divsChild>
            <w:div w:id="692998799">
              <w:marLeft w:val="0"/>
              <w:marRight w:val="0"/>
              <w:marTop w:val="0"/>
              <w:marBottom w:val="0"/>
              <w:divBdr>
                <w:top w:val="none" w:sz="0" w:space="0" w:color="auto"/>
                <w:left w:val="none" w:sz="0" w:space="0" w:color="auto"/>
                <w:bottom w:val="none" w:sz="0" w:space="0" w:color="auto"/>
                <w:right w:val="none" w:sz="0" w:space="0" w:color="auto"/>
              </w:divBdr>
              <w:divsChild>
                <w:div w:id="692998800">
                  <w:marLeft w:val="0"/>
                  <w:marRight w:val="1"/>
                  <w:marTop w:val="0"/>
                  <w:marBottom w:val="0"/>
                  <w:divBdr>
                    <w:top w:val="none" w:sz="0" w:space="0" w:color="auto"/>
                    <w:left w:val="none" w:sz="0" w:space="0" w:color="auto"/>
                    <w:bottom w:val="none" w:sz="0" w:space="0" w:color="auto"/>
                    <w:right w:val="none" w:sz="0" w:space="0" w:color="auto"/>
                  </w:divBdr>
                  <w:divsChild>
                    <w:div w:id="692998781">
                      <w:marLeft w:val="0"/>
                      <w:marRight w:val="0"/>
                      <w:marTop w:val="0"/>
                      <w:marBottom w:val="0"/>
                      <w:divBdr>
                        <w:top w:val="none" w:sz="0" w:space="0" w:color="auto"/>
                        <w:left w:val="none" w:sz="0" w:space="0" w:color="auto"/>
                        <w:bottom w:val="none" w:sz="0" w:space="0" w:color="auto"/>
                        <w:right w:val="none" w:sz="0" w:space="0" w:color="auto"/>
                      </w:divBdr>
                      <w:divsChild>
                        <w:div w:id="692998778">
                          <w:marLeft w:val="0"/>
                          <w:marRight w:val="0"/>
                          <w:marTop w:val="0"/>
                          <w:marBottom w:val="0"/>
                          <w:divBdr>
                            <w:top w:val="none" w:sz="0" w:space="0" w:color="auto"/>
                            <w:left w:val="none" w:sz="0" w:space="0" w:color="auto"/>
                            <w:bottom w:val="none" w:sz="0" w:space="0" w:color="auto"/>
                            <w:right w:val="none" w:sz="0" w:space="0" w:color="auto"/>
                          </w:divBdr>
                          <w:divsChild>
                            <w:div w:id="692998779">
                              <w:marLeft w:val="0"/>
                              <w:marRight w:val="0"/>
                              <w:marTop w:val="120"/>
                              <w:marBottom w:val="360"/>
                              <w:divBdr>
                                <w:top w:val="none" w:sz="0" w:space="0" w:color="auto"/>
                                <w:left w:val="none" w:sz="0" w:space="0" w:color="auto"/>
                                <w:bottom w:val="none" w:sz="0" w:space="0" w:color="auto"/>
                                <w:right w:val="none" w:sz="0" w:space="0" w:color="auto"/>
                              </w:divBdr>
                              <w:divsChild>
                                <w:div w:id="692998772">
                                  <w:marLeft w:val="0"/>
                                  <w:marRight w:val="0"/>
                                  <w:marTop w:val="0"/>
                                  <w:marBottom w:val="0"/>
                                  <w:divBdr>
                                    <w:top w:val="none" w:sz="0" w:space="0" w:color="auto"/>
                                    <w:left w:val="none" w:sz="0" w:space="0" w:color="auto"/>
                                    <w:bottom w:val="none" w:sz="0" w:space="0" w:color="auto"/>
                                    <w:right w:val="none" w:sz="0" w:space="0" w:color="auto"/>
                                  </w:divBdr>
                                </w:div>
                                <w:div w:id="6929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998806">
      <w:marLeft w:val="0"/>
      <w:marRight w:val="0"/>
      <w:marTop w:val="0"/>
      <w:marBottom w:val="0"/>
      <w:divBdr>
        <w:top w:val="none" w:sz="0" w:space="0" w:color="auto"/>
        <w:left w:val="none" w:sz="0" w:space="0" w:color="auto"/>
        <w:bottom w:val="none" w:sz="0" w:space="0" w:color="auto"/>
        <w:right w:val="none" w:sz="0" w:space="0" w:color="auto"/>
      </w:divBdr>
    </w:div>
    <w:div w:id="692998807">
      <w:marLeft w:val="0"/>
      <w:marRight w:val="0"/>
      <w:marTop w:val="0"/>
      <w:marBottom w:val="0"/>
      <w:divBdr>
        <w:top w:val="none" w:sz="0" w:space="0" w:color="auto"/>
        <w:left w:val="none" w:sz="0" w:space="0" w:color="auto"/>
        <w:bottom w:val="none" w:sz="0" w:space="0" w:color="auto"/>
        <w:right w:val="none" w:sz="0" w:space="0" w:color="auto"/>
      </w:divBdr>
    </w:div>
    <w:div w:id="692998808">
      <w:marLeft w:val="0"/>
      <w:marRight w:val="0"/>
      <w:marTop w:val="0"/>
      <w:marBottom w:val="0"/>
      <w:divBdr>
        <w:top w:val="none" w:sz="0" w:space="0" w:color="auto"/>
        <w:left w:val="none" w:sz="0" w:space="0" w:color="auto"/>
        <w:bottom w:val="none" w:sz="0" w:space="0" w:color="auto"/>
        <w:right w:val="none" w:sz="0" w:space="0" w:color="auto"/>
      </w:divBdr>
    </w:div>
    <w:div w:id="692998809">
      <w:marLeft w:val="0"/>
      <w:marRight w:val="0"/>
      <w:marTop w:val="0"/>
      <w:marBottom w:val="0"/>
      <w:divBdr>
        <w:top w:val="none" w:sz="0" w:space="0" w:color="auto"/>
        <w:left w:val="none" w:sz="0" w:space="0" w:color="auto"/>
        <w:bottom w:val="none" w:sz="0" w:space="0" w:color="auto"/>
        <w:right w:val="none" w:sz="0" w:space="0" w:color="auto"/>
      </w:divBdr>
    </w:div>
    <w:div w:id="692998810">
      <w:marLeft w:val="0"/>
      <w:marRight w:val="0"/>
      <w:marTop w:val="0"/>
      <w:marBottom w:val="0"/>
      <w:divBdr>
        <w:top w:val="none" w:sz="0" w:space="0" w:color="auto"/>
        <w:left w:val="none" w:sz="0" w:space="0" w:color="auto"/>
        <w:bottom w:val="none" w:sz="0" w:space="0" w:color="auto"/>
        <w:right w:val="none" w:sz="0" w:space="0" w:color="auto"/>
      </w:divBdr>
    </w:div>
    <w:div w:id="692998813">
      <w:marLeft w:val="0"/>
      <w:marRight w:val="0"/>
      <w:marTop w:val="0"/>
      <w:marBottom w:val="0"/>
      <w:divBdr>
        <w:top w:val="none" w:sz="0" w:space="0" w:color="auto"/>
        <w:left w:val="none" w:sz="0" w:space="0" w:color="auto"/>
        <w:bottom w:val="none" w:sz="0" w:space="0" w:color="auto"/>
        <w:right w:val="none" w:sz="0" w:space="0" w:color="auto"/>
      </w:divBdr>
    </w:div>
    <w:div w:id="692998815">
      <w:marLeft w:val="0"/>
      <w:marRight w:val="0"/>
      <w:marTop w:val="0"/>
      <w:marBottom w:val="0"/>
      <w:divBdr>
        <w:top w:val="none" w:sz="0" w:space="0" w:color="auto"/>
        <w:left w:val="none" w:sz="0" w:space="0" w:color="auto"/>
        <w:bottom w:val="none" w:sz="0" w:space="0" w:color="auto"/>
        <w:right w:val="none" w:sz="0" w:space="0" w:color="auto"/>
      </w:divBdr>
    </w:div>
    <w:div w:id="692998820">
      <w:marLeft w:val="0"/>
      <w:marRight w:val="0"/>
      <w:marTop w:val="0"/>
      <w:marBottom w:val="0"/>
      <w:divBdr>
        <w:top w:val="none" w:sz="0" w:space="0" w:color="auto"/>
        <w:left w:val="none" w:sz="0" w:space="0" w:color="auto"/>
        <w:bottom w:val="none" w:sz="0" w:space="0" w:color="auto"/>
        <w:right w:val="none" w:sz="0" w:space="0" w:color="auto"/>
      </w:divBdr>
    </w:div>
    <w:div w:id="692998823">
      <w:marLeft w:val="0"/>
      <w:marRight w:val="0"/>
      <w:marTop w:val="0"/>
      <w:marBottom w:val="0"/>
      <w:divBdr>
        <w:top w:val="none" w:sz="0" w:space="0" w:color="auto"/>
        <w:left w:val="none" w:sz="0" w:space="0" w:color="auto"/>
        <w:bottom w:val="none" w:sz="0" w:space="0" w:color="auto"/>
        <w:right w:val="none" w:sz="0" w:space="0" w:color="auto"/>
      </w:divBdr>
      <w:divsChild>
        <w:div w:id="692998819">
          <w:marLeft w:val="0"/>
          <w:marRight w:val="0"/>
          <w:marTop w:val="0"/>
          <w:marBottom w:val="166"/>
          <w:divBdr>
            <w:top w:val="none" w:sz="0" w:space="0" w:color="auto"/>
            <w:left w:val="none" w:sz="0" w:space="0" w:color="auto"/>
            <w:bottom w:val="none" w:sz="0" w:space="0" w:color="auto"/>
            <w:right w:val="none" w:sz="0" w:space="0" w:color="auto"/>
          </w:divBdr>
          <w:divsChild>
            <w:div w:id="692998811">
              <w:marLeft w:val="0"/>
              <w:marRight w:val="0"/>
              <w:marTop w:val="0"/>
              <w:marBottom w:val="0"/>
              <w:divBdr>
                <w:top w:val="none" w:sz="0" w:space="0" w:color="auto"/>
                <w:left w:val="none" w:sz="0" w:space="0" w:color="auto"/>
                <w:bottom w:val="none" w:sz="0" w:space="0" w:color="auto"/>
                <w:right w:val="none" w:sz="0" w:space="0" w:color="auto"/>
              </w:divBdr>
              <w:divsChild>
                <w:div w:id="692998817">
                  <w:marLeft w:val="0"/>
                  <w:marRight w:val="0"/>
                  <w:marTop w:val="0"/>
                  <w:marBottom w:val="0"/>
                  <w:divBdr>
                    <w:top w:val="none" w:sz="0" w:space="0" w:color="auto"/>
                    <w:left w:val="none" w:sz="0" w:space="0" w:color="auto"/>
                    <w:bottom w:val="none" w:sz="0" w:space="0" w:color="auto"/>
                    <w:right w:val="none" w:sz="0" w:space="0" w:color="auto"/>
                  </w:divBdr>
                  <w:divsChild>
                    <w:div w:id="692998812">
                      <w:marLeft w:val="0"/>
                      <w:marRight w:val="0"/>
                      <w:marTop w:val="0"/>
                      <w:marBottom w:val="0"/>
                      <w:divBdr>
                        <w:top w:val="none" w:sz="0" w:space="0" w:color="auto"/>
                        <w:left w:val="none" w:sz="0" w:space="0" w:color="auto"/>
                        <w:bottom w:val="none" w:sz="0" w:space="0" w:color="auto"/>
                        <w:right w:val="none" w:sz="0" w:space="0" w:color="auto"/>
                      </w:divBdr>
                    </w:div>
                    <w:div w:id="6929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14">
              <w:marLeft w:val="0"/>
              <w:marRight w:val="0"/>
              <w:marTop w:val="0"/>
              <w:marBottom w:val="0"/>
              <w:divBdr>
                <w:top w:val="none" w:sz="0" w:space="0" w:color="auto"/>
                <w:left w:val="none" w:sz="0" w:space="0" w:color="auto"/>
                <w:bottom w:val="none" w:sz="0" w:space="0" w:color="auto"/>
                <w:right w:val="none" w:sz="0" w:space="0" w:color="auto"/>
              </w:divBdr>
              <w:divsChild>
                <w:div w:id="692998818">
                  <w:marLeft w:val="0"/>
                  <w:marRight w:val="0"/>
                  <w:marTop w:val="0"/>
                  <w:marBottom w:val="0"/>
                  <w:divBdr>
                    <w:top w:val="none" w:sz="0" w:space="0" w:color="auto"/>
                    <w:left w:val="none" w:sz="0" w:space="0" w:color="auto"/>
                    <w:bottom w:val="none" w:sz="0" w:space="0" w:color="auto"/>
                    <w:right w:val="none" w:sz="0" w:space="0" w:color="auto"/>
                  </w:divBdr>
                </w:div>
                <w:div w:id="6929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21">
          <w:marLeft w:val="0"/>
          <w:marRight w:val="0"/>
          <w:marTop w:val="166"/>
          <w:marBottom w:val="166"/>
          <w:divBdr>
            <w:top w:val="none" w:sz="0" w:space="0" w:color="auto"/>
            <w:left w:val="none" w:sz="0" w:space="0" w:color="auto"/>
            <w:bottom w:val="none" w:sz="0" w:space="0" w:color="auto"/>
            <w:right w:val="none" w:sz="0" w:space="0" w:color="auto"/>
          </w:divBdr>
          <w:divsChild>
            <w:div w:id="6929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24">
      <w:marLeft w:val="0"/>
      <w:marRight w:val="0"/>
      <w:marTop w:val="0"/>
      <w:marBottom w:val="0"/>
      <w:divBdr>
        <w:top w:val="none" w:sz="0" w:space="0" w:color="auto"/>
        <w:left w:val="none" w:sz="0" w:space="0" w:color="auto"/>
        <w:bottom w:val="none" w:sz="0" w:space="0" w:color="auto"/>
        <w:right w:val="none" w:sz="0" w:space="0" w:color="auto"/>
      </w:divBdr>
    </w:div>
    <w:div w:id="692998830">
      <w:marLeft w:val="0"/>
      <w:marRight w:val="0"/>
      <w:marTop w:val="0"/>
      <w:marBottom w:val="0"/>
      <w:divBdr>
        <w:top w:val="none" w:sz="0" w:space="0" w:color="auto"/>
        <w:left w:val="none" w:sz="0" w:space="0" w:color="auto"/>
        <w:bottom w:val="none" w:sz="0" w:space="0" w:color="auto"/>
        <w:right w:val="none" w:sz="0" w:space="0" w:color="auto"/>
      </w:divBdr>
      <w:divsChild>
        <w:div w:id="692998837">
          <w:marLeft w:val="0"/>
          <w:marRight w:val="0"/>
          <w:marTop w:val="0"/>
          <w:marBottom w:val="0"/>
          <w:divBdr>
            <w:top w:val="none" w:sz="0" w:space="0" w:color="auto"/>
            <w:left w:val="none" w:sz="0" w:space="0" w:color="auto"/>
            <w:bottom w:val="none" w:sz="0" w:space="0" w:color="auto"/>
            <w:right w:val="none" w:sz="0" w:space="0" w:color="auto"/>
          </w:divBdr>
          <w:divsChild>
            <w:div w:id="692998828">
              <w:marLeft w:val="0"/>
              <w:marRight w:val="0"/>
              <w:marTop w:val="0"/>
              <w:marBottom w:val="0"/>
              <w:divBdr>
                <w:top w:val="none" w:sz="0" w:space="0" w:color="auto"/>
                <w:left w:val="none" w:sz="0" w:space="0" w:color="auto"/>
                <w:bottom w:val="none" w:sz="0" w:space="0" w:color="auto"/>
                <w:right w:val="none" w:sz="0" w:space="0" w:color="auto"/>
              </w:divBdr>
            </w:div>
            <w:div w:id="6929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34">
      <w:marLeft w:val="0"/>
      <w:marRight w:val="0"/>
      <w:marTop w:val="0"/>
      <w:marBottom w:val="0"/>
      <w:divBdr>
        <w:top w:val="none" w:sz="0" w:space="0" w:color="auto"/>
        <w:left w:val="none" w:sz="0" w:space="0" w:color="auto"/>
        <w:bottom w:val="none" w:sz="0" w:space="0" w:color="auto"/>
        <w:right w:val="none" w:sz="0" w:space="0" w:color="auto"/>
      </w:divBdr>
      <w:divsChild>
        <w:div w:id="692998826">
          <w:marLeft w:val="0"/>
          <w:marRight w:val="0"/>
          <w:marTop w:val="0"/>
          <w:marBottom w:val="0"/>
          <w:divBdr>
            <w:top w:val="none" w:sz="0" w:space="0" w:color="auto"/>
            <w:left w:val="none" w:sz="0" w:space="0" w:color="auto"/>
            <w:bottom w:val="none" w:sz="0" w:space="0" w:color="auto"/>
            <w:right w:val="none" w:sz="0" w:space="0" w:color="auto"/>
          </w:divBdr>
          <w:divsChild>
            <w:div w:id="692998832">
              <w:marLeft w:val="0"/>
              <w:marRight w:val="0"/>
              <w:marTop w:val="0"/>
              <w:marBottom w:val="0"/>
              <w:divBdr>
                <w:top w:val="none" w:sz="0" w:space="0" w:color="auto"/>
                <w:left w:val="none" w:sz="0" w:space="0" w:color="auto"/>
                <w:bottom w:val="none" w:sz="0" w:space="0" w:color="auto"/>
                <w:right w:val="none" w:sz="0" w:space="0" w:color="auto"/>
              </w:divBdr>
            </w:div>
            <w:div w:id="6929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36">
      <w:marLeft w:val="0"/>
      <w:marRight w:val="0"/>
      <w:marTop w:val="0"/>
      <w:marBottom w:val="0"/>
      <w:divBdr>
        <w:top w:val="none" w:sz="0" w:space="0" w:color="auto"/>
        <w:left w:val="none" w:sz="0" w:space="0" w:color="auto"/>
        <w:bottom w:val="none" w:sz="0" w:space="0" w:color="auto"/>
        <w:right w:val="none" w:sz="0" w:space="0" w:color="auto"/>
      </w:divBdr>
      <w:divsChild>
        <w:div w:id="692998835">
          <w:marLeft w:val="0"/>
          <w:marRight w:val="0"/>
          <w:marTop w:val="0"/>
          <w:marBottom w:val="0"/>
          <w:divBdr>
            <w:top w:val="none" w:sz="0" w:space="0" w:color="auto"/>
            <w:left w:val="none" w:sz="0" w:space="0" w:color="auto"/>
            <w:bottom w:val="none" w:sz="0" w:space="0" w:color="auto"/>
            <w:right w:val="none" w:sz="0" w:space="0" w:color="auto"/>
          </w:divBdr>
          <w:divsChild>
            <w:div w:id="692998827">
              <w:marLeft w:val="0"/>
              <w:marRight w:val="0"/>
              <w:marTop w:val="0"/>
              <w:marBottom w:val="0"/>
              <w:divBdr>
                <w:top w:val="none" w:sz="0" w:space="0" w:color="auto"/>
                <w:left w:val="none" w:sz="0" w:space="0" w:color="auto"/>
                <w:bottom w:val="none" w:sz="0" w:space="0" w:color="auto"/>
                <w:right w:val="none" w:sz="0" w:space="0" w:color="auto"/>
              </w:divBdr>
            </w:div>
            <w:div w:id="69299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40">
      <w:marLeft w:val="0"/>
      <w:marRight w:val="0"/>
      <w:marTop w:val="0"/>
      <w:marBottom w:val="0"/>
      <w:divBdr>
        <w:top w:val="none" w:sz="0" w:space="0" w:color="auto"/>
        <w:left w:val="none" w:sz="0" w:space="0" w:color="auto"/>
        <w:bottom w:val="none" w:sz="0" w:space="0" w:color="auto"/>
        <w:right w:val="none" w:sz="0" w:space="0" w:color="auto"/>
      </w:divBdr>
      <w:divsChild>
        <w:div w:id="692998884">
          <w:marLeft w:val="0"/>
          <w:marRight w:val="0"/>
          <w:marTop w:val="0"/>
          <w:marBottom w:val="0"/>
          <w:divBdr>
            <w:top w:val="none" w:sz="0" w:space="0" w:color="auto"/>
            <w:left w:val="none" w:sz="0" w:space="0" w:color="auto"/>
            <w:bottom w:val="none" w:sz="0" w:space="0" w:color="auto"/>
            <w:right w:val="none" w:sz="0" w:space="0" w:color="auto"/>
          </w:divBdr>
          <w:divsChild>
            <w:div w:id="692998838">
              <w:marLeft w:val="0"/>
              <w:marRight w:val="0"/>
              <w:marTop w:val="0"/>
              <w:marBottom w:val="0"/>
              <w:divBdr>
                <w:top w:val="none" w:sz="0" w:space="0" w:color="auto"/>
                <w:left w:val="none" w:sz="0" w:space="0" w:color="auto"/>
                <w:bottom w:val="none" w:sz="0" w:space="0" w:color="auto"/>
                <w:right w:val="none" w:sz="0" w:space="0" w:color="auto"/>
              </w:divBdr>
            </w:div>
            <w:div w:id="692998841">
              <w:marLeft w:val="0"/>
              <w:marRight w:val="0"/>
              <w:marTop w:val="0"/>
              <w:marBottom w:val="0"/>
              <w:divBdr>
                <w:top w:val="none" w:sz="0" w:space="0" w:color="auto"/>
                <w:left w:val="none" w:sz="0" w:space="0" w:color="auto"/>
                <w:bottom w:val="none" w:sz="0" w:space="0" w:color="auto"/>
                <w:right w:val="none" w:sz="0" w:space="0" w:color="auto"/>
              </w:divBdr>
            </w:div>
            <w:div w:id="692998843">
              <w:marLeft w:val="0"/>
              <w:marRight w:val="0"/>
              <w:marTop w:val="0"/>
              <w:marBottom w:val="0"/>
              <w:divBdr>
                <w:top w:val="none" w:sz="0" w:space="0" w:color="auto"/>
                <w:left w:val="none" w:sz="0" w:space="0" w:color="auto"/>
                <w:bottom w:val="none" w:sz="0" w:space="0" w:color="auto"/>
                <w:right w:val="none" w:sz="0" w:space="0" w:color="auto"/>
              </w:divBdr>
            </w:div>
            <w:div w:id="692998874">
              <w:marLeft w:val="0"/>
              <w:marRight w:val="0"/>
              <w:marTop w:val="0"/>
              <w:marBottom w:val="0"/>
              <w:divBdr>
                <w:top w:val="none" w:sz="0" w:space="0" w:color="auto"/>
                <w:left w:val="none" w:sz="0" w:space="0" w:color="auto"/>
                <w:bottom w:val="none" w:sz="0" w:space="0" w:color="auto"/>
                <w:right w:val="none" w:sz="0" w:space="0" w:color="auto"/>
              </w:divBdr>
            </w:div>
            <w:div w:id="692998897">
              <w:marLeft w:val="0"/>
              <w:marRight w:val="0"/>
              <w:marTop w:val="0"/>
              <w:marBottom w:val="0"/>
              <w:divBdr>
                <w:top w:val="none" w:sz="0" w:space="0" w:color="auto"/>
                <w:left w:val="none" w:sz="0" w:space="0" w:color="auto"/>
                <w:bottom w:val="none" w:sz="0" w:space="0" w:color="auto"/>
                <w:right w:val="none" w:sz="0" w:space="0" w:color="auto"/>
              </w:divBdr>
            </w:div>
            <w:div w:id="692998919">
              <w:marLeft w:val="0"/>
              <w:marRight w:val="0"/>
              <w:marTop w:val="0"/>
              <w:marBottom w:val="0"/>
              <w:divBdr>
                <w:top w:val="none" w:sz="0" w:space="0" w:color="auto"/>
                <w:left w:val="none" w:sz="0" w:space="0" w:color="auto"/>
                <w:bottom w:val="none" w:sz="0" w:space="0" w:color="auto"/>
                <w:right w:val="none" w:sz="0" w:space="0" w:color="auto"/>
              </w:divBdr>
            </w:div>
            <w:div w:id="6929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67">
      <w:marLeft w:val="0"/>
      <w:marRight w:val="0"/>
      <w:marTop w:val="0"/>
      <w:marBottom w:val="0"/>
      <w:divBdr>
        <w:top w:val="none" w:sz="0" w:space="0" w:color="auto"/>
        <w:left w:val="none" w:sz="0" w:space="0" w:color="auto"/>
        <w:bottom w:val="none" w:sz="0" w:space="0" w:color="auto"/>
        <w:right w:val="none" w:sz="0" w:space="0" w:color="auto"/>
      </w:divBdr>
      <w:divsChild>
        <w:div w:id="692998865">
          <w:marLeft w:val="0"/>
          <w:marRight w:val="0"/>
          <w:marTop w:val="0"/>
          <w:marBottom w:val="0"/>
          <w:divBdr>
            <w:top w:val="none" w:sz="0" w:space="0" w:color="auto"/>
            <w:left w:val="none" w:sz="0" w:space="0" w:color="auto"/>
            <w:bottom w:val="none" w:sz="0" w:space="0" w:color="auto"/>
            <w:right w:val="none" w:sz="0" w:space="0" w:color="auto"/>
          </w:divBdr>
          <w:divsChild>
            <w:div w:id="692998839">
              <w:marLeft w:val="0"/>
              <w:marRight w:val="0"/>
              <w:marTop w:val="0"/>
              <w:marBottom w:val="0"/>
              <w:divBdr>
                <w:top w:val="none" w:sz="0" w:space="0" w:color="auto"/>
                <w:left w:val="none" w:sz="0" w:space="0" w:color="auto"/>
                <w:bottom w:val="none" w:sz="0" w:space="0" w:color="auto"/>
                <w:right w:val="none" w:sz="0" w:space="0" w:color="auto"/>
              </w:divBdr>
            </w:div>
            <w:div w:id="692998854">
              <w:marLeft w:val="0"/>
              <w:marRight w:val="0"/>
              <w:marTop w:val="0"/>
              <w:marBottom w:val="0"/>
              <w:divBdr>
                <w:top w:val="none" w:sz="0" w:space="0" w:color="auto"/>
                <w:left w:val="none" w:sz="0" w:space="0" w:color="auto"/>
                <w:bottom w:val="none" w:sz="0" w:space="0" w:color="auto"/>
                <w:right w:val="none" w:sz="0" w:space="0" w:color="auto"/>
              </w:divBdr>
            </w:div>
            <w:div w:id="692998873">
              <w:marLeft w:val="0"/>
              <w:marRight w:val="0"/>
              <w:marTop w:val="0"/>
              <w:marBottom w:val="0"/>
              <w:divBdr>
                <w:top w:val="none" w:sz="0" w:space="0" w:color="auto"/>
                <w:left w:val="none" w:sz="0" w:space="0" w:color="auto"/>
                <w:bottom w:val="none" w:sz="0" w:space="0" w:color="auto"/>
                <w:right w:val="none" w:sz="0" w:space="0" w:color="auto"/>
              </w:divBdr>
            </w:div>
            <w:div w:id="692998881">
              <w:marLeft w:val="0"/>
              <w:marRight w:val="0"/>
              <w:marTop w:val="0"/>
              <w:marBottom w:val="0"/>
              <w:divBdr>
                <w:top w:val="none" w:sz="0" w:space="0" w:color="auto"/>
                <w:left w:val="none" w:sz="0" w:space="0" w:color="auto"/>
                <w:bottom w:val="none" w:sz="0" w:space="0" w:color="auto"/>
                <w:right w:val="none" w:sz="0" w:space="0" w:color="auto"/>
              </w:divBdr>
            </w:div>
            <w:div w:id="692998899">
              <w:marLeft w:val="0"/>
              <w:marRight w:val="0"/>
              <w:marTop w:val="0"/>
              <w:marBottom w:val="0"/>
              <w:divBdr>
                <w:top w:val="none" w:sz="0" w:space="0" w:color="auto"/>
                <w:left w:val="none" w:sz="0" w:space="0" w:color="auto"/>
                <w:bottom w:val="none" w:sz="0" w:space="0" w:color="auto"/>
                <w:right w:val="none" w:sz="0" w:space="0" w:color="auto"/>
              </w:divBdr>
            </w:div>
            <w:div w:id="692998902">
              <w:marLeft w:val="0"/>
              <w:marRight w:val="0"/>
              <w:marTop w:val="0"/>
              <w:marBottom w:val="0"/>
              <w:divBdr>
                <w:top w:val="none" w:sz="0" w:space="0" w:color="auto"/>
                <w:left w:val="none" w:sz="0" w:space="0" w:color="auto"/>
                <w:bottom w:val="none" w:sz="0" w:space="0" w:color="auto"/>
                <w:right w:val="none" w:sz="0" w:space="0" w:color="auto"/>
              </w:divBdr>
            </w:div>
            <w:div w:id="692998921">
              <w:marLeft w:val="0"/>
              <w:marRight w:val="0"/>
              <w:marTop w:val="0"/>
              <w:marBottom w:val="0"/>
              <w:divBdr>
                <w:top w:val="none" w:sz="0" w:space="0" w:color="auto"/>
                <w:left w:val="none" w:sz="0" w:space="0" w:color="auto"/>
                <w:bottom w:val="none" w:sz="0" w:space="0" w:color="auto"/>
                <w:right w:val="none" w:sz="0" w:space="0" w:color="auto"/>
              </w:divBdr>
            </w:div>
            <w:div w:id="692998937">
              <w:marLeft w:val="0"/>
              <w:marRight w:val="0"/>
              <w:marTop w:val="0"/>
              <w:marBottom w:val="0"/>
              <w:divBdr>
                <w:top w:val="none" w:sz="0" w:space="0" w:color="auto"/>
                <w:left w:val="none" w:sz="0" w:space="0" w:color="auto"/>
                <w:bottom w:val="none" w:sz="0" w:space="0" w:color="auto"/>
                <w:right w:val="none" w:sz="0" w:space="0" w:color="auto"/>
              </w:divBdr>
            </w:div>
            <w:div w:id="6929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79">
      <w:marLeft w:val="0"/>
      <w:marRight w:val="0"/>
      <w:marTop w:val="0"/>
      <w:marBottom w:val="0"/>
      <w:divBdr>
        <w:top w:val="none" w:sz="0" w:space="0" w:color="auto"/>
        <w:left w:val="none" w:sz="0" w:space="0" w:color="auto"/>
        <w:bottom w:val="none" w:sz="0" w:space="0" w:color="auto"/>
        <w:right w:val="none" w:sz="0" w:space="0" w:color="auto"/>
      </w:divBdr>
      <w:divsChild>
        <w:div w:id="692998857">
          <w:marLeft w:val="0"/>
          <w:marRight w:val="0"/>
          <w:marTop w:val="0"/>
          <w:marBottom w:val="0"/>
          <w:divBdr>
            <w:top w:val="none" w:sz="0" w:space="0" w:color="auto"/>
            <w:left w:val="none" w:sz="0" w:space="0" w:color="auto"/>
            <w:bottom w:val="none" w:sz="0" w:space="0" w:color="auto"/>
            <w:right w:val="none" w:sz="0" w:space="0" w:color="auto"/>
          </w:divBdr>
          <w:divsChild>
            <w:div w:id="692998842">
              <w:marLeft w:val="0"/>
              <w:marRight w:val="0"/>
              <w:marTop w:val="0"/>
              <w:marBottom w:val="0"/>
              <w:divBdr>
                <w:top w:val="none" w:sz="0" w:space="0" w:color="auto"/>
                <w:left w:val="none" w:sz="0" w:space="0" w:color="auto"/>
                <w:bottom w:val="none" w:sz="0" w:space="0" w:color="auto"/>
                <w:right w:val="none" w:sz="0" w:space="0" w:color="auto"/>
              </w:divBdr>
            </w:div>
            <w:div w:id="692998844">
              <w:marLeft w:val="0"/>
              <w:marRight w:val="0"/>
              <w:marTop w:val="0"/>
              <w:marBottom w:val="0"/>
              <w:divBdr>
                <w:top w:val="none" w:sz="0" w:space="0" w:color="auto"/>
                <w:left w:val="none" w:sz="0" w:space="0" w:color="auto"/>
                <w:bottom w:val="none" w:sz="0" w:space="0" w:color="auto"/>
                <w:right w:val="none" w:sz="0" w:space="0" w:color="auto"/>
              </w:divBdr>
            </w:div>
            <w:div w:id="692998847">
              <w:marLeft w:val="0"/>
              <w:marRight w:val="0"/>
              <w:marTop w:val="0"/>
              <w:marBottom w:val="0"/>
              <w:divBdr>
                <w:top w:val="none" w:sz="0" w:space="0" w:color="auto"/>
                <w:left w:val="none" w:sz="0" w:space="0" w:color="auto"/>
                <w:bottom w:val="none" w:sz="0" w:space="0" w:color="auto"/>
                <w:right w:val="none" w:sz="0" w:space="0" w:color="auto"/>
              </w:divBdr>
            </w:div>
            <w:div w:id="692998852">
              <w:marLeft w:val="0"/>
              <w:marRight w:val="0"/>
              <w:marTop w:val="0"/>
              <w:marBottom w:val="0"/>
              <w:divBdr>
                <w:top w:val="none" w:sz="0" w:space="0" w:color="auto"/>
                <w:left w:val="none" w:sz="0" w:space="0" w:color="auto"/>
                <w:bottom w:val="none" w:sz="0" w:space="0" w:color="auto"/>
                <w:right w:val="none" w:sz="0" w:space="0" w:color="auto"/>
              </w:divBdr>
            </w:div>
            <w:div w:id="692998856">
              <w:marLeft w:val="0"/>
              <w:marRight w:val="0"/>
              <w:marTop w:val="0"/>
              <w:marBottom w:val="0"/>
              <w:divBdr>
                <w:top w:val="none" w:sz="0" w:space="0" w:color="auto"/>
                <w:left w:val="none" w:sz="0" w:space="0" w:color="auto"/>
                <w:bottom w:val="none" w:sz="0" w:space="0" w:color="auto"/>
                <w:right w:val="none" w:sz="0" w:space="0" w:color="auto"/>
              </w:divBdr>
            </w:div>
            <w:div w:id="692998858">
              <w:marLeft w:val="0"/>
              <w:marRight w:val="0"/>
              <w:marTop w:val="0"/>
              <w:marBottom w:val="0"/>
              <w:divBdr>
                <w:top w:val="none" w:sz="0" w:space="0" w:color="auto"/>
                <w:left w:val="none" w:sz="0" w:space="0" w:color="auto"/>
                <w:bottom w:val="none" w:sz="0" w:space="0" w:color="auto"/>
                <w:right w:val="none" w:sz="0" w:space="0" w:color="auto"/>
              </w:divBdr>
            </w:div>
            <w:div w:id="692998862">
              <w:marLeft w:val="0"/>
              <w:marRight w:val="0"/>
              <w:marTop w:val="0"/>
              <w:marBottom w:val="0"/>
              <w:divBdr>
                <w:top w:val="none" w:sz="0" w:space="0" w:color="auto"/>
                <w:left w:val="none" w:sz="0" w:space="0" w:color="auto"/>
                <w:bottom w:val="none" w:sz="0" w:space="0" w:color="auto"/>
                <w:right w:val="none" w:sz="0" w:space="0" w:color="auto"/>
              </w:divBdr>
            </w:div>
            <w:div w:id="692998872">
              <w:marLeft w:val="0"/>
              <w:marRight w:val="0"/>
              <w:marTop w:val="0"/>
              <w:marBottom w:val="0"/>
              <w:divBdr>
                <w:top w:val="none" w:sz="0" w:space="0" w:color="auto"/>
                <w:left w:val="none" w:sz="0" w:space="0" w:color="auto"/>
                <w:bottom w:val="none" w:sz="0" w:space="0" w:color="auto"/>
                <w:right w:val="none" w:sz="0" w:space="0" w:color="auto"/>
              </w:divBdr>
            </w:div>
            <w:div w:id="692998878">
              <w:marLeft w:val="0"/>
              <w:marRight w:val="0"/>
              <w:marTop w:val="0"/>
              <w:marBottom w:val="0"/>
              <w:divBdr>
                <w:top w:val="none" w:sz="0" w:space="0" w:color="auto"/>
                <w:left w:val="none" w:sz="0" w:space="0" w:color="auto"/>
                <w:bottom w:val="none" w:sz="0" w:space="0" w:color="auto"/>
                <w:right w:val="none" w:sz="0" w:space="0" w:color="auto"/>
              </w:divBdr>
            </w:div>
            <w:div w:id="692998911">
              <w:marLeft w:val="0"/>
              <w:marRight w:val="0"/>
              <w:marTop w:val="0"/>
              <w:marBottom w:val="0"/>
              <w:divBdr>
                <w:top w:val="none" w:sz="0" w:space="0" w:color="auto"/>
                <w:left w:val="none" w:sz="0" w:space="0" w:color="auto"/>
                <w:bottom w:val="none" w:sz="0" w:space="0" w:color="auto"/>
                <w:right w:val="none" w:sz="0" w:space="0" w:color="auto"/>
              </w:divBdr>
            </w:div>
            <w:div w:id="692998912">
              <w:marLeft w:val="0"/>
              <w:marRight w:val="0"/>
              <w:marTop w:val="0"/>
              <w:marBottom w:val="0"/>
              <w:divBdr>
                <w:top w:val="none" w:sz="0" w:space="0" w:color="auto"/>
                <w:left w:val="none" w:sz="0" w:space="0" w:color="auto"/>
                <w:bottom w:val="none" w:sz="0" w:space="0" w:color="auto"/>
                <w:right w:val="none" w:sz="0" w:space="0" w:color="auto"/>
              </w:divBdr>
            </w:div>
            <w:div w:id="692998931">
              <w:marLeft w:val="0"/>
              <w:marRight w:val="0"/>
              <w:marTop w:val="0"/>
              <w:marBottom w:val="0"/>
              <w:divBdr>
                <w:top w:val="none" w:sz="0" w:space="0" w:color="auto"/>
                <w:left w:val="none" w:sz="0" w:space="0" w:color="auto"/>
                <w:bottom w:val="none" w:sz="0" w:space="0" w:color="auto"/>
                <w:right w:val="none" w:sz="0" w:space="0" w:color="auto"/>
              </w:divBdr>
            </w:div>
            <w:div w:id="6929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83">
      <w:marLeft w:val="0"/>
      <w:marRight w:val="0"/>
      <w:marTop w:val="0"/>
      <w:marBottom w:val="0"/>
      <w:divBdr>
        <w:top w:val="none" w:sz="0" w:space="0" w:color="auto"/>
        <w:left w:val="none" w:sz="0" w:space="0" w:color="auto"/>
        <w:bottom w:val="none" w:sz="0" w:space="0" w:color="auto"/>
        <w:right w:val="none" w:sz="0" w:space="0" w:color="auto"/>
      </w:divBdr>
      <w:divsChild>
        <w:div w:id="692998849">
          <w:marLeft w:val="0"/>
          <w:marRight w:val="0"/>
          <w:marTop w:val="0"/>
          <w:marBottom w:val="0"/>
          <w:divBdr>
            <w:top w:val="none" w:sz="0" w:space="0" w:color="auto"/>
            <w:left w:val="none" w:sz="0" w:space="0" w:color="auto"/>
            <w:bottom w:val="none" w:sz="0" w:space="0" w:color="auto"/>
            <w:right w:val="none" w:sz="0" w:space="0" w:color="auto"/>
          </w:divBdr>
          <w:divsChild>
            <w:div w:id="692998845">
              <w:marLeft w:val="0"/>
              <w:marRight w:val="0"/>
              <w:marTop w:val="0"/>
              <w:marBottom w:val="0"/>
              <w:divBdr>
                <w:top w:val="none" w:sz="0" w:space="0" w:color="auto"/>
                <w:left w:val="none" w:sz="0" w:space="0" w:color="auto"/>
                <w:bottom w:val="none" w:sz="0" w:space="0" w:color="auto"/>
                <w:right w:val="none" w:sz="0" w:space="0" w:color="auto"/>
              </w:divBdr>
            </w:div>
            <w:div w:id="692998848">
              <w:marLeft w:val="0"/>
              <w:marRight w:val="0"/>
              <w:marTop w:val="0"/>
              <w:marBottom w:val="0"/>
              <w:divBdr>
                <w:top w:val="none" w:sz="0" w:space="0" w:color="auto"/>
                <w:left w:val="none" w:sz="0" w:space="0" w:color="auto"/>
                <w:bottom w:val="none" w:sz="0" w:space="0" w:color="auto"/>
                <w:right w:val="none" w:sz="0" w:space="0" w:color="auto"/>
              </w:divBdr>
            </w:div>
            <w:div w:id="692998864">
              <w:marLeft w:val="0"/>
              <w:marRight w:val="0"/>
              <w:marTop w:val="0"/>
              <w:marBottom w:val="0"/>
              <w:divBdr>
                <w:top w:val="none" w:sz="0" w:space="0" w:color="auto"/>
                <w:left w:val="none" w:sz="0" w:space="0" w:color="auto"/>
                <w:bottom w:val="none" w:sz="0" w:space="0" w:color="auto"/>
                <w:right w:val="none" w:sz="0" w:space="0" w:color="auto"/>
              </w:divBdr>
            </w:div>
            <w:div w:id="692998866">
              <w:marLeft w:val="0"/>
              <w:marRight w:val="0"/>
              <w:marTop w:val="0"/>
              <w:marBottom w:val="0"/>
              <w:divBdr>
                <w:top w:val="none" w:sz="0" w:space="0" w:color="auto"/>
                <w:left w:val="none" w:sz="0" w:space="0" w:color="auto"/>
                <w:bottom w:val="none" w:sz="0" w:space="0" w:color="auto"/>
                <w:right w:val="none" w:sz="0" w:space="0" w:color="auto"/>
              </w:divBdr>
            </w:div>
            <w:div w:id="692998868">
              <w:marLeft w:val="0"/>
              <w:marRight w:val="0"/>
              <w:marTop w:val="0"/>
              <w:marBottom w:val="0"/>
              <w:divBdr>
                <w:top w:val="none" w:sz="0" w:space="0" w:color="auto"/>
                <w:left w:val="none" w:sz="0" w:space="0" w:color="auto"/>
                <w:bottom w:val="none" w:sz="0" w:space="0" w:color="auto"/>
                <w:right w:val="none" w:sz="0" w:space="0" w:color="auto"/>
              </w:divBdr>
            </w:div>
            <w:div w:id="692998880">
              <w:marLeft w:val="0"/>
              <w:marRight w:val="0"/>
              <w:marTop w:val="0"/>
              <w:marBottom w:val="0"/>
              <w:divBdr>
                <w:top w:val="none" w:sz="0" w:space="0" w:color="auto"/>
                <w:left w:val="none" w:sz="0" w:space="0" w:color="auto"/>
                <w:bottom w:val="none" w:sz="0" w:space="0" w:color="auto"/>
                <w:right w:val="none" w:sz="0" w:space="0" w:color="auto"/>
              </w:divBdr>
            </w:div>
            <w:div w:id="692998891">
              <w:marLeft w:val="0"/>
              <w:marRight w:val="0"/>
              <w:marTop w:val="0"/>
              <w:marBottom w:val="0"/>
              <w:divBdr>
                <w:top w:val="none" w:sz="0" w:space="0" w:color="auto"/>
                <w:left w:val="none" w:sz="0" w:space="0" w:color="auto"/>
                <w:bottom w:val="none" w:sz="0" w:space="0" w:color="auto"/>
                <w:right w:val="none" w:sz="0" w:space="0" w:color="auto"/>
              </w:divBdr>
            </w:div>
            <w:div w:id="692998898">
              <w:marLeft w:val="0"/>
              <w:marRight w:val="0"/>
              <w:marTop w:val="0"/>
              <w:marBottom w:val="0"/>
              <w:divBdr>
                <w:top w:val="none" w:sz="0" w:space="0" w:color="auto"/>
                <w:left w:val="none" w:sz="0" w:space="0" w:color="auto"/>
                <w:bottom w:val="none" w:sz="0" w:space="0" w:color="auto"/>
                <w:right w:val="none" w:sz="0" w:space="0" w:color="auto"/>
              </w:divBdr>
            </w:div>
            <w:div w:id="692998905">
              <w:marLeft w:val="0"/>
              <w:marRight w:val="0"/>
              <w:marTop w:val="0"/>
              <w:marBottom w:val="0"/>
              <w:divBdr>
                <w:top w:val="none" w:sz="0" w:space="0" w:color="auto"/>
                <w:left w:val="none" w:sz="0" w:space="0" w:color="auto"/>
                <w:bottom w:val="none" w:sz="0" w:space="0" w:color="auto"/>
                <w:right w:val="none" w:sz="0" w:space="0" w:color="auto"/>
              </w:divBdr>
            </w:div>
            <w:div w:id="692998924">
              <w:marLeft w:val="0"/>
              <w:marRight w:val="0"/>
              <w:marTop w:val="0"/>
              <w:marBottom w:val="0"/>
              <w:divBdr>
                <w:top w:val="none" w:sz="0" w:space="0" w:color="auto"/>
                <w:left w:val="none" w:sz="0" w:space="0" w:color="auto"/>
                <w:bottom w:val="none" w:sz="0" w:space="0" w:color="auto"/>
                <w:right w:val="none" w:sz="0" w:space="0" w:color="auto"/>
              </w:divBdr>
            </w:div>
            <w:div w:id="692998934">
              <w:marLeft w:val="0"/>
              <w:marRight w:val="0"/>
              <w:marTop w:val="0"/>
              <w:marBottom w:val="0"/>
              <w:divBdr>
                <w:top w:val="none" w:sz="0" w:space="0" w:color="auto"/>
                <w:left w:val="none" w:sz="0" w:space="0" w:color="auto"/>
                <w:bottom w:val="none" w:sz="0" w:space="0" w:color="auto"/>
                <w:right w:val="none" w:sz="0" w:space="0" w:color="auto"/>
              </w:divBdr>
            </w:div>
            <w:div w:id="69299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887">
      <w:marLeft w:val="0"/>
      <w:marRight w:val="0"/>
      <w:marTop w:val="0"/>
      <w:marBottom w:val="0"/>
      <w:divBdr>
        <w:top w:val="none" w:sz="0" w:space="0" w:color="auto"/>
        <w:left w:val="none" w:sz="0" w:space="0" w:color="auto"/>
        <w:bottom w:val="none" w:sz="0" w:space="0" w:color="auto"/>
        <w:right w:val="none" w:sz="0" w:space="0" w:color="auto"/>
      </w:divBdr>
    </w:div>
    <w:div w:id="692998889">
      <w:marLeft w:val="0"/>
      <w:marRight w:val="0"/>
      <w:marTop w:val="0"/>
      <w:marBottom w:val="0"/>
      <w:divBdr>
        <w:top w:val="none" w:sz="0" w:space="0" w:color="auto"/>
        <w:left w:val="none" w:sz="0" w:space="0" w:color="auto"/>
        <w:bottom w:val="none" w:sz="0" w:space="0" w:color="auto"/>
        <w:right w:val="none" w:sz="0" w:space="0" w:color="auto"/>
      </w:divBdr>
      <w:divsChild>
        <w:div w:id="692998906">
          <w:marLeft w:val="0"/>
          <w:marRight w:val="0"/>
          <w:marTop w:val="0"/>
          <w:marBottom w:val="0"/>
          <w:divBdr>
            <w:top w:val="none" w:sz="0" w:space="0" w:color="auto"/>
            <w:left w:val="none" w:sz="0" w:space="0" w:color="auto"/>
            <w:bottom w:val="none" w:sz="0" w:space="0" w:color="auto"/>
            <w:right w:val="none" w:sz="0" w:space="0" w:color="auto"/>
          </w:divBdr>
          <w:divsChild>
            <w:div w:id="692998851">
              <w:marLeft w:val="0"/>
              <w:marRight w:val="0"/>
              <w:marTop w:val="0"/>
              <w:marBottom w:val="0"/>
              <w:divBdr>
                <w:top w:val="none" w:sz="0" w:space="0" w:color="auto"/>
                <w:left w:val="none" w:sz="0" w:space="0" w:color="auto"/>
                <w:bottom w:val="none" w:sz="0" w:space="0" w:color="auto"/>
                <w:right w:val="none" w:sz="0" w:space="0" w:color="auto"/>
              </w:divBdr>
            </w:div>
            <w:div w:id="692998876">
              <w:marLeft w:val="0"/>
              <w:marRight w:val="0"/>
              <w:marTop w:val="0"/>
              <w:marBottom w:val="0"/>
              <w:divBdr>
                <w:top w:val="none" w:sz="0" w:space="0" w:color="auto"/>
                <w:left w:val="none" w:sz="0" w:space="0" w:color="auto"/>
                <w:bottom w:val="none" w:sz="0" w:space="0" w:color="auto"/>
                <w:right w:val="none" w:sz="0" w:space="0" w:color="auto"/>
              </w:divBdr>
            </w:div>
            <w:div w:id="692998885">
              <w:marLeft w:val="0"/>
              <w:marRight w:val="0"/>
              <w:marTop w:val="0"/>
              <w:marBottom w:val="0"/>
              <w:divBdr>
                <w:top w:val="none" w:sz="0" w:space="0" w:color="auto"/>
                <w:left w:val="none" w:sz="0" w:space="0" w:color="auto"/>
                <w:bottom w:val="none" w:sz="0" w:space="0" w:color="auto"/>
                <w:right w:val="none" w:sz="0" w:space="0" w:color="auto"/>
              </w:divBdr>
            </w:div>
            <w:div w:id="692998894">
              <w:marLeft w:val="0"/>
              <w:marRight w:val="0"/>
              <w:marTop w:val="0"/>
              <w:marBottom w:val="0"/>
              <w:divBdr>
                <w:top w:val="none" w:sz="0" w:space="0" w:color="auto"/>
                <w:left w:val="none" w:sz="0" w:space="0" w:color="auto"/>
                <w:bottom w:val="none" w:sz="0" w:space="0" w:color="auto"/>
                <w:right w:val="none" w:sz="0" w:space="0" w:color="auto"/>
              </w:divBdr>
            </w:div>
            <w:div w:id="692998900">
              <w:marLeft w:val="0"/>
              <w:marRight w:val="0"/>
              <w:marTop w:val="0"/>
              <w:marBottom w:val="0"/>
              <w:divBdr>
                <w:top w:val="none" w:sz="0" w:space="0" w:color="auto"/>
                <w:left w:val="none" w:sz="0" w:space="0" w:color="auto"/>
                <w:bottom w:val="none" w:sz="0" w:space="0" w:color="auto"/>
                <w:right w:val="none" w:sz="0" w:space="0" w:color="auto"/>
              </w:divBdr>
            </w:div>
            <w:div w:id="692998913">
              <w:marLeft w:val="0"/>
              <w:marRight w:val="0"/>
              <w:marTop w:val="0"/>
              <w:marBottom w:val="0"/>
              <w:divBdr>
                <w:top w:val="none" w:sz="0" w:space="0" w:color="auto"/>
                <w:left w:val="none" w:sz="0" w:space="0" w:color="auto"/>
                <w:bottom w:val="none" w:sz="0" w:space="0" w:color="auto"/>
                <w:right w:val="none" w:sz="0" w:space="0" w:color="auto"/>
              </w:divBdr>
            </w:div>
            <w:div w:id="692998920">
              <w:marLeft w:val="0"/>
              <w:marRight w:val="0"/>
              <w:marTop w:val="0"/>
              <w:marBottom w:val="0"/>
              <w:divBdr>
                <w:top w:val="none" w:sz="0" w:space="0" w:color="auto"/>
                <w:left w:val="none" w:sz="0" w:space="0" w:color="auto"/>
                <w:bottom w:val="none" w:sz="0" w:space="0" w:color="auto"/>
                <w:right w:val="none" w:sz="0" w:space="0" w:color="auto"/>
              </w:divBdr>
            </w:div>
            <w:div w:id="6929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907">
      <w:marLeft w:val="0"/>
      <w:marRight w:val="0"/>
      <w:marTop w:val="0"/>
      <w:marBottom w:val="0"/>
      <w:divBdr>
        <w:top w:val="none" w:sz="0" w:space="0" w:color="auto"/>
        <w:left w:val="none" w:sz="0" w:space="0" w:color="auto"/>
        <w:bottom w:val="none" w:sz="0" w:space="0" w:color="auto"/>
        <w:right w:val="none" w:sz="0" w:space="0" w:color="auto"/>
      </w:divBdr>
      <w:divsChild>
        <w:div w:id="692998893">
          <w:marLeft w:val="0"/>
          <w:marRight w:val="0"/>
          <w:marTop w:val="0"/>
          <w:marBottom w:val="0"/>
          <w:divBdr>
            <w:top w:val="none" w:sz="0" w:space="0" w:color="auto"/>
            <w:left w:val="none" w:sz="0" w:space="0" w:color="auto"/>
            <w:bottom w:val="none" w:sz="0" w:space="0" w:color="auto"/>
            <w:right w:val="none" w:sz="0" w:space="0" w:color="auto"/>
          </w:divBdr>
          <w:divsChild>
            <w:div w:id="692998860">
              <w:marLeft w:val="0"/>
              <w:marRight w:val="0"/>
              <w:marTop w:val="0"/>
              <w:marBottom w:val="0"/>
              <w:divBdr>
                <w:top w:val="none" w:sz="0" w:space="0" w:color="auto"/>
                <w:left w:val="none" w:sz="0" w:space="0" w:color="auto"/>
                <w:bottom w:val="none" w:sz="0" w:space="0" w:color="auto"/>
                <w:right w:val="none" w:sz="0" w:space="0" w:color="auto"/>
              </w:divBdr>
            </w:div>
            <w:div w:id="692998869">
              <w:marLeft w:val="0"/>
              <w:marRight w:val="0"/>
              <w:marTop w:val="0"/>
              <w:marBottom w:val="0"/>
              <w:divBdr>
                <w:top w:val="none" w:sz="0" w:space="0" w:color="auto"/>
                <w:left w:val="none" w:sz="0" w:space="0" w:color="auto"/>
                <w:bottom w:val="none" w:sz="0" w:space="0" w:color="auto"/>
                <w:right w:val="none" w:sz="0" w:space="0" w:color="auto"/>
              </w:divBdr>
            </w:div>
            <w:div w:id="692998875">
              <w:marLeft w:val="0"/>
              <w:marRight w:val="0"/>
              <w:marTop w:val="0"/>
              <w:marBottom w:val="0"/>
              <w:divBdr>
                <w:top w:val="none" w:sz="0" w:space="0" w:color="auto"/>
                <w:left w:val="none" w:sz="0" w:space="0" w:color="auto"/>
                <w:bottom w:val="none" w:sz="0" w:space="0" w:color="auto"/>
                <w:right w:val="none" w:sz="0" w:space="0" w:color="auto"/>
              </w:divBdr>
            </w:div>
            <w:div w:id="692998901">
              <w:marLeft w:val="0"/>
              <w:marRight w:val="0"/>
              <w:marTop w:val="0"/>
              <w:marBottom w:val="0"/>
              <w:divBdr>
                <w:top w:val="none" w:sz="0" w:space="0" w:color="auto"/>
                <w:left w:val="none" w:sz="0" w:space="0" w:color="auto"/>
                <w:bottom w:val="none" w:sz="0" w:space="0" w:color="auto"/>
                <w:right w:val="none" w:sz="0" w:space="0" w:color="auto"/>
              </w:divBdr>
            </w:div>
            <w:div w:id="692998914">
              <w:marLeft w:val="0"/>
              <w:marRight w:val="0"/>
              <w:marTop w:val="0"/>
              <w:marBottom w:val="0"/>
              <w:divBdr>
                <w:top w:val="none" w:sz="0" w:space="0" w:color="auto"/>
                <w:left w:val="none" w:sz="0" w:space="0" w:color="auto"/>
                <w:bottom w:val="none" w:sz="0" w:space="0" w:color="auto"/>
                <w:right w:val="none" w:sz="0" w:space="0" w:color="auto"/>
              </w:divBdr>
            </w:div>
            <w:div w:id="692998926">
              <w:marLeft w:val="0"/>
              <w:marRight w:val="0"/>
              <w:marTop w:val="0"/>
              <w:marBottom w:val="0"/>
              <w:divBdr>
                <w:top w:val="none" w:sz="0" w:space="0" w:color="auto"/>
                <w:left w:val="none" w:sz="0" w:space="0" w:color="auto"/>
                <w:bottom w:val="none" w:sz="0" w:space="0" w:color="auto"/>
                <w:right w:val="none" w:sz="0" w:space="0" w:color="auto"/>
              </w:divBdr>
            </w:div>
            <w:div w:id="692998927">
              <w:marLeft w:val="0"/>
              <w:marRight w:val="0"/>
              <w:marTop w:val="0"/>
              <w:marBottom w:val="0"/>
              <w:divBdr>
                <w:top w:val="none" w:sz="0" w:space="0" w:color="auto"/>
                <w:left w:val="none" w:sz="0" w:space="0" w:color="auto"/>
                <w:bottom w:val="none" w:sz="0" w:space="0" w:color="auto"/>
                <w:right w:val="none" w:sz="0" w:space="0" w:color="auto"/>
              </w:divBdr>
            </w:div>
            <w:div w:id="6929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923">
      <w:marLeft w:val="0"/>
      <w:marRight w:val="0"/>
      <w:marTop w:val="0"/>
      <w:marBottom w:val="0"/>
      <w:divBdr>
        <w:top w:val="none" w:sz="0" w:space="0" w:color="auto"/>
        <w:left w:val="none" w:sz="0" w:space="0" w:color="auto"/>
        <w:bottom w:val="none" w:sz="0" w:space="0" w:color="auto"/>
        <w:right w:val="none" w:sz="0" w:space="0" w:color="auto"/>
      </w:divBdr>
      <w:divsChild>
        <w:div w:id="692998859">
          <w:marLeft w:val="0"/>
          <w:marRight w:val="0"/>
          <w:marTop w:val="0"/>
          <w:marBottom w:val="0"/>
          <w:divBdr>
            <w:top w:val="none" w:sz="0" w:space="0" w:color="auto"/>
            <w:left w:val="none" w:sz="0" w:space="0" w:color="auto"/>
            <w:bottom w:val="none" w:sz="0" w:space="0" w:color="auto"/>
            <w:right w:val="none" w:sz="0" w:space="0" w:color="auto"/>
          </w:divBdr>
          <w:divsChild>
            <w:div w:id="692998846">
              <w:marLeft w:val="0"/>
              <w:marRight w:val="0"/>
              <w:marTop w:val="0"/>
              <w:marBottom w:val="0"/>
              <w:divBdr>
                <w:top w:val="none" w:sz="0" w:space="0" w:color="auto"/>
                <w:left w:val="none" w:sz="0" w:space="0" w:color="auto"/>
                <w:bottom w:val="none" w:sz="0" w:space="0" w:color="auto"/>
                <w:right w:val="none" w:sz="0" w:space="0" w:color="auto"/>
              </w:divBdr>
            </w:div>
            <w:div w:id="692998850">
              <w:marLeft w:val="0"/>
              <w:marRight w:val="0"/>
              <w:marTop w:val="0"/>
              <w:marBottom w:val="0"/>
              <w:divBdr>
                <w:top w:val="none" w:sz="0" w:space="0" w:color="auto"/>
                <w:left w:val="none" w:sz="0" w:space="0" w:color="auto"/>
                <w:bottom w:val="none" w:sz="0" w:space="0" w:color="auto"/>
                <w:right w:val="none" w:sz="0" w:space="0" w:color="auto"/>
              </w:divBdr>
            </w:div>
            <w:div w:id="692998853">
              <w:marLeft w:val="0"/>
              <w:marRight w:val="0"/>
              <w:marTop w:val="0"/>
              <w:marBottom w:val="0"/>
              <w:divBdr>
                <w:top w:val="none" w:sz="0" w:space="0" w:color="auto"/>
                <w:left w:val="none" w:sz="0" w:space="0" w:color="auto"/>
                <w:bottom w:val="none" w:sz="0" w:space="0" w:color="auto"/>
                <w:right w:val="none" w:sz="0" w:space="0" w:color="auto"/>
              </w:divBdr>
            </w:div>
            <w:div w:id="692998861">
              <w:marLeft w:val="0"/>
              <w:marRight w:val="0"/>
              <w:marTop w:val="0"/>
              <w:marBottom w:val="0"/>
              <w:divBdr>
                <w:top w:val="none" w:sz="0" w:space="0" w:color="auto"/>
                <w:left w:val="none" w:sz="0" w:space="0" w:color="auto"/>
                <w:bottom w:val="none" w:sz="0" w:space="0" w:color="auto"/>
                <w:right w:val="none" w:sz="0" w:space="0" w:color="auto"/>
              </w:divBdr>
            </w:div>
            <w:div w:id="692998863">
              <w:marLeft w:val="0"/>
              <w:marRight w:val="0"/>
              <w:marTop w:val="0"/>
              <w:marBottom w:val="0"/>
              <w:divBdr>
                <w:top w:val="none" w:sz="0" w:space="0" w:color="auto"/>
                <w:left w:val="none" w:sz="0" w:space="0" w:color="auto"/>
                <w:bottom w:val="none" w:sz="0" w:space="0" w:color="auto"/>
                <w:right w:val="none" w:sz="0" w:space="0" w:color="auto"/>
              </w:divBdr>
            </w:div>
            <w:div w:id="692998871">
              <w:marLeft w:val="0"/>
              <w:marRight w:val="0"/>
              <w:marTop w:val="0"/>
              <w:marBottom w:val="0"/>
              <w:divBdr>
                <w:top w:val="none" w:sz="0" w:space="0" w:color="auto"/>
                <w:left w:val="none" w:sz="0" w:space="0" w:color="auto"/>
                <w:bottom w:val="none" w:sz="0" w:space="0" w:color="auto"/>
                <w:right w:val="none" w:sz="0" w:space="0" w:color="auto"/>
              </w:divBdr>
            </w:div>
            <w:div w:id="692998886">
              <w:marLeft w:val="0"/>
              <w:marRight w:val="0"/>
              <w:marTop w:val="0"/>
              <w:marBottom w:val="0"/>
              <w:divBdr>
                <w:top w:val="none" w:sz="0" w:space="0" w:color="auto"/>
                <w:left w:val="none" w:sz="0" w:space="0" w:color="auto"/>
                <w:bottom w:val="none" w:sz="0" w:space="0" w:color="auto"/>
                <w:right w:val="none" w:sz="0" w:space="0" w:color="auto"/>
              </w:divBdr>
            </w:div>
            <w:div w:id="692998892">
              <w:marLeft w:val="0"/>
              <w:marRight w:val="0"/>
              <w:marTop w:val="0"/>
              <w:marBottom w:val="0"/>
              <w:divBdr>
                <w:top w:val="none" w:sz="0" w:space="0" w:color="auto"/>
                <w:left w:val="none" w:sz="0" w:space="0" w:color="auto"/>
                <w:bottom w:val="none" w:sz="0" w:space="0" w:color="auto"/>
                <w:right w:val="none" w:sz="0" w:space="0" w:color="auto"/>
              </w:divBdr>
            </w:div>
            <w:div w:id="692998895">
              <w:marLeft w:val="0"/>
              <w:marRight w:val="0"/>
              <w:marTop w:val="0"/>
              <w:marBottom w:val="0"/>
              <w:divBdr>
                <w:top w:val="none" w:sz="0" w:space="0" w:color="auto"/>
                <w:left w:val="none" w:sz="0" w:space="0" w:color="auto"/>
                <w:bottom w:val="none" w:sz="0" w:space="0" w:color="auto"/>
                <w:right w:val="none" w:sz="0" w:space="0" w:color="auto"/>
              </w:divBdr>
            </w:div>
            <w:div w:id="692998896">
              <w:marLeft w:val="0"/>
              <w:marRight w:val="0"/>
              <w:marTop w:val="0"/>
              <w:marBottom w:val="0"/>
              <w:divBdr>
                <w:top w:val="none" w:sz="0" w:space="0" w:color="auto"/>
                <w:left w:val="none" w:sz="0" w:space="0" w:color="auto"/>
                <w:bottom w:val="none" w:sz="0" w:space="0" w:color="auto"/>
                <w:right w:val="none" w:sz="0" w:space="0" w:color="auto"/>
              </w:divBdr>
            </w:div>
            <w:div w:id="692998908">
              <w:marLeft w:val="0"/>
              <w:marRight w:val="0"/>
              <w:marTop w:val="0"/>
              <w:marBottom w:val="0"/>
              <w:divBdr>
                <w:top w:val="none" w:sz="0" w:space="0" w:color="auto"/>
                <w:left w:val="none" w:sz="0" w:space="0" w:color="auto"/>
                <w:bottom w:val="none" w:sz="0" w:space="0" w:color="auto"/>
                <w:right w:val="none" w:sz="0" w:space="0" w:color="auto"/>
              </w:divBdr>
            </w:div>
            <w:div w:id="692998915">
              <w:marLeft w:val="0"/>
              <w:marRight w:val="0"/>
              <w:marTop w:val="0"/>
              <w:marBottom w:val="0"/>
              <w:divBdr>
                <w:top w:val="none" w:sz="0" w:space="0" w:color="auto"/>
                <w:left w:val="none" w:sz="0" w:space="0" w:color="auto"/>
                <w:bottom w:val="none" w:sz="0" w:space="0" w:color="auto"/>
                <w:right w:val="none" w:sz="0" w:space="0" w:color="auto"/>
              </w:divBdr>
            </w:div>
            <w:div w:id="6929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925">
      <w:marLeft w:val="0"/>
      <w:marRight w:val="0"/>
      <w:marTop w:val="0"/>
      <w:marBottom w:val="0"/>
      <w:divBdr>
        <w:top w:val="none" w:sz="0" w:space="0" w:color="auto"/>
        <w:left w:val="none" w:sz="0" w:space="0" w:color="auto"/>
        <w:bottom w:val="none" w:sz="0" w:space="0" w:color="auto"/>
        <w:right w:val="none" w:sz="0" w:space="0" w:color="auto"/>
      </w:divBdr>
      <w:divsChild>
        <w:div w:id="692998877">
          <w:marLeft w:val="0"/>
          <w:marRight w:val="0"/>
          <w:marTop w:val="0"/>
          <w:marBottom w:val="0"/>
          <w:divBdr>
            <w:top w:val="none" w:sz="0" w:space="0" w:color="auto"/>
            <w:left w:val="none" w:sz="0" w:space="0" w:color="auto"/>
            <w:bottom w:val="none" w:sz="0" w:space="0" w:color="auto"/>
            <w:right w:val="none" w:sz="0" w:space="0" w:color="auto"/>
          </w:divBdr>
          <w:divsChild>
            <w:div w:id="692998855">
              <w:marLeft w:val="0"/>
              <w:marRight w:val="0"/>
              <w:marTop w:val="0"/>
              <w:marBottom w:val="0"/>
              <w:divBdr>
                <w:top w:val="none" w:sz="0" w:space="0" w:color="auto"/>
                <w:left w:val="none" w:sz="0" w:space="0" w:color="auto"/>
                <w:bottom w:val="none" w:sz="0" w:space="0" w:color="auto"/>
                <w:right w:val="none" w:sz="0" w:space="0" w:color="auto"/>
              </w:divBdr>
            </w:div>
            <w:div w:id="692998882">
              <w:marLeft w:val="0"/>
              <w:marRight w:val="0"/>
              <w:marTop w:val="0"/>
              <w:marBottom w:val="0"/>
              <w:divBdr>
                <w:top w:val="none" w:sz="0" w:space="0" w:color="auto"/>
                <w:left w:val="none" w:sz="0" w:space="0" w:color="auto"/>
                <w:bottom w:val="none" w:sz="0" w:space="0" w:color="auto"/>
                <w:right w:val="none" w:sz="0" w:space="0" w:color="auto"/>
              </w:divBdr>
            </w:div>
            <w:div w:id="692998888">
              <w:marLeft w:val="0"/>
              <w:marRight w:val="0"/>
              <w:marTop w:val="0"/>
              <w:marBottom w:val="0"/>
              <w:divBdr>
                <w:top w:val="none" w:sz="0" w:space="0" w:color="auto"/>
                <w:left w:val="none" w:sz="0" w:space="0" w:color="auto"/>
                <w:bottom w:val="none" w:sz="0" w:space="0" w:color="auto"/>
                <w:right w:val="none" w:sz="0" w:space="0" w:color="auto"/>
              </w:divBdr>
            </w:div>
            <w:div w:id="692998890">
              <w:marLeft w:val="0"/>
              <w:marRight w:val="0"/>
              <w:marTop w:val="0"/>
              <w:marBottom w:val="0"/>
              <w:divBdr>
                <w:top w:val="none" w:sz="0" w:space="0" w:color="auto"/>
                <w:left w:val="none" w:sz="0" w:space="0" w:color="auto"/>
                <w:bottom w:val="none" w:sz="0" w:space="0" w:color="auto"/>
                <w:right w:val="none" w:sz="0" w:space="0" w:color="auto"/>
              </w:divBdr>
            </w:div>
            <w:div w:id="692998904">
              <w:marLeft w:val="0"/>
              <w:marRight w:val="0"/>
              <w:marTop w:val="0"/>
              <w:marBottom w:val="0"/>
              <w:divBdr>
                <w:top w:val="none" w:sz="0" w:space="0" w:color="auto"/>
                <w:left w:val="none" w:sz="0" w:space="0" w:color="auto"/>
                <w:bottom w:val="none" w:sz="0" w:space="0" w:color="auto"/>
                <w:right w:val="none" w:sz="0" w:space="0" w:color="auto"/>
              </w:divBdr>
            </w:div>
            <w:div w:id="692998917">
              <w:marLeft w:val="0"/>
              <w:marRight w:val="0"/>
              <w:marTop w:val="0"/>
              <w:marBottom w:val="0"/>
              <w:divBdr>
                <w:top w:val="none" w:sz="0" w:space="0" w:color="auto"/>
                <w:left w:val="none" w:sz="0" w:space="0" w:color="auto"/>
                <w:bottom w:val="none" w:sz="0" w:space="0" w:color="auto"/>
                <w:right w:val="none" w:sz="0" w:space="0" w:color="auto"/>
              </w:divBdr>
            </w:div>
            <w:div w:id="692998918">
              <w:marLeft w:val="0"/>
              <w:marRight w:val="0"/>
              <w:marTop w:val="0"/>
              <w:marBottom w:val="0"/>
              <w:divBdr>
                <w:top w:val="none" w:sz="0" w:space="0" w:color="auto"/>
                <w:left w:val="none" w:sz="0" w:space="0" w:color="auto"/>
                <w:bottom w:val="none" w:sz="0" w:space="0" w:color="auto"/>
                <w:right w:val="none" w:sz="0" w:space="0" w:color="auto"/>
              </w:divBdr>
            </w:div>
            <w:div w:id="69299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935">
      <w:marLeft w:val="0"/>
      <w:marRight w:val="0"/>
      <w:marTop w:val="0"/>
      <w:marBottom w:val="0"/>
      <w:divBdr>
        <w:top w:val="none" w:sz="0" w:space="0" w:color="auto"/>
        <w:left w:val="none" w:sz="0" w:space="0" w:color="auto"/>
        <w:bottom w:val="none" w:sz="0" w:space="0" w:color="auto"/>
        <w:right w:val="none" w:sz="0" w:space="0" w:color="auto"/>
      </w:divBdr>
      <w:divsChild>
        <w:div w:id="692998922">
          <w:marLeft w:val="0"/>
          <w:marRight w:val="0"/>
          <w:marTop w:val="0"/>
          <w:marBottom w:val="0"/>
          <w:divBdr>
            <w:top w:val="none" w:sz="0" w:space="0" w:color="auto"/>
            <w:left w:val="none" w:sz="0" w:space="0" w:color="auto"/>
            <w:bottom w:val="none" w:sz="0" w:space="0" w:color="auto"/>
            <w:right w:val="none" w:sz="0" w:space="0" w:color="auto"/>
          </w:divBdr>
          <w:divsChild>
            <w:div w:id="692998870">
              <w:marLeft w:val="0"/>
              <w:marRight w:val="0"/>
              <w:marTop w:val="0"/>
              <w:marBottom w:val="0"/>
              <w:divBdr>
                <w:top w:val="none" w:sz="0" w:space="0" w:color="auto"/>
                <w:left w:val="none" w:sz="0" w:space="0" w:color="auto"/>
                <w:bottom w:val="none" w:sz="0" w:space="0" w:color="auto"/>
                <w:right w:val="none" w:sz="0" w:space="0" w:color="auto"/>
              </w:divBdr>
            </w:div>
            <w:div w:id="692998903">
              <w:marLeft w:val="0"/>
              <w:marRight w:val="0"/>
              <w:marTop w:val="0"/>
              <w:marBottom w:val="0"/>
              <w:divBdr>
                <w:top w:val="none" w:sz="0" w:space="0" w:color="auto"/>
                <w:left w:val="none" w:sz="0" w:space="0" w:color="auto"/>
                <w:bottom w:val="none" w:sz="0" w:space="0" w:color="auto"/>
                <w:right w:val="none" w:sz="0" w:space="0" w:color="auto"/>
              </w:divBdr>
            </w:div>
            <w:div w:id="692998909">
              <w:marLeft w:val="0"/>
              <w:marRight w:val="0"/>
              <w:marTop w:val="0"/>
              <w:marBottom w:val="0"/>
              <w:divBdr>
                <w:top w:val="none" w:sz="0" w:space="0" w:color="auto"/>
                <w:left w:val="none" w:sz="0" w:space="0" w:color="auto"/>
                <w:bottom w:val="none" w:sz="0" w:space="0" w:color="auto"/>
                <w:right w:val="none" w:sz="0" w:space="0" w:color="auto"/>
              </w:divBdr>
            </w:div>
            <w:div w:id="692998910">
              <w:marLeft w:val="0"/>
              <w:marRight w:val="0"/>
              <w:marTop w:val="0"/>
              <w:marBottom w:val="0"/>
              <w:divBdr>
                <w:top w:val="none" w:sz="0" w:space="0" w:color="auto"/>
                <w:left w:val="none" w:sz="0" w:space="0" w:color="auto"/>
                <w:bottom w:val="none" w:sz="0" w:space="0" w:color="auto"/>
                <w:right w:val="none" w:sz="0" w:space="0" w:color="auto"/>
              </w:divBdr>
            </w:div>
            <w:div w:id="692998916">
              <w:marLeft w:val="0"/>
              <w:marRight w:val="0"/>
              <w:marTop w:val="0"/>
              <w:marBottom w:val="0"/>
              <w:divBdr>
                <w:top w:val="none" w:sz="0" w:space="0" w:color="auto"/>
                <w:left w:val="none" w:sz="0" w:space="0" w:color="auto"/>
                <w:bottom w:val="none" w:sz="0" w:space="0" w:color="auto"/>
                <w:right w:val="none" w:sz="0" w:space="0" w:color="auto"/>
              </w:divBdr>
            </w:div>
            <w:div w:id="692998928">
              <w:marLeft w:val="0"/>
              <w:marRight w:val="0"/>
              <w:marTop w:val="0"/>
              <w:marBottom w:val="0"/>
              <w:divBdr>
                <w:top w:val="none" w:sz="0" w:space="0" w:color="auto"/>
                <w:left w:val="none" w:sz="0" w:space="0" w:color="auto"/>
                <w:bottom w:val="none" w:sz="0" w:space="0" w:color="auto"/>
                <w:right w:val="none" w:sz="0" w:space="0" w:color="auto"/>
              </w:divBdr>
            </w:div>
            <w:div w:id="692998929">
              <w:marLeft w:val="0"/>
              <w:marRight w:val="0"/>
              <w:marTop w:val="0"/>
              <w:marBottom w:val="0"/>
              <w:divBdr>
                <w:top w:val="none" w:sz="0" w:space="0" w:color="auto"/>
                <w:left w:val="none" w:sz="0" w:space="0" w:color="auto"/>
                <w:bottom w:val="none" w:sz="0" w:space="0" w:color="auto"/>
                <w:right w:val="none" w:sz="0" w:space="0" w:color="auto"/>
              </w:divBdr>
            </w:div>
            <w:div w:id="69299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8949">
      <w:marLeft w:val="0"/>
      <w:marRight w:val="0"/>
      <w:marTop w:val="0"/>
      <w:marBottom w:val="0"/>
      <w:divBdr>
        <w:top w:val="none" w:sz="0" w:space="0" w:color="auto"/>
        <w:left w:val="none" w:sz="0" w:space="0" w:color="auto"/>
        <w:bottom w:val="none" w:sz="0" w:space="0" w:color="auto"/>
        <w:right w:val="none" w:sz="0" w:space="0" w:color="auto"/>
      </w:divBdr>
      <w:divsChild>
        <w:div w:id="692998726">
          <w:marLeft w:val="547"/>
          <w:marRight w:val="0"/>
          <w:marTop w:val="134"/>
          <w:marBottom w:val="0"/>
          <w:divBdr>
            <w:top w:val="none" w:sz="0" w:space="0" w:color="auto"/>
            <w:left w:val="none" w:sz="0" w:space="0" w:color="auto"/>
            <w:bottom w:val="none" w:sz="0" w:space="0" w:color="auto"/>
            <w:right w:val="none" w:sz="0" w:space="0" w:color="auto"/>
          </w:divBdr>
        </w:div>
        <w:div w:id="692998988">
          <w:marLeft w:val="547"/>
          <w:marRight w:val="0"/>
          <w:marTop w:val="134"/>
          <w:marBottom w:val="0"/>
          <w:divBdr>
            <w:top w:val="none" w:sz="0" w:space="0" w:color="auto"/>
            <w:left w:val="none" w:sz="0" w:space="0" w:color="auto"/>
            <w:bottom w:val="none" w:sz="0" w:space="0" w:color="auto"/>
            <w:right w:val="none" w:sz="0" w:space="0" w:color="auto"/>
          </w:divBdr>
        </w:div>
        <w:div w:id="692998989">
          <w:marLeft w:val="547"/>
          <w:marRight w:val="0"/>
          <w:marTop w:val="134"/>
          <w:marBottom w:val="0"/>
          <w:divBdr>
            <w:top w:val="none" w:sz="0" w:space="0" w:color="auto"/>
            <w:left w:val="none" w:sz="0" w:space="0" w:color="auto"/>
            <w:bottom w:val="none" w:sz="0" w:space="0" w:color="auto"/>
            <w:right w:val="none" w:sz="0" w:space="0" w:color="auto"/>
          </w:divBdr>
        </w:div>
      </w:divsChild>
    </w:div>
    <w:div w:id="692998952">
      <w:marLeft w:val="0"/>
      <w:marRight w:val="0"/>
      <w:marTop w:val="0"/>
      <w:marBottom w:val="0"/>
      <w:divBdr>
        <w:top w:val="none" w:sz="0" w:space="0" w:color="auto"/>
        <w:left w:val="none" w:sz="0" w:space="0" w:color="auto"/>
        <w:bottom w:val="none" w:sz="0" w:space="0" w:color="auto"/>
        <w:right w:val="none" w:sz="0" w:space="0" w:color="auto"/>
      </w:divBdr>
      <w:divsChild>
        <w:div w:id="692998943">
          <w:marLeft w:val="547"/>
          <w:marRight w:val="0"/>
          <w:marTop w:val="134"/>
          <w:marBottom w:val="0"/>
          <w:divBdr>
            <w:top w:val="none" w:sz="0" w:space="0" w:color="auto"/>
            <w:left w:val="none" w:sz="0" w:space="0" w:color="auto"/>
            <w:bottom w:val="none" w:sz="0" w:space="0" w:color="auto"/>
            <w:right w:val="none" w:sz="0" w:space="0" w:color="auto"/>
          </w:divBdr>
        </w:div>
        <w:div w:id="692998953">
          <w:marLeft w:val="547"/>
          <w:marRight w:val="0"/>
          <w:marTop w:val="134"/>
          <w:marBottom w:val="0"/>
          <w:divBdr>
            <w:top w:val="none" w:sz="0" w:space="0" w:color="auto"/>
            <w:left w:val="none" w:sz="0" w:space="0" w:color="auto"/>
            <w:bottom w:val="none" w:sz="0" w:space="0" w:color="auto"/>
            <w:right w:val="none" w:sz="0" w:space="0" w:color="auto"/>
          </w:divBdr>
        </w:div>
        <w:div w:id="692998993">
          <w:marLeft w:val="547"/>
          <w:marRight w:val="0"/>
          <w:marTop w:val="134"/>
          <w:marBottom w:val="0"/>
          <w:divBdr>
            <w:top w:val="none" w:sz="0" w:space="0" w:color="auto"/>
            <w:left w:val="none" w:sz="0" w:space="0" w:color="auto"/>
            <w:bottom w:val="none" w:sz="0" w:space="0" w:color="auto"/>
            <w:right w:val="none" w:sz="0" w:space="0" w:color="auto"/>
          </w:divBdr>
        </w:div>
      </w:divsChild>
    </w:div>
    <w:div w:id="692998954">
      <w:marLeft w:val="0"/>
      <w:marRight w:val="0"/>
      <w:marTop w:val="0"/>
      <w:marBottom w:val="0"/>
      <w:divBdr>
        <w:top w:val="none" w:sz="0" w:space="0" w:color="auto"/>
        <w:left w:val="none" w:sz="0" w:space="0" w:color="auto"/>
        <w:bottom w:val="none" w:sz="0" w:space="0" w:color="auto"/>
        <w:right w:val="none" w:sz="0" w:space="0" w:color="auto"/>
      </w:divBdr>
      <w:divsChild>
        <w:div w:id="692998967">
          <w:marLeft w:val="0"/>
          <w:marRight w:val="0"/>
          <w:marTop w:val="0"/>
          <w:marBottom w:val="0"/>
          <w:divBdr>
            <w:top w:val="none" w:sz="0" w:space="0" w:color="auto"/>
            <w:left w:val="none" w:sz="0" w:space="0" w:color="auto"/>
            <w:bottom w:val="none" w:sz="0" w:space="0" w:color="auto"/>
            <w:right w:val="none" w:sz="0" w:space="0" w:color="auto"/>
          </w:divBdr>
          <w:divsChild>
            <w:div w:id="692998948">
              <w:marLeft w:val="0"/>
              <w:marRight w:val="0"/>
              <w:marTop w:val="100"/>
              <w:marBottom w:val="100"/>
              <w:divBdr>
                <w:top w:val="none" w:sz="0" w:space="0" w:color="auto"/>
                <w:left w:val="none" w:sz="0" w:space="0" w:color="auto"/>
                <w:bottom w:val="none" w:sz="0" w:space="0" w:color="auto"/>
                <w:right w:val="none" w:sz="0" w:space="0" w:color="auto"/>
              </w:divBdr>
              <w:divsChild>
                <w:div w:id="692998956">
                  <w:marLeft w:val="0"/>
                  <w:marRight w:val="0"/>
                  <w:marTop w:val="0"/>
                  <w:marBottom w:val="0"/>
                  <w:divBdr>
                    <w:top w:val="none" w:sz="0" w:space="0" w:color="auto"/>
                    <w:left w:val="none" w:sz="0" w:space="0" w:color="auto"/>
                    <w:bottom w:val="none" w:sz="0" w:space="0" w:color="auto"/>
                    <w:right w:val="none" w:sz="0" w:space="0" w:color="auto"/>
                  </w:divBdr>
                  <w:divsChild>
                    <w:div w:id="692998957">
                      <w:marLeft w:val="0"/>
                      <w:marRight w:val="0"/>
                      <w:marTop w:val="0"/>
                      <w:marBottom w:val="0"/>
                      <w:divBdr>
                        <w:top w:val="none" w:sz="0" w:space="0" w:color="auto"/>
                        <w:left w:val="none" w:sz="0" w:space="0" w:color="auto"/>
                        <w:bottom w:val="none" w:sz="0" w:space="0" w:color="auto"/>
                        <w:right w:val="none" w:sz="0" w:space="0" w:color="auto"/>
                      </w:divBdr>
                      <w:divsChild>
                        <w:div w:id="692998983">
                          <w:marLeft w:val="0"/>
                          <w:marRight w:val="0"/>
                          <w:marTop w:val="100"/>
                          <w:marBottom w:val="100"/>
                          <w:divBdr>
                            <w:top w:val="none" w:sz="0" w:space="0" w:color="auto"/>
                            <w:left w:val="none" w:sz="0" w:space="0" w:color="auto"/>
                            <w:bottom w:val="none" w:sz="0" w:space="0" w:color="auto"/>
                            <w:right w:val="none" w:sz="0" w:space="0" w:color="auto"/>
                          </w:divBdr>
                          <w:divsChild>
                            <w:div w:id="692998981">
                              <w:marLeft w:val="0"/>
                              <w:marRight w:val="0"/>
                              <w:marTop w:val="0"/>
                              <w:marBottom w:val="0"/>
                              <w:divBdr>
                                <w:top w:val="none" w:sz="0" w:space="0" w:color="auto"/>
                                <w:left w:val="none" w:sz="0" w:space="0" w:color="auto"/>
                                <w:bottom w:val="none" w:sz="0" w:space="0" w:color="auto"/>
                                <w:right w:val="none" w:sz="0" w:space="0" w:color="auto"/>
                              </w:divBdr>
                            </w:div>
                            <w:div w:id="6929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98958">
      <w:marLeft w:val="0"/>
      <w:marRight w:val="0"/>
      <w:marTop w:val="0"/>
      <w:marBottom w:val="0"/>
      <w:divBdr>
        <w:top w:val="none" w:sz="0" w:space="0" w:color="auto"/>
        <w:left w:val="none" w:sz="0" w:space="0" w:color="auto"/>
        <w:bottom w:val="none" w:sz="0" w:space="0" w:color="auto"/>
        <w:right w:val="none" w:sz="0" w:space="0" w:color="auto"/>
      </w:divBdr>
    </w:div>
    <w:div w:id="692998959">
      <w:marLeft w:val="0"/>
      <w:marRight w:val="0"/>
      <w:marTop w:val="0"/>
      <w:marBottom w:val="0"/>
      <w:divBdr>
        <w:top w:val="none" w:sz="0" w:space="0" w:color="auto"/>
        <w:left w:val="none" w:sz="0" w:space="0" w:color="auto"/>
        <w:bottom w:val="none" w:sz="0" w:space="0" w:color="auto"/>
        <w:right w:val="none" w:sz="0" w:space="0" w:color="auto"/>
      </w:divBdr>
    </w:div>
    <w:div w:id="692998974">
      <w:marLeft w:val="0"/>
      <w:marRight w:val="0"/>
      <w:marTop w:val="0"/>
      <w:marBottom w:val="0"/>
      <w:divBdr>
        <w:top w:val="none" w:sz="0" w:space="0" w:color="auto"/>
        <w:left w:val="none" w:sz="0" w:space="0" w:color="auto"/>
        <w:bottom w:val="none" w:sz="0" w:space="0" w:color="auto"/>
        <w:right w:val="none" w:sz="0" w:space="0" w:color="auto"/>
      </w:divBdr>
      <w:divsChild>
        <w:div w:id="692998947">
          <w:marLeft w:val="0"/>
          <w:marRight w:val="0"/>
          <w:marTop w:val="115"/>
          <w:marBottom w:val="0"/>
          <w:divBdr>
            <w:top w:val="none" w:sz="0" w:space="0" w:color="auto"/>
            <w:left w:val="none" w:sz="0" w:space="0" w:color="auto"/>
            <w:bottom w:val="none" w:sz="0" w:space="0" w:color="auto"/>
            <w:right w:val="none" w:sz="0" w:space="0" w:color="auto"/>
          </w:divBdr>
        </w:div>
      </w:divsChild>
    </w:div>
    <w:div w:id="692998975">
      <w:marLeft w:val="0"/>
      <w:marRight w:val="0"/>
      <w:marTop w:val="0"/>
      <w:marBottom w:val="0"/>
      <w:divBdr>
        <w:top w:val="none" w:sz="0" w:space="0" w:color="auto"/>
        <w:left w:val="none" w:sz="0" w:space="0" w:color="auto"/>
        <w:bottom w:val="none" w:sz="0" w:space="0" w:color="auto"/>
        <w:right w:val="none" w:sz="0" w:space="0" w:color="auto"/>
      </w:divBdr>
      <w:divsChild>
        <w:div w:id="692998973">
          <w:marLeft w:val="0"/>
          <w:marRight w:val="0"/>
          <w:marTop w:val="115"/>
          <w:marBottom w:val="0"/>
          <w:divBdr>
            <w:top w:val="none" w:sz="0" w:space="0" w:color="auto"/>
            <w:left w:val="none" w:sz="0" w:space="0" w:color="auto"/>
            <w:bottom w:val="none" w:sz="0" w:space="0" w:color="auto"/>
            <w:right w:val="none" w:sz="0" w:space="0" w:color="auto"/>
          </w:divBdr>
        </w:div>
      </w:divsChild>
    </w:div>
    <w:div w:id="692998986">
      <w:marLeft w:val="0"/>
      <w:marRight w:val="0"/>
      <w:marTop w:val="0"/>
      <w:marBottom w:val="0"/>
      <w:divBdr>
        <w:top w:val="none" w:sz="0" w:space="0" w:color="auto"/>
        <w:left w:val="none" w:sz="0" w:space="0" w:color="auto"/>
        <w:bottom w:val="none" w:sz="0" w:space="0" w:color="auto"/>
        <w:right w:val="none" w:sz="0" w:space="0" w:color="auto"/>
      </w:divBdr>
    </w:div>
    <w:div w:id="692998994">
      <w:marLeft w:val="0"/>
      <w:marRight w:val="0"/>
      <w:marTop w:val="0"/>
      <w:marBottom w:val="0"/>
      <w:divBdr>
        <w:top w:val="none" w:sz="0" w:space="0" w:color="auto"/>
        <w:left w:val="none" w:sz="0" w:space="0" w:color="auto"/>
        <w:bottom w:val="none" w:sz="0" w:space="0" w:color="auto"/>
        <w:right w:val="none" w:sz="0" w:space="0" w:color="auto"/>
      </w:divBdr>
    </w:div>
    <w:div w:id="692998995">
      <w:marLeft w:val="0"/>
      <w:marRight w:val="0"/>
      <w:marTop w:val="0"/>
      <w:marBottom w:val="0"/>
      <w:divBdr>
        <w:top w:val="none" w:sz="0" w:space="0" w:color="auto"/>
        <w:left w:val="none" w:sz="0" w:space="0" w:color="auto"/>
        <w:bottom w:val="none" w:sz="0" w:space="0" w:color="auto"/>
        <w:right w:val="none" w:sz="0" w:space="0" w:color="auto"/>
      </w:divBdr>
      <w:divsChild>
        <w:div w:id="692998723">
          <w:marLeft w:val="0"/>
          <w:marRight w:val="0"/>
          <w:marTop w:val="0"/>
          <w:marBottom w:val="0"/>
          <w:divBdr>
            <w:top w:val="none" w:sz="0" w:space="0" w:color="auto"/>
            <w:left w:val="none" w:sz="0" w:space="0" w:color="auto"/>
            <w:bottom w:val="none" w:sz="0" w:space="0" w:color="auto"/>
            <w:right w:val="none" w:sz="0" w:space="0" w:color="auto"/>
          </w:divBdr>
          <w:divsChild>
            <w:div w:id="692998970">
              <w:marLeft w:val="0"/>
              <w:marRight w:val="0"/>
              <w:marTop w:val="100"/>
              <w:marBottom w:val="100"/>
              <w:divBdr>
                <w:top w:val="none" w:sz="0" w:space="0" w:color="auto"/>
                <w:left w:val="none" w:sz="0" w:space="0" w:color="auto"/>
                <w:bottom w:val="none" w:sz="0" w:space="0" w:color="auto"/>
                <w:right w:val="none" w:sz="0" w:space="0" w:color="auto"/>
              </w:divBdr>
              <w:divsChild>
                <w:div w:id="692998962">
                  <w:marLeft w:val="0"/>
                  <w:marRight w:val="0"/>
                  <w:marTop w:val="0"/>
                  <w:marBottom w:val="0"/>
                  <w:divBdr>
                    <w:top w:val="none" w:sz="0" w:space="0" w:color="auto"/>
                    <w:left w:val="none" w:sz="0" w:space="0" w:color="auto"/>
                    <w:bottom w:val="none" w:sz="0" w:space="0" w:color="auto"/>
                    <w:right w:val="none" w:sz="0" w:space="0" w:color="auto"/>
                  </w:divBdr>
                  <w:divsChild>
                    <w:div w:id="692998997">
                      <w:marLeft w:val="0"/>
                      <w:marRight w:val="0"/>
                      <w:marTop w:val="0"/>
                      <w:marBottom w:val="0"/>
                      <w:divBdr>
                        <w:top w:val="none" w:sz="0" w:space="0" w:color="auto"/>
                        <w:left w:val="none" w:sz="0" w:space="0" w:color="auto"/>
                        <w:bottom w:val="none" w:sz="0" w:space="0" w:color="auto"/>
                        <w:right w:val="none" w:sz="0" w:space="0" w:color="auto"/>
                      </w:divBdr>
                      <w:divsChild>
                        <w:div w:id="692998951">
                          <w:marLeft w:val="0"/>
                          <w:marRight w:val="0"/>
                          <w:marTop w:val="100"/>
                          <w:marBottom w:val="100"/>
                          <w:divBdr>
                            <w:top w:val="none" w:sz="0" w:space="0" w:color="auto"/>
                            <w:left w:val="none" w:sz="0" w:space="0" w:color="auto"/>
                            <w:bottom w:val="none" w:sz="0" w:space="0" w:color="auto"/>
                            <w:right w:val="none" w:sz="0" w:space="0" w:color="auto"/>
                          </w:divBdr>
                          <w:divsChild>
                            <w:div w:id="692998977">
                              <w:marLeft w:val="0"/>
                              <w:marRight w:val="0"/>
                              <w:marTop w:val="0"/>
                              <w:marBottom w:val="0"/>
                              <w:divBdr>
                                <w:top w:val="none" w:sz="0" w:space="0" w:color="auto"/>
                                <w:left w:val="none" w:sz="0" w:space="0" w:color="auto"/>
                                <w:bottom w:val="none" w:sz="0" w:space="0" w:color="auto"/>
                                <w:right w:val="none" w:sz="0" w:space="0" w:color="auto"/>
                              </w:divBdr>
                              <w:divsChild>
                                <w:div w:id="692998969">
                                  <w:marLeft w:val="0"/>
                                  <w:marRight w:val="0"/>
                                  <w:marTop w:val="0"/>
                                  <w:marBottom w:val="0"/>
                                  <w:divBdr>
                                    <w:top w:val="none" w:sz="0" w:space="0" w:color="auto"/>
                                    <w:left w:val="none" w:sz="0" w:space="0" w:color="auto"/>
                                    <w:bottom w:val="none" w:sz="0" w:space="0" w:color="auto"/>
                                    <w:right w:val="none" w:sz="0" w:space="0" w:color="auto"/>
                                  </w:divBdr>
                                  <w:divsChild>
                                    <w:div w:id="692998991">
                                      <w:marLeft w:val="0"/>
                                      <w:marRight w:val="0"/>
                                      <w:marTop w:val="0"/>
                                      <w:marBottom w:val="0"/>
                                      <w:divBdr>
                                        <w:top w:val="none" w:sz="0" w:space="0" w:color="auto"/>
                                        <w:left w:val="none" w:sz="0" w:space="0" w:color="auto"/>
                                        <w:bottom w:val="none" w:sz="0" w:space="0" w:color="auto"/>
                                        <w:right w:val="none" w:sz="0" w:space="0" w:color="auto"/>
                                      </w:divBdr>
                                      <w:divsChild>
                                        <w:div w:id="692998998">
                                          <w:marLeft w:val="0"/>
                                          <w:marRight w:val="0"/>
                                          <w:marTop w:val="240"/>
                                          <w:marBottom w:val="240"/>
                                          <w:divBdr>
                                            <w:top w:val="single" w:sz="12" w:space="0" w:color="EBEBEB"/>
                                            <w:left w:val="none" w:sz="0" w:space="0" w:color="auto"/>
                                            <w:bottom w:val="single" w:sz="12" w:space="0" w:color="EBEBEB"/>
                                            <w:right w:val="none" w:sz="0" w:space="0" w:color="auto"/>
                                          </w:divBdr>
                                          <w:divsChild>
                                            <w:div w:id="6929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998996">
      <w:marLeft w:val="0"/>
      <w:marRight w:val="0"/>
      <w:marTop w:val="0"/>
      <w:marBottom w:val="0"/>
      <w:divBdr>
        <w:top w:val="none" w:sz="0" w:space="0" w:color="auto"/>
        <w:left w:val="none" w:sz="0" w:space="0" w:color="auto"/>
        <w:bottom w:val="none" w:sz="0" w:space="0" w:color="auto"/>
        <w:right w:val="none" w:sz="0" w:space="0" w:color="auto"/>
      </w:divBdr>
      <w:divsChild>
        <w:div w:id="692998722">
          <w:marLeft w:val="547"/>
          <w:marRight w:val="0"/>
          <w:marTop w:val="134"/>
          <w:marBottom w:val="0"/>
          <w:divBdr>
            <w:top w:val="none" w:sz="0" w:space="0" w:color="auto"/>
            <w:left w:val="none" w:sz="0" w:space="0" w:color="auto"/>
            <w:bottom w:val="none" w:sz="0" w:space="0" w:color="auto"/>
            <w:right w:val="none" w:sz="0" w:space="0" w:color="auto"/>
          </w:divBdr>
        </w:div>
        <w:div w:id="692998732">
          <w:marLeft w:val="547"/>
          <w:marRight w:val="0"/>
          <w:marTop w:val="134"/>
          <w:marBottom w:val="0"/>
          <w:divBdr>
            <w:top w:val="none" w:sz="0" w:space="0" w:color="auto"/>
            <w:left w:val="none" w:sz="0" w:space="0" w:color="auto"/>
            <w:bottom w:val="none" w:sz="0" w:space="0" w:color="auto"/>
            <w:right w:val="none" w:sz="0" w:space="0" w:color="auto"/>
          </w:divBdr>
        </w:div>
        <w:div w:id="692998946">
          <w:marLeft w:val="547"/>
          <w:marRight w:val="0"/>
          <w:marTop w:val="134"/>
          <w:marBottom w:val="0"/>
          <w:divBdr>
            <w:top w:val="none" w:sz="0" w:space="0" w:color="auto"/>
            <w:left w:val="none" w:sz="0" w:space="0" w:color="auto"/>
            <w:bottom w:val="none" w:sz="0" w:space="0" w:color="auto"/>
            <w:right w:val="none" w:sz="0" w:space="0" w:color="auto"/>
          </w:divBdr>
        </w:div>
        <w:div w:id="692998963">
          <w:marLeft w:val="547"/>
          <w:marRight w:val="0"/>
          <w:marTop w:val="134"/>
          <w:marBottom w:val="0"/>
          <w:divBdr>
            <w:top w:val="none" w:sz="0" w:space="0" w:color="auto"/>
            <w:left w:val="none" w:sz="0" w:space="0" w:color="auto"/>
            <w:bottom w:val="none" w:sz="0" w:space="0" w:color="auto"/>
            <w:right w:val="none" w:sz="0" w:space="0" w:color="auto"/>
          </w:divBdr>
        </w:div>
        <w:div w:id="692998978">
          <w:marLeft w:val="547"/>
          <w:marRight w:val="0"/>
          <w:marTop w:val="134"/>
          <w:marBottom w:val="0"/>
          <w:divBdr>
            <w:top w:val="none" w:sz="0" w:space="0" w:color="auto"/>
            <w:left w:val="none" w:sz="0" w:space="0" w:color="auto"/>
            <w:bottom w:val="none" w:sz="0" w:space="0" w:color="auto"/>
            <w:right w:val="none" w:sz="0" w:space="0" w:color="auto"/>
          </w:divBdr>
        </w:div>
      </w:divsChild>
    </w:div>
    <w:div w:id="692998999">
      <w:marLeft w:val="0"/>
      <w:marRight w:val="0"/>
      <w:marTop w:val="0"/>
      <w:marBottom w:val="0"/>
      <w:divBdr>
        <w:top w:val="none" w:sz="0" w:space="0" w:color="auto"/>
        <w:left w:val="none" w:sz="0" w:space="0" w:color="auto"/>
        <w:bottom w:val="none" w:sz="0" w:space="0" w:color="auto"/>
        <w:right w:val="none" w:sz="0" w:space="0" w:color="auto"/>
      </w:divBdr>
      <w:divsChild>
        <w:div w:id="692998729">
          <w:marLeft w:val="547"/>
          <w:marRight w:val="0"/>
          <w:marTop w:val="86"/>
          <w:marBottom w:val="0"/>
          <w:divBdr>
            <w:top w:val="none" w:sz="0" w:space="0" w:color="auto"/>
            <w:left w:val="none" w:sz="0" w:space="0" w:color="auto"/>
            <w:bottom w:val="none" w:sz="0" w:space="0" w:color="auto"/>
            <w:right w:val="none" w:sz="0" w:space="0" w:color="auto"/>
          </w:divBdr>
        </w:div>
        <w:div w:id="692998731">
          <w:marLeft w:val="547"/>
          <w:marRight w:val="0"/>
          <w:marTop w:val="86"/>
          <w:marBottom w:val="0"/>
          <w:divBdr>
            <w:top w:val="none" w:sz="0" w:space="0" w:color="auto"/>
            <w:left w:val="none" w:sz="0" w:space="0" w:color="auto"/>
            <w:bottom w:val="none" w:sz="0" w:space="0" w:color="auto"/>
            <w:right w:val="none" w:sz="0" w:space="0" w:color="auto"/>
          </w:divBdr>
        </w:div>
        <w:div w:id="692998944">
          <w:marLeft w:val="547"/>
          <w:marRight w:val="0"/>
          <w:marTop w:val="86"/>
          <w:marBottom w:val="0"/>
          <w:divBdr>
            <w:top w:val="none" w:sz="0" w:space="0" w:color="auto"/>
            <w:left w:val="none" w:sz="0" w:space="0" w:color="auto"/>
            <w:bottom w:val="none" w:sz="0" w:space="0" w:color="auto"/>
            <w:right w:val="none" w:sz="0" w:space="0" w:color="auto"/>
          </w:divBdr>
        </w:div>
        <w:div w:id="692998950">
          <w:marLeft w:val="547"/>
          <w:marRight w:val="0"/>
          <w:marTop w:val="86"/>
          <w:marBottom w:val="0"/>
          <w:divBdr>
            <w:top w:val="none" w:sz="0" w:space="0" w:color="auto"/>
            <w:left w:val="none" w:sz="0" w:space="0" w:color="auto"/>
            <w:bottom w:val="none" w:sz="0" w:space="0" w:color="auto"/>
            <w:right w:val="none" w:sz="0" w:space="0" w:color="auto"/>
          </w:divBdr>
        </w:div>
        <w:div w:id="692998955">
          <w:marLeft w:val="547"/>
          <w:marRight w:val="0"/>
          <w:marTop w:val="86"/>
          <w:marBottom w:val="0"/>
          <w:divBdr>
            <w:top w:val="none" w:sz="0" w:space="0" w:color="auto"/>
            <w:left w:val="none" w:sz="0" w:space="0" w:color="auto"/>
            <w:bottom w:val="none" w:sz="0" w:space="0" w:color="auto"/>
            <w:right w:val="none" w:sz="0" w:space="0" w:color="auto"/>
          </w:divBdr>
        </w:div>
        <w:div w:id="692998960">
          <w:marLeft w:val="547"/>
          <w:marRight w:val="0"/>
          <w:marTop w:val="86"/>
          <w:marBottom w:val="0"/>
          <w:divBdr>
            <w:top w:val="none" w:sz="0" w:space="0" w:color="auto"/>
            <w:left w:val="none" w:sz="0" w:space="0" w:color="auto"/>
            <w:bottom w:val="none" w:sz="0" w:space="0" w:color="auto"/>
            <w:right w:val="none" w:sz="0" w:space="0" w:color="auto"/>
          </w:divBdr>
        </w:div>
        <w:div w:id="692998964">
          <w:marLeft w:val="547"/>
          <w:marRight w:val="0"/>
          <w:marTop w:val="86"/>
          <w:marBottom w:val="0"/>
          <w:divBdr>
            <w:top w:val="none" w:sz="0" w:space="0" w:color="auto"/>
            <w:left w:val="none" w:sz="0" w:space="0" w:color="auto"/>
            <w:bottom w:val="none" w:sz="0" w:space="0" w:color="auto"/>
            <w:right w:val="none" w:sz="0" w:space="0" w:color="auto"/>
          </w:divBdr>
        </w:div>
        <w:div w:id="692998965">
          <w:marLeft w:val="547"/>
          <w:marRight w:val="0"/>
          <w:marTop w:val="86"/>
          <w:marBottom w:val="0"/>
          <w:divBdr>
            <w:top w:val="none" w:sz="0" w:space="0" w:color="auto"/>
            <w:left w:val="none" w:sz="0" w:space="0" w:color="auto"/>
            <w:bottom w:val="none" w:sz="0" w:space="0" w:color="auto"/>
            <w:right w:val="none" w:sz="0" w:space="0" w:color="auto"/>
          </w:divBdr>
        </w:div>
        <w:div w:id="692998966">
          <w:marLeft w:val="547"/>
          <w:marRight w:val="0"/>
          <w:marTop w:val="86"/>
          <w:marBottom w:val="0"/>
          <w:divBdr>
            <w:top w:val="none" w:sz="0" w:space="0" w:color="auto"/>
            <w:left w:val="none" w:sz="0" w:space="0" w:color="auto"/>
            <w:bottom w:val="none" w:sz="0" w:space="0" w:color="auto"/>
            <w:right w:val="none" w:sz="0" w:space="0" w:color="auto"/>
          </w:divBdr>
        </w:div>
        <w:div w:id="692998976">
          <w:marLeft w:val="547"/>
          <w:marRight w:val="0"/>
          <w:marTop w:val="86"/>
          <w:marBottom w:val="0"/>
          <w:divBdr>
            <w:top w:val="none" w:sz="0" w:space="0" w:color="auto"/>
            <w:left w:val="none" w:sz="0" w:space="0" w:color="auto"/>
            <w:bottom w:val="none" w:sz="0" w:space="0" w:color="auto"/>
            <w:right w:val="none" w:sz="0" w:space="0" w:color="auto"/>
          </w:divBdr>
        </w:div>
        <w:div w:id="692998982">
          <w:marLeft w:val="547"/>
          <w:marRight w:val="0"/>
          <w:marTop w:val="86"/>
          <w:marBottom w:val="0"/>
          <w:divBdr>
            <w:top w:val="none" w:sz="0" w:space="0" w:color="auto"/>
            <w:left w:val="none" w:sz="0" w:space="0" w:color="auto"/>
            <w:bottom w:val="none" w:sz="0" w:space="0" w:color="auto"/>
            <w:right w:val="none" w:sz="0" w:space="0" w:color="auto"/>
          </w:divBdr>
        </w:div>
      </w:divsChild>
    </w:div>
    <w:div w:id="692999003">
      <w:marLeft w:val="0"/>
      <w:marRight w:val="0"/>
      <w:marTop w:val="0"/>
      <w:marBottom w:val="0"/>
      <w:divBdr>
        <w:top w:val="none" w:sz="0" w:space="0" w:color="auto"/>
        <w:left w:val="none" w:sz="0" w:space="0" w:color="auto"/>
        <w:bottom w:val="none" w:sz="0" w:space="0" w:color="auto"/>
        <w:right w:val="none" w:sz="0" w:space="0" w:color="auto"/>
      </w:divBdr>
      <w:divsChild>
        <w:div w:id="692999002">
          <w:marLeft w:val="0"/>
          <w:marRight w:val="0"/>
          <w:marTop w:val="0"/>
          <w:marBottom w:val="166"/>
          <w:divBdr>
            <w:top w:val="none" w:sz="0" w:space="0" w:color="auto"/>
            <w:left w:val="none" w:sz="0" w:space="0" w:color="auto"/>
            <w:bottom w:val="none" w:sz="0" w:space="0" w:color="auto"/>
            <w:right w:val="none" w:sz="0" w:space="0" w:color="auto"/>
          </w:divBdr>
          <w:divsChild>
            <w:div w:id="692999008">
              <w:marLeft w:val="0"/>
              <w:marRight w:val="0"/>
              <w:marTop w:val="0"/>
              <w:marBottom w:val="0"/>
              <w:divBdr>
                <w:top w:val="none" w:sz="0" w:space="0" w:color="auto"/>
                <w:left w:val="none" w:sz="0" w:space="0" w:color="auto"/>
                <w:bottom w:val="none" w:sz="0" w:space="0" w:color="auto"/>
                <w:right w:val="none" w:sz="0" w:space="0" w:color="auto"/>
              </w:divBdr>
              <w:divsChild>
                <w:div w:id="692999007">
                  <w:marLeft w:val="0"/>
                  <w:marRight w:val="0"/>
                  <w:marTop w:val="0"/>
                  <w:marBottom w:val="0"/>
                  <w:divBdr>
                    <w:top w:val="none" w:sz="0" w:space="0" w:color="auto"/>
                    <w:left w:val="none" w:sz="0" w:space="0" w:color="auto"/>
                    <w:bottom w:val="none" w:sz="0" w:space="0" w:color="auto"/>
                    <w:right w:val="none" w:sz="0" w:space="0" w:color="auto"/>
                  </w:divBdr>
                </w:div>
                <w:div w:id="692999009">
                  <w:marLeft w:val="0"/>
                  <w:marRight w:val="0"/>
                  <w:marTop w:val="0"/>
                  <w:marBottom w:val="0"/>
                  <w:divBdr>
                    <w:top w:val="none" w:sz="0" w:space="0" w:color="auto"/>
                    <w:left w:val="none" w:sz="0" w:space="0" w:color="auto"/>
                    <w:bottom w:val="none" w:sz="0" w:space="0" w:color="auto"/>
                    <w:right w:val="none" w:sz="0" w:space="0" w:color="auto"/>
                  </w:divBdr>
                </w:div>
              </w:divsChild>
            </w:div>
            <w:div w:id="692999010">
              <w:marLeft w:val="0"/>
              <w:marRight w:val="0"/>
              <w:marTop w:val="0"/>
              <w:marBottom w:val="0"/>
              <w:divBdr>
                <w:top w:val="none" w:sz="0" w:space="0" w:color="auto"/>
                <w:left w:val="none" w:sz="0" w:space="0" w:color="auto"/>
                <w:bottom w:val="none" w:sz="0" w:space="0" w:color="auto"/>
                <w:right w:val="none" w:sz="0" w:space="0" w:color="auto"/>
              </w:divBdr>
              <w:divsChild>
                <w:div w:id="692999011">
                  <w:marLeft w:val="0"/>
                  <w:marRight w:val="0"/>
                  <w:marTop w:val="0"/>
                  <w:marBottom w:val="0"/>
                  <w:divBdr>
                    <w:top w:val="none" w:sz="0" w:space="0" w:color="auto"/>
                    <w:left w:val="none" w:sz="0" w:space="0" w:color="auto"/>
                    <w:bottom w:val="none" w:sz="0" w:space="0" w:color="auto"/>
                    <w:right w:val="none" w:sz="0" w:space="0" w:color="auto"/>
                  </w:divBdr>
                  <w:divsChild>
                    <w:div w:id="692999004">
                      <w:marLeft w:val="0"/>
                      <w:marRight w:val="0"/>
                      <w:marTop w:val="0"/>
                      <w:marBottom w:val="0"/>
                      <w:divBdr>
                        <w:top w:val="none" w:sz="0" w:space="0" w:color="auto"/>
                        <w:left w:val="none" w:sz="0" w:space="0" w:color="auto"/>
                        <w:bottom w:val="none" w:sz="0" w:space="0" w:color="auto"/>
                        <w:right w:val="none" w:sz="0" w:space="0" w:color="auto"/>
                      </w:divBdr>
                    </w:div>
                    <w:div w:id="692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9006">
          <w:marLeft w:val="0"/>
          <w:marRight w:val="0"/>
          <w:marTop w:val="166"/>
          <w:marBottom w:val="166"/>
          <w:divBdr>
            <w:top w:val="none" w:sz="0" w:space="0" w:color="auto"/>
            <w:left w:val="none" w:sz="0" w:space="0" w:color="auto"/>
            <w:bottom w:val="none" w:sz="0" w:space="0" w:color="auto"/>
            <w:right w:val="none" w:sz="0" w:space="0" w:color="auto"/>
          </w:divBdr>
          <w:divsChild>
            <w:div w:id="6929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13">
      <w:marLeft w:val="0"/>
      <w:marRight w:val="0"/>
      <w:marTop w:val="0"/>
      <w:marBottom w:val="0"/>
      <w:divBdr>
        <w:top w:val="none" w:sz="0" w:space="0" w:color="auto"/>
        <w:left w:val="none" w:sz="0" w:space="0" w:color="auto"/>
        <w:bottom w:val="none" w:sz="0" w:space="0" w:color="auto"/>
        <w:right w:val="none" w:sz="0" w:space="0" w:color="auto"/>
      </w:divBdr>
    </w:div>
    <w:div w:id="692999014">
      <w:marLeft w:val="0"/>
      <w:marRight w:val="0"/>
      <w:marTop w:val="0"/>
      <w:marBottom w:val="0"/>
      <w:divBdr>
        <w:top w:val="none" w:sz="0" w:space="0" w:color="auto"/>
        <w:left w:val="none" w:sz="0" w:space="0" w:color="auto"/>
        <w:bottom w:val="none" w:sz="0" w:space="0" w:color="auto"/>
        <w:right w:val="none" w:sz="0" w:space="0" w:color="auto"/>
      </w:divBdr>
    </w:div>
    <w:div w:id="692999015">
      <w:marLeft w:val="0"/>
      <w:marRight w:val="0"/>
      <w:marTop w:val="0"/>
      <w:marBottom w:val="0"/>
      <w:divBdr>
        <w:top w:val="none" w:sz="0" w:space="0" w:color="auto"/>
        <w:left w:val="none" w:sz="0" w:space="0" w:color="auto"/>
        <w:bottom w:val="none" w:sz="0" w:space="0" w:color="auto"/>
        <w:right w:val="none" w:sz="0" w:space="0" w:color="auto"/>
      </w:divBdr>
    </w:div>
    <w:div w:id="692999016">
      <w:marLeft w:val="0"/>
      <w:marRight w:val="0"/>
      <w:marTop w:val="0"/>
      <w:marBottom w:val="0"/>
      <w:divBdr>
        <w:top w:val="none" w:sz="0" w:space="0" w:color="auto"/>
        <w:left w:val="none" w:sz="0" w:space="0" w:color="auto"/>
        <w:bottom w:val="none" w:sz="0" w:space="0" w:color="auto"/>
        <w:right w:val="none" w:sz="0" w:space="0" w:color="auto"/>
      </w:divBdr>
      <w:divsChild>
        <w:div w:id="692999025">
          <w:marLeft w:val="0"/>
          <w:marRight w:val="0"/>
          <w:marTop w:val="0"/>
          <w:marBottom w:val="0"/>
          <w:divBdr>
            <w:top w:val="none" w:sz="0" w:space="0" w:color="auto"/>
            <w:left w:val="none" w:sz="0" w:space="0" w:color="auto"/>
            <w:bottom w:val="none" w:sz="0" w:space="0" w:color="auto"/>
            <w:right w:val="none" w:sz="0" w:space="0" w:color="auto"/>
          </w:divBdr>
        </w:div>
      </w:divsChild>
    </w:div>
    <w:div w:id="692999019">
      <w:marLeft w:val="0"/>
      <w:marRight w:val="0"/>
      <w:marTop w:val="0"/>
      <w:marBottom w:val="0"/>
      <w:divBdr>
        <w:top w:val="none" w:sz="0" w:space="0" w:color="auto"/>
        <w:left w:val="none" w:sz="0" w:space="0" w:color="auto"/>
        <w:bottom w:val="none" w:sz="0" w:space="0" w:color="auto"/>
        <w:right w:val="none" w:sz="0" w:space="0" w:color="auto"/>
      </w:divBdr>
    </w:div>
    <w:div w:id="692999020">
      <w:marLeft w:val="0"/>
      <w:marRight w:val="0"/>
      <w:marTop w:val="0"/>
      <w:marBottom w:val="0"/>
      <w:divBdr>
        <w:top w:val="none" w:sz="0" w:space="0" w:color="auto"/>
        <w:left w:val="none" w:sz="0" w:space="0" w:color="auto"/>
        <w:bottom w:val="none" w:sz="0" w:space="0" w:color="auto"/>
        <w:right w:val="none" w:sz="0" w:space="0" w:color="auto"/>
      </w:divBdr>
      <w:divsChild>
        <w:div w:id="692999021">
          <w:marLeft w:val="0"/>
          <w:marRight w:val="0"/>
          <w:marTop w:val="0"/>
          <w:marBottom w:val="0"/>
          <w:divBdr>
            <w:top w:val="none" w:sz="0" w:space="0" w:color="auto"/>
            <w:left w:val="none" w:sz="0" w:space="0" w:color="auto"/>
            <w:bottom w:val="none" w:sz="0" w:space="0" w:color="auto"/>
            <w:right w:val="none" w:sz="0" w:space="0" w:color="auto"/>
          </w:divBdr>
          <w:divsChild>
            <w:div w:id="692999023">
              <w:marLeft w:val="0"/>
              <w:marRight w:val="0"/>
              <w:marTop w:val="0"/>
              <w:marBottom w:val="0"/>
              <w:divBdr>
                <w:top w:val="none" w:sz="0" w:space="0" w:color="auto"/>
                <w:left w:val="none" w:sz="0" w:space="0" w:color="auto"/>
                <w:bottom w:val="none" w:sz="0" w:space="0" w:color="auto"/>
                <w:right w:val="none" w:sz="0" w:space="0" w:color="auto"/>
              </w:divBdr>
            </w:div>
            <w:div w:id="692999028">
              <w:marLeft w:val="0"/>
              <w:marRight w:val="0"/>
              <w:marTop w:val="0"/>
              <w:marBottom w:val="0"/>
              <w:divBdr>
                <w:top w:val="none" w:sz="0" w:space="0" w:color="auto"/>
                <w:left w:val="none" w:sz="0" w:space="0" w:color="auto"/>
                <w:bottom w:val="none" w:sz="0" w:space="0" w:color="auto"/>
                <w:right w:val="none" w:sz="0" w:space="0" w:color="auto"/>
              </w:divBdr>
            </w:div>
            <w:div w:id="69299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22">
      <w:marLeft w:val="0"/>
      <w:marRight w:val="0"/>
      <w:marTop w:val="0"/>
      <w:marBottom w:val="0"/>
      <w:divBdr>
        <w:top w:val="none" w:sz="0" w:space="0" w:color="auto"/>
        <w:left w:val="none" w:sz="0" w:space="0" w:color="auto"/>
        <w:bottom w:val="none" w:sz="0" w:space="0" w:color="auto"/>
        <w:right w:val="none" w:sz="0" w:space="0" w:color="auto"/>
      </w:divBdr>
    </w:div>
    <w:div w:id="692999026">
      <w:marLeft w:val="0"/>
      <w:marRight w:val="0"/>
      <w:marTop w:val="0"/>
      <w:marBottom w:val="0"/>
      <w:divBdr>
        <w:top w:val="none" w:sz="0" w:space="0" w:color="auto"/>
        <w:left w:val="none" w:sz="0" w:space="0" w:color="auto"/>
        <w:bottom w:val="none" w:sz="0" w:space="0" w:color="auto"/>
        <w:right w:val="none" w:sz="0" w:space="0" w:color="auto"/>
      </w:divBdr>
      <w:divsChild>
        <w:div w:id="692999024">
          <w:marLeft w:val="0"/>
          <w:marRight w:val="0"/>
          <w:marTop w:val="0"/>
          <w:marBottom w:val="0"/>
          <w:divBdr>
            <w:top w:val="none" w:sz="0" w:space="0" w:color="auto"/>
            <w:left w:val="none" w:sz="0" w:space="0" w:color="auto"/>
            <w:bottom w:val="none" w:sz="0" w:space="0" w:color="auto"/>
            <w:right w:val="none" w:sz="0" w:space="0" w:color="auto"/>
          </w:divBdr>
          <w:divsChild>
            <w:div w:id="692999017">
              <w:marLeft w:val="0"/>
              <w:marRight w:val="0"/>
              <w:marTop w:val="0"/>
              <w:marBottom w:val="0"/>
              <w:divBdr>
                <w:top w:val="none" w:sz="0" w:space="0" w:color="auto"/>
                <w:left w:val="none" w:sz="0" w:space="0" w:color="auto"/>
                <w:bottom w:val="none" w:sz="0" w:space="0" w:color="auto"/>
                <w:right w:val="none" w:sz="0" w:space="0" w:color="auto"/>
              </w:divBdr>
            </w:div>
            <w:div w:id="692999018">
              <w:marLeft w:val="0"/>
              <w:marRight w:val="0"/>
              <w:marTop w:val="0"/>
              <w:marBottom w:val="0"/>
              <w:divBdr>
                <w:top w:val="none" w:sz="0" w:space="0" w:color="auto"/>
                <w:left w:val="none" w:sz="0" w:space="0" w:color="auto"/>
                <w:bottom w:val="none" w:sz="0" w:space="0" w:color="auto"/>
                <w:right w:val="none" w:sz="0" w:space="0" w:color="auto"/>
              </w:divBdr>
            </w:div>
            <w:div w:id="692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27">
      <w:marLeft w:val="0"/>
      <w:marRight w:val="0"/>
      <w:marTop w:val="0"/>
      <w:marBottom w:val="0"/>
      <w:divBdr>
        <w:top w:val="none" w:sz="0" w:space="0" w:color="auto"/>
        <w:left w:val="none" w:sz="0" w:space="0" w:color="auto"/>
        <w:bottom w:val="none" w:sz="0" w:space="0" w:color="auto"/>
        <w:right w:val="none" w:sz="0" w:space="0" w:color="auto"/>
      </w:divBdr>
    </w:div>
    <w:div w:id="692999029">
      <w:marLeft w:val="0"/>
      <w:marRight w:val="0"/>
      <w:marTop w:val="0"/>
      <w:marBottom w:val="0"/>
      <w:divBdr>
        <w:top w:val="none" w:sz="0" w:space="0" w:color="auto"/>
        <w:left w:val="none" w:sz="0" w:space="0" w:color="auto"/>
        <w:bottom w:val="none" w:sz="0" w:space="0" w:color="auto"/>
        <w:right w:val="none" w:sz="0" w:space="0" w:color="auto"/>
      </w:divBdr>
    </w:div>
    <w:div w:id="692999034">
      <w:marLeft w:val="0"/>
      <w:marRight w:val="0"/>
      <w:marTop w:val="0"/>
      <w:marBottom w:val="0"/>
      <w:divBdr>
        <w:top w:val="none" w:sz="0" w:space="0" w:color="auto"/>
        <w:left w:val="none" w:sz="0" w:space="0" w:color="auto"/>
        <w:bottom w:val="none" w:sz="0" w:space="0" w:color="auto"/>
        <w:right w:val="none" w:sz="0" w:space="0" w:color="auto"/>
      </w:divBdr>
    </w:div>
    <w:div w:id="692999036">
      <w:marLeft w:val="0"/>
      <w:marRight w:val="0"/>
      <w:marTop w:val="0"/>
      <w:marBottom w:val="0"/>
      <w:divBdr>
        <w:top w:val="none" w:sz="0" w:space="0" w:color="auto"/>
        <w:left w:val="none" w:sz="0" w:space="0" w:color="auto"/>
        <w:bottom w:val="none" w:sz="0" w:space="0" w:color="auto"/>
        <w:right w:val="none" w:sz="0" w:space="0" w:color="auto"/>
      </w:divBdr>
    </w:div>
    <w:div w:id="692999037">
      <w:marLeft w:val="0"/>
      <w:marRight w:val="0"/>
      <w:marTop w:val="0"/>
      <w:marBottom w:val="0"/>
      <w:divBdr>
        <w:top w:val="none" w:sz="0" w:space="0" w:color="auto"/>
        <w:left w:val="none" w:sz="0" w:space="0" w:color="auto"/>
        <w:bottom w:val="none" w:sz="0" w:space="0" w:color="auto"/>
        <w:right w:val="none" w:sz="0" w:space="0" w:color="auto"/>
      </w:divBdr>
    </w:div>
    <w:div w:id="692999038">
      <w:marLeft w:val="0"/>
      <w:marRight w:val="0"/>
      <w:marTop w:val="0"/>
      <w:marBottom w:val="0"/>
      <w:divBdr>
        <w:top w:val="none" w:sz="0" w:space="0" w:color="auto"/>
        <w:left w:val="none" w:sz="0" w:space="0" w:color="auto"/>
        <w:bottom w:val="none" w:sz="0" w:space="0" w:color="auto"/>
        <w:right w:val="none" w:sz="0" w:space="0" w:color="auto"/>
      </w:divBdr>
      <w:divsChild>
        <w:div w:id="692999035">
          <w:marLeft w:val="0"/>
          <w:marRight w:val="0"/>
          <w:marTop w:val="100"/>
          <w:marBottom w:val="100"/>
          <w:divBdr>
            <w:top w:val="none" w:sz="0" w:space="0" w:color="auto"/>
            <w:left w:val="none" w:sz="0" w:space="0" w:color="auto"/>
            <w:bottom w:val="none" w:sz="0" w:space="0" w:color="auto"/>
            <w:right w:val="none" w:sz="0" w:space="0" w:color="auto"/>
          </w:divBdr>
          <w:divsChild>
            <w:div w:id="6929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39">
      <w:marLeft w:val="0"/>
      <w:marRight w:val="0"/>
      <w:marTop w:val="0"/>
      <w:marBottom w:val="0"/>
      <w:divBdr>
        <w:top w:val="none" w:sz="0" w:space="0" w:color="auto"/>
        <w:left w:val="none" w:sz="0" w:space="0" w:color="auto"/>
        <w:bottom w:val="none" w:sz="0" w:space="0" w:color="auto"/>
        <w:right w:val="none" w:sz="0" w:space="0" w:color="auto"/>
      </w:divBdr>
    </w:div>
    <w:div w:id="692999041">
      <w:marLeft w:val="0"/>
      <w:marRight w:val="0"/>
      <w:marTop w:val="0"/>
      <w:marBottom w:val="0"/>
      <w:divBdr>
        <w:top w:val="none" w:sz="0" w:space="0" w:color="auto"/>
        <w:left w:val="none" w:sz="0" w:space="0" w:color="auto"/>
        <w:bottom w:val="none" w:sz="0" w:space="0" w:color="auto"/>
        <w:right w:val="none" w:sz="0" w:space="0" w:color="auto"/>
      </w:divBdr>
    </w:div>
    <w:div w:id="692999043">
      <w:marLeft w:val="0"/>
      <w:marRight w:val="0"/>
      <w:marTop w:val="0"/>
      <w:marBottom w:val="0"/>
      <w:divBdr>
        <w:top w:val="none" w:sz="0" w:space="0" w:color="auto"/>
        <w:left w:val="none" w:sz="0" w:space="0" w:color="auto"/>
        <w:bottom w:val="none" w:sz="0" w:space="0" w:color="auto"/>
        <w:right w:val="none" w:sz="0" w:space="0" w:color="auto"/>
      </w:divBdr>
    </w:div>
    <w:div w:id="692999047">
      <w:marLeft w:val="0"/>
      <w:marRight w:val="0"/>
      <w:marTop w:val="0"/>
      <w:marBottom w:val="0"/>
      <w:divBdr>
        <w:top w:val="none" w:sz="0" w:space="0" w:color="auto"/>
        <w:left w:val="none" w:sz="0" w:space="0" w:color="auto"/>
        <w:bottom w:val="none" w:sz="0" w:space="0" w:color="auto"/>
        <w:right w:val="none" w:sz="0" w:space="0" w:color="auto"/>
      </w:divBdr>
      <w:divsChild>
        <w:div w:id="692999040">
          <w:marLeft w:val="0"/>
          <w:marRight w:val="0"/>
          <w:marTop w:val="0"/>
          <w:marBottom w:val="360"/>
          <w:divBdr>
            <w:top w:val="none" w:sz="0" w:space="0" w:color="auto"/>
            <w:left w:val="none" w:sz="0" w:space="0" w:color="auto"/>
            <w:bottom w:val="none" w:sz="0" w:space="0" w:color="auto"/>
            <w:right w:val="none" w:sz="0" w:space="0" w:color="auto"/>
          </w:divBdr>
        </w:div>
        <w:div w:id="692999049">
          <w:marLeft w:val="0"/>
          <w:marRight w:val="0"/>
          <w:marTop w:val="0"/>
          <w:marBottom w:val="120"/>
          <w:divBdr>
            <w:top w:val="none" w:sz="0" w:space="0" w:color="auto"/>
            <w:left w:val="none" w:sz="0" w:space="0" w:color="auto"/>
            <w:bottom w:val="none" w:sz="0" w:space="0" w:color="auto"/>
            <w:right w:val="none" w:sz="0" w:space="0" w:color="auto"/>
          </w:divBdr>
        </w:div>
      </w:divsChild>
    </w:div>
    <w:div w:id="692999048">
      <w:marLeft w:val="0"/>
      <w:marRight w:val="0"/>
      <w:marTop w:val="0"/>
      <w:marBottom w:val="0"/>
      <w:divBdr>
        <w:top w:val="none" w:sz="0" w:space="0" w:color="auto"/>
        <w:left w:val="none" w:sz="0" w:space="0" w:color="auto"/>
        <w:bottom w:val="none" w:sz="0" w:space="0" w:color="auto"/>
        <w:right w:val="none" w:sz="0" w:space="0" w:color="auto"/>
      </w:divBdr>
      <w:divsChild>
        <w:div w:id="692999032">
          <w:marLeft w:val="0"/>
          <w:marRight w:val="0"/>
          <w:marTop w:val="0"/>
          <w:marBottom w:val="0"/>
          <w:divBdr>
            <w:top w:val="none" w:sz="0" w:space="0" w:color="auto"/>
            <w:left w:val="none" w:sz="0" w:space="0" w:color="auto"/>
            <w:bottom w:val="none" w:sz="0" w:space="0" w:color="auto"/>
            <w:right w:val="none" w:sz="0" w:space="0" w:color="auto"/>
          </w:divBdr>
        </w:div>
        <w:div w:id="692999033">
          <w:marLeft w:val="0"/>
          <w:marRight w:val="0"/>
          <w:marTop w:val="0"/>
          <w:marBottom w:val="0"/>
          <w:divBdr>
            <w:top w:val="none" w:sz="0" w:space="0" w:color="auto"/>
            <w:left w:val="none" w:sz="0" w:space="0" w:color="auto"/>
            <w:bottom w:val="none" w:sz="0" w:space="0" w:color="auto"/>
            <w:right w:val="none" w:sz="0" w:space="0" w:color="auto"/>
          </w:divBdr>
        </w:div>
        <w:div w:id="692999042">
          <w:marLeft w:val="0"/>
          <w:marRight w:val="0"/>
          <w:marTop w:val="0"/>
          <w:marBottom w:val="0"/>
          <w:divBdr>
            <w:top w:val="none" w:sz="0" w:space="0" w:color="auto"/>
            <w:left w:val="none" w:sz="0" w:space="0" w:color="auto"/>
            <w:bottom w:val="none" w:sz="0" w:space="0" w:color="auto"/>
            <w:right w:val="none" w:sz="0" w:space="0" w:color="auto"/>
          </w:divBdr>
        </w:div>
        <w:div w:id="692999044">
          <w:marLeft w:val="0"/>
          <w:marRight w:val="0"/>
          <w:marTop w:val="0"/>
          <w:marBottom w:val="0"/>
          <w:divBdr>
            <w:top w:val="none" w:sz="0" w:space="0" w:color="auto"/>
            <w:left w:val="none" w:sz="0" w:space="0" w:color="auto"/>
            <w:bottom w:val="none" w:sz="0" w:space="0" w:color="auto"/>
            <w:right w:val="none" w:sz="0" w:space="0" w:color="auto"/>
          </w:divBdr>
        </w:div>
        <w:div w:id="692999046">
          <w:marLeft w:val="0"/>
          <w:marRight w:val="0"/>
          <w:marTop w:val="0"/>
          <w:marBottom w:val="0"/>
          <w:divBdr>
            <w:top w:val="none" w:sz="0" w:space="0" w:color="auto"/>
            <w:left w:val="none" w:sz="0" w:space="0" w:color="auto"/>
            <w:bottom w:val="none" w:sz="0" w:space="0" w:color="auto"/>
            <w:right w:val="none" w:sz="0" w:space="0" w:color="auto"/>
          </w:divBdr>
        </w:div>
        <w:div w:id="692999053">
          <w:marLeft w:val="0"/>
          <w:marRight w:val="0"/>
          <w:marTop w:val="0"/>
          <w:marBottom w:val="0"/>
          <w:divBdr>
            <w:top w:val="none" w:sz="0" w:space="0" w:color="auto"/>
            <w:left w:val="none" w:sz="0" w:space="0" w:color="auto"/>
            <w:bottom w:val="none" w:sz="0" w:space="0" w:color="auto"/>
            <w:right w:val="none" w:sz="0" w:space="0" w:color="auto"/>
          </w:divBdr>
        </w:div>
      </w:divsChild>
    </w:div>
    <w:div w:id="692999050">
      <w:marLeft w:val="0"/>
      <w:marRight w:val="0"/>
      <w:marTop w:val="0"/>
      <w:marBottom w:val="0"/>
      <w:divBdr>
        <w:top w:val="none" w:sz="0" w:space="0" w:color="auto"/>
        <w:left w:val="none" w:sz="0" w:space="0" w:color="auto"/>
        <w:bottom w:val="none" w:sz="0" w:space="0" w:color="auto"/>
        <w:right w:val="none" w:sz="0" w:space="0" w:color="auto"/>
      </w:divBdr>
    </w:div>
    <w:div w:id="692999051">
      <w:marLeft w:val="0"/>
      <w:marRight w:val="0"/>
      <w:marTop w:val="0"/>
      <w:marBottom w:val="0"/>
      <w:divBdr>
        <w:top w:val="none" w:sz="0" w:space="0" w:color="auto"/>
        <w:left w:val="none" w:sz="0" w:space="0" w:color="auto"/>
        <w:bottom w:val="none" w:sz="0" w:space="0" w:color="auto"/>
        <w:right w:val="none" w:sz="0" w:space="0" w:color="auto"/>
      </w:divBdr>
    </w:div>
    <w:div w:id="692999052">
      <w:marLeft w:val="0"/>
      <w:marRight w:val="0"/>
      <w:marTop w:val="0"/>
      <w:marBottom w:val="0"/>
      <w:divBdr>
        <w:top w:val="none" w:sz="0" w:space="0" w:color="auto"/>
        <w:left w:val="none" w:sz="0" w:space="0" w:color="auto"/>
        <w:bottom w:val="none" w:sz="0" w:space="0" w:color="auto"/>
        <w:right w:val="none" w:sz="0" w:space="0" w:color="auto"/>
      </w:divBdr>
    </w:div>
    <w:div w:id="692999054">
      <w:marLeft w:val="0"/>
      <w:marRight w:val="0"/>
      <w:marTop w:val="0"/>
      <w:marBottom w:val="0"/>
      <w:divBdr>
        <w:top w:val="none" w:sz="0" w:space="0" w:color="auto"/>
        <w:left w:val="none" w:sz="0" w:space="0" w:color="auto"/>
        <w:bottom w:val="none" w:sz="0" w:space="0" w:color="auto"/>
        <w:right w:val="none" w:sz="0" w:space="0" w:color="auto"/>
      </w:divBdr>
    </w:div>
    <w:div w:id="692999055">
      <w:marLeft w:val="0"/>
      <w:marRight w:val="0"/>
      <w:marTop w:val="0"/>
      <w:marBottom w:val="0"/>
      <w:divBdr>
        <w:top w:val="none" w:sz="0" w:space="0" w:color="auto"/>
        <w:left w:val="none" w:sz="0" w:space="0" w:color="auto"/>
        <w:bottom w:val="none" w:sz="0" w:space="0" w:color="auto"/>
        <w:right w:val="none" w:sz="0" w:space="0" w:color="auto"/>
      </w:divBdr>
    </w:div>
    <w:div w:id="692999056">
      <w:marLeft w:val="0"/>
      <w:marRight w:val="0"/>
      <w:marTop w:val="0"/>
      <w:marBottom w:val="0"/>
      <w:divBdr>
        <w:top w:val="none" w:sz="0" w:space="0" w:color="auto"/>
        <w:left w:val="none" w:sz="0" w:space="0" w:color="auto"/>
        <w:bottom w:val="none" w:sz="0" w:space="0" w:color="auto"/>
        <w:right w:val="none" w:sz="0" w:space="0" w:color="auto"/>
      </w:divBdr>
    </w:div>
    <w:div w:id="692999057">
      <w:marLeft w:val="0"/>
      <w:marRight w:val="0"/>
      <w:marTop w:val="0"/>
      <w:marBottom w:val="0"/>
      <w:divBdr>
        <w:top w:val="none" w:sz="0" w:space="0" w:color="auto"/>
        <w:left w:val="none" w:sz="0" w:space="0" w:color="auto"/>
        <w:bottom w:val="none" w:sz="0" w:space="0" w:color="auto"/>
        <w:right w:val="none" w:sz="0" w:space="0" w:color="auto"/>
      </w:divBdr>
    </w:div>
    <w:div w:id="692999058">
      <w:marLeft w:val="0"/>
      <w:marRight w:val="0"/>
      <w:marTop w:val="0"/>
      <w:marBottom w:val="0"/>
      <w:divBdr>
        <w:top w:val="none" w:sz="0" w:space="0" w:color="auto"/>
        <w:left w:val="none" w:sz="0" w:space="0" w:color="auto"/>
        <w:bottom w:val="none" w:sz="0" w:space="0" w:color="auto"/>
        <w:right w:val="none" w:sz="0" w:space="0" w:color="auto"/>
      </w:divBdr>
    </w:div>
    <w:div w:id="692999059">
      <w:marLeft w:val="0"/>
      <w:marRight w:val="0"/>
      <w:marTop w:val="0"/>
      <w:marBottom w:val="0"/>
      <w:divBdr>
        <w:top w:val="none" w:sz="0" w:space="0" w:color="auto"/>
        <w:left w:val="none" w:sz="0" w:space="0" w:color="auto"/>
        <w:bottom w:val="none" w:sz="0" w:space="0" w:color="auto"/>
        <w:right w:val="none" w:sz="0" w:space="0" w:color="auto"/>
      </w:divBdr>
    </w:div>
    <w:div w:id="692999060">
      <w:marLeft w:val="0"/>
      <w:marRight w:val="0"/>
      <w:marTop w:val="0"/>
      <w:marBottom w:val="0"/>
      <w:divBdr>
        <w:top w:val="none" w:sz="0" w:space="0" w:color="auto"/>
        <w:left w:val="none" w:sz="0" w:space="0" w:color="auto"/>
        <w:bottom w:val="none" w:sz="0" w:space="0" w:color="auto"/>
        <w:right w:val="none" w:sz="0" w:space="0" w:color="auto"/>
      </w:divBdr>
    </w:div>
    <w:div w:id="692999061">
      <w:marLeft w:val="0"/>
      <w:marRight w:val="0"/>
      <w:marTop w:val="0"/>
      <w:marBottom w:val="0"/>
      <w:divBdr>
        <w:top w:val="none" w:sz="0" w:space="0" w:color="auto"/>
        <w:left w:val="none" w:sz="0" w:space="0" w:color="auto"/>
        <w:bottom w:val="none" w:sz="0" w:space="0" w:color="auto"/>
        <w:right w:val="none" w:sz="0" w:space="0" w:color="auto"/>
      </w:divBdr>
    </w:div>
    <w:div w:id="692999063">
      <w:marLeft w:val="0"/>
      <w:marRight w:val="0"/>
      <w:marTop w:val="0"/>
      <w:marBottom w:val="0"/>
      <w:divBdr>
        <w:top w:val="none" w:sz="0" w:space="0" w:color="auto"/>
        <w:left w:val="none" w:sz="0" w:space="0" w:color="auto"/>
        <w:bottom w:val="none" w:sz="0" w:space="0" w:color="auto"/>
        <w:right w:val="none" w:sz="0" w:space="0" w:color="auto"/>
      </w:divBdr>
    </w:div>
    <w:div w:id="692999064">
      <w:marLeft w:val="0"/>
      <w:marRight w:val="0"/>
      <w:marTop w:val="0"/>
      <w:marBottom w:val="0"/>
      <w:divBdr>
        <w:top w:val="none" w:sz="0" w:space="0" w:color="auto"/>
        <w:left w:val="none" w:sz="0" w:space="0" w:color="auto"/>
        <w:bottom w:val="none" w:sz="0" w:space="0" w:color="auto"/>
        <w:right w:val="none" w:sz="0" w:space="0" w:color="auto"/>
      </w:divBdr>
    </w:div>
    <w:div w:id="692999065">
      <w:marLeft w:val="0"/>
      <w:marRight w:val="0"/>
      <w:marTop w:val="0"/>
      <w:marBottom w:val="0"/>
      <w:divBdr>
        <w:top w:val="none" w:sz="0" w:space="0" w:color="auto"/>
        <w:left w:val="none" w:sz="0" w:space="0" w:color="auto"/>
        <w:bottom w:val="none" w:sz="0" w:space="0" w:color="auto"/>
        <w:right w:val="none" w:sz="0" w:space="0" w:color="auto"/>
      </w:divBdr>
      <w:divsChild>
        <w:div w:id="692999062">
          <w:marLeft w:val="0"/>
          <w:marRight w:val="0"/>
          <w:marTop w:val="0"/>
          <w:marBottom w:val="0"/>
          <w:divBdr>
            <w:top w:val="none" w:sz="0" w:space="0" w:color="auto"/>
            <w:left w:val="none" w:sz="0" w:space="0" w:color="auto"/>
            <w:bottom w:val="none" w:sz="0" w:space="0" w:color="auto"/>
            <w:right w:val="none" w:sz="0" w:space="0" w:color="auto"/>
          </w:divBdr>
        </w:div>
        <w:div w:id="692999066">
          <w:marLeft w:val="0"/>
          <w:marRight w:val="0"/>
          <w:marTop w:val="0"/>
          <w:marBottom w:val="0"/>
          <w:divBdr>
            <w:top w:val="none" w:sz="0" w:space="0" w:color="auto"/>
            <w:left w:val="none" w:sz="0" w:space="0" w:color="auto"/>
            <w:bottom w:val="none" w:sz="0" w:space="0" w:color="auto"/>
            <w:right w:val="none" w:sz="0" w:space="0" w:color="auto"/>
          </w:divBdr>
        </w:div>
      </w:divsChild>
    </w:div>
    <w:div w:id="692999067">
      <w:marLeft w:val="0"/>
      <w:marRight w:val="0"/>
      <w:marTop w:val="0"/>
      <w:marBottom w:val="0"/>
      <w:divBdr>
        <w:top w:val="none" w:sz="0" w:space="0" w:color="auto"/>
        <w:left w:val="none" w:sz="0" w:space="0" w:color="auto"/>
        <w:bottom w:val="none" w:sz="0" w:space="0" w:color="auto"/>
        <w:right w:val="none" w:sz="0" w:space="0" w:color="auto"/>
      </w:divBdr>
    </w:div>
    <w:div w:id="692999070">
      <w:marLeft w:val="0"/>
      <w:marRight w:val="0"/>
      <w:marTop w:val="0"/>
      <w:marBottom w:val="0"/>
      <w:divBdr>
        <w:top w:val="none" w:sz="0" w:space="0" w:color="auto"/>
        <w:left w:val="none" w:sz="0" w:space="0" w:color="auto"/>
        <w:bottom w:val="none" w:sz="0" w:space="0" w:color="auto"/>
        <w:right w:val="none" w:sz="0" w:space="0" w:color="auto"/>
      </w:divBdr>
      <w:divsChild>
        <w:div w:id="692999077">
          <w:marLeft w:val="0"/>
          <w:marRight w:val="0"/>
          <w:marTop w:val="0"/>
          <w:marBottom w:val="166"/>
          <w:divBdr>
            <w:top w:val="none" w:sz="0" w:space="0" w:color="auto"/>
            <w:left w:val="none" w:sz="0" w:space="0" w:color="auto"/>
            <w:bottom w:val="none" w:sz="0" w:space="0" w:color="auto"/>
            <w:right w:val="none" w:sz="0" w:space="0" w:color="auto"/>
          </w:divBdr>
          <w:divsChild>
            <w:div w:id="692999071">
              <w:marLeft w:val="0"/>
              <w:marRight w:val="0"/>
              <w:marTop w:val="0"/>
              <w:marBottom w:val="0"/>
              <w:divBdr>
                <w:top w:val="none" w:sz="0" w:space="0" w:color="auto"/>
                <w:left w:val="none" w:sz="0" w:space="0" w:color="auto"/>
                <w:bottom w:val="none" w:sz="0" w:space="0" w:color="auto"/>
                <w:right w:val="none" w:sz="0" w:space="0" w:color="auto"/>
              </w:divBdr>
              <w:divsChild>
                <w:div w:id="692999069">
                  <w:marLeft w:val="0"/>
                  <w:marRight w:val="0"/>
                  <w:marTop w:val="0"/>
                  <w:marBottom w:val="0"/>
                  <w:divBdr>
                    <w:top w:val="none" w:sz="0" w:space="0" w:color="auto"/>
                    <w:left w:val="none" w:sz="0" w:space="0" w:color="auto"/>
                    <w:bottom w:val="none" w:sz="0" w:space="0" w:color="auto"/>
                    <w:right w:val="none" w:sz="0" w:space="0" w:color="auto"/>
                  </w:divBdr>
                </w:div>
                <w:div w:id="692999075">
                  <w:marLeft w:val="0"/>
                  <w:marRight w:val="0"/>
                  <w:marTop w:val="0"/>
                  <w:marBottom w:val="0"/>
                  <w:divBdr>
                    <w:top w:val="none" w:sz="0" w:space="0" w:color="auto"/>
                    <w:left w:val="none" w:sz="0" w:space="0" w:color="auto"/>
                    <w:bottom w:val="none" w:sz="0" w:space="0" w:color="auto"/>
                    <w:right w:val="none" w:sz="0" w:space="0" w:color="auto"/>
                  </w:divBdr>
                </w:div>
                <w:div w:id="692999076">
                  <w:marLeft w:val="0"/>
                  <w:marRight w:val="0"/>
                  <w:marTop w:val="0"/>
                  <w:marBottom w:val="0"/>
                  <w:divBdr>
                    <w:top w:val="none" w:sz="0" w:space="0" w:color="auto"/>
                    <w:left w:val="none" w:sz="0" w:space="0" w:color="auto"/>
                    <w:bottom w:val="none" w:sz="0" w:space="0" w:color="auto"/>
                    <w:right w:val="none" w:sz="0" w:space="0" w:color="auto"/>
                  </w:divBdr>
                </w:div>
              </w:divsChild>
            </w:div>
            <w:div w:id="692999072">
              <w:marLeft w:val="0"/>
              <w:marRight w:val="0"/>
              <w:marTop w:val="0"/>
              <w:marBottom w:val="0"/>
              <w:divBdr>
                <w:top w:val="none" w:sz="0" w:space="0" w:color="auto"/>
                <w:left w:val="none" w:sz="0" w:space="0" w:color="auto"/>
                <w:bottom w:val="none" w:sz="0" w:space="0" w:color="auto"/>
                <w:right w:val="none" w:sz="0" w:space="0" w:color="auto"/>
              </w:divBdr>
              <w:divsChild>
                <w:div w:id="692999074">
                  <w:marLeft w:val="240"/>
                  <w:marRight w:val="0"/>
                  <w:marTop w:val="0"/>
                  <w:marBottom w:val="0"/>
                  <w:divBdr>
                    <w:top w:val="none" w:sz="0" w:space="0" w:color="auto"/>
                    <w:left w:val="none" w:sz="0" w:space="0" w:color="auto"/>
                    <w:bottom w:val="none" w:sz="0" w:space="0" w:color="auto"/>
                    <w:right w:val="none" w:sz="0" w:space="0" w:color="auto"/>
                  </w:divBdr>
                  <w:divsChild>
                    <w:div w:id="6929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9078">
          <w:marLeft w:val="0"/>
          <w:marRight w:val="0"/>
          <w:marTop w:val="166"/>
          <w:marBottom w:val="166"/>
          <w:divBdr>
            <w:top w:val="none" w:sz="0" w:space="0" w:color="auto"/>
            <w:left w:val="none" w:sz="0" w:space="0" w:color="auto"/>
            <w:bottom w:val="none" w:sz="0" w:space="0" w:color="auto"/>
            <w:right w:val="none" w:sz="0" w:space="0" w:color="auto"/>
          </w:divBdr>
          <w:divsChild>
            <w:div w:id="6929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81">
      <w:marLeft w:val="0"/>
      <w:marRight w:val="0"/>
      <w:marTop w:val="0"/>
      <w:marBottom w:val="0"/>
      <w:divBdr>
        <w:top w:val="none" w:sz="0" w:space="0" w:color="auto"/>
        <w:left w:val="none" w:sz="0" w:space="0" w:color="auto"/>
        <w:bottom w:val="none" w:sz="0" w:space="0" w:color="auto"/>
        <w:right w:val="none" w:sz="0" w:space="0" w:color="auto"/>
      </w:divBdr>
      <w:divsChild>
        <w:div w:id="692999084">
          <w:marLeft w:val="0"/>
          <w:marRight w:val="0"/>
          <w:marTop w:val="0"/>
          <w:marBottom w:val="0"/>
          <w:divBdr>
            <w:top w:val="none" w:sz="0" w:space="0" w:color="auto"/>
            <w:left w:val="none" w:sz="0" w:space="0" w:color="auto"/>
            <w:bottom w:val="none" w:sz="0" w:space="0" w:color="auto"/>
            <w:right w:val="none" w:sz="0" w:space="0" w:color="auto"/>
          </w:divBdr>
        </w:div>
        <w:div w:id="692999089">
          <w:marLeft w:val="0"/>
          <w:marRight w:val="0"/>
          <w:marTop w:val="0"/>
          <w:marBottom w:val="0"/>
          <w:divBdr>
            <w:top w:val="none" w:sz="0" w:space="0" w:color="auto"/>
            <w:left w:val="none" w:sz="0" w:space="0" w:color="auto"/>
            <w:bottom w:val="none" w:sz="0" w:space="0" w:color="auto"/>
            <w:right w:val="none" w:sz="0" w:space="0" w:color="auto"/>
          </w:divBdr>
        </w:div>
        <w:div w:id="692999092">
          <w:marLeft w:val="0"/>
          <w:marRight w:val="0"/>
          <w:marTop w:val="0"/>
          <w:marBottom w:val="0"/>
          <w:divBdr>
            <w:top w:val="none" w:sz="0" w:space="0" w:color="auto"/>
            <w:left w:val="none" w:sz="0" w:space="0" w:color="auto"/>
            <w:bottom w:val="none" w:sz="0" w:space="0" w:color="auto"/>
            <w:right w:val="none" w:sz="0" w:space="0" w:color="auto"/>
          </w:divBdr>
        </w:div>
      </w:divsChild>
    </w:div>
    <w:div w:id="692999085">
      <w:marLeft w:val="0"/>
      <w:marRight w:val="0"/>
      <w:marTop w:val="0"/>
      <w:marBottom w:val="0"/>
      <w:divBdr>
        <w:top w:val="none" w:sz="0" w:space="0" w:color="auto"/>
        <w:left w:val="none" w:sz="0" w:space="0" w:color="auto"/>
        <w:bottom w:val="none" w:sz="0" w:space="0" w:color="auto"/>
        <w:right w:val="none" w:sz="0" w:space="0" w:color="auto"/>
      </w:divBdr>
      <w:divsChild>
        <w:div w:id="692999087">
          <w:marLeft w:val="0"/>
          <w:marRight w:val="0"/>
          <w:marTop w:val="0"/>
          <w:marBottom w:val="166"/>
          <w:divBdr>
            <w:top w:val="none" w:sz="0" w:space="0" w:color="auto"/>
            <w:left w:val="none" w:sz="0" w:space="0" w:color="auto"/>
            <w:bottom w:val="none" w:sz="0" w:space="0" w:color="auto"/>
            <w:right w:val="none" w:sz="0" w:space="0" w:color="auto"/>
          </w:divBdr>
          <w:divsChild>
            <w:div w:id="692999083">
              <w:marLeft w:val="0"/>
              <w:marRight w:val="0"/>
              <w:marTop w:val="0"/>
              <w:marBottom w:val="0"/>
              <w:divBdr>
                <w:top w:val="none" w:sz="0" w:space="0" w:color="auto"/>
                <w:left w:val="none" w:sz="0" w:space="0" w:color="auto"/>
                <w:bottom w:val="none" w:sz="0" w:space="0" w:color="auto"/>
                <w:right w:val="none" w:sz="0" w:space="0" w:color="auto"/>
              </w:divBdr>
              <w:divsChild>
                <w:div w:id="692999080">
                  <w:marLeft w:val="0"/>
                  <w:marRight w:val="0"/>
                  <w:marTop w:val="0"/>
                  <w:marBottom w:val="0"/>
                  <w:divBdr>
                    <w:top w:val="none" w:sz="0" w:space="0" w:color="auto"/>
                    <w:left w:val="none" w:sz="0" w:space="0" w:color="auto"/>
                    <w:bottom w:val="none" w:sz="0" w:space="0" w:color="auto"/>
                    <w:right w:val="none" w:sz="0" w:space="0" w:color="auto"/>
                  </w:divBdr>
                </w:div>
                <w:div w:id="692999091">
                  <w:marLeft w:val="0"/>
                  <w:marRight w:val="0"/>
                  <w:marTop w:val="0"/>
                  <w:marBottom w:val="0"/>
                  <w:divBdr>
                    <w:top w:val="none" w:sz="0" w:space="0" w:color="auto"/>
                    <w:left w:val="none" w:sz="0" w:space="0" w:color="auto"/>
                    <w:bottom w:val="none" w:sz="0" w:space="0" w:color="auto"/>
                    <w:right w:val="none" w:sz="0" w:space="0" w:color="auto"/>
                  </w:divBdr>
                </w:div>
              </w:divsChild>
            </w:div>
            <w:div w:id="692999088">
              <w:marLeft w:val="0"/>
              <w:marRight w:val="0"/>
              <w:marTop w:val="0"/>
              <w:marBottom w:val="0"/>
              <w:divBdr>
                <w:top w:val="none" w:sz="0" w:space="0" w:color="auto"/>
                <w:left w:val="none" w:sz="0" w:space="0" w:color="auto"/>
                <w:bottom w:val="none" w:sz="0" w:space="0" w:color="auto"/>
                <w:right w:val="none" w:sz="0" w:space="0" w:color="auto"/>
              </w:divBdr>
              <w:divsChild>
                <w:div w:id="692999082">
                  <w:marLeft w:val="0"/>
                  <w:marRight w:val="0"/>
                  <w:marTop w:val="0"/>
                  <w:marBottom w:val="0"/>
                  <w:divBdr>
                    <w:top w:val="none" w:sz="0" w:space="0" w:color="auto"/>
                    <w:left w:val="none" w:sz="0" w:space="0" w:color="auto"/>
                    <w:bottom w:val="none" w:sz="0" w:space="0" w:color="auto"/>
                    <w:right w:val="none" w:sz="0" w:space="0" w:color="auto"/>
                  </w:divBdr>
                  <w:divsChild>
                    <w:div w:id="692999079">
                      <w:marLeft w:val="0"/>
                      <w:marRight w:val="0"/>
                      <w:marTop w:val="0"/>
                      <w:marBottom w:val="0"/>
                      <w:divBdr>
                        <w:top w:val="none" w:sz="0" w:space="0" w:color="auto"/>
                        <w:left w:val="none" w:sz="0" w:space="0" w:color="auto"/>
                        <w:bottom w:val="none" w:sz="0" w:space="0" w:color="auto"/>
                        <w:right w:val="none" w:sz="0" w:space="0" w:color="auto"/>
                      </w:divBdr>
                    </w:div>
                    <w:div w:id="6929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99093">
          <w:marLeft w:val="0"/>
          <w:marRight w:val="0"/>
          <w:marTop w:val="166"/>
          <w:marBottom w:val="166"/>
          <w:divBdr>
            <w:top w:val="none" w:sz="0" w:space="0" w:color="auto"/>
            <w:left w:val="none" w:sz="0" w:space="0" w:color="auto"/>
            <w:bottom w:val="none" w:sz="0" w:space="0" w:color="auto"/>
            <w:right w:val="none" w:sz="0" w:space="0" w:color="auto"/>
          </w:divBdr>
          <w:divsChild>
            <w:div w:id="69299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094">
      <w:marLeft w:val="0"/>
      <w:marRight w:val="0"/>
      <w:marTop w:val="0"/>
      <w:marBottom w:val="0"/>
      <w:divBdr>
        <w:top w:val="none" w:sz="0" w:space="0" w:color="auto"/>
        <w:left w:val="none" w:sz="0" w:space="0" w:color="auto"/>
        <w:bottom w:val="none" w:sz="0" w:space="0" w:color="auto"/>
        <w:right w:val="none" w:sz="0" w:space="0" w:color="auto"/>
      </w:divBdr>
    </w:div>
    <w:div w:id="692999095">
      <w:marLeft w:val="0"/>
      <w:marRight w:val="0"/>
      <w:marTop w:val="0"/>
      <w:marBottom w:val="0"/>
      <w:divBdr>
        <w:top w:val="none" w:sz="0" w:space="0" w:color="auto"/>
        <w:left w:val="none" w:sz="0" w:space="0" w:color="auto"/>
        <w:bottom w:val="none" w:sz="0" w:space="0" w:color="auto"/>
        <w:right w:val="none" w:sz="0" w:space="0" w:color="auto"/>
      </w:divBdr>
    </w:div>
    <w:div w:id="712655447">
      <w:bodyDiv w:val="1"/>
      <w:marLeft w:val="0"/>
      <w:marRight w:val="0"/>
      <w:marTop w:val="0"/>
      <w:marBottom w:val="0"/>
      <w:divBdr>
        <w:top w:val="none" w:sz="0" w:space="0" w:color="auto"/>
        <w:left w:val="none" w:sz="0" w:space="0" w:color="auto"/>
        <w:bottom w:val="none" w:sz="0" w:space="0" w:color="auto"/>
        <w:right w:val="none" w:sz="0" w:space="0" w:color="auto"/>
      </w:divBdr>
    </w:div>
    <w:div w:id="758143022">
      <w:bodyDiv w:val="1"/>
      <w:marLeft w:val="0"/>
      <w:marRight w:val="0"/>
      <w:marTop w:val="0"/>
      <w:marBottom w:val="0"/>
      <w:divBdr>
        <w:top w:val="none" w:sz="0" w:space="0" w:color="auto"/>
        <w:left w:val="none" w:sz="0" w:space="0" w:color="auto"/>
        <w:bottom w:val="none" w:sz="0" w:space="0" w:color="auto"/>
        <w:right w:val="none" w:sz="0" w:space="0" w:color="auto"/>
      </w:divBdr>
    </w:div>
    <w:div w:id="869608955">
      <w:bodyDiv w:val="1"/>
      <w:marLeft w:val="0"/>
      <w:marRight w:val="0"/>
      <w:marTop w:val="0"/>
      <w:marBottom w:val="0"/>
      <w:divBdr>
        <w:top w:val="none" w:sz="0" w:space="0" w:color="auto"/>
        <w:left w:val="none" w:sz="0" w:space="0" w:color="auto"/>
        <w:bottom w:val="none" w:sz="0" w:space="0" w:color="auto"/>
        <w:right w:val="none" w:sz="0" w:space="0" w:color="auto"/>
      </w:divBdr>
    </w:div>
    <w:div w:id="893545611">
      <w:bodyDiv w:val="1"/>
      <w:marLeft w:val="0"/>
      <w:marRight w:val="0"/>
      <w:marTop w:val="0"/>
      <w:marBottom w:val="0"/>
      <w:divBdr>
        <w:top w:val="none" w:sz="0" w:space="0" w:color="auto"/>
        <w:left w:val="none" w:sz="0" w:space="0" w:color="auto"/>
        <w:bottom w:val="none" w:sz="0" w:space="0" w:color="auto"/>
        <w:right w:val="none" w:sz="0" w:space="0" w:color="auto"/>
      </w:divBdr>
    </w:div>
    <w:div w:id="944658340">
      <w:bodyDiv w:val="1"/>
      <w:marLeft w:val="0"/>
      <w:marRight w:val="0"/>
      <w:marTop w:val="0"/>
      <w:marBottom w:val="0"/>
      <w:divBdr>
        <w:top w:val="none" w:sz="0" w:space="0" w:color="auto"/>
        <w:left w:val="none" w:sz="0" w:space="0" w:color="auto"/>
        <w:bottom w:val="none" w:sz="0" w:space="0" w:color="auto"/>
        <w:right w:val="none" w:sz="0" w:space="0" w:color="auto"/>
      </w:divBdr>
    </w:div>
    <w:div w:id="949776774">
      <w:bodyDiv w:val="1"/>
      <w:marLeft w:val="0"/>
      <w:marRight w:val="0"/>
      <w:marTop w:val="0"/>
      <w:marBottom w:val="0"/>
      <w:divBdr>
        <w:top w:val="none" w:sz="0" w:space="0" w:color="auto"/>
        <w:left w:val="none" w:sz="0" w:space="0" w:color="auto"/>
        <w:bottom w:val="none" w:sz="0" w:space="0" w:color="auto"/>
        <w:right w:val="none" w:sz="0" w:space="0" w:color="auto"/>
      </w:divBdr>
      <w:divsChild>
        <w:div w:id="2014335693">
          <w:marLeft w:val="0"/>
          <w:marRight w:val="0"/>
          <w:marTop w:val="0"/>
          <w:marBottom w:val="0"/>
          <w:divBdr>
            <w:top w:val="none" w:sz="0" w:space="0" w:color="auto"/>
            <w:left w:val="none" w:sz="0" w:space="0" w:color="auto"/>
            <w:bottom w:val="none" w:sz="0" w:space="0" w:color="auto"/>
            <w:right w:val="none" w:sz="0" w:space="0" w:color="auto"/>
          </w:divBdr>
        </w:div>
        <w:div w:id="541132827">
          <w:marLeft w:val="0"/>
          <w:marRight w:val="0"/>
          <w:marTop w:val="0"/>
          <w:marBottom w:val="0"/>
          <w:divBdr>
            <w:top w:val="none" w:sz="0" w:space="0" w:color="auto"/>
            <w:left w:val="none" w:sz="0" w:space="0" w:color="auto"/>
            <w:bottom w:val="none" w:sz="0" w:space="0" w:color="auto"/>
            <w:right w:val="none" w:sz="0" w:space="0" w:color="auto"/>
          </w:divBdr>
        </w:div>
        <w:div w:id="2041124491">
          <w:marLeft w:val="0"/>
          <w:marRight w:val="0"/>
          <w:marTop w:val="0"/>
          <w:marBottom w:val="0"/>
          <w:divBdr>
            <w:top w:val="none" w:sz="0" w:space="0" w:color="auto"/>
            <w:left w:val="none" w:sz="0" w:space="0" w:color="auto"/>
            <w:bottom w:val="none" w:sz="0" w:space="0" w:color="auto"/>
            <w:right w:val="none" w:sz="0" w:space="0" w:color="auto"/>
          </w:divBdr>
        </w:div>
        <w:div w:id="1863932452">
          <w:marLeft w:val="0"/>
          <w:marRight w:val="0"/>
          <w:marTop w:val="0"/>
          <w:marBottom w:val="0"/>
          <w:divBdr>
            <w:top w:val="none" w:sz="0" w:space="0" w:color="auto"/>
            <w:left w:val="none" w:sz="0" w:space="0" w:color="auto"/>
            <w:bottom w:val="none" w:sz="0" w:space="0" w:color="auto"/>
            <w:right w:val="none" w:sz="0" w:space="0" w:color="auto"/>
          </w:divBdr>
        </w:div>
        <w:div w:id="755905885">
          <w:marLeft w:val="0"/>
          <w:marRight w:val="0"/>
          <w:marTop w:val="0"/>
          <w:marBottom w:val="0"/>
          <w:divBdr>
            <w:top w:val="none" w:sz="0" w:space="0" w:color="auto"/>
            <w:left w:val="none" w:sz="0" w:space="0" w:color="auto"/>
            <w:bottom w:val="none" w:sz="0" w:space="0" w:color="auto"/>
            <w:right w:val="none" w:sz="0" w:space="0" w:color="auto"/>
          </w:divBdr>
        </w:div>
        <w:div w:id="1189221295">
          <w:marLeft w:val="0"/>
          <w:marRight w:val="0"/>
          <w:marTop w:val="0"/>
          <w:marBottom w:val="0"/>
          <w:divBdr>
            <w:top w:val="none" w:sz="0" w:space="0" w:color="auto"/>
            <w:left w:val="none" w:sz="0" w:space="0" w:color="auto"/>
            <w:bottom w:val="none" w:sz="0" w:space="0" w:color="auto"/>
            <w:right w:val="none" w:sz="0" w:space="0" w:color="auto"/>
          </w:divBdr>
        </w:div>
      </w:divsChild>
    </w:div>
    <w:div w:id="988021421">
      <w:bodyDiv w:val="1"/>
      <w:marLeft w:val="0"/>
      <w:marRight w:val="0"/>
      <w:marTop w:val="0"/>
      <w:marBottom w:val="0"/>
      <w:divBdr>
        <w:top w:val="none" w:sz="0" w:space="0" w:color="auto"/>
        <w:left w:val="none" w:sz="0" w:space="0" w:color="auto"/>
        <w:bottom w:val="none" w:sz="0" w:space="0" w:color="auto"/>
        <w:right w:val="none" w:sz="0" w:space="0" w:color="auto"/>
      </w:divBdr>
    </w:div>
    <w:div w:id="1080177722">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6">
          <w:marLeft w:val="547"/>
          <w:marRight w:val="0"/>
          <w:marTop w:val="77"/>
          <w:marBottom w:val="0"/>
          <w:divBdr>
            <w:top w:val="none" w:sz="0" w:space="0" w:color="auto"/>
            <w:left w:val="none" w:sz="0" w:space="0" w:color="auto"/>
            <w:bottom w:val="none" w:sz="0" w:space="0" w:color="auto"/>
            <w:right w:val="none" w:sz="0" w:space="0" w:color="auto"/>
          </w:divBdr>
        </w:div>
        <w:div w:id="1858155580">
          <w:marLeft w:val="547"/>
          <w:marRight w:val="0"/>
          <w:marTop w:val="77"/>
          <w:marBottom w:val="0"/>
          <w:divBdr>
            <w:top w:val="none" w:sz="0" w:space="0" w:color="auto"/>
            <w:left w:val="none" w:sz="0" w:space="0" w:color="auto"/>
            <w:bottom w:val="none" w:sz="0" w:space="0" w:color="auto"/>
            <w:right w:val="none" w:sz="0" w:space="0" w:color="auto"/>
          </w:divBdr>
        </w:div>
        <w:div w:id="1403022312">
          <w:marLeft w:val="547"/>
          <w:marRight w:val="0"/>
          <w:marTop w:val="77"/>
          <w:marBottom w:val="0"/>
          <w:divBdr>
            <w:top w:val="none" w:sz="0" w:space="0" w:color="auto"/>
            <w:left w:val="none" w:sz="0" w:space="0" w:color="auto"/>
            <w:bottom w:val="none" w:sz="0" w:space="0" w:color="auto"/>
            <w:right w:val="none" w:sz="0" w:space="0" w:color="auto"/>
          </w:divBdr>
        </w:div>
      </w:divsChild>
    </w:div>
    <w:div w:id="1276596332">
      <w:bodyDiv w:val="1"/>
      <w:marLeft w:val="0"/>
      <w:marRight w:val="0"/>
      <w:marTop w:val="0"/>
      <w:marBottom w:val="0"/>
      <w:divBdr>
        <w:top w:val="none" w:sz="0" w:space="0" w:color="auto"/>
        <w:left w:val="none" w:sz="0" w:space="0" w:color="auto"/>
        <w:bottom w:val="none" w:sz="0" w:space="0" w:color="auto"/>
        <w:right w:val="none" w:sz="0" w:space="0" w:color="auto"/>
      </w:divBdr>
    </w:div>
    <w:div w:id="1357075793">
      <w:bodyDiv w:val="1"/>
      <w:marLeft w:val="0"/>
      <w:marRight w:val="0"/>
      <w:marTop w:val="0"/>
      <w:marBottom w:val="0"/>
      <w:divBdr>
        <w:top w:val="none" w:sz="0" w:space="0" w:color="auto"/>
        <w:left w:val="none" w:sz="0" w:space="0" w:color="auto"/>
        <w:bottom w:val="none" w:sz="0" w:space="0" w:color="auto"/>
        <w:right w:val="none" w:sz="0" w:space="0" w:color="auto"/>
      </w:divBdr>
      <w:divsChild>
        <w:div w:id="804589512">
          <w:marLeft w:val="547"/>
          <w:marRight w:val="0"/>
          <w:marTop w:val="77"/>
          <w:marBottom w:val="0"/>
          <w:divBdr>
            <w:top w:val="none" w:sz="0" w:space="0" w:color="auto"/>
            <w:left w:val="none" w:sz="0" w:space="0" w:color="auto"/>
            <w:bottom w:val="none" w:sz="0" w:space="0" w:color="auto"/>
            <w:right w:val="none" w:sz="0" w:space="0" w:color="auto"/>
          </w:divBdr>
        </w:div>
        <w:div w:id="1958557562">
          <w:marLeft w:val="547"/>
          <w:marRight w:val="0"/>
          <w:marTop w:val="77"/>
          <w:marBottom w:val="0"/>
          <w:divBdr>
            <w:top w:val="none" w:sz="0" w:space="0" w:color="auto"/>
            <w:left w:val="none" w:sz="0" w:space="0" w:color="auto"/>
            <w:bottom w:val="none" w:sz="0" w:space="0" w:color="auto"/>
            <w:right w:val="none" w:sz="0" w:space="0" w:color="auto"/>
          </w:divBdr>
        </w:div>
        <w:div w:id="1336886539">
          <w:marLeft w:val="547"/>
          <w:marRight w:val="0"/>
          <w:marTop w:val="77"/>
          <w:marBottom w:val="0"/>
          <w:divBdr>
            <w:top w:val="none" w:sz="0" w:space="0" w:color="auto"/>
            <w:left w:val="none" w:sz="0" w:space="0" w:color="auto"/>
            <w:bottom w:val="none" w:sz="0" w:space="0" w:color="auto"/>
            <w:right w:val="none" w:sz="0" w:space="0" w:color="auto"/>
          </w:divBdr>
        </w:div>
        <w:div w:id="1596555085">
          <w:marLeft w:val="547"/>
          <w:marRight w:val="0"/>
          <w:marTop w:val="77"/>
          <w:marBottom w:val="0"/>
          <w:divBdr>
            <w:top w:val="none" w:sz="0" w:space="0" w:color="auto"/>
            <w:left w:val="none" w:sz="0" w:space="0" w:color="auto"/>
            <w:bottom w:val="none" w:sz="0" w:space="0" w:color="auto"/>
            <w:right w:val="none" w:sz="0" w:space="0" w:color="auto"/>
          </w:divBdr>
        </w:div>
      </w:divsChild>
    </w:div>
    <w:div w:id="1589195775">
      <w:bodyDiv w:val="1"/>
      <w:marLeft w:val="0"/>
      <w:marRight w:val="0"/>
      <w:marTop w:val="0"/>
      <w:marBottom w:val="0"/>
      <w:divBdr>
        <w:top w:val="none" w:sz="0" w:space="0" w:color="auto"/>
        <w:left w:val="none" w:sz="0" w:space="0" w:color="auto"/>
        <w:bottom w:val="none" w:sz="0" w:space="0" w:color="auto"/>
        <w:right w:val="none" w:sz="0" w:space="0" w:color="auto"/>
      </w:divBdr>
      <w:divsChild>
        <w:div w:id="1492133536">
          <w:marLeft w:val="0"/>
          <w:marRight w:val="0"/>
          <w:marTop w:val="0"/>
          <w:marBottom w:val="0"/>
          <w:divBdr>
            <w:top w:val="none" w:sz="0" w:space="0" w:color="auto"/>
            <w:left w:val="none" w:sz="0" w:space="0" w:color="auto"/>
            <w:bottom w:val="none" w:sz="0" w:space="0" w:color="auto"/>
            <w:right w:val="none" w:sz="0" w:space="0" w:color="auto"/>
          </w:divBdr>
          <w:divsChild>
            <w:div w:id="14429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8231">
      <w:bodyDiv w:val="1"/>
      <w:marLeft w:val="0"/>
      <w:marRight w:val="0"/>
      <w:marTop w:val="0"/>
      <w:marBottom w:val="0"/>
      <w:divBdr>
        <w:top w:val="none" w:sz="0" w:space="0" w:color="auto"/>
        <w:left w:val="none" w:sz="0" w:space="0" w:color="auto"/>
        <w:bottom w:val="none" w:sz="0" w:space="0" w:color="auto"/>
        <w:right w:val="none" w:sz="0" w:space="0" w:color="auto"/>
      </w:divBdr>
    </w:div>
    <w:div w:id="1770199533">
      <w:bodyDiv w:val="1"/>
      <w:marLeft w:val="0"/>
      <w:marRight w:val="0"/>
      <w:marTop w:val="0"/>
      <w:marBottom w:val="0"/>
      <w:divBdr>
        <w:top w:val="none" w:sz="0" w:space="0" w:color="auto"/>
        <w:left w:val="none" w:sz="0" w:space="0" w:color="auto"/>
        <w:bottom w:val="none" w:sz="0" w:space="0" w:color="auto"/>
        <w:right w:val="none" w:sz="0" w:space="0" w:color="auto"/>
      </w:divBdr>
    </w:div>
    <w:div w:id="20518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abs/pii/S1424390317308591?via%3Dihub" TargetMode="External"/><Relationship Id="rId21" Type="http://schemas.openxmlformats.org/officeDocument/2006/relationships/image" Target="media/image10.jpeg"/><Relationship Id="rId42" Type="http://schemas.openxmlformats.org/officeDocument/2006/relationships/hyperlink" Target="javascript:;" TargetMode="External"/><Relationship Id="rId63" Type="http://schemas.openxmlformats.org/officeDocument/2006/relationships/hyperlink" Target="javascript:;" TargetMode="External"/><Relationship Id="rId84" Type="http://schemas.openxmlformats.org/officeDocument/2006/relationships/hyperlink" Target="https://www.ncbi.nlm.nih.gov/pubmed/?term=Sand%20J%5BAuthor%5D&amp;cauthor=true&amp;cauthor_uid=25013787" TargetMode="External"/><Relationship Id="rId138" Type="http://schemas.openxmlformats.org/officeDocument/2006/relationships/hyperlink" Target="https://www.ncbi.nlm.nih.gov/pubmed/?term=Loubeau%20JM%5BAuthor%5D&amp;cauthor=true&amp;cauthor_uid=1987857" TargetMode="External"/><Relationship Id="rId159" Type="http://schemas.openxmlformats.org/officeDocument/2006/relationships/hyperlink" Target="https://www.prolekare.cz/casopisy/rozhledy-v-chirurgii/archiv-cisel/2015-5-2" TargetMode="External"/><Relationship Id="rId107" Type="http://schemas.openxmlformats.org/officeDocument/2006/relationships/hyperlink" Target="https://www.ncbi.nlm.nih.gov/pubmed/?term=Biondetti%20P%5BAuthor%5D&amp;cauthor=true&amp;cauthor_uid=31183325" TargetMode="External"/><Relationship Id="rId11" Type="http://schemas.openxmlformats.org/officeDocument/2006/relationships/image" Target="https://www.ncbi.nlm.nih.gov/pmc/articles/PMC6490460/bin/CLD-5-54-g001.jpg" TargetMode="External"/><Relationship Id="rId32" Type="http://schemas.openxmlformats.org/officeDocument/2006/relationships/hyperlink" Target="https://link.springer.com/journal/104" TargetMode="External"/><Relationship Id="rId53" Type="http://schemas.openxmlformats.org/officeDocument/2006/relationships/image" Target="media/image27.jpeg"/><Relationship Id="rId74" Type="http://schemas.openxmlformats.org/officeDocument/2006/relationships/hyperlink" Target="https://www.ncbi.nlm.nih.gov/pubmed/?term=Myung%20SJ%5BAuthor%5D&amp;cauthor=true&amp;cauthor_uid=10406263" TargetMode="External"/><Relationship Id="rId128" Type="http://schemas.openxmlformats.org/officeDocument/2006/relationships/hyperlink" Target="https://www.ncbi.nlm.nih.gov/pubmed/?term=Yang%20Z%5BAuthor%5D&amp;cauthor=true&amp;cauthor_uid=31145305" TargetMode="External"/><Relationship Id="rId149" Type="http://schemas.openxmlformats.org/officeDocument/2006/relationships/hyperlink" Target="https://www.ncbi.nlm.nih.gov/pubmed/?term=Baker%20E%5BAuthor%5D&amp;cauthor=true&amp;cauthor_uid=31285679" TargetMode="External"/><Relationship Id="rId5" Type="http://schemas.openxmlformats.org/officeDocument/2006/relationships/webSettings" Target="webSettings.xml"/><Relationship Id="rId95" Type="http://schemas.openxmlformats.org/officeDocument/2006/relationships/hyperlink" Target="https://www.ncbi.nlm.nih.gov/pubmed/?term=Beumer%20BR%5BAuthor%5D&amp;cauthor=true&amp;cauthor_uid=27160474" TargetMode="External"/><Relationship Id="rId160" Type="http://schemas.openxmlformats.org/officeDocument/2006/relationships/header" Target="header1.xml"/><Relationship Id="rId22" Type="http://schemas.openxmlformats.org/officeDocument/2006/relationships/image" Target="media/image11.jpeg"/><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https://www.sciencedirect.com/science/journal/14243903" TargetMode="External"/><Relationship Id="rId139" Type="http://schemas.openxmlformats.org/officeDocument/2006/relationships/hyperlink" Target="https://www.ncbi.nlm.nih.gov/pubmed/?term=Peoples%20JB%5BAuthor%5D&amp;cauthor=true&amp;cauthor_uid=1987857" TargetMode="External"/><Relationship Id="rId85" Type="http://schemas.openxmlformats.org/officeDocument/2006/relationships/hyperlink" Target="https://www.ncbi.nlm.nih.gov/pubmed/?term=Nordback%20I%5BAuthor%5D&amp;cauthor=true&amp;cauthor_uid=25013787" TargetMode="External"/><Relationship Id="rId150" Type="http://schemas.openxmlformats.org/officeDocument/2006/relationships/hyperlink" Target="https://www.ncbi.nlm.nih.gov/pubmed/?term=Siddiqui%20I%5BAuthor%5D&amp;cauthor=true&amp;cauthor_uid=31285679" TargetMode="Externa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19.jpeg"/><Relationship Id="rId59" Type="http://schemas.openxmlformats.org/officeDocument/2006/relationships/hyperlink" Target="https://www.ncbi.nlm.nih.gov/pubmed/31255207" TargetMode="External"/><Relationship Id="rId103" Type="http://schemas.openxmlformats.org/officeDocument/2006/relationships/hyperlink" Target="https://www.ncbi.nlm.nih.gov/pmc/articles/PMC5831426/" TargetMode="External"/><Relationship Id="rId108" Type="http://schemas.openxmlformats.org/officeDocument/2006/relationships/hyperlink" Target="https://www.ncbi.nlm.nih.gov/pubmed/?term=Fumarola%20EM%5BAuthor%5D&amp;cauthor=true&amp;cauthor_uid=31183325" TargetMode="External"/><Relationship Id="rId124" Type="http://schemas.openxmlformats.org/officeDocument/2006/relationships/hyperlink" Target="https://www.ncbi.nlm.nih.gov/pmc/articles/PMC4333780/" TargetMode="External"/><Relationship Id="rId129" Type="http://schemas.openxmlformats.org/officeDocument/2006/relationships/hyperlink" Target="https://www.ncbi.nlm.nih.gov/pmc/articles/PMC6708627/" TargetMode="External"/><Relationship Id="rId54" Type="http://schemas.openxmlformats.org/officeDocument/2006/relationships/image" Target="media/image28.jpeg"/><Relationship Id="rId70" Type="http://schemas.openxmlformats.org/officeDocument/2006/relationships/hyperlink" Target="https://www.ncbi.nlm.nih.gov/pubmed/?term=Chari%20ST%5BAuthor%5D&amp;cauthor=true&amp;cauthor_uid=23000893" TargetMode="External"/><Relationship Id="rId75" Type="http://schemas.openxmlformats.org/officeDocument/2006/relationships/hyperlink" Target="https://www.ncbi.nlm.nih.gov/pubmed/10406263" TargetMode="External"/><Relationship Id="rId91" Type="http://schemas.openxmlformats.org/officeDocument/2006/relationships/hyperlink" Target="https://www.ncbi.nlm.nih.gov/pubmed/?term=Are%20C%5BAuthor%5D&amp;cauthor=true&amp;cauthor_uid=21609369" TargetMode="External"/><Relationship Id="rId96" Type="http://schemas.openxmlformats.org/officeDocument/2006/relationships/hyperlink" Target="https://www.ncbi.nlm.nih.gov/pubmed/?term=Sadot%20E%5BAuthor%5D&amp;cauthor=true&amp;cauthor_uid=27160474" TargetMode="External"/><Relationship Id="rId140" Type="http://schemas.openxmlformats.org/officeDocument/2006/relationships/hyperlink" Target="https://www.ncbi.nlm.nih.gov/pubmed/?term=Yekebas%20EF%5BAuthor%5D&amp;cauthor=true&amp;cauthor_uid=17667506" TargetMode="External"/><Relationship Id="rId145" Type="http://schemas.openxmlformats.org/officeDocument/2006/relationships/hyperlink" Target="https://www.ncbi.nlm.nih.gov/pubmed/?term=Winslow%20E%5BAuthor%5D&amp;cauthor=true&amp;cauthor_uid=23620151"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 TargetMode="External"/><Relationship Id="rId28" Type="http://schemas.openxmlformats.org/officeDocument/2006/relationships/hyperlink" Target="https://link.springer.com/journal/104" TargetMode="External"/><Relationship Id="rId49" Type="http://schemas.openxmlformats.org/officeDocument/2006/relationships/image" Target="media/image23.jpeg"/><Relationship Id="rId114" Type="http://schemas.openxmlformats.org/officeDocument/2006/relationships/hyperlink" Target="https://www.hpbonline.org/issue/S1365-182X(19)X0010-6" TargetMode="External"/><Relationship Id="rId119" Type="http://schemas.openxmlformats.org/officeDocument/2006/relationships/hyperlink" Target="https://www.sciencedirect.com/science/journal/14243903/17/6" TargetMode="External"/><Relationship Id="rId44" Type="http://schemas.openxmlformats.org/officeDocument/2006/relationships/hyperlink" Target="https://link.springer.com/journal/104" TargetMode="External"/><Relationship Id="rId60" Type="http://schemas.openxmlformats.org/officeDocument/2006/relationships/hyperlink" Target="https://www.ncbi.nlm.nih.gov/pmc/articles/PMC5124974/" TargetMode="External"/><Relationship Id="rId65" Type="http://schemas.openxmlformats.org/officeDocument/2006/relationships/hyperlink" Target="javascript:;" TargetMode="External"/><Relationship Id="rId81" Type="http://schemas.openxmlformats.org/officeDocument/2006/relationships/hyperlink" Target="https://www.ncbi.nlm.nih.gov/pubmed/?term=Khatkov%20I%5BAuthor%5D&amp;cauthor=true&amp;cauthor_uid=30225383" TargetMode="External"/><Relationship Id="rId86" Type="http://schemas.openxmlformats.org/officeDocument/2006/relationships/hyperlink" Target="https://www.ncbi.nlm.nih.gov/pubmed/?term=Probst%20P%5BAuthor%5D&amp;cauthor=true&amp;cauthor_uid=26544925" TargetMode="External"/><Relationship Id="rId130" Type="http://schemas.openxmlformats.org/officeDocument/2006/relationships/hyperlink" Target="https://www.ncbi.nlm.nih.gov/pubmed/?term=Hart%20PA%5BAuthor%5D&amp;cauthor=true&amp;cauthor_uid=28404095" TargetMode="External"/><Relationship Id="rId135" Type="http://schemas.openxmlformats.org/officeDocument/2006/relationships/hyperlink" Target="https://www.ncbi.nlm.nih.gov/pubmed/?term=Pedrazzoli%20S%5BAuthor%5D&amp;cauthor=true&amp;cauthor_uid=28489778" TargetMode="External"/><Relationship Id="rId151" Type="http://schemas.openxmlformats.org/officeDocument/2006/relationships/hyperlink" Target="https://www.ncbi.nlm.nih.gov/pmc/articles/PMC6588066/" TargetMode="External"/><Relationship Id="rId156" Type="http://schemas.openxmlformats.org/officeDocument/2006/relationships/hyperlink" Target="https://www.ncbi.nlm.nih.gov/pubmed/?term=Grabenbauer%20GG%5BAuthor%5D&amp;cauthor=true&amp;cauthor_uid=17338829"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javascript:;" TargetMode="External"/><Relationship Id="rId109" Type="http://schemas.openxmlformats.org/officeDocument/2006/relationships/hyperlink" Target="https://www.ncbi.nlm.nih.gov/pubmed/?term=Ierardi%20AM%5BAuthor%5D&amp;cauthor=true&amp;cauthor_uid=31183325" TargetMode="External"/><Relationship Id="rId34" Type="http://schemas.openxmlformats.org/officeDocument/2006/relationships/image" Target="media/image17.jpeg"/><Relationship Id="rId50" Type="http://schemas.openxmlformats.org/officeDocument/2006/relationships/image" Target="media/image24.png"/><Relationship Id="rId55" Type="http://schemas.openxmlformats.org/officeDocument/2006/relationships/image" Target="media/image29.jpeg"/><Relationship Id="rId76" Type="http://schemas.openxmlformats.org/officeDocument/2006/relationships/hyperlink" Target="https://www.ncbi.nlm.nih.gov/pubmed/?term=Are%20C%5BAuthor%5D&amp;cauthor=true&amp;cauthor_uid=21609369" TargetMode="External"/><Relationship Id="rId97" Type="http://schemas.openxmlformats.org/officeDocument/2006/relationships/hyperlink" Target="https://www.ncbi.nlm.nih.gov/pubmed/?term=Heinrich%20S%5BAuthor%5D&amp;cauthor=true&amp;cauthor_uid=21831266" TargetMode="External"/><Relationship Id="rId104" Type="http://schemas.openxmlformats.org/officeDocument/2006/relationships/hyperlink" Target="https://www.ncbi.nlm.nih.gov/pubmed/?term=%26%23x0010c%3Be%26%23x0010d%3Bka%20F%5BAuthor%5D&amp;cauthor=true&amp;cauthor_uid=26523110" TargetMode="External"/><Relationship Id="rId120" Type="http://schemas.openxmlformats.org/officeDocument/2006/relationships/hyperlink" Target="https://link.springer.com/journal/11605" TargetMode="External"/><Relationship Id="rId125" Type="http://schemas.openxmlformats.org/officeDocument/2006/relationships/hyperlink" Target="https://link.springer.com/journal/11605" TargetMode="External"/><Relationship Id="rId141" Type="http://schemas.openxmlformats.org/officeDocument/2006/relationships/hyperlink" Target="https://www.ncbi.nlm.nih.gov/pubmed/?term=Wolfram%20L%5BAuthor%5D&amp;cauthor=true&amp;cauthor_uid=17667506" TargetMode="External"/><Relationship Id="rId146" Type="http://schemas.openxmlformats.org/officeDocument/2006/relationships/hyperlink" Target="https://www.ncbi.nlm.nih.gov/pubmed/?term=Kooby%20D%5BAuthor%5D&amp;cauthor=true&amp;cauthor_uid=23620151" TargetMode="External"/><Relationship Id="rId7" Type="http://schemas.openxmlformats.org/officeDocument/2006/relationships/endnotes" Target="endnotes.xml"/><Relationship Id="rId71" Type="http://schemas.openxmlformats.org/officeDocument/2006/relationships/hyperlink" Target="https://www.ncbi.nlm.nih.gov/entrez/eutils/elink.fcgi?dbfrom=pubmed&amp;retmode=ref&amp;cmd=prlinks&amp;id=23000893" TargetMode="External"/><Relationship Id="rId92" Type="http://schemas.openxmlformats.org/officeDocument/2006/relationships/hyperlink" Target="https://www.ncbi.nlm.nih.gov/pubmed/?term=Dhir%20M%5BAuthor%5D&amp;cauthor=true&amp;cauthor_uid=21609369"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link.springer.com/journal/104" TargetMode="External"/><Relationship Id="rId40" Type="http://schemas.openxmlformats.org/officeDocument/2006/relationships/hyperlink" Target="https://link.springer.com/journal/104" TargetMode="External"/><Relationship Id="rId45" Type="http://schemas.openxmlformats.org/officeDocument/2006/relationships/image" Target="media/image21.jpeg"/><Relationship Id="rId66" Type="http://schemas.openxmlformats.org/officeDocument/2006/relationships/hyperlink" Target="https://www.sciencedirect.com/science/journal/15216918" TargetMode="External"/><Relationship Id="rId87" Type="http://schemas.openxmlformats.org/officeDocument/2006/relationships/hyperlink" Target="https://www.ncbi.nlm.nih.gov/pubmed/?term=H%C3%BCttner%20FJ%5BAuthor%5D&amp;cauthor=true&amp;cauthor_uid=26544925" TargetMode="External"/><Relationship Id="rId110" Type="http://schemas.openxmlformats.org/officeDocument/2006/relationships/hyperlink" Target="https://www.ncbi.nlm.nih.gov/pmc/articles/PMC6534758/" TargetMode="External"/><Relationship Id="rId115" Type="http://schemas.openxmlformats.org/officeDocument/2006/relationships/hyperlink" Target="https://www.sciencedirect.com/science/article/abs/pii/S1424390317308591?via%3Dihub" TargetMode="External"/><Relationship Id="rId131" Type="http://schemas.openxmlformats.org/officeDocument/2006/relationships/hyperlink" Target="https://www.ncbi.nlm.nih.gov/pubmed/?term=Bellin%20MD%5BAuthor%5D&amp;cauthor=true&amp;cauthor_uid=28404095" TargetMode="External"/><Relationship Id="rId136" Type="http://schemas.openxmlformats.org/officeDocument/2006/relationships/hyperlink" Target="https://www.ncbi.nlm.nih.gov/pmc/articles/PMC5428612/" TargetMode="External"/><Relationship Id="rId157" Type="http://schemas.openxmlformats.org/officeDocument/2006/relationships/hyperlink" Target="https://www.ncbi.nlm.nih.gov/pubmed/?term=Meyer%20T%5BAuthor%5D&amp;cauthor=true&amp;cauthor_uid=17338829" TargetMode="External"/><Relationship Id="rId61" Type="http://schemas.openxmlformats.org/officeDocument/2006/relationships/hyperlink" Target="javascript:;" TargetMode="External"/><Relationship Id="rId82" Type="http://schemas.openxmlformats.org/officeDocument/2006/relationships/hyperlink" Target="https://www.ncbi.nlm.nih.gov/pmc/articles/PMC6131158/" TargetMode="External"/><Relationship Id="rId152" Type="http://schemas.openxmlformats.org/officeDocument/2006/relationships/hyperlink" Target="https://pubmed.ncbi.nlm.nih.gov/?term=Amano+H&amp;cauthor_id=19844653" TargetMode="External"/><Relationship Id="rId19" Type="http://schemas.openxmlformats.org/officeDocument/2006/relationships/hyperlink" Target="javascript:;" TargetMode="External"/><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hyperlink" Target="javascript:;" TargetMode="External"/><Relationship Id="rId56" Type="http://schemas.openxmlformats.org/officeDocument/2006/relationships/image" Target="media/image30.jpeg"/><Relationship Id="rId77" Type="http://schemas.openxmlformats.org/officeDocument/2006/relationships/hyperlink" Target="https://www.ncbi.nlm.nih.gov/pubmed/?term=Dhir%20M%5BAuthor%5D&amp;cauthor=true&amp;cauthor_uid=21609369" TargetMode="External"/><Relationship Id="rId100" Type="http://schemas.openxmlformats.org/officeDocument/2006/relationships/hyperlink" Target="https://www.ncbi.nlm.nih.gov/pubmed/?term=Smits%20FJ%5BAuthor%5D&amp;cauthor=true&amp;cauthor_uid=28241220" TargetMode="External"/><Relationship Id="rId105" Type="http://schemas.openxmlformats.org/officeDocument/2006/relationships/hyperlink" Target="https://www.ncbi.nlm.nih.gov/pubmed/?term=Love%26%23x0010d%3Bek%20M%5BAuthor%5D&amp;cauthor=true&amp;cauthor_uid=26523110" TargetMode="External"/><Relationship Id="rId126" Type="http://schemas.openxmlformats.org/officeDocument/2006/relationships/hyperlink" Target="https://www.ncbi.nlm.nih.gov/pubmed/?term=Zhao%20N%5BAuthor%5D&amp;cauthor=true&amp;cauthor_uid=31145305" TargetMode="External"/><Relationship Id="rId147" Type="http://schemas.openxmlformats.org/officeDocument/2006/relationships/hyperlink" Target="https://www.ncbi.nlm.nih.gov/pubmed/23620151" TargetMode="External"/><Relationship Id="rId8" Type="http://schemas.openxmlformats.org/officeDocument/2006/relationships/hyperlink" Target="https://www.wikiskripta.eu/w/Ascites" TargetMode="External"/><Relationship Id="rId51" Type="http://schemas.openxmlformats.org/officeDocument/2006/relationships/image" Target="media/image25.jpeg"/><Relationship Id="rId72" Type="http://schemas.openxmlformats.org/officeDocument/2006/relationships/hyperlink" Target="https://www.ncbi.nlm.nih.gov/pubmed/?term=Kim%20HJ%5BAuthor%5D&amp;cauthor=true&amp;cauthor_uid=10406263" TargetMode="External"/><Relationship Id="rId93" Type="http://schemas.openxmlformats.org/officeDocument/2006/relationships/hyperlink" Target="https://www.ncbi.nlm.nih.gov/pubmed/?term=Ravipati%20L%5BAuthor%5D&amp;cauthor=true&amp;cauthor_uid=21609369" TargetMode="External"/><Relationship Id="rId98" Type="http://schemas.openxmlformats.org/officeDocument/2006/relationships/hyperlink" Target="https://www.ncbi.nlm.nih.gov/pubmed/?term=Pestalozzi%20B%5BAuthor%5D&amp;cauthor=true&amp;cauthor_uid=21831266" TargetMode="External"/><Relationship Id="rId121" Type="http://schemas.openxmlformats.org/officeDocument/2006/relationships/hyperlink" Target="https://www.ncbi.nlm.nih.gov/pubmed/?term=Bell%20R%5BAuthor%5D&amp;cauthor=true&amp;cauthor_uid=25267428" TargetMode="External"/><Relationship Id="rId142" Type="http://schemas.openxmlformats.org/officeDocument/2006/relationships/hyperlink" Target="https://www.ncbi.nlm.nih.gov/pubmed/?term=Cataldegirmen%20G%5BAuthor%5D&amp;cauthor=true&amp;cauthor_uid=17667506"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s://www.sciencedirect.com/science/article/pii/S101595841630392X" TargetMode="External"/><Relationship Id="rId67" Type="http://schemas.openxmlformats.org/officeDocument/2006/relationships/hyperlink" Target="https://www.sciencedirect.com/science/journal/15216918/24/3" TargetMode="External"/><Relationship Id="rId116" Type="http://schemas.openxmlformats.org/officeDocument/2006/relationships/hyperlink" Target="https://www.sciencedirect.com/science/article/abs/pii/S1424390317308591?via%3Dihub" TargetMode="External"/><Relationship Id="rId137" Type="http://schemas.openxmlformats.org/officeDocument/2006/relationships/hyperlink" Target="https://www.ncbi.nlm.nih.gov/pubmed/?term=Greene%20BS%5BAuthor%5D&amp;cauthor=true&amp;cauthor_uid=1987857" TargetMode="External"/><Relationship Id="rId158" Type="http://schemas.openxmlformats.org/officeDocument/2006/relationships/hyperlink" Target="https://www.ncbi.nlm.nih.gov/pmc/articles/PMC1821337/" TargetMode="External"/><Relationship Id="rId20" Type="http://schemas.openxmlformats.org/officeDocument/2006/relationships/hyperlink" Target="https://link.springer.com/journal/104" TargetMode="External"/><Relationship Id="rId41" Type="http://schemas.openxmlformats.org/officeDocument/2006/relationships/image" Target="media/image20.png"/><Relationship Id="rId62" Type="http://schemas.openxmlformats.org/officeDocument/2006/relationships/hyperlink" Target="javascript:;" TargetMode="External"/><Relationship Id="rId83" Type="http://schemas.openxmlformats.org/officeDocument/2006/relationships/hyperlink" Target="https://www.ncbi.nlm.nih.gov/pubmed/?term=Antila%20A%5BAuthor%5D&amp;cauthor=true&amp;cauthor_uid=25013787" TargetMode="External"/><Relationship Id="rId88" Type="http://schemas.openxmlformats.org/officeDocument/2006/relationships/hyperlink" Target="https://www.ncbi.nlm.nih.gov/pubmed/?term=Klaiber%20U%5BAuthor%5D&amp;cauthor=true&amp;cauthor_uid=26544925" TargetMode="External"/><Relationship Id="rId111" Type="http://schemas.openxmlformats.org/officeDocument/2006/relationships/hyperlink" Target="javascript:void(0);" TargetMode="External"/><Relationship Id="rId132" Type="http://schemas.openxmlformats.org/officeDocument/2006/relationships/hyperlink" Target="https://www.ncbi.nlm.nih.gov/pubmed/?term=Andersen%20DK%5BAuthor%5D&amp;cauthor=true&amp;cauthor_uid=28404095" TargetMode="External"/><Relationship Id="rId153" Type="http://schemas.openxmlformats.org/officeDocument/2006/relationships/hyperlink" Target="https://pubmed.ncbi.nlm.nih.gov/?term=Miura+F&amp;cauthor_id=19844653" TargetMode="External"/><Relationship Id="rId15" Type="http://schemas.openxmlformats.org/officeDocument/2006/relationships/image" Target="media/image6.jpeg"/><Relationship Id="rId36" Type="http://schemas.openxmlformats.org/officeDocument/2006/relationships/hyperlink" Target="https://link.springer.com/journal/104" TargetMode="External"/><Relationship Id="rId57" Type="http://schemas.openxmlformats.org/officeDocument/2006/relationships/hyperlink" Target="https://www.ncbi.nlm.nih.gov/pubmed/?term=Scott%20AT%5BAuthor%5D&amp;cauthor=true&amp;cauthor_uid=31255207" TargetMode="External"/><Relationship Id="rId106" Type="http://schemas.openxmlformats.org/officeDocument/2006/relationships/hyperlink" Target="https://www.ncbi.nlm.nih.gov/pmc/articles/PMC4616221/" TargetMode="External"/><Relationship Id="rId127" Type="http://schemas.openxmlformats.org/officeDocument/2006/relationships/hyperlink" Target="https://www.ncbi.nlm.nih.gov/pubmed/?term=Cui%20J%5BAuthor%5D&amp;cauthor=true&amp;cauthor_uid=31145305" TargetMode="External"/><Relationship Id="rId10" Type="http://schemas.openxmlformats.org/officeDocument/2006/relationships/image" Target="media/image2.jpeg"/><Relationship Id="rId31" Type="http://schemas.openxmlformats.org/officeDocument/2006/relationships/hyperlink" Target="javascript:;" TargetMode="External"/><Relationship Id="rId52" Type="http://schemas.openxmlformats.org/officeDocument/2006/relationships/image" Target="media/image26.jpeg"/><Relationship Id="rId73" Type="http://schemas.openxmlformats.org/officeDocument/2006/relationships/hyperlink" Target="https://www.ncbi.nlm.nih.gov/pubmed/?term=Kim%20MH%5BAuthor%5D&amp;cauthor=true&amp;cauthor_uid=10406263" TargetMode="External"/><Relationship Id="rId78" Type="http://schemas.openxmlformats.org/officeDocument/2006/relationships/hyperlink" Target="https://www.ncbi.nlm.nih.gov/pubmed/?term=Ravipati%20L%5BAuthor%5D&amp;cauthor=true&amp;cauthor_uid=21609369" TargetMode="External"/><Relationship Id="rId94" Type="http://schemas.openxmlformats.org/officeDocument/2006/relationships/hyperlink" Target="https://www.ncbi.nlm.nih.gov/pubmed/?term=Suker%20M%5BAuthor%5D&amp;cauthor=true&amp;cauthor_uid=27160474" TargetMode="External"/><Relationship Id="rId99" Type="http://schemas.openxmlformats.org/officeDocument/2006/relationships/hyperlink" Target="https://www.ncbi.nlm.nih.gov/pubmed/?term=Lesurtel%20M%5BAuthor%5D&amp;cauthor=true&amp;cauthor_uid=21831266" TargetMode="External"/><Relationship Id="rId101" Type="http://schemas.openxmlformats.org/officeDocument/2006/relationships/hyperlink" Target="https://www.ncbi.nlm.nih.gov/pubmed/?term=van%20Santvoort%20HC%5BAuthor%5D&amp;cauthor=true&amp;cauthor_uid=28241220" TargetMode="External"/><Relationship Id="rId122" Type="http://schemas.openxmlformats.org/officeDocument/2006/relationships/hyperlink" Target="https://www.ncbi.nlm.nih.gov/pubmed/?term=Pandanaboyana%20S%5BAuthor%5D&amp;cauthor=true&amp;cauthor_uid=25267428" TargetMode="External"/><Relationship Id="rId143" Type="http://schemas.openxmlformats.org/officeDocument/2006/relationships/hyperlink" Target="https://www.ncbi.nlm.nih.gov/pmc/articles/PMC1933568/" TargetMode="External"/><Relationship Id="rId148" Type="http://schemas.openxmlformats.org/officeDocument/2006/relationships/hyperlink" Target="https://www.ncbi.nlm.nih.gov/pubmed/?term=Passeri%20M%5BAuthor%5D&amp;cauthor=true&amp;cauthor_uid=31285679"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3.jpeg"/><Relationship Id="rId47" Type="http://schemas.openxmlformats.org/officeDocument/2006/relationships/hyperlink" Target="https://www.sciencedirect.com/science/journal/10159584" TargetMode="External"/><Relationship Id="rId68" Type="http://schemas.openxmlformats.org/officeDocument/2006/relationships/hyperlink" Target="https://www.ncbi.nlm.nih.gov/pubmed/?term=Aggarwal%20G%5BAuthor%5D&amp;cauthor=true&amp;cauthor_uid=23000893" TargetMode="External"/><Relationship Id="rId89" Type="http://schemas.openxmlformats.org/officeDocument/2006/relationships/hyperlink" Target="https://www.ncbi.nlm.nih.gov/pubmed/26544925" TargetMode="External"/><Relationship Id="rId112" Type="http://schemas.openxmlformats.org/officeDocument/2006/relationships/hyperlink" Target="javascript:void(0);" TargetMode="External"/><Relationship Id="rId133" Type="http://schemas.openxmlformats.org/officeDocument/2006/relationships/hyperlink" Target="https://www.ncbi.nlm.nih.gov/entrez/eutils/elink.fcgi?dbfrom=pubmed&amp;retmode=ref&amp;cmd=prlinks&amp;id=28404095" TargetMode="External"/><Relationship Id="rId154" Type="http://schemas.openxmlformats.org/officeDocument/2006/relationships/hyperlink" Target="https://pubmed.ncbi.nlm.nih.gov/?term=Toyota+N&amp;cauthor_id=19844653" TargetMode="External"/><Relationship Id="rId16" Type="http://schemas.openxmlformats.org/officeDocument/2006/relationships/image" Target="media/image7.jpeg"/><Relationship Id="rId37" Type="http://schemas.openxmlformats.org/officeDocument/2006/relationships/image" Target="media/image18.jpeg"/><Relationship Id="rId58" Type="http://schemas.openxmlformats.org/officeDocument/2006/relationships/hyperlink" Target="https://www.ncbi.nlm.nih.gov/pubmed/?term=Howe%20JR%5BAuthor%5D&amp;cauthor=true&amp;cauthor_uid=31255207" TargetMode="External"/><Relationship Id="rId79" Type="http://schemas.openxmlformats.org/officeDocument/2006/relationships/hyperlink" Target="https://www.ncbi.nlm.nih.gov/pubmed/?term=Fingerhut%20A%5BAuthor%5D&amp;cauthor=true&amp;cauthor_uid=30225383" TargetMode="External"/><Relationship Id="rId102" Type="http://schemas.openxmlformats.org/officeDocument/2006/relationships/hyperlink" Target="https://www.ncbi.nlm.nih.gov/pubmed/?term=Besselink%20MG%5BAuthor%5D&amp;cauthor=true&amp;cauthor_uid=28241220" TargetMode="External"/><Relationship Id="rId123" Type="http://schemas.openxmlformats.org/officeDocument/2006/relationships/hyperlink" Target="https://www.ncbi.nlm.nih.gov/pubmed/?term=Shah%20N%5BAuthor%5D&amp;cauthor=true&amp;cauthor_uid=25267428" TargetMode="External"/><Relationship Id="rId144" Type="http://schemas.openxmlformats.org/officeDocument/2006/relationships/hyperlink" Target="https://www.ncbi.nlm.nih.gov/pubmed/?term=Kelly%20KJ%5BAuthor%5D&amp;cauthor=true&amp;cauthor_uid=23620151" TargetMode="External"/><Relationship Id="rId90" Type="http://schemas.openxmlformats.org/officeDocument/2006/relationships/hyperlink" Target="mailto:mtsong21c@amc.seoul.kr" TargetMode="External"/><Relationship Id="rId27" Type="http://schemas.openxmlformats.org/officeDocument/2006/relationships/hyperlink" Target="javascript:;" TargetMode="External"/><Relationship Id="rId48" Type="http://schemas.openxmlformats.org/officeDocument/2006/relationships/image" Target="media/image22.jpeg"/><Relationship Id="rId69" Type="http://schemas.openxmlformats.org/officeDocument/2006/relationships/hyperlink" Target="https://www.ncbi.nlm.nih.gov/pubmed/?term=Kamada%20P%5BAuthor%5D&amp;cauthor=true&amp;cauthor_uid=23000893" TargetMode="External"/><Relationship Id="rId113" Type="http://schemas.openxmlformats.org/officeDocument/2006/relationships/hyperlink" Target="javascript:void(0);" TargetMode="External"/><Relationship Id="rId134" Type="http://schemas.openxmlformats.org/officeDocument/2006/relationships/hyperlink" Target="https://www.scopus.com/sourceid/20440?origin=recordpage" TargetMode="External"/><Relationship Id="rId80" Type="http://schemas.openxmlformats.org/officeDocument/2006/relationships/hyperlink" Target="https://www.ncbi.nlm.nih.gov/pubmed/?term=Uranues%20S%5BAuthor%5D&amp;cauthor=true&amp;cauthor_uid=30225383" TargetMode="External"/><Relationship Id="rId155" Type="http://schemas.openxmlformats.org/officeDocument/2006/relationships/hyperlink" Target="https://www.ncbi.nlm.nih.gov/pubmed/?term=Brunner%20TB%5BAuthor%5D&amp;cauthor=true&amp;cauthor_uid=173388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3C7C54-7190-4D2D-ABAF-171E0ACD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88</Pages>
  <Words>20699</Words>
  <Characters>146057</Characters>
  <Application>Microsoft Office Word</Application>
  <DocSecurity>0</DocSecurity>
  <Lines>1217</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chiramb</dc:creator>
  <cp:keywords/>
  <dc:description/>
  <cp:lastModifiedBy>Tesaříková Jana, MUDr.</cp:lastModifiedBy>
  <cp:revision>3</cp:revision>
  <cp:lastPrinted>2021-07-17T13:06:00Z</cp:lastPrinted>
  <dcterms:created xsi:type="dcterms:W3CDTF">2021-08-09T09:04:00Z</dcterms:created>
  <dcterms:modified xsi:type="dcterms:W3CDTF">2021-08-09T09:11:00Z</dcterms:modified>
</cp:coreProperties>
</file>