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23EC" w14:textId="77777777" w:rsidR="00A704A5" w:rsidRPr="00D7020C" w:rsidRDefault="0039575E" w:rsidP="00D7020C">
      <w:pPr>
        <w:pStyle w:val="Nadpisobsahu"/>
        <w:spacing w:line="360" w:lineRule="auto"/>
        <w:jc w:val="center"/>
        <w:rPr>
          <w:rFonts w:ascii="Times New Roman" w:hAnsi="Times New Roman"/>
          <w:b/>
          <w:bCs/>
          <w:color w:val="000000" w:themeColor="text1"/>
          <w:sz w:val="32"/>
          <w:szCs w:val="36"/>
        </w:rPr>
      </w:pPr>
      <w:r w:rsidRPr="00D7020C">
        <w:rPr>
          <w:rFonts w:ascii="Times New Roman" w:hAnsi="Times New Roman"/>
          <w:b/>
          <w:bCs/>
          <w:color w:val="000000" w:themeColor="text1"/>
          <w:sz w:val="32"/>
          <w:szCs w:val="36"/>
        </w:rPr>
        <w:t>MORAVSKÁ VYSOKÁ ŠKOLA OLOMOUC</w:t>
      </w:r>
    </w:p>
    <w:p w14:paraId="7A67C9A1" w14:textId="77777777" w:rsidR="0039575E" w:rsidRPr="00805B68" w:rsidRDefault="0039575E" w:rsidP="00D7020C">
      <w:pPr>
        <w:spacing w:line="360" w:lineRule="auto"/>
        <w:jc w:val="center"/>
        <w:rPr>
          <w:sz w:val="28"/>
          <w:szCs w:val="28"/>
        </w:rPr>
      </w:pPr>
      <w:r w:rsidRPr="00805B68">
        <w:rPr>
          <w:sz w:val="28"/>
          <w:szCs w:val="28"/>
        </w:rPr>
        <w:t>Ústav ekonomie</w:t>
      </w:r>
    </w:p>
    <w:p w14:paraId="7AAF2ED4" w14:textId="77777777" w:rsidR="0039575E" w:rsidRPr="0039575E" w:rsidRDefault="0039575E" w:rsidP="00D7020C">
      <w:pPr>
        <w:spacing w:line="360" w:lineRule="auto"/>
        <w:jc w:val="center"/>
      </w:pPr>
    </w:p>
    <w:p w14:paraId="2DA47945" w14:textId="77777777" w:rsidR="0039575E" w:rsidRPr="0039575E" w:rsidRDefault="0039575E" w:rsidP="00D7020C">
      <w:pPr>
        <w:spacing w:line="360" w:lineRule="auto"/>
        <w:jc w:val="center"/>
      </w:pPr>
    </w:p>
    <w:p w14:paraId="19CD2875" w14:textId="77777777" w:rsidR="0039575E" w:rsidRPr="0039575E" w:rsidRDefault="0039575E" w:rsidP="00D7020C">
      <w:pPr>
        <w:spacing w:line="360" w:lineRule="auto"/>
        <w:jc w:val="center"/>
      </w:pPr>
    </w:p>
    <w:p w14:paraId="6E95C28E" w14:textId="77777777" w:rsidR="0039575E" w:rsidRPr="0039575E" w:rsidRDefault="0039575E" w:rsidP="00D7020C">
      <w:pPr>
        <w:spacing w:line="360" w:lineRule="auto"/>
        <w:jc w:val="center"/>
      </w:pPr>
    </w:p>
    <w:p w14:paraId="0255A851" w14:textId="77777777" w:rsidR="0039575E" w:rsidRPr="0039575E" w:rsidRDefault="0039575E" w:rsidP="00D7020C">
      <w:pPr>
        <w:spacing w:line="360" w:lineRule="auto"/>
        <w:jc w:val="center"/>
      </w:pPr>
    </w:p>
    <w:p w14:paraId="2B26E01A" w14:textId="77777777" w:rsidR="0039575E" w:rsidRPr="0039575E" w:rsidRDefault="0039575E" w:rsidP="00D7020C">
      <w:pPr>
        <w:spacing w:line="360" w:lineRule="auto"/>
        <w:jc w:val="center"/>
      </w:pPr>
    </w:p>
    <w:p w14:paraId="0D701387" w14:textId="77777777" w:rsidR="00805B68" w:rsidRDefault="0039575E" w:rsidP="00D7020C">
      <w:pPr>
        <w:spacing w:line="360" w:lineRule="auto"/>
        <w:jc w:val="center"/>
        <w:rPr>
          <w:color w:val="000000"/>
          <w:sz w:val="28"/>
          <w:szCs w:val="28"/>
        </w:rPr>
      </w:pPr>
      <w:r w:rsidRPr="00805B68">
        <w:rPr>
          <w:color w:val="000000"/>
          <w:sz w:val="28"/>
          <w:szCs w:val="28"/>
        </w:rPr>
        <w:t xml:space="preserve">Srovnání vybraných ukazatelů životní úrovně </w:t>
      </w:r>
    </w:p>
    <w:p w14:paraId="1FA9D080" w14:textId="77777777" w:rsidR="0039575E" w:rsidRPr="00805B68" w:rsidRDefault="0039575E" w:rsidP="00D7020C">
      <w:pPr>
        <w:spacing w:line="360" w:lineRule="auto"/>
        <w:jc w:val="center"/>
        <w:rPr>
          <w:color w:val="000000"/>
          <w:sz w:val="28"/>
          <w:szCs w:val="28"/>
        </w:rPr>
      </w:pPr>
      <w:r w:rsidRPr="00805B68">
        <w:rPr>
          <w:color w:val="000000"/>
          <w:sz w:val="28"/>
          <w:szCs w:val="28"/>
        </w:rPr>
        <w:t>v České republice a v dalších zemích</w:t>
      </w:r>
    </w:p>
    <w:p w14:paraId="50B089A7" w14:textId="77777777" w:rsidR="0039575E" w:rsidRPr="0039575E" w:rsidRDefault="0039575E" w:rsidP="00D7020C">
      <w:pPr>
        <w:spacing w:line="360" w:lineRule="auto"/>
        <w:jc w:val="center"/>
        <w:rPr>
          <w:color w:val="000000"/>
        </w:rPr>
      </w:pPr>
    </w:p>
    <w:p w14:paraId="1F9DACA1" w14:textId="77777777" w:rsidR="0039575E" w:rsidRPr="00D7020C" w:rsidRDefault="0039575E" w:rsidP="00D7020C">
      <w:pPr>
        <w:spacing w:line="360" w:lineRule="auto"/>
        <w:jc w:val="center"/>
        <w:rPr>
          <w:b/>
          <w:bCs/>
          <w:sz w:val="22"/>
          <w:szCs w:val="22"/>
        </w:rPr>
      </w:pPr>
      <w:r w:rsidRPr="00D7020C">
        <w:rPr>
          <w:b/>
          <w:bCs/>
          <w:color w:val="000000"/>
          <w:sz w:val="32"/>
          <w:szCs w:val="32"/>
        </w:rPr>
        <w:t>DIPLOMOVÁ PRÁCE</w:t>
      </w:r>
    </w:p>
    <w:p w14:paraId="7EF4519C" w14:textId="77777777" w:rsidR="0039575E" w:rsidRDefault="0039575E" w:rsidP="00D7020C">
      <w:pPr>
        <w:spacing w:line="360" w:lineRule="auto"/>
        <w:jc w:val="center"/>
      </w:pPr>
    </w:p>
    <w:p w14:paraId="7DEBC58E" w14:textId="77777777" w:rsidR="0039575E" w:rsidRDefault="0039575E" w:rsidP="00D7020C">
      <w:pPr>
        <w:spacing w:line="360" w:lineRule="auto"/>
        <w:jc w:val="center"/>
      </w:pPr>
    </w:p>
    <w:p w14:paraId="5906CA67" w14:textId="77777777" w:rsidR="0039575E" w:rsidRDefault="0039575E" w:rsidP="00D7020C">
      <w:pPr>
        <w:spacing w:line="360" w:lineRule="auto"/>
        <w:jc w:val="center"/>
      </w:pPr>
    </w:p>
    <w:p w14:paraId="748FA7F5" w14:textId="77777777" w:rsidR="0039575E" w:rsidRDefault="0039575E" w:rsidP="00D7020C">
      <w:pPr>
        <w:spacing w:line="360" w:lineRule="auto"/>
        <w:jc w:val="center"/>
      </w:pPr>
    </w:p>
    <w:p w14:paraId="462B5A57" w14:textId="77777777" w:rsidR="0039575E" w:rsidRDefault="0039575E" w:rsidP="00D7020C">
      <w:pPr>
        <w:spacing w:line="360" w:lineRule="auto"/>
        <w:jc w:val="center"/>
      </w:pPr>
    </w:p>
    <w:p w14:paraId="08358AA9" w14:textId="77777777" w:rsidR="0039575E" w:rsidRDefault="0039575E" w:rsidP="00D7020C">
      <w:pPr>
        <w:spacing w:line="360" w:lineRule="auto"/>
        <w:jc w:val="center"/>
      </w:pPr>
    </w:p>
    <w:p w14:paraId="09151AB6" w14:textId="77777777" w:rsidR="0039575E" w:rsidRDefault="0039575E" w:rsidP="00D7020C">
      <w:pPr>
        <w:spacing w:line="360" w:lineRule="auto"/>
        <w:jc w:val="center"/>
      </w:pPr>
    </w:p>
    <w:p w14:paraId="3FFB09A2" w14:textId="77777777" w:rsidR="0039575E" w:rsidRDefault="0039575E" w:rsidP="00D7020C">
      <w:pPr>
        <w:spacing w:line="360" w:lineRule="auto"/>
      </w:pPr>
    </w:p>
    <w:p w14:paraId="43092A23" w14:textId="77777777" w:rsidR="0039575E" w:rsidRDefault="0039575E" w:rsidP="00CB1584">
      <w:pPr>
        <w:spacing w:line="360" w:lineRule="auto"/>
      </w:pPr>
    </w:p>
    <w:p w14:paraId="51A258D4" w14:textId="77777777" w:rsidR="0039575E" w:rsidRPr="00805B68" w:rsidRDefault="0039575E" w:rsidP="00D7020C">
      <w:pPr>
        <w:spacing w:line="360" w:lineRule="auto"/>
        <w:jc w:val="center"/>
        <w:rPr>
          <w:sz w:val="28"/>
          <w:szCs w:val="28"/>
        </w:rPr>
      </w:pPr>
      <w:r w:rsidRPr="00805B68">
        <w:rPr>
          <w:sz w:val="28"/>
          <w:szCs w:val="28"/>
        </w:rPr>
        <w:t>Autor: Bc. Štěpánka Titzová</w:t>
      </w:r>
    </w:p>
    <w:p w14:paraId="5C36AE3B" w14:textId="77777777" w:rsidR="0039575E" w:rsidRPr="00805B68" w:rsidRDefault="0039575E" w:rsidP="00D7020C">
      <w:pPr>
        <w:spacing w:line="360" w:lineRule="auto"/>
        <w:jc w:val="center"/>
        <w:rPr>
          <w:sz w:val="28"/>
          <w:szCs w:val="28"/>
        </w:rPr>
      </w:pPr>
      <w:r w:rsidRPr="00805B68">
        <w:rPr>
          <w:sz w:val="28"/>
          <w:szCs w:val="28"/>
        </w:rPr>
        <w:t>Vedoucí práce: Ing. Eva Jílková, Ph.D.</w:t>
      </w:r>
    </w:p>
    <w:p w14:paraId="38C6F8E2" w14:textId="77777777" w:rsidR="0039575E" w:rsidRDefault="0039575E" w:rsidP="00D7020C">
      <w:pPr>
        <w:spacing w:line="360" w:lineRule="auto"/>
        <w:jc w:val="center"/>
      </w:pPr>
    </w:p>
    <w:p w14:paraId="4446BBB6" w14:textId="77777777" w:rsidR="0039575E" w:rsidRDefault="0039575E" w:rsidP="00D7020C">
      <w:pPr>
        <w:spacing w:line="360" w:lineRule="auto"/>
        <w:jc w:val="center"/>
      </w:pPr>
    </w:p>
    <w:p w14:paraId="447E0F9E" w14:textId="77777777" w:rsidR="0039575E" w:rsidRDefault="0039575E" w:rsidP="00D7020C">
      <w:pPr>
        <w:spacing w:line="360" w:lineRule="auto"/>
      </w:pPr>
    </w:p>
    <w:p w14:paraId="3329FC90" w14:textId="77777777" w:rsidR="0039575E" w:rsidRDefault="0039575E" w:rsidP="00D7020C">
      <w:pPr>
        <w:spacing w:line="360" w:lineRule="auto"/>
        <w:jc w:val="center"/>
      </w:pPr>
    </w:p>
    <w:p w14:paraId="6CCAE3D2" w14:textId="77777777" w:rsidR="0039575E" w:rsidRPr="00D7020C" w:rsidRDefault="0039575E" w:rsidP="00D7020C">
      <w:pPr>
        <w:spacing w:line="360" w:lineRule="auto"/>
        <w:jc w:val="center"/>
        <w:rPr>
          <w:sz w:val="28"/>
          <w:szCs w:val="28"/>
        </w:rPr>
      </w:pPr>
      <w:r w:rsidRPr="00D7020C">
        <w:rPr>
          <w:sz w:val="28"/>
          <w:szCs w:val="28"/>
        </w:rPr>
        <w:t>Olomouc 2020</w:t>
      </w:r>
    </w:p>
    <w:p w14:paraId="3E92E261" w14:textId="77777777" w:rsidR="00953A75" w:rsidRDefault="00953A75" w:rsidP="0039575E">
      <w:pPr>
        <w:jc w:val="center"/>
      </w:pPr>
    </w:p>
    <w:p w14:paraId="24037D14" w14:textId="17F28D33" w:rsidR="00106336" w:rsidRDefault="00106336" w:rsidP="0039575E">
      <w:pPr>
        <w:jc w:val="center"/>
      </w:pPr>
    </w:p>
    <w:p w14:paraId="4F1F9918" w14:textId="0A411712" w:rsidR="00CB1584" w:rsidRDefault="00CB1584" w:rsidP="0039575E">
      <w:pPr>
        <w:jc w:val="center"/>
      </w:pPr>
    </w:p>
    <w:p w14:paraId="7E1ECFD9" w14:textId="77777777" w:rsidR="00CB1584" w:rsidRDefault="00CB1584" w:rsidP="0039575E">
      <w:pPr>
        <w:jc w:val="center"/>
      </w:pPr>
    </w:p>
    <w:p w14:paraId="7A207C92" w14:textId="77777777" w:rsidR="00953A75" w:rsidRDefault="00953A75" w:rsidP="00D7020C"/>
    <w:p w14:paraId="4B57EF44" w14:textId="77777777" w:rsidR="00421ACC" w:rsidRPr="00D7020C" w:rsidRDefault="00421ACC" w:rsidP="00421ACC">
      <w:pPr>
        <w:rPr>
          <w:b/>
          <w:bCs/>
          <w:sz w:val="28"/>
          <w:szCs w:val="28"/>
        </w:rPr>
      </w:pPr>
      <w:r w:rsidRPr="00D7020C">
        <w:rPr>
          <w:b/>
          <w:bCs/>
          <w:sz w:val="28"/>
          <w:szCs w:val="28"/>
        </w:rPr>
        <w:lastRenderedPageBreak/>
        <w:t>PROHLÁŠENÍ</w:t>
      </w:r>
    </w:p>
    <w:p w14:paraId="0782D1DB" w14:textId="77777777" w:rsidR="00421ACC" w:rsidRDefault="00421ACC" w:rsidP="00421ACC">
      <w:pPr>
        <w:rPr>
          <w:b/>
          <w:bCs/>
        </w:rPr>
      </w:pPr>
    </w:p>
    <w:p w14:paraId="40B98358" w14:textId="77777777" w:rsidR="00421ACC" w:rsidRDefault="00421ACC" w:rsidP="00421ACC">
      <w:pPr>
        <w:rPr>
          <w:b/>
          <w:bCs/>
        </w:rPr>
      </w:pPr>
    </w:p>
    <w:p w14:paraId="27F09712" w14:textId="77777777" w:rsidR="00421ACC" w:rsidRDefault="00421ACC" w:rsidP="00421ACC">
      <w:pPr>
        <w:rPr>
          <w:b/>
          <w:bCs/>
        </w:rPr>
      </w:pPr>
    </w:p>
    <w:p w14:paraId="53E047AF" w14:textId="77777777" w:rsidR="00421ACC" w:rsidRDefault="00421ACC" w:rsidP="00421ACC">
      <w:pPr>
        <w:rPr>
          <w:b/>
          <w:bCs/>
        </w:rPr>
      </w:pPr>
    </w:p>
    <w:p w14:paraId="5E2ADC9D" w14:textId="77777777" w:rsidR="00421ACC" w:rsidRDefault="00421ACC" w:rsidP="00421ACC">
      <w:pPr>
        <w:rPr>
          <w:b/>
          <w:bCs/>
        </w:rPr>
      </w:pPr>
    </w:p>
    <w:p w14:paraId="2D5E5D49" w14:textId="77777777" w:rsidR="00421ACC" w:rsidRDefault="00421ACC" w:rsidP="00421ACC">
      <w:pPr>
        <w:rPr>
          <w:b/>
          <w:bCs/>
        </w:rPr>
      </w:pPr>
    </w:p>
    <w:p w14:paraId="182D82BA" w14:textId="77777777" w:rsidR="00421ACC" w:rsidRDefault="00421ACC" w:rsidP="00421ACC">
      <w:pPr>
        <w:rPr>
          <w:b/>
          <w:bCs/>
        </w:rPr>
      </w:pPr>
    </w:p>
    <w:p w14:paraId="24FCDECE" w14:textId="77777777" w:rsidR="00421ACC" w:rsidRDefault="00421ACC" w:rsidP="00421ACC">
      <w:pPr>
        <w:rPr>
          <w:b/>
          <w:bCs/>
        </w:rPr>
      </w:pPr>
    </w:p>
    <w:p w14:paraId="13FC5862" w14:textId="77777777" w:rsidR="00421ACC" w:rsidRDefault="00421ACC" w:rsidP="00421ACC">
      <w:pPr>
        <w:rPr>
          <w:b/>
          <w:bCs/>
        </w:rPr>
      </w:pPr>
    </w:p>
    <w:p w14:paraId="52D76F62" w14:textId="77777777" w:rsidR="00421ACC" w:rsidRDefault="00421ACC" w:rsidP="00421ACC">
      <w:pPr>
        <w:rPr>
          <w:b/>
          <w:bCs/>
        </w:rPr>
      </w:pPr>
    </w:p>
    <w:p w14:paraId="2DD8DCE4" w14:textId="77777777" w:rsidR="00421ACC" w:rsidRDefault="00421ACC" w:rsidP="00421ACC">
      <w:pPr>
        <w:rPr>
          <w:b/>
          <w:bCs/>
        </w:rPr>
      </w:pPr>
    </w:p>
    <w:p w14:paraId="739EEBF2" w14:textId="77777777" w:rsidR="00421ACC" w:rsidRDefault="00421ACC" w:rsidP="00421ACC">
      <w:pPr>
        <w:rPr>
          <w:b/>
          <w:bCs/>
        </w:rPr>
      </w:pPr>
    </w:p>
    <w:p w14:paraId="32CE89F1" w14:textId="77777777" w:rsidR="00421ACC" w:rsidRDefault="00421ACC" w:rsidP="00421ACC">
      <w:pPr>
        <w:rPr>
          <w:b/>
          <w:bCs/>
        </w:rPr>
      </w:pPr>
    </w:p>
    <w:p w14:paraId="388EB319" w14:textId="77777777" w:rsidR="00421ACC" w:rsidRDefault="00421ACC" w:rsidP="00421ACC">
      <w:pPr>
        <w:rPr>
          <w:b/>
          <w:bCs/>
        </w:rPr>
      </w:pPr>
    </w:p>
    <w:p w14:paraId="5579AA09" w14:textId="77777777" w:rsidR="00421ACC" w:rsidRDefault="00421ACC" w:rsidP="00421ACC">
      <w:pPr>
        <w:rPr>
          <w:b/>
          <w:bCs/>
        </w:rPr>
      </w:pPr>
    </w:p>
    <w:p w14:paraId="377D00F3" w14:textId="77777777" w:rsidR="00421ACC" w:rsidRDefault="00421ACC" w:rsidP="00421ACC">
      <w:pPr>
        <w:rPr>
          <w:b/>
          <w:bCs/>
        </w:rPr>
      </w:pPr>
    </w:p>
    <w:p w14:paraId="519A3069" w14:textId="77777777" w:rsidR="00421ACC" w:rsidRDefault="00421ACC" w:rsidP="00421ACC">
      <w:pPr>
        <w:rPr>
          <w:b/>
          <w:bCs/>
        </w:rPr>
      </w:pPr>
    </w:p>
    <w:p w14:paraId="23400696" w14:textId="77777777" w:rsidR="00421ACC" w:rsidRDefault="00421ACC" w:rsidP="00421ACC">
      <w:pPr>
        <w:rPr>
          <w:b/>
          <w:bCs/>
        </w:rPr>
      </w:pPr>
    </w:p>
    <w:p w14:paraId="6A49652F" w14:textId="77777777" w:rsidR="00421ACC" w:rsidRDefault="00421ACC" w:rsidP="00421ACC">
      <w:pPr>
        <w:rPr>
          <w:b/>
          <w:bCs/>
        </w:rPr>
      </w:pPr>
    </w:p>
    <w:p w14:paraId="1CBB9ADC" w14:textId="77777777" w:rsidR="00421ACC" w:rsidRDefault="00421ACC" w:rsidP="00421ACC">
      <w:pPr>
        <w:rPr>
          <w:b/>
          <w:bCs/>
        </w:rPr>
      </w:pPr>
    </w:p>
    <w:p w14:paraId="6430BB24" w14:textId="77777777" w:rsidR="00106336" w:rsidRDefault="00106336" w:rsidP="00421ACC">
      <w:pPr>
        <w:rPr>
          <w:b/>
          <w:bCs/>
        </w:rPr>
      </w:pPr>
    </w:p>
    <w:p w14:paraId="3C885062" w14:textId="77777777" w:rsidR="00106336" w:rsidRDefault="00106336" w:rsidP="00421ACC">
      <w:pPr>
        <w:rPr>
          <w:b/>
          <w:bCs/>
        </w:rPr>
      </w:pPr>
    </w:p>
    <w:p w14:paraId="5480A68D" w14:textId="77777777" w:rsidR="00106336" w:rsidRDefault="00106336" w:rsidP="00421ACC">
      <w:pPr>
        <w:rPr>
          <w:b/>
          <w:bCs/>
        </w:rPr>
      </w:pPr>
    </w:p>
    <w:p w14:paraId="66825F17" w14:textId="77777777" w:rsidR="00106336" w:rsidRDefault="00106336" w:rsidP="00421ACC">
      <w:pPr>
        <w:rPr>
          <w:b/>
          <w:bCs/>
        </w:rPr>
      </w:pPr>
    </w:p>
    <w:p w14:paraId="3286D677" w14:textId="77777777" w:rsidR="00106336" w:rsidRDefault="00106336" w:rsidP="00421ACC">
      <w:pPr>
        <w:rPr>
          <w:b/>
          <w:bCs/>
        </w:rPr>
      </w:pPr>
    </w:p>
    <w:p w14:paraId="79DE564A" w14:textId="77777777" w:rsidR="00106336" w:rsidRDefault="00106336" w:rsidP="00421ACC">
      <w:pPr>
        <w:rPr>
          <w:b/>
          <w:bCs/>
        </w:rPr>
      </w:pPr>
    </w:p>
    <w:p w14:paraId="61A14486" w14:textId="77777777" w:rsidR="00106336" w:rsidRDefault="00106336" w:rsidP="00421ACC">
      <w:pPr>
        <w:rPr>
          <w:b/>
          <w:bCs/>
        </w:rPr>
      </w:pPr>
    </w:p>
    <w:p w14:paraId="02CEBB66" w14:textId="77777777" w:rsidR="00106336" w:rsidRDefault="00106336" w:rsidP="00421ACC">
      <w:pPr>
        <w:rPr>
          <w:b/>
          <w:bCs/>
        </w:rPr>
      </w:pPr>
    </w:p>
    <w:p w14:paraId="4FF7EF0D" w14:textId="77777777" w:rsidR="00106336" w:rsidRDefault="00106336" w:rsidP="00421ACC">
      <w:pPr>
        <w:rPr>
          <w:b/>
          <w:bCs/>
        </w:rPr>
      </w:pPr>
    </w:p>
    <w:p w14:paraId="759AAC00" w14:textId="77777777" w:rsidR="00106336" w:rsidRDefault="00106336" w:rsidP="00421ACC">
      <w:pPr>
        <w:rPr>
          <w:b/>
          <w:bCs/>
        </w:rPr>
      </w:pPr>
    </w:p>
    <w:p w14:paraId="49C56A85" w14:textId="77777777" w:rsidR="00106336" w:rsidRDefault="00106336" w:rsidP="00421ACC">
      <w:pPr>
        <w:rPr>
          <w:b/>
          <w:bCs/>
        </w:rPr>
      </w:pPr>
    </w:p>
    <w:p w14:paraId="35944729" w14:textId="77777777" w:rsidR="00106336" w:rsidRDefault="00106336" w:rsidP="00421ACC">
      <w:pPr>
        <w:rPr>
          <w:b/>
          <w:bCs/>
        </w:rPr>
      </w:pPr>
    </w:p>
    <w:p w14:paraId="147AB761" w14:textId="77777777" w:rsidR="00106336" w:rsidRDefault="00106336" w:rsidP="00421ACC">
      <w:pPr>
        <w:rPr>
          <w:b/>
          <w:bCs/>
        </w:rPr>
      </w:pPr>
    </w:p>
    <w:p w14:paraId="370D6646" w14:textId="77777777" w:rsidR="00106336" w:rsidRDefault="00106336" w:rsidP="00421ACC">
      <w:pPr>
        <w:rPr>
          <w:b/>
          <w:bCs/>
        </w:rPr>
      </w:pPr>
    </w:p>
    <w:p w14:paraId="1D4F87C8" w14:textId="77777777" w:rsidR="00421ACC" w:rsidRDefault="00421ACC" w:rsidP="00421ACC">
      <w:pPr>
        <w:rPr>
          <w:b/>
          <w:bCs/>
        </w:rPr>
      </w:pPr>
    </w:p>
    <w:p w14:paraId="0F18BFFA" w14:textId="77777777" w:rsidR="00421ACC" w:rsidRDefault="00421ACC" w:rsidP="001325DB">
      <w:pPr>
        <w:spacing w:line="360" w:lineRule="auto"/>
        <w:jc w:val="both"/>
      </w:pPr>
      <w:r>
        <w:t>Prohlašuji, že jsem diplomovou práci vypracovala samostatně a použila jen zdroje v seznamu literatury a použitých zdrojů.</w:t>
      </w:r>
    </w:p>
    <w:p w14:paraId="438995C3" w14:textId="77777777" w:rsidR="00421ACC" w:rsidRDefault="00421ACC" w:rsidP="001325DB">
      <w:pPr>
        <w:spacing w:line="360" w:lineRule="auto"/>
        <w:jc w:val="both"/>
      </w:pPr>
      <w:r>
        <w:t>Tištěná verze textu práce je shodná s textem práce na CD nosiči a elektronickou verzí vloženou do studijního systému IS/STAG.</w:t>
      </w:r>
    </w:p>
    <w:p w14:paraId="10433FAC" w14:textId="77777777" w:rsidR="00421ACC" w:rsidRDefault="00421ACC" w:rsidP="001325DB">
      <w:pPr>
        <w:spacing w:line="360" w:lineRule="auto"/>
        <w:jc w:val="both"/>
      </w:pPr>
    </w:p>
    <w:p w14:paraId="7EEE5730" w14:textId="36C0FF81" w:rsidR="00421ACC" w:rsidRDefault="00421ACC" w:rsidP="001325DB">
      <w:pPr>
        <w:spacing w:line="360" w:lineRule="auto"/>
        <w:jc w:val="both"/>
      </w:pPr>
      <w:r>
        <w:t>V Prostějově dne</w:t>
      </w:r>
      <w:r>
        <w:tab/>
      </w:r>
    </w:p>
    <w:p w14:paraId="1893C500" w14:textId="77777777" w:rsidR="00421ACC" w:rsidRDefault="00421ACC" w:rsidP="001325DB">
      <w:pPr>
        <w:spacing w:line="360" w:lineRule="auto"/>
        <w:ind w:left="4963" w:firstLine="709"/>
        <w:jc w:val="both"/>
      </w:pPr>
      <w:r>
        <w:t>Bc. Štěpánka Titzová</w:t>
      </w:r>
    </w:p>
    <w:p w14:paraId="77F94E83" w14:textId="77777777" w:rsidR="00421ACC" w:rsidRDefault="00421ACC" w:rsidP="001325DB">
      <w:pPr>
        <w:spacing w:line="360" w:lineRule="auto"/>
        <w:ind w:left="4963" w:firstLine="709"/>
        <w:jc w:val="both"/>
      </w:pPr>
    </w:p>
    <w:p w14:paraId="3245FCAA" w14:textId="77777777" w:rsidR="00421ACC" w:rsidRDefault="00421ACC" w:rsidP="00421ACC">
      <w:pPr>
        <w:ind w:left="4963" w:firstLine="709"/>
      </w:pPr>
    </w:p>
    <w:p w14:paraId="11D307BF" w14:textId="77777777" w:rsidR="00421ACC" w:rsidRDefault="00421ACC" w:rsidP="00106336"/>
    <w:p w14:paraId="67DCF769" w14:textId="77777777" w:rsidR="00421ACC" w:rsidRPr="00D7020C" w:rsidRDefault="00421ACC" w:rsidP="00421ACC">
      <w:pPr>
        <w:rPr>
          <w:b/>
          <w:bCs/>
          <w:sz w:val="28"/>
          <w:szCs w:val="28"/>
        </w:rPr>
      </w:pPr>
      <w:r w:rsidRPr="00D7020C">
        <w:rPr>
          <w:b/>
          <w:bCs/>
          <w:sz w:val="28"/>
          <w:szCs w:val="28"/>
        </w:rPr>
        <w:lastRenderedPageBreak/>
        <w:t>PODĚKOVÁNÍ</w:t>
      </w:r>
    </w:p>
    <w:p w14:paraId="230C6CDC" w14:textId="77777777" w:rsidR="00421ACC" w:rsidRDefault="00421ACC" w:rsidP="00421ACC">
      <w:pPr>
        <w:rPr>
          <w:b/>
          <w:bCs/>
        </w:rPr>
      </w:pPr>
    </w:p>
    <w:p w14:paraId="2EB8F51C" w14:textId="77777777" w:rsidR="00421ACC" w:rsidRDefault="00421ACC" w:rsidP="00421ACC">
      <w:pPr>
        <w:rPr>
          <w:b/>
          <w:bCs/>
        </w:rPr>
      </w:pPr>
    </w:p>
    <w:p w14:paraId="08A00E10" w14:textId="77777777" w:rsidR="00421ACC" w:rsidRDefault="00421ACC" w:rsidP="00421ACC">
      <w:pPr>
        <w:rPr>
          <w:b/>
          <w:bCs/>
        </w:rPr>
      </w:pPr>
    </w:p>
    <w:p w14:paraId="7F483BF3" w14:textId="77777777" w:rsidR="00421ACC" w:rsidRDefault="00421ACC" w:rsidP="00421ACC">
      <w:pPr>
        <w:rPr>
          <w:b/>
          <w:bCs/>
        </w:rPr>
      </w:pPr>
    </w:p>
    <w:p w14:paraId="1130C5B4" w14:textId="77777777" w:rsidR="00421ACC" w:rsidRDefault="00421ACC" w:rsidP="00421ACC">
      <w:pPr>
        <w:rPr>
          <w:b/>
          <w:bCs/>
        </w:rPr>
      </w:pPr>
    </w:p>
    <w:p w14:paraId="171D3793" w14:textId="77777777" w:rsidR="00421ACC" w:rsidRDefault="00421ACC" w:rsidP="00421ACC">
      <w:pPr>
        <w:rPr>
          <w:b/>
          <w:bCs/>
        </w:rPr>
      </w:pPr>
    </w:p>
    <w:p w14:paraId="56E9CA2F" w14:textId="77777777" w:rsidR="00421ACC" w:rsidRDefault="00421ACC" w:rsidP="00421ACC">
      <w:pPr>
        <w:rPr>
          <w:b/>
          <w:bCs/>
        </w:rPr>
      </w:pPr>
    </w:p>
    <w:p w14:paraId="61FE475C" w14:textId="77777777" w:rsidR="00421ACC" w:rsidRDefault="00421ACC" w:rsidP="00421ACC">
      <w:pPr>
        <w:rPr>
          <w:b/>
          <w:bCs/>
        </w:rPr>
      </w:pPr>
    </w:p>
    <w:p w14:paraId="73048FE7" w14:textId="77777777" w:rsidR="00421ACC" w:rsidRDefault="00421ACC" w:rsidP="00421ACC">
      <w:pPr>
        <w:rPr>
          <w:b/>
          <w:bCs/>
        </w:rPr>
      </w:pPr>
    </w:p>
    <w:p w14:paraId="111177F3" w14:textId="77777777" w:rsidR="00421ACC" w:rsidRDefault="00421ACC" w:rsidP="00421ACC">
      <w:pPr>
        <w:rPr>
          <w:b/>
          <w:bCs/>
        </w:rPr>
      </w:pPr>
    </w:p>
    <w:p w14:paraId="66334F76" w14:textId="77777777" w:rsidR="00421ACC" w:rsidRDefault="00421ACC" w:rsidP="00421ACC">
      <w:pPr>
        <w:rPr>
          <w:b/>
          <w:bCs/>
        </w:rPr>
      </w:pPr>
    </w:p>
    <w:p w14:paraId="597C45D2" w14:textId="77777777" w:rsidR="00421ACC" w:rsidRDefault="00421ACC" w:rsidP="00421ACC">
      <w:pPr>
        <w:rPr>
          <w:b/>
          <w:bCs/>
        </w:rPr>
      </w:pPr>
    </w:p>
    <w:p w14:paraId="0F8F6EF8" w14:textId="77777777" w:rsidR="00421ACC" w:rsidRDefault="00421ACC" w:rsidP="00421ACC">
      <w:pPr>
        <w:rPr>
          <w:b/>
          <w:bCs/>
        </w:rPr>
      </w:pPr>
    </w:p>
    <w:p w14:paraId="0CA0E63B" w14:textId="77777777" w:rsidR="00421ACC" w:rsidRDefault="00421ACC" w:rsidP="00421ACC">
      <w:pPr>
        <w:rPr>
          <w:b/>
          <w:bCs/>
        </w:rPr>
      </w:pPr>
    </w:p>
    <w:p w14:paraId="13AD1983" w14:textId="77777777" w:rsidR="00421ACC" w:rsidRDefault="00421ACC" w:rsidP="00421ACC">
      <w:pPr>
        <w:rPr>
          <w:b/>
          <w:bCs/>
        </w:rPr>
      </w:pPr>
    </w:p>
    <w:p w14:paraId="72B87347" w14:textId="77777777" w:rsidR="00421ACC" w:rsidRDefault="00421ACC" w:rsidP="00421ACC">
      <w:pPr>
        <w:rPr>
          <w:b/>
          <w:bCs/>
        </w:rPr>
      </w:pPr>
    </w:p>
    <w:p w14:paraId="292B6FF1" w14:textId="77777777" w:rsidR="00421ACC" w:rsidRDefault="00421ACC" w:rsidP="00421ACC">
      <w:pPr>
        <w:rPr>
          <w:b/>
          <w:bCs/>
        </w:rPr>
      </w:pPr>
    </w:p>
    <w:p w14:paraId="027241DA" w14:textId="77777777" w:rsidR="00421ACC" w:rsidRDefault="00421ACC" w:rsidP="00421ACC">
      <w:pPr>
        <w:rPr>
          <w:b/>
          <w:bCs/>
        </w:rPr>
      </w:pPr>
    </w:p>
    <w:p w14:paraId="7454FEBE" w14:textId="77777777" w:rsidR="00421ACC" w:rsidRDefault="00421ACC" w:rsidP="00421ACC">
      <w:pPr>
        <w:rPr>
          <w:b/>
          <w:bCs/>
        </w:rPr>
      </w:pPr>
    </w:p>
    <w:p w14:paraId="7BBDA1DA" w14:textId="77777777" w:rsidR="00421ACC" w:rsidRDefault="00421ACC" w:rsidP="00421ACC">
      <w:pPr>
        <w:rPr>
          <w:b/>
          <w:bCs/>
        </w:rPr>
      </w:pPr>
    </w:p>
    <w:p w14:paraId="34F72F71" w14:textId="77777777" w:rsidR="00421ACC" w:rsidRDefault="00421ACC" w:rsidP="00421ACC">
      <w:pPr>
        <w:rPr>
          <w:b/>
          <w:bCs/>
        </w:rPr>
      </w:pPr>
    </w:p>
    <w:p w14:paraId="09E3D6A6" w14:textId="77777777" w:rsidR="00421ACC" w:rsidRDefault="00421ACC" w:rsidP="00421ACC">
      <w:pPr>
        <w:rPr>
          <w:b/>
          <w:bCs/>
        </w:rPr>
      </w:pPr>
    </w:p>
    <w:p w14:paraId="04AE548F" w14:textId="77777777" w:rsidR="00421ACC" w:rsidRDefault="00421ACC" w:rsidP="00421ACC">
      <w:pPr>
        <w:rPr>
          <w:b/>
          <w:bCs/>
        </w:rPr>
      </w:pPr>
    </w:p>
    <w:p w14:paraId="2EEE928B" w14:textId="77777777" w:rsidR="00421ACC" w:rsidRDefault="00421ACC" w:rsidP="00421ACC">
      <w:pPr>
        <w:rPr>
          <w:b/>
          <w:bCs/>
        </w:rPr>
      </w:pPr>
    </w:p>
    <w:p w14:paraId="1178B8DD" w14:textId="77777777" w:rsidR="00421ACC" w:rsidRDefault="00421ACC" w:rsidP="00421ACC">
      <w:pPr>
        <w:rPr>
          <w:b/>
          <w:bCs/>
        </w:rPr>
      </w:pPr>
    </w:p>
    <w:p w14:paraId="5F58AC02" w14:textId="77777777" w:rsidR="00421ACC" w:rsidRDefault="00421ACC" w:rsidP="00421ACC">
      <w:pPr>
        <w:rPr>
          <w:b/>
          <w:bCs/>
        </w:rPr>
      </w:pPr>
    </w:p>
    <w:p w14:paraId="67CBABA1" w14:textId="77777777" w:rsidR="00421ACC" w:rsidRDefault="00421ACC" w:rsidP="00196987">
      <w:pPr>
        <w:rPr>
          <w:b/>
          <w:bCs/>
        </w:rPr>
      </w:pPr>
    </w:p>
    <w:p w14:paraId="0B8436B4" w14:textId="77777777" w:rsidR="00106336" w:rsidRDefault="00106336" w:rsidP="00196987">
      <w:pPr>
        <w:rPr>
          <w:b/>
          <w:bCs/>
        </w:rPr>
      </w:pPr>
    </w:p>
    <w:p w14:paraId="6A334A7D" w14:textId="77777777" w:rsidR="00106336" w:rsidRDefault="00106336" w:rsidP="00196987">
      <w:pPr>
        <w:rPr>
          <w:b/>
          <w:bCs/>
        </w:rPr>
      </w:pPr>
    </w:p>
    <w:p w14:paraId="4CBD98F7" w14:textId="77777777" w:rsidR="00106336" w:rsidRDefault="00106336" w:rsidP="00196987">
      <w:pPr>
        <w:rPr>
          <w:b/>
          <w:bCs/>
        </w:rPr>
      </w:pPr>
    </w:p>
    <w:p w14:paraId="20A229BA" w14:textId="77777777" w:rsidR="00106336" w:rsidRDefault="00106336" w:rsidP="00196987">
      <w:pPr>
        <w:rPr>
          <w:b/>
          <w:bCs/>
        </w:rPr>
      </w:pPr>
    </w:p>
    <w:p w14:paraId="082790ED" w14:textId="77777777" w:rsidR="00106336" w:rsidRDefault="00106336" w:rsidP="00196987">
      <w:pPr>
        <w:rPr>
          <w:b/>
          <w:bCs/>
        </w:rPr>
      </w:pPr>
    </w:p>
    <w:p w14:paraId="70EF8B18" w14:textId="77777777" w:rsidR="00106336" w:rsidRDefault="00106336" w:rsidP="00196987">
      <w:pPr>
        <w:rPr>
          <w:b/>
          <w:bCs/>
        </w:rPr>
      </w:pPr>
    </w:p>
    <w:p w14:paraId="30B7FDFF" w14:textId="77777777" w:rsidR="00106336" w:rsidRDefault="00106336" w:rsidP="00196987">
      <w:pPr>
        <w:rPr>
          <w:b/>
          <w:bCs/>
        </w:rPr>
      </w:pPr>
    </w:p>
    <w:p w14:paraId="1D97F73B" w14:textId="77777777" w:rsidR="00106336" w:rsidRDefault="00106336" w:rsidP="00196987">
      <w:pPr>
        <w:rPr>
          <w:b/>
          <w:bCs/>
        </w:rPr>
      </w:pPr>
    </w:p>
    <w:p w14:paraId="69F452DF" w14:textId="77777777" w:rsidR="00106336" w:rsidRDefault="00106336" w:rsidP="00196987">
      <w:pPr>
        <w:rPr>
          <w:b/>
          <w:bCs/>
        </w:rPr>
      </w:pPr>
    </w:p>
    <w:p w14:paraId="5D1C16F1" w14:textId="77777777" w:rsidR="00106336" w:rsidRDefault="00106336" w:rsidP="00196987">
      <w:pPr>
        <w:rPr>
          <w:b/>
          <w:bCs/>
        </w:rPr>
      </w:pPr>
    </w:p>
    <w:p w14:paraId="19A904E7" w14:textId="77777777" w:rsidR="00106336" w:rsidRDefault="00106336" w:rsidP="00D7020C">
      <w:pPr>
        <w:spacing w:line="360" w:lineRule="auto"/>
        <w:jc w:val="both"/>
        <w:rPr>
          <w:b/>
          <w:bCs/>
        </w:rPr>
      </w:pPr>
    </w:p>
    <w:p w14:paraId="042DD43C" w14:textId="77777777" w:rsidR="00106336" w:rsidRDefault="00106336" w:rsidP="00D7020C">
      <w:pPr>
        <w:spacing w:line="360" w:lineRule="auto"/>
        <w:jc w:val="both"/>
        <w:rPr>
          <w:b/>
          <w:bCs/>
        </w:rPr>
      </w:pPr>
    </w:p>
    <w:p w14:paraId="6D33ABC1" w14:textId="245AE18E" w:rsidR="00106336" w:rsidRDefault="00106336" w:rsidP="00D7020C">
      <w:pPr>
        <w:spacing w:line="360" w:lineRule="auto"/>
        <w:jc w:val="both"/>
        <w:rPr>
          <w:b/>
          <w:bCs/>
        </w:rPr>
      </w:pPr>
    </w:p>
    <w:p w14:paraId="29E22725" w14:textId="77777777" w:rsidR="00D7020C" w:rsidRDefault="00D7020C" w:rsidP="00D7020C">
      <w:pPr>
        <w:spacing w:line="360" w:lineRule="auto"/>
        <w:jc w:val="both"/>
        <w:rPr>
          <w:b/>
          <w:bCs/>
        </w:rPr>
      </w:pPr>
    </w:p>
    <w:p w14:paraId="068A8DFC" w14:textId="77777777" w:rsidR="00AD70DB" w:rsidRDefault="00421ACC" w:rsidP="00D7020C">
      <w:pPr>
        <w:spacing w:line="360" w:lineRule="auto"/>
        <w:jc w:val="both"/>
        <w:sectPr w:rsidR="00AD70DB" w:rsidSect="00A704A5">
          <w:pgSz w:w="11906" w:h="16838"/>
          <w:pgMar w:top="1418" w:right="851" w:bottom="1418" w:left="1985" w:header="709" w:footer="709" w:gutter="0"/>
          <w:pgNumType w:start="1"/>
          <w:cols w:space="708"/>
          <w:docGrid w:linePitch="360"/>
        </w:sectPr>
      </w:pPr>
      <w:r w:rsidRPr="00196987">
        <w:t>Děkuji své vedoucí Ing. Evě Jílkové, Ph.D. za odborné vedení práce, za cenné</w:t>
      </w:r>
      <w:r w:rsidR="00196987">
        <w:t xml:space="preserve"> </w:t>
      </w:r>
      <w:r w:rsidRPr="00196987">
        <w:t>rady a ochotu v</w:t>
      </w:r>
      <w:r w:rsidR="00196987">
        <w:t> </w:t>
      </w:r>
      <w:r w:rsidRPr="00196987">
        <w:t xml:space="preserve">průběhu zpracování této </w:t>
      </w:r>
      <w:r w:rsidR="001325DB">
        <w:t xml:space="preserve">diplomové </w:t>
      </w:r>
      <w:r w:rsidRPr="00196987">
        <w:t>práce.</w:t>
      </w:r>
    </w:p>
    <w:p w14:paraId="6E69E713" w14:textId="0C75AE61" w:rsidR="005F6936" w:rsidRPr="00A554EA" w:rsidRDefault="005F6936" w:rsidP="00A704A5">
      <w:pPr>
        <w:rPr>
          <w:b/>
          <w:bCs/>
          <w:sz w:val="30"/>
          <w:szCs w:val="30"/>
        </w:rPr>
      </w:pPr>
      <w:r w:rsidRPr="00A554EA">
        <w:rPr>
          <w:b/>
          <w:bCs/>
          <w:color w:val="2F5496" w:themeColor="accent1" w:themeShade="BF"/>
          <w:sz w:val="30"/>
          <w:szCs w:val="30"/>
        </w:rPr>
        <w:lastRenderedPageBreak/>
        <w:t>O</w:t>
      </w:r>
      <w:r w:rsidR="00A554EA">
        <w:rPr>
          <w:b/>
          <w:bCs/>
          <w:color w:val="2F5496" w:themeColor="accent1" w:themeShade="BF"/>
          <w:sz w:val="30"/>
          <w:szCs w:val="30"/>
        </w:rPr>
        <w:t>BSAH</w:t>
      </w:r>
    </w:p>
    <w:p w14:paraId="3D9429C1" w14:textId="360A8D78" w:rsidR="008A7955" w:rsidRPr="008A7955" w:rsidRDefault="00D651EF" w:rsidP="008A7955">
      <w:pPr>
        <w:pStyle w:val="Obsah1"/>
        <w:jc w:val="both"/>
        <w:rPr>
          <w:rFonts w:ascii="Times New Roman" w:eastAsiaTheme="minorEastAsia" w:hAnsi="Times New Roman" w:cs="Times New Roman"/>
          <w:b w:val="0"/>
          <w:bCs w:val="0"/>
          <w:noProof/>
          <w:sz w:val="22"/>
          <w:szCs w:val="22"/>
        </w:rPr>
      </w:pPr>
      <w:r w:rsidRPr="008A7955">
        <w:rPr>
          <w:rFonts w:ascii="Times New Roman" w:hAnsi="Times New Roman" w:cs="Times New Roman"/>
        </w:rPr>
        <w:fldChar w:fldCharType="begin"/>
      </w:r>
      <w:r w:rsidRPr="008A7955">
        <w:rPr>
          <w:rFonts w:ascii="Times New Roman" w:hAnsi="Times New Roman" w:cs="Times New Roman"/>
        </w:rPr>
        <w:instrText xml:space="preserve"> TOC \o "1-4" \h \z \u </w:instrText>
      </w:r>
      <w:r w:rsidRPr="008A7955">
        <w:rPr>
          <w:rFonts w:ascii="Times New Roman" w:hAnsi="Times New Roman" w:cs="Times New Roman"/>
        </w:rPr>
        <w:fldChar w:fldCharType="separate"/>
      </w:r>
      <w:hyperlink w:anchor="_Toc46142323" w:history="1">
        <w:r w:rsidR="008A7955" w:rsidRPr="008A7955">
          <w:rPr>
            <w:rStyle w:val="Hypertextovodkaz"/>
            <w:rFonts w:ascii="Times New Roman" w:hAnsi="Times New Roman" w:cs="Times New Roman"/>
            <w:noProof/>
          </w:rPr>
          <w:t>ÚVOD</w:t>
        </w:r>
        <w:r w:rsidR="008A7955" w:rsidRPr="008A7955">
          <w:rPr>
            <w:rFonts w:ascii="Times New Roman" w:hAnsi="Times New Roman" w:cs="Times New Roman"/>
            <w:noProof/>
            <w:webHidden/>
          </w:rPr>
          <w:tab/>
        </w:r>
        <w:r w:rsidR="008A7955" w:rsidRPr="008A7955">
          <w:rPr>
            <w:rFonts w:ascii="Times New Roman" w:hAnsi="Times New Roman" w:cs="Times New Roman"/>
            <w:noProof/>
            <w:webHidden/>
          </w:rPr>
          <w:fldChar w:fldCharType="begin"/>
        </w:r>
        <w:r w:rsidR="008A7955" w:rsidRPr="008A7955">
          <w:rPr>
            <w:rFonts w:ascii="Times New Roman" w:hAnsi="Times New Roman" w:cs="Times New Roman"/>
            <w:noProof/>
            <w:webHidden/>
          </w:rPr>
          <w:instrText xml:space="preserve"> PAGEREF _Toc46142323 \h </w:instrText>
        </w:r>
        <w:r w:rsidR="008A7955" w:rsidRPr="008A7955">
          <w:rPr>
            <w:rFonts w:ascii="Times New Roman" w:hAnsi="Times New Roman" w:cs="Times New Roman"/>
            <w:noProof/>
            <w:webHidden/>
          </w:rPr>
        </w:r>
        <w:r w:rsidR="008A7955" w:rsidRPr="008A7955">
          <w:rPr>
            <w:rFonts w:ascii="Times New Roman" w:hAnsi="Times New Roman" w:cs="Times New Roman"/>
            <w:noProof/>
            <w:webHidden/>
          </w:rPr>
          <w:fldChar w:fldCharType="separate"/>
        </w:r>
        <w:r w:rsidR="008A7955" w:rsidRPr="008A7955">
          <w:rPr>
            <w:rFonts w:ascii="Times New Roman" w:hAnsi="Times New Roman" w:cs="Times New Roman"/>
            <w:noProof/>
            <w:webHidden/>
          </w:rPr>
          <w:t>8</w:t>
        </w:r>
        <w:r w:rsidR="008A7955" w:rsidRPr="008A7955">
          <w:rPr>
            <w:rFonts w:ascii="Times New Roman" w:hAnsi="Times New Roman" w:cs="Times New Roman"/>
            <w:noProof/>
            <w:webHidden/>
          </w:rPr>
          <w:fldChar w:fldCharType="end"/>
        </w:r>
      </w:hyperlink>
    </w:p>
    <w:p w14:paraId="7812B2D1" w14:textId="1D90828B" w:rsidR="008A7955" w:rsidRPr="008A7955" w:rsidRDefault="008A7955" w:rsidP="008A7955">
      <w:pPr>
        <w:pStyle w:val="Obsah1"/>
        <w:tabs>
          <w:tab w:val="left" w:pos="780"/>
        </w:tabs>
        <w:jc w:val="both"/>
        <w:rPr>
          <w:rFonts w:ascii="Times New Roman" w:eastAsiaTheme="minorEastAsia" w:hAnsi="Times New Roman" w:cs="Times New Roman"/>
          <w:b w:val="0"/>
          <w:bCs w:val="0"/>
          <w:noProof/>
          <w:sz w:val="22"/>
          <w:szCs w:val="22"/>
        </w:rPr>
      </w:pPr>
      <w:hyperlink w:anchor="_Toc46142324" w:history="1">
        <w:r w:rsidRPr="008A7955">
          <w:rPr>
            <w:rStyle w:val="Hypertextovodkaz"/>
            <w:rFonts w:ascii="Times New Roman" w:hAnsi="Times New Roman" w:cs="Times New Roman"/>
            <w:noProof/>
          </w:rPr>
          <w:t>1</w:t>
        </w:r>
        <w:r w:rsidRPr="008A7955">
          <w:rPr>
            <w:rFonts w:ascii="Times New Roman" w:eastAsiaTheme="minorEastAsia" w:hAnsi="Times New Roman" w:cs="Times New Roman"/>
            <w:b w:val="0"/>
            <w:bCs w:val="0"/>
            <w:noProof/>
            <w:sz w:val="22"/>
            <w:szCs w:val="22"/>
          </w:rPr>
          <w:tab/>
        </w:r>
        <w:r w:rsidRPr="008A7955">
          <w:rPr>
            <w:rStyle w:val="Hypertextovodkaz"/>
            <w:rFonts w:ascii="Times New Roman" w:hAnsi="Times New Roman" w:cs="Times New Roman"/>
            <w:noProof/>
          </w:rPr>
          <w:t>TEORETICKÉ VYMEZENÍ ZÁKLADNÍCH INDIKÁTORŮ</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_Toc46142324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9</w:t>
        </w:r>
        <w:r w:rsidRPr="008A7955">
          <w:rPr>
            <w:rFonts w:ascii="Times New Roman" w:hAnsi="Times New Roman" w:cs="Times New Roman"/>
            <w:noProof/>
            <w:webHidden/>
          </w:rPr>
          <w:fldChar w:fldCharType="end"/>
        </w:r>
      </w:hyperlink>
    </w:p>
    <w:p w14:paraId="0062F6BD" w14:textId="6DB9069A"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25" w:history="1">
        <w:r w:rsidRPr="008A7955">
          <w:rPr>
            <w:rStyle w:val="Hypertextovodkaz"/>
            <w:rFonts w:ascii="Times New Roman" w:hAnsi="Times New Roman" w:cs="Times New Roman"/>
            <w:noProof/>
          </w:rPr>
          <w:t>1.1</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ŽIVOTNÍ ÚROVEŇ</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_Toc46142325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9</w:t>
        </w:r>
        <w:r w:rsidRPr="008A7955">
          <w:rPr>
            <w:rFonts w:ascii="Times New Roman" w:hAnsi="Times New Roman" w:cs="Times New Roman"/>
            <w:noProof/>
            <w:webHidden/>
          </w:rPr>
          <w:fldChar w:fldCharType="end"/>
        </w:r>
      </w:hyperlink>
    </w:p>
    <w:p w14:paraId="6FA0590B" w14:textId="3D0AF40C"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26" w:history="1">
        <w:r w:rsidRPr="008A7955">
          <w:rPr>
            <w:rStyle w:val="Hypertextovodkaz"/>
            <w:rFonts w:ascii="Times New Roman" w:hAnsi="Times New Roman" w:cs="Times New Roman"/>
            <w:noProof/>
          </w:rPr>
          <w:t>1.1.1</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Ekonomická dimenze životní úrovně</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_Toc46142326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10</w:t>
        </w:r>
        <w:r w:rsidRPr="008A7955">
          <w:rPr>
            <w:rFonts w:ascii="Times New Roman" w:hAnsi="Times New Roman" w:cs="Times New Roman"/>
            <w:noProof/>
            <w:webHidden/>
          </w:rPr>
          <w:fldChar w:fldCharType="end"/>
        </w:r>
      </w:hyperlink>
    </w:p>
    <w:p w14:paraId="7584F787" w14:textId="17A84E6A"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27" w:history="1">
        <w:r w:rsidRPr="008A7955">
          <w:rPr>
            <w:rStyle w:val="Hypertextovodkaz"/>
            <w:rFonts w:ascii="Times New Roman" w:hAnsi="Times New Roman" w:cs="Times New Roman"/>
            <w:noProof/>
          </w:rPr>
          <w:t>1.1.2</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Životní úroveň ze sociálního pohledu</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_Toc46142327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12</w:t>
        </w:r>
        <w:r w:rsidRPr="008A7955">
          <w:rPr>
            <w:rFonts w:ascii="Times New Roman" w:hAnsi="Times New Roman" w:cs="Times New Roman"/>
            <w:noProof/>
            <w:webHidden/>
          </w:rPr>
          <w:fldChar w:fldCharType="end"/>
        </w:r>
      </w:hyperlink>
    </w:p>
    <w:p w14:paraId="0918D9ED" w14:textId="37029DF9"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28" w:history="1">
        <w:r w:rsidRPr="008A7955">
          <w:rPr>
            <w:rStyle w:val="Hypertextovodkaz"/>
            <w:rFonts w:ascii="Times New Roman" w:hAnsi="Times New Roman" w:cs="Times New Roman"/>
            <w:noProof/>
          </w:rPr>
          <w:t>1.1.3</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Kvalita života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_Toc46142328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13</w:t>
        </w:r>
        <w:r w:rsidRPr="008A7955">
          <w:rPr>
            <w:rFonts w:ascii="Times New Roman" w:hAnsi="Times New Roman" w:cs="Times New Roman"/>
            <w:noProof/>
            <w:webHidden/>
          </w:rPr>
          <w:fldChar w:fldCharType="end"/>
        </w:r>
      </w:hyperlink>
    </w:p>
    <w:p w14:paraId="196D1185" w14:textId="0E91B771"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29" w:history="1">
        <w:r w:rsidRPr="008A7955">
          <w:rPr>
            <w:rStyle w:val="Hypertextovodkaz"/>
            <w:rFonts w:ascii="Times New Roman" w:hAnsi="Times New Roman" w:cs="Times New Roman"/>
            <w:noProof/>
          </w:rPr>
          <w:t>1.1.4</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Blahobyt</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_Toc46142329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13</w:t>
        </w:r>
        <w:r w:rsidRPr="008A7955">
          <w:rPr>
            <w:rFonts w:ascii="Times New Roman" w:hAnsi="Times New Roman" w:cs="Times New Roman"/>
            <w:noProof/>
            <w:webHidden/>
          </w:rPr>
          <w:fldChar w:fldCharType="end"/>
        </w:r>
      </w:hyperlink>
    </w:p>
    <w:p w14:paraId="0845EC8B" w14:textId="43B5725E"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30" w:history="1">
        <w:r w:rsidRPr="008A7955">
          <w:rPr>
            <w:rStyle w:val="Hypertextovodkaz"/>
            <w:rFonts w:ascii="Times New Roman" w:hAnsi="Times New Roman" w:cs="Times New Roman"/>
            <w:noProof/>
          </w:rPr>
          <w:t>1.2</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CHUDOBA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_Toc46142330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15</w:t>
        </w:r>
        <w:r w:rsidRPr="008A7955">
          <w:rPr>
            <w:rFonts w:ascii="Times New Roman" w:hAnsi="Times New Roman" w:cs="Times New Roman"/>
            <w:noProof/>
            <w:webHidden/>
          </w:rPr>
          <w:fldChar w:fldCharType="end"/>
        </w:r>
      </w:hyperlink>
    </w:p>
    <w:p w14:paraId="7D904012" w14:textId="54FA1C55"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31" w:history="1">
        <w:r w:rsidRPr="008A7955">
          <w:rPr>
            <w:rStyle w:val="Hypertextovodkaz"/>
            <w:rFonts w:ascii="Times New Roman" w:hAnsi="Times New Roman" w:cs="Times New Roman"/>
            <w:noProof/>
          </w:rPr>
          <w:t>1.2.1</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Příčiny chudoby</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_Toc46142331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18</w:t>
        </w:r>
        <w:r w:rsidRPr="008A7955">
          <w:rPr>
            <w:rFonts w:ascii="Times New Roman" w:hAnsi="Times New Roman" w:cs="Times New Roman"/>
            <w:noProof/>
            <w:webHidden/>
          </w:rPr>
          <w:fldChar w:fldCharType="end"/>
        </w:r>
      </w:hyperlink>
    </w:p>
    <w:p w14:paraId="21F6FFDB" w14:textId="4AA51469"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32" w:history="1">
        <w:r w:rsidRPr="008A7955">
          <w:rPr>
            <w:rStyle w:val="Hypertextovodkaz"/>
            <w:rFonts w:ascii="Times New Roman" w:hAnsi="Times New Roman" w:cs="Times New Roman"/>
            <w:noProof/>
          </w:rPr>
          <w:t>1.2.2</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Nástroje chudoby a její měření</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_Toc46142332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19</w:t>
        </w:r>
        <w:r w:rsidRPr="008A7955">
          <w:rPr>
            <w:rFonts w:ascii="Times New Roman" w:hAnsi="Times New Roman" w:cs="Times New Roman"/>
            <w:noProof/>
            <w:webHidden/>
          </w:rPr>
          <w:fldChar w:fldCharType="end"/>
        </w:r>
      </w:hyperlink>
    </w:p>
    <w:p w14:paraId="1BC23E37" w14:textId="480F032B" w:rsidR="008A7955" w:rsidRPr="008A7955" w:rsidRDefault="008A7955" w:rsidP="008A7955">
      <w:pPr>
        <w:pStyle w:val="Obsah1"/>
        <w:tabs>
          <w:tab w:val="left" w:pos="780"/>
        </w:tabs>
        <w:jc w:val="both"/>
        <w:rPr>
          <w:rFonts w:ascii="Times New Roman" w:eastAsiaTheme="minorEastAsia" w:hAnsi="Times New Roman" w:cs="Times New Roman"/>
          <w:b w:val="0"/>
          <w:bCs w:val="0"/>
          <w:noProof/>
          <w:sz w:val="22"/>
          <w:szCs w:val="22"/>
        </w:rPr>
      </w:pPr>
      <w:hyperlink w:anchor="_Toc46142333" w:history="1">
        <w:r w:rsidRPr="008A7955">
          <w:rPr>
            <w:rStyle w:val="Hypertextovodkaz"/>
            <w:rFonts w:ascii="Times New Roman" w:hAnsi="Times New Roman" w:cs="Times New Roman"/>
            <w:noProof/>
          </w:rPr>
          <w:t>2</w:t>
        </w:r>
        <w:r w:rsidRPr="008A7955">
          <w:rPr>
            <w:rFonts w:ascii="Times New Roman" w:eastAsiaTheme="minorEastAsia" w:hAnsi="Times New Roman" w:cs="Times New Roman"/>
            <w:b w:val="0"/>
            <w:bCs w:val="0"/>
            <w:noProof/>
            <w:sz w:val="22"/>
            <w:szCs w:val="22"/>
          </w:rPr>
          <w:tab/>
        </w:r>
        <w:r w:rsidRPr="008A7955">
          <w:rPr>
            <w:rStyle w:val="Hypertextovodkaz"/>
            <w:rFonts w:ascii="Times New Roman" w:hAnsi="Times New Roman" w:cs="Times New Roman"/>
            <w:noProof/>
          </w:rPr>
          <w:t>ROLE HOSPODÁŘSKÉ A SOCIÁLNÍ POLITIKY V OBLASTI ŽIVOTNÍ ÚROVNĚ</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_Toc46142333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24</w:t>
        </w:r>
        <w:r w:rsidRPr="008A7955">
          <w:rPr>
            <w:rFonts w:ascii="Times New Roman" w:hAnsi="Times New Roman" w:cs="Times New Roman"/>
            <w:noProof/>
            <w:webHidden/>
          </w:rPr>
          <w:fldChar w:fldCharType="end"/>
        </w:r>
      </w:hyperlink>
    </w:p>
    <w:p w14:paraId="05D98CAA" w14:textId="65BA88F1"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34" w:history="1">
        <w:r w:rsidRPr="008A7955">
          <w:rPr>
            <w:rStyle w:val="Hypertextovodkaz"/>
            <w:rFonts w:ascii="Times New Roman" w:hAnsi="Times New Roman" w:cs="Times New Roman"/>
            <w:noProof/>
          </w:rPr>
          <w:t>2.1</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HOSPODÁŘSKÁ POLITIKA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_Toc46142334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24</w:t>
        </w:r>
        <w:r w:rsidRPr="008A7955">
          <w:rPr>
            <w:rFonts w:ascii="Times New Roman" w:hAnsi="Times New Roman" w:cs="Times New Roman"/>
            <w:noProof/>
            <w:webHidden/>
          </w:rPr>
          <w:fldChar w:fldCharType="end"/>
        </w:r>
      </w:hyperlink>
    </w:p>
    <w:p w14:paraId="05F61095" w14:textId="37EF853F"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35" w:history="1">
        <w:r w:rsidRPr="008A7955">
          <w:rPr>
            <w:rStyle w:val="Hypertextovodkaz"/>
            <w:rFonts w:ascii="Times New Roman" w:hAnsi="Times New Roman" w:cs="Times New Roman"/>
            <w:noProof/>
          </w:rPr>
          <w:t>2.2</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SOCIÁLNÍ POLITIKA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_Toc46142335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25</w:t>
        </w:r>
        <w:r w:rsidRPr="008A7955">
          <w:rPr>
            <w:rFonts w:ascii="Times New Roman" w:hAnsi="Times New Roman" w:cs="Times New Roman"/>
            <w:noProof/>
            <w:webHidden/>
          </w:rPr>
          <w:fldChar w:fldCharType="end"/>
        </w:r>
      </w:hyperlink>
    </w:p>
    <w:p w14:paraId="4BE6C7CB" w14:textId="0FF033CF"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36" w:history="1">
        <w:r w:rsidRPr="008A7955">
          <w:rPr>
            <w:rStyle w:val="Hypertextovodkaz"/>
            <w:rFonts w:ascii="Times New Roman" w:hAnsi="Times New Roman" w:cs="Times New Roman"/>
            <w:noProof/>
          </w:rPr>
          <w:t>2.3</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PROVÁZANOST HOSPODÁŘSKÉ A SOCIÁLNÍ POLITIKY</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_Toc46142336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27</w:t>
        </w:r>
        <w:r w:rsidRPr="008A7955">
          <w:rPr>
            <w:rFonts w:ascii="Times New Roman" w:hAnsi="Times New Roman" w:cs="Times New Roman"/>
            <w:noProof/>
            <w:webHidden/>
          </w:rPr>
          <w:fldChar w:fldCharType="end"/>
        </w:r>
      </w:hyperlink>
    </w:p>
    <w:p w14:paraId="6F8BA244" w14:textId="47645FD4" w:rsidR="008A7955" w:rsidRPr="008A7955" w:rsidRDefault="008A7955" w:rsidP="008A7955">
      <w:pPr>
        <w:pStyle w:val="Obsah1"/>
        <w:tabs>
          <w:tab w:val="left" w:pos="780"/>
        </w:tabs>
        <w:jc w:val="both"/>
        <w:rPr>
          <w:rFonts w:ascii="Times New Roman" w:eastAsiaTheme="minorEastAsia" w:hAnsi="Times New Roman" w:cs="Times New Roman"/>
          <w:b w:val="0"/>
          <w:bCs w:val="0"/>
          <w:noProof/>
          <w:sz w:val="22"/>
          <w:szCs w:val="22"/>
        </w:rPr>
      </w:pPr>
      <w:hyperlink w:anchor="_Toc46142337" w:history="1">
        <w:r w:rsidRPr="008A7955">
          <w:rPr>
            <w:rStyle w:val="Hypertextovodkaz"/>
            <w:rFonts w:ascii="Times New Roman" w:hAnsi="Times New Roman" w:cs="Times New Roman"/>
            <w:noProof/>
          </w:rPr>
          <w:t>3</w:t>
        </w:r>
        <w:r w:rsidRPr="008A7955">
          <w:rPr>
            <w:rFonts w:ascii="Times New Roman" w:eastAsiaTheme="minorEastAsia" w:hAnsi="Times New Roman" w:cs="Times New Roman"/>
            <w:b w:val="0"/>
            <w:bCs w:val="0"/>
            <w:noProof/>
            <w:sz w:val="22"/>
            <w:szCs w:val="22"/>
          </w:rPr>
          <w:tab/>
        </w:r>
        <w:r w:rsidRPr="008A7955">
          <w:rPr>
            <w:rStyle w:val="Hypertextovodkaz"/>
            <w:rFonts w:ascii="Times New Roman" w:hAnsi="Times New Roman" w:cs="Times New Roman"/>
            <w:noProof/>
          </w:rPr>
          <w:t>UKAZATELÉ A ZPŮSOBY MĚŘENÍ ŽIVOTNÍ ÚROVNĚ</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_Toc46142337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29</w:t>
        </w:r>
        <w:r w:rsidRPr="008A7955">
          <w:rPr>
            <w:rFonts w:ascii="Times New Roman" w:hAnsi="Times New Roman" w:cs="Times New Roman"/>
            <w:noProof/>
            <w:webHidden/>
          </w:rPr>
          <w:fldChar w:fldCharType="end"/>
        </w:r>
      </w:hyperlink>
    </w:p>
    <w:p w14:paraId="5ADCFDA4" w14:textId="21349281"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38" w:history="1">
        <w:r w:rsidRPr="008A7955">
          <w:rPr>
            <w:rStyle w:val="Hypertextovodkaz"/>
            <w:rFonts w:ascii="Times New Roman" w:hAnsi="Times New Roman" w:cs="Times New Roman"/>
            <w:noProof/>
          </w:rPr>
          <w:t>3.1</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EKONOMICKÉ UKAZATELE ŽIVOTNÍ ÚROVNĚ</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_Toc46142338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30</w:t>
        </w:r>
        <w:r w:rsidRPr="008A7955">
          <w:rPr>
            <w:rFonts w:ascii="Times New Roman" w:hAnsi="Times New Roman" w:cs="Times New Roman"/>
            <w:noProof/>
            <w:webHidden/>
          </w:rPr>
          <w:fldChar w:fldCharType="end"/>
        </w:r>
      </w:hyperlink>
    </w:p>
    <w:p w14:paraId="6AFB6EFE" w14:textId="1486E534"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39" w:history="1">
        <w:r w:rsidRPr="008A7955">
          <w:rPr>
            <w:rStyle w:val="Hypertextovodkaz"/>
            <w:rFonts w:ascii="Times New Roman" w:hAnsi="Times New Roman" w:cs="Times New Roman"/>
            <w:noProof/>
          </w:rPr>
          <w:t>3.1.1</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Hrubý domácí produkt (na obyvatele) – HDP</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_Toc46142339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30</w:t>
        </w:r>
        <w:r w:rsidRPr="008A7955">
          <w:rPr>
            <w:rFonts w:ascii="Times New Roman" w:hAnsi="Times New Roman" w:cs="Times New Roman"/>
            <w:noProof/>
            <w:webHidden/>
          </w:rPr>
          <w:fldChar w:fldCharType="end"/>
        </w:r>
      </w:hyperlink>
    </w:p>
    <w:p w14:paraId="4ADDEE20" w14:textId="10270726"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0" w:history="1">
        <w:r w:rsidRPr="008A7955">
          <w:rPr>
            <w:rStyle w:val="Hypertextovodkaz"/>
            <w:rFonts w:ascii="Times New Roman" w:hAnsi="Times New Roman" w:cs="Times New Roman"/>
            <w:noProof/>
          </w:rPr>
          <w:t>3.1.2</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Klasifikace důchodů a jejich nerovností</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_Toc46142340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32</w:t>
        </w:r>
        <w:r w:rsidRPr="008A7955">
          <w:rPr>
            <w:rFonts w:ascii="Times New Roman" w:hAnsi="Times New Roman" w:cs="Times New Roman"/>
            <w:noProof/>
            <w:webHidden/>
          </w:rPr>
          <w:fldChar w:fldCharType="end"/>
        </w:r>
      </w:hyperlink>
    </w:p>
    <w:p w14:paraId="3F05122C" w14:textId="6F2BD76D"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1" w:history="1">
        <w:r w:rsidRPr="008A7955">
          <w:rPr>
            <w:rStyle w:val="Hypertextovodkaz"/>
            <w:rFonts w:ascii="Times New Roman" w:hAnsi="Times New Roman" w:cs="Times New Roman"/>
            <w:noProof/>
          </w:rPr>
          <w:t>3.1.3</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Nezaměstnanost</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_Toc46142341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37</w:t>
        </w:r>
        <w:r w:rsidRPr="008A7955">
          <w:rPr>
            <w:rFonts w:ascii="Times New Roman" w:hAnsi="Times New Roman" w:cs="Times New Roman"/>
            <w:noProof/>
            <w:webHidden/>
          </w:rPr>
          <w:fldChar w:fldCharType="end"/>
        </w:r>
      </w:hyperlink>
    </w:p>
    <w:p w14:paraId="409705F0" w14:textId="55D7EE04"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2" w:history="1">
        <w:r w:rsidRPr="008A7955">
          <w:rPr>
            <w:rStyle w:val="Hypertextovodkaz"/>
            <w:rFonts w:ascii="Times New Roman" w:hAnsi="Times New Roman" w:cs="Times New Roman"/>
            <w:noProof/>
          </w:rPr>
          <w:t>3.1.4</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Index lidského rozvoje – HDI</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_Toc46142342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38</w:t>
        </w:r>
        <w:r w:rsidRPr="008A7955">
          <w:rPr>
            <w:rFonts w:ascii="Times New Roman" w:hAnsi="Times New Roman" w:cs="Times New Roman"/>
            <w:noProof/>
            <w:webHidden/>
          </w:rPr>
          <w:fldChar w:fldCharType="end"/>
        </w:r>
      </w:hyperlink>
    </w:p>
    <w:p w14:paraId="7CCBADDD" w14:textId="53BC065E"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3" w:history="1">
        <w:r w:rsidRPr="008A7955">
          <w:rPr>
            <w:rStyle w:val="Hypertextovodkaz"/>
            <w:rFonts w:ascii="Times New Roman" w:hAnsi="Times New Roman" w:cs="Times New Roman"/>
            <w:noProof/>
          </w:rPr>
          <w:t>3.1.5</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Index chudoby – HPI</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_Toc46142343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41</w:t>
        </w:r>
        <w:r w:rsidRPr="008A7955">
          <w:rPr>
            <w:rFonts w:ascii="Times New Roman" w:hAnsi="Times New Roman" w:cs="Times New Roman"/>
            <w:noProof/>
            <w:webHidden/>
          </w:rPr>
          <w:fldChar w:fldCharType="end"/>
        </w:r>
      </w:hyperlink>
    </w:p>
    <w:p w14:paraId="2CD9E3C8" w14:textId="53B868E8"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44" w:history="1">
        <w:r w:rsidRPr="008A7955">
          <w:rPr>
            <w:rStyle w:val="Hypertextovodkaz"/>
            <w:rFonts w:ascii="Times New Roman" w:hAnsi="Times New Roman" w:cs="Times New Roman"/>
            <w:noProof/>
          </w:rPr>
          <w:t>3.2</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DALŠÍ MOŽNÉ UKAZATELE ŽIVOTNÍ ÚROVNĚ</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_Toc46142344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42</w:t>
        </w:r>
        <w:r w:rsidRPr="008A7955">
          <w:rPr>
            <w:rFonts w:ascii="Times New Roman" w:hAnsi="Times New Roman" w:cs="Times New Roman"/>
            <w:noProof/>
            <w:webHidden/>
          </w:rPr>
          <w:fldChar w:fldCharType="end"/>
        </w:r>
      </w:hyperlink>
    </w:p>
    <w:p w14:paraId="3E044A18" w14:textId="11212684" w:rsidR="008A7955" w:rsidRPr="008A7955" w:rsidRDefault="008A7955" w:rsidP="008A7955">
      <w:pPr>
        <w:pStyle w:val="Obsah1"/>
        <w:tabs>
          <w:tab w:val="left" w:pos="780"/>
        </w:tabs>
        <w:jc w:val="both"/>
        <w:rPr>
          <w:rFonts w:ascii="Times New Roman" w:eastAsiaTheme="minorEastAsia" w:hAnsi="Times New Roman" w:cs="Times New Roman"/>
          <w:b w:val="0"/>
          <w:bCs w:val="0"/>
          <w:noProof/>
          <w:sz w:val="22"/>
          <w:szCs w:val="22"/>
        </w:rPr>
      </w:pPr>
      <w:hyperlink w:anchor="_Toc46142345" w:history="1">
        <w:r w:rsidRPr="008A7955">
          <w:rPr>
            <w:rStyle w:val="Hypertextovodkaz"/>
            <w:rFonts w:ascii="Times New Roman" w:hAnsi="Times New Roman" w:cs="Times New Roman"/>
            <w:noProof/>
          </w:rPr>
          <w:t>4</w:t>
        </w:r>
        <w:r w:rsidRPr="008A7955">
          <w:rPr>
            <w:rFonts w:ascii="Times New Roman" w:eastAsiaTheme="minorEastAsia" w:hAnsi="Times New Roman" w:cs="Times New Roman"/>
            <w:b w:val="0"/>
            <w:bCs w:val="0"/>
            <w:noProof/>
            <w:sz w:val="22"/>
            <w:szCs w:val="22"/>
          </w:rPr>
          <w:tab/>
        </w:r>
        <w:r w:rsidRPr="008A7955">
          <w:rPr>
            <w:rStyle w:val="Hypertextovodkaz"/>
            <w:rFonts w:ascii="Times New Roman" w:hAnsi="Times New Roman" w:cs="Times New Roman"/>
            <w:noProof/>
          </w:rPr>
          <w:t>METODIKA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_Toc46142345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44</w:t>
        </w:r>
        <w:r w:rsidRPr="008A7955">
          <w:rPr>
            <w:rFonts w:ascii="Times New Roman" w:hAnsi="Times New Roman" w:cs="Times New Roman"/>
            <w:noProof/>
            <w:webHidden/>
          </w:rPr>
          <w:fldChar w:fldCharType="end"/>
        </w:r>
      </w:hyperlink>
    </w:p>
    <w:p w14:paraId="459B5DC6" w14:textId="7F01F5E8" w:rsidR="008A7955" w:rsidRPr="008A7955" w:rsidRDefault="008A7955" w:rsidP="008A7955">
      <w:pPr>
        <w:pStyle w:val="Obsah1"/>
        <w:tabs>
          <w:tab w:val="left" w:pos="780"/>
        </w:tabs>
        <w:jc w:val="both"/>
        <w:rPr>
          <w:rFonts w:ascii="Times New Roman" w:eastAsiaTheme="minorEastAsia" w:hAnsi="Times New Roman" w:cs="Times New Roman"/>
          <w:b w:val="0"/>
          <w:bCs w:val="0"/>
          <w:noProof/>
          <w:sz w:val="22"/>
          <w:szCs w:val="22"/>
        </w:rPr>
      </w:pPr>
      <w:hyperlink w:anchor="_Toc46142346" w:history="1">
        <w:r w:rsidRPr="008A7955">
          <w:rPr>
            <w:rStyle w:val="Hypertextovodkaz"/>
            <w:rFonts w:ascii="Times New Roman" w:hAnsi="Times New Roman" w:cs="Times New Roman"/>
            <w:noProof/>
          </w:rPr>
          <w:t>5</w:t>
        </w:r>
        <w:r w:rsidRPr="008A7955">
          <w:rPr>
            <w:rFonts w:ascii="Times New Roman" w:eastAsiaTheme="minorEastAsia" w:hAnsi="Times New Roman" w:cs="Times New Roman"/>
            <w:b w:val="0"/>
            <w:bCs w:val="0"/>
            <w:noProof/>
            <w:sz w:val="22"/>
            <w:szCs w:val="22"/>
          </w:rPr>
          <w:tab/>
        </w:r>
        <w:r w:rsidRPr="008A7955">
          <w:rPr>
            <w:rStyle w:val="Hypertextovodkaz"/>
            <w:rFonts w:ascii="Times New Roman" w:hAnsi="Times New Roman" w:cs="Times New Roman"/>
            <w:noProof/>
          </w:rPr>
          <w:t>ANALÝZA A SROVNÁNÍ VYBRANÝCH UKAZATELŮ</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_Toc46142346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45</w:t>
        </w:r>
        <w:r w:rsidRPr="008A7955">
          <w:rPr>
            <w:rFonts w:ascii="Times New Roman" w:hAnsi="Times New Roman" w:cs="Times New Roman"/>
            <w:noProof/>
            <w:webHidden/>
          </w:rPr>
          <w:fldChar w:fldCharType="end"/>
        </w:r>
      </w:hyperlink>
    </w:p>
    <w:p w14:paraId="746953B6" w14:textId="32B06822" w:rsidR="008A7955" w:rsidRPr="008A7955" w:rsidRDefault="008A7955" w:rsidP="008A7955">
      <w:pPr>
        <w:pStyle w:val="Obsah2"/>
        <w:tabs>
          <w:tab w:val="left" w:pos="1040"/>
          <w:tab w:val="right" w:leader="dot" w:pos="9060"/>
        </w:tabs>
        <w:jc w:val="both"/>
        <w:rPr>
          <w:rFonts w:ascii="Times New Roman" w:eastAsiaTheme="minorEastAsia" w:hAnsi="Times New Roman" w:cs="Times New Roman"/>
          <w:i w:val="0"/>
          <w:iCs w:val="0"/>
          <w:noProof/>
          <w:sz w:val="22"/>
          <w:szCs w:val="22"/>
        </w:rPr>
      </w:pPr>
      <w:hyperlink w:anchor="_Toc46142347" w:history="1">
        <w:r w:rsidRPr="008A7955">
          <w:rPr>
            <w:rStyle w:val="Hypertextovodkaz"/>
            <w:rFonts w:ascii="Times New Roman" w:hAnsi="Times New Roman" w:cs="Times New Roman"/>
            <w:noProof/>
          </w:rPr>
          <w:t>5.1</w:t>
        </w:r>
        <w:r w:rsidRPr="008A7955">
          <w:rPr>
            <w:rFonts w:ascii="Times New Roman" w:eastAsiaTheme="minorEastAsia" w:hAnsi="Times New Roman" w:cs="Times New Roman"/>
            <w:i w:val="0"/>
            <w:iCs w:val="0"/>
            <w:noProof/>
            <w:sz w:val="22"/>
            <w:szCs w:val="22"/>
          </w:rPr>
          <w:tab/>
        </w:r>
        <w:r w:rsidRPr="008A7955">
          <w:rPr>
            <w:rStyle w:val="Hypertextovodkaz"/>
            <w:rFonts w:ascii="Times New Roman" w:hAnsi="Times New Roman" w:cs="Times New Roman"/>
            <w:noProof/>
          </w:rPr>
          <w:t>VYBRANÉ STÁTY STŘEDNÍ EVROPY</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_Toc46142347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45</w:t>
        </w:r>
        <w:r w:rsidRPr="008A7955">
          <w:rPr>
            <w:rFonts w:ascii="Times New Roman" w:hAnsi="Times New Roman" w:cs="Times New Roman"/>
            <w:noProof/>
            <w:webHidden/>
          </w:rPr>
          <w:fldChar w:fldCharType="end"/>
        </w:r>
      </w:hyperlink>
    </w:p>
    <w:p w14:paraId="07BD64B5" w14:textId="03475FF6"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8" w:history="1">
        <w:r w:rsidRPr="008A7955">
          <w:rPr>
            <w:rStyle w:val="Hypertextovodkaz"/>
            <w:rFonts w:ascii="Times New Roman" w:hAnsi="Times New Roman" w:cs="Times New Roman"/>
            <w:noProof/>
          </w:rPr>
          <w:t>5.1.1</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Příjmy ve vybraných zemích Evropské Unie</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_Toc46142348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47</w:t>
        </w:r>
        <w:r w:rsidRPr="008A7955">
          <w:rPr>
            <w:rFonts w:ascii="Times New Roman" w:hAnsi="Times New Roman" w:cs="Times New Roman"/>
            <w:noProof/>
            <w:webHidden/>
          </w:rPr>
          <w:fldChar w:fldCharType="end"/>
        </w:r>
      </w:hyperlink>
    </w:p>
    <w:p w14:paraId="07CD2356" w14:textId="585AF816"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49" w:history="1">
        <w:r w:rsidRPr="008A7955">
          <w:rPr>
            <w:rStyle w:val="Hypertextovodkaz"/>
            <w:rFonts w:ascii="Times New Roman" w:hAnsi="Times New Roman" w:cs="Times New Roman"/>
            <w:noProof/>
          </w:rPr>
          <w:t>5.1.2</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Nezaměstnanost ve vybraných zemích Evropské Unie</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_Toc46142349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54</w:t>
        </w:r>
        <w:r w:rsidRPr="008A7955">
          <w:rPr>
            <w:rFonts w:ascii="Times New Roman" w:hAnsi="Times New Roman" w:cs="Times New Roman"/>
            <w:noProof/>
            <w:webHidden/>
          </w:rPr>
          <w:fldChar w:fldCharType="end"/>
        </w:r>
      </w:hyperlink>
    </w:p>
    <w:p w14:paraId="63D15AD4" w14:textId="26F888CF"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50" w:history="1">
        <w:r w:rsidRPr="008A7955">
          <w:rPr>
            <w:rStyle w:val="Hypertextovodkaz"/>
            <w:rFonts w:ascii="Times New Roman" w:hAnsi="Times New Roman" w:cs="Times New Roman"/>
            <w:noProof/>
          </w:rPr>
          <w:t>5.1.3</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HDI ve vybraných zemích Evropské Unie</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_Toc46142350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55</w:t>
        </w:r>
        <w:r w:rsidRPr="008A7955">
          <w:rPr>
            <w:rFonts w:ascii="Times New Roman" w:hAnsi="Times New Roman" w:cs="Times New Roman"/>
            <w:noProof/>
            <w:webHidden/>
          </w:rPr>
          <w:fldChar w:fldCharType="end"/>
        </w:r>
      </w:hyperlink>
    </w:p>
    <w:p w14:paraId="719666E2" w14:textId="1CDD9FE7" w:rsidR="008A7955" w:rsidRPr="008A7955" w:rsidRDefault="008A7955" w:rsidP="008A7955">
      <w:pPr>
        <w:pStyle w:val="Obsah3"/>
        <w:tabs>
          <w:tab w:val="left" w:pos="1560"/>
          <w:tab w:val="right" w:leader="dot" w:pos="9060"/>
        </w:tabs>
        <w:jc w:val="both"/>
        <w:rPr>
          <w:rFonts w:ascii="Times New Roman" w:eastAsiaTheme="minorEastAsia" w:hAnsi="Times New Roman" w:cs="Times New Roman"/>
          <w:noProof/>
          <w:sz w:val="22"/>
          <w:szCs w:val="22"/>
        </w:rPr>
      </w:pPr>
      <w:hyperlink w:anchor="_Toc46142351" w:history="1">
        <w:r w:rsidRPr="008A7955">
          <w:rPr>
            <w:rStyle w:val="Hypertextovodkaz"/>
            <w:rFonts w:ascii="Times New Roman" w:hAnsi="Times New Roman" w:cs="Times New Roman"/>
            <w:noProof/>
          </w:rPr>
          <w:t>5.1.4</w:t>
        </w:r>
        <w:r w:rsidRPr="008A7955">
          <w:rPr>
            <w:rFonts w:ascii="Times New Roman" w:eastAsiaTheme="minorEastAsia" w:hAnsi="Times New Roman" w:cs="Times New Roman"/>
            <w:noProof/>
            <w:sz w:val="22"/>
            <w:szCs w:val="22"/>
          </w:rPr>
          <w:tab/>
        </w:r>
        <w:r w:rsidRPr="008A7955">
          <w:rPr>
            <w:rStyle w:val="Hypertextovodkaz"/>
            <w:rFonts w:ascii="Times New Roman" w:hAnsi="Times New Roman" w:cs="Times New Roman"/>
            <w:noProof/>
          </w:rPr>
          <w:t>HDP ve vybraných zemích Evropské Unie</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_Toc46142351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57</w:t>
        </w:r>
        <w:r w:rsidRPr="008A7955">
          <w:rPr>
            <w:rFonts w:ascii="Times New Roman" w:hAnsi="Times New Roman" w:cs="Times New Roman"/>
            <w:noProof/>
            <w:webHidden/>
          </w:rPr>
          <w:fldChar w:fldCharType="end"/>
        </w:r>
      </w:hyperlink>
    </w:p>
    <w:p w14:paraId="31F5CD36" w14:textId="6B5B38A5" w:rsidR="008A7955" w:rsidRPr="008A7955" w:rsidRDefault="008A7955" w:rsidP="008A7955">
      <w:pPr>
        <w:pStyle w:val="Obsah1"/>
        <w:jc w:val="both"/>
        <w:rPr>
          <w:rFonts w:ascii="Times New Roman" w:eastAsiaTheme="minorEastAsia" w:hAnsi="Times New Roman" w:cs="Times New Roman"/>
          <w:b w:val="0"/>
          <w:bCs w:val="0"/>
          <w:noProof/>
          <w:sz w:val="22"/>
          <w:szCs w:val="22"/>
        </w:rPr>
      </w:pPr>
      <w:hyperlink w:anchor="_Toc46142352" w:history="1">
        <w:r w:rsidRPr="008A7955">
          <w:rPr>
            <w:rStyle w:val="Hypertextovodkaz"/>
            <w:rFonts w:ascii="Times New Roman" w:hAnsi="Times New Roman" w:cs="Times New Roman"/>
            <w:noProof/>
          </w:rPr>
          <w:t>ZÁVĚR</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_Toc46142352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60</w:t>
        </w:r>
        <w:r w:rsidRPr="008A7955">
          <w:rPr>
            <w:rFonts w:ascii="Times New Roman" w:hAnsi="Times New Roman" w:cs="Times New Roman"/>
            <w:noProof/>
            <w:webHidden/>
          </w:rPr>
          <w:fldChar w:fldCharType="end"/>
        </w:r>
      </w:hyperlink>
    </w:p>
    <w:p w14:paraId="3DCE53AE" w14:textId="7C6C2511" w:rsidR="008A7955" w:rsidRPr="008A7955" w:rsidRDefault="008A7955" w:rsidP="008A7955">
      <w:pPr>
        <w:pStyle w:val="Obsah1"/>
        <w:jc w:val="both"/>
        <w:rPr>
          <w:rFonts w:ascii="Times New Roman" w:eastAsiaTheme="minorEastAsia" w:hAnsi="Times New Roman" w:cs="Times New Roman"/>
          <w:b w:val="0"/>
          <w:bCs w:val="0"/>
          <w:noProof/>
          <w:sz w:val="22"/>
          <w:szCs w:val="22"/>
        </w:rPr>
      </w:pPr>
      <w:hyperlink w:anchor="_Toc46142353" w:history="1">
        <w:r w:rsidRPr="008A7955">
          <w:rPr>
            <w:rStyle w:val="Hypertextovodkaz"/>
            <w:rFonts w:ascii="Times New Roman" w:hAnsi="Times New Roman" w:cs="Times New Roman"/>
            <w:noProof/>
          </w:rPr>
          <w:t>POUŽITÁ LITERATURA</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_Toc46142353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63</w:t>
        </w:r>
        <w:r w:rsidRPr="008A7955">
          <w:rPr>
            <w:rFonts w:ascii="Times New Roman" w:hAnsi="Times New Roman" w:cs="Times New Roman"/>
            <w:noProof/>
            <w:webHidden/>
          </w:rPr>
          <w:fldChar w:fldCharType="end"/>
        </w:r>
      </w:hyperlink>
    </w:p>
    <w:p w14:paraId="2F6D037E" w14:textId="1B524776" w:rsidR="008A7955" w:rsidRPr="008A7955" w:rsidRDefault="008A7955" w:rsidP="008A7955">
      <w:pPr>
        <w:pStyle w:val="Obsah1"/>
        <w:jc w:val="both"/>
        <w:rPr>
          <w:rFonts w:ascii="Times New Roman" w:eastAsiaTheme="minorEastAsia" w:hAnsi="Times New Roman" w:cs="Times New Roman"/>
          <w:b w:val="0"/>
          <w:bCs w:val="0"/>
          <w:noProof/>
          <w:sz w:val="22"/>
          <w:szCs w:val="22"/>
        </w:rPr>
      </w:pPr>
      <w:hyperlink w:anchor="_Toc46142354" w:history="1">
        <w:r w:rsidRPr="008A7955">
          <w:rPr>
            <w:rStyle w:val="Hypertextovodkaz"/>
            <w:rFonts w:ascii="Times New Roman" w:hAnsi="Times New Roman" w:cs="Times New Roman"/>
            <w:noProof/>
          </w:rPr>
          <w:t>SEZNAM OBRÁZKŮ</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_Toc46142354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75</w:t>
        </w:r>
        <w:r w:rsidRPr="008A7955">
          <w:rPr>
            <w:rFonts w:ascii="Times New Roman" w:hAnsi="Times New Roman" w:cs="Times New Roman"/>
            <w:noProof/>
            <w:webHidden/>
          </w:rPr>
          <w:fldChar w:fldCharType="end"/>
        </w:r>
      </w:hyperlink>
    </w:p>
    <w:p w14:paraId="042BC4FB" w14:textId="26A54264" w:rsidR="008A7955" w:rsidRPr="008A7955" w:rsidRDefault="008A7955" w:rsidP="008A7955">
      <w:pPr>
        <w:pStyle w:val="Obsah1"/>
        <w:jc w:val="both"/>
        <w:rPr>
          <w:rFonts w:ascii="Times New Roman" w:eastAsiaTheme="minorEastAsia" w:hAnsi="Times New Roman" w:cs="Times New Roman"/>
          <w:b w:val="0"/>
          <w:bCs w:val="0"/>
          <w:noProof/>
          <w:sz w:val="22"/>
          <w:szCs w:val="22"/>
        </w:rPr>
      </w:pPr>
      <w:hyperlink w:anchor="_Toc46142355" w:history="1">
        <w:r w:rsidRPr="008A7955">
          <w:rPr>
            <w:rStyle w:val="Hypertextovodkaz"/>
            <w:rFonts w:ascii="Times New Roman" w:hAnsi="Times New Roman" w:cs="Times New Roman"/>
            <w:noProof/>
          </w:rPr>
          <w:t>SEZNAM TABULEK</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_Toc46142355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76</w:t>
        </w:r>
        <w:r w:rsidRPr="008A7955">
          <w:rPr>
            <w:rFonts w:ascii="Times New Roman" w:hAnsi="Times New Roman" w:cs="Times New Roman"/>
            <w:noProof/>
            <w:webHidden/>
          </w:rPr>
          <w:fldChar w:fldCharType="end"/>
        </w:r>
      </w:hyperlink>
    </w:p>
    <w:p w14:paraId="1E307A3F" w14:textId="651E13EC" w:rsidR="008A7955" w:rsidRPr="008A7955" w:rsidRDefault="008A7955" w:rsidP="008A7955">
      <w:pPr>
        <w:pStyle w:val="Obsah1"/>
        <w:jc w:val="both"/>
        <w:rPr>
          <w:rFonts w:ascii="Times New Roman" w:eastAsiaTheme="minorEastAsia" w:hAnsi="Times New Roman" w:cs="Times New Roman"/>
          <w:b w:val="0"/>
          <w:bCs w:val="0"/>
          <w:noProof/>
          <w:sz w:val="22"/>
          <w:szCs w:val="22"/>
        </w:rPr>
      </w:pPr>
      <w:hyperlink w:anchor="_Toc46142356" w:history="1">
        <w:r w:rsidRPr="008A7955">
          <w:rPr>
            <w:rStyle w:val="Hypertextovodkaz"/>
            <w:rFonts w:ascii="Times New Roman" w:hAnsi="Times New Roman" w:cs="Times New Roman"/>
            <w:noProof/>
          </w:rPr>
          <w:t>SEZNAM GRAFŮ</w:t>
        </w:r>
        <w:r w:rsidRPr="008A7955">
          <w:rPr>
            <w:rFonts w:ascii="Times New Roman" w:hAnsi="Times New Roman" w:cs="Times New Roman"/>
            <w:noProof/>
            <w:webHidden/>
          </w:rPr>
          <w:tab/>
        </w:r>
        <w:r w:rsidRPr="008A7955">
          <w:rPr>
            <w:rFonts w:ascii="Times New Roman" w:hAnsi="Times New Roman" w:cs="Times New Roman"/>
            <w:noProof/>
            <w:webHidden/>
          </w:rPr>
          <w:fldChar w:fldCharType="begin"/>
        </w:r>
        <w:r w:rsidRPr="008A7955">
          <w:rPr>
            <w:rFonts w:ascii="Times New Roman" w:hAnsi="Times New Roman" w:cs="Times New Roman"/>
            <w:noProof/>
            <w:webHidden/>
          </w:rPr>
          <w:instrText xml:space="preserve"> PAGEREF _Toc46142356 \h </w:instrText>
        </w:r>
        <w:r w:rsidRPr="008A7955">
          <w:rPr>
            <w:rFonts w:ascii="Times New Roman" w:hAnsi="Times New Roman" w:cs="Times New Roman"/>
            <w:noProof/>
            <w:webHidden/>
          </w:rPr>
        </w:r>
        <w:r w:rsidRPr="008A7955">
          <w:rPr>
            <w:rFonts w:ascii="Times New Roman" w:hAnsi="Times New Roman" w:cs="Times New Roman"/>
            <w:noProof/>
            <w:webHidden/>
          </w:rPr>
          <w:fldChar w:fldCharType="separate"/>
        </w:r>
        <w:r w:rsidRPr="008A7955">
          <w:rPr>
            <w:rFonts w:ascii="Times New Roman" w:hAnsi="Times New Roman" w:cs="Times New Roman"/>
            <w:noProof/>
            <w:webHidden/>
          </w:rPr>
          <w:t>77</w:t>
        </w:r>
        <w:r w:rsidRPr="008A7955">
          <w:rPr>
            <w:rFonts w:ascii="Times New Roman" w:hAnsi="Times New Roman" w:cs="Times New Roman"/>
            <w:noProof/>
            <w:webHidden/>
          </w:rPr>
          <w:fldChar w:fldCharType="end"/>
        </w:r>
      </w:hyperlink>
    </w:p>
    <w:p w14:paraId="5C17C3E6" w14:textId="5B35E4B7" w:rsidR="005F6936" w:rsidRDefault="00D651EF" w:rsidP="008A7955">
      <w:pPr>
        <w:spacing w:line="360" w:lineRule="auto"/>
        <w:jc w:val="both"/>
      </w:pPr>
      <w:r w:rsidRPr="008A7955">
        <w:rPr>
          <w:sz w:val="20"/>
          <w:szCs w:val="20"/>
        </w:rPr>
        <w:fldChar w:fldCharType="end"/>
      </w:r>
    </w:p>
    <w:p w14:paraId="16C33DFA" w14:textId="77777777" w:rsidR="005F6936" w:rsidRDefault="005F6936" w:rsidP="005F6936">
      <w:pPr>
        <w:pStyle w:val="Nadpis2"/>
        <w:numPr>
          <w:ilvl w:val="0"/>
          <w:numId w:val="0"/>
        </w:numPr>
      </w:pPr>
    </w:p>
    <w:p w14:paraId="5B2D571E" w14:textId="77777777" w:rsidR="000D5D68" w:rsidRDefault="000D5D68" w:rsidP="000D5D68"/>
    <w:p w14:paraId="7573F5AF" w14:textId="77777777" w:rsidR="000D5D68" w:rsidRDefault="000D5D68" w:rsidP="000D5D68"/>
    <w:p w14:paraId="7CA527F7" w14:textId="77777777" w:rsidR="000D5D68" w:rsidRDefault="000D5D68" w:rsidP="000D5D68"/>
    <w:p w14:paraId="66FB366C" w14:textId="77777777" w:rsidR="000D5D68" w:rsidRDefault="000D5D68" w:rsidP="000D5D68"/>
    <w:p w14:paraId="4E63CBA3" w14:textId="77777777" w:rsidR="005F6936" w:rsidRDefault="005F6936" w:rsidP="00D651EF"/>
    <w:p w14:paraId="65881676" w14:textId="77777777" w:rsidR="009E2626" w:rsidRDefault="009E2626" w:rsidP="00D651EF"/>
    <w:p w14:paraId="30D29C70" w14:textId="77777777" w:rsidR="009E2626" w:rsidRDefault="009E2626" w:rsidP="00D651EF"/>
    <w:p w14:paraId="1AC839ED" w14:textId="77777777" w:rsidR="009E2626" w:rsidRDefault="009E2626" w:rsidP="00D651EF"/>
    <w:p w14:paraId="0E62E648" w14:textId="77777777" w:rsidR="009E2626" w:rsidRDefault="009E2626" w:rsidP="00D651EF"/>
    <w:p w14:paraId="03291FF1" w14:textId="77777777" w:rsidR="009E2626" w:rsidRDefault="009E2626" w:rsidP="00D651EF"/>
    <w:p w14:paraId="5BBB147A" w14:textId="77777777" w:rsidR="009E2626" w:rsidRDefault="009E2626" w:rsidP="00D651EF"/>
    <w:p w14:paraId="330D6171" w14:textId="77777777" w:rsidR="009E2626" w:rsidRDefault="009E2626" w:rsidP="00D651EF"/>
    <w:p w14:paraId="236003B8" w14:textId="77777777" w:rsidR="009E2626" w:rsidRDefault="009E2626" w:rsidP="00D651EF"/>
    <w:p w14:paraId="357B7140" w14:textId="77777777" w:rsidR="009E2626" w:rsidRDefault="009E2626" w:rsidP="00D651EF"/>
    <w:p w14:paraId="5BB4820F" w14:textId="77777777" w:rsidR="009E2626" w:rsidRDefault="009E2626" w:rsidP="00D651EF"/>
    <w:p w14:paraId="36EE632D" w14:textId="77777777" w:rsidR="009E2626" w:rsidRDefault="009E2626" w:rsidP="00D651EF"/>
    <w:p w14:paraId="725F7423" w14:textId="32CF67DC" w:rsidR="009E2626" w:rsidRDefault="009E2626" w:rsidP="00D651EF"/>
    <w:p w14:paraId="59D0266E" w14:textId="289A66FC" w:rsidR="003731DF" w:rsidRDefault="003731DF" w:rsidP="00D651EF"/>
    <w:p w14:paraId="466DAAF0" w14:textId="78438769" w:rsidR="003731DF" w:rsidRDefault="003731DF" w:rsidP="00D651EF"/>
    <w:p w14:paraId="51AEB942" w14:textId="37060B65" w:rsidR="003731DF" w:rsidRDefault="003731DF" w:rsidP="00D651EF"/>
    <w:p w14:paraId="7DEFE32D" w14:textId="76EB2C1B" w:rsidR="003731DF" w:rsidRDefault="003731DF" w:rsidP="00D651EF"/>
    <w:p w14:paraId="37080444" w14:textId="4998734D" w:rsidR="003731DF" w:rsidRDefault="003731DF" w:rsidP="00D651EF"/>
    <w:p w14:paraId="788C3F90" w14:textId="376F7B69" w:rsidR="003731DF" w:rsidRDefault="003731DF" w:rsidP="00D651EF"/>
    <w:p w14:paraId="4ADE4DFA" w14:textId="4D6239B3" w:rsidR="003731DF" w:rsidRDefault="003731DF" w:rsidP="00D651EF"/>
    <w:p w14:paraId="4C4C659D" w14:textId="29E30CDB" w:rsidR="003731DF" w:rsidRDefault="003731DF" w:rsidP="00D651EF"/>
    <w:p w14:paraId="0670F8B7" w14:textId="37023F13" w:rsidR="003731DF" w:rsidRDefault="003731DF" w:rsidP="00D651EF"/>
    <w:p w14:paraId="6C3A9763" w14:textId="77777777" w:rsidR="003731DF" w:rsidRDefault="003731DF" w:rsidP="00D651EF"/>
    <w:p w14:paraId="52F744CC" w14:textId="77777777" w:rsidR="009E2626" w:rsidRDefault="009E2626" w:rsidP="00D651EF"/>
    <w:p w14:paraId="7317171B" w14:textId="77777777" w:rsidR="009E2626" w:rsidRDefault="009E2626" w:rsidP="00D651EF"/>
    <w:p w14:paraId="57DE4E35" w14:textId="77777777" w:rsidR="009E2626" w:rsidRDefault="009E2626" w:rsidP="00D651EF"/>
    <w:p w14:paraId="066B3A93" w14:textId="0FEF075D" w:rsidR="009E2626" w:rsidRDefault="009E2626" w:rsidP="00D651EF"/>
    <w:p w14:paraId="5FFA3F45" w14:textId="5C1898EF" w:rsidR="00DE6560" w:rsidRDefault="00DE6560" w:rsidP="00D651EF"/>
    <w:p w14:paraId="36B00129" w14:textId="34483F02" w:rsidR="00DE6560" w:rsidRDefault="00DE6560" w:rsidP="00D651EF"/>
    <w:p w14:paraId="52A5FBA1" w14:textId="44B32967" w:rsidR="003731DF" w:rsidRDefault="003731DF" w:rsidP="00D651EF"/>
    <w:p w14:paraId="28482D0F" w14:textId="77777777" w:rsidR="003731DF" w:rsidRDefault="003731DF" w:rsidP="00D651EF"/>
    <w:p w14:paraId="55D61EAD" w14:textId="77777777" w:rsidR="005F6936" w:rsidRPr="005F6936" w:rsidRDefault="005F6936" w:rsidP="005F6936"/>
    <w:p w14:paraId="4F7043F6" w14:textId="74C747F4" w:rsidR="00F846E6" w:rsidRPr="007F347A" w:rsidRDefault="003B6F4A" w:rsidP="000263E8">
      <w:pPr>
        <w:pStyle w:val="Nadpis1"/>
        <w:numPr>
          <w:ilvl w:val="0"/>
          <w:numId w:val="0"/>
        </w:numPr>
        <w:ind w:left="431" w:hanging="431"/>
        <w:rPr>
          <w:szCs w:val="30"/>
        </w:rPr>
      </w:pPr>
      <w:bookmarkStart w:id="0" w:name="_Toc46142323"/>
      <w:r w:rsidRPr="009D573E">
        <w:rPr>
          <w:szCs w:val="30"/>
        </w:rPr>
        <w:lastRenderedPageBreak/>
        <w:t>ÚVOD</w:t>
      </w:r>
      <w:bookmarkStart w:id="1" w:name="_GoBack"/>
      <w:bookmarkEnd w:id="0"/>
      <w:bookmarkEnd w:id="1"/>
    </w:p>
    <w:p w14:paraId="788FC19E" w14:textId="77777777" w:rsidR="0024138B" w:rsidRDefault="007F347A" w:rsidP="0024138B">
      <w:pPr>
        <w:spacing w:before="120" w:after="240" w:line="360" w:lineRule="auto"/>
        <w:ind w:firstLine="454"/>
        <w:jc w:val="both"/>
      </w:pPr>
      <w:r>
        <w:t xml:space="preserve">S pojmem životní úroveň se v posledních letech setkáváme </w:t>
      </w:r>
      <w:r w:rsidR="0073346E">
        <w:t>stále</w:t>
      </w:r>
      <w:r w:rsidR="001325DB">
        <w:t xml:space="preserve"> </w:t>
      </w:r>
      <w:r>
        <w:t>častěji</w:t>
      </w:r>
      <w:r w:rsidR="001325DB">
        <w:t xml:space="preserve"> a </w:t>
      </w:r>
      <w:r>
        <w:t>převážně v situacích, u kterých dochází k hodnocení zemí prostřednictvím tradičních ukazatelů, jako jsou například hrubý domácí produkt přepočtený na obyvatele, či nezaměstnanost.</w:t>
      </w:r>
      <w:r w:rsidR="003278F0">
        <w:t xml:space="preserve"> </w:t>
      </w:r>
    </w:p>
    <w:p w14:paraId="4C047902" w14:textId="6251D61B" w:rsidR="003278F0" w:rsidRDefault="003278F0" w:rsidP="0024138B">
      <w:pPr>
        <w:spacing w:before="120" w:after="240" w:line="360" w:lineRule="auto"/>
        <w:ind w:firstLine="454"/>
        <w:jc w:val="both"/>
      </w:pPr>
      <w:r>
        <w:t>Životní úroveň obyvatelstva se</w:t>
      </w:r>
      <w:r w:rsidR="001325DB">
        <w:t xml:space="preserve"> neustále</w:t>
      </w:r>
      <w:r>
        <w:t xml:space="preserve"> a </w:t>
      </w:r>
      <w:r w:rsidR="001325DB">
        <w:t>výrazně</w:t>
      </w:r>
      <w:r>
        <w:t xml:space="preserve"> mění, </w:t>
      </w:r>
      <w:r w:rsidR="001325DB">
        <w:t xml:space="preserve">neboť </w:t>
      </w:r>
      <w:r>
        <w:t>čím dál více</w:t>
      </w:r>
      <w:r w:rsidR="00C97BE4">
        <w:t xml:space="preserve"> </w:t>
      </w:r>
      <w:r>
        <w:t>vycházejí rozdílné podmínky života lidí</w:t>
      </w:r>
      <w:r w:rsidR="00C97BE4">
        <w:t xml:space="preserve"> </w:t>
      </w:r>
      <w:r>
        <w:t>ze schopnosti jedinců nejen se prosadit na trhu práce, ale také z jejich zdravotního, společenského, či politického prostředí</w:t>
      </w:r>
      <w:r w:rsidR="001325DB">
        <w:t xml:space="preserve"> </w:t>
      </w:r>
      <w:r>
        <w:t>ve kterém</w:t>
      </w:r>
      <w:r w:rsidR="00C97BE4">
        <w:t xml:space="preserve"> </w:t>
      </w:r>
      <w:r>
        <w:t xml:space="preserve">žijí. Dalšími důvody, proč dochází k rozdílným podmínkám života lidí mohou být i klimatické vlivy, či kultura země, </w:t>
      </w:r>
      <w:r w:rsidR="00C97BE4">
        <w:t>jež</w:t>
      </w:r>
      <w:r>
        <w:t xml:space="preserve"> se</w:t>
      </w:r>
      <w:r w:rsidR="00C97BE4">
        <w:t> </w:t>
      </w:r>
      <w:r>
        <w:t>formo</w:t>
      </w:r>
      <w:r w:rsidR="00C97BE4">
        <w:t>v</w:t>
      </w:r>
      <w:r>
        <w:t xml:space="preserve">ala po několik staletí a </w:t>
      </w:r>
      <w:r w:rsidR="00C97BE4">
        <w:t xml:space="preserve">která se </w:t>
      </w:r>
      <w:r w:rsidR="0073346E">
        <w:t>rovněž</w:t>
      </w:r>
      <w:r>
        <w:t xml:space="preserve"> podílí na hodnotách, preferencích a</w:t>
      </w:r>
      <w:r w:rsidR="00C97BE4">
        <w:t> </w:t>
      </w:r>
      <w:r>
        <w:t xml:space="preserve">zvyklostech </w:t>
      </w:r>
      <w:r w:rsidR="00C97BE4">
        <w:t>lidí žijící v dané zemi</w:t>
      </w:r>
      <w:r>
        <w:t>.</w:t>
      </w:r>
      <w:r w:rsidR="00D97AB7">
        <w:t xml:space="preserve"> </w:t>
      </w:r>
      <w:r>
        <w:t xml:space="preserve">Pojem životní úroveň je v poslední době běžnou a velice častou součástí našeho slovníku, avšak pro tento pojem doposud neexistuje jednoznačná, společností přijímaná definice. </w:t>
      </w:r>
      <w:r w:rsidR="001325DB">
        <w:t>Důvod</w:t>
      </w:r>
      <w:r w:rsidR="0073346E">
        <w:t xml:space="preserve"> </w:t>
      </w:r>
      <w:r>
        <w:t>je</w:t>
      </w:r>
      <w:r w:rsidR="001325DB">
        <w:t> ten</w:t>
      </w:r>
      <w:r>
        <w:t>,</w:t>
      </w:r>
      <w:r w:rsidR="00680D0F">
        <w:t> </w:t>
      </w:r>
      <w:r>
        <w:t>že na životní úroveň můžeme pohlížet z mnoha úhlů</w:t>
      </w:r>
      <w:r w:rsidR="001325DB">
        <w:t xml:space="preserve"> a </w:t>
      </w:r>
      <w:r>
        <w:t>každý jedinec</w:t>
      </w:r>
      <w:r w:rsidR="00C97BE4">
        <w:t xml:space="preserve"> v životní úrovni může spatřit něco naprosto odlišného.</w:t>
      </w:r>
    </w:p>
    <w:p w14:paraId="6C4ED24A" w14:textId="10D5A6F4" w:rsidR="00D97AB7" w:rsidRDefault="0073346E" w:rsidP="0024138B">
      <w:pPr>
        <w:spacing w:before="120" w:after="240" w:line="360" w:lineRule="auto"/>
        <w:ind w:firstLine="454"/>
        <w:jc w:val="both"/>
        <w:rPr>
          <w:szCs w:val="22"/>
        </w:rPr>
      </w:pPr>
      <w:r w:rsidRPr="00C60977">
        <w:rPr>
          <w:szCs w:val="22"/>
        </w:rPr>
        <w:t xml:space="preserve">Cílem diplomové práce je </w:t>
      </w:r>
      <w:r w:rsidR="00027BE6">
        <w:rPr>
          <w:szCs w:val="22"/>
        </w:rPr>
        <w:t>analyzovat</w:t>
      </w:r>
      <w:r w:rsidRPr="00C60977">
        <w:rPr>
          <w:szCs w:val="22"/>
        </w:rPr>
        <w:t xml:space="preserve"> problematiku životní úrovně a </w:t>
      </w:r>
      <w:r>
        <w:rPr>
          <w:szCs w:val="22"/>
        </w:rPr>
        <w:t>porovnat</w:t>
      </w:r>
      <w:r w:rsidRPr="00C60977">
        <w:rPr>
          <w:szCs w:val="22"/>
        </w:rPr>
        <w:t xml:space="preserve"> životní úroveň České republiky s dalšími evropskými zeměmi</w:t>
      </w:r>
      <w:r>
        <w:rPr>
          <w:szCs w:val="22"/>
        </w:rPr>
        <w:t xml:space="preserve"> a následně vyhodnotit, tuto životní úroveň z pohledu vybraných ekonomických ukazatelů</w:t>
      </w:r>
      <w:r w:rsidR="00D97AB7">
        <w:rPr>
          <w:szCs w:val="22"/>
        </w:rPr>
        <w:t xml:space="preserve"> (</w:t>
      </w:r>
      <w:r w:rsidR="003731DF">
        <w:rPr>
          <w:szCs w:val="22"/>
        </w:rPr>
        <w:t>index lidského rozvoje</w:t>
      </w:r>
      <w:r w:rsidR="00D97AB7">
        <w:rPr>
          <w:szCs w:val="22"/>
        </w:rPr>
        <w:t xml:space="preserve">, </w:t>
      </w:r>
      <w:r w:rsidR="003731DF">
        <w:rPr>
          <w:szCs w:val="22"/>
        </w:rPr>
        <w:t>hrubý domácí produkt</w:t>
      </w:r>
      <w:r w:rsidR="00D97AB7">
        <w:rPr>
          <w:szCs w:val="22"/>
        </w:rPr>
        <w:t xml:space="preserve">, </w:t>
      </w:r>
      <w:r w:rsidR="003731DF">
        <w:rPr>
          <w:szCs w:val="22"/>
        </w:rPr>
        <w:t>index chudoby</w:t>
      </w:r>
      <w:r w:rsidR="00D97AB7">
        <w:rPr>
          <w:szCs w:val="22"/>
        </w:rPr>
        <w:t>, příjmy a</w:t>
      </w:r>
      <w:r w:rsidR="00027BE6">
        <w:rPr>
          <w:szCs w:val="22"/>
        </w:rPr>
        <w:t> </w:t>
      </w:r>
      <w:r w:rsidR="00D97AB7">
        <w:rPr>
          <w:szCs w:val="22"/>
        </w:rPr>
        <w:t>nezaměstnanost).</w:t>
      </w:r>
      <w:r>
        <w:rPr>
          <w:szCs w:val="22"/>
        </w:rPr>
        <w:t xml:space="preserve"> </w:t>
      </w:r>
      <w:r w:rsidRPr="00C60977">
        <w:rPr>
          <w:szCs w:val="22"/>
        </w:rPr>
        <w:t>Cíl práce bude naplněn</w:t>
      </w:r>
      <w:r>
        <w:rPr>
          <w:szCs w:val="22"/>
        </w:rPr>
        <w:t xml:space="preserve"> prostřednictvím</w:t>
      </w:r>
      <w:r w:rsidRPr="00C60977">
        <w:rPr>
          <w:szCs w:val="22"/>
        </w:rPr>
        <w:t xml:space="preserve"> korelační analýzy</w:t>
      </w:r>
      <w:r>
        <w:rPr>
          <w:szCs w:val="22"/>
        </w:rPr>
        <w:t xml:space="preserve"> a komparace</w:t>
      </w:r>
      <w:r w:rsidRPr="00C60977">
        <w:rPr>
          <w:szCs w:val="22"/>
        </w:rPr>
        <w:t xml:space="preserve"> vybraných </w:t>
      </w:r>
      <w:r>
        <w:rPr>
          <w:szCs w:val="22"/>
        </w:rPr>
        <w:t xml:space="preserve">států založených na zjištěných hodnotách jednotlivých vybraných ukazatelů. </w:t>
      </w:r>
      <w:r w:rsidRPr="00C60977">
        <w:rPr>
          <w:szCs w:val="22"/>
        </w:rPr>
        <w:t>Na</w:t>
      </w:r>
      <w:r w:rsidR="00027BE6">
        <w:rPr>
          <w:szCs w:val="22"/>
        </w:rPr>
        <w:t> </w:t>
      </w:r>
      <w:r w:rsidRPr="00C60977">
        <w:rPr>
          <w:szCs w:val="22"/>
        </w:rPr>
        <w:t>základě analýzy</w:t>
      </w:r>
      <w:r>
        <w:rPr>
          <w:szCs w:val="22"/>
        </w:rPr>
        <w:t xml:space="preserve"> a komparace</w:t>
      </w:r>
      <w:r w:rsidRPr="00C60977">
        <w:rPr>
          <w:szCs w:val="22"/>
        </w:rPr>
        <w:t xml:space="preserve"> bude provedeno zhodnocení vývoje</w:t>
      </w:r>
      <w:r>
        <w:rPr>
          <w:szCs w:val="22"/>
        </w:rPr>
        <w:t xml:space="preserve"> </w:t>
      </w:r>
      <w:r w:rsidRPr="00C60977">
        <w:rPr>
          <w:szCs w:val="22"/>
        </w:rPr>
        <w:t>životní úrovně za zvolené období</w:t>
      </w:r>
      <w:r>
        <w:rPr>
          <w:szCs w:val="22"/>
        </w:rPr>
        <w:t xml:space="preserve"> a následné vyhodnocení, ve které z vybraných zemí se nachází nejvyšší životní úroveň.</w:t>
      </w:r>
    </w:p>
    <w:p w14:paraId="3FB1E60B" w14:textId="09FD7E3F" w:rsidR="00D04163" w:rsidRPr="00C60977" w:rsidRDefault="006A1669" w:rsidP="008A7955">
      <w:pPr>
        <w:spacing w:before="120" w:after="240" w:line="360" w:lineRule="auto"/>
        <w:ind w:firstLine="454"/>
        <w:jc w:val="both"/>
      </w:pPr>
      <w:r>
        <w:t xml:space="preserve">Tato diplomová práce je rozdělena celkem do </w:t>
      </w:r>
      <w:r w:rsidR="00A41FE6">
        <w:t>šesti</w:t>
      </w:r>
      <w:r>
        <w:t xml:space="preserve"> dílčích částí. </w:t>
      </w:r>
      <w:r w:rsidR="00E30E68">
        <w:t>První</w:t>
      </w:r>
      <w:r>
        <w:t xml:space="preserve"> část </w:t>
      </w:r>
      <w:r w:rsidR="00E30E68">
        <w:t>je</w:t>
      </w:r>
      <w:r>
        <w:t xml:space="preserve"> </w:t>
      </w:r>
      <w:r w:rsidR="00E30E68">
        <w:t>soustředěna</w:t>
      </w:r>
      <w:r>
        <w:t xml:space="preserve"> na teoretické vymezení základních indikátorů, která hrají důležitou roli pro uvedení celistvého pohledu do dané problematiky.</w:t>
      </w:r>
      <w:r w:rsidR="00AC3F23">
        <w:t xml:space="preserve"> Jsou zde například uvedeny pojmy životní úroveň, kvalita života, blahobyt, příjmy a nerovnosti v důchodech, chudoba, či životní minimum. </w:t>
      </w:r>
      <w:r w:rsidR="00E30E68">
        <w:t>Druhá</w:t>
      </w:r>
      <w:r w:rsidR="00AC3F23">
        <w:t xml:space="preserve"> část této práce je věnována hospodářské a sociální politice a jejich vzájemné provázanosti. </w:t>
      </w:r>
      <w:r w:rsidR="00E30E68">
        <w:t>Třetí</w:t>
      </w:r>
      <w:r w:rsidR="00AC3F23">
        <w:t xml:space="preserve"> část práce se zabývá již samotnými ukazateli a způsoby měření životní úrovně, kdy jednotliv</w:t>
      </w:r>
      <w:r w:rsidR="00531BEA">
        <w:t>é</w:t>
      </w:r>
      <w:r w:rsidR="00AC3F23">
        <w:t xml:space="preserve"> vybra</w:t>
      </w:r>
      <w:r w:rsidR="00531BEA">
        <w:t>né</w:t>
      </w:r>
      <w:r w:rsidR="00AC3F23">
        <w:t xml:space="preserve"> ukazatel</w:t>
      </w:r>
      <w:r w:rsidR="00531BEA">
        <w:t>e</w:t>
      </w:r>
      <w:r w:rsidR="00AC3F23">
        <w:t xml:space="preserve"> jsou dopodrobna charakterizovány. </w:t>
      </w:r>
      <w:r w:rsidR="003E6717">
        <w:t xml:space="preserve">Další část je soustředěna na metodiku samotné práce.  </w:t>
      </w:r>
      <w:r w:rsidR="00AC3F23">
        <w:t xml:space="preserve">Následující část volně přechází do praktické, ve které </w:t>
      </w:r>
      <w:r w:rsidR="00531BEA">
        <w:t>je realizována</w:t>
      </w:r>
      <w:r w:rsidR="00AC3F23">
        <w:t xml:space="preserve"> analýza a</w:t>
      </w:r>
      <w:r w:rsidR="003E6717">
        <w:t> </w:t>
      </w:r>
      <w:r w:rsidR="00AC3F23">
        <w:t xml:space="preserve">srovnání </w:t>
      </w:r>
      <w:r w:rsidR="00A575D7">
        <w:t>hodnot vybraných ukazatelů životní úrovně u vybraného vzorku zemí (Německo Česká republika, Slovensko, Polsko, Maďarsko, Rakousko).</w:t>
      </w:r>
    </w:p>
    <w:p w14:paraId="5B93FE30" w14:textId="2F5C2E1D" w:rsidR="008D626B" w:rsidRDefault="0027371E" w:rsidP="000263E8">
      <w:pPr>
        <w:pStyle w:val="Nadpis1"/>
        <w:ind w:left="431" w:hanging="431"/>
        <w:rPr>
          <w:szCs w:val="30"/>
        </w:rPr>
      </w:pPr>
      <w:bookmarkStart w:id="2" w:name="_Toc46142324"/>
      <w:r w:rsidRPr="00C60977">
        <w:rPr>
          <w:szCs w:val="30"/>
        </w:rPr>
        <w:lastRenderedPageBreak/>
        <w:t>TEORETICKÉ VYMEZENÍ ZÁKLADNÍCH INDIKÁTORŮ</w:t>
      </w:r>
      <w:bookmarkEnd w:id="2"/>
    </w:p>
    <w:p w14:paraId="7E61ED51" w14:textId="55894A98" w:rsidR="00A41FE6" w:rsidRPr="00A41FE6" w:rsidRDefault="00A41FE6" w:rsidP="00A41FE6">
      <w:pPr>
        <w:spacing w:before="120" w:after="240" w:line="360" w:lineRule="auto"/>
        <w:ind w:firstLine="454"/>
        <w:jc w:val="both"/>
      </w:pPr>
      <w:r>
        <w:t xml:space="preserve">V následujících kapitolách </w:t>
      </w:r>
      <w:r w:rsidR="00C55F6A">
        <w:t>budou především prostřednictvím</w:t>
      </w:r>
      <w:r w:rsidRPr="00A41FE6">
        <w:t xml:space="preserve"> deskripce vymez</w:t>
      </w:r>
      <w:r w:rsidR="00C55F6A">
        <w:t xml:space="preserve">eny </w:t>
      </w:r>
      <w:r>
        <w:t>základní</w:t>
      </w:r>
      <w:r w:rsidR="00C55F6A">
        <w:t xml:space="preserve"> </w:t>
      </w:r>
      <w:r w:rsidRPr="00A41FE6">
        <w:t>pojm</w:t>
      </w:r>
      <w:r w:rsidR="00C55F6A">
        <w:t>y</w:t>
      </w:r>
      <w:r w:rsidRPr="00A41FE6">
        <w:t xml:space="preserve"> </w:t>
      </w:r>
      <w:r w:rsidR="00C55F6A">
        <w:t>vztahující</w:t>
      </w:r>
      <w:r>
        <w:t xml:space="preserve"> se </w:t>
      </w:r>
      <w:r w:rsidR="00C55F6A">
        <w:t xml:space="preserve">k </w:t>
      </w:r>
      <w:r>
        <w:t>vybrané problemati</w:t>
      </w:r>
      <w:r w:rsidR="00C55F6A">
        <w:t>ce</w:t>
      </w:r>
      <w:r>
        <w:t>, tj. životní úrovn</w:t>
      </w:r>
      <w:r w:rsidR="00C55F6A">
        <w:t>i</w:t>
      </w:r>
      <w:r>
        <w:t xml:space="preserve">. </w:t>
      </w:r>
    </w:p>
    <w:p w14:paraId="578B564C" w14:textId="77777777" w:rsidR="003B6F4A" w:rsidRPr="00C60977" w:rsidRDefault="000D5D68" w:rsidP="000263E8">
      <w:pPr>
        <w:pStyle w:val="Nadpis2"/>
        <w:ind w:left="862" w:hanging="578"/>
      </w:pPr>
      <w:bookmarkStart w:id="3" w:name="_Toc46142325"/>
      <w:r w:rsidRPr="00C60977">
        <w:t>ŽIVOTNÍ ÚROVEŇ</w:t>
      </w:r>
      <w:bookmarkEnd w:id="3"/>
    </w:p>
    <w:p w14:paraId="6293C0EE" w14:textId="07633721" w:rsidR="000847AD" w:rsidRDefault="00953A75" w:rsidP="0024138B">
      <w:pPr>
        <w:spacing w:before="120" w:after="240" w:line="360" w:lineRule="auto"/>
        <w:ind w:firstLine="454"/>
        <w:jc w:val="both"/>
        <w:rPr>
          <w:szCs w:val="20"/>
        </w:rPr>
      </w:pPr>
      <w:r w:rsidRPr="00C60977">
        <w:rPr>
          <w:szCs w:val="20"/>
        </w:rPr>
        <w:t xml:space="preserve">Doposud </w:t>
      </w:r>
      <w:r w:rsidR="008A30FF">
        <w:rPr>
          <w:szCs w:val="20"/>
        </w:rPr>
        <w:t>není stanovena</w:t>
      </w:r>
      <w:r w:rsidRPr="00C60977">
        <w:rPr>
          <w:szCs w:val="20"/>
        </w:rPr>
        <w:t xml:space="preserve"> </w:t>
      </w:r>
      <w:r w:rsidR="008A30FF">
        <w:rPr>
          <w:szCs w:val="20"/>
        </w:rPr>
        <w:t xml:space="preserve">jedna jediná </w:t>
      </w:r>
      <w:r w:rsidR="00230E3C">
        <w:rPr>
          <w:szCs w:val="20"/>
        </w:rPr>
        <w:t>obecně platná</w:t>
      </w:r>
      <w:r w:rsidRPr="00C60977">
        <w:rPr>
          <w:szCs w:val="20"/>
        </w:rPr>
        <w:t xml:space="preserve"> definice, která by tento pojem, tj.</w:t>
      </w:r>
      <w:r w:rsidR="008A30FF">
        <w:rPr>
          <w:szCs w:val="20"/>
        </w:rPr>
        <w:t> </w:t>
      </w:r>
      <w:r w:rsidRPr="00C60977">
        <w:rPr>
          <w:szCs w:val="20"/>
        </w:rPr>
        <w:t>životní úroveň definovala a zároveň tak</w:t>
      </w:r>
      <w:r w:rsidR="00D04163">
        <w:rPr>
          <w:szCs w:val="20"/>
        </w:rPr>
        <w:t xml:space="preserve"> </w:t>
      </w:r>
      <w:r w:rsidRPr="00C60977">
        <w:rPr>
          <w:szCs w:val="20"/>
        </w:rPr>
        <w:t xml:space="preserve">určila věcný obsah a způsob vyjádření v jediném určitém souhrnném ukazateli, popř. v systému dílčích ukazatelů. </w:t>
      </w:r>
      <w:r w:rsidR="008A30FF">
        <w:rPr>
          <w:szCs w:val="20"/>
        </w:rPr>
        <w:t>Existuje však celá řada</w:t>
      </w:r>
      <w:r w:rsidR="00BC1E5D">
        <w:rPr>
          <w:szCs w:val="20"/>
        </w:rPr>
        <w:t xml:space="preserve"> různých </w:t>
      </w:r>
      <w:r w:rsidR="008A30FF">
        <w:rPr>
          <w:szCs w:val="20"/>
        </w:rPr>
        <w:t>definic od různých autorů</w:t>
      </w:r>
      <w:r w:rsidR="00766A22">
        <w:rPr>
          <w:szCs w:val="20"/>
        </w:rPr>
        <w:t>, kteří se snaží vymezit tento pojem</w:t>
      </w:r>
      <w:r w:rsidR="003E6717">
        <w:rPr>
          <w:szCs w:val="20"/>
        </w:rPr>
        <w:t>. Na základě těchto skutečností je možné uvést několik</w:t>
      </w:r>
      <w:r w:rsidR="00766A22">
        <w:rPr>
          <w:szCs w:val="20"/>
        </w:rPr>
        <w:t xml:space="preserve"> definic</w:t>
      </w:r>
      <w:r w:rsidR="003E6717">
        <w:rPr>
          <w:szCs w:val="20"/>
        </w:rPr>
        <w:t>:</w:t>
      </w:r>
    </w:p>
    <w:p w14:paraId="754A1A54" w14:textId="6C0E18E4" w:rsidR="00723FA2" w:rsidRDefault="00764E9D" w:rsidP="0024138B">
      <w:pPr>
        <w:spacing w:before="120" w:after="240" w:line="360" w:lineRule="auto"/>
        <w:ind w:firstLine="454"/>
        <w:jc w:val="both"/>
      </w:pPr>
      <w:r w:rsidRPr="00A201E0">
        <w:t xml:space="preserve">Životní úroveň </w:t>
      </w:r>
      <w:r w:rsidR="00645F48" w:rsidRPr="00A201E0">
        <w:t xml:space="preserve">může </w:t>
      </w:r>
      <w:r w:rsidRPr="00A201E0">
        <w:t>představ</w:t>
      </w:r>
      <w:r w:rsidR="00645F48" w:rsidRPr="00A201E0">
        <w:t>ovat</w:t>
      </w:r>
      <w:r w:rsidRPr="00A201E0">
        <w:t xml:space="preserve"> touhu jednotlivce</w:t>
      </w:r>
      <w:r w:rsidR="00A201E0">
        <w:t xml:space="preserve"> nebo </w:t>
      </w:r>
      <w:r w:rsidRPr="00A201E0">
        <w:t xml:space="preserve">skupiny po konkrétním, </w:t>
      </w:r>
      <w:r w:rsidR="00A201E0">
        <w:t>či </w:t>
      </w:r>
      <w:r w:rsidRPr="00A201E0">
        <w:t>po</w:t>
      </w:r>
      <w:r w:rsidR="00A201E0" w:rsidRPr="00A201E0">
        <w:t> </w:t>
      </w:r>
      <w:r w:rsidRPr="00A201E0">
        <w:t>obsáhlém souboru statků a služeb. (</w:t>
      </w:r>
      <w:proofErr w:type="spellStart"/>
      <w:r w:rsidRPr="00A201E0">
        <w:t>Encyclopaedia</w:t>
      </w:r>
      <w:proofErr w:type="spellEnd"/>
      <w:r w:rsidRPr="00A201E0">
        <w:t xml:space="preserve"> </w:t>
      </w:r>
      <w:proofErr w:type="spellStart"/>
      <w:r w:rsidRPr="00A201E0">
        <w:t>Britannica</w:t>
      </w:r>
      <w:proofErr w:type="spellEnd"/>
      <w:r w:rsidRPr="00A201E0">
        <w:t>, 2020).</w:t>
      </w:r>
      <w:r>
        <w:t xml:space="preserve"> </w:t>
      </w:r>
    </w:p>
    <w:p w14:paraId="177A79CE" w14:textId="26FAA8DA" w:rsidR="00953A75" w:rsidRPr="0024138B" w:rsidRDefault="00A201E0" w:rsidP="0024138B">
      <w:pPr>
        <w:spacing w:before="120" w:after="240" w:line="360" w:lineRule="auto"/>
        <w:ind w:firstLine="454"/>
        <w:jc w:val="both"/>
        <w:rPr>
          <w:szCs w:val="20"/>
        </w:rPr>
      </w:pPr>
      <w:r>
        <w:rPr>
          <w:szCs w:val="20"/>
        </w:rPr>
        <w:t>Dále se pod pojmem</w:t>
      </w:r>
      <w:r w:rsidR="00953A75" w:rsidRPr="00C60977">
        <w:rPr>
          <w:szCs w:val="20"/>
        </w:rPr>
        <w:t xml:space="preserve"> životní úroveň, jež je</w:t>
      </w:r>
      <w:r w:rsidR="00BC1E5D">
        <w:rPr>
          <w:szCs w:val="20"/>
        </w:rPr>
        <w:t> </w:t>
      </w:r>
      <w:r w:rsidR="00953A75" w:rsidRPr="00C60977">
        <w:rPr>
          <w:szCs w:val="20"/>
        </w:rPr>
        <w:t>jedním z nejvýznamnějších faktorů v životě každého člověka, ale i veškeré společnost</w:t>
      </w:r>
      <w:r w:rsidR="00D04163">
        <w:rPr>
          <w:szCs w:val="20"/>
        </w:rPr>
        <w:t xml:space="preserve">i </w:t>
      </w:r>
      <w:r>
        <w:rPr>
          <w:szCs w:val="20"/>
        </w:rPr>
        <w:t>může skrývat</w:t>
      </w:r>
      <w:r w:rsidR="00953A75" w:rsidRPr="00C60977">
        <w:rPr>
          <w:szCs w:val="20"/>
        </w:rPr>
        <w:t xml:space="preserve"> soubor věcí, které se na určité životní úrovni podílejí, a to například kvalitu a kvantitu spotřebovaného zboží a služeb, velikost finančních prostředků (příjmů) a nefinančních prostředků (majetku). Pokud životní úroveň vezmeme z pohledu lidí, kteří si sami vypěstují, vyrobí nebo koupí zboží či služby, pak můžeme k souboru věcí, které se podílejí na životní úrovni připočítat i množství jejich volného času, jenž</w:t>
      </w:r>
      <w:r w:rsidR="00953A75" w:rsidRPr="00D04163">
        <w:rPr>
          <w:szCs w:val="20"/>
        </w:rPr>
        <w:t xml:space="preserve"> </w:t>
      </w:r>
      <w:r w:rsidR="00D04163" w:rsidRPr="00D04163">
        <w:rPr>
          <w:szCs w:val="20"/>
        </w:rPr>
        <w:t>ušetřili</w:t>
      </w:r>
      <w:r w:rsidR="00953A75" w:rsidRPr="00D04163">
        <w:rPr>
          <w:szCs w:val="20"/>
        </w:rPr>
        <w:t xml:space="preserve"> </w:t>
      </w:r>
      <w:r w:rsidR="00953A75" w:rsidRPr="00C60977">
        <w:rPr>
          <w:szCs w:val="20"/>
        </w:rPr>
        <w:t>a mohou jej tak věnovat svým koníčkům, osobnímu rozvoji apod.</w:t>
      </w:r>
      <w:r w:rsidR="00116272">
        <w:rPr>
          <w:szCs w:val="20"/>
        </w:rPr>
        <w:t xml:space="preserve"> </w:t>
      </w:r>
      <w:r w:rsidR="0024138B">
        <w:rPr>
          <w:szCs w:val="20"/>
        </w:rPr>
        <w:br/>
      </w:r>
      <w:r w:rsidR="00D22A91">
        <w:rPr>
          <w:szCs w:val="20"/>
        </w:rPr>
        <w:t>(Červenka</w:t>
      </w:r>
      <w:r w:rsidR="00463B9A">
        <w:rPr>
          <w:szCs w:val="20"/>
        </w:rPr>
        <w:t>, SOCIO web</w:t>
      </w:r>
      <w:r w:rsidR="00953A75" w:rsidRPr="00C60977">
        <w:rPr>
          <w:szCs w:val="20"/>
        </w:rPr>
        <w:t xml:space="preserve">, </w:t>
      </w:r>
      <w:r w:rsidR="00953A75" w:rsidRPr="00C60977">
        <w:rPr>
          <w:szCs w:val="22"/>
        </w:rPr>
        <w:t>2003).</w:t>
      </w:r>
    </w:p>
    <w:p w14:paraId="509F7F4B" w14:textId="69D0EB57" w:rsidR="00953A75" w:rsidRDefault="00A201E0" w:rsidP="0024138B">
      <w:pPr>
        <w:spacing w:before="120" w:after="240" w:line="360" w:lineRule="auto"/>
        <w:ind w:firstLine="454"/>
        <w:jc w:val="both"/>
        <w:rPr>
          <w:szCs w:val="22"/>
        </w:rPr>
      </w:pPr>
      <w:r>
        <w:rPr>
          <w:szCs w:val="20"/>
        </w:rPr>
        <w:t xml:space="preserve">Dále </w:t>
      </w:r>
      <w:r w:rsidR="007774B3">
        <w:rPr>
          <w:szCs w:val="20"/>
        </w:rPr>
        <w:t xml:space="preserve">může </w:t>
      </w:r>
      <w:r w:rsidR="00953A75" w:rsidRPr="00C60977">
        <w:rPr>
          <w:szCs w:val="20"/>
        </w:rPr>
        <w:t xml:space="preserve">životní úroveň </w:t>
      </w:r>
      <w:r>
        <w:rPr>
          <w:szCs w:val="20"/>
        </w:rPr>
        <w:t>představovat</w:t>
      </w:r>
      <w:r w:rsidR="00953A75" w:rsidRPr="00C60977">
        <w:rPr>
          <w:szCs w:val="20"/>
        </w:rPr>
        <w:t xml:space="preserve"> </w:t>
      </w:r>
      <w:r>
        <w:rPr>
          <w:szCs w:val="20"/>
        </w:rPr>
        <w:t>stupeň</w:t>
      </w:r>
      <w:r w:rsidR="00953A75" w:rsidRPr="00C60977">
        <w:rPr>
          <w:szCs w:val="20"/>
        </w:rPr>
        <w:t xml:space="preserve"> bohatství, materiálních statků</w:t>
      </w:r>
      <w:r w:rsidR="00A940A9">
        <w:rPr>
          <w:szCs w:val="20"/>
        </w:rPr>
        <w:t>,</w:t>
      </w:r>
      <w:r w:rsidR="00953A75" w:rsidRPr="00C60977">
        <w:rPr>
          <w:szCs w:val="20"/>
        </w:rPr>
        <w:t xml:space="preserve"> služeb a </w:t>
      </w:r>
      <w:r w:rsidR="00A940A9">
        <w:rPr>
          <w:szCs w:val="20"/>
        </w:rPr>
        <w:t>dalších nezbytných potřeb</w:t>
      </w:r>
      <w:r w:rsidR="00953A75" w:rsidRPr="00C60977">
        <w:rPr>
          <w:szCs w:val="20"/>
        </w:rPr>
        <w:t xml:space="preserve"> vztahující se buď k sociálně-ekonomické třídě, nebo ke konkrétní geografické oblasti. (</w:t>
      </w:r>
      <w:proofErr w:type="spellStart"/>
      <w:r w:rsidR="00953A75" w:rsidRPr="00C60977">
        <w:rPr>
          <w:szCs w:val="20"/>
        </w:rPr>
        <w:t>Chappelow</w:t>
      </w:r>
      <w:proofErr w:type="spellEnd"/>
      <w:r w:rsidR="00953A75" w:rsidRPr="00C60977">
        <w:rPr>
          <w:szCs w:val="20"/>
        </w:rPr>
        <w:t xml:space="preserve">, </w:t>
      </w:r>
      <w:r w:rsidR="00953A75" w:rsidRPr="00C60977">
        <w:rPr>
          <w:szCs w:val="22"/>
        </w:rPr>
        <w:t>2019).</w:t>
      </w:r>
    </w:p>
    <w:p w14:paraId="56AFF120" w14:textId="36C22E6B" w:rsidR="00C55F6A" w:rsidRDefault="00C55F6A" w:rsidP="0024138B">
      <w:pPr>
        <w:spacing w:before="120" w:after="240" w:line="360" w:lineRule="auto"/>
        <w:ind w:firstLine="454"/>
        <w:jc w:val="both"/>
        <w:rPr>
          <w:szCs w:val="22"/>
        </w:rPr>
      </w:pPr>
    </w:p>
    <w:p w14:paraId="527B97E3" w14:textId="6A7EB136" w:rsidR="00C55F6A" w:rsidRDefault="00C55F6A" w:rsidP="0024138B">
      <w:pPr>
        <w:spacing w:before="120" w:after="240" w:line="360" w:lineRule="auto"/>
        <w:ind w:firstLine="454"/>
        <w:jc w:val="both"/>
        <w:rPr>
          <w:szCs w:val="22"/>
        </w:rPr>
      </w:pPr>
    </w:p>
    <w:p w14:paraId="196144FA" w14:textId="439FF4ED" w:rsidR="00C55F6A" w:rsidRDefault="00C55F6A" w:rsidP="0024138B">
      <w:pPr>
        <w:spacing w:before="120" w:after="240" w:line="360" w:lineRule="auto"/>
        <w:ind w:firstLine="454"/>
        <w:jc w:val="both"/>
        <w:rPr>
          <w:szCs w:val="22"/>
        </w:rPr>
      </w:pPr>
    </w:p>
    <w:p w14:paraId="6A83F439" w14:textId="633D1D86" w:rsidR="00C55F6A" w:rsidRDefault="00C55F6A" w:rsidP="0024138B">
      <w:pPr>
        <w:spacing w:before="120" w:after="240" w:line="360" w:lineRule="auto"/>
        <w:ind w:firstLine="454"/>
        <w:jc w:val="both"/>
        <w:rPr>
          <w:szCs w:val="22"/>
        </w:rPr>
      </w:pPr>
    </w:p>
    <w:p w14:paraId="2BE77F1C" w14:textId="77777777" w:rsidR="00C55F6A" w:rsidRDefault="00C55F6A" w:rsidP="0024138B">
      <w:pPr>
        <w:spacing w:before="120" w:after="240" w:line="360" w:lineRule="auto"/>
        <w:ind w:firstLine="454"/>
        <w:jc w:val="both"/>
        <w:rPr>
          <w:szCs w:val="22"/>
        </w:rPr>
      </w:pPr>
    </w:p>
    <w:p w14:paraId="573D9862" w14:textId="447FAB0D" w:rsidR="006528A2" w:rsidRPr="00C55F6A" w:rsidRDefault="006528A2" w:rsidP="0024138B">
      <w:pPr>
        <w:spacing w:before="120" w:after="240" w:line="360" w:lineRule="auto"/>
        <w:jc w:val="both"/>
        <w:rPr>
          <w:b/>
          <w:bCs/>
          <w:i/>
          <w:iCs/>
          <w:szCs w:val="20"/>
        </w:rPr>
      </w:pPr>
      <w:r w:rsidRPr="00C55F6A">
        <w:rPr>
          <w:b/>
          <w:bCs/>
          <w:i/>
          <w:iCs/>
          <w:szCs w:val="22"/>
        </w:rPr>
        <w:lastRenderedPageBreak/>
        <w:t xml:space="preserve">Životní úroveň je také tvořena mnoha dílčími složkami, </w:t>
      </w:r>
      <w:r w:rsidR="00A41545" w:rsidRPr="00C55F6A">
        <w:rPr>
          <w:b/>
          <w:bCs/>
          <w:i/>
          <w:iCs/>
          <w:szCs w:val="22"/>
        </w:rPr>
        <w:t>a to</w:t>
      </w:r>
      <w:r w:rsidRPr="00C55F6A">
        <w:rPr>
          <w:b/>
          <w:bCs/>
          <w:i/>
          <w:iCs/>
          <w:szCs w:val="22"/>
        </w:rPr>
        <w:t xml:space="preserve">: </w:t>
      </w:r>
    </w:p>
    <w:p w14:paraId="710BDA77" w14:textId="1D5FE278"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w:t>
      </w:r>
      <w:r w:rsidR="006528A2" w:rsidRPr="00C55F6A">
        <w:rPr>
          <w:i/>
          <w:iCs/>
          <w:sz w:val="24"/>
          <w:szCs w:val="20"/>
        </w:rPr>
        <w:t>ložk</w:t>
      </w:r>
      <w:r w:rsidR="00A41545" w:rsidRPr="00C55F6A">
        <w:rPr>
          <w:i/>
          <w:iCs/>
          <w:sz w:val="24"/>
          <w:szCs w:val="20"/>
        </w:rPr>
        <w:t>ou</w:t>
      </w:r>
      <w:r w:rsidR="006528A2" w:rsidRPr="00C55F6A">
        <w:rPr>
          <w:i/>
          <w:iCs/>
          <w:sz w:val="24"/>
          <w:szCs w:val="20"/>
        </w:rPr>
        <w:t xml:space="preserve"> osobní potřeby</w:t>
      </w:r>
      <w:r w:rsidRPr="00C55F6A">
        <w:rPr>
          <w:i/>
          <w:iCs/>
          <w:sz w:val="24"/>
          <w:szCs w:val="20"/>
        </w:rPr>
        <w:t>,</w:t>
      </w:r>
    </w:p>
    <w:p w14:paraId="6EC8F286" w14:textId="11DC680F"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úrovně bydlení</w:t>
      </w:r>
      <w:r w:rsidRPr="00C55F6A">
        <w:rPr>
          <w:i/>
          <w:iCs/>
          <w:sz w:val="24"/>
          <w:szCs w:val="20"/>
        </w:rPr>
        <w:t>,</w:t>
      </w:r>
    </w:p>
    <w:p w14:paraId="2E0D0314" w14:textId="777E0D74"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socializace (společenská potřeba)</w:t>
      </w:r>
      <w:r w:rsidRPr="00C55F6A">
        <w:rPr>
          <w:i/>
          <w:iCs/>
          <w:sz w:val="24"/>
          <w:szCs w:val="20"/>
        </w:rPr>
        <w:t>,</w:t>
      </w:r>
    </w:p>
    <w:p w14:paraId="443BEE9B" w14:textId="6B35FB2B"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 xml:space="preserve">volného času (kolik volného času je </w:t>
      </w:r>
      <w:r w:rsidR="00723FA2" w:rsidRPr="00C55F6A">
        <w:rPr>
          <w:i/>
          <w:iCs/>
          <w:sz w:val="24"/>
          <w:szCs w:val="20"/>
        </w:rPr>
        <w:t xml:space="preserve">člověk </w:t>
      </w:r>
      <w:r w:rsidR="006528A2" w:rsidRPr="00C55F6A">
        <w:rPr>
          <w:i/>
          <w:iCs/>
          <w:sz w:val="24"/>
          <w:szCs w:val="20"/>
        </w:rPr>
        <w:t>schopen nastřádat, pro ukojení své potřeby)</w:t>
      </w:r>
      <w:r w:rsidRPr="00C55F6A">
        <w:rPr>
          <w:i/>
          <w:iCs/>
          <w:sz w:val="24"/>
          <w:szCs w:val="20"/>
        </w:rPr>
        <w:t>,</w:t>
      </w:r>
    </w:p>
    <w:p w14:paraId="4A3D9011" w14:textId="089A8C18"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sociální jistoty</w:t>
      </w:r>
      <w:r w:rsidRPr="00C55F6A">
        <w:rPr>
          <w:i/>
          <w:iCs/>
          <w:sz w:val="24"/>
          <w:szCs w:val="20"/>
        </w:rPr>
        <w:t>,</w:t>
      </w:r>
    </w:p>
    <w:p w14:paraId="36CCBB43" w14:textId="66BBDE8A"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práce (pracovní prostředí, pracovní podmínky)</w:t>
      </w:r>
      <w:r w:rsidRPr="00C55F6A">
        <w:rPr>
          <w:i/>
          <w:iCs/>
          <w:sz w:val="24"/>
          <w:szCs w:val="20"/>
        </w:rPr>
        <w:t>,</w:t>
      </w:r>
    </w:p>
    <w:p w14:paraId="6738C012" w14:textId="7E92975F" w:rsidR="006528A2" w:rsidRPr="00C55F6A" w:rsidRDefault="00010421" w:rsidP="0024138B">
      <w:pPr>
        <w:pStyle w:val="Odstavecseseznamem"/>
        <w:numPr>
          <w:ilvl w:val="0"/>
          <w:numId w:val="3"/>
        </w:numPr>
        <w:spacing w:before="120" w:after="240"/>
        <w:rPr>
          <w:i/>
          <w:iCs/>
          <w:sz w:val="24"/>
          <w:szCs w:val="20"/>
        </w:rPr>
      </w:pPr>
      <w:r w:rsidRPr="00C55F6A">
        <w:rPr>
          <w:i/>
          <w:iCs/>
          <w:sz w:val="24"/>
          <w:szCs w:val="20"/>
        </w:rPr>
        <w:t>složk</w:t>
      </w:r>
      <w:r w:rsidR="00A41545" w:rsidRPr="00C55F6A">
        <w:rPr>
          <w:i/>
          <w:iCs/>
          <w:sz w:val="24"/>
          <w:szCs w:val="20"/>
        </w:rPr>
        <w:t>ou</w:t>
      </w:r>
      <w:r w:rsidRPr="00C55F6A">
        <w:rPr>
          <w:i/>
          <w:iCs/>
          <w:sz w:val="24"/>
          <w:szCs w:val="20"/>
        </w:rPr>
        <w:t xml:space="preserve"> </w:t>
      </w:r>
      <w:r w:rsidR="006528A2" w:rsidRPr="00C55F6A">
        <w:rPr>
          <w:i/>
          <w:iCs/>
          <w:sz w:val="24"/>
          <w:szCs w:val="20"/>
        </w:rPr>
        <w:t>environmentální (životní prostředí, ekologie atd.)</w:t>
      </w:r>
      <w:r w:rsidRPr="00C55F6A">
        <w:rPr>
          <w:i/>
          <w:iCs/>
          <w:sz w:val="24"/>
          <w:szCs w:val="20"/>
        </w:rPr>
        <w:t>.</w:t>
      </w:r>
    </w:p>
    <w:p w14:paraId="2082D878" w14:textId="1551D734" w:rsidR="0024138B" w:rsidRDefault="00953A75" w:rsidP="0024138B">
      <w:pPr>
        <w:spacing w:before="120" w:after="240" w:line="360" w:lineRule="auto"/>
        <w:ind w:firstLine="357"/>
        <w:jc w:val="both"/>
        <w:rPr>
          <w:szCs w:val="22"/>
        </w:rPr>
      </w:pPr>
      <w:r w:rsidRPr="00C60977">
        <w:rPr>
          <w:szCs w:val="22"/>
        </w:rPr>
        <w:t xml:space="preserve">Životní úroveň </w:t>
      </w:r>
      <w:r w:rsidR="006528A2">
        <w:rPr>
          <w:szCs w:val="22"/>
        </w:rPr>
        <w:t>nelze</w:t>
      </w:r>
      <w:r w:rsidR="00D22A91">
        <w:rPr>
          <w:szCs w:val="22"/>
        </w:rPr>
        <w:t xml:space="preserve"> </w:t>
      </w:r>
      <w:r w:rsidRPr="00C60977">
        <w:rPr>
          <w:szCs w:val="22"/>
        </w:rPr>
        <w:t>vyjádřit penězi</w:t>
      </w:r>
      <w:r w:rsidR="00BC1E5D">
        <w:rPr>
          <w:szCs w:val="22"/>
        </w:rPr>
        <w:t xml:space="preserve">, </w:t>
      </w:r>
      <w:r w:rsidRPr="00C60977">
        <w:rPr>
          <w:szCs w:val="22"/>
        </w:rPr>
        <w:t>z</w:t>
      </w:r>
      <w:r w:rsidR="00D22A91">
        <w:rPr>
          <w:szCs w:val="22"/>
        </w:rPr>
        <w:t> </w:t>
      </w:r>
      <w:r w:rsidRPr="00C60977">
        <w:rPr>
          <w:szCs w:val="22"/>
        </w:rPr>
        <w:t>důvodu</w:t>
      </w:r>
      <w:r w:rsidR="00D22A91">
        <w:rPr>
          <w:szCs w:val="22"/>
        </w:rPr>
        <w:t xml:space="preserve"> </w:t>
      </w:r>
      <w:r w:rsidRPr="00C60977">
        <w:rPr>
          <w:szCs w:val="22"/>
        </w:rPr>
        <w:t>různoro</w:t>
      </w:r>
      <w:r w:rsidR="00D22A91">
        <w:rPr>
          <w:szCs w:val="22"/>
        </w:rPr>
        <w:t>dosti</w:t>
      </w:r>
      <w:r w:rsidRPr="00C60977">
        <w:rPr>
          <w:szCs w:val="22"/>
        </w:rPr>
        <w:t xml:space="preserve"> potřeb</w:t>
      </w:r>
      <w:r w:rsidR="00D372B9">
        <w:rPr>
          <w:color w:val="FF0000"/>
          <w:szCs w:val="22"/>
        </w:rPr>
        <w:t>,</w:t>
      </w:r>
      <w:r w:rsidR="00BC1E5D">
        <w:rPr>
          <w:szCs w:val="22"/>
        </w:rPr>
        <w:t xml:space="preserve"> neboť </w:t>
      </w:r>
      <w:r w:rsidRPr="00C60977">
        <w:rPr>
          <w:szCs w:val="22"/>
        </w:rPr>
        <w:t xml:space="preserve">každý </w:t>
      </w:r>
      <w:r w:rsidR="00D22A91">
        <w:rPr>
          <w:szCs w:val="22"/>
        </w:rPr>
        <w:t>jedinec</w:t>
      </w:r>
      <w:r w:rsidRPr="00C60977">
        <w:rPr>
          <w:szCs w:val="22"/>
        </w:rPr>
        <w:t xml:space="preserve"> má jiné potřeby. Hlavní roli v neustálé změně potřeb jednotlivců hraje i místo a čas</w:t>
      </w:r>
      <w:r w:rsidR="007C32EE">
        <w:rPr>
          <w:szCs w:val="22"/>
        </w:rPr>
        <w:t xml:space="preserve">. Můžeme tvrdit, že právě potřeby jsou hnacím motorem veškerého lidského jednání a chování. </w:t>
      </w:r>
      <w:r w:rsidR="007C32EE">
        <w:rPr>
          <w:szCs w:val="22"/>
        </w:rPr>
        <w:br/>
        <w:t>(</w:t>
      </w:r>
      <w:proofErr w:type="spellStart"/>
      <w:r w:rsidR="007C32EE">
        <w:rPr>
          <w:szCs w:val="22"/>
        </w:rPr>
        <w:t>Ekonomikon</w:t>
      </w:r>
      <w:proofErr w:type="spellEnd"/>
      <w:r w:rsidR="007C32EE">
        <w:rPr>
          <w:szCs w:val="22"/>
        </w:rPr>
        <w:t xml:space="preserve">, </w:t>
      </w:r>
      <w:r w:rsidR="007C32EE" w:rsidRPr="00981C17">
        <w:rPr>
          <w:szCs w:val="22"/>
        </w:rPr>
        <w:t>20</w:t>
      </w:r>
      <w:r w:rsidR="007C32EE">
        <w:rPr>
          <w:szCs w:val="22"/>
        </w:rPr>
        <w:t>20</w:t>
      </w:r>
      <w:r w:rsidR="007C32EE" w:rsidRPr="00981C17">
        <w:rPr>
          <w:szCs w:val="22"/>
        </w:rPr>
        <w:t>).</w:t>
      </w:r>
    </w:p>
    <w:p w14:paraId="7289D7DF" w14:textId="62AF0BA3" w:rsidR="0027371E" w:rsidRPr="00246FDC" w:rsidRDefault="00723FA2" w:rsidP="00246FDC">
      <w:pPr>
        <w:spacing w:before="120" w:after="240" w:line="360" w:lineRule="auto"/>
        <w:ind w:firstLine="357"/>
        <w:jc w:val="both"/>
        <w:rPr>
          <w:szCs w:val="22"/>
        </w:rPr>
      </w:pPr>
      <w:r>
        <w:rPr>
          <w:szCs w:val="20"/>
        </w:rPr>
        <w:t>Existuje celá řada</w:t>
      </w:r>
      <w:r w:rsidRPr="00C60977">
        <w:rPr>
          <w:szCs w:val="20"/>
        </w:rPr>
        <w:t xml:space="preserve"> faktorů, které ať už </w:t>
      </w:r>
      <w:r>
        <w:rPr>
          <w:szCs w:val="20"/>
        </w:rPr>
        <w:t>přímo, či nepřímo</w:t>
      </w:r>
      <w:r w:rsidRPr="00C60977">
        <w:rPr>
          <w:szCs w:val="20"/>
        </w:rPr>
        <w:t xml:space="preserve"> </w:t>
      </w:r>
      <w:r>
        <w:rPr>
          <w:szCs w:val="20"/>
        </w:rPr>
        <w:t>ovlivňují</w:t>
      </w:r>
      <w:r w:rsidRPr="00C60977">
        <w:rPr>
          <w:szCs w:val="20"/>
        </w:rPr>
        <w:t xml:space="preserve"> úroveň blahobytu </w:t>
      </w:r>
      <w:r>
        <w:rPr>
          <w:szCs w:val="20"/>
        </w:rPr>
        <w:t>obyvatel</w:t>
      </w:r>
      <w:r w:rsidRPr="00C60977">
        <w:rPr>
          <w:szCs w:val="20"/>
        </w:rPr>
        <w:t xml:space="preserve">. </w:t>
      </w:r>
      <w:r>
        <w:rPr>
          <w:szCs w:val="20"/>
        </w:rPr>
        <w:t>Tyto</w:t>
      </w:r>
      <w:r w:rsidRPr="00C60977">
        <w:rPr>
          <w:szCs w:val="20"/>
        </w:rPr>
        <w:t xml:space="preserve"> faktory pak mohou být součástí různých analýz životní úrovně, příkladem může být míra a kvalita poskytovaných veřejných služeb (tzv. veřejn</w:t>
      </w:r>
      <w:r>
        <w:rPr>
          <w:szCs w:val="20"/>
        </w:rPr>
        <w:t>ých</w:t>
      </w:r>
      <w:r w:rsidRPr="00C60977">
        <w:rPr>
          <w:szCs w:val="20"/>
        </w:rPr>
        <w:t xml:space="preserve"> statk</w:t>
      </w:r>
      <w:r>
        <w:rPr>
          <w:szCs w:val="20"/>
        </w:rPr>
        <w:t>ů</w:t>
      </w:r>
      <w:r w:rsidRPr="00C60977">
        <w:rPr>
          <w:szCs w:val="20"/>
        </w:rPr>
        <w:t xml:space="preserve">), které jsou </w:t>
      </w:r>
      <w:r>
        <w:rPr>
          <w:szCs w:val="20"/>
        </w:rPr>
        <w:t>financovány veřejnými prostředky</w:t>
      </w:r>
      <w:r w:rsidRPr="00C60977">
        <w:rPr>
          <w:szCs w:val="20"/>
        </w:rPr>
        <w:t>.</w:t>
      </w:r>
      <w:r>
        <w:rPr>
          <w:szCs w:val="20"/>
        </w:rPr>
        <w:t xml:space="preserve"> Veřejnými statky je myšleno zboží či služba, které spotřebovává jedinec, ale zároveň u kterých se nevylučuje spotřeba ostatními lidmi. </w:t>
      </w:r>
      <w:r w:rsidRPr="00C60977">
        <w:rPr>
          <w:szCs w:val="20"/>
        </w:rPr>
        <w:t>Příklad</w:t>
      </w:r>
      <w:r>
        <w:rPr>
          <w:szCs w:val="20"/>
        </w:rPr>
        <w:t>em</w:t>
      </w:r>
      <w:r w:rsidRPr="00C60977">
        <w:rPr>
          <w:szCs w:val="20"/>
        </w:rPr>
        <w:t xml:space="preserve"> právě t</w:t>
      </w:r>
      <w:r>
        <w:rPr>
          <w:szCs w:val="20"/>
        </w:rPr>
        <w:t>ěchto</w:t>
      </w:r>
      <w:r w:rsidRPr="00C60977">
        <w:rPr>
          <w:szCs w:val="20"/>
        </w:rPr>
        <w:t xml:space="preserve"> veřejných statků mohou být obrana, policie, </w:t>
      </w:r>
      <w:r>
        <w:rPr>
          <w:szCs w:val="20"/>
        </w:rPr>
        <w:t>veřejná dopravní komunikace</w:t>
      </w:r>
      <w:r w:rsidRPr="00C60977">
        <w:rPr>
          <w:szCs w:val="20"/>
        </w:rPr>
        <w:t>, osvětlení</w:t>
      </w:r>
      <w:r>
        <w:rPr>
          <w:szCs w:val="20"/>
        </w:rPr>
        <w:t>, soudní administrativa</w:t>
      </w:r>
      <w:r w:rsidRPr="00C60977">
        <w:rPr>
          <w:szCs w:val="20"/>
        </w:rPr>
        <w:t xml:space="preserve"> apod.</w:t>
      </w:r>
      <w:r>
        <w:rPr>
          <w:szCs w:val="20"/>
        </w:rPr>
        <w:t xml:space="preserve"> </w:t>
      </w:r>
      <w:r w:rsidR="003E6717">
        <w:rPr>
          <w:szCs w:val="20"/>
        </w:rPr>
        <w:t>Je možné</w:t>
      </w:r>
      <w:r>
        <w:rPr>
          <w:szCs w:val="20"/>
        </w:rPr>
        <w:t xml:space="preserve"> prohlásit, že spotřeba veřejných statků (viz</w:t>
      </w:r>
      <w:r w:rsidR="003E6717">
        <w:rPr>
          <w:szCs w:val="20"/>
        </w:rPr>
        <w:t> </w:t>
      </w:r>
      <w:r>
        <w:rPr>
          <w:szCs w:val="20"/>
        </w:rPr>
        <w:t xml:space="preserve">předešlé příklady) jednou osobou nebrání, či nevylučuje spotřebu statku </w:t>
      </w:r>
      <w:r w:rsidRPr="00981C17">
        <w:rPr>
          <w:szCs w:val="20"/>
        </w:rPr>
        <w:t xml:space="preserve">stejného dalšími osobami. Zjednodušeně řešeno, u těchto statků neexistuje exkluzivní spotřeba. (Schiller, </w:t>
      </w:r>
      <w:r w:rsidRPr="00981C17">
        <w:rPr>
          <w:szCs w:val="22"/>
        </w:rPr>
        <w:t>2004).</w:t>
      </w:r>
    </w:p>
    <w:p w14:paraId="2D2B67CB" w14:textId="31724182" w:rsidR="00D96A6F" w:rsidRPr="00C60977" w:rsidRDefault="00764E9D" w:rsidP="000263E8">
      <w:pPr>
        <w:pStyle w:val="Nadpis3"/>
        <w:ind w:left="1004"/>
      </w:pPr>
      <w:bookmarkStart w:id="4" w:name="_Toc46142326"/>
      <w:r>
        <w:t>Ekonomická dimenze životní úrovně</w:t>
      </w:r>
      <w:bookmarkEnd w:id="4"/>
      <w:r>
        <w:t xml:space="preserve"> </w:t>
      </w:r>
    </w:p>
    <w:p w14:paraId="41777952" w14:textId="08A7CAAD" w:rsidR="0033083B" w:rsidRDefault="0033083B" w:rsidP="0024138B">
      <w:pPr>
        <w:spacing w:before="120" w:after="240" w:line="360" w:lineRule="auto"/>
        <w:ind w:firstLine="454"/>
        <w:jc w:val="both"/>
        <w:rPr>
          <w:szCs w:val="22"/>
        </w:rPr>
      </w:pPr>
      <w:r w:rsidRPr="00C60977">
        <w:rPr>
          <w:szCs w:val="20"/>
        </w:rPr>
        <w:t xml:space="preserve">Životní úroveň </w:t>
      </w:r>
      <w:r w:rsidR="003E6717">
        <w:rPr>
          <w:szCs w:val="20"/>
        </w:rPr>
        <w:t>je považována</w:t>
      </w:r>
      <w:r w:rsidRPr="00C60977">
        <w:rPr>
          <w:szCs w:val="20"/>
        </w:rPr>
        <w:t xml:space="preserve"> za </w:t>
      </w:r>
      <w:r w:rsidRPr="00B0543E">
        <w:rPr>
          <w:szCs w:val="20"/>
        </w:rPr>
        <w:t>měřitelný materiální aspekt ekonomiky</w:t>
      </w:r>
      <w:r w:rsidR="00766A22">
        <w:rPr>
          <w:szCs w:val="20"/>
        </w:rPr>
        <w:t>, pomocí kterého m</w:t>
      </w:r>
      <w:r w:rsidRPr="00C60977">
        <w:rPr>
          <w:szCs w:val="20"/>
        </w:rPr>
        <w:t xml:space="preserve">ěříme objem vyprodukovaných a zároveň dostupných statků a služeb, které mohou být zakoupeny </w:t>
      </w:r>
      <w:r w:rsidR="00766A22">
        <w:rPr>
          <w:szCs w:val="20"/>
        </w:rPr>
        <w:t xml:space="preserve">buď </w:t>
      </w:r>
      <w:r w:rsidRPr="00C60977">
        <w:rPr>
          <w:szCs w:val="20"/>
        </w:rPr>
        <w:t xml:space="preserve">jednotlivcem, rodinou, skupinou lidí nebo </w:t>
      </w:r>
      <w:r w:rsidR="00B0543E" w:rsidRPr="00B0543E">
        <w:rPr>
          <w:szCs w:val="20"/>
        </w:rPr>
        <w:t>obecně s</w:t>
      </w:r>
      <w:r w:rsidR="00766A22" w:rsidRPr="00B0543E">
        <w:rPr>
          <w:szCs w:val="20"/>
        </w:rPr>
        <w:t>amotný</w:t>
      </w:r>
      <w:r w:rsidR="00B0543E" w:rsidRPr="00B0543E">
        <w:rPr>
          <w:szCs w:val="20"/>
        </w:rPr>
        <w:t>m</w:t>
      </w:r>
      <w:r w:rsidR="00766A22" w:rsidRPr="00B0543E">
        <w:rPr>
          <w:szCs w:val="20"/>
        </w:rPr>
        <w:t xml:space="preserve"> </w:t>
      </w:r>
      <w:r w:rsidR="00B77E0C" w:rsidRPr="00B0543E">
        <w:rPr>
          <w:szCs w:val="20"/>
        </w:rPr>
        <w:t>národ</w:t>
      </w:r>
      <w:r w:rsidR="00B0543E" w:rsidRPr="00B0543E">
        <w:rPr>
          <w:szCs w:val="20"/>
        </w:rPr>
        <w:t>em</w:t>
      </w:r>
      <w:r w:rsidR="00766A22" w:rsidRPr="00B0543E">
        <w:rPr>
          <w:szCs w:val="20"/>
        </w:rPr>
        <w:t xml:space="preserve"> </w:t>
      </w:r>
      <w:r w:rsidR="00B0543E" w:rsidRPr="00B0543E">
        <w:rPr>
          <w:szCs w:val="20"/>
        </w:rPr>
        <w:t>dané země.</w:t>
      </w:r>
      <w:r w:rsidR="00B77E0C" w:rsidRPr="00C60977">
        <w:rPr>
          <w:szCs w:val="20"/>
        </w:rPr>
        <w:t xml:space="preserve"> </w:t>
      </w:r>
      <w:r w:rsidRPr="00C60977">
        <w:rPr>
          <w:szCs w:val="20"/>
        </w:rPr>
        <w:t xml:space="preserve">Z ekonomického pohledu </w:t>
      </w:r>
      <w:r w:rsidR="00B0543E">
        <w:rPr>
          <w:szCs w:val="20"/>
        </w:rPr>
        <w:t>je</w:t>
      </w:r>
      <w:r w:rsidRPr="00C60977">
        <w:rPr>
          <w:szCs w:val="20"/>
        </w:rPr>
        <w:t xml:space="preserve"> životní úroveň</w:t>
      </w:r>
      <w:r w:rsidR="00B0543E">
        <w:rPr>
          <w:szCs w:val="20"/>
        </w:rPr>
        <w:t xml:space="preserve"> utvářena</w:t>
      </w:r>
      <w:r w:rsidRPr="00C60977">
        <w:rPr>
          <w:szCs w:val="20"/>
        </w:rPr>
        <w:t xml:space="preserve"> </w:t>
      </w:r>
      <w:r w:rsidRPr="00B0543E">
        <w:rPr>
          <w:szCs w:val="20"/>
        </w:rPr>
        <w:t>materiální</w:t>
      </w:r>
      <w:r w:rsidR="00B0543E" w:rsidRPr="00B0543E">
        <w:rPr>
          <w:szCs w:val="20"/>
        </w:rPr>
        <w:t>mi</w:t>
      </w:r>
      <w:r w:rsidR="00B51D6B">
        <w:rPr>
          <w:szCs w:val="20"/>
        </w:rPr>
        <w:t xml:space="preserve"> </w:t>
      </w:r>
      <w:r w:rsidRPr="00C60977">
        <w:rPr>
          <w:szCs w:val="20"/>
        </w:rPr>
        <w:t>faktory</w:t>
      </w:r>
      <w:r w:rsidR="00766A22">
        <w:rPr>
          <w:szCs w:val="20"/>
        </w:rPr>
        <w:t>,</w:t>
      </w:r>
      <w:r w:rsidRPr="00C60977">
        <w:rPr>
          <w:szCs w:val="20"/>
        </w:rPr>
        <w:t xml:space="preserve"> a to </w:t>
      </w:r>
      <w:r w:rsidR="00766A22">
        <w:rPr>
          <w:szCs w:val="20"/>
        </w:rPr>
        <w:t xml:space="preserve">konkrétněji </w:t>
      </w:r>
      <w:r w:rsidRPr="00C60977">
        <w:rPr>
          <w:szCs w:val="20"/>
        </w:rPr>
        <w:t>příjmy, hrubý</w:t>
      </w:r>
      <w:r w:rsidR="00B0543E">
        <w:rPr>
          <w:szCs w:val="20"/>
        </w:rPr>
        <w:t>m</w:t>
      </w:r>
      <w:r w:rsidRPr="00C60977">
        <w:rPr>
          <w:szCs w:val="20"/>
        </w:rPr>
        <w:t xml:space="preserve"> domácí</w:t>
      </w:r>
      <w:r w:rsidR="00B0543E">
        <w:rPr>
          <w:szCs w:val="20"/>
        </w:rPr>
        <w:t>m</w:t>
      </w:r>
      <w:r w:rsidRPr="00C60977">
        <w:rPr>
          <w:szCs w:val="20"/>
        </w:rPr>
        <w:t xml:space="preserve"> produkt</w:t>
      </w:r>
      <w:r w:rsidR="00B0543E">
        <w:rPr>
          <w:szCs w:val="20"/>
        </w:rPr>
        <w:t>e</w:t>
      </w:r>
      <w:r w:rsidR="00B51D6B">
        <w:rPr>
          <w:szCs w:val="20"/>
        </w:rPr>
        <w:t xml:space="preserve">m </w:t>
      </w:r>
      <w:r w:rsidRPr="00C60977">
        <w:rPr>
          <w:szCs w:val="20"/>
        </w:rPr>
        <w:t xml:space="preserve">a </w:t>
      </w:r>
      <w:r w:rsidR="00766A22">
        <w:rPr>
          <w:szCs w:val="20"/>
        </w:rPr>
        <w:t>další</w:t>
      </w:r>
      <w:r w:rsidR="00B0543E">
        <w:rPr>
          <w:szCs w:val="20"/>
        </w:rPr>
        <w:t>mi</w:t>
      </w:r>
      <w:r w:rsidR="00766A22">
        <w:rPr>
          <w:szCs w:val="20"/>
        </w:rPr>
        <w:t xml:space="preserve"> </w:t>
      </w:r>
      <w:r w:rsidRPr="00C60977">
        <w:rPr>
          <w:szCs w:val="20"/>
        </w:rPr>
        <w:t>různ</w:t>
      </w:r>
      <w:r w:rsidR="00B0543E">
        <w:rPr>
          <w:szCs w:val="20"/>
        </w:rPr>
        <w:t>ými</w:t>
      </w:r>
      <w:r w:rsidRPr="00C60977">
        <w:rPr>
          <w:szCs w:val="20"/>
        </w:rPr>
        <w:t xml:space="preserve"> ekonomick</w:t>
      </w:r>
      <w:r w:rsidR="00B0543E">
        <w:rPr>
          <w:szCs w:val="20"/>
        </w:rPr>
        <w:t>ými</w:t>
      </w:r>
      <w:r w:rsidRPr="00C60977">
        <w:rPr>
          <w:szCs w:val="20"/>
        </w:rPr>
        <w:t xml:space="preserve"> příležitost</w:t>
      </w:r>
      <w:r w:rsidR="00B0543E">
        <w:rPr>
          <w:szCs w:val="20"/>
        </w:rPr>
        <w:t>mi</w:t>
      </w:r>
      <w:r w:rsidRPr="00C60977">
        <w:rPr>
          <w:szCs w:val="20"/>
        </w:rPr>
        <w:t xml:space="preserve">. Pojem životní úrovně je </w:t>
      </w:r>
      <w:r w:rsidR="00766A22">
        <w:rPr>
          <w:szCs w:val="20"/>
        </w:rPr>
        <w:t xml:space="preserve">také </w:t>
      </w:r>
      <w:r w:rsidRPr="00C60977">
        <w:rPr>
          <w:szCs w:val="20"/>
        </w:rPr>
        <w:t>úzce spjat s pojmem kvalita života, pod kterou se</w:t>
      </w:r>
      <w:r w:rsidR="00CA5D51">
        <w:rPr>
          <w:szCs w:val="20"/>
        </w:rPr>
        <w:t> </w:t>
      </w:r>
      <w:r w:rsidRPr="00C60977">
        <w:rPr>
          <w:szCs w:val="20"/>
        </w:rPr>
        <w:t>mohou skrývat složky jako například ekonomická a</w:t>
      </w:r>
      <w:r w:rsidR="00766A22">
        <w:rPr>
          <w:szCs w:val="20"/>
        </w:rPr>
        <w:t> </w:t>
      </w:r>
      <w:r w:rsidRPr="00C60977">
        <w:rPr>
          <w:szCs w:val="20"/>
        </w:rPr>
        <w:t>politická stabilita, politická a</w:t>
      </w:r>
      <w:r w:rsidR="00CA5D51">
        <w:rPr>
          <w:szCs w:val="20"/>
        </w:rPr>
        <w:t> </w:t>
      </w:r>
      <w:r w:rsidRPr="00C60977">
        <w:rPr>
          <w:szCs w:val="20"/>
        </w:rPr>
        <w:t>náboženská svoboda, kvalita životního prostředí</w:t>
      </w:r>
      <w:r w:rsidR="00766A22">
        <w:rPr>
          <w:szCs w:val="20"/>
        </w:rPr>
        <w:t xml:space="preserve"> a </w:t>
      </w:r>
      <w:r w:rsidRPr="00C60977">
        <w:rPr>
          <w:szCs w:val="20"/>
        </w:rPr>
        <w:t>ovzduší</w:t>
      </w:r>
      <w:r w:rsidR="00766A22">
        <w:rPr>
          <w:szCs w:val="20"/>
        </w:rPr>
        <w:t>,</w:t>
      </w:r>
      <w:r w:rsidRPr="00C60977">
        <w:rPr>
          <w:szCs w:val="20"/>
        </w:rPr>
        <w:t xml:space="preserve"> ale</w:t>
      </w:r>
      <w:r w:rsidR="006528A2">
        <w:rPr>
          <w:szCs w:val="20"/>
        </w:rPr>
        <w:t> </w:t>
      </w:r>
      <w:r w:rsidR="00766A22">
        <w:rPr>
          <w:szCs w:val="20"/>
        </w:rPr>
        <w:t>také i</w:t>
      </w:r>
      <w:r w:rsidRPr="00C60977">
        <w:rPr>
          <w:szCs w:val="20"/>
        </w:rPr>
        <w:t xml:space="preserve"> pocit bezpečí. Na rozdíl </w:t>
      </w:r>
      <w:r w:rsidRPr="00C60977">
        <w:rPr>
          <w:szCs w:val="20"/>
        </w:rPr>
        <w:lastRenderedPageBreak/>
        <w:t xml:space="preserve">od kvality života, životní úroveň nepočítá s „nemateriálními složkami“ (viz výše </w:t>
      </w:r>
      <w:r w:rsidR="00B0543E">
        <w:rPr>
          <w:szCs w:val="20"/>
        </w:rPr>
        <w:t>t</w:t>
      </w:r>
      <w:r w:rsidR="005563F0">
        <w:rPr>
          <w:szCs w:val="20"/>
        </w:rPr>
        <w:t>j</w:t>
      </w:r>
      <w:r w:rsidR="00B0543E">
        <w:rPr>
          <w:szCs w:val="20"/>
        </w:rPr>
        <w:t xml:space="preserve">. </w:t>
      </w:r>
      <w:r w:rsidRPr="00C60977">
        <w:rPr>
          <w:szCs w:val="20"/>
        </w:rPr>
        <w:t>ekonomická a politická stabilita, svoboda, spokojenost</w:t>
      </w:r>
      <w:r w:rsidR="00766A22">
        <w:rPr>
          <w:szCs w:val="20"/>
        </w:rPr>
        <w:t>).</w:t>
      </w:r>
      <w:r w:rsidR="00B121EF">
        <w:rPr>
          <w:szCs w:val="20"/>
        </w:rPr>
        <w:t xml:space="preserve"> </w:t>
      </w:r>
      <w:r w:rsidRPr="005563F0">
        <w:rPr>
          <w:szCs w:val="20"/>
        </w:rPr>
        <w:t>(</w:t>
      </w:r>
      <w:proofErr w:type="spellStart"/>
      <w:r w:rsidRPr="005563F0">
        <w:rPr>
          <w:szCs w:val="20"/>
        </w:rPr>
        <w:t>Chappelow</w:t>
      </w:r>
      <w:proofErr w:type="spellEnd"/>
      <w:r w:rsidRPr="005563F0">
        <w:rPr>
          <w:szCs w:val="20"/>
        </w:rPr>
        <w:t xml:space="preserve">, </w:t>
      </w:r>
      <w:r w:rsidRPr="005563F0">
        <w:rPr>
          <w:szCs w:val="22"/>
        </w:rPr>
        <w:t>2019);</w:t>
      </w:r>
      <w:r w:rsidR="00CA5D51">
        <w:rPr>
          <w:szCs w:val="22"/>
        </w:rPr>
        <w:t xml:space="preserve"> </w:t>
      </w:r>
      <w:r w:rsidRPr="005563F0">
        <w:rPr>
          <w:szCs w:val="22"/>
        </w:rPr>
        <w:t>(</w:t>
      </w:r>
      <w:proofErr w:type="spellStart"/>
      <w:r w:rsidRPr="005563F0">
        <w:rPr>
          <w:szCs w:val="20"/>
        </w:rPr>
        <w:t>Amadeo</w:t>
      </w:r>
      <w:proofErr w:type="spellEnd"/>
      <w:r w:rsidRPr="005563F0">
        <w:rPr>
          <w:szCs w:val="20"/>
        </w:rPr>
        <w:t xml:space="preserve">, </w:t>
      </w:r>
      <w:r w:rsidRPr="005563F0">
        <w:rPr>
          <w:szCs w:val="22"/>
        </w:rPr>
        <w:t>2020).</w:t>
      </w:r>
    </w:p>
    <w:p w14:paraId="5C86A825" w14:textId="77FB30E4" w:rsidR="00DF6E95" w:rsidRDefault="00DF6E95" w:rsidP="0024138B">
      <w:pPr>
        <w:spacing w:before="120" w:after="240" w:line="360" w:lineRule="auto"/>
        <w:ind w:firstLine="454"/>
        <w:jc w:val="both"/>
      </w:pPr>
      <w:r>
        <w:rPr>
          <w:szCs w:val="22"/>
        </w:rPr>
        <w:t>Mimo jiné existuje jistá spojitost životní úrovně s výší příjmů, což se odráží i</w:t>
      </w:r>
      <w:r w:rsidR="00CA5D51">
        <w:rPr>
          <w:szCs w:val="22"/>
        </w:rPr>
        <w:t> </w:t>
      </w:r>
      <w:r>
        <w:rPr>
          <w:szCs w:val="22"/>
        </w:rPr>
        <w:t>ve</w:t>
      </w:r>
      <w:r w:rsidR="00CA5D51">
        <w:rPr>
          <w:szCs w:val="22"/>
        </w:rPr>
        <w:t> </w:t>
      </w:r>
      <w:r>
        <w:rPr>
          <w:szCs w:val="22"/>
        </w:rPr>
        <w:t>vybaveností domácnost</w:t>
      </w:r>
      <w:r w:rsidR="009D54A6">
        <w:rPr>
          <w:szCs w:val="22"/>
        </w:rPr>
        <w:t xml:space="preserve">i jedinců. Samotný Český statistický úřad měří úroveň prostřednictvím porovnávání příjmů a výdajů domácností, což </w:t>
      </w:r>
      <w:r w:rsidR="007C2620">
        <w:rPr>
          <w:szCs w:val="22"/>
        </w:rPr>
        <w:t>vzhledem k rozlišování výdajů různého charakteru vytváří tzv.</w:t>
      </w:r>
      <w:r w:rsidR="00EB2C18">
        <w:rPr>
          <w:szCs w:val="22"/>
        </w:rPr>
        <w:t> </w:t>
      </w:r>
      <w:r w:rsidR="007C2620">
        <w:rPr>
          <w:szCs w:val="22"/>
        </w:rPr>
        <w:t xml:space="preserve">statistiky rodinných účtů. </w:t>
      </w:r>
      <w:r w:rsidR="007C2620" w:rsidRPr="00DD19E7">
        <w:t>(Kubátová, 2010).</w:t>
      </w:r>
    </w:p>
    <w:p w14:paraId="0E73C2FE" w14:textId="1D6C617D" w:rsidR="0033083B" w:rsidRDefault="0033083B" w:rsidP="0024138B">
      <w:pPr>
        <w:spacing w:before="120" w:after="240" w:line="360" w:lineRule="auto"/>
        <w:ind w:firstLine="454"/>
        <w:jc w:val="both"/>
        <w:rPr>
          <w:szCs w:val="22"/>
        </w:rPr>
      </w:pPr>
      <w:r w:rsidRPr="00C60977">
        <w:rPr>
          <w:szCs w:val="20"/>
        </w:rPr>
        <w:t xml:space="preserve">Pokud porovnáváme životní úroveň u skupin obyvatelstva, nebo mezi </w:t>
      </w:r>
      <w:r w:rsidR="006260E4">
        <w:rPr>
          <w:szCs w:val="20"/>
        </w:rPr>
        <w:t xml:space="preserve">vícero </w:t>
      </w:r>
      <w:r w:rsidRPr="00C60977">
        <w:rPr>
          <w:szCs w:val="20"/>
        </w:rPr>
        <w:t xml:space="preserve">zeměmi, mohou </w:t>
      </w:r>
      <w:r w:rsidR="006260E4">
        <w:rPr>
          <w:szCs w:val="20"/>
        </w:rPr>
        <w:t xml:space="preserve">se </w:t>
      </w:r>
      <w:r w:rsidRPr="00C60977">
        <w:rPr>
          <w:szCs w:val="20"/>
        </w:rPr>
        <w:t xml:space="preserve">u těchto </w:t>
      </w:r>
      <w:r w:rsidR="00766A22">
        <w:rPr>
          <w:szCs w:val="20"/>
        </w:rPr>
        <w:t>srovnání</w:t>
      </w:r>
      <w:r w:rsidRPr="00C60977">
        <w:rPr>
          <w:szCs w:val="20"/>
        </w:rPr>
        <w:t xml:space="preserve"> </w:t>
      </w:r>
      <w:r w:rsidR="006260E4">
        <w:rPr>
          <w:szCs w:val="20"/>
        </w:rPr>
        <w:t>vyskytovat</w:t>
      </w:r>
      <w:r w:rsidRPr="00C60977">
        <w:rPr>
          <w:szCs w:val="20"/>
        </w:rPr>
        <w:t xml:space="preserve"> jisté obtíže. Musíme mít </w:t>
      </w:r>
      <w:r w:rsidR="00766A22">
        <w:rPr>
          <w:szCs w:val="20"/>
        </w:rPr>
        <w:t xml:space="preserve">vždy </w:t>
      </w:r>
      <w:r w:rsidRPr="00C60977">
        <w:rPr>
          <w:szCs w:val="20"/>
        </w:rPr>
        <w:t xml:space="preserve">na paměti, že je nutné rozlišit průměrnou hodnotu určité míry reálné spotřeby a rozptyl okolo této průměrné hodnoty. </w:t>
      </w:r>
      <w:r w:rsidR="006260E4">
        <w:rPr>
          <w:szCs w:val="20"/>
        </w:rPr>
        <w:t xml:space="preserve">Konkrétní příklad </w:t>
      </w:r>
      <w:r w:rsidR="003E6717">
        <w:rPr>
          <w:szCs w:val="20"/>
        </w:rPr>
        <w:t>představuje</w:t>
      </w:r>
      <w:r w:rsidRPr="00C60977">
        <w:rPr>
          <w:szCs w:val="20"/>
        </w:rPr>
        <w:t xml:space="preserve"> průměrn</w:t>
      </w:r>
      <w:r w:rsidR="003E6717">
        <w:rPr>
          <w:szCs w:val="20"/>
        </w:rPr>
        <w:t>ou</w:t>
      </w:r>
      <w:r w:rsidRPr="00C60977">
        <w:rPr>
          <w:szCs w:val="20"/>
        </w:rPr>
        <w:t xml:space="preserve"> hodnot</w:t>
      </w:r>
      <w:r w:rsidR="003E6717">
        <w:rPr>
          <w:szCs w:val="20"/>
        </w:rPr>
        <w:t>u</w:t>
      </w:r>
      <w:r w:rsidRPr="00C60977">
        <w:rPr>
          <w:szCs w:val="20"/>
        </w:rPr>
        <w:t>, jež časem narůstá, ale zároveň dochází k tomu, že bohatí bohatnou a z chudých se stávají ještě chudší</w:t>
      </w:r>
      <w:r w:rsidR="00B77E0C" w:rsidRPr="00C60977">
        <w:rPr>
          <w:szCs w:val="20"/>
        </w:rPr>
        <w:t xml:space="preserve">. </w:t>
      </w:r>
      <w:r w:rsidR="00B51D6B">
        <w:rPr>
          <w:szCs w:val="20"/>
        </w:rPr>
        <w:t>Na základě toho</w:t>
      </w:r>
      <w:r w:rsidRPr="00C60977">
        <w:rPr>
          <w:szCs w:val="20"/>
        </w:rPr>
        <w:t xml:space="preserve"> </w:t>
      </w:r>
      <w:r w:rsidR="002F3694">
        <w:rPr>
          <w:szCs w:val="20"/>
        </w:rPr>
        <w:t>je</w:t>
      </w:r>
      <w:r w:rsidRPr="00C60977">
        <w:rPr>
          <w:szCs w:val="20"/>
        </w:rPr>
        <w:t xml:space="preserve"> obtížné porovnávat životní úro</w:t>
      </w:r>
      <w:r w:rsidR="00766A22">
        <w:rPr>
          <w:szCs w:val="20"/>
        </w:rPr>
        <w:t>veň</w:t>
      </w:r>
      <w:r w:rsidRPr="00C60977">
        <w:rPr>
          <w:szCs w:val="20"/>
        </w:rPr>
        <w:t xml:space="preserve"> mezi jednotlivými zeměmi, u kterých dochází k výrazné rozdílnosti stupně rozptýlení okolo </w:t>
      </w:r>
      <w:r w:rsidR="00C53E1B">
        <w:rPr>
          <w:szCs w:val="20"/>
        </w:rPr>
        <w:t>této</w:t>
      </w:r>
      <w:r w:rsidR="00766A22">
        <w:rPr>
          <w:szCs w:val="20"/>
        </w:rPr>
        <w:t xml:space="preserve"> </w:t>
      </w:r>
      <w:r w:rsidRPr="00C60977">
        <w:rPr>
          <w:szCs w:val="20"/>
        </w:rPr>
        <w:t xml:space="preserve">průměrné hodnoty. </w:t>
      </w:r>
      <w:r w:rsidR="00766A22">
        <w:rPr>
          <w:szCs w:val="20"/>
        </w:rPr>
        <w:t>Pokud se zaměříme čistě na</w:t>
      </w:r>
      <w:r w:rsidR="00B51D6B">
        <w:rPr>
          <w:szCs w:val="20"/>
        </w:rPr>
        <w:t> </w:t>
      </w:r>
      <w:r w:rsidR="00766A22">
        <w:rPr>
          <w:szCs w:val="20"/>
        </w:rPr>
        <w:t>praxi, můžeme se</w:t>
      </w:r>
      <w:r w:rsidR="002F3694">
        <w:rPr>
          <w:szCs w:val="20"/>
        </w:rPr>
        <w:t> </w:t>
      </w:r>
      <w:r w:rsidR="00766A22">
        <w:rPr>
          <w:szCs w:val="20"/>
        </w:rPr>
        <w:t xml:space="preserve">setkat se situací, </w:t>
      </w:r>
      <w:r w:rsidR="006260E4">
        <w:rPr>
          <w:szCs w:val="20"/>
        </w:rPr>
        <w:t>kdy porovnáváme životní úroveň u více zemí, a</w:t>
      </w:r>
      <w:r w:rsidR="00766A22">
        <w:rPr>
          <w:szCs w:val="20"/>
        </w:rPr>
        <w:t xml:space="preserve"> </w:t>
      </w:r>
      <w:r w:rsidR="006260E4">
        <w:rPr>
          <w:szCs w:val="20"/>
        </w:rPr>
        <w:t>při tomto porovnání nám vychází</w:t>
      </w:r>
      <w:r w:rsidRPr="00C60977">
        <w:rPr>
          <w:szCs w:val="20"/>
        </w:rPr>
        <w:t> velk</w:t>
      </w:r>
      <w:r w:rsidR="006260E4">
        <w:rPr>
          <w:szCs w:val="20"/>
        </w:rPr>
        <w:t>é</w:t>
      </w:r>
      <w:r w:rsidRPr="00C60977">
        <w:rPr>
          <w:szCs w:val="20"/>
        </w:rPr>
        <w:t xml:space="preserve"> rozdíl</w:t>
      </w:r>
      <w:r w:rsidR="006260E4">
        <w:rPr>
          <w:szCs w:val="20"/>
        </w:rPr>
        <w:t>y</w:t>
      </w:r>
      <w:r w:rsidRPr="00C60977">
        <w:rPr>
          <w:szCs w:val="20"/>
        </w:rPr>
        <w:t xml:space="preserve"> </w:t>
      </w:r>
      <w:r w:rsidR="00766A22">
        <w:rPr>
          <w:szCs w:val="20"/>
        </w:rPr>
        <w:t>v</w:t>
      </w:r>
      <w:r w:rsidR="006260E4">
        <w:rPr>
          <w:szCs w:val="20"/>
        </w:rPr>
        <w:t> </w:t>
      </w:r>
      <w:r w:rsidR="00766A22">
        <w:rPr>
          <w:szCs w:val="20"/>
        </w:rPr>
        <w:t>úrovni</w:t>
      </w:r>
      <w:r w:rsidR="006260E4">
        <w:rPr>
          <w:szCs w:val="20"/>
        </w:rPr>
        <w:t>.</w:t>
      </w:r>
      <w:r w:rsidRPr="00C60977">
        <w:rPr>
          <w:szCs w:val="20"/>
        </w:rPr>
        <w:t xml:space="preserve"> Na základě skoro všech kritérií jsou rozdíly životní úrovně u</w:t>
      </w:r>
      <w:r w:rsidR="00766A22">
        <w:rPr>
          <w:szCs w:val="20"/>
        </w:rPr>
        <w:t> </w:t>
      </w:r>
      <w:r w:rsidRPr="00C60977">
        <w:rPr>
          <w:szCs w:val="20"/>
        </w:rPr>
        <w:t>rozvojových a méně rozvojových zemí</w:t>
      </w:r>
      <w:r w:rsidR="00C43372">
        <w:rPr>
          <w:szCs w:val="20"/>
        </w:rPr>
        <w:t xml:space="preserve"> </w:t>
      </w:r>
      <w:r w:rsidRPr="006260E4">
        <w:rPr>
          <w:szCs w:val="20"/>
        </w:rPr>
        <w:t>kritičtější</w:t>
      </w:r>
      <w:r w:rsidR="00A569E2">
        <w:rPr>
          <w:szCs w:val="20"/>
        </w:rPr>
        <w:t xml:space="preserve"> </w:t>
      </w:r>
      <w:r w:rsidRPr="00C60977">
        <w:rPr>
          <w:szCs w:val="20"/>
        </w:rPr>
        <w:t>než</w:t>
      </w:r>
      <w:r w:rsidR="006260E4">
        <w:rPr>
          <w:szCs w:val="20"/>
        </w:rPr>
        <w:t>li</w:t>
      </w:r>
      <w:r w:rsidR="00B77E0C" w:rsidRPr="00C60977">
        <w:rPr>
          <w:szCs w:val="20"/>
        </w:rPr>
        <w:t> </w:t>
      </w:r>
      <w:r w:rsidRPr="00C60977">
        <w:rPr>
          <w:szCs w:val="20"/>
        </w:rPr>
        <w:t>rozdíly, které se nacházejí mezi zeměmi s vyspělou ekonomikou (</w:t>
      </w:r>
      <w:r w:rsidR="00A569E2">
        <w:rPr>
          <w:szCs w:val="20"/>
        </w:rPr>
        <w:t>za země s vyspělou ekonomikou považujeme</w:t>
      </w:r>
      <w:r w:rsidRPr="00C60977">
        <w:rPr>
          <w:szCs w:val="20"/>
        </w:rPr>
        <w:t xml:space="preserve"> země, u</w:t>
      </w:r>
      <w:r w:rsidR="00B77E0C" w:rsidRPr="00C60977">
        <w:rPr>
          <w:szCs w:val="20"/>
        </w:rPr>
        <w:t> </w:t>
      </w:r>
      <w:r w:rsidRPr="00C60977">
        <w:rPr>
          <w:szCs w:val="20"/>
        </w:rPr>
        <w:t xml:space="preserve">nichž je poměrně vysoký stupeň </w:t>
      </w:r>
      <w:r w:rsidRPr="006260E4">
        <w:rPr>
          <w:szCs w:val="20"/>
        </w:rPr>
        <w:t>ekonomického/hospodářského růstu). (</w:t>
      </w:r>
      <w:proofErr w:type="spellStart"/>
      <w:r w:rsidRPr="006260E4">
        <w:rPr>
          <w:szCs w:val="20"/>
        </w:rPr>
        <w:t>Majaski</w:t>
      </w:r>
      <w:proofErr w:type="spellEnd"/>
      <w:r w:rsidR="00CA5D51">
        <w:rPr>
          <w:szCs w:val="20"/>
        </w:rPr>
        <w:t xml:space="preserve">, </w:t>
      </w:r>
      <w:r w:rsidRPr="006260E4">
        <w:rPr>
          <w:szCs w:val="22"/>
        </w:rPr>
        <w:t xml:space="preserve">2019); </w:t>
      </w:r>
      <w:r w:rsidRPr="006260E4">
        <w:rPr>
          <w:szCs w:val="20"/>
        </w:rPr>
        <w:t>(</w:t>
      </w:r>
      <w:proofErr w:type="spellStart"/>
      <w:r w:rsidRPr="006260E4">
        <w:rPr>
          <w:szCs w:val="20"/>
        </w:rPr>
        <w:t>Encyclopaedia</w:t>
      </w:r>
      <w:proofErr w:type="spellEnd"/>
      <w:r w:rsidRPr="006260E4">
        <w:rPr>
          <w:szCs w:val="20"/>
        </w:rPr>
        <w:t xml:space="preserve"> </w:t>
      </w:r>
      <w:proofErr w:type="spellStart"/>
      <w:r w:rsidRPr="006260E4">
        <w:rPr>
          <w:szCs w:val="20"/>
        </w:rPr>
        <w:t>Britannica</w:t>
      </w:r>
      <w:proofErr w:type="spellEnd"/>
      <w:r w:rsidRPr="006260E4">
        <w:rPr>
          <w:szCs w:val="20"/>
        </w:rPr>
        <w:t xml:space="preserve">, </w:t>
      </w:r>
      <w:r w:rsidRPr="006260E4">
        <w:rPr>
          <w:szCs w:val="22"/>
        </w:rPr>
        <w:t>2020).</w:t>
      </w:r>
    </w:p>
    <w:p w14:paraId="0A0C5548" w14:textId="24D597B2" w:rsidR="0033083B" w:rsidRDefault="0033083B" w:rsidP="0024138B">
      <w:pPr>
        <w:spacing w:before="120" w:after="240" w:line="360" w:lineRule="auto"/>
        <w:ind w:firstLine="454"/>
        <w:jc w:val="both"/>
        <w:rPr>
          <w:szCs w:val="22"/>
        </w:rPr>
      </w:pPr>
      <w:r w:rsidRPr="00C60977">
        <w:rPr>
          <w:szCs w:val="22"/>
        </w:rPr>
        <w:t>K </w:t>
      </w:r>
      <w:r w:rsidR="00C43372">
        <w:rPr>
          <w:szCs w:val="22"/>
        </w:rPr>
        <w:t>těmto</w:t>
      </w:r>
      <w:r w:rsidRPr="00C60977">
        <w:rPr>
          <w:szCs w:val="22"/>
        </w:rPr>
        <w:t xml:space="preserve"> problémům dochází </w:t>
      </w:r>
      <w:r w:rsidR="00A569E2">
        <w:rPr>
          <w:szCs w:val="22"/>
        </w:rPr>
        <w:t xml:space="preserve">i </w:t>
      </w:r>
      <w:r w:rsidRPr="00C60977">
        <w:rPr>
          <w:szCs w:val="22"/>
        </w:rPr>
        <w:t xml:space="preserve">bez ohledu na to, jaké kvantitativní </w:t>
      </w:r>
      <w:r w:rsidRPr="00C43372">
        <w:rPr>
          <w:szCs w:val="22"/>
        </w:rPr>
        <w:t>ukazatele</w:t>
      </w:r>
      <w:r w:rsidR="00A569E2">
        <w:rPr>
          <w:szCs w:val="22"/>
        </w:rPr>
        <w:t xml:space="preserve"> si pro srovnání zvolíme a </w:t>
      </w:r>
      <w:r w:rsidRPr="00C60977">
        <w:rPr>
          <w:szCs w:val="22"/>
        </w:rPr>
        <w:t xml:space="preserve">prostřednictvím kterých měříme životní úroveň. Dalšími nápomocnými ukazateli kromě </w:t>
      </w:r>
      <w:r w:rsidR="00A569E2">
        <w:rPr>
          <w:szCs w:val="22"/>
        </w:rPr>
        <w:t xml:space="preserve">samotných </w:t>
      </w:r>
      <w:r w:rsidRPr="00C60977">
        <w:rPr>
          <w:szCs w:val="22"/>
        </w:rPr>
        <w:t xml:space="preserve">příjmů, může být konzumace jistých potravin (např. </w:t>
      </w:r>
      <w:r w:rsidR="00C43372">
        <w:rPr>
          <w:szCs w:val="22"/>
        </w:rPr>
        <w:t>bílkovin</w:t>
      </w:r>
      <w:r w:rsidRPr="00C60977">
        <w:rPr>
          <w:szCs w:val="22"/>
        </w:rPr>
        <w:t>), ale také mír</w:t>
      </w:r>
      <w:r w:rsidR="00A569E2">
        <w:rPr>
          <w:szCs w:val="22"/>
        </w:rPr>
        <w:t>a</w:t>
      </w:r>
      <w:r w:rsidRPr="00C60977">
        <w:rPr>
          <w:szCs w:val="22"/>
        </w:rPr>
        <w:t xml:space="preserve"> očekávaného dožití, </w:t>
      </w:r>
      <w:r w:rsidR="00A569E2">
        <w:rPr>
          <w:szCs w:val="22"/>
        </w:rPr>
        <w:t>či</w:t>
      </w:r>
      <w:r w:rsidRPr="00C60977">
        <w:rPr>
          <w:szCs w:val="22"/>
        </w:rPr>
        <w:t xml:space="preserve"> přístup k základním „vymoženostem“ jako</w:t>
      </w:r>
      <w:r w:rsidR="00B77E0C" w:rsidRPr="00C60977">
        <w:rPr>
          <w:szCs w:val="22"/>
        </w:rPr>
        <w:t> </w:t>
      </w:r>
      <w:r w:rsidRPr="00C60977">
        <w:rPr>
          <w:szCs w:val="22"/>
        </w:rPr>
        <w:t>je například bezpečný vodní zdroj (pitná voda). Nicméně tyto uvedené indexy představují výrazný problém</w:t>
      </w:r>
      <w:r w:rsidR="00B77E0C" w:rsidRPr="00C60977">
        <w:rPr>
          <w:szCs w:val="22"/>
        </w:rPr>
        <w:t xml:space="preserve"> při</w:t>
      </w:r>
      <w:r w:rsidRPr="00C60977">
        <w:rPr>
          <w:szCs w:val="22"/>
        </w:rPr>
        <w:t xml:space="preserve"> porovnávání mezi regiony a zeměmi, obzvláště pokud i ty nejzákladnější údaje, jako např. </w:t>
      </w:r>
      <w:r w:rsidR="00B51D6B">
        <w:rPr>
          <w:szCs w:val="22"/>
        </w:rPr>
        <w:t xml:space="preserve">spolehlivý </w:t>
      </w:r>
      <w:r w:rsidRPr="00C60977">
        <w:rPr>
          <w:szCs w:val="22"/>
        </w:rPr>
        <w:t xml:space="preserve">odhad počtu obyvatel, nemusí být </w:t>
      </w:r>
      <w:r w:rsidR="00B77E0C" w:rsidRPr="00C60977">
        <w:rPr>
          <w:szCs w:val="22"/>
        </w:rPr>
        <w:t xml:space="preserve">u některých velmi chudých států </w:t>
      </w:r>
      <w:r w:rsidRPr="00C60977">
        <w:rPr>
          <w:szCs w:val="22"/>
        </w:rPr>
        <w:t>k </w:t>
      </w:r>
      <w:r w:rsidRPr="003E1D68">
        <w:rPr>
          <w:szCs w:val="22"/>
        </w:rPr>
        <w:t xml:space="preserve">dispozici. </w:t>
      </w:r>
      <w:r w:rsidR="0024138B">
        <w:rPr>
          <w:szCs w:val="22"/>
        </w:rPr>
        <w:br/>
      </w:r>
      <w:r w:rsidRPr="003E1D68">
        <w:rPr>
          <w:szCs w:val="20"/>
        </w:rPr>
        <w:t>(</w:t>
      </w:r>
      <w:proofErr w:type="spellStart"/>
      <w:r w:rsidRPr="003E1D68">
        <w:rPr>
          <w:szCs w:val="20"/>
        </w:rPr>
        <w:t>Encyclopaedia</w:t>
      </w:r>
      <w:proofErr w:type="spellEnd"/>
      <w:r w:rsidRPr="003E1D68">
        <w:rPr>
          <w:szCs w:val="20"/>
        </w:rPr>
        <w:t xml:space="preserve"> </w:t>
      </w:r>
      <w:proofErr w:type="spellStart"/>
      <w:r w:rsidRPr="003E1D68">
        <w:rPr>
          <w:szCs w:val="20"/>
        </w:rPr>
        <w:t>Britannica</w:t>
      </w:r>
      <w:proofErr w:type="spellEnd"/>
      <w:r w:rsidRPr="003E1D68">
        <w:rPr>
          <w:szCs w:val="20"/>
        </w:rPr>
        <w:t xml:space="preserve">, </w:t>
      </w:r>
      <w:r w:rsidRPr="003E1D68">
        <w:rPr>
          <w:szCs w:val="22"/>
        </w:rPr>
        <w:t>2020).</w:t>
      </w:r>
    </w:p>
    <w:p w14:paraId="0982D006" w14:textId="4DBA8181" w:rsidR="00D96A6F" w:rsidRPr="00FA4284" w:rsidRDefault="00764E9D" w:rsidP="00FA4284">
      <w:pPr>
        <w:spacing w:before="120" w:after="240" w:line="360" w:lineRule="auto"/>
        <w:ind w:firstLine="454"/>
        <w:jc w:val="both"/>
        <w:rPr>
          <w:szCs w:val="22"/>
        </w:rPr>
      </w:pPr>
      <w:r>
        <w:rPr>
          <w:szCs w:val="20"/>
        </w:rPr>
        <w:t>V rámci životní úrovně realizují v praxi některé státní subjekty sledování a komparaci peněžitých ukazatelů jako např.</w:t>
      </w:r>
      <w:r w:rsidR="00481890">
        <w:rPr>
          <w:szCs w:val="20"/>
        </w:rPr>
        <w:t xml:space="preserve"> M</w:t>
      </w:r>
      <w:r w:rsidR="00446FEF">
        <w:rPr>
          <w:szCs w:val="20"/>
        </w:rPr>
        <w:t>inisterstvo práce a sociálních věcí</w:t>
      </w:r>
      <w:r w:rsidR="00481890">
        <w:rPr>
          <w:szCs w:val="20"/>
        </w:rPr>
        <w:t>, které</w:t>
      </w:r>
      <w:r w:rsidR="00446FEF">
        <w:rPr>
          <w:szCs w:val="20"/>
        </w:rPr>
        <w:t xml:space="preserve"> </w:t>
      </w:r>
      <w:r w:rsidR="00481890">
        <w:rPr>
          <w:szCs w:val="20"/>
        </w:rPr>
        <w:t>v pravidelných intervalech vydává</w:t>
      </w:r>
      <w:r w:rsidR="00446FEF">
        <w:rPr>
          <w:szCs w:val="20"/>
        </w:rPr>
        <w:t xml:space="preserve"> zprávu o</w:t>
      </w:r>
      <w:r w:rsidR="009E758D">
        <w:rPr>
          <w:szCs w:val="20"/>
        </w:rPr>
        <w:t> </w:t>
      </w:r>
      <w:r w:rsidR="00446FEF">
        <w:rPr>
          <w:szCs w:val="20"/>
        </w:rPr>
        <w:t>vývoji vybraných ukazatelů životní úrovně v České republice</w:t>
      </w:r>
      <w:r w:rsidR="00175332">
        <w:rPr>
          <w:szCs w:val="20"/>
        </w:rPr>
        <w:t>. P</w:t>
      </w:r>
      <w:r w:rsidR="00446FEF">
        <w:rPr>
          <w:szCs w:val="20"/>
        </w:rPr>
        <w:t xml:space="preserve">ro </w:t>
      </w:r>
      <w:r w:rsidR="00B65165">
        <w:rPr>
          <w:szCs w:val="20"/>
        </w:rPr>
        <w:t xml:space="preserve">tuto </w:t>
      </w:r>
      <w:r w:rsidR="00446FEF">
        <w:rPr>
          <w:szCs w:val="20"/>
        </w:rPr>
        <w:t xml:space="preserve">tvorbu </w:t>
      </w:r>
      <w:r w:rsidR="00B65165">
        <w:rPr>
          <w:szCs w:val="20"/>
        </w:rPr>
        <w:t>bere v</w:t>
      </w:r>
      <w:r w:rsidR="00175332">
        <w:rPr>
          <w:szCs w:val="20"/>
        </w:rPr>
        <w:t> </w:t>
      </w:r>
      <w:r w:rsidR="002F3694">
        <w:rPr>
          <w:szCs w:val="20"/>
        </w:rPr>
        <w:t>úvahu</w:t>
      </w:r>
      <w:r w:rsidR="00175332">
        <w:rPr>
          <w:szCs w:val="20"/>
        </w:rPr>
        <w:t xml:space="preserve"> ukazatele</w:t>
      </w:r>
      <w:r w:rsidR="00481890">
        <w:rPr>
          <w:szCs w:val="20"/>
        </w:rPr>
        <w:t xml:space="preserve"> peněžitého charakteru</w:t>
      </w:r>
      <w:r w:rsidR="009E758D">
        <w:rPr>
          <w:szCs w:val="20"/>
        </w:rPr>
        <w:t xml:space="preserve">, </w:t>
      </w:r>
      <w:r w:rsidR="002F3694">
        <w:rPr>
          <w:szCs w:val="20"/>
        </w:rPr>
        <w:t>konkrétněji</w:t>
      </w:r>
      <w:r w:rsidR="009E758D">
        <w:rPr>
          <w:szCs w:val="20"/>
        </w:rPr>
        <w:t xml:space="preserve"> </w:t>
      </w:r>
      <w:r w:rsidR="00B65165">
        <w:rPr>
          <w:szCs w:val="20"/>
        </w:rPr>
        <w:lastRenderedPageBreak/>
        <w:t>peněžní příjmy</w:t>
      </w:r>
      <w:r w:rsidR="00481890">
        <w:rPr>
          <w:szCs w:val="20"/>
        </w:rPr>
        <w:t xml:space="preserve"> a výdaje</w:t>
      </w:r>
      <w:r w:rsidR="00175332">
        <w:rPr>
          <w:szCs w:val="20"/>
        </w:rPr>
        <w:t>, průměrnou hrubou měsíční mzdu</w:t>
      </w:r>
      <w:r w:rsidR="00481890">
        <w:rPr>
          <w:szCs w:val="20"/>
        </w:rPr>
        <w:t>, starobní důchod, růst spotřebitelských cen, vývoj úvěrů a vkladů domácností, či</w:t>
      </w:r>
      <w:r w:rsidR="009E758D">
        <w:rPr>
          <w:szCs w:val="20"/>
        </w:rPr>
        <w:t> </w:t>
      </w:r>
      <w:r w:rsidR="00481890">
        <w:rPr>
          <w:szCs w:val="20"/>
        </w:rPr>
        <w:t>vývoj částek životního a existenčního minima.</w:t>
      </w:r>
      <w:r w:rsidR="00175332">
        <w:rPr>
          <w:szCs w:val="20"/>
        </w:rPr>
        <w:t xml:space="preserve"> </w:t>
      </w:r>
      <w:r w:rsidR="0033083B" w:rsidRPr="00446FEF">
        <w:rPr>
          <w:szCs w:val="20"/>
        </w:rPr>
        <w:t>(</w:t>
      </w:r>
      <w:r w:rsidR="00446FEF" w:rsidRPr="00446FEF">
        <w:rPr>
          <w:szCs w:val="20"/>
        </w:rPr>
        <w:t xml:space="preserve">MPSV ČR, </w:t>
      </w:r>
      <w:r w:rsidR="00446FEF" w:rsidRPr="00446FEF">
        <w:rPr>
          <w:szCs w:val="22"/>
        </w:rPr>
        <w:t>2019).</w:t>
      </w:r>
    </w:p>
    <w:p w14:paraId="7A73224F" w14:textId="4288AAD8" w:rsidR="00AC6CB7" w:rsidRPr="00B121EF" w:rsidRDefault="00B121EF" w:rsidP="000263E8">
      <w:pPr>
        <w:pStyle w:val="Nadpis3"/>
        <w:ind w:left="1004"/>
      </w:pPr>
      <w:bookmarkStart w:id="5" w:name="_Toc46142327"/>
      <w:r w:rsidRPr="00B121EF">
        <w:t>Životní úroveň ze sociálního pohledu</w:t>
      </w:r>
      <w:bookmarkEnd w:id="5"/>
    </w:p>
    <w:p w14:paraId="53D618CD" w14:textId="063FE0F6" w:rsidR="00C43372" w:rsidRDefault="00764E9D" w:rsidP="0024138B">
      <w:pPr>
        <w:spacing w:before="120" w:after="240" w:line="360" w:lineRule="auto"/>
        <w:ind w:firstLine="454"/>
        <w:jc w:val="both"/>
      </w:pPr>
      <w:r>
        <w:t>Předpokládejme</w:t>
      </w:r>
      <w:r w:rsidR="00C43372">
        <w:t>, že člověk, který není schopen obstarat prostředky pro svou vlastní obživu</w:t>
      </w:r>
      <w:r>
        <w:t>,</w:t>
      </w:r>
      <w:r w:rsidR="00C43372">
        <w:t xml:space="preserve"> ať už prací</w:t>
      </w:r>
      <w:r>
        <w:t xml:space="preserve"> </w:t>
      </w:r>
      <w:r w:rsidR="00C43372">
        <w:t>či majetkem, má i v této situaci právo na takovou životní úroveň, která zajistí zdraví, celkovou pohodu</w:t>
      </w:r>
      <w:r>
        <w:t xml:space="preserve"> nejen jemu, </w:t>
      </w:r>
      <w:r w:rsidR="00C43372">
        <w:t xml:space="preserve">ale také celé jeho rodině. Z toho pohledu vyplývá, že zde existuje velice úzká spojitost mezi prací a sociálním bezpečím jedinců. </w:t>
      </w:r>
      <w:r w:rsidR="00C43372" w:rsidRPr="00C43372">
        <w:t>(Tomeš, 2010).</w:t>
      </w:r>
    </w:p>
    <w:p w14:paraId="38A53E05" w14:textId="3659E5FA" w:rsidR="00DD19E7" w:rsidRDefault="00DD19E7" w:rsidP="0024138B">
      <w:pPr>
        <w:spacing w:before="120" w:after="240" w:line="360" w:lineRule="auto"/>
        <w:ind w:firstLine="454"/>
        <w:jc w:val="both"/>
      </w:pPr>
      <w:r>
        <w:t>Životní úroveň ze sociální</w:t>
      </w:r>
      <w:r w:rsidR="00B051CD">
        <w:t>ho</w:t>
      </w:r>
      <w:r>
        <w:t xml:space="preserve"> pohledu je chápána jako blahobyt týkající se převážně úrovní spotřeby, úrovní materiálního vybavení domácnosti a obecně věcí, které si jedinec může koupit a které má k dispozici. Ze </w:t>
      </w:r>
      <w:r w:rsidR="00764E9D">
        <w:t>sociálního</w:t>
      </w:r>
      <w:r>
        <w:t xml:space="preserve"> pohledu lze předpokládat, že s ohledem na příjmovou diferenciaci moderní společnosti se úroveň jednotlivců a rodin liší. Vzhledem k této odlišnosti se možné analyzovat například životní úroveň těch nejchudších vrstev, či analyzovat životní úroveň těch vrstev, které vykazují extrémní formy luxusu a abnormální spotřebu. </w:t>
      </w:r>
      <w:r>
        <w:br/>
      </w:r>
      <w:r w:rsidRPr="00DD19E7">
        <w:t>(Kubátová, 2010).</w:t>
      </w:r>
    </w:p>
    <w:p w14:paraId="1197A8DA" w14:textId="4DC85E48" w:rsidR="00B051CD" w:rsidRDefault="00B77E0C" w:rsidP="00B051CD">
      <w:pPr>
        <w:spacing w:before="120" w:after="240" w:line="360" w:lineRule="auto"/>
        <w:ind w:firstLine="454"/>
        <w:jc w:val="both"/>
      </w:pPr>
      <w:r w:rsidRPr="00C60977">
        <w:t xml:space="preserve">Z rozsáhlého souboru věcí, které se podílejí na </w:t>
      </w:r>
      <w:r w:rsidRPr="00DD19E7">
        <w:rPr>
          <w:color w:val="000000" w:themeColor="text1"/>
        </w:rPr>
        <w:t xml:space="preserve">životní úrovni je </w:t>
      </w:r>
      <w:r w:rsidR="002F3694">
        <w:rPr>
          <w:color w:val="000000" w:themeColor="text1"/>
        </w:rPr>
        <w:t>zřejmé</w:t>
      </w:r>
      <w:r w:rsidRPr="00C60977">
        <w:t xml:space="preserve">, že samotná životní úroveň je dosti komplikovaná souhrnná sociálně-ekonomická kategorie sama o sobě, pod kterou právě spadá řada navzájem odlišných a mnohdy nesourodých prvků. Ať už </w:t>
      </w:r>
      <w:r w:rsidR="00DD19E7">
        <w:t>pohlédneme na životní úroveň z kteréhokoli pohledu,</w:t>
      </w:r>
      <w:r w:rsidRPr="00C60977">
        <w:t xml:space="preserve"> vždy se bude jednat o určitý </w:t>
      </w:r>
      <w:r w:rsidRPr="00DD19E7">
        <w:t>soubor</w:t>
      </w:r>
      <w:r w:rsidRPr="00C60977">
        <w:t xml:space="preserve"> minulých, ale i současných jak sociálně-ekonomických, tak politických </w:t>
      </w:r>
      <w:r w:rsidRPr="00DD19E7">
        <w:rPr>
          <w:color w:val="000000" w:themeColor="text1"/>
        </w:rPr>
        <w:t xml:space="preserve">procesů, jenž se </w:t>
      </w:r>
      <w:r w:rsidRPr="00C60977">
        <w:t xml:space="preserve">budou nacházet jak na mikro úrovni, tak makro úrovni. </w:t>
      </w:r>
      <w:r w:rsidR="00DD19E7">
        <w:t xml:space="preserve">Je důležité zmínit, že </w:t>
      </w:r>
      <w:r w:rsidRPr="00C60977">
        <w:t xml:space="preserve">na životní úrovni </w:t>
      </w:r>
      <w:r w:rsidR="00DD19E7">
        <w:t xml:space="preserve">se stejnou měrou </w:t>
      </w:r>
      <w:r w:rsidRPr="00C60977">
        <w:t xml:space="preserve">podílí i formování postojů a jednání všech subjektů (ať už jednotlivců, zájmových skupin, politických stran atd.) ve společnosti, což má </w:t>
      </w:r>
      <w:r w:rsidR="00DD19E7">
        <w:t>následný</w:t>
      </w:r>
      <w:r w:rsidRPr="00C60977">
        <w:t xml:space="preserve"> dopad i na celkový vývoj společnosti. (SOCIO web, 2003).</w:t>
      </w:r>
    </w:p>
    <w:p w14:paraId="3884A603" w14:textId="5B0CB564" w:rsidR="00B465A8" w:rsidRPr="00C60977" w:rsidRDefault="00474164" w:rsidP="00B051CD">
      <w:pPr>
        <w:spacing w:before="120" w:after="240" w:line="360" w:lineRule="auto"/>
        <w:ind w:firstLine="454"/>
        <w:jc w:val="both"/>
      </w:pPr>
      <w:r>
        <w:t>Samotná</w:t>
      </w:r>
      <w:r w:rsidR="00B77E0C" w:rsidRPr="00C60977">
        <w:t xml:space="preserve"> touha člověka po konkrétní životní úrovni je vysoce ovlivněna jeho vzorem spotřeby (co, kdy a v jaké míře spotřebovává za statky a služby), </w:t>
      </w:r>
      <w:r w:rsidR="00B77E0C" w:rsidRPr="00467511">
        <w:t xml:space="preserve">jenž </w:t>
      </w:r>
      <w:r w:rsidR="00B77E0C" w:rsidRPr="00C60977">
        <w:t>je založen a ovlivněn jeho příjm</w:t>
      </w:r>
      <w:r w:rsidR="00C92270">
        <w:t>y</w:t>
      </w:r>
      <w:r w:rsidR="00B77E0C" w:rsidRPr="00C60977">
        <w:t>. Na základě tohoto vztahu (spotřeba vs. příjmy) je životní úroveň jednotlivce ovlivněna různými změnami např. zvýšení či snížení příjmů. (</w:t>
      </w:r>
      <w:proofErr w:type="spellStart"/>
      <w:r w:rsidR="00B77E0C" w:rsidRPr="00C60977">
        <w:t>Encyclopaedia</w:t>
      </w:r>
      <w:proofErr w:type="spellEnd"/>
      <w:r w:rsidR="00B77E0C" w:rsidRPr="00C60977">
        <w:t xml:space="preserve"> </w:t>
      </w:r>
      <w:proofErr w:type="spellStart"/>
      <w:r w:rsidR="00B77E0C" w:rsidRPr="00C60977">
        <w:t>Britannica</w:t>
      </w:r>
      <w:proofErr w:type="spellEnd"/>
      <w:r w:rsidR="00B77E0C" w:rsidRPr="00C60977">
        <w:t>, 2020).</w:t>
      </w:r>
    </w:p>
    <w:p w14:paraId="53E1996E" w14:textId="348BD03E" w:rsidR="00A70E66" w:rsidRPr="00C60977" w:rsidRDefault="00F55BC9" w:rsidP="000263E8">
      <w:pPr>
        <w:pStyle w:val="Nadpis3"/>
        <w:ind w:left="1004"/>
      </w:pPr>
      <w:bookmarkStart w:id="6" w:name="_Toc46142328"/>
      <w:r>
        <w:lastRenderedPageBreak/>
        <w:t>Kvalita života</w:t>
      </w:r>
      <w:bookmarkEnd w:id="6"/>
    </w:p>
    <w:p w14:paraId="352FEB08" w14:textId="77777777" w:rsidR="0024138B" w:rsidRDefault="00CA5D51" w:rsidP="0024138B">
      <w:pPr>
        <w:spacing w:before="120" w:after="240" w:line="360" w:lineRule="auto"/>
        <w:ind w:firstLine="454"/>
        <w:jc w:val="both"/>
        <w:rPr>
          <w:szCs w:val="22"/>
        </w:rPr>
      </w:pPr>
      <w:r w:rsidRPr="00CA5D51">
        <w:rPr>
          <w:szCs w:val="22"/>
        </w:rPr>
        <w:t>U životní úrovně se často setkáváme i s pojmem kvalita života, neboť l</w:t>
      </w:r>
      <w:r w:rsidR="00A70E66" w:rsidRPr="00CA5D51">
        <w:rPr>
          <w:szCs w:val="22"/>
        </w:rPr>
        <w:t xml:space="preserve">idé si často myslí, že </w:t>
      </w:r>
      <w:r w:rsidRPr="00CA5D51">
        <w:rPr>
          <w:szCs w:val="22"/>
        </w:rPr>
        <w:t xml:space="preserve">tyto dva pojmy </w:t>
      </w:r>
      <w:r w:rsidR="00D61E23" w:rsidRPr="00CA5D51">
        <w:rPr>
          <w:szCs w:val="22"/>
        </w:rPr>
        <w:t xml:space="preserve">značí </w:t>
      </w:r>
      <w:r>
        <w:rPr>
          <w:szCs w:val="22"/>
        </w:rPr>
        <w:t>totéž</w:t>
      </w:r>
      <w:r w:rsidR="00D61E23" w:rsidRPr="00CA5D51">
        <w:rPr>
          <w:szCs w:val="22"/>
        </w:rPr>
        <w:t>, avšak opak je</w:t>
      </w:r>
      <w:r w:rsidR="00A70E66" w:rsidRPr="00CA5D51">
        <w:rPr>
          <w:szCs w:val="22"/>
        </w:rPr>
        <w:t xml:space="preserve"> pravdou</w:t>
      </w:r>
      <w:r w:rsidR="0052492D" w:rsidRPr="00CA5D51">
        <w:rPr>
          <w:szCs w:val="22"/>
        </w:rPr>
        <w:t>.</w:t>
      </w:r>
      <w:r w:rsidR="00A70E66" w:rsidRPr="00CA5D51">
        <w:rPr>
          <w:szCs w:val="22"/>
        </w:rPr>
        <w:t xml:space="preserve"> </w:t>
      </w:r>
    </w:p>
    <w:p w14:paraId="79789A9B" w14:textId="76106C4A" w:rsidR="0024138B" w:rsidRDefault="0052492D" w:rsidP="0024138B">
      <w:pPr>
        <w:spacing w:before="120" w:after="240" w:line="360" w:lineRule="auto"/>
        <w:ind w:firstLine="454"/>
        <w:jc w:val="both"/>
        <w:rPr>
          <w:szCs w:val="22"/>
        </w:rPr>
      </w:pPr>
      <w:r w:rsidRPr="00CA5D51">
        <w:rPr>
          <w:szCs w:val="22"/>
        </w:rPr>
        <w:t>Kvalita života je čistě subjektivní</w:t>
      </w:r>
      <w:r w:rsidR="003E1D68" w:rsidRPr="00CA5D51">
        <w:rPr>
          <w:szCs w:val="22"/>
        </w:rPr>
        <w:t xml:space="preserve"> a</w:t>
      </w:r>
      <w:r w:rsidR="00CA5D51">
        <w:rPr>
          <w:szCs w:val="22"/>
        </w:rPr>
        <w:t> </w:t>
      </w:r>
      <w:r w:rsidR="00B83D90" w:rsidRPr="00CA5D51">
        <w:rPr>
          <w:szCs w:val="22"/>
        </w:rPr>
        <w:t>je</w:t>
      </w:r>
      <w:r w:rsidR="00CA5D51">
        <w:rPr>
          <w:szCs w:val="22"/>
        </w:rPr>
        <w:t> </w:t>
      </w:r>
      <w:r w:rsidR="00B83D90" w:rsidRPr="00CA5D51">
        <w:rPr>
          <w:szCs w:val="22"/>
        </w:rPr>
        <w:t>nutné mít na paměti</w:t>
      </w:r>
      <w:r w:rsidR="00E000C7" w:rsidRPr="00CA5D51">
        <w:rPr>
          <w:szCs w:val="22"/>
        </w:rPr>
        <w:t xml:space="preserve">, že </w:t>
      </w:r>
      <w:r w:rsidR="00B83D90" w:rsidRPr="00CA5D51">
        <w:rPr>
          <w:szCs w:val="22"/>
        </w:rPr>
        <w:t xml:space="preserve">to, </w:t>
      </w:r>
      <w:r w:rsidR="00A70E66" w:rsidRPr="00CA5D51">
        <w:rPr>
          <w:szCs w:val="22"/>
        </w:rPr>
        <w:t>co je dobré pro jednoho, nemusí být dobré</w:t>
      </w:r>
      <w:r w:rsidR="00E000C7" w:rsidRPr="00CA5D51">
        <w:rPr>
          <w:szCs w:val="22"/>
        </w:rPr>
        <w:t xml:space="preserve"> </w:t>
      </w:r>
      <w:r w:rsidR="00A70E66" w:rsidRPr="00CA5D51">
        <w:rPr>
          <w:szCs w:val="22"/>
        </w:rPr>
        <w:t>pro</w:t>
      </w:r>
      <w:r w:rsidR="002F72CB" w:rsidRPr="00CA5D51">
        <w:rPr>
          <w:szCs w:val="22"/>
        </w:rPr>
        <w:t> </w:t>
      </w:r>
      <w:r w:rsidR="00A70E66" w:rsidRPr="00CA5D51">
        <w:rPr>
          <w:szCs w:val="22"/>
        </w:rPr>
        <w:t>druhého</w:t>
      </w:r>
      <w:r w:rsidR="00B83D90" w:rsidRPr="00CA5D51">
        <w:rPr>
          <w:szCs w:val="22"/>
        </w:rPr>
        <w:t>.</w:t>
      </w:r>
      <w:r w:rsidR="00010421">
        <w:rPr>
          <w:szCs w:val="22"/>
        </w:rPr>
        <w:t xml:space="preserve"> </w:t>
      </w:r>
    </w:p>
    <w:p w14:paraId="17EA98EE" w14:textId="378A4C74" w:rsidR="00010421" w:rsidRPr="00C55F6A" w:rsidRDefault="00010421" w:rsidP="0037171B">
      <w:pPr>
        <w:spacing w:before="120" w:after="240" w:line="360" w:lineRule="auto"/>
        <w:jc w:val="both"/>
        <w:rPr>
          <w:szCs w:val="21"/>
        </w:rPr>
      </w:pPr>
      <w:r w:rsidRPr="00C55F6A">
        <w:rPr>
          <w:b/>
          <w:bCs/>
          <w:i/>
          <w:iCs/>
        </w:rPr>
        <w:t>Nejčastěji se uvádí měření kvality života na základě tří hledisek:</w:t>
      </w:r>
      <w:r w:rsidR="0037171B" w:rsidRPr="0037171B">
        <w:rPr>
          <w:szCs w:val="21"/>
        </w:rPr>
        <w:t xml:space="preserve"> (</w:t>
      </w:r>
      <w:proofErr w:type="spellStart"/>
      <w:r w:rsidR="0037171B" w:rsidRPr="0037171B">
        <w:rPr>
          <w:szCs w:val="21"/>
        </w:rPr>
        <w:t>Vaďurová</w:t>
      </w:r>
      <w:proofErr w:type="spellEnd"/>
      <w:r w:rsidR="00C55F6A">
        <w:rPr>
          <w:szCs w:val="21"/>
        </w:rPr>
        <w:t xml:space="preserve"> a kol.</w:t>
      </w:r>
      <w:r w:rsidR="0037171B" w:rsidRPr="0037171B">
        <w:rPr>
          <w:szCs w:val="21"/>
        </w:rPr>
        <w:t>, 2005)</w:t>
      </w:r>
    </w:p>
    <w:p w14:paraId="1DF999FC" w14:textId="09722EBC" w:rsidR="00010421" w:rsidRPr="00C55F6A" w:rsidRDefault="00010421" w:rsidP="00AA5473">
      <w:pPr>
        <w:pStyle w:val="Odstavecseseznamem"/>
        <w:numPr>
          <w:ilvl w:val="0"/>
          <w:numId w:val="10"/>
        </w:numPr>
        <w:spacing w:before="120" w:after="240"/>
        <w:rPr>
          <w:i/>
          <w:iCs/>
          <w:sz w:val="24"/>
        </w:rPr>
      </w:pPr>
      <w:r w:rsidRPr="00C55F6A">
        <w:rPr>
          <w:i/>
          <w:iCs/>
          <w:sz w:val="24"/>
        </w:rPr>
        <w:t>subjektivní odhad celkové spokojenosti jedince se svým životem,</w:t>
      </w:r>
    </w:p>
    <w:p w14:paraId="09A6B437" w14:textId="017DAD36" w:rsidR="00010421" w:rsidRPr="00C55F6A" w:rsidRDefault="00010421" w:rsidP="00AA5473">
      <w:pPr>
        <w:pStyle w:val="Odstavecseseznamem"/>
        <w:numPr>
          <w:ilvl w:val="0"/>
          <w:numId w:val="10"/>
        </w:numPr>
        <w:spacing w:before="120" w:after="240"/>
        <w:rPr>
          <w:i/>
          <w:iCs/>
          <w:sz w:val="24"/>
        </w:rPr>
      </w:pPr>
      <w:r w:rsidRPr="00C55F6A">
        <w:rPr>
          <w:i/>
          <w:iCs/>
          <w:sz w:val="24"/>
        </w:rPr>
        <w:t>subjektivní odhad spokojenosti jedince s konkrétními životními oblastmi,</w:t>
      </w:r>
    </w:p>
    <w:p w14:paraId="00B4E724" w14:textId="52A83D09" w:rsidR="00EB2C18" w:rsidRPr="00C55F6A" w:rsidRDefault="00010421" w:rsidP="00AA5473">
      <w:pPr>
        <w:pStyle w:val="Odstavecseseznamem"/>
        <w:numPr>
          <w:ilvl w:val="0"/>
          <w:numId w:val="10"/>
        </w:numPr>
        <w:spacing w:before="120" w:after="240"/>
        <w:rPr>
          <w:i/>
          <w:iCs/>
          <w:sz w:val="22"/>
          <w:szCs w:val="22"/>
        </w:rPr>
      </w:pPr>
      <w:r w:rsidRPr="00C55F6A">
        <w:rPr>
          <w:i/>
          <w:iCs/>
          <w:sz w:val="24"/>
          <w:szCs w:val="22"/>
        </w:rPr>
        <w:t>objektivní měření sociálních ukazatelů</w:t>
      </w:r>
      <w:r w:rsidR="0037171B" w:rsidRPr="00C55F6A">
        <w:rPr>
          <w:i/>
          <w:iCs/>
          <w:sz w:val="24"/>
          <w:szCs w:val="22"/>
        </w:rPr>
        <w:t>.</w:t>
      </w:r>
      <w:r w:rsidRPr="00C55F6A">
        <w:rPr>
          <w:i/>
          <w:iCs/>
          <w:sz w:val="24"/>
          <w:szCs w:val="22"/>
        </w:rPr>
        <w:t xml:space="preserve"> </w:t>
      </w:r>
    </w:p>
    <w:p w14:paraId="7B5B3968" w14:textId="186E14CF" w:rsidR="0037171B" w:rsidRDefault="003A3AF8" w:rsidP="0037171B">
      <w:pPr>
        <w:spacing w:before="120" w:after="240" w:line="360" w:lineRule="auto"/>
        <w:ind w:firstLine="420"/>
        <w:jc w:val="both"/>
        <w:rPr>
          <w:szCs w:val="22"/>
        </w:rPr>
      </w:pPr>
      <w:r w:rsidRPr="00CA5D51">
        <w:rPr>
          <w:szCs w:val="22"/>
        </w:rPr>
        <w:t xml:space="preserve">Kvalitu života </w:t>
      </w:r>
      <w:r w:rsidR="002F3694">
        <w:rPr>
          <w:szCs w:val="22"/>
        </w:rPr>
        <w:t>je možné si představit</w:t>
      </w:r>
      <w:r w:rsidRPr="00CA5D51">
        <w:rPr>
          <w:szCs w:val="22"/>
        </w:rPr>
        <w:t xml:space="preserve"> jako</w:t>
      </w:r>
      <w:r w:rsidR="00A70E66" w:rsidRPr="00CA5D51">
        <w:rPr>
          <w:szCs w:val="22"/>
        </w:rPr>
        <w:t xml:space="preserve"> </w:t>
      </w:r>
      <w:r w:rsidR="002533B0" w:rsidRPr="00CA5D51">
        <w:rPr>
          <w:szCs w:val="22"/>
        </w:rPr>
        <w:t>„živý organismus“</w:t>
      </w:r>
      <w:r w:rsidR="00A70E66" w:rsidRPr="00CA5D51">
        <w:rPr>
          <w:szCs w:val="22"/>
        </w:rPr>
        <w:t>, který reaguje na životní události,</w:t>
      </w:r>
      <w:r w:rsidR="00E000C7" w:rsidRPr="00CA5D51">
        <w:rPr>
          <w:szCs w:val="22"/>
        </w:rPr>
        <w:t xml:space="preserve"> jako jsou například</w:t>
      </w:r>
      <w:r w:rsidR="00A70E66" w:rsidRPr="00CA5D51">
        <w:rPr>
          <w:szCs w:val="22"/>
        </w:rPr>
        <w:t xml:space="preserve"> ztráta zaměstnání, </w:t>
      </w:r>
      <w:r w:rsidR="002F3694">
        <w:rPr>
          <w:szCs w:val="22"/>
        </w:rPr>
        <w:t>různé</w:t>
      </w:r>
      <w:r w:rsidR="00E000C7" w:rsidRPr="00CA5D51">
        <w:rPr>
          <w:szCs w:val="22"/>
        </w:rPr>
        <w:t xml:space="preserve"> </w:t>
      </w:r>
      <w:r w:rsidR="00A70E66" w:rsidRPr="00CA5D51">
        <w:rPr>
          <w:szCs w:val="22"/>
        </w:rPr>
        <w:t xml:space="preserve">nemoci a další </w:t>
      </w:r>
      <w:r w:rsidR="00E000C7" w:rsidRPr="00CA5D51">
        <w:rPr>
          <w:szCs w:val="22"/>
        </w:rPr>
        <w:t>situace</w:t>
      </w:r>
      <w:r w:rsidR="002533B0" w:rsidRPr="00CA5D51">
        <w:rPr>
          <w:szCs w:val="22"/>
        </w:rPr>
        <w:t>, jež mají zásadní vliv na</w:t>
      </w:r>
      <w:r w:rsidRPr="00CA5D51">
        <w:rPr>
          <w:szCs w:val="22"/>
        </w:rPr>
        <w:t> </w:t>
      </w:r>
      <w:r w:rsidR="002533B0" w:rsidRPr="00CA5D51">
        <w:rPr>
          <w:szCs w:val="22"/>
        </w:rPr>
        <w:t xml:space="preserve">život jedince. </w:t>
      </w:r>
      <w:r w:rsidR="00A70E66" w:rsidRPr="00CA5D51">
        <w:rPr>
          <w:szCs w:val="22"/>
        </w:rPr>
        <w:t>(</w:t>
      </w:r>
      <w:r w:rsidR="00A70E66" w:rsidRPr="00CA5D51">
        <w:rPr>
          <w:szCs w:val="20"/>
        </w:rPr>
        <w:t xml:space="preserve">Forbes, </w:t>
      </w:r>
      <w:r w:rsidR="00A70E66" w:rsidRPr="00CA5D51">
        <w:rPr>
          <w:szCs w:val="22"/>
        </w:rPr>
        <w:t>2013).</w:t>
      </w:r>
    </w:p>
    <w:p w14:paraId="1207DDEF" w14:textId="54DAF29D" w:rsidR="000D5D68" w:rsidRPr="00C60977" w:rsidRDefault="004837B7" w:rsidP="0037171B">
      <w:pPr>
        <w:spacing w:before="120" w:after="240" w:line="360" w:lineRule="auto"/>
        <w:ind w:firstLine="420"/>
        <w:jc w:val="both"/>
        <w:rPr>
          <w:szCs w:val="22"/>
        </w:rPr>
      </w:pPr>
      <w:r w:rsidRPr="00CA5D51">
        <w:rPr>
          <w:szCs w:val="22"/>
        </w:rPr>
        <w:t>Podle S</w:t>
      </w:r>
      <w:r w:rsidR="003A3AF8" w:rsidRPr="00CA5D51">
        <w:rPr>
          <w:szCs w:val="22"/>
        </w:rPr>
        <w:t>větov</w:t>
      </w:r>
      <w:r w:rsidRPr="00CA5D51">
        <w:rPr>
          <w:szCs w:val="22"/>
        </w:rPr>
        <w:t>é</w:t>
      </w:r>
      <w:r w:rsidR="003A3AF8" w:rsidRPr="00CA5D51">
        <w:rPr>
          <w:szCs w:val="22"/>
        </w:rPr>
        <w:t xml:space="preserve"> zdravotnická organizace (WHO) </w:t>
      </w:r>
      <w:r w:rsidRPr="00CA5D51">
        <w:rPr>
          <w:szCs w:val="22"/>
        </w:rPr>
        <w:t>představuje kvalita života vnímání</w:t>
      </w:r>
      <w:r w:rsidR="00BA4735" w:rsidRPr="00CA5D51">
        <w:rPr>
          <w:szCs w:val="22"/>
        </w:rPr>
        <w:t xml:space="preserve"> vlastního postavení v životě, které zahrnuje jak kulturní, tak hodnotové systémy, cíle jedince, jeho očekávání, obavy atd. Kvalita života představuje rozsáhlý soubor věcí a událostí, který je ovlivněn</w:t>
      </w:r>
      <w:r w:rsidR="00181621" w:rsidRPr="00CA5D51">
        <w:rPr>
          <w:szCs w:val="22"/>
        </w:rPr>
        <w:t>,</w:t>
      </w:r>
      <w:r w:rsidR="00BA4735" w:rsidRPr="00CA5D51">
        <w:rPr>
          <w:szCs w:val="22"/>
        </w:rPr>
        <w:t xml:space="preserve"> jak fyzickým zdravím jedince, tak jeho psychickým stavem, jeho přesvědčeními, vztahy, či prostředím. (WHO, 2020).</w:t>
      </w:r>
    </w:p>
    <w:p w14:paraId="52D9DC5C" w14:textId="0BEF1DDE" w:rsidR="000D5D68" w:rsidRPr="00C60977" w:rsidRDefault="00F55BC9" w:rsidP="000263E8">
      <w:pPr>
        <w:pStyle w:val="Nadpis3"/>
        <w:ind w:left="1004"/>
      </w:pPr>
      <w:bookmarkStart w:id="7" w:name="_Toc46142329"/>
      <w:r>
        <w:t>Blahobyt</w:t>
      </w:r>
      <w:bookmarkEnd w:id="7"/>
    </w:p>
    <w:p w14:paraId="02136ED0" w14:textId="317DD810" w:rsidR="00010421" w:rsidRPr="00C60977" w:rsidRDefault="00495456" w:rsidP="00F16F17">
      <w:pPr>
        <w:spacing w:before="120" w:after="240" w:line="360" w:lineRule="auto"/>
        <w:ind w:firstLine="454"/>
        <w:jc w:val="both"/>
        <w:rPr>
          <w:szCs w:val="22"/>
        </w:rPr>
      </w:pPr>
      <w:r>
        <w:rPr>
          <w:szCs w:val="22"/>
        </w:rPr>
        <w:t>Dle nadace NEF (</w:t>
      </w:r>
      <w:proofErr w:type="spellStart"/>
      <w:r>
        <w:rPr>
          <w:szCs w:val="22"/>
        </w:rPr>
        <w:t>The</w:t>
      </w:r>
      <w:proofErr w:type="spellEnd"/>
      <w:r>
        <w:rPr>
          <w:szCs w:val="22"/>
        </w:rPr>
        <w:t xml:space="preserve"> New </w:t>
      </w:r>
      <w:proofErr w:type="spellStart"/>
      <w:r>
        <w:rPr>
          <w:szCs w:val="22"/>
        </w:rPr>
        <w:t>Economics</w:t>
      </w:r>
      <w:proofErr w:type="spellEnd"/>
      <w:r>
        <w:rPr>
          <w:szCs w:val="22"/>
        </w:rPr>
        <w:t xml:space="preserve"> </w:t>
      </w:r>
      <w:proofErr w:type="spellStart"/>
      <w:r>
        <w:rPr>
          <w:szCs w:val="22"/>
        </w:rPr>
        <w:t>Foundation</w:t>
      </w:r>
      <w:proofErr w:type="spellEnd"/>
      <w:r>
        <w:rPr>
          <w:szCs w:val="22"/>
        </w:rPr>
        <w:t xml:space="preserve">) </w:t>
      </w:r>
      <w:r w:rsidR="002F3694">
        <w:rPr>
          <w:szCs w:val="22"/>
        </w:rPr>
        <w:t>je</w:t>
      </w:r>
      <w:r>
        <w:rPr>
          <w:szCs w:val="22"/>
        </w:rPr>
        <w:t xml:space="preserve"> blahobyt cháp</w:t>
      </w:r>
      <w:r w:rsidR="002F3694">
        <w:rPr>
          <w:szCs w:val="22"/>
        </w:rPr>
        <w:t>án</w:t>
      </w:r>
      <w:r>
        <w:rPr>
          <w:szCs w:val="22"/>
        </w:rPr>
        <w:t xml:space="preserve"> jako to, co</w:t>
      </w:r>
      <w:r w:rsidR="00070771">
        <w:rPr>
          <w:szCs w:val="22"/>
        </w:rPr>
        <w:t> </w:t>
      </w:r>
      <w:r>
        <w:rPr>
          <w:szCs w:val="22"/>
        </w:rPr>
        <w:t xml:space="preserve">člověk </w:t>
      </w:r>
      <w:r w:rsidR="00070771">
        <w:rPr>
          <w:szCs w:val="22"/>
        </w:rPr>
        <w:t>pociťuje</w:t>
      </w:r>
      <w:r>
        <w:rPr>
          <w:szCs w:val="22"/>
        </w:rPr>
        <w:t>, jak se chová</w:t>
      </w:r>
      <w:r w:rsidR="00070771">
        <w:rPr>
          <w:szCs w:val="22"/>
        </w:rPr>
        <w:t xml:space="preserve">, jak hodnotí svůj život </w:t>
      </w:r>
      <w:r>
        <w:rPr>
          <w:szCs w:val="22"/>
        </w:rPr>
        <w:t>a celkově jak funguje na osobní, ale</w:t>
      </w:r>
      <w:r w:rsidR="00EB2C18">
        <w:rPr>
          <w:szCs w:val="22"/>
        </w:rPr>
        <w:t> </w:t>
      </w:r>
      <w:r>
        <w:rPr>
          <w:szCs w:val="22"/>
        </w:rPr>
        <w:t>i</w:t>
      </w:r>
      <w:r w:rsidR="00070771">
        <w:rPr>
          <w:szCs w:val="22"/>
        </w:rPr>
        <w:t> </w:t>
      </w:r>
      <w:r>
        <w:rPr>
          <w:szCs w:val="22"/>
        </w:rPr>
        <w:t>sociální úrovni</w:t>
      </w:r>
      <w:r w:rsidR="00070771">
        <w:rPr>
          <w:szCs w:val="22"/>
        </w:rPr>
        <w:t xml:space="preserve">. </w:t>
      </w:r>
      <w:r w:rsidR="00010421">
        <w:rPr>
          <w:szCs w:val="22"/>
        </w:rPr>
        <w:t>Blahobyt představuje</w:t>
      </w:r>
      <w:r w:rsidR="00010421" w:rsidRPr="00C60977">
        <w:rPr>
          <w:szCs w:val="22"/>
        </w:rPr>
        <w:t xml:space="preserve"> </w:t>
      </w:r>
      <w:r w:rsidR="00010421">
        <w:rPr>
          <w:szCs w:val="22"/>
        </w:rPr>
        <w:t xml:space="preserve">stav, kdy </w:t>
      </w:r>
      <w:r w:rsidR="00010421" w:rsidRPr="00C60977">
        <w:rPr>
          <w:szCs w:val="22"/>
        </w:rPr>
        <w:t xml:space="preserve">jedinec </w:t>
      </w:r>
      <w:r w:rsidR="00010421">
        <w:rPr>
          <w:szCs w:val="22"/>
        </w:rPr>
        <w:t>nabývá pocitu</w:t>
      </w:r>
      <w:r w:rsidR="00010421" w:rsidRPr="00C60977">
        <w:rPr>
          <w:szCs w:val="22"/>
        </w:rPr>
        <w:t xml:space="preserve"> </w:t>
      </w:r>
      <w:r w:rsidR="00010421">
        <w:rPr>
          <w:szCs w:val="22"/>
        </w:rPr>
        <w:t>bezpečí</w:t>
      </w:r>
      <w:r w:rsidR="00010421" w:rsidRPr="00C60977">
        <w:rPr>
          <w:szCs w:val="22"/>
        </w:rPr>
        <w:t xml:space="preserve">, </w:t>
      </w:r>
      <w:r w:rsidR="00010421">
        <w:rPr>
          <w:szCs w:val="22"/>
        </w:rPr>
        <w:t>spokojenosti</w:t>
      </w:r>
      <w:r w:rsidR="00010421" w:rsidRPr="00C60977">
        <w:rPr>
          <w:szCs w:val="22"/>
        </w:rPr>
        <w:t>, zdrav</w:t>
      </w:r>
      <w:r w:rsidR="00010421">
        <w:rPr>
          <w:szCs w:val="22"/>
        </w:rPr>
        <w:t>í</w:t>
      </w:r>
      <w:r w:rsidR="00010421" w:rsidRPr="00C60977">
        <w:rPr>
          <w:szCs w:val="22"/>
        </w:rPr>
        <w:t xml:space="preserve"> a š</w:t>
      </w:r>
      <w:r w:rsidR="00010421">
        <w:rPr>
          <w:szCs w:val="22"/>
        </w:rPr>
        <w:t>těstí</w:t>
      </w:r>
      <w:r w:rsidR="00010421" w:rsidRPr="00C60977">
        <w:rPr>
          <w:szCs w:val="22"/>
        </w:rPr>
        <w:t>.</w:t>
      </w:r>
      <w:r w:rsidR="00010421">
        <w:rPr>
          <w:szCs w:val="22"/>
        </w:rPr>
        <w:t xml:space="preserve"> </w:t>
      </w:r>
      <w:r w:rsidR="00C55F6A">
        <w:rPr>
          <w:b/>
          <w:bCs/>
          <w:szCs w:val="22"/>
        </w:rPr>
        <w:t>Aby</w:t>
      </w:r>
      <w:r w:rsidR="00010421" w:rsidRPr="00C55F6A">
        <w:rPr>
          <w:b/>
          <w:bCs/>
          <w:szCs w:val="22"/>
        </w:rPr>
        <w:t xml:space="preserve"> člověk nabyl pocitu blahobytu, je nutné mít v rovnováze jisté primární oblasti:</w:t>
      </w:r>
      <w:r w:rsidR="00C55F6A" w:rsidRPr="00C55F6A">
        <w:rPr>
          <w:szCs w:val="22"/>
        </w:rPr>
        <w:t xml:space="preserve"> </w:t>
      </w:r>
      <w:r w:rsidR="00C55F6A">
        <w:rPr>
          <w:szCs w:val="22"/>
        </w:rPr>
        <w:t xml:space="preserve">(NEF, </w:t>
      </w:r>
      <w:r w:rsidR="00C55F6A" w:rsidRPr="00C60977">
        <w:rPr>
          <w:szCs w:val="22"/>
        </w:rPr>
        <w:t>20</w:t>
      </w:r>
      <w:r w:rsidR="00C55F6A">
        <w:rPr>
          <w:szCs w:val="22"/>
        </w:rPr>
        <w:t>12).</w:t>
      </w:r>
    </w:p>
    <w:p w14:paraId="3E8ED2A4" w14:textId="0E66DA6D" w:rsidR="00010421" w:rsidRPr="00C55F6A" w:rsidRDefault="00010421" w:rsidP="0037171B">
      <w:pPr>
        <w:pStyle w:val="Odstavecseseznamem"/>
        <w:numPr>
          <w:ilvl w:val="0"/>
          <w:numId w:val="5"/>
        </w:numPr>
        <w:spacing w:before="120" w:after="240"/>
        <w:rPr>
          <w:i/>
          <w:iCs/>
          <w:sz w:val="24"/>
          <w:szCs w:val="22"/>
        </w:rPr>
      </w:pPr>
      <w:r w:rsidRPr="00C55F6A">
        <w:rPr>
          <w:i/>
          <w:iCs/>
          <w:sz w:val="24"/>
          <w:szCs w:val="22"/>
        </w:rPr>
        <w:t>fyzické zdraví člověka</w:t>
      </w:r>
      <w:r w:rsidR="00925448" w:rsidRPr="00C55F6A">
        <w:rPr>
          <w:i/>
          <w:iCs/>
          <w:sz w:val="24"/>
          <w:szCs w:val="22"/>
        </w:rPr>
        <w:t xml:space="preserve"> (tzn. volba životního stylu člověka),</w:t>
      </w:r>
    </w:p>
    <w:p w14:paraId="0833B673" w14:textId="6DCF2320" w:rsidR="00010421" w:rsidRPr="00C55F6A" w:rsidRDefault="00010421" w:rsidP="0037171B">
      <w:pPr>
        <w:pStyle w:val="Odstavecseseznamem"/>
        <w:numPr>
          <w:ilvl w:val="0"/>
          <w:numId w:val="5"/>
        </w:numPr>
        <w:spacing w:before="120" w:after="240"/>
        <w:rPr>
          <w:i/>
          <w:iCs/>
          <w:sz w:val="24"/>
          <w:szCs w:val="22"/>
        </w:rPr>
      </w:pPr>
      <w:r w:rsidRPr="00C55F6A">
        <w:rPr>
          <w:i/>
          <w:iCs/>
          <w:sz w:val="24"/>
          <w:szCs w:val="22"/>
        </w:rPr>
        <w:t>emoční a psychologická oblast</w:t>
      </w:r>
      <w:r w:rsidR="00925448" w:rsidRPr="00C55F6A">
        <w:rPr>
          <w:i/>
          <w:iCs/>
          <w:sz w:val="24"/>
          <w:szCs w:val="22"/>
        </w:rPr>
        <w:t xml:space="preserve"> (tzn. schopnost vyrovnat se s každodenním životem),</w:t>
      </w:r>
    </w:p>
    <w:p w14:paraId="42EB0E3A" w14:textId="767EDEC8" w:rsidR="00010421" w:rsidRPr="00C55F6A" w:rsidRDefault="00010421" w:rsidP="0037171B">
      <w:pPr>
        <w:pStyle w:val="Odstavecseseznamem"/>
        <w:numPr>
          <w:ilvl w:val="0"/>
          <w:numId w:val="5"/>
        </w:numPr>
        <w:spacing w:before="120" w:after="240"/>
        <w:rPr>
          <w:i/>
          <w:iCs/>
          <w:sz w:val="24"/>
          <w:szCs w:val="22"/>
        </w:rPr>
      </w:pPr>
      <w:r w:rsidRPr="00C55F6A">
        <w:rPr>
          <w:i/>
          <w:iCs/>
          <w:sz w:val="24"/>
          <w:szCs w:val="22"/>
        </w:rPr>
        <w:t>sociální oblast</w:t>
      </w:r>
      <w:r w:rsidR="00925448" w:rsidRPr="00C55F6A">
        <w:rPr>
          <w:i/>
          <w:iCs/>
          <w:sz w:val="24"/>
          <w:szCs w:val="22"/>
        </w:rPr>
        <w:t xml:space="preserve"> (tzn. začlenění se do společnosti),</w:t>
      </w:r>
    </w:p>
    <w:p w14:paraId="4E8DA69A" w14:textId="5C9A2F04" w:rsidR="00010421" w:rsidRPr="00C55F6A" w:rsidRDefault="00010421" w:rsidP="0037171B">
      <w:pPr>
        <w:pStyle w:val="Odstavecseseznamem"/>
        <w:numPr>
          <w:ilvl w:val="0"/>
          <w:numId w:val="5"/>
        </w:numPr>
        <w:spacing w:before="120" w:after="240"/>
        <w:rPr>
          <w:i/>
          <w:iCs/>
          <w:sz w:val="24"/>
          <w:szCs w:val="22"/>
        </w:rPr>
      </w:pPr>
      <w:r w:rsidRPr="00C55F6A">
        <w:rPr>
          <w:i/>
          <w:iCs/>
          <w:sz w:val="24"/>
          <w:szCs w:val="22"/>
        </w:rPr>
        <w:t>duchovní oblast</w:t>
      </w:r>
      <w:r w:rsidR="00925448" w:rsidRPr="00C55F6A">
        <w:rPr>
          <w:i/>
          <w:iCs/>
          <w:sz w:val="24"/>
          <w:szCs w:val="22"/>
        </w:rPr>
        <w:t xml:space="preserve"> (tzn. mít jistý účel a smysl bytí ve svém životě), </w:t>
      </w:r>
    </w:p>
    <w:p w14:paraId="2B3D527D" w14:textId="1E6BD07A" w:rsidR="00010421" w:rsidRPr="00C55F6A" w:rsidRDefault="00010421" w:rsidP="0037171B">
      <w:pPr>
        <w:pStyle w:val="Odstavecseseznamem"/>
        <w:numPr>
          <w:ilvl w:val="0"/>
          <w:numId w:val="5"/>
        </w:numPr>
        <w:spacing w:before="120" w:after="240"/>
        <w:rPr>
          <w:i/>
          <w:iCs/>
          <w:sz w:val="24"/>
          <w:szCs w:val="22"/>
        </w:rPr>
      </w:pPr>
      <w:r w:rsidRPr="00C55F6A">
        <w:rPr>
          <w:i/>
          <w:iCs/>
          <w:sz w:val="24"/>
          <w:szCs w:val="22"/>
        </w:rPr>
        <w:t>intelektuální oblast</w:t>
      </w:r>
      <w:r w:rsidR="001E0729" w:rsidRPr="00C55F6A">
        <w:rPr>
          <w:i/>
          <w:iCs/>
          <w:sz w:val="24"/>
          <w:szCs w:val="22"/>
        </w:rPr>
        <w:t xml:space="preserve"> (tzn. důraz na duševní zdraví),</w:t>
      </w:r>
    </w:p>
    <w:p w14:paraId="26A6DE7F" w14:textId="27B3900C" w:rsidR="004F683F" w:rsidRPr="00C55F6A" w:rsidRDefault="00010421" w:rsidP="0037171B">
      <w:pPr>
        <w:pStyle w:val="Odstavecseseznamem"/>
        <w:numPr>
          <w:ilvl w:val="0"/>
          <w:numId w:val="5"/>
        </w:numPr>
        <w:spacing w:before="120" w:after="240"/>
        <w:rPr>
          <w:b/>
          <w:bCs/>
          <w:i/>
          <w:iCs/>
          <w:sz w:val="24"/>
          <w:szCs w:val="22"/>
        </w:rPr>
      </w:pPr>
      <w:r w:rsidRPr="00C55F6A">
        <w:rPr>
          <w:b/>
          <w:bCs/>
          <w:i/>
          <w:iCs/>
          <w:sz w:val="24"/>
          <w:szCs w:val="22"/>
        </w:rPr>
        <w:t>ekonomická oblast</w:t>
      </w:r>
      <w:r w:rsidR="001E0729" w:rsidRPr="00C55F6A">
        <w:rPr>
          <w:b/>
          <w:bCs/>
          <w:i/>
          <w:iCs/>
          <w:sz w:val="24"/>
          <w:szCs w:val="22"/>
        </w:rPr>
        <w:t xml:space="preserve"> (finanční bezpečí a uspokojení základních potřeb).</w:t>
      </w:r>
    </w:p>
    <w:p w14:paraId="44C37055" w14:textId="77777777" w:rsidR="003523E2" w:rsidRDefault="00390FD2" w:rsidP="003523E2">
      <w:pPr>
        <w:spacing w:before="120" w:after="240" w:line="360" w:lineRule="auto"/>
        <w:ind w:firstLine="360"/>
        <w:jc w:val="both"/>
        <w:rPr>
          <w:szCs w:val="22"/>
        </w:rPr>
      </w:pPr>
      <w:r>
        <w:rPr>
          <w:szCs w:val="22"/>
        </w:rPr>
        <w:lastRenderedPageBreak/>
        <w:t>N</w:t>
      </w:r>
      <w:r w:rsidR="000D5D68" w:rsidRPr="00C60977">
        <w:rPr>
          <w:szCs w:val="22"/>
        </w:rPr>
        <w:t xml:space="preserve">eexistuje pouze jeden </w:t>
      </w:r>
      <w:r w:rsidR="00BB7805">
        <w:rPr>
          <w:szCs w:val="22"/>
        </w:rPr>
        <w:t xml:space="preserve">jediný </w:t>
      </w:r>
      <w:r w:rsidR="000D5D68" w:rsidRPr="00C60977">
        <w:rPr>
          <w:szCs w:val="22"/>
        </w:rPr>
        <w:t>vyhraněný způsob měření</w:t>
      </w:r>
      <w:r>
        <w:rPr>
          <w:szCs w:val="22"/>
        </w:rPr>
        <w:t xml:space="preserve"> blahobytu</w:t>
      </w:r>
      <w:r w:rsidR="000D5D68" w:rsidRPr="00C60977">
        <w:rPr>
          <w:szCs w:val="22"/>
        </w:rPr>
        <w:t>, který by obsáhl veškeré části, ze kterých se skládá. Nicméně existuje jeden užitečný přístup měření blahobytu, a</w:t>
      </w:r>
      <w:r w:rsidR="0037171B">
        <w:rPr>
          <w:szCs w:val="22"/>
        </w:rPr>
        <w:t> </w:t>
      </w:r>
      <w:r w:rsidR="000D5D68" w:rsidRPr="00C60977">
        <w:rPr>
          <w:szCs w:val="22"/>
        </w:rPr>
        <w:t>to</w:t>
      </w:r>
      <w:r w:rsidR="0037171B">
        <w:rPr>
          <w:szCs w:val="22"/>
        </w:rPr>
        <w:t> </w:t>
      </w:r>
      <w:r w:rsidR="000D5D68" w:rsidRPr="00C60977">
        <w:rPr>
          <w:szCs w:val="22"/>
        </w:rPr>
        <w:t xml:space="preserve">WEMWBS, což představuje </w:t>
      </w:r>
      <w:proofErr w:type="spellStart"/>
      <w:r w:rsidR="000D5D68" w:rsidRPr="00C60977">
        <w:rPr>
          <w:szCs w:val="22"/>
        </w:rPr>
        <w:t>Warwick</w:t>
      </w:r>
      <w:proofErr w:type="spellEnd"/>
      <w:r w:rsidR="00A86153">
        <w:rPr>
          <w:szCs w:val="22"/>
        </w:rPr>
        <w:t>-</w:t>
      </w:r>
      <w:r w:rsidR="000D5D68" w:rsidRPr="00C60977">
        <w:rPr>
          <w:szCs w:val="22"/>
        </w:rPr>
        <w:t xml:space="preserve">Edinburgh </w:t>
      </w:r>
      <w:proofErr w:type="spellStart"/>
      <w:r w:rsidR="000D5D68" w:rsidRPr="00C60977">
        <w:rPr>
          <w:szCs w:val="22"/>
        </w:rPr>
        <w:t>Mental</w:t>
      </w:r>
      <w:proofErr w:type="spellEnd"/>
      <w:r w:rsidR="000D5D68" w:rsidRPr="00C60977">
        <w:rPr>
          <w:szCs w:val="22"/>
        </w:rPr>
        <w:t xml:space="preserve"> </w:t>
      </w:r>
      <w:proofErr w:type="spellStart"/>
      <w:r w:rsidR="000D5D68" w:rsidRPr="00C60977">
        <w:rPr>
          <w:szCs w:val="22"/>
        </w:rPr>
        <w:t>Well-Being</w:t>
      </w:r>
      <w:proofErr w:type="spellEnd"/>
      <w:r w:rsidR="000D5D68" w:rsidRPr="00C60977">
        <w:rPr>
          <w:szCs w:val="22"/>
        </w:rPr>
        <w:t xml:space="preserve"> </w:t>
      </w:r>
      <w:proofErr w:type="spellStart"/>
      <w:r w:rsidR="000D5D68" w:rsidRPr="00C60977">
        <w:rPr>
          <w:szCs w:val="22"/>
        </w:rPr>
        <w:t>Scale</w:t>
      </w:r>
      <w:proofErr w:type="spellEnd"/>
      <w:r w:rsidR="000D5D68" w:rsidRPr="00C60977">
        <w:rPr>
          <w:szCs w:val="22"/>
        </w:rPr>
        <w:t xml:space="preserve"> (v</w:t>
      </w:r>
      <w:r>
        <w:rPr>
          <w:szCs w:val="22"/>
        </w:rPr>
        <w:t> </w:t>
      </w:r>
      <w:r w:rsidR="000D5D68" w:rsidRPr="00C60977">
        <w:rPr>
          <w:szCs w:val="22"/>
        </w:rPr>
        <w:t xml:space="preserve">překladu </w:t>
      </w:r>
      <w:proofErr w:type="spellStart"/>
      <w:r w:rsidR="000D5D68" w:rsidRPr="00C60977">
        <w:rPr>
          <w:szCs w:val="22"/>
        </w:rPr>
        <w:t>Warwick</w:t>
      </w:r>
      <w:proofErr w:type="spellEnd"/>
      <w:r w:rsidR="000D5D68" w:rsidRPr="00C60977">
        <w:rPr>
          <w:szCs w:val="22"/>
        </w:rPr>
        <w:t>-Edinburgh měřítko duševní pohody). Toto měřítko obsahuje 14 pozitivně formulovaných položek, navržených k měření jak pocitů, tak funkční</w:t>
      </w:r>
      <w:r w:rsidR="00BB7805">
        <w:rPr>
          <w:szCs w:val="22"/>
        </w:rPr>
        <w:t>ch</w:t>
      </w:r>
      <w:r w:rsidR="000D5D68" w:rsidRPr="00C60977">
        <w:rPr>
          <w:szCs w:val="22"/>
        </w:rPr>
        <w:t xml:space="preserve"> aspekt</w:t>
      </w:r>
      <w:r w:rsidR="00BB7805">
        <w:rPr>
          <w:szCs w:val="22"/>
        </w:rPr>
        <w:t>ů</w:t>
      </w:r>
      <w:r w:rsidR="000D5D68" w:rsidRPr="00C60977">
        <w:rPr>
          <w:szCs w:val="22"/>
        </w:rPr>
        <w:t xml:space="preserve"> positivní duševní </w:t>
      </w:r>
      <w:r w:rsidR="000D5D68" w:rsidRPr="00390FD2">
        <w:rPr>
          <w:szCs w:val="22"/>
        </w:rPr>
        <w:t xml:space="preserve">pohody. </w:t>
      </w:r>
      <w:r w:rsidR="000D5D68" w:rsidRPr="00C60977">
        <w:rPr>
          <w:szCs w:val="22"/>
        </w:rPr>
        <w:t xml:space="preserve">Účastníci tohoto měření jsou vyzváni, aby </w:t>
      </w:r>
      <w:r w:rsidR="00BB7805">
        <w:rPr>
          <w:szCs w:val="22"/>
        </w:rPr>
        <w:t>zvolili</w:t>
      </w:r>
      <w:r w:rsidR="000D5D68" w:rsidRPr="00C60977">
        <w:rPr>
          <w:szCs w:val="22"/>
        </w:rPr>
        <w:t xml:space="preserve"> odpověď, která nejvíce popisuje jejich zkušenosti za</w:t>
      </w:r>
      <w:r w:rsidR="00D651EF" w:rsidRPr="00C60977">
        <w:rPr>
          <w:szCs w:val="22"/>
        </w:rPr>
        <w:t> </w:t>
      </w:r>
      <w:r w:rsidR="000D5D68" w:rsidRPr="00C60977">
        <w:rPr>
          <w:szCs w:val="22"/>
        </w:rPr>
        <w:t>poslední dva týdny</w:t>
      </w:r>
      <w:r w:rsidR="00BB7805">
        <w:rPr>
          <w:szCs w:val="22"/>
        </w:rPr>
        <w:t xml:space="preserve"> (pro</w:t>
      </w:r>
      <w:r w:rsidR="000D5D68" w:rsidRPr="00C60977">
        <w:rPr>
          <w:szCs w:val="22"/>
        </w:rPr>
        <w:t xml:space="preserve"> všech 14 položek</w:t>
      </w:r>
      <w:r w:rsidR="00BB7805">
        <w:rPr>
          <w:szCs w:val="22"/>
        </w:rPr>
        <w:t>)</w:t>
      </w:r>
      <w:r w:rsidR="000D5D68" w:rsidRPr="00C60977">
        <w:rPr>
          <w:szCs w:val="22"/>
        </w:rPr>
        <w:t>, použitím pěti-bodové škály. Vyhodnocení probíhá na základě výsledku konečného skóre (mezi</w:t>
      </w:r>
      <w:r w:rsidR="00F635D8">
        <w:rPr>
          <w:szCs w:val="22"/>
        </w:rPr>
        <w:t xml:space="preserve"> 14–70</w:t>
      </w:r>
      <w:r w:rsidR="000D5D68" w:rsidRPr="00C60977">
        <w:rPr>
          <w:szCs w:val="22"/>
        </w:rPr>
        <w:t>), čím je výsledek vyšší, tím je duševní pohoda jedince větší. (</w:t>
      </w:r>
      <w:proofErr w:type="spellStart"/>
      <w:r w:rsidR="000D5D68" w:rsidRPr="00C60977">
        <w:rPr>
          <w:szCs w:val="22"/>
        </w:rPr>
        <w:t>Mental</w:t>
      </w:r>
      <w:proofErr w:type="spellEnd"/>
      <w:r w:rsidR="000D5D68" w:rsidRPr="00C60977">
        <w:rPr>
          <w:szCs w:val="22"/>
        </w:rPr>
        <w:t xml:space="preserve"> </w:t>
      </w:r>
      <w:proofErr w:type="spellStart"/>
      <w:r w:rsidR="000D5D68" w:rsidRPr="00C60977">
        <w:rPr>
          <w:szCs w:val="22"/>
        </w:rPr>
        <w:t>Health</w:t>
      </w:r>
      <w:proofErr w:type="spellEnd"/>
      <w:r w:rsidR="000D5D68" w:rsidRPr="00C60977">
        <w:rPr>
          <w:szCs w:val="22"/>
        </w:rPr>
        <w:t xml:space="preserve"> </w:t>
      </w:r>
      <w:proofErr w:type="spellStart"/>
      <w:r w:rsidR="000D5D68" w:rsidRPr="00C60977">
        <w:rPr>
          <w:szCs w:val="22"/>
        </w:rPr>
        <w:t>Foundarion</w:t>
      </w:r>
      <w:proofErr w:type="spellEnd"/>
      <w:r w:rsidR="000D5D68" w:rsidRPr="00C60977">
        <w:rPr>
          <w:szCs w:val="22"/>
        </w:rPr>
        <w:t>, 2015); (</w:t>
      </w:r>
      <w:proofErr w:type="spellStart"/>
      <w:r w:rsidR="000D5D68" w:rsidRPr="00C60977">
        <w:rPr>
          <w:szCs w:val="22"/>
        </w:rPr>
        <w:t>Wellbeing</w:t>
      </w:r>
      <w:proofErr w:type="spellEnd"/>
      <w:r w:rsidR="000D5D68" w:rsidRPr="00C60977">
        <w:rPr>
          <w:szCs w:val="22"/>
        </w:rPr>
        <w:t xml:space="preserve"> </w:t>
      </w:r>
      <w:proofErr w:type="spellStart"/>
      <w:r w:rsidR="000D5D68" w:rsidRPr="00C60977">
        <w:rPr>
          <w:szCs w:val="22"/>
        </w:rPr>
        <w:t>People</w:t>
      </w:r>
      <w:proofErr w:type="spellEnd"/>
      <w:r w:rsidR="000D5D68" w:rsidRPr="00C60977">
        <w:rPr>
          <w:szCs w:val="22"/>
        </w:rPr>
        <w:t xml:space="preserve">, 2018); (Psychology </w:t>
      </w:r>
      <w:proofErr w:type="spellStart"/>
      <w:r w:rsidR="000D5D68" w:rsidRPr="00C60977">
        <w:rPr>
          <w:szCs w:val="22"/>
        </w:rPr>
        <w:t>Today</w:t>
      </w:r>
      <w:proofErr w:type="spellEnd"/>
      <w:r w:rsidR="000D5D68" w:rsidRPr="00C60977">
        <w:rPr>
          <w:szCs w:val="22"/>
        </w:rPr>
        <w:t>, 2019).</w:t>
      </w:r>
    </w:p>
    <w:p w14:paraId="1BFD1247" w14:textId="5C4EE8C5" w:rsidR="009E1580" w:rsidRDefault="009E1580" w:rsidP="003523E2">
      <w:pPr>
        <w:spacing w:before="120" w:after="240" w:line="360" w:lineRule="auto"/>
        <w:ind w:firstLine="360"/>
        <w:jc w:val="both"/>
        <w:rPr>
          <w:szCs w:val="22"/>
        </w:rPr>
      </w:pPr>
      <w:r>
        <w:t xml:space="preserve">Pokud budeme blahobyt brát z ekonomického pohledu, </w:t>
      </w:r>
      <w:r w:rsidR="00A41545">
        <w:t>tak</w:t>
      </w:r>
      <w:r>
        <w:t xml:space="preserve"> </w:t>
      </w:r>
      <w:r w:rsidRPr="00C60977">
        <w:t xml:space="preserve">je propojen s hrubým domácím produktem, z tohoto důvodu se zahrnuje i do životní úrovně. Pod </w:t>
      </w:r>
      <w:r w:rsidR="00A41545">
        <w:t>blahobytem</w:t>
      </w:r>
      <w:r w:rsidRPr="00C60977">
        <w:t xml:space="preserve"> si</w:t>
      </w:r>
      <w:r w:rsidR="00A41545">
        <w:t> </w:t>
      </w:r>
      <w:r w:rsidRPr="00C60977">
        <w:t>můžeme představit stav, kdy se jedinec cítí bezpečně, spokojeně, příjemně, zdravě a šťastně, stav, kdy</w:t>
      </w:r>
      <w:r w:rsidR="003523E2">
        <w:t> </w:t>
      </w:r>
      <w:r w:rsidRPr="00C60977">
        <w:t xml:space="preserve">má dostatek statků a služeb. Pokud </w:t>
      </w:r>
      <w:r w:rsidR="002F3694">
        <w:t xml:space="preserve">je na tento pojem nahlíženo </w:t>
      </w:r>
      <w:r>
        <w:t>z</w:t>
      </w:r>
      <w:r w:rsidRPr="00C60977">
        <w:t xml:space="preserve"> ekonomického pohledu, </w:t>
      </w:r>
      <w:r w:rsidR="002F3694">
        <w:t>pak</w:t>
      </w:r>
      <w:r w:rsidRPr="00C60977">
        <w:t xml:space="preserve"> blahobyt znamená dosažení maximální spokojenosti v průběhu technologických, kapitálových a časových omezení. Dá se říci, že z ekonomického pohledu se jedná o</w:t>
      </w:r>
      <w:r w:rsidR="003523E2">
        <w:t> </w:t>
      </w:r>
      <w:r w:rsidRPr="00C60977">
        <w:t xml:space="preserve">realističtější pojetí blahobytu. Pokud jedinec chce </w:t>
      </w:r>
      <w:r>
        <w:t>dosáhnout určitého cíle</w:t>
      </w:r>
      <w:r w:rsidRPr="00C60977">
        <w:t>, musí něco jiného obětovat.</w:t>
      </w:r>
      <w:r>
        <w:t xml:space="preserve"> </w:t>
      </w:r>
      <w:r>
        <w:rPr>
          <w:szCs w:val="22"/>
        </w:rPr>
        <w:t xml:space="preserve">(Holman, </w:t>
      </w:r>
      <w:r w:rsidRPr="002F7FCC">
        <w:rPr>
          <w:color w:val="222222"/>
        </w:rPr>
        <w:t>20</w:t>
      </w:r>
      <w:r>
        <w:rPr>
          <w:color w:val="222222"/>
        </w:rPr>
        <w:t>11</w:t>
      </w:r>
      <w:r w:rsidRPr="00C60977">
        <w:rPr>
          <w:szCs w:val="22"/>
        </w:rPr>
        <w:t>)</w:t>
      </w:r>
      <w:r>
        <w:rPr>
          <w:szCs w:val="22"/>
        </w:rPr>
        <w:t>.</w:t>
      </w:r>
    </w:p>
    <w:p w14:paraId="292DD215" w14:textId="7E265227" w:rsidR="009E1580" w:rsidRDefault="009E1580" w:rsidP="009E1580">
      <w:pPr>
        <w:spacing w:before="120" w:after="240" w:line="360" w:lineRule="auto"/>
        <w:ind w:firstLine="454"/>
        <w:jc w:val="both"/>
      </w:pPr>
      <w:r>
        <w:t>D</w:t>
      </w:r>
      <w:r w:rsidRPr="00C60977">
        <w:t>osažení blahobytu je čistě individuální, neboť každý člověk je originál a co jeden člověk bere za pocit blahobytu může být naprosto rozdílné od ostatních lidí. Vše totiž vychází z toho, že každý člověk má rozdílné cíle, ambice a rozdílnou osobnost. I přes ono subjektivní</w:t>
      </w:r>
      <w:r>
        <w:t xml:space="preserve"> </w:t>
      </w:r>
      <w:r w:rsidRPr="00C60977">
        <w:t xml:space="preserve">vnímání blahobytu můžeme blahobyt aproximovat. </w:t>
      </w:r>
      <w:r w:rsidRPr="00C60977">
        <w:rPr>
          <w:szCs w:val="22"/>
        </w:rPr>
        <w:t>(</w:t>
      </w:r>
      <w:proofErr w:type="spellStart"/>
      <w:r w:rsidRPr="00C60977">
        <w:rPr>
          <w:szCs w:val="22"/>
        </w:rPr>
        <w:t>Mental</w:t>
      </w:r>
      <w:proofErr w:type="spellEnd"/>
      <w:r w:rsidRPr="00C60977">
        <w:rPr>
          <w:szCs w:val="22"/>
        </w:rPr>
        <w:t xml:space="preserve"> </w:t>
      </w:r>
      <w:proofErr w:type="spellStart"/>
      <w:r w:rsidRPr="00C60977">
        <w:rPr>
          <w:szCs w:val="22"/>
        </w:rPr>
        <w:t>Health</w:t>
      </w:r>
      <w:proofErr w:type="spellEnd"/>
      <w:r w:rsidRPr="00C60977">
        <w:rPr>
          <w:szCs w:val="22"/>
        </w:rPr>
        <w:t xml:space="preserve"> </w:t>
      </w:r>
      <w:proofErr w:type="spellStart"/>
      <w:r w:rsidRPr="00C60977">
        <w:rPr>
          <w:szCs w:val="22"/>
        </w:rPr>
        <w:t>Foundarion</w:t>
      </w:r>
      <w:proofErr w:type="spellEnd"/>
      <w:r w:rsidRPr="00C60977">
        <w:rPr>
          <w:szCs w:val="22"/>
        </w:rPr>
        <w:t>, 2015)</w:t>
      </w:r>
      <w:r>
        <w:rPr>
          <w:szCs w:val="22"/>
        </w:rPr>
        <w:t>.</w:t>
      </w:r>
    </w:p>
    <w:p w14:paraId="68756ECF" w14:textId="6FE3F47D" w:rsidR="00F16F17" w:rsidRDefault="009E1580" w:rsidP="00F16F17">
      <w:pPr>
        <w:spacing w:before="120" w:after="240" w:line="360" w:lineRule="auto"/>
        <w:ind w:firstLine="454"/>
        <w:jc w:val="both"/>
        <w:rPr>
          <w:rFonts w:eastAsiaTheme="minorEastAsia"/>
          <w:sz w:val="20"/>
          <w:szCs w:val="20"/>
        </w:rPr>
      </w:pPr>
      <w:r w:rsidRPr="00C60977">
        <w:t>Z makroekonomického hlediska nepovažujeme blahobyt za měřitelnou veličinu, neboť zahrnuje faktory, jež nemůžeme změřit, např. užitek z volného času, či užitek z čistého ovzduší. V</w:t>
      </w:r>
      <w:r>
        <w:t> takovém to případě si lze vyjádřit blahobyt následující rovnicí</w:t>
      </w:r>
      <w:r w:rsidR="002F3694">
        <w:t xml:space="preserve">. </w:t>
      </w:r>
      <w:r>
        <w:t>(</w:t>
      </w:r>
      <w:r>
        <w:rPr>
          <w:szCs w:val="22"/>
        </w:rPr>
        <w:t xml:space="preserve">Holman, </w:t>
      </w:r>
      <w:r w:rsidRPr="002F7FCC">
        <w:rPr>
          <w:color w:val="222222"/>
        </w:rPr>
        <w:t>20</w:t>
      </w:r>
      <w:r>
        <w:rPr>
          <w:color w:val="222222"/>
        </w:rPr>
        <w:t>11</w:t>
      </w:r>
      <w:r w:rsidRPr="00C60977">
        <w:rPr>
          <w:szCs w:val="22"/>
        </w:rPr>
        <w:t>)</w:t>
      </w:r>
      <w:r>
        <w:rPr>
          <w:szCs w:val="22"/>
        </w:rPr>
        <w:t>.</w:t>
      </w:r>
      <w:r w:rsidR="00F16F17" w:rsidRPr="00F16F17">
        <w:rPr>
          <w:rFonts w:eastAsiaTheme="minorEastAsia"/>
          <w:sz w:val="20"/>
          <w:szCs w:val="20"/>
        </w:rPr>
        <w:t xml:space="preserve"> </w:t>
      </w:r>
    </w:p>
    <w:p w14:paraId="17274F5B" w14:textId="77777777" w:rsidR="000263E8" w:rsidRDefault="000263E8" w:rsidP="00F16F17">
      <w:pPr>
        <w:spacing w:before="120" w:after="240" w:line="360" w:lineRule="auto"/>
        <w:ind w:firstLine="454"/>
        <w:jc w:val="both"/>
        <w:rPr>
          <w:rFonts w:eastAsiaTheme="minorEastAsia"/>
          <w:sz w:val="20"/>
          <w:szCs w:val="20"/>
        </w:rPr>
      </w:pPr>
    </w:p>
    <w:p w14:paraId="1A36DD4C" w14:textId="47E89973" w:rsidR="00F16F17" w:rsidRPr="000263E8" w:rsidRDefault="00F16F17" w:rsidP="000263E8">
      <w:pPr>
        <w:jc w:val="right"/>
        <w:rPr>
          <w:rFonts w:eastAsiaTheme="minorEastAsia"/>
          <w:sz w:val="20"/>
          <w:szCs w:val="20"/>
        </w:rPr>
      </w:pPr>
      <m:oMath>
        <m:r>
          <w:rPr>
            <w:rFonts w:ascii="Cambria Math" w:hAnsi="Cambria Math"/>
            <w:sz w:val="20"/>
            <w:szCs w:val="20"/>
          </w:rPr>
          <m:t>BLAHOBYT=PRODUKT+PŘÍRŮSTEK VOLNÉHO ČASU-ZHORŠENÍ KVALITY ŽIV. PROSTŘEDÍ</m:t>
        </m:r>
      </m:oMath>
      <w:r w:rsidR="000263E8" w:rsidRPr="000263E8">
        <w:rPr>
          <w:rFonts w:eastAsiaTheme="minorEastAsia"/>
          <w:sz w:val="20"/>
          <w:szCs w:val="20"/>
        </w:rPr>
        <w:t xml:space="preserve">    </w:t>
      </w:r>
      <w:r w:rsidR="000263E8" w:rsidRPr="000263E8">
        <w:rPr>
          <w:rFonts w:eastAsiaTheme="minorEastAsia"/>
          <w:sz w:val="22"/>
          <w:szCs w:val="22"/>
        </w:rPr>
        <w:t>(1)</w:t>
      </w:r>
    </w:p>
    <w:p w14:paraId="727C33A9" w14:textId="36168D48" w:rsidR="003523E2" w:rsidRDefault="003523E2" w:rsidP="003523E2"/>
    <w:p w14:paraId="2BAF139E" w14:textId="0EB758F3" w:rsidR="009E1580" w:rsidRPr="00FA4284" w:rsidRDefault="009E1580" w:rsidP="00FA4284">
      <w:pPr>
        <w:spacing w:before="120" w:after="240"/>
      </w:pPr>
    </w:p>
    <w:p w14:paraId="4DA85502" w14:textId="43E6AC5F" w:rsidR="00C77C61" w:rsidRPr="00C77C61" w:rsidRDefault="000D5D68" w:rsidP="000263E8">
      <w:pPr>
        <w:pStyle w:val="Nadpis2"/>
        <w:spacing w:before="120" w:after="240"/>
        <w:ind w:left="578" w:hanging="578"/>
      </w:pPr>
      <w:bookmarkStart w:id="8" w:name="_Toc46142330"/>
      <w:r w:rsidRPr="00C60977">
        <w:lastRenderedPageBreak/>
        <w:t>CHUDOBA</w:t>
      </w:r>
      <w:bookmarkEnd w:id="8"/>
    </w:p>
    <w:p w14:paraId="4025E6B0" w14:textId="77777777" w:rsidR="00F635D8" w:rsidRDefault="000D5D68" w:rsidP="00F635D8">
      <w:pPr>
        <w:spacing w:before="120" w:after="240" w:line="360" w:lineRule="auto"/>
        <w:ind w:firstLine="454"/>
        <w:jc w:val="both"/>
        <w:rPr>
          <w:szCs w:val="22"/>
        </w:rPr>
      </w:pPr>
      <w:r w:rsidRPr="00C60977">
        <w:rPr>
          <w:szCs w:val="22"/>
        </w:rPr>
        <w:t xml:space="preserve">Chudoba je jedním z hlavních problémů, s kterým se samotné lidstvo setkává prakticky od počátku jeho vzniku. </w:t>
      </w:r>
      <w:r w:rsidR="000D452C">
        <w:rPr>
          <w:szCs w:val="22"/>
        </w:rPr>
        <w:t xml:space="preserve">Chudobou se rozumí stav, kdy jedinec nedokáže </w:t>
      </w:r>
      <w:r w:rsidR="004F683F">
        <w:rPr>
          <w:szCs w:val="22"/>
        </w:rPr>
        <w:t xml:space="preserve">v </w:t>
      </w:r>
      <w:r w:rsidR="005962F1">
        <w:rPr>
          <w:szCs w:val="22"/>
        </w:rPr>
        <w:t>důsledku</w:t>
      </w:r>
      <w:r w:rsidR="000D452C">
        <w:rPr>
          <w:szCs w:val="22"/>
        </w:rPr>
        <w:t xml:space="preserve"> nedostatku finančních zdrojů zabezpečit své základní životní potřeby na přijatelné úrovni.</w:t>
      </w:r>
      <w:r w:rsidR="0037171B">
        <w:rPr>
          <w:szCs w:val="22"/>
        </w:rPr>
        <w:t xml:space="preserve"> </w:t>
      </w:r>
      <w:r w:rsidR="000D452C">
        <w:rPr>
          <w:szCs w:val="22"/>
        </w:rPr>
        <w:t>(Tomeš, 1996).</w:t>
      </w:r>
    </w:p>
    <w:p w14:paraId="1540A090" w14:textId="7C28E8D1" w:rsidR="00FA4284" w:rsidRDefault="000D5D68" w:rsidP="00F16F17">
      <w:pPr>
        <w:spacing w:before="120" w:after="240" w:line="360" w:lineRule="auto"/>
        <w:ind w:firstLine="454"/>
        <w:jc w:val="both"/>
        <w:rPr>
          <w:szCs w:val="22"/>
        </w:rPr>
      </w:pPr>
      <w:r w:rsidRPr="00C60977">
        <w:rPr>
          <w:szCs w:val="22"/>
        </w:rPr>
        <w:t xml:space="preserve">Jedním z primárních úkolů, který musejí všechny vyspělé </w:t>
      </w:r>
      <w:r w:rsidRPr="00C77C61">
        <w:rPr>
          <w:szCs w:val="22"/>
        </w:rPr>
        <w:t>společnosti řešit</w:t>
      </w:r>
      <w:r w:rsidR="00C77C61" w:rsidRPr="00C77C61">
        <w:rPr>
          <w:szCs w:val="22"/>
        </w:rPr>
        <w:t>,</w:t>
      </w:r>
      <w:r w:rsidRPr="00C77C61">
        <w:rPr>
          <w:szCs w:val="22"/>
        </w:rPr>
        <w:t xml:space="preserve"> je tvorba určitých </w:t>
      </w:r>
      <w:r w:rsidRPr="00C60977">
        <w:rPr>
          <w:szCs w:val="22"/>
        </w:rPr>
        <w:t>„příruček a postupů“, jak postupovat</w:t>
      </w:r>
      <w:r w:rsidR="00307FE6">
        <w:rPr>
          <w:szCs w:val="22"/>
        </w:rPr>
        <w:t xml:space="preserve"> a </w:t>
      </w:r>
      <w:r w:rsidRPr="00C60977">
        <w:rPr>
          <w:szCs w:val="22"/>
        </w:rPr>
        <w:t xml:space="preserve">řešit situaci chudoby, a zároveň </w:t>
      </w:r>
      <w:r w:rsidR="00C44FFD">
        <w:rPr>
          <w:szCs w:val="22"/>
        </w:rPr>
        <w:t>nutnosti</w:t>
      </w:r>
      <w:r w:rsidRPr="00C60977">
        <w:rPr>
          <w:szCs w:val="22"/>
        </w:rPr>
        <w:t xml:space="preserve"> dbát na</w:t>
      </w:r>
      <w:r w:rsidR="0037171B">
        <w:rPr>
          <w:szCs w:val="22"/>
        </w:rPr>
        <w:t> </w:t>
      </w:r>
      <w:r w:rsidRPr="00C60977">
        <w:rPr>
          <w:szCs w:val="22"/>
        </w:rPr>
        <w:t xml:space="preserve">tvorbu podmínek a takového prostředí, které by mohlo vést ke vzniku chudoby. Jak postoj společnosti </w:t>
      </w:r>
      <w:r w:rsidRPr="00C77C61">
        <w:rPr>
          <w:szCs w:val="22"/>
        </w:rPr>
        <w:t>k chudobě, tak</w:t>
      </w:r>
      <w:r w:rsidR="00EB2C18">
        <w:rPr>
          <w:szCs w:val="22"/>
        </w:rPr>
        <w:t> </w:t>
      </w:r>
      <w:r w:rsidRPr="00C77C61">
        <w:rPr>
          <w:szCs w:val="22"/>
        </w:rPr>
        <w:t>nástroje řešící chudobu i míra prostředků, jež jsou rozděleny pro její řešení</w:t>
      </w:r>
      <w:r w:rsidR="00C77C61" w:rsidRPr="00C77C61">
        <w:rPr>
          <w:szCs w:val="22"/>
        </w:rPr>
        <w:t>,</w:t>
      </w:r>
      <w:r w:rsidR="00C77C61">
        <w:rPr>
          <w:szCs w:val="22"/>
        </w:rPr>
        <w:t xml:space="preserve"> </w:t>
      </w:r>
      <w:r w:rsidRPr="00C77C61">
        <w:rPr>
          <w:szCs w:val="22"/>
        </w:rPr>
        <w:t xml:space="preserve">razantně poznamenává danou podobu a </w:t>
      </w:r>
      <w:r w:rsidRPr="00C60977">
        <w:rPr>
          <w:szCs w:val="22"/>
        </w:rPr>
        <w:t xml:space="preserve">charakter sociální politiky. </w:t>
      </w:r>
    </w:p>
    <w:p w14:paraId="21F1F177" w14:textId="60FC8352" w:rsidR="00C44FFD" w:rsidRPr="002F3694" w:rsidRDefault="000D5D68" w:rsidP="0096346A">
      <w:pPr>
        <w:spacing w:before="120" w:after="240" w:line="360" w:lineRule="auto"/>
        <w:jc w:val="both"/>
        <w:rPr>
          <w:b/>
          <w:bCs/>
        </w:rPr>
      </w:pPr>
      <w:r w:rsidRPr="002F3694">
        <w:rPr>
          <w:b/>
          <w:bCs/>
          <w:szCs w:val="22"/>
        </w:rPr>
        <w:t>Společnost musí k </w:t>
      </w:r>
      <w:r w:rsidRPr="002F3694">
        <w:rPr>
          <w:b/>
          <w:bCs/>
        </w:rPr>
        <w:t>chudobě přistupovat a respektovat zejména dvě skutečnosti</w:t>
      </w:r>
      <w:r w:rsidR="00C44FFD" w:rsidRPr="002F3694">
        <w:rPr>
          <w:b/>
          <w:bCs/>
        </w:rPr>
        <w:t>:</w:t>
      </w:r>
    </w:p>
    <w:p w14:paraId="10B40F62" w14:textId="0FBA05A0" w:rsidR="00C44FFD" w:rsidRPr="002F3694" w:rsidRDefault="00C44FFD" w:rsidP="00AA5473">
      <w:pPr>
        <w:pStyle w:val="Odstavecseseznamem"/>
        <w:numPr>
          <w:ilvl w:val="0"/>
          <w:numId w:val="14"/>
        </w:numPr>
        <w:spacing w:before="120" w:after="240"/>
        <w:rPr>
          <w:b/>
          <w:bCs/>
          <w:i/>
          <w:iCs/>
          <w:sz w:val="24"/>
        </w:rPr>
      </w:pPr>
      <w:r w:rsidRPr="002F3694">
        <w:rPr>
          <w:b/>
          <w:bCs/>
          <w:i/>
          <w:iCs/>
          <w:sz w:val="24"/>
        </w:rPr>
        <w:t>Etické normy a přístupy,</w:t>
      </w:r>
    </w:p>
    <w:p w14:paraId="6E767934" w14:textId="0848607B" w:rsidR="00C44FFD" w:rsidRPr="00F16F17" w:rsidRDefault="00C44FFD" w:rsidP="00C44FFD">
      <w:pPr>
        <w:pStyle w:val="Odstavecseseznamem"/>
        <w:spacing w:before="120" w:after="240"/>
        <w:ind w:firstLine="0"/>
        <w:rPr>
          <w:i/>
          <w:iCs/>
          <w:sz w:val="24"/>
        </w:rPr>
      </w:pPr>
      <w:r w:rsidRPr="00F16F17">
        <w:rPr>
          <w:i/>
          <w:iCs/>
          <w:sz w:val="24"/>
        </w:rPr>
        <w:t>jež jsou založeny na myšlenkách humanismu a respektu lidských práv.</w:t>
      </w:r>
    </w:p>
    <w:p w14:paraId="5BA9F0D9" w14:textId="44E5E81D" w:rsidR="00C44FFD" w:rsidRPr="002F3694" w:rsidRDefault="00C44FFD" w:rsidP="00AA5473">
      <w:pPr>
        <w:pStyle w:val="Odstavecseseznamem"/>
        <w:numPr>
          <w:ilvl w:val="0"/>
          <w:numId w:val="14"/>
        </w:numPr>
        <w:spacing w:before="120" w:after="240"/>
        <w:rPr>
          <w:b/>
          <w:bCs/>
          <w:i/>
          <w:iCs/>
          <w:sz w:val="24"/>
        </w:rPr>
      </w:pPr>
      <w:r w:rsidRPr="002F3694">
        <w:rPr>
          <w:b/>
          <w:bCs/>
          <w:i/>
          <w:iCs/>
          <w:sz w:val="24"/>
        </w:rPr>
        <w:t>Následky chudoby,</w:t>
      </w:r>
    </w:p>
    <w:p w14:paraId="43066B17" w14:textId="03B31F95" w:rsidR="00C44FFD" w:rsidRPr="00F16F17" w:rsidRDefault="00C44FFD" w:rsidP="00C44FFD">
      <w:pPr>
        <w:pStyle w:val="Odstavecseseznamem"/>
        <w:spacing w:before="120" w:after="240"/>
        <w:ind w:firstLine="0"/>
        <w:rPr>
          <w:i/>
          <w:iCs/>
          <w:sz w:val="24"/>
        </w:rPr>
      </w:pPr>
      <w:r w:rsidRPr="00F16F17">
        <w:rPr>
          <w:i/>
          <w:iCs/>
          <w:sz w:val="24"/>
        </w:rPr>
        <w:t>jež jsou řešeny prostřednictvím rozvětveného systému nejrůznějších dávek, sociálních podpor a služeb.</w:t>
      </w:r>
    </w:p>
    <w:p w14:paraId="1B0CF54F" w14:textId="492C3A55" w:rsidR="0037171B" w:rsidRDefault="00C44FFD" w:rsidP="00C44FFD">
      <w:pPr>
        <w:spacing w:before="120" w:after="240" w:line="360" w:lineRule="auto"/>
        <w:ind w:firstLine="454"/>
        <w:jc w:val="both"/>
        <w:rPr>
          <w:szCs w:val="22"/>
        </w:rPr>
      </w:pPr>
      <w:r>
        <w:t>Etické normy a přístupy musejí</w:t>
      </w:r>
      <w:r w:rsidR="000D5D68" w:rsidRPr="00C60977">
        <w:rPr>
          <w:szCs w:val="22"/>
        </w:rPr>
        <w:t xml:space="preserve"> brát v potaz </w:t>
      </w:r>
      <w:r>
        <w:rPr>
          <w:szCs w:val="22"/>
        </w:rPr>
        <w:t xml:space="preserve">celou </w:t>
      </w:r>
      <w:r w:rsidR="000D5D68" w:rsidRPr="00C60977">
        <w:rPr>
          <w:szCs w:val="22"/>
        </w:rPr>
        <w:t>společnost</w:t>
      </w:r>
      <w:r>
        <w:rPr>
          <w:szCs w:val="22"/>
        </w:rPr>
        <w:t>. V</w:t>
      </w:r>
      <w:r w:rsidR="000D5D68" w:rsidRPr="00C60977">
        <w:rPr>
          <w:szCs w:val="22"/>
        </w:rPr>
        <w:t xml:space="preserve"> podstatě </w:t>
      </w:r>
      <w:r>
        <w:rPr>
          <w:szCs w:val="22"/>
        </w:rPr>
        <w:t xml:space="preserve">se jedná </w:t>
      </w:r>
      <w:r w:rsidR="000D5D68" w:rsidRPr="00C60977">
        <w:rPr>
          <w:szCs w:val="22"/>
        </w:rPr>
        <w:t>o</w:t>
      </w:r>
      <w:r w:rsidR="00C77C61">
        <w:rPr>
          <w:szCs w:val="22"/>
        </w:rPr>
        <w:t> </w:t>
      </w:r>
      <w:r w:rsidR="000D5D68" w:rsidRPr="00C60977">
        <w:rPr>
          <w:szCs w:val="22"/>
        </w:rPr>
        <w:t xml:space="preserve">formulaci sociální spravedlnosti, tzn. že </w:t>
      </w:r>
      <w:r w:rsidR="00F55BC9">
        <w:rPr>
          <w:szCs w:val="22"/>
        </w:rPr>
        <w:t>lidé</w:t>
      </w:r>
      <w:r w:rsidR="000D5D68" w:rsidRPr="00C60977">
        <w:rPr>
          <w:szCs w:val="22"/>
        </w:rPr>
        <w:t xml:space="preserve"> nacházející se v chudobě </w:t>
      </w:r>
      <w:r w:rsidR="00F55BC9">
        <w:rPr>
          <w:szCs w:val="22"/>
        </w:rPr>
        <w:t>mají obdržet</w:t>
      </w:r>
      <w:r w:rsidR="000D5D68" w:rsidRPr="00C60977">
        <w:rPr>
          <w:szCs w:val="22"/>
        </w:rPr>
        <w:t xml:space="preserve"> jist</w:t>
      </w:r>
      <w:r w:rsidR="00F55BC9">
        <w:rPr>
          <w:szCs w:val="22"/>
        </w:rPr>
        <w:t>ou</w:t>
      </w:r>
      <w:r w:rsidR="000D5D68" w:rsidRPr="00C60977">
        <w:rPr>
          <w:szCs w:val="22"/>
        </w:rPr>
        <w:t xml:space="preserve"> pomoc pro zachování jejich lidské důstojnosti. </w:t>
      </w:r>
      <w:r>
        <w:rPr>
          <w:szCs w:val="22"/>
        </w:rPr>
        <w:t xml:space="preserve">U následků chudoby je nutné </w:t>
      </w:r>
      <w:r w:rsidR="000D5D68" w:rsidRPr="00C60977">
        <w:rPr>
          <w:szCs w:val="22"/>
        </w:rPr>
        <w:t>zvažovat i jisté makroekonomické souvislosti. Současně by však neměl nastat sociální parazitizmus, tzn. cíleně žít ze státních podpor (žít z práce ostatních, pracovitějších a</w:t>
      </w:r>
      <w:r w:rsidR="00C77C61">
        <w:rPr>
          <w:szCs w:val="22"/>
        </w:rPr>
        <w:t> </w:t>
      </w:r>
      <w:r w:rsidR="000D5D68" w:rsidRPr="00C60977">
        <w:rPr>
          <w:szCs w:val="22"/>
        </w:rPr>
        <w:t xml:space="preserve">zodpovědnějších jedinců). </w:t>
      </w:r>
      <w:r w:rsidR="002F3694">
        <w:rPr>
          <w:szCs w:val="22"/>
        </w:rPr>
        <w:t>Je tedy možné uvést</w:t>
      </w:r>
      <w:r w:rsidR="000D5D68" w:rsidRPr="00C60977">
        <w:rPr>
          <w:szCs w:val="22"/>
        </w:rPr>
        <w:t>, že chudoba je jev, který se objevuje nejen v myšlenkách humanismu, ale</w:t>
      </w:r>
      <w:r>
        <w:rPr>
          <w:szCs w:val="22"/>
        </w:rPr>
        <w:t> </w:t>
      </w:r>
      <w:r w:rsidR="000D5D68" w:rsidRPr="00C60977">
        <w:rPr>
          <w:szCs w:val="22"/>
        </w:rPr>
        <w:t>také současně je největším sociálně-ekonomickým dilematem (míra sociální nerovnosti vs.</w:t>
      </w:r>
      <w:r w:rsidR="00F55BC9">
        <w:rPr>
          <w:szCs w:val="22"/>
        </w:rPr>
        <w:t> </w:t>
      </w:r>
      <w:r w:rsidR="000D5D68" w:rsidRPr="00C60977">
        <w:rPr>
          <w:szCs w:val="22"/>
        </w:rPr>
        <w:t>dlouhodobá ekonomická prosperita). V současnosti je jak procento chudých, tak chudobou ohrožených jedinců stále vysoké, a to i ve vyspělejších zemích. Na</w:t>
      </w:r>
      <w:r w:rsidR="00C77C61">
        <w:rPr>
          <w:szCs w:val="22"/>
        </w:rPr>
        <w:t> </w:t>
      </w:r>
      <w:r w:rsidR="000D5D68" w:rsidRPr="00C60977">
        <w:rPr>
          <w:szCs w:val="22"/>
        </w:rPr>
        <w:t xml:space="preserve">základě toho můžeme tedy tvrdit, že chudoba je jev, jež bude civilizaci </w:t>
      </w:r>
      <w:r w:rsidR="00307FE6">
        <w:rPr>
          <w:szCs w:val="22"/>
        </w:rPr>
        <w:t xml:space="preserve">i </w:t>
      </w:r>
      <w:r w:rsidR="000D5D68" w:rsidRPr="00C60977">
        <w:rPr>
          <w:szCs w:val="22"/>
        </w:rPr>
        <w:t xml:space="preserve">nadále provázet, </w:t>
      </w:r>
      <w:r w:rsidR="00307FE6">
        <w:rPr>
          <w:szCs w:val="22"/>
        </w:rPr>
        <w:t>a</w:t>
      </w:r>
      <w:r w:rsidR="00C77C61">
        <w:rPr>
          <w:szCs w:val="22"/>
        </w:rPr>
        <w:t> </w:t>
      </w:r>
      <w:r w:rsidR="000D5D68" w:rsidRPr="00C60977">
        <w:rPr>
          <w:szCs w:val="22"/>
        </w:rPr>
        <w:t>už jen proto, že samotná chudoba je v tomto vyspělém světě brána jako relativní. Velmi znepokojující je chudoba v rozvojových zemích a současně i v některých postsocialistických zemí</w:t>
      </w:r>
      <w:r w:rsidR="005962F1">
        <w:rPr>
          <w:szCs w:val="22"/>
        </w:rPr>
        <w:t>ch</w:t>
      </w:r>
      <w:r w:rsidR="000D5D68" w:rsidRPr="00C60977">
        <w:rPr>
          <w:szCs w:val="22"/>
        </w:rPr>
        <w:t xml:space="preserve">. Za nejvážnější situaci považujeme tzv. extrémní chudobu, </w:t>
      </w:r>
      <w:r w:rsidR="00C77C61">
        <w:rPr>
          <w:szCs w:val="22"/>
        </w:rPr>
        <w:t>která</w:t>
      </w:r>
      <w:r w:rsidR="000D5D68" w:rsidRPr="00C60977">
        <w:rPr>
          <w:szCs w:val="22"/>
        </w:rPr>
        <w:t xml:space="preserve"> </w:t>
      </w:r>
      <w:r w:rsidR="00307FE6">
        <w:rPr>
          <w:szCs w:val="22"/>
        </w:rPr>
        <w:t>představuje</w:t>
      </w:r>
      <w:r w:rsidR="000D5D68" w:rsidRPr="00C60977">
        <w:rPr>
          <w:szCs w:val="22"/>
        </w:rPr>
        <w:t xml:space="preserve"> takové stádium chudoby, kdy jedinci nemají přístup k základním životním potřebám (jídlo, pitná voda, střecha nad hlavou,</w:t>
      </w:r>
      <w:r>
        <w:rPr>
          <w:szCs w:val="22"/>
        </w:rPr>
        <w:t> </w:t>
      </w:r>
      <w:r w:rsidR="000D5D68" w:rsidRPr="00C60977">
        <w:rPr>
          <w:szCs w:val="22"/>
        </w:rPr>
        <w:t>základní hygiena a zdravotní péče).</w:t>
      </w:r>
      <w:r w:rsidR="00C77C61">
        <w:rPr>
          <w:szCs w:val="22"/>
        </w:rPr>
        <w:t xml:space="preserve"> </w:t>
      </w:r>
      <w:r w:rsidR="00C77C61" w:rsidRPr="00C60977">
        <w:rPr>
          <w:szCs w:val="22"/>
        </w:rPr>
        <w:t>(Krebs a kol., 2015)</w:t>
      </w:r>
      <w:r w:rsidR="00C77C61">
        <w:rPr>
          <w:szCs w:val="22"/>
        </w:rPr>
        <w:t>.</w:t>
      </w:r>
      <w:r w:rsidR="005962F1">
        <w:rPr>
          <w:szCs w:val="22"/>
        </w:rPr>
        <w:t xml:space="preserve"> </w:t>
      </w:r>
    </w:p>
    <w:p w14:paraId="693D351D" w14:textId="36EBC8B6" w:rsidR="00F635D8" w:rsidRDefault="000D5D68" w:rsidP="0037171B">
      <w:pPr>
        <w:spacing w:before="120" w:after="240" w:line="360" w:lineRule="auto"/>
        <w:ind w:firstLine="454"/>
        <w:jc w:val="both"/>
        <w:rPr>
          <w:szCs w:val="22"/>
        </w:rPr>
      </w:pPr>
      <w:r w:rsidRPr="00C60977">
        <w:rPr>
          <w:szCs w:val="22"/>
        </w:rPr>
        <w:lastRenderedPageBreak/>
        <w:t xml:space="preserve">I když </w:t>
      </w:r>
      <w:r w:rsidR="002F3694">
        <w:rPr>
          <w:szCs w:val="22"/>
        </w:rPr>
        <w:t>budou porovnávány</w:t>
      </w:r>
      <w:r w:rsidRPr="00C60977">
        <w:rPr>
          <w:szCs w:val="22"/>
        </w:rPr>
        <w:t xml:space="preserve"> dvě </w:t>
      </w:r>
      <w:r w:rsidR="005962F1">
        <w:rPr>
          <w:szCs w:val="22"/>
        </w:rPr>
        <w:t>srovnatelně vyspělé</w:t>
      </w:r>
      <w:r w:rsidRPr="00C60977">
        <w:rPr>
          <w:szCs w:val="22"/>
        </w:rPr>
        <w:t xml:space="preserve"> země</w:t>
      </w:r>
      <w:r w:rsidR="005962F1">
        <w:rPr>
          <w:szCs w:val="22"/>
        </w:rPr>
        <w:t xml:space="preserve"> z pohledu chudoby</w:t>
      </w:r>
      <w:r w:rsidRPr="00C60977">
        <w:rPr>
          <w:szCs w:val="22"/>
        </w:rPr>
        <w:t xml:space="preserve"> (porovnání na základě celkových zdrojů), mohou</w:t>
      </w:r>
      <w:r w:rsidR="005962F1">
        <w:rPr>
          <w:szCs w:val="22"/>
        </w:rPr>
        <w:t xml:space="preserve"> se</w:t>
      </w:r>
      <w:r w:rsidRPr="00C60977">
        <w:rPr>
          <w:szCs w:val="22"/>
        </w:rPr>
        <w:t xml:space="preserve"> výrazně lišit v rozsahu sociálního problému chudoby, záleží totiž čistě na</w:t>
      </w:r>
      <w:r w:rsidR="00C77C61">
        <w:rPr>
          <w:szCs w:val="22"/>
        </w:rPr>
        <w:t> </w:t>
      </w:r>
      <w:r w:rsidRPr="00C60977">
        <w:rPr>
          <w:szCs w:val="22"/>
        </w:rPr>
        <w:t>způsobu rozdělení daných zdrojů. Pohled Evropy na chudobu je ovlivněn křesťanskou ideologií a tradicí, jež vyplývá z chápavého vztahu k chudobě a ze soucitu s chudými, a</w:t>
      </w:r>
      <w:r w:rsidR="00C77C61">
        <w:rPr>
          <w:szCs w:val="22"/>
        </w:rPr>
        <w:t> </w:t>
      </w:r>
      <w:r w:rsidRPr="00C60977">
        <w:rPr>
          <w:szCs w:val="22"/>
        </w:rPr>
        <w:t xml:space="preserve">zároveň z kritického vztahu k bohatým lidem. </w:t>
      </w:r>
      <w:r w:rsidR="002F3694">
        <w:rPr>
          <w:szCs w:val="22"/>
        </w:rPr>
        <w:t>Jak již bylo uvedeno</w:t>
      </w:r>
      <w:r w:rsidRPr="00C60977">
        <w:rPr>
          <w:szCs w:val="22"/>
        </w:rPr>
        <w:t>, jedním z</w:t>
      </w:r>
      <w:r w:rsidR="00F55BC9">
        <w:rPr>
          <w:szCs w:val="22"/>
        </w:rPr>
        <w:t> </w:t>
      </w:r>
      <w:r w:rsidRPr="00C60977">
        <w:rPr>
          <w:szCs w:val="22"/>
        </w:rPr>
        <w:t>úkolů sociální politiky je také prostřednictvím nějakého přijatelného způsobu zvládnout a</w:t>
      </w:r>
      <w:r w:rsidR="00F55BC9">
        <w:rPr>
          <w:szCs w:val="22"/>
        </w:rPr>
        <w:t> </w:t>
      </w:r>
      <w:r w:rsidRPr="00C60977">
        <w:rPr>
          <w:szCs w:val="22"/>
        </w:rPr>
        <w:t>snažit se</w:t>
      </w:r>
      <w:r w:rsidR="00C77C61">
        <w:rPr>
          <w:szCs w:val="22"/>
        </w:rPr>
        <w:t> </w:t>
      </w:r>
      <w:r w:rsidRPr="00C60977">
        <w:rPr>
          <w:szCs w:val="22"/>
        </w:rPr>
        <w:t xml:space="preserve">řešit chudobu, což je velmi </w:t>
      </w:r>
      <w:r w:rsidR="00307FE6">
        <w:rPr>
          <w:szCs w:val="22"/>
        </w:rPr>
        <w:t xml:space="preserve">obtížné a </w:t>
      </w:r>
      <w:r w:rsidRPr="00C60977">
        <w:rPr>
          <w:szCs w:val="22"/>
        </w:rPr>
        <w:t>složité. Sociální politika předpokládá, že všichni jsou schopni definovat chudobu, že ji můžeme empiricky změřit, že víme příčiny jejího vzniku a</w:t>
      </w:r>
      <w:r w:rsidR="00C77C61">
        <w:rPr>
          <w:szCs w:val="22"/>
        </w:rPr>
        <w:t> </w:t>
      </w:r>
      <w:r w:rsidR="00307FE6">
        <w:rPr>
          <w:szCs w:val="22"/>
        </w:rPr>
        <w:t>že</w:t>
      </w:r>
      <w:r w:rsidR="00C77C61">
        <w:rPr>
          <w:szCs w:val="22"/>
        </w:rPr>
        <w:t> </w:t>
      </w:r>
      <w:r w:rsidRPr="00C60977">
        <w:rPr>
          <w:szCs w:val="22"/>
        </w:rPr>
        <w:t>víme, jak ji řešit, a zároveň, že máme prostředky, jimiž ji lze v určité míře řešit. Ve všech situacích bude chudoba vždy prožívána subjektivně (každý vnímá chudobu jinak). I samotnou společností je chudoba vnímána odlišně. Společnost musí být schopna oddělit chudé od těch, kteří chudými nejsou a znát, jak chudí jedinci žijí</w:t>
      </w:r>
      <w:r w:rsidR="00307FE6">
        <w:rPr>
          <w:szCs w:val="22"/>
        </w:rPr>
        <w:t>. Teprve na</w:t>
      </w:r>
      <w:r w:rsidRPr="00C60977">
        <w:rPr>
          <w:szCs w:val="22"/>
        </w:rPr>
        <w:t> základě toho může poté volit a</w:t>
      </w:r>
      <w:r w:rsidR="00307FE6">
        <w:rPr>
          <w:szCs w:val="22"/>
        </w:rPr>
        <w:t> </w:t>
      </w:r>
      <w:r w:rsidRPr="00C60977">
        <w:rPr>
          <w:szCs w:val="22"/>
        </w:rPr>
        <w:t xml:space="preserve">řídit sociálněpolitická opatření na základě kterých dochází k řešení chudoby. Obecně chudobu považujeme za stav, ke kterému </w:t>
      </w:r>
      <w:r w:rsidRPr="00D707EA">
        <w:rPr>
          <w:szCs w:val="22"/>
        </w:rPr>
        <w:t>jsme se dopracovali na základě nerovného přístupu k rozdělovanému bohatství společnosti a materiální</w:t>
      </w:r>
      <w:r w:rsidR="00D707EA" w:rsidRPr="00D707EA">
        <w:rPr>
          <w:szCs w:val="22"/>
        </w:rPr>
        <w:t>ch</w:t>
      </w:r>
      <w:r w:rsidRPr="00D707EA">
        <w:rPr>
          <w:szCs w:val="22"/>
        </w:rPr>
        <w:t xml:space="preserve"> zdrojů</w:t>
      </w:r>
      <w:r w:rsidR="00D707EA" w:rsidRPr="00D707EA">
        <w:rPr>
          <w:szCs w:val="22"/>
        </w:rPr>
        <w:t>.</w:t>
      </w:r>
      <w:r w:rsidRPr="00D707EA">
        <w:rPr>
          <w:szCs w:val="22"/>
        </w:rPr>
        <w:t xml:space="preserve"> </w:t>
      </w:r>
      <w:r w:rsidR="00D707EA">
        <w:rPr>
          <w:szCs w:val="22"/>
        </w:rPr>
        <w:t>Jedná se</w:t>
      </w:r>
      <w:r w:rsidR="00F55BC9">
        <w:rPr>
          <w:szCs w:val="22"/>
        </w:rPr>
        <w:t> </w:t>
      </w:r>
      <w:r w:rsidR="00D707EA">
        <w:rPr>
          <w:szCs w:val="22"/>
        </w:rPr>
        <w:t>o</w:t>
      </w:r>
      <w:r w:rsidR="00F55BC9">
        <w:rPr>
          <w:szCs w:val="22"/>
        </w:rPr>
        <w:t> </w:t>
      </w:r>
      <w:r w:rsidR="00D707EA">
        <w:rPr>
          <w:szCs w:val="22"/>
        </w:rPr>
        <w:t>stav, kdy</w:t>
      </w:r>
      <w:r w:rsidRPr="00C60977">
        <w:rPr>
          <w:szCs w:val="22"/>
        </w:rPr>
        <w:t xml:space="preserve"> životní podmínky a uspokojení základních potřeb </w:t>
      </w:r>
      <w:r w:rsidR="00D707EA">
        <w:rPr>
          <w:szCs w:val="22"/>
        </w:rPr>
        <w:t xml:space="preserve">nejsou </w:t>
      </w:r>
      <w:r w:rsidRPr="00C60977">
        <w:rPr>
          <w:szCs w:val="22"/>
        </w:rPr>
        <w:t xml:space="preserve">zabezpečeny dostatečnými zdroji, dále nemohou být již zmíněné příjmy z nějakých objektivních příčin zvýšeny a zároveň jednotlivec nedisponuje žádnými jinými zdroji či majetkem, jež by mu pomohl získat prostředky v takové výši, kterou společnost stanovila jako minimální výši. Chudoba je úzce spjata s hmotnou nouzí, deprivací. Výraz „chudoba“ </w:t>
      </w:r>
      <w:r w:rsidR="00F16F17">
        <w:rPr>
          <w:szCs w:val="22"/>
        </w:rPr>
        <w:t>je nutné</w:t>
      </w:r>
      <w:r w:rsidRPr="00C60977">
        <w:rPr>
          <w:szCs w:val="22"/>
        </w:rPr>
        <w:t xml:space="preserve"> rozvážně používat, neboť chceme brát tento pojem jako relevantní a smysluplný, nikoli jako výraz pro vyjádření nerovnosti či sociálních problémů. Pojem chudoba musí být soustředěna pouze na konkrétní typy a stupně deprivace (deprivací je</w:t>
      </w:r>
      <w:r w:rsidR="00D707EA">
        <w:rPr>
          <w:szCs w:val="22"/>
        </w:rPr>
        <w:t> </w:t>
      </w:r>
      <w:r w:rsidRPr="00C60977">
        <w:rPr>
          <w:szCs w:val="22"/>
        </w:rPr>
        <w:t>myšlen nedostatek uspokojení potřeb jednotlivce). Co vůbec znamená žít v chudobě? Jedinec žijící v chudobě je v prvé řadě materiálně deprivován, žije bez toho, co je společností považováno a znáno za nezbytné.</w:t>
      </w:r>
      <w:r w:rsidR="00E70005">
        <w:rPr>
          <w:szCs w:val="22"/>
        </w:rPr>
        <w:t xml:space="preserve"> Na</w:t>
      </w:r>
      <w:r w:rsidR="00F55BC9">
        <w:rPr>
          <w:szCs w:val="22"/>
        </w:rPr>
        <w:t> </w:t>
      </w:r>
      <w:r w:rsidR="00E70005">
        <w:rPr>
          <w:szCs w:val="22"/>
        </w:rPr>
        <w:t>chudobu můžeme pohlížet celkem ze dvou úhlů. Jednak zde máme s</w:t>
      </w:r>
      <w:r w:rsidR="00E70005" w:rsidRPr="00C60977">
        <w:rPr>
          <w:szCs w:val="22"/>
        </w:rPr>
        <w:t>ubjektivní koncept chudoby</w:t>
      </w:r>
      <w:r w:rsidR="00E70005">
        <w:rPr>
          <w:szCs w:val="22"/>
        </w:rPr>
        <w:t>, který</w:t>
      </w:r>
      <w:r w:rsidR="00E70005" w:rsidRPr="00C60977">
        <w:rPr>
          <w:szCs w:val="22"/>
        </w:rPr>
        <w:t xml:space="preserve"> vychází z deklarace dotazovaného. Tento koncept je</w:t>
      </w:r>
      <w:r w:rsidR="00E70005">
        <w:rPr>
          <w:szCs w:val="22"/>
        </w:rPr>
        <w:t> </w:t>
      </w:r>
      <w:r w:rsidR="00E70005" w:rsidRPr="00C60977">
        <w:rPr>
          <w:szCs w:val="22"/>
        </w:rPr>
        <w:t>založen na</w:t>
      </w:r>
      <w:r w:rsidR="00E70005">
        <w:rPr>
          <w:szCs w:val="22"/>
        </w:rPr>
        <w:t> </w:t>
      </w:r>
      <w:r w:rsidR="00E70005" w:rsidRPr="00C60977">
        <w:rPr>
          <w:szCs w:val="22"/>
        </w:rPr>
        <w:t xml:space="preserve">vlastním hodnocení životní situace jedince. Je spojen se subjektivním cítěním jedince tzn. zdali se on sám cítí být chudý. </w:t>
      </w:r>
      <w:r w:rsidR="00F635D8">
        <w:rPr>
          <w:szCs w:val="22"/>
        </w:rPr>
        <w:t xml:space="preserve">(MVČR, </w:t>
      </w:r>
      <w:r w:rsidR="00F635D8" w:rsidRPr="00C60977">
        <w:rPr>
          <w:szCs w:val="22"/>
        </w:rPr>
        <w:t>20</w:t>
      </w:r>
      <w:r w:rsidR="00F635D8">
        <w:rPr>
          <w:szCs w:val="22"/>
        </w:rPr>
        <w:t>13).</w:t>
      </w:r>
    </w:p>
    <w:p w14:paraId="651DA360" w14:textId="67687E2C" w:rsidR="0037171B" w:rsidRDefault="00E70005" w:rsidP="0037171B">
      <w:pPr>
        <w:spacing w:before="120" w:after="240" w:line="360" w:lineRule="auto"/>
        <w:ind w:firstLine="454"/>
        <w:jc w:val="both"/>
        <w:rPr>
          <w:szCs w:val="22"/>
        </w:rPr>
      </w:pPr>
      <w:r w:rsidRPr="00C60977">
        <w:rPr>
          <w:szCs w:val="22"/>
        </w:rPr>
        <w:t>Subjektivní pocit u jedince vychází převážně ze srovnání toho, co</w:t>
      </w:r>
      <w:r w:rsidR="00EB2C18">
        <w:rPr>
          <w:szCs w:val="22"/>
        </w:rPr>
        <w:t> </w:t>
      </w:r>
      <w:r w:rsidRPr="00C60977">
        <w:rPr>
          <w:szCs w:val="22"/>
        </w:rPr>
        <w:t xml:space="preserve">skutečně vlastní a toho, co by chtěl, nebo čeho chce v budoucnu dosáhnout. Ve většině případů se jedinec srovnává s ostatními, porovnává to, co on sám vlastní, s tím, co mají druzí. Subjektivní koncept nemůže sloužit k určení oficiálních hranic chudoby, má pouze doplňkový význam, protože někteří </w:t>
      </w:r>
      <w:r w:rsidRPr="00C60977">
        <w:rPr>
          <w:szCs w:val="22"/>
        </w:rPr>
        <w:lastRenderedPageBreak/>
        <w:t xml:space="preserve">jedinci se cítí být chudými, aniž ve skutečnosti jsou a naopak, chudí jedinci se za chudé považovat nemusejí. I když subjektivní koncept chudoby má doplňkový význam, i tak je důležitý pro hlubší poznávání problému chudoby, protože nám dává podklady pro nejrůznější analýzy (příjmové, majetkové či analýza životního standardu). V praxi je pro sociální politiku tento subjektivní koncept chudoby velmi významný, neboť upozorňuje na případná rizika chudoby a zároveň může být vodítkem pro přijetí případných sociálně politických opatření, jež mohou vést k potlačení chudoby. </w:t>
      </w:r>
      <w:r>
        <w:rPr>
          <w:szCs w:val="22"/>
        </w:rPr>
        <w:t xml:space="preserve">Rozhodnutí politiků hraje ve společnosti velkou roli, neboť mají významný dopad na životní podmínky obyvatelstva, a na velikost rozdílů mezi těmi jedinci, kteří mají všeho dostatek a jedinci, kteří </w:t>
      </w:r>
      <w:r w:rsidR="00C53E1B">
        <w:rPr>
          <w:szCs w:val="22"/>
        </w:rPr>
        <w:t>takové</w:t>
      </w:r>
      <w:r>
        <w:rPr>
          <w:szCs w:val="22"/>
        </w:rPr>
        <w:t xml:space="preserve"> štěstí nemají. (MVČR, </w:t>
      </w:r>
      <w:r w:rsidRPr="00C60977">
        <w:rPr>
          <w:szCs w:val="22"/>
        </w:rPr>
        <w:t>20</w:t>
      </w:r>
      <w:r>
        <w:rPr>
          <w:szCs w:val="22"/>
        </w:rPr>
        <w:t>13).</w:t>
      </w:r>
    </w:p>
    <w:p w14:paraId="7D7334B2" w14:textId="663E0337" w:rsidR="00CA5D51" w:rsidRPr="00C60977" w:rsidRDefault="00E70005" w:rsidP="007E4A5F">
      <w:pPr>
        <w:spacing w:before="120" w:after="240" w:line="360" w:lineRule="auto"/>
        <w:ind w:firstLine="454"/>
        <w:jc w:val="both"/>
        <w:rPr>
          <w:szCs w:val="22"/>
        </w:rPr>
      </w:pPr>
      <w:r>
        <w:rPr>
          <w:szCs w:val="22"/>
        </w:rPr>
        <w:t>Druhým úhlem je</w:t>
      </w:r>
      <w:r w:rsidRPr="00C60977">
        <w:rPr>
          <w:szCs w:val="22"/>
        </w:rPr>
        <w:t xml:space="preserve"> objektivní koncept chudoby, </w:t>
      </w:r>
      <w:r>
        <w:rPr>
          <w:szCs w:val="22"/>
        </w:rPr>
        <w:t>který</w:t>
      </w:r>
      <w:r w:rsidRPr="00C60977">
        <w:rPr>
          <w:szCs w:val="22"/>
        </w:rPr>
        <w:t xml:space="preserve"> vymezuje chudobu prostřednictvím faktorů, jež nejsou přímo závislé na úsudku jedinců, jež mají pocit, že patří mezi chudé. Objektivní koncept chudoby je založen na analýze sociálně-</w:t>
      </w:r>
      <w:r w:rsidRPr="00241D9C">
        <w:rPr>
          <w:szCs w:val="22"/>
        </w:rPr>
        <w:t>ekonomických informací týkajících se domácností. U objektivního konceptu je chudoba stanovena tzv. zvenčí, tj. státem, který bere</w:t>
      </w:r>
      <w:r w:rsidRPr="00C60977">
        <w:rPr>
          <w:szCs w:val="22"/>
        </w:rPr>
        <w:t xml:space="preserve"> v potaz i makroekonomické souvislosti. (</w:t>
      </w:r>
      <w:r w:rsidRPr="00C60977">
        <w:t>Soc</w:t>
      </w:r>
      <w:r w:rsidR="00CA5D51">
        <w:t>.</w:t>
      </w:r>
      <w:r w:rsidRPr="00C60977">
        <w:t xml:space="preserve"> ústav AV ČR, </w:t>
      </w:r>
      <w:r w:rsidRPr="00C60977">
        <w:rPr>
          <w:szCs w:val="22"/>
        </w:rPr>
        <w:t>2005)</w:t>
      </w:r>
      <w:r w:rsidR="0013679A">
        <w:rPr>
          <w:szCs w:val="22"/>
        </w:rPr>
        <w:t xml:space="preserve">; </w:t>
      </w:r>
      <w:r w:rsidRPr="00C60977">
        <w:rPr>
          <w:szCs w:val="22"/>
        </w:rPr>
        <w:t>(Krebs a kol., 2015)</w:t>
      </w:r>
      <w:r>
        <w:rPr>
          <w:szCs w:val="22"/>
        </w:rPr>
        <w:t>.</w:t>
      </w:r>
      <w:r w:rsidRPr="00C60977">
        <w:rPr>
          <w:szCs w:val="22"/>
        </w:rPr>
        <w:t xml:space="preserve">  </w:t>
      </w:r>
    </w:p>
    <w:p w14:paraId="5FDBA967" w14:textId="77777777" w:rsidR="00131927" w:rsidRDefault="00E70005" w:rsidP="00131927">
      <w:pPr>
        <w:spacing w:before="120" w:after="240" w:line="360" w:lineRule="auto"/>
        <w:ind w:left="360"/>
        <w:rPr>
          <w:b/>
          <w:bCs/>
        </w:rPr>
      </w:pPr>
      <w:r w:rsidRPr="00F16F17">
        <w:rPr>
          <w:b/>
          <w:bCs/>
        </w:rPr>
        <w:t xml:space="preserve">V praxi se můžeme s chudobou setkat v </w:t>
      </w:r>
      <w:r w:rsidR="00804741" w:rsidRPr="00F16F17">
        <w:rPr>
          <w:b/>
          <w:bCs/>
        </w:rPr>
        <w:t>různých</w:t>
      </w:r>
      <w:r w:rsidRPr="00F16F17">
        <w:rPr>
          <w:b/>
          <w:bCs/>
        </w:rPr>
        <w:t xml:space="preserve"> podobách</w:t>
      </w:r>
      <w:r w:rsidR="00235A11" w:rsidRPr="00F16F17">
        <w:rPr>
          <w:b/>
          <w:bCs/>
        </w:rPr>
        <w:t>, a to s</w:t>
      </w:r>
      <w:r w:rsidRPr="00F16F17">
        <w:rPr>
          <w:b/>
          <w:bCs/>
        </w:rPr>
        <w:t>:</w:t>
      </w:r>
      <w:r w:rsidR="00804741" w:rsidRPr="00F16F17">
        <w:rPr>
          <w:b/>
          <w:bCs/>
        </w:rPr>
        <w:t xml:space="preserve"> </w:t>
      </w:r>
      <w:r w:rsidR="00F16F17">
        <w:rPr>
          <w:b/>
          <w:bCs/>
        </w:rPr>
        <w:br/>
      </w:r>
      <w:r w:rsidR="00804741" w:rsidRPr="00F16F17">
        <w:rPr>
          <w:szCs w:val="22"/>
        </w:rPr>
        <w:t>(</w:t>
      </w:r>
      <w:r w:rsidR="00804741" w:rsidRPr="00F16F17">
        <w:t xml:space="preserve">Soc. ústav AV ČR, </w:t>
      </w:r>
      <w:r w:rsidR="00804741" w:rsidRPr="00F16F17">
        <w:rPr>
          <w:szCs w:val="22"/>
        </w:rPr>
        <w:t>2005)</w:t>
      </w:r>
    </w:p>
    <w:p w14:paraId="0E1AE274" w14:textId="054F1F81" w:rsidR="00BF7A58" w:rsidRPr="00131927" w:rsidRDefault="00131927" w:rsidP="00131927">
      <w:pPr>
        <w:pStyle w:val="Odstavecseseznamem"/>
        <w:numPr>
          <w:ilvl w:val="0"/>
          <w:numId w:val="7"/>
        </w:numPr>
        <w:spacing w:before="120" w:after="240"/>
        <w:ind w:hanging="357"/>
        <w:rPr>
          <w:b/>
          <w:bCs/>
          <w:i/>
          <w:iCs/>
          <w:sz w:val="24"/>
        </w:rPr>
      </w:pPr>
      <w:r>
        <w:rPr>
          <w:b/>
          <w:bCs/>
          <w:i/>
          <w:iCs/>
          <w:sz w:val="24"/>
        </w:rPr>
        <w:t>Absolutní</w:t>
      </w:r>
      <w:r w:rsidRPr="00F16F17">
        <w:rPr>
          <w:b/>
          <w:bCs/>
          <w:i/>
          <w:iCs/>
          <w:sz w:val="24"/>
        </w:rPr>
        <w:t xml:space="preserve"> chudobou</w:t>
      </w:r>
    </w:p>
    <w:p w14:paraId="386E2B59" w14:textId="0C815383" w:rsidR="00BF7A58" w:rsidRPr="00F16F17" w:rsidRDefault="00804741" w:rsidP="00AA5473">
      <w:pPr>
        <w:pStyle w:val="Odstavecseseznamem"/>
        <w:numPr>
          <w:ilvl w:val="0"/>
          <w:numId w:val="18"/>
        </w:numPr>
        <w:spacing w:before="120" w:after="240"/>
        <w:ind w:hanging="357"/>
        <w:rPr>
          <w:i/>
          <w:iCs/>
          <w:sz w:val="24"/>
        </w:rPr>
      </w:pPr>
      <w:r w:rsidRPr="00F16F17">
        <w:rPr>
          <w:i/>
          <w:iCs/>
          <w:sz w:val="24"/>
        </w:rPr>
        <w:t>s</w:t>
      </w:r>
      <w:r w:rsidR="00BF7A58" w:rsidRPr="00F16F17">
        <w:rPr>
          <w:i/>
          <w:iCs/>
          <w:sz w:val="24"/>
        </w:rPr>
        <w:t>tav, kdy nejsme schopni uspokojit své základní potřeby.</w:t>
      </w:r>
    </w:p>
    <w:p w14:paraId="7581B970" w14:textId="47783EAD" w:rsidR="00BF7A58" w:rsidRPr="00F16F17" w:rsidRDefault="00BF7A58" w:rsidP="00131927">
      <w:pPr>
        <w:pStyle w:val="Odstavecseseznamem"/>
        <w:numPr>
          <w:ilvl w:val="0"/>
          <w:numId w:val="7"/>
        </w:numPr>
        <w:spacing w:before="120" w:after="240"/>
        <w:ind w:hanging="357"/>
        <w:rPr>
          <w:b/>
          <w:bCs/>
          <w:i/>
          <w:iCs/>
          <w:sz w:val="24"/>
        </w:rPr>
      </w:pPr>
      <w:r w:rsidRPr="00F16F17">
        <w:rPr>
          <w:b/>
          <w:bCs/>
          <w:i/>
          <w:iCs/>
          <w:sz w:val="24"/>
        </w:rPr>
        <w:t>Relativní chudob</w:t>
      </w:r>
      <w:r w:rsidR="00235A11" w:rsidRPr="00F16F17">
        <w:rPr>
          <w:b/>
          <w:bCs/>
          <w:i/>
          <w:iCs/>
          <w:sz w:val="24"/>
        </w:rPr>
        <w:t>ou</w:t>
      </w:r>
    </w:p>
    <w:p w14:paraId="0CB4022A" w14:textId="40C1BB0C" w:rsidR="00BF7A58" w:rsidRPr="00F16F17" w:rsidRDefault="00804741" w:rsidP="00AA5473">
      <w:pPr>
        <w:pStyle w:val="Odstavecseseznamem"/>
        <w:numPr>
          <w:ilvl w:val="0"/>
          <w:numId w:val="18"/>
        </w:numPr>
        <w:spacing w:before="120" w:after="240"/>
        <w:ind w:hanging="357"/>
        <w:rPr>
          <w:i/>
          <w:iCs/>
          <w:sz w:val="24"/>
        </w:rPr>
      </w:pPr>
      <w:r w:rsidRPr="00F16F17">
        <w:rPr>
          <w:i/>
          <w:iCs/>
          <w:sz w:val="24"/>
        </w:rPr>
        <w:t>s</w:t>
      </w:r>
      <w:r w:rsidR="00BF7A58" w:rsidRPr="00F16F17">
        <w:rPr>
          <w:i/>
          <w:iCs/>
          <w:sz w:val="24"/>
        </w:rPr>
        <w:t>tav, kdy nejsme schopni uspokojit své sociální potřeby.</w:t>
      </w:r>
    </w:p>
    <w:p w14:paraId="70C3BE20" w14:textId="6B095022" w:rsidR="00BF7A58" w:rsidRPr="00F16F17" w:rsidRDefault="00BF7A58" w:rsidP="00131927">
      <w:pPr>
        <w:pStyle w:val="Odstavecseseznamem"/>
        <w:numPr>
          <w:ilvl w:val="0"/>
          <w:numId w:val="7"/>
        </w:numPr>
        <w:spacing w:before="120" w:after="240"/>
        <w:ind w:hanging="357"/>
        <w:rPr>
          <w:b/>
          <w:bCs/>
          <w:i/>
          <w:iCs/>
          <w:sz w:val="24"/>
        </w:rPr>
      </w:pPr>
      <w:r w:rsidRPr="00F16F17">
        <w:rPr>
          <w:b/>
          <w:bCs/>
          <w:i/>
          <w:iCs/>
          <w:sz w:val="24"/>
        </w:rPr>
        <w:t>Extrémní chudob</w:t>
      </w:r>
      <w:r w:rsidR="00235A11" w:rsidRPr="00F16F17">
        <w:rPr>
          <w:b/>
          <w:bCs/>
          <w:i/>
          <w:iCs/>
          <w:sz w:val="24"/>
        </w:rPr>
        <w:t>ou</w:t>
      </w:r>
    </w:p>
    <w:p w14:paraId="2061CCA9" w14:textId="63318CF4" w:rsidR="00BF7A58" w:rsidRPr="00F16F17" w:rsidRDefault="00804741" w:rsidP="00AA5473">
      <w:pPr>
        <w:pStyle w:val="Odstavecseseznamem"/>
        <w:numPr>
          <w:ilvl w:val="0"/>
          <w:numId w:val="18"/>
        </w:numPr>
        <w:spacing w:before="120" w:after="240"/>
        <w:ind w:hanging="357"/>
        <w:rPr>
          <w:i/>
          <w:iCs/>
          <w:sz w:val="24"/>
        </w:rPr>
      </w:pPr>
      <w:r w:rsidRPr="00F16F17">
        <w:rPr>
          <w:i/>
          <w:iCs/>
          <w:sz w:val="24"/>
        </w:rPr>
        <w:t>s</w:t>
      </w:r>
      <w:r w:rsidR="00BF7A58" w:rsidRPr="00F16F17">
        <w:rPr>
          <w:i/>
          <w:iCs/>
          <w:sz w:val="24"/>
        </w:rPr>
        <w:t>tav, kdy žijeme za méně než 1 dolar denně.</w:t>
      </w:r>
    </w:p>
    <w:p w14:paraId="62F52CC2" w14:textId="5F5407A9" w:rsidR="00BF7A58" w:rsidRPr="00F16F17" w:rsidRDefault="00BF7A58" w:rsidP="00131927">
      <w:pPr>
        <w:pStyle w:val="Odstavecseseznamem"/>
        <w:numPr>
          <w:ilvl w:val="0"/>
          <w:numId w:val="7"/>
        </w:numPr>
        <w:spacing w:before="120" w:after="240"/>
        <w:ind w:hanging="357"/>
        <w:rPr>
          <w:b/>
          <w:bCs/>
          <w:i/>
          <w:iCs/>
          <w:sz w:val="24"/>
        </w:rPr>
      </w:pPr>
      <w:r w:rsidRPr="00F16F17">
        <w:rPr>
          <w:b/>
          <w:bCs/>
          <w:i/>
          <w:iCs/>
          <w:sz w:val="24"/>
        </w:rPr>
        <w:t>Hmotn</w:t>
      </w:r>
      <w:r w:rsidR="00235A11" w:rsidRPr="00F16F17">
        <w:rPr>
          <w:b/>
          <w:bCs/>
          <w:i/>
          <w:iCs/>
          <w:sz w:val="24"/>
        </w:rPr>
        <w:t>ou</w:t>
      </w:r>
      <w:r w:rsidRPr="00F16F17">
        <w:rPr>
          <w:b/>
          <w:bCs/>
          <w:i/>
          <w:iCs/>
          <w:sz w:val="24"/>
        </w:rPr>
        <w:t xml:space="preserve"> nouz</w:t>
      </w:r>
      <w:r w:rsidR="00235A11" w:rsidRPr="00F16F17">
        <w:rPr>
          <w:b/>
          <w:bCs/>
          <w:i/>
          <w:iCs/>
          <w:sz w:val="24"/>
        </w:rPr>
        <w:t>í</w:t>
      </w:r>
    </w:p>
    <w:p w14:paraId="72C3059C" w14:textId="6FC0F32B" w:rsidR="00BF7A58" w:rsidRPr="00F16F17" w:rsidRDefault="00804741" w:rsidP="00AA5473">
      <w:pPr>
        <w:pStyle w:val="Odstavecseseznamem"/>
        <w:numPr>
          <w:ilvl w:val="0"/>
          <w:numId w:val="18"/>
        </w:numPr>
        <w:spacing w:before="120" w:after="240"/>
        <w:ind w:hanging="357"/>
        <w:rPr>
          <w:i/>
          <w:iCs/>
          <w:sz w:val="24"/>
        </w:rPr>
      </w:pPr>
      <w:r w:rsidRPr="00F16F17">
        <w:rPr>
          <w:i/>
          <w:iCs/>
          <w:sz w:val="24"/>
        </w:rPr>
        <w:t>s</w:t>
      </w:r>
      <w:r w:rsidR="00BF7A58" w:rsidRPr="00F16F17">
        <w:rPr>
          <w:i/>
          <w:iCs/>
          <w:sz w:val="24"/>
        </w:rPr>
        <w:t>tav, kdy nemáme dostatečné příjmy na zabezpečení základních životních podmínek.</w:t>
      </w:r>
    </w:p>
    <w:p w14:paraId="63CB62F2" w14:textId="35B6BA08" w:rsidR="0076097F" w:rsidRPr="00F16F17" w:rsidRDefault="00BF7A58" w:rsidP="00131927">
      <w:pPr>
        <w:pStyle w:val="Odstavecseseznamem"/>
        <w:numPr>
          <w:ilvl w:val="0"/>
          <w:numId w:val="7"/>
        </w:numPr>
        <w:spacing w:before="120" w:after="240"/>
        <w:ind w:hanging="357"/>
        <w:rPr>
          <w:b/>
          <w:bCs/>
          <w:i/>
          <w:iCs/>
          <w:sz w:val="24"/>
        </w:rPr>
      </w:pPr>
      <w:r w:rsidRPr="00F16F17">
        <w:rPr>
          <w:b/>
          <w:bCs/>
          <w:i/>
          <w:iCs/>
          <w:sz w:val="24"/>
        </w:rPr>
        <w:t>Sociální nouz</w:t>
      </w:r>
      <w:r w:rsidR="00235A11" w:rsidRPr="00F16F17">
        <w:rPr>
          <w:b/>
          <w:bCs/>
          <w:i/>
          <w:iCs/>
          <w:sz w:val="24"/>
        </w:rPr>
        <w:t>í</w:t>
      </w:r>
    </w:p>
    <w:p w14:paraId="7DC7DAD2" w14:textId="22286418" w:rsidR="0076097F" w:rsidRPr="00F16F17" w:rsidRDefault="00804741" w:rsidP="00AA5473">
      <w:pPr>
        <w:pStyle w:val="Odstavecseseznamem"/>
        <w:numPr>
          <w:ilvl w:val="0"/>
          <w:numId w:val="18"/>
        </w:numPr>
        <w:spacing w:before="120" w:after="240"/>
        <w:ind w:hanging="357"/>
        <w:rPr>
          <w:i/>
          <w:iCs/>
          <w:sz w:val="24"/>
        </w:rPr>
      </w:pPr>
      <w:r w:rsidRPr="00F16F17">
        <w:rPr>
          <w:i/>
          <w:iCs/>
          <w:sz w:val="24"/>
        </w:rPr>
        <w:t>s</w:t>
      </w:r>
      <w:r w:rsidR="00BF7A58" w:rsidRPr="00F16F17">
        <w:rPr>
          <w:i/>
          <w:iCs/>
          <w:sz w:val="24"/>
        </w:rPr>
        <w:t>tav, kdy nejsme schopni zabezpečit své sociální potřeby.</w:t>
      </w:r>
    </w:p>
    <w:p w14:paraId="3875EAB4" w14:textId="7CAC6C68" w:rsidR="000D5D68" w:rsidRPr="00246FDC" w:rsidRDefault="00CA5D51" w:rsidP="0076097F">
      <w:pPr>
        <w:spacing w:before="120" w:after="240" w:line="360" w:lineRule="auto"/>
        <w:ind w:firstLine="454"/>
        <w:jc w:val="both"/>
      </w:pPr>
      <w:r>
        <w:rPr>
          <w:szCs w:val="22"/>
        </w:rPr>
        <w:t>Absolutní</w:t>
      </w:r>
      <w:r w:rsidR="00EE4FA3">
        <w:rPr>
          <w:szCs w:val="22"/>
        </w:rPr>
        <w:t xml:space="preserve"> chudob</w:t>
      </w:r>
      <w:r>
        <w:rPr>
          <w:szCs w:val="22"/>
        </w:rPr>
        <w:t>a</w:t>
      </w:r>
      <w:r w:rsidR="00EE4FA3">
        <w:rPr>
          <w:szCs w:val="22"/>
        </w:rPr>
        <w:t xml:space="preserve">, </w:t>
      </w:r>
      <w:r>
        <w:rPr>
          <w:szCs w:val="22"/>
        </w:rPr>
        <w:t xml:space="preserve">souvisí s </w:t>
      </w:r>
      <w:r w:rsidR="00E70005">
        <w:rPr>
          <w:szCs w:val="22"/>
        </w:rPr>
        <w:t>mír</w:t>
      </w:r>
      <w:r>
        <w:rPr>
          <w:szCs w:val="22"/>
        </w:rPr>
        <w:t>ou</w:t>
      </w:r>
      <w:r w:rsidR="00E70005" w:rsidRPr="00C60977">
        <w:rPr>
          <w:szCs w:val="22"/>
        </w:rPr>
        <w:t xml:space="preserve"> spotřeby domácností. Hranice absolutní chudoby závisí na</w:t>
      </w:r>
      <w:r w:rsidR="00E70005">
        <w:rPr>
          <w:szCs w:val="22"/>
        </w:rPr>
        <w:t> životním</w:t>
      </w:r>
      <w:r w:rsidR="00E70005" w:rsidRPr="00C60977">
        <w:rPr>
          <w:szCs w:val="22"/>
        </w:rPr>
        <w:t xml:space="preserve"> minimu, což jsou prostředky, jimiž lze uhradit potřeby holého přežití.</w:t>
      </w:r>
      <w:r w:rsidR="00235A11">
        <w:rPr>
          <w:szCs w:val="22"/>
        </w:rPr>
        <w:br/>
      </w:r>
      <w:r w:rsidR="00235A11" w:rsidRPr="00C60977">
        <w:rPr>
          <w:szCs w:val="22"/>
        </w:rPr>
        <w:t>(</w:t>
      </w:r>
      <w:r w:rsidR="00235A11" w:rsidRPr="00C60977">
        <w:t>Soc</w:t>
      </w:r>
      <w:r>
        <w:t xml:space="preserve">. </w:t>
      </w:r>
      <w:r w:rsidR="00235A11" w:rsidRPr="00C60977">
        <w:t xml:space="preserve">ústav AV ČR, </w:t>
      </w:r>
      <w:r w:rsidR="00235A11" w:rsidRPr="00C60977">
        <w:rPr>
          <w:szCs w:val="22"/>
        </w:rPr>
        <w:t>2005)</w:t>
      </w:r>
      <w:r>
        <w:rPr>
          <w:szCs w:val="22"/>
        </w:rPr>
        <w:t>;</w:t>
      </w:r>
      <w:r w:rsidR="00235A11" w:rsidRPr="00E70005">
        <w:rPr>
          <w:szCs w:val="22"/>
        </w:rPr>
        <w:t xml:space="preserve"> </w:t>
      </w:r>
      <w:r w:rsidR="00235A11" w:rsidRPr="00C60977">
        <w:rPr>
          <w:szCs w:val="22"/>
        </w:rPr>
        <w:t>(Krebs a kol., 2015)</w:t>
      </w:r>
      <w:r w:rsidR="00235A11">
        <w:rPr>
          <w:szCs w:val="22"/>
        </w:rPr>
        <w:t>.</w:t>
      </w:r>
      <w:r w:rsidR="00235A11" w:rsidRPr="00C60977">
        <w:rPr>
          <w:szCs w:val="22"/>
        </w:rPr>
        <w:t xml:space="preserve">  </w:t>
      </w:r>
    </w:p>
    <w:p w14:paraId="1EB9D096" w14:textId="77777777" w:rsidR="000D5D68" w:rsidRPr="00C60977" w:rsidRDefault="000D5D68" w:rsidP="000263E8">
      <w:pPr>
        <w:pStyle w:val="Nadpis3"/>
        <w:ind w:left="1004"/>
      </w:pPr>
      <w:bookmarkStart w:id="9" w:name="_Toc46142331"/>
      <w:r w:rsidRPr="00C60977">
        <w:lastRenderedPageBreak/>
        <w:t>Příčiny chudoby</w:t>
      </w:r>
      <w:bookmarkEnd w:id="9"/>
    </w:p>
    <w:p w14:paraId="62EEBC5B" w14:textId="21561677" w:rsidR="0096346A" w:rsidRDefault="000D5D68" w:rsidP="00131927">
      <w:pPr>
        <w:spacing w:before="120" w:after="240" w:line="360" w:lineRule="auto"/>
        <w:ind w:firstLine="360"/>
        <w:jc w:val="both"/>
        <w:rPr>
          <w:szCs w:val="22"/>
        </w:rPr>
      </w:pPr>
      <w:r w:rsidRPr="00C60977">
        <w:rPr>
          <w:szCs w:val="22"/>
        </w:rPr>
        <w:t xml:space="preserve">Je veřejně známo, že se v chudobě nacházejí nebo jsou ohroženy chudobou jedinci, kteří patří do určitých sociálních skupin obyvatelstva. Na základě několika výzkumu, jež byly uskutečněny v řadě zemí lze tvrdit, že v chudobě žijí jedinci, kteří buď jsou nebo patřili mezi nekvalifikované pracovníky, dále sem patří děti a členové neúplných rodin, lidé trpící dlouhodobou nezaměstnaností, lidé dlouhodobě nemocní či nezpůsobilí k práci a v neposlední řadě migranti. </w:t>
      </w:r>
    </w:p>
    <w:p w14:paraId="5983D21F" w14:textId="6909357E" w:rsidR="000D5D68" w:rsidRPr="00131927" w:rsidRDefault="00131927" w:rsidP="007E4A5F">
      <w:pPr>
        <w:spacing w:before="120" w:after="240" w:line="360" w:lineRule="auto"/>
        <w:jc w:val="both"/>
        <w:rPr>
          <w:b/>
          <w:bCs/>
          <w:i/>
          <w:iCs/>
          <w:szCs w:val="22"/>
        </w:rPr>
      </w:pPr>
      <w:r w:rsidRPr="00131927">
        <w:rPr>
          <w:b/>
          <w:bCs/>
          <w:i/>
          <w:iCs/>
          <w:szCs w:val="22"/>
        </w:rPr>
        <w:t>V</w:t>
      </w:r>
      <w:r w:rsidR="000D5D68" w:rsidRPr="00131927">
        <w:rPr>
          <w:b/>
          <w:bCs/>
          <w:i/>
          <w:iCs/>
          <w:szCs w:val="22"/>
        </w:rPr>
        <w:t xml:space="preserve">znik chudoby je spojen </w:t>
      </w:r>
      <w:r w:rsidR="00A92FAF" w:rsidRPr="00131927">
        <w:rPr>
          <w:b/>
          <w:bCs/>
          <w:i/>
          <w:iCs/>
          <w:szCs w:val="22"/>
        </w:rPr>
        <w:t>s</w:t>
      </w:r>
      <w:r w:rsidR="007E4A5F" w:rsidRPr="00131927">
        <w:rPr>
          <w:b/>
          <w:bCs/>
          <w:i/>
          <w:iCs/>
          <w:szCs w:val="22"/>
        </w:rPr>
        <w:t xml:space="preserve">e </w:t>
      </w:r>
      <w:r w:rsidR="000D5D68" w:rsidRPr="00131927">
        <w:rPr>
          <w:b/>
          <w:bCs/>
          <w:i/>
          <w:iCs/>
          <w:szCs w:val="22"/>
        </w:rPr>
        <w:t xml:space="preserve">třemi hlavními </w:t>
      </w:r>
      <w:r w:rsidR="007E4A5F" w:rsidRPr="00131927">
        <w:rPr>
          <w:b/>
          <w:bCs/>
          <w:i/>
          <w:iCs/>
          <w:szCs w:val="22"/>
        </w:rPr>
        <w:t xml:space="preserve">ekonomickými </w:t>
      </w:r>
      <w:r w:rsidR="00D96C05" w:rsidRPr="00131927">
        <w:rPr>
          <w:b/>
          <w:bCs/>
          <w:i/>
          <w:iCs/>
          <w:szCs w:val="22"/>
        </w:rPr>
        <w:t>jevy</w:t>
      </w:r>
      <w:r w:rsidR="000D5D68" w:rsidRPr="00131927">
        <w:rPr>
          <w:b/>
          <w:bCs/>
          <w:i/>
          <w:iCs/>
          <w:szCs w:val="22"/>
        </w:rPr>
        <w:t>:</w:t>
      </w:r>
    </w:p>
    <w:p w14:paraId="3120E1FA" w14:textId="2C1FEF54" w:rsidR="000D5D68" w:rsidRPr="00131927" w:rsidRDefault="000D5D68" w:rsidP="007E4A5F">
      <w:pPr>
        <w:pStyle w:val="Odstavecseseznamem"/>
        <w:numPr>
          <w:ilvl w:val="0"/>
          <w:numId w:val="4"/>
        </w:numPr>
        <w:spacing w:before="120" w:after="240"/>
        <w:rPr>
          <w:i/>
          <w:iCs/>
          <w:sz w:val="24"/>
          <w:szCs w:val="22"/>
        </w:rPr>
      </w:pPr>
      <w:r w:rsidRPr="00131927">
        <w:rPr>
          <w:i/>
          <w:iCs/>
          <w:sz w:val="24"/>
          <w:szCs w:val="22"/>
        </w:rPr>
        <w:t>Vznik chudoby z důvodu nízkých příjmů plynoucích ze zaměstnání</w:t>
      </w:r>
      <w:r w:rsidR="00804741" w:rsidRPr="00131927">
        <w:rPr>
          <w:i/>
          <w:iCs/>
          <w:sz w:val="24"/>
          <w:szCs w:val="22"/>
        </w:rPr>
        <w:t>.</w:t>
      </w:r>
    </w:p>
    <w:p w14:paraId="558A112E" w14:textId="602D46CD" w:rsidR="000D5D68" w:rsidRPr="00131927" w:rsidRDefault="000D5D68" w:rsidP="007E4A5F">
      <w:pPr>
        <w:pStyle w:val="Odstavecseseznamem"/>
        <w:numPr>
          <w:ilvl w:val="0"/>
          <w:numId w:val="4"/>
        </w:numPr>
        <w:spacing w:before="120" w:after="240"/>
        <w:rPr>
          <w:i/>
          <w:iCs/>
          <w:sz w:val="24"/>
          <w:szCs w:val="22"/>
        </w:rPr>
      </w:pPr>
      <w:r w:rsidRPr="00131927">
        <w:rPr>
          <w:i/>
          <w:iCs/>
          <w:sz w:val="24"/>
          <w:szCs w:val="22"/>
        </w:rPr>
        <w:t>Vznik chudoby z důvodu nedostatku zaměstnání (nezaměstnanost)</w:t>
      </w:r>
      <w:r w:rsidR="00804741" w:rsidRPr="00131927">
        <w:rPr>
          <w:i/>
          <w:iCs/>
          <w:sz w:val="24"/>
          <w:szCs w:val="22"/>
        </w:rPr>
        <w:t>.</w:t>
      </w:r>
    </w:p>
    <w:p w14:paraId="2CC1F7FD" w14:textId="440205C8" w:rsidR="000D5D68" w:rsidRPr="00131927" w:rsidRDefault="000D5D68" w:rsidP="007E4A5F">
      <w:pPr>
        <w:pStyle w:val="Odstavecseseznamem"/>
        <w:numPr>
          <w:ilvl w:val="0"/>
          <w:numId w:val="4"/>
        </w:numPr>
        <w:spacing w:before="120" w:after="240"/>
        <w:rPr>
          <w:i/>
          <w:iCs/>
          <w:sz w:val="24"/>
          <w:szCs w:val="22"/>
        </w:rPr>
      </w:pPr>
      <w:r w:rsidRPr="00131927">
        <w:rPr>
          <w:i/>
          <w:iCs/>
          <w:sz w:val="24"/>
          <w:szCs w:val="22"/>
        </w:rPr>
        <w:t>Vznik chudoby z důvodu rozdílu ve vlastněném bohatství</w:t>
      </w:r>
      <w:r w:rsidR="00804741" w:rsidRPr="00131927">
        <w:rPr>
          <w:i/>
          <w:iCs/>
          <w:sz w:val="24"/>
          <w:szCs w:val="22"/>
        </w:rPr>
        <w:t>.</w:t>
      </w:r>
    </w:p>
    <w:p w14:paraId="5381656F" w14:textId="16D6904E" w:rsidR="002576B3" w:rsidRDefault="00804741" w:rsidP="008D2EE5">
      <w:pPr>
        <w:spacing w:before="120" w:after="240" w:line="360" w:lineRule="auto"/>
        <w:ind w:firstLine="360"/>
        <w:jc w:val="both"/>
        <w:rPr>
          <w:szCs w:val="22"/>
        </w:rPr>
      </w:pPr>
      <w:r>
        <w:rPr>
          <w:szCs w:val="22"/>
        </w:rPr>
        <w:t>Příčiny vzniku</w:t>
      </w:r>
      <w:r w:rsidR="00DD19E7">
        <w:rPr>
          <w:szCs w:val="22"/>
        </w:rPr>
        <w:t xml:space="preserve"> chudoby </w:t>
      </w:r>
      <w:r w:rsidR="000D5D68" w:rsidRPr="00C60977">
        <w:rPr>
          <w:szCs w:val="22"/>
        </w:rPr>
        <w:t>z důvodu nízkých příjmů ze zaměstnání, mohou být různé. Jedním z</w:t>
      </w:r>
      <w:r>
        <w:rPr>
          <w:szCs w:val="22"/>
        </w:rPr>
        <w:t xml:space="preserve"> nich </w:t>
      </w:r>
      <w:r w:rsidR="000D5D68" w:rsidRPr="00C60977">
        <w:rPr>
          <w:szCs w:val="22"/>
        </w:rPr>
        <w:t>může být nedostatečná úroveň vzdělání a kvalifikace jedince. Je totiž obecně známo, že</w:t>
      </w:r>
      <w:r w:rsidR="007E4A5F">
        <w:rPr>
          <w:szCs w:val="22"/>
        </w:rPr>
        <w:t> </w:t>
      </w:r>
      <w:r w:rsidR="000D5D68" w:rsidRPr="00C60977">
        <w:rPr>
          <w:szCs w:val="22"/>
        </w:rPr>
        <w:t>se příjmy ze zaměstnání vyvíjejí v závislosti na růstu všeobecných znalostí a kvalifikace. Další důvod vzniku chudoby z důvodu nízkých příjmů může být spojen s rozdíly jedinců v</w:t>
      </w:r>
      <w:r w:rsidR="00B23167">
        <w:rPr>
          <w:szCs w:val="22"/>
        </w:rPr>
        <w:t> </w:t>
      </w:r>
      <w:r w:rsidR="000D5D68" w:rsidRPr="00C60977">
        <w:rPr>
          <w:szCs w:val="22"/>
        </w:rPr>
        <w:t>jejich schopnostech, nadání, inteligenci, pracovitosti, v ambicích jedince a ve vrozených předpokladech a povahových rysech. Velkou roli zde hraje problém s konkrétní hladinou „nízkých příjmů“ v určité společnosti. V některých zemích je</w:t>
      </w:r>
      <w:r w:rsidR="00DD19E7">
        <w:rPr>
          <w:szCs w:val="22"/>
        </w:rPr>
        <w:t> </w:t>
      </w:r>
      <w:r w:rsidR="000D5D68" w:rsidRPr="00C60977">
        <w:rPr>
          <w:szCs w:val="22"/>
        </w:rPr>
        <w:t>vytvořen institut minimální mzdy, který brání pracovníky před extrémně nízkými příjmy ze</w:t>
      </w:r>
      <w:r w:rsidR="00DD19E7">
        <w:rPr>
          <w:szCs w:val="22"/>
        </w:rPr>
        <w:t> </w:t>
      </w:r>
      <w:r w:rsidR="000D5D68" w:rsidRPr="00C60977">
        <w:rPr>
          <w:szCs w:val="22"/>
        </w:rPr>
        <w:t>zaměstnání. Na nízké příjmy může mít vliv také i nepeněžní preference při volbě konkrétní profese, anebo jsou ovlivněny jednoduše schopnostmi, jež jsou ceněny více než ostatní. Dalším důvodem nízkých příjmů může být nezpůsobilost k práci či</w:t>
      </w:r>
      <w:r w:rsidR="00B23167">
        <w:rPr>
          <w:szCs w:val="22"/>
        </w:rPr>
        <w:t> </w:t>
      </w:r>
      <w:r w:rsidR="000D5D68" w:rsidRPr="00C60977">
        <w:rPr>
          <w:szCs w:val="22"/>
        </w:rPr>
        <w:t>diskriminace. Pod nezpůsobilostí k práci si můžeme představit různé nemoci a handicapy, u</w:t>
      </w:r>
      <w:r w:rsidR="00B23167">
        <w:rPr>
          <w:szCs w:val="22"/>
        </w:rPr>
        <w:t> </w:t>
      </w:r>
      <w:r w:rsidR="000D5D68" w:rsidRPr="00C60977">
        <w:rPr>
          <w:szCs w:val="22"/>
        </w:rPr>
        <w:t>kterých často dochází k tomu, že</w:t>
      </w:r>
      <w:r w:rsidR="00DD19E7">
        <w:rPr>
          <w:szCs w:val="22"/>
        </w:rPr>
        <w:t> </w:t>
      </w:r>
      <w:r w:rsidR="000D5D68" w:rsidRPr="00C60977">
        <w:rPr>
          <w:szCs w:val="22"/>
        </w:rPr>
        <w:t>jedinec se</w:t>
      </w:r>
      <w:r w:rsidR="008D2EE5">
        <w:rPr>
          <w:szCs w:val="22"/>
        </w:rPr>
        <w:t> </w:t>
      </w:r>
      <w:r w:rsidR="000D5D68" w:rsidRPr="00C60977">
        <w:rPr>
          <w:szCs w:val="22"/>
        </w:rPr>
        <w:t>nepřizpůsobil k práci, což vede k nižší produktivitě a zároveň tedy i k nižšímu příjmu.</w:t>
      </w:r>
      <w:r w:rsidR="00B23167">
        <w:rPr>
          <w:szCs w:val="22"/>
        </w:rPr>
        <w:t xml:space="preserve"> </w:t>
      </w:r>
      <w:r w:rsidR="008D2EE5">
        <w:rPr>
          <w:szCs w:val="22"/>
        </w:rPr>
        <w:br/>
      </w:r>
      <w:r w:rsidR="008D2EE5" w:rsidRPr="00C60977">
        <w:rPr>
          <w:szCs w:val="22"/>
        </w:rPr>
        <w:t>(Krebs a kol., 2015)</w:t>
      </w:r>
    </w:p>
    <w:p w14:paraId="1A8A021E" w14:textId="089D0222" w:rsidR="005A33A0" w:rsidRDefault="00B23167" w:rsidP="007E4A5F">
      <w:pPr>
        <w:spacing w:before="120" w:after="240" w:line="360" w:lineRule="auto"/>
        <w:ind w:firstLine="360"/>
        <w:jc w:val="both"/>
        <w:rPr>
          <w:szCs w:val="22"/>
        </w:rPr>
      </w:pPr>
      <w:r>
        <w:rPr>
          <w:szCs w:val="22"/>
        </w:rPr>
        <w:t>Diskriminac</w:t>
      </w:r>
      <w:r w:rsidR="005A33A0">
        <w:rPr>
          <w:szCs w:val="22"/>
        </w:rPr>
        <w:t xml:space="preserve">e představuje znevýhodněné neopodstatněné zacházení a </w:t>
      </w:r>
      <w:r w:rsidR="00664E2F">
        <w:rPr>
          <w:szCs w:val="22"/>
        </w:rPr>
        <w:t>setkáváme se s ní</w:t>
      </w:r>
      <w:r w:rsidR="005A33A0">
        <w:rPr>
          <w:szCs w:val="22"/>
        </w:rPr>
        <w:t xml:space="preserve"> v mnoha sférách, a to jak ve veřejné správě, tak v</w:t>
      </w:r>
      <w:r w:rsidR="002576B3">
        <w:rPr>
          <w:szCs w:val="22"/>
        </w:rPr>
        <w:t> </w:t>
      </w:r>
      <w:r w:rsidR="005A33A0">
        <w:rPr>
          <w:szCs w:val="22"/>
        </w:rPr>
        <w:t>soukromé</w:t>
      </w:r>
      <w:r w:rsidR="002576B3">
        <w:rPr>
          <w:szCs w:val="22"/>
        </w:rPr>
        <w:t xml:space="preserve"> sféře</w:t>
      </w:r>
      <w:r w:rsidR="005A33A0">
        <w:rPr>
          <w:szCs w:val="22"/>
        </w:rPr>
        <w:t xml:space="preserve">. Diskriminace se může týkat mnoha oblastí, nevyjímaje </w:t>
      </w:r>
      <w:r w:rsidR="00664E2F">
        <w:rPr>
          <w:szCs w:val="22"/>
        </w:rPr>
        <w:t xml:space="preserve">i </w:t>
      </w:r>
      <w:r w:rsidR="005A33A0">
        <w:rPr>
          <w:szCs w:val="22"/>
        </w:rPr>
        <w:t>r</w:t>
      </w:r>
      <w:r w:rsidR="002576B3">
        <w:rPr>
          <w:szCs w:val="22"/>
        </w:rPr>
        <w:t>ozdílnost</w:t>
      </w:r>
      <w:r w:rsidR="005A33A0">
        <w:rPr>
          <w:szCs w:val="22"/>
        </w:rPr>
        <w:t xml:space="preserve"> příjm</w:t>
      </w:r>
      <w:r w:rsidR="00664E2F">
        <w:rPr>
          <w:szCs w:val="22"/>
        </w:rPr>
        <w:t xml:space="preserve">ů </w:t>
      </w:r>
      <w:r w:rsidR="002576B3">
        <w:rPr>
          <w:szCs w:val="22"/>
        </w:rPr>
        <w:t>u žen a mužů.</w:t>
      </w:r>
      <w:r w:rsidR="008D2EE5">
        <w:rPr>
          <w:szCs w:val="22"/>
        </w:rPr>
        <w:t xml:space="preserve"> (Štěpánková, 2007).</w:t>
      </w:r>
    </w:p>
    <w:p w14:paraId="25D9416F" w14:textId="7912B3EA" w:rsidR="000D5D68" w:rsidRPr="00074503" w:rsidRDefault="000D5D68" w:rsidP="00074503">
      <w:pPr>
        <w:spacing w:before="120" w:after="240" w:line="360" w:lineRule="auto"/>
        <w:ind w:firstLine="360"/>
        <w:jc w:val="both"/>
        <w:rPr>
          <w:szCs w:val="22"/>
        </w:rPr>
      </w:pPr>
      <w:r w:rsidRPr="00C60977">
        <w:rPr>
          <w:szCs w:val="22"/>
        </w:rPr>
        <w:t>Další</w:t>
      </w:r>
      <w:r w:rsidR="008D2EE5">
        <w:rPr>
          <w:szCs w:val="22"/>
        </w:rPr>
        <w:t>m</w:t>
      </w:r>
      <w:r w:rsidRPr="00C60977">
        <w:rPr>
          <w:szCs w:val="22"/>
        </w:rPr>
        <w:t xml:space="preserve"> důvod</w:t>
      </w:r>
      <w:r w:rsidR="008D2EE5">
        <w:rPr>
          <w:szCs w:val="22"/>
        </w:rPr>
        <w:t>em</w:t>
      </w:r>
      <w:r w:rsidRPr="00C60977">
        <w:rPr>
          <w:szCs w:val="22"/>
        </w:rPr>
        <w:t xml:space="preserve"> vzniku chudoby </w:t>
      </w:r>
      <w:r w:rsidR="008D2EE5">
        <w:rPr>
          <w:szCs w:val="22"/>
        </w:rPr>
        <w:t>je tedy</w:t>
      </w:r>
      <w:r w:rsidRPr="00C60977">
        <w:rPr>
          <w:szCs w:val="22"/>
        </w:rPr>
        <w:t xml:space="preserve"> nedostatek zaměstnání, resp. nezaměstnanost, která pokud má dlouhodobý charakter, je vždy spjata s poklesem příjmu jedince a může tak vést </w:t>
      </w:r>
      <w:r w:rsidRPr="00C60977">
        <w:rPr>
          <w:szCs w:val="22"/>
        </w:rPr>
        <w:lastRenderedPageBreak/>
        <w:t xml:space="preserve">i k chudobě. Pokud budeme nezaměstnanost řešit tak, že navýšíme podpory v nezaměstnanosti, ne vždy, je to žádoucí s ohledem na nepříznivé ekonomické a sociální efekty (nárůst sociálních výdajů). Stejně jako nízké příjmy jedinců, tak i častá nezaměstnanost může výt jednou z příčin nízkých starobních (a dalších) důchodů a následně i chudoby. </w:t>
      </w:r>
      <w:r w:rsidR="00C44FFD">
        <w:rPr>
          <w:szCs w:val="22"/>
        </w:rPr>
        <w:t>Chudoba zapříčiněna</w:t>
      </w:r>
      <w:r w:rsidRPr="00C60977">
        <w:rPr>
          <w:szCs w:val="22"/>
        </w:rPr>
        <w:t xml:space="preserve"> z</w:t>
      </w:r>
      <w:r w:rsidR="00DD19E7">
        <w:rPr>
          <w:szCs w:val="22"/>
        </w:rPr>
        <w:t> </w:t>
      </w:r>
      <w:r w:rsidRPr="00C60977">
        <w:rPr>
          <w:szCs w:val="22"/>
        </w:rPr>
        <w:t>důvodu rozdílu ve vlastněném bohatství</w:t>
      </w:r>
      <w:r w:rsidR="00C44FFD">
        <w:rPr>
          <w:szCs w:val="22"/>
        </w:rPr>
        <w:t xml:space="preserve"> určuje i rozdíly</w:t>
      </w:r>
      <w:r w:rsidRPr="00C60977">
        <w:rPr>
          <w:szCs w:val="22"/>
        </w:rPr>
        <w:t xml:space="preserve"> v důchodech. Bohatým lidem plyne z jejich majetku značný vlastnický důchod, kdežto neexistence bohatství a či majetku na straně chudých nepřináší žádný důchod, a tak nemůže představovat ani alternativní zdroj pro uspokojení základních životních potřeb jedince. Doposud uvedené příčiny vzniku chudoby jsou spjaty se</w:t>
      </w:r>
      <w:r w:rsidR="00131927">
        <w:rPr>
          <w:szCs w:val="22"/>
        </w:rPr>
        <w:t> </w:t>
      </w:r>
      <w:r w:rsidRPr="00C60977">
        <w:rPr>
          <w:szCs w:val="22"/>
        </w:rPr>
        <w:t>dvěma protikladnými stanovisky k řešení chudoby. Prvním stanoviskem jsou příčiny spojené s celkovým uspořádáním společnosti, a to převážně politických a ekonomických podmínek, jež lidé mohou jen zřídka kdy ovlivňovat, z tohoto důvodu pak odstranění příčin vzniku chudoby je z tohoto hlediska čistě společenskou záležitostí a řešení chudoby tedy přísluší státu. Druhé stanovisko je založeno na příčinách chudoby, jež</w:t>
      </w:r>
      <w:r w:rsidR="00DD19E7">
        <w:rPr>
          <w:szCs w:val="22"/>
        </w:rPr>
        <w:t> </w:t>
      </w:r>
      <w:r w:rsidRPr="00C60977">
        <w:rPr>
          <w:szCs w:val="22"/>
        </w:rPr>
        <w:t>se</w:t>
      </w:r>
      <w:r w:rsidR="00DD19E7">
        <w:rPr>
          <w:szCs w:val="22"/>
        </w:rPr>
        <w:t> </w:t>
      </w:r>
      <w:r w:rsidRPr="00C60977">
        <w:rPr>
          <w:szCs w:val="22"/>
        </w:rPr>
        <w:t>spjato s osobním zaviněním každého jedince, je spojeno s jeho nedostatečnou pracovitostí, s nepřizpůsobivostí, s nevhodným chováním atd. Proto lze říci, že za tuto chudobu jsou odpovědni sami chudí, a proto záleží čistě na nich, aby hledali a povolaly své vlastní zdroje a řešili tak svou chudobu sami. Obě uvedená stanoviska jsou příklady extrémních situací. V dnešní době reálný postoj k chudobě představuje prolnutí těchto dvou stanovisek, tzn. musí se promítnout jak odpovědnost společnosti za</w:t>
      </w:r>
      <w:r w:rsidR="00131927">
        <w:rPr>
          <w:szCs w:val="22"/>
        </w:rPr>
        <w:t> </w:t>
      </w:r>
      <w:r w:rsidRPr="00C60977">
        <w:rPr>
          <w:szCs w:val="22"/>
        </w:rPr>
        <w:t>chudobu, tak i možné zavinění chudoby jedincem. (Krebs a kol., 2015)</w:t>
      </w:r>
    </w:p>
    <w:p w14:paraId="1AAFFF04" w14:textId="77777777" w:rsidR="000D5D68" w:rsidRPr="00C60977" w:rsidRDefault="000D5D68" w:rsidP="000263E8">
      <w:pPr>
        <w:pStyle w:val="Nadpis3"/>
        <w:ind w:left="1004"/>
      </w:pPr>
      <w:bookmarkStart w:id="10" w:name="_Toc46142332"/>
      <w:r w:rsidRPr="00C60977">
        <w:t>Nástroje chudoby a její měření</w:t>
      </w:r>
      <w:bookmarkEnd w:id="10"/>
    </w:p>
    <w:p w14:paraId="25CD006A" w14:textId="1199A79F" w:rsidR="008D152E" w:rsidRDefault="008D152E" w:rsidP="008D152E">
      <w:pPr>
        <w:spacing w:before="120" w:after="240" w:line="360" w:lineRule="auto"/>
        <w:ind w:firstLine="454"/>
        <w:jc w:val="both"/>
        <w:rPr>
          <w:szCs w:val="22"/>
        </w:rPr>
      </w:pPr>
      <w:r>
        <w:rPr>
          <w:szCs w:val="22"/>
        </w:rPr>
        <w:t xml:space="preserve">Pro měření chudoby neexistuje jeden jediný ideální indikátor, ve většině případů bývá doporučováno využívat kombinací subjektivních pocitů lidí a objektivních ukazatelů. </w:t>
      </w:r>
      <w:r>
        <w:rPr>
          <w:szCs w:val="22"/>
        </w:rPr>
        <w:br/>
        <w:t>(Mareš a Rabušic, 2006).</w:t>
      </w:r>
    </w:p>
    <w:p w14:paraId="6899C839" w14:textId="64704D31" w:rsidR="008D152E" w:rsidRDefault="000D5D68" w:rsidP="00FA4284">
      <w:pPr>
        <w:spacing w:before="120" w:after="240" w:line="360" w:lineRule="auto"/>
        <w:ind w:firstLine="454"/>
        <w:jc w:val="both"/>
        <w:rPr>
          <w:szCs w:val="22"/>
        </w:rPr>
      </w:pPr>
      <w:r w:rsidRPr="00074503">
        <w:rPr>
          <w:szCs w:val="22"/>
        </w:rPr>
        <w:t xml:space="preserve">Nejčastěji </w:t>
      </w:r>
      <w:r w:rsidR="001F6521" w:rsidRPr="00074503">
        <w:rPr>
          <w:szCs w:val="22"/>
        </w:rPr>
        <w:t xml:space="preserve">je chudoba sledována na základě </w:t>
      </w:r>
      <w:r w:rsidRPr="00074503">
        <w:rPr>
          <w:szCs w:val="22"/>
        </w:rPr>
        <w:t>spotřeb</w:t>
      </w:r>
      <w:r w:rsidR="001F6521" w:rsidRPr="00074503">
        <w:rPr>
          <w:szCs w:val="22"/>
        </w:rPr>
        <w:t>y</w:t>
      </w:r>
      <w:r w:rsidRPr="00074503">
        <w:rPr>
          <w:szCs w:val="22"/>
        </w:rPr>
        <w:t xml:space="preserve"> a příjm</w:t>
      </w:r>
      <w:r w:rsidR="001F6521" w:rsidRPr="00074503">
        <w:rPr>
          <w:szCs w:val="22"/>
        </w:rPr>
        <w:t>ů</w:t>
      </w:r>
      <w:r w:rsidRPr="00074503">
        <w:rPr>
          <w:szCs w:val="22"/>
        </w:rPr>
        <w:t xml:space="preserve">. </w:t>
      </w:r>
      <w:r w:rsidR="00CB2811" w:rsidRPr="00074503">
        <w:rPr>
          <w:szCs w:val="22"/>
        </w:rPr>
        <w:t>U</w:t>
      </w:r>
      <w:r w:rsidRPr="00074503">
        <w:rPr>
          <w:szCs w:val="22"/>
        </w:rPr>
        <w:t xml:space="preserve"> spotřeby</w:t>
      </w:r>
      <w:r w:rsidR="00074503" w:rsidRPr="00074503">
        <w:rPr>
          <w:szCs w:val="22"/>
        </w:rPr>
        <w:t xml:space="preserve"> dochází k</w:t>
      </w:r>
      <w:r w:rsidR="00074503">
        <w:rPr>
          <w:szCs w:val="22"/>
        </w:rPr>
        <w:t> </w:t>
      </w:r>
      <w:r w:rsidRPr="00074503">
        <w:rPr>
          <w:szCs w:val="22"/>
        </w:rPr>
        <w:t>měření,</w:t>
      </w:r>
      <w:r w:rsidRPr="00C60977">
        <w:rPr>
          <w:szCs w:val="22"/>
        </w:rPr>
        <w:t xml:space="preserve"> jež je založeno na přímé spotřebě statků a služeb (včetně ostatních nezbytných výdajů). Prostřednictvím </w:t>
      </w:r>
      <w:r w:rsidR="00AE6B07">
        <w:rPr>
          <w:szCs w:val="22"/>
        </w:rPr>
        <w:t>spotřeby</w:t>
      </w:r>
      <w:r w:rsidRPr="00C60977">
        <w:rPr>
          <w:szCs w:val="22"/>
        </w:rPr>
        <w:t xml:space="preserve"> můžeme měřit chudobu přímo, tzn. v tom momentu, kdy dochází k transformaci </w:t>
      </w:r>
      <w:r w:rsidRPr="00CB2811">
        <w:rPr>
          <w:szCs w:val="22"/>
        </w:rPr>
        <w:t>příjmů do</w:t>
      </w:r>
      <w:r w:rsidR="001F6521" w:rsidRPr="00CB2811">
        <w:rPr>
          <w:szCs w:val="22"/>
        </w:rPr>
        <w:t> </w:t>
      </w:r>
      <w:r w:rsidRPr="00CB2811">
        <w:rPr>
          <w:szCs w:val="22"/>
        </w:rPr>
        <w:t xml:space="preserve">spotřeby. </w:t>
      </w:r>
      <w:r w:rsidR="00CB2811" w:rsidRPr="00CB2811">
        <w:rPr>
          <w:szCs w:val="22"/>
        </w:rPr>
        <w:t>V případě příjmů je primární jejich výše.  Předpokládejme</w:t>
      </w:r>
      <w:r w:rsidRPr="00CB2811">
        <w:rPr>
          <w:szCs w:val="22"/>
        </w:rPr>
        <w:t xml:space="preserve"> že příjmy, jež jsou nedostačující</w:t>
      </w:r>
      <w:r w:rsidRPr="00C60977">
        <w:rPr>
          <w:szCs w:val="22"/>
        </w:rPr>
        <w:t xml:space="preserve"> směřují k nedostatečné spotřebě a zase naopak</w:t>
      </w:r>
      <w:r w:rsidR="00CB2811">
        <w:rPr>
          <w:szCs w:val="22"/>
        </w:rPr>
        <w:t>. V</w:t>
      </w:r>
      <w:r w:rsidRPr="00C60977">
        <w:rPr>
          <w:szCs w:val="22"/>
        </w:rPr>
        <w:t xml:space="preserve">yšší příjmy vedou k vyšší spotřebě, což </w:t>
      </w:r>
      <w:r w:rsidR="00CB2811">
        <w:rPr>
          <w:szCs w:val="22"/>
        </w:rPr>
        <w:t>pro tento</w:t>
      </w:r>
      <w:r w:rsidRPr="00C60977">
        <w:rPr>
          <w:szCs w:val="22"/>
        </w:rPr>
        <w:t xml:space="preserve"> vztah nemusí vždy platit, protože se nebere v potaz například naturální spotřeba a také fakt „sekundární chudoby“. K sekundární chudobě dochází v důsledku způsobu, s jakým se příjmy používají, příkladem může být chudoba v rodině zapříčiněna alkoholikem. </w:t>
      </w:r>
      <w:r w:rsidR="00AE6B07">
        <w:rPr>
          <w:szCs w:val="22"/>
        </w:rPr>
        <w:t>Jak jsme si již uvedli, prostřednictvím</w:t>
      </w:r>
      <w:r w:rsidR="00C60DE7">
        <w:rPr>
          <w:szCs w:val="22"/>
        </w:rPr>
        <w:t xml:space="preserve"> spotřeby</w:t>
      </w:r>
      <w:r w:rsidR="00AE6B07">
        <w:rPr>
          <w:szCs w:val="22"/>
        </w:rPr>
        <w:t xml:space="preserve"> </w:t>
      </w:r>
      <w:r w:rsidR="00AE6B07">
        <w:rPr>
          <w:szCs w:val="22"/>
        </w:rPr>
        <w:lastRenderedPageBreak/>
        <w:t>měříme chudobu přímo</w:t>
      </w:r>
      <w:r w:rsidRPr="00C60977">
        <w:rPr>
          <w:szCs w:val="22"/>
        </w:rPr>
        <w:t xml:space="preserve">, kdežto prostřednictvím příjmů </w:t>
      </w:r>
      <w:r w:rsidR="00C60DE7">
        <w:rPr>
          <w:szCs w:val="22"/>
        </w:rPr>
        <w:t>měříme</w:t>
      </w:r>
      <w:r w:rsidRPr="00C60977">
        <w:rPr>
          <w:szCs w:val="22"/>
        </w:rPr>
        <w:t xml:space="preserve"> chudobu nepřímo</w:t>
      </w:r>
      <w:r w:rsidR="00AE6B07">
        <w:rPr>
          <w:szCs w:val="22"/>
        </w:rPr>
        <w:t>, neboť u příjmů hraje</w:t>
      </w:r>
      <w:r w:rsidRPr="00C60977">
        <w:rPr>
          <w:szCs w:val="22"/>
        </w:rPr>
        <w:t xml:space="preserve"> rozhodující roli disponibilní příjem. </w:t>
      </w:r>
      <w:r w:rsidR="00CB32A9" w:rsidRPr="00C60977">
        <w:rPr>
          <w:szCs w:val="22"/>
        </w:rPr>
        <w:t>(Krebs a kol., 2015)</w:t>
      </w:r>
      <w:r w:rsidR="00CB32A9">
        <w:rPr>
          <w:szCs w:val="22"/>
        </w:rPr>
        <w:t>.</w:t>
      </w:r>
    </w:p>
    <w:p w14:paraId="7ADC7538" w14:textId="77777777" w:rsidR="00131927" w:rsidRPr="00131927" w:rsidRDefault="001A17A6" w:rsidP="00131927">
      <w:pPr>
        <w:spacing w:before="120" w:after="240" w:line="360" w:lineRule="auto"/>
        <w:ind w:firstLine="454"/>
        <w:jc w:val="both"/>
        <w:rPr>
          <w:b/>
          <w:bCs/>
          <w:i/>
          <w:iCs/>
        </w:rPr>
      </w:pPr>
      <w:r w:rsidRPr="00131927">
        <w:rPr>
          <w:b/>
          <w:bCs/>
          <w:i/>
          <w:iCs/>
        </w:rPr>
        <w:t>Pro měření c</w:t>
      </w:r>
      <w:r w:rsidR="007E521F" w:rsidRPr="00131927">
        <w:rPr>
          <w:b/>
          <w:bCs/>
          <w:i/>
          <w:iCs/>
        </w:rPr>
        <w:t>hudob</w:t>
      </w:r>
      <w:r w:rsidRPr="00131927">
        <w:rPr>
          <w:b/>
          <w:bCs/>
          <w:i/>
          <w:iCs/>
        </w:rPr>
        <w:t>y</w:t>
      </w:r>
      <w:r w:rsidR="007E521F" w:rsidRPr="00131927">
        <w:rPr>
          <w:b/>
          <w:bCs/>
          <w:i/>
          <w:iCs/>
        </w:rPr>
        <w:t xml:space="preserve"> </w:t>
      </w:r>
      <w:r w:rsidRPr="00131927">
        <w:rPr>
          <w:b/>
          <w:bCs/>
          <w:i/>
          <w:iCs/>
        </w:rPr>
        <w:t>existují dva</w:t>
      </w:r>
      <w:r w:rsidR="007E521F" w:rsidRPr="00131927">
        <w:rPr>
          <w:b/>
          <w:bCs/>
          <w:i/>
          <w:iCs/>
        </w:rPr>
        <w:t xml:space="preserve"> způsoby: </w:t>
      </w:r>
    </w:p>
    <w:p w14:paraId="1F586EB7" w14:textId="77777777" w:rsidR="00131927" w:rsidRPr="00131927" w:rsidRDefault="00ED4F16" w:rsidP="00AA5473">
      <w:pPr>
        <w:pStyle w:val="Odstavecseseznamem"/>
        <w:numPr>
          <w:ilvl w:val="0"/>
          <w:numId w:val="19"/>
        </w:numPr>
        <w:spacing w:before="120" w:after="240"/>
        <w:rPr>
          <w:i/>
          <w:iCs/>
          <w:sz w:val="24"/>
        </w:rPr>
      </w:pPr>
      <w:r w:rsidRPr="00131927">
        <w:rPr>
          <w:i/>
          <w:iCs/>
          <w:sz w:val="24"/>
        </w:rPr>
        <w:t>s</w:t>
      </w:r>
      <w:r w:rsidR="000D5D68" w:rsidRPr="00131927">
        <w:rPr>
          <w:i/>
          <w:iCs/>
          <w:sz w:val="24"/>
        </w:rPr>
        <w:t xml:space="preserve">tandardní způsob </w:t>
      </w:r>
      <w:r w:rsidR="00A41545" w:rsidRPr="00131927">
        <w:rPr>
          <w:i/>
          <w:iCs/>
          <w:sz w:val="24"/>
        </w:rPr>
        <w:t>měření neboli tzv. objektivní</w:t>
      </w:r>
      <w:r w:rsidRPr="00131927">
        <w:rPr>
          <w:i/>
          <w:iCs/>
          <w:sz w:val="24"/>
        </w:rPr>
        <w:t>,</w:t>
      </w:r>
      <w:r w:rsidR="000D5D68" w:rsidRPr="00131927">
        <w:rPr>
          <w:i/>
          <w:iCs/>
          <w:sz w:val="24"/>
        </w:rPr>
        <w:t xml:space="preserve"> </w:t>
      </w:r>
    </w:p>
    <w:p w14:paraId="1FD04A85" w14:textId="01D68FD4" w:rsidR="001A17A6" w:rsidRPr="00131927" w:rsidRDefault="001A17A6" w:rsidP="00AA5473">
      <w:pPr>
        <w:pStyle w:val="Odstavecseseznamem"/>
        <w:numPr>
          <w:ilvl w:val="0"/>
          <w:numId w:val="19"/>
        </w:numPr>
        <w:spacing w:before="120" w:after="240"/>
        <w:rPr>
          <w:i/>
          <w:iCs/>
          <w:sz w:val="24"/>
        </w:rPr>
      </w:pPr>
      <w:r w:rsidRPr="00131927">
        <w:rPr>
          <w:i/>
          <w:iCs/>
          <w:sz w:val="24"/>
        </w:rPr>
        <w:t>absolutní metoda,</w:t>
      </w:r>
    </w:p>
    <w:p w14:paraId="71D6E19C" w14:textId="77777777" w:rsidR="00131927" w:rsidRPr="00131927" w:rsidRDefault="001A17A6" w:rsidP="00AA5473">
      <w:pPr>
        <w:pStyle w:val="Odstavecseseznamem"/>
        <w:numPr>
          <w:ilvl w:val="0"/>
          <w:numId w:val="19"/>
        </w:numPr>
        <w:rPr>
          <w:i/>
          <w:iCs/>
          <w:sz w:val="24"/>
        </w:rPr>
      </w:pPr>
      <w:r w:rsidRPr="00131927">
        <w:rPr>
          <w:i/>
          <w:iCs/>
          <w:sz w:val="24"/>
        </w:rPr>
        <w:t>relativní metoda,</w:t>
      </w:r>
    </w:p>
    <w:p w14:paraId="622E40D8" w14:textId="5B9A09CB" w:rsidR="001A17A6" w:rsidRPr="00131927" w:rsidRDefault="00ED4F16" w:rsidP="00AA5473">
      <w:pPr>
        <w:pStyle w:val="Odstavecseseznamem"/>
        <w:numPr>
          <w:ilvl w:val="0"/>
          <w:numId w:val="19"/>
        </w:numPr>
        <w:rPr>
          <w:i/>
          <w:iCs/>
          <w:sz w:val="24"/>
        </w:rPr>
      </w:pPr>
      <w:r w:rsidRPr="00131927">
        <w:rPr>
          <w:i/>
          <w:iCs/>
          <w:sz w:val="24"/>
        </w:rPr>
        <w:t>z</w:t>
      </w:r>
      <w:r w:rsidR="007E521F" w:rsidRPr="00131927">
        <w:rPr>
          <w:i/>
          <w:iCs/>
          <w:sz w:val="24"/>
        </w:rPr>
        <w:t xml:space="preserve">působ </w:t>
      </w:r>
      <w:r w:rsidR="000D5D68" w:rsidRPr="00131927">
        <w:rPr>
          <w:i/>
          <w:iCs/>
          <w:sz w:val="24"/>
        </w:rPr>
        <w:t>sebehodnocení</w:t>
      </w:r>
      <w:r w:rsidR="00A41545" w:rsidRPr="00131927">
        <w:rPr>
          <w:i/>
          <w:iCs/>
          <w:sz w:val="24"/>
        </w:rPr>
        <w:t xml:space="preserve"> tzv. subjektivní.</w:t>
      </w:r>
    </w:p>
    <w:p w14:paraId="64D37044" w14:textId="2C3AA67C" w:rsidR="000014AB" w:rsidRDefault="00264D02" w:rsidP="000014AB">
      <w:pPr>
        <w:spacing w:before="120" w:after="240" w:line="360" w:lineRule="auto"/>
        <w:ind w:firstLine="357"/>
        <w:jc w:val="both"/>
        <w:rPr>
          <w:szCs w:val="20"/>
        </w:rPr>
      </w:pPr>
      <w:r>
        <w:rPr>
          <w:szCs w:val="20"/>
        </w:rPr>
        <w:t>Absolutní metoda se vztahuje k případům, kdy se člověk dostává do stavu, ve kterém není schopen zajistit své primární potřeby (pitn</w:t>
      </w:r>
      <w:r w:rsidR="00A846CC">
        <w:rPr>
          <w:szCs w:val="20"/>
        </w:rPr>
        <w:t>ou</w:t>
      </w:r>
      <w:r>
        <w:rPr>
          <w:szCs w:val="20"/>
        </w:rPr>
        <w:t xml:space="preserve"> voda, potraviny, bydlení apod.)</w:t>
      </w:r>
      <w:r w:rsidR="00A846CC">
        <w:rPr>
          <w:szCs w:val="20"/>
        </w:rPr>
        <w:t>. Relativní metoda je založena na srovnání životní úrovně jedince s průměrnou životní úrovní vztahující se k celé společnosti. Za nejpoužívanější metodu porovnávání životní úrovně je považováno srovnání příjmů s průměrným příjmem. (</w:t>
      </w:r>
      <w:r w:rsidR="00EA0B6C">
        <w:rPr>
          <w:szCs w:val="20"/>
        </w:rPr>
        <w:t>ČSÚ</w:t>
      </w:r>
      <w:r w:rsidR="000014AB">
        <w:rPr>
          <w:szCs w:val="20"/>
        </w:rPr>
        <w:t xml:space="preserve">, </w:t>
      </w:r>
      <w:r w:rsidR="00A846CC">
        <w:rPr>
          <w:szCs w:val="20"/>
        </w:rPr>
        <w:t>Šustová, 2020).</w:t>
      </w:r>
    </w:p>
    <w:p w14:paraId="531DF919" w14:textId="2EB006B1" w:rsidR="00D47373" w:rsidRDefault="000D5D68" w:rsidP="00EC215B">
      <w:pPr>
        <w:spacing w:before="120" w:after="240" w:line="360" w:lineRule="auto"/>
        <w:ind w:firstLine="357"/>
        <w:jc w:val="both"/>
        <w:rPr>
          <w:szCs w:val="20"/>
        </w:rPr>
      </w:pPr>
      <w:r w:rsidRPr="00C60977">
        <w:rPr>
          <w:szCs w:val="22"/>
        </w:rPr>
        <w:t xml:space="preserve">Chudoba bývá ve vyspělých zemích často spojována se státní pomocí chudým, </w:t>
      </w:r>
      <w:r w:rsidR="00671053">
        <w:rPr>
          <w:szCs w:val="22"/>
        </w:rPr>
        <w:t>a tato vyskytující se</w:t>
      </w:r>
      <w:r w:rsidRPr="00C60977">
        <w:rPr>
          <w:szCs w:val="22"/>
        </w:rPr>
        <w:t xml:space="preserve"> chudoba je financována i nejširší celospolečenskou solidaritou. Z tohoto důvodu musí být vedena snahou o účelné a efektivní vynakládání finančních prostředků. Na základě toho je důležité při stanovení oficiální hranice chudoby a při stanovení výše dávek, jež jsou poskytnuty chudým brát v </w:t>
      </w:r>
      <w:r w:rsidRPr="00CB6F23">
        <w:rPr>
          <w:color w:val="000000" w:themeColor="text1"/>
          <w:szCs w:val="22"/>
        </w:rPr>
        <w:t xml:space="preserve">potaz </w:t>
      </w:r>
      <w:r w:rsidR="00CB6F23" w:rsidRPr="00CB6F23">
        <w:rPr>
          <w:color w:val="000000" w:themeColor="text1"/>
          <w:szCs w:val="22"/>
        </w:rPr>
        <w:t>dvě hranice</w:t>
      </w:r>
      <w:r w:rsidRPr="00CB6F23">
        <w:rPr>
          <w:color w:val="000000" w:themeColor="text1"/>
          <w:szCs w:val="22"/>
        </w:rPr>
        <w:t xml:space="preserve">. </w:t>
      </w:r>
      <w:r w:rsidR="00CD5A5C">
        <w:rPr>
          <w:szCs w:val="22"/>
        </w:rPr>
        <w:t>Tou první</w:t>
      </w:r>
      <w:r w:rsidRPr="00C60977">
        <w:rPr>
          <w:szCs w:val="22"/>
        </w:rPr>
        <w:t xml:space="preserve"> je naplnění humánní funkce sociální politiky </w:t>
      </w:r>
      <w:r w:rsidR="00CD5A5C">
        <w:rPr>
          <w:szCs w:val="22"/>
        </w:rPr>
        <w:t>druhou</w:t>
      </w:r>
      <w:r w:rsidRPr="00C60977">
        <w:rPr>
          <w:szCs w:val="22"/>
        </w:rPr>
        <w:t xml:space="preserve"> je</w:t>
      </w:r>
      <w:r w:rsidR="00CD5A5C">
        <w:rPr>
          <w:szCs w:val="22"/>
        </w:rPr>
        <w:t> </w:t>
      </w:r>
      <w:r w:rsidRPr="00C60977">
        <w:rPr>
          <w:szCs w:val="22"/>
        </w:rPr>
        <w:t>zabezpeč</w:t>
      </w:r>
      <w:r w:rsidR="00CD5A5C">
        <w:rPr>
          <w:szCs w:val="22"/>
        </w:rPr>
        <w:t>ení</w:t>
      </w:r>
      <w:r w:rsidRPr="00C60977">
        <w:rPr>
          <w:szCs w:val="22"/>
        </w:rPr>
        <w:t xml:space="preserve"> poskytov</w:t>
      </w:r>
      <w:r w:rsidR="00CD5A5C">
        <w:rPr>
          <w:szCs w:val="22"/>
        </w:rPr>
        <w:t>ání</w:t>
      </w:r>
      <w:r w:rsidRPr="00C60977">
        <w:rPr>
          <w:szCs w:val="22"/>
        </w:rPr>
        <w:t xml:space="preserve"> pomoc</w:t>
      </w:r>
      <w:r w:rsidR="00CD5A5C">
        <w:rPr>
          <w:szCs w:val="22"/>
        </w:rPr>
        <w:t>i</w:t>
      </w:r>
      <w:r w:rsidRPr="00C60977">
        <w:rPr>
          <w:szCs w:val="22"/>
        </w:rPr>
        <w:t xml:space="preserve"> v chudobě, aby se nedostávala do konkurence s pracovními příjmy a zabezpečit, aby distance mezi životem z práce a podpor byla co nejvýraznější a</w:t>
      </w:r>
      <w:r w:rsidR="00CD5A5C">
        <w:rPr>
          <w:szCs w:val="22"/>
        </w:rPr>
        <w:t> </w:t>
      </w:r>
      <w:r w:rsidRPr="00C60977">
        <w:rPr>
          <w:szCs w:val="22"/>
        </w:rPr>
        <w:t>na</w:t>
      </w:r>
      <w:r w:rsidR="00CD5A5C">
        <w:rPr>
          <w:szCs w:val="22"/>
        </w:rPr>
        <w:t> </w:t>
      </w:r>
      <w:r w:rsidRPr="00C60977">
        <w:rPr>
          <w:szCs w:val="22"/>
        </w:rPr>
        <w:t xml:space="preserve">závěr zabezpečit vznik „pasti </w:t>
      </w:r>
      <w:r w:rsidRPr="00CD5A5C">
        <w:rPr>
          <w:color w:val="000000" w:themeColor="text1"/>
          <w:szCs w:val="22"/>
        </w:rPr>
        <w:t xml:space="preserve">chudoby“. </w:t>
      </w:r>
      <w:r w:rsidR="00D96C05">
        <w:rPr>
          <w:color w:val="000000" w:themeColor="text1"/>
          <w:szCs w:val="22"/>
        </w:rPr>
        <w:t>M</w:t>
      </w:r>
      <w:r w:rsidRPr="00CD5A5C">
        <w:rPr>
          <w:color w:val="000000" w:themeColor="text1"/>
          <w:szCs w:val="22"/>
        </w:rPr>
        <w:t xml:space="preserve">ěření chudoby </w:t>
      </w:r>
      <w:r w:rsidR="00671053">
        <w:rPr>
          <w:szCs w:val="22"/>
        </w:rPr>
        <w:t>na základě</w:t>
      </w:r>
      <w:r w:rsidRPr="00C60977">
        <w:rPr>
          <w:szCs w:val="22"/>
        </w:rPr>
        <w:t xml:space="preserve"> sebehodnocení</w:t>
      </w:r>
      <w:r w:rsidR="00671053">
        <w:rPr>
          <w:szCs w:val="22"/>
        </w:rPr>
        <w:t xml:space="preserve">, </w:t>
      </w:r>
      <w:r w:rsidRPr="00C60977">
        <w:rPr>
          <w:szCs w:val="22"/>
        </w:rPr>
        <w:t>vychází z rozmanitých šetření a sond, ve</w:t>
      </w:r>
      <w:r w:rsidR="00CD5A5C">
        <w:rPr>
          <w:szCs w:val="22"/>
        </w:rPr>
        <w:t> </w:t>
      </w:r>
      <w:r w:rsidRPr="00C60977">
        <w:rPr>
          <w:szCs w:val="22"/>
        </w:rPr>
        <w:t>kterých jednotlivci zodpovídají dané otázky, které se týkají jejich aktuálních životních podmínek. Tyto odpovědi tvoří podklad pro stanovení subjektivních hranic chudoby, právě na</w:t>
      </w:r>
      <w:r w:rsidR="00CD5A5C">
        <w:rPr>
          <w:szCs w:val="22"/>
        </w:rPr>
        <w:t> </w:t>
      </w:r>
      <w:r w:rsidRPr="00C60977">
        <w:rPr>
          <w:szCs w:val="22"/>
        </w:rPr>
        <w:t>základě těchto odpovědí je</w:t>
      </w:r>
      <w:r w:rsidR="001E7D38">
        <w:rPr>
          <w:szCs w:val="22"/>
        </w:rPr>
        <w:t> </w:t>
      </w:r>
      <w:r w:rsidRPr="00C60977">
        <w:rPr>
          <w:szCs w:val="22"/>
        </w:rPr>
        <w:t>chudoba zpravidla nadhodnocena oproti způsobům standardním. Na</w:t>
      </w:r>
      <w:r w:rsidR="00CD5A5C">
        <w:rPr>
          <w:szCs w:val="22"/>
        </w:rPr>
        <w:t> </w:t>
      </w:r>
      <w:r w:rsidRPr="00C60977">
        <w:rPr>
          <w:szCs w:val="22"/>
        </w:rPr>
        <w:t xml:space="preserve">základě toho neexistuje v praxi přímé aplikační vodítko, prostřednictvím kterého se stanoví oficiální hranice chudoby, která je primární pro určení výplaty dávek v chudobě. </w:t>
      </w:r>
      <w:r w:rsidR="00CD5A5C" w:rsidRPr="00C60977">
        <w:rPr>
          <w:szCs w:val="22"/>
        </w:rPr>
        <w:t>(Krebs a kol., 2015)</w:t>
      </w:r>
      <w:r w:rsidR="00CD5A5C">
        <w:rPr>
          <w:szCs w:val="22"/>
        </w:rPr>
        <w:t>.</w:t>
      </w:r>
    </w:p>
    <w:p w14:paraId="73DF7131" w14:textId="77777777" w:rsidR="00131927" w:rsidRDefault="00CB2811" w:rsidP="00131927">
      <w:pPr>
        <w:spacing w:before="120" w:after="240" w:line="360" w:lineRule="auto"/>
        <w:ind w:firstLine="357"/>
        <w:jc w:val="both"/>
        <w:rPr>
          <w:szCs w:val="22"/>
        </w:rPr>
      </w:pPr>
      <w:r>
        <w:rPr>
          <w:szCs w:val="22"/>
        </w:rPr>
        <w:t>Je</w:t>
      </w:r>
      <w:r w:rsidR="000D5D68" w:rsidRPr="00C60977">
        <w:rPr>
          <w:szCs w:val="22"/>
        </w:rPr>
        <w:t xml:space="preserve"> důležité rozlišit, </w:t>
      </w:r>
      <w:r>
        <w:rPr>
          <w:szCs w:val="22"/>
        </w:rPr>
        <w:t>jedná-li se</w:t>
      </w:r>
      <w:r w:rsidR="000D5D68" w:rsidRPr="00C60977">
        <w:rPr>
          <w:szCs w:val="22"/>
        </w:rPr>
        <w:t xml:space="preserve"> o preventivní opatření, či o následky zapříčiněné chudobou. Preventivní opatření mají zásadnější význam, jelikož se snaží zavčas řešit chudobu a její výskyt. Preventivními opatřeními je na mysli přijímání mnoha sociálněpolitických opatření, které se</w:t>
      </w:r>
      <w:r w:rsidR="0096346A">
        <w:rPr>
          <w:szCs w:val="22"/>
        </w:rPr>
        <w:t> </w:t>
      </w:r>
      <w:r w:rsidR="000D5D68" w:rsidRPr="00C60977">
        <w:rPr>
          <w:szCs w:val="22"/>
        </w:rPr>
        <w:t>nacházejí v nejrůznějších dílčích sociálních politikách, jež se soustředí na omezení či</w:t>
      </w:r>
      <w:r w:rsidR="0096346A">
        <w:rPr>
          <w:szCs w:val="22"/>
        </w:rPr>
        <w:t> </w:t>
      </w:r>
      <w:r w:rsidR="000D5D68" w:rsidRPr="00C60977">
        <w:rPr>
          <w:szCs w:val="22"/>
        </w:rPr>
        <w:t xml:space="preserve">zmírnění samotné chudoby či příčin jejího výskytu. K preventivním opatřením patří primárně </w:t>
      </w:r>
      <w:r w:rsidR="000D5D68" w:rsidRPr="00C60977">
        <w:rPr>
          <w:szCs w:val="22"/>
        </w:rPr>
        <w:lastRenderedPageBreak/>
        <w:t>adekvátní vzdělávací politika, důchodové zabezpečení, podpora rodin, politika zaměstnanosti atd. Bohužel v současnosti realita výskytu chudoby po celém světě poukazuje, že pouze prevencí s chudobou nelze bojovat a je zapotřebí sociálněpolitických opatření zaměřených na</w:t>
      </w:r>
      <w:r w:rsidR="0096346A">
        <w:rPr>
          <w:szCs w:val="22"/>
        </w:rPr>
        <w:t> </w:t>
      </w:r>
      <w:r w:rsidR="000D5D68" w:rsidRPr="00C60977">
        <w:rPr>
          <w:szCs w:val="22"/>
        </w:rPr>
        <w:t xml:space="preserve">řešení následků (resp. řešení již vyskytlé chudoby). </w:t>
      </w:r>
    </w:p>
    <w:p w14:paraId="15C8BD1F" w14:textId="77777777" w:rsidR="00131927" w:rsidRPr="00131927" w:rsidRDefault="000D5D68" w:rsidP="00131927">
      <w:pPr>
        <w:spacing w:before="120" w:after="240" w:line="360" w:lineRule="auto"/>
        <w:ind w:firstLine="357"/>
        <w:jc w:val="both"/>
        <w:rPr>
          <w:b/>
          <w:bCs/>
          <w:i/>
          <w:iCs/>
        </w:rPr>
      </w:pPr>
      <w:r w:rsidRPr="00131927">
        <w:rPr>
          <w:b/>
          <w:bCs/>
          <w:i/>
          <w:iCs/>
        </w:rPr>
        <w:t xml:space="preserve">Tyto </w:t>
      </w:r>
      <w:r w:rsidR="00D47373" w:rsidRPr="00131927">
        <w:rPr>
          <w:b/>
          <w:bCs/>
          <w:i/>
          <w:iCs/>
        </w:rPr>
        <w:t xml:space="preserve">preventivní </w:t>
      </w:r>
      <w:r w:rsidRPr="00131927">
        <w:rPr>
          <w:b/>
          <w:bCs/>
          <w:i/>
          <w:iCs/>
        </w:rPr>
        <w:t xml:space="preserve">opatření </w:t>
      </w:r>
      <w:r w:rsidR="00EC215B" w:rsidRPr="00131927">
        <w:rPr>
          <w:b/>
          <w:bCs/>
          <w:i/>
          <w:iCs/>
        </w:rPr>
        <w:t>máme</w:t>
      </w:r>
      <w:r w:rsidRPr="00131927">
        <w:rPr>
          <w:b/>
          <w:bCs/>
          <w:i/>
          <w:iCs/>
        </w:rPr>
        <w:t xml:space="preserve"> dvojího druhu</w:t>
      </w:r>
      <w:r w:rsidR="00CB2811" w:rsidRPr="00131927">
        <w:rPr>
          <w:b/>
          <w:bCs/>
          <w:i/>
          <w:iCs/>
        </w:rPr>
        <w:t>:</w:t>
      </w:r>
    </w:p>
    <w:p w14:paraId="5EA90038" w14:textId="77777777" w:rsidR="00131927" w:rsidRPr="00131927" w:rsidRDefault="000D5D68" w:rsidP="00AA5473">
      <w:pPr>
        <w:pStyle w:val="Odstavecseseznamem"/>
        <w:numPr>
          <w:ilvl w:val="0"/>
          <w:numId w:val="20"/>
        </w:numPr>
        <w:spacing w:before="120" w:after="240"/>
        <w:rPr>
          <w:i/>
          <w:iCs/>
          <w:sz w:val="24"/>
        </w:rPr>
      </w:pPr>
      <w:r w:rsidRPr="00131927">
        <w:rPr>
          <w:i/>
          <w:iCs/>
          <w:sz w:val="24"/>
        </w:rPr>
        <w:t xml:space="preserve">záporné zdanění příjmů, </w:t>
      </w:r>
    </w:p>
    <w:p w14:paraId="6E3887E2" w14:textId="6BD828FA" w:rsidR="00CB2811" w:rsidRPr="00131927" w:rsidRDefault="000D5D68" w:rsidP="00AA5473">
      <w:pPr>
        <w:pStyle w:val="Odstavecseseznamem"/>
        <w:numPr>
          <w:ilvl w:val="0"/>
          <w:numId w:val="20"/>
        </w:numPr>
        <w:spacing w:before="120" w:after="240"/>
        <w:rPr>
          <w:i/>
          <w:iCs/>
          <w:sz w:val="24"/>
        </w:rPr>
      </w:pPr>
      <w:r w:rsidRPr="00131927">
        <w:rPr>
          <w:i/>
          <w:iCs/>
          <w:sz w:val="24"/>
        </w:rPr>
        <w:t xml:space="preserve">stanovení minimální příjmové veličiny. </w:t>
      </w:r>
    </w:p>
    <w:p w14:paraId="35DE33FA" w14:textId="4401150D" w:rsidR="00AE679D" w:rsidRDefault="00131927" w:rsidP="0076097F">
      <w:pPr>
        <w:spacing w:before="120" w:after="240" w:line="360" w:lineRule="auto"/>
        <w:ind w:firstLine="360"/>
        <w:jc w:val="both"/>
        <w:rPr>
          <w:szCs w:val="22"/>
        </w:rPr>
      </w:pPr>
      <w:r>
        <w:rPr>
          <w:szCs w:val="22"/>
        </w:rPr>
        <w:t>O</w:t>
      </w:r>
      <w:r w:rsidR="000D5D68" w:rsidRPr="00C60977">
        <w:rPr>
          <w:szCs w:val="22"/>
        </w:rPr>
        <w:t xml:space="preserve">patření vyplývající ze záporného zdanění příjmů, </w:t>
      </w:r>
      <w:r>
        <w:rPr>
          <w:szCs w:val="22"/>
        </w:rPr>
        <w:t>si kladou</w:t>
      </w:r>
      <w:r w:rsidR="000D5D68" w:rsidRPr="00C60977">
        <w:rPr>
          <w:szCs w:val="22"/>
        </w:rPr>
        <w:t xml:space="preserve"> za cíl poskytnout jednotnou, viditelnou a lidsky důstojnou finanční pomoc chudé populaci a usiluje o zjednodušení a</w:t>
      </w:r>
      <w:r>
        <w:rPr>
          <w:szCs w:val="22"/>
        </w:rPr>
        <w:t> </w:t>
      </w:r>
      <w:r w:rsidR="000D5D68" w:rsidRPr="00C60977">
        <w:rPr>
          <w:szCs w:val="22"/>
        </w:rPr>
        <w:t xml:space="preserve">zefektivnění náročné administrativy, jež je spojena s poskytováním podpor v chudobě. Dále usiluje, aby se občanům dostávalo ekonomických pobídek k práci a nezbavovat je tak osobní odpovědnosti za vlastní životní podmínky. Podstata této myšlenky je velice jednoduchá. Hlavní roli zde hraje určitá výše příjmu, u které pokud jedinec nedosahuje určité výše příjmu a nachází se tak pod konkrétní hranicí, je jeho příjem dorovnáván tzv. zápornou důchodovou daní. Při tomto opatření se setkáváme s řadou zásadních problémů, například jak stanovit již zmíněnou hranici příjmů atd. Řešení chudoby prostřednictvím tohoto opatření je plošné, a tím zpravidla i náročné </w:t>
      </w:r>
      <w:r w:rsidR="00C44FFD">
        <w:rPr>
          <w:szCs w:val="22"/>
        </w:rPr>
        <w:t>vzhledem k</w:t>
      </w:r>
      <w:r w:rsidR="000D5D68" w:rsidRPr="00C60977">
        <w:rPr>
          <w:szCs w:val="22"/>
        </w:rPr>
        <w:t xml:space="preserve"> ekonomický</w:t>
      </w:r>
      <w:r w:rsidR="00C44FFD">
        <w:rPr>
          <w:szCs w:val="22"/>
        </w:rPr>
        <w:t>m</w:t>
      </w:r>
      <w:r w:rsidR="000D5D68" w:rsidRPr="00C60977">
        <w:rPr>
          <w:szCs w:val="22"/>
        </w:rPr>
        <w:t xml:space="preserve"> zdrojů</w:t>
      </w:r>
      <w:r w:rsidR="00C44FFD">
        <w:rPr>
          <w:szCs w:val="22"/>
        </w:rPr>
        <w:t>m</w:t>
      </w:r>
      <w:r w:rsidR="000D5D68" w:rsidRPr="00C60977">
        <w:rPr>
          <w:szCs w:val="22"/>
        </w:rPr>
        <w:t>. Jak jsme si již řekli, preventivní opatření jsou dvojího druhu, přejděme tedy k opatření týkající se stanovení minimální příjmové veličiny.  Jedná se o nejčastější způsob, kterým se řeší chudoba, tento způsob je soustředěn především na již existující chudobu. Jedná se jak o sociální konstrukty, jež jsou především vytvořeny k jiným účelům nežli k řešení chudoby, tak</w:t>
      </w:r>
      <w:r w:rsidR="00EC215B">
        <w:rPr>
          <w:szCs w:val="22"/>
        </w:rPr>
        <w:t> </w:t>
      </w:r>
      <w:r w:rsidR="000D5D68" w:rsidRPr="00C60977">
        <w:rPr>
          <w:szCs w:val="22"/>
        </w:rPr>
        <w:t>o</w:t>
      </w:r>
      <w:r w:rsidR="00EC215B">
        <w:rPr>
          <w:szCs w:val="22"/>
        </w:rPr>
        <w:t> </w:t>
      </w:r>
      <w:r w:rsidR="000D5D68" w:rsidRPr="00C60977">
        <w:rPr>
          <w:szCs w:val="22"/>
        </w:rPr>
        <w:t>konstrukty minimálního garantovaného příjmu občana. Mezi sociální konstrukty spadá například minimální mzda a</w:t>
      </w:r>
      <w:r>
        <w:rPr>
          <w:szCs w:val="22"/>
        </w:rPr>
        <w:t> </w:t>
      </w:r>
      <w:r w:rsidR="000D5D68" w:rsidRPr="00C60977">
        <w:rPr>
          <w:szCs w:val="22"/>
        </w:rPr>
        <w:t>minimální starobní důchod. Konstrukty minimálního garantovaného příjmu občana často označují životní minimum, ale také je jimi označováno sociální minimum, existenční minimum apod. V České republice se v praxi naší sociální politiky využívá pro řešení chudoby institut životního minima</w:t>
      </w:r>
      <w:r w:rsidR="00706127">
        <w:rPr>
          <w:szCs w:val="22"/>
        </w:rPr>
        <w:t>.</w:t>
      </w:r>
      <w:r w:rsidR="000D5D68" w:rsidRPr="00C60977">
        <w:rPr>
          <w:szCs w:val="22"/>
        </w:rPr>
        <w:t xml:space="preserve"> Pokud srovnáme životní minimum s minimální mzdou, tak jde o vhodnější způsob řešení chudoby, protože minimální mzda je pouze dílčím opatřením, tzn. že může, ale</w:t>
      </w:r>
      <w:r>
        <w:rPr>
          <w:szCs w:val="22"/>
        </w:rPr>
        <w:t> </w:t>
      </w:r>
      <w:r w:rsidR="000D5D68" w:rsidRPr="00C60977">
        <w:rPr>
          <w:szCs w:val="22"/>
        </w:rPr>
        <w:t>nemusí samotnou chudobu řešit, dokonce může dojít i k prohloubení chudoby. Při stanovení minimální mzdy se klade důraz na to, aby</w:t>
      </w:r>
      <w:r w:rsidR="00706127">
        <w:rPr>
          <w:szCs w:val="22"/>
        </w:rPr>
        <w:t> </w:t>
      </w:r>
      <w:r w:rsidR="000D5D68" w:rsidRPr="00C60977">
        <w:rPr>
          <w:szCs w:val="22"/>
        </w:rPr>
        <w:t>výše této mzdy kryla výdaje na základní společensky uznané minimální životní potřeby samotného jedince. Smyslem minimální mzdy není primárně řešení chudoby, ale navýšení příjmu nejhůře placených pracovníků, a zároveň je chránit před extrémně nízkými výdělky ze</w:t>
      </w:r>
      <w:r w:rsidR="00706127">
        <w:rPr>
          <w:szCs w:val="22"/>
        </w:rPr>
        <w:t> </w:t>
      </w:r>
      <w:r w:rsidR="000D5D68" w:rsidRPr="00C60977">
        <w:rPr>
          <w:szCs w:val="22"/>
        </w:rPr>
        <w:t xml:space="preserve">stran zaměstnavatelů. Sporný význam pro řešení chudoby </w:t>
      </w:r>
      <w:r w:rsidR="000D5D68" w:rsidRPr="00C60977">
        <w:rPr>
          <w:szCs w:val="22"/>
        </w:rPr>
        <w:lastRenderedPageBreak/>
        <w:t>spočívá v situaci, kdy nejhůře placené pracovní síly mohou tuto situaci zhoršovat, neboť zaměstnavatelé se mohou takto vysokým minimálním mzdám bránit tak, že své pracovníky, jež pobírají tuto mzdu propustit. Minimální mzda může vést i k nárůstu chudoby, z důvodu zvýšení nezaměstnanosti. Mezi další opatření, jež spadají pod minimální příjmové veličiny patří i</w:t>
      </w:r>
      <w:r w:rsidR="00EC215B">
        <w:rPr>
          <w:szCs w:val="22"/>
        </w:rPr>
        <w:t> </w:t>
      </w:r>
      <w:r w:rsidR="000D5D68" w:rsidRPr="00C60977">
        <w:rPr>
          <w:szCs w:val="22"/>
        </w:rPr>
        <w:t>životní minimum. Životní minimum patří mezi ty relativně nejvhodnější opatření. Jedná se</w:t>
      </w:r>
      <w:r w:rsidR="00EC215B">
        <w:rPr>
          <w:szCs w:val="22"/>
        </w:rPr>
        <w:t> </w:t>
      </w:r>
      <w:r w:rsidR="000D5D68" w:rsidRPr="00C60977">
        <w:rPr>
          <w:szCs w:val="22"/>
        </w:rPr>
        <w:t>v podstatě o situaci, kdy</w:t>
      </w:r>
      <w:r w:rsidR="00706127">
        <w:rPr>
          <w:szCs w:val="22"/>
        </w:rPr>
        <w:t> </w:t>
      </w:r>
      <w:r w:rsidR="000D5D68" w:rsidRPr="00C60977">
        <w:rPr>
          <w:szCs w:val="22"/>
        </w:rPr>
        <w:t xml:space="preserve">občané ze svých příjmů platí daně, ale jakmile jejich čisté příjmy nedosahují určité společensky uznané minimální hranice, jsou tyto příjmy dorovnávány státem prostřednictvím dávek. </w:t>
      </w:r>
      <w:r>
        <w:rPr>
          <w:szCs w:val="22"/>
        </w:rPr>
        <w:t>Životní minimum bylo blíže popsáno</w:t>
      </w:r>
      <w:r w:rsidR="000D5D68" w:rsidRPr="00C60977">
        <w:rPr>
          <w:szCs w:val="22"/>
        </w:rPr>
        <w:t xml:space="preserve"> v 1. kapitole. Mimo jiné, od</w:t>
      </w:r>
      <w:r w:rsidR="00EC215B">
        <w:rPr>
          <w:szCs w:val="22"/>
        </w:rPr>
        <w:t> </w:t>
      </w:r>
      <w:r w:rsidR="000D5D68" w:rsidRPr="00C60977">
        <w:rPr>
          <w:szCs w:val="22"/>
        </w:rPr>
        <w:t>roku 2007 byl v České republice zaveden do sociálněpolitické praxe i konstrukt tzv.</w:t>
      </w:r>
      <w:r w:rsidR="00EC215B">
        <w:rPr>
          <w:szCs w:val="22"/>
        </w:rPr>
        <w:t> </w:t>
      </w:r>
      <w:r w:rsidR="000D5D68" w:rsidRPr="00C60977">
        <w:rPr>
          <w:szCs w:val="22"/>
        </w:rPr>
        <w:t>existenční minimum, což představuje snahu posílit motivaci občanů k práci, a tak i snahu o jejich soběstačnost. Existenční minimum představuje minimální hranici příjmu, jež je</w:t>
      </w:r>
      <w:r w:rsidR="00EC215B">
        <w:rPr>
          <w:szCs w:val="22"/>
        </w:rPr>
        <w:t> </w:t>
      </w:r>
      <w:r w:rsidR="000D5D68" w:rsidRPr="00C60977">
        <w:rPr>
          <w:szCs w:val="22"/>
        </w:rPr>
        <w:t>považován za</w:t>
      </w:r>
      <w:r>
        <w:rPr>
          <w:szCs w:val="22"/>
        </w:rPr>
        <w:t> </w:t>
      </w:r>
      <w:r w:rsidR="000D5D68" w:rsidRPr="00C60977">
        <w:rPr>
          <w:szCs w:val="22"/>
        </w:rPr>
        <w:t xml:space="preserve">nezbytný k zajištění výživy a dalších základních potřeb jedinců, a to na úrovni jež umožňuje samotné přežití. Toto minimum </w:t>
      </w:r>
      <w:r w:rsidR="000D5D68" w:rsidRPr="00C60977">
        <w:t>je určeno</w:t>
      </w:r>
      <w:r w:rsidR="000D5D68" w:rsidRPr="00C60977">
        <w:rPr>
          <w:szCs w:val="22"/>
        </w:rPr>
        <w:t xml:space="preserve"> jedincům, kteří se ocitají v situaci hmotné nouze a</w:t>
      </w:r>
      <w:r>
        <w:rPr>
          <w:szCs w:val="22"/>
        </w:rPr>
        <w:t> </w:t>
      </w:r>
      <w:r w:rsidR="000D5D68" w:rsidRPr="00C60977">
        <w:rPr>
          <w:szCs w:val="22"/>
        </w:rPr>
        <w:t>kteří můžeme říci v ní „účelově“ setrvávají. Příkladem takové účelové situace může být jedince, který si dostatečně aktivně nehledá pracovní uplatnění, nebo jedinec, který přišel o</w:t>
      </w:r>
      <w:r>
        <w:rPr>
          <w:szCs w:val="22"/>
        </w:rPr>
        <w:t> </w:t>
      </w:r>
      <w:r w:rsidR="000D5D68" w:rsidRPr="00C60977">
        <w:rPr>
          <w:szCs w:val="22"/>
        </w:rPr>
        <w:t>pracovní místo v důsledku svého osobního zavinění například z důvodu kázně, morálky, porušení předpisů apod. Výše existenčního minima, je oproti tomu životnímu minimu nižší. Je</w:t>
      </w:r>
      <w:r>
        <w:rPr>
          <w:szCs w:val="22"/>
        </w:rPr>
        <w:t> </w:t>
      </w:r>
      <w:r w:rsidR="000D5D68" w:rsidRPr="00C60977">
        <w:rPr>
          <w:szCs w:val="22"/>
        </w:rPr>
        <w:t>také velice důležité zmínit, že obě tyto minima, jak životní, tak existenční nezahrnuje ve své částce náklady na</w:t>
      </w:r>
      <w:r w:rsidR="00706127">
        <w:rPr>
          <w:szCs w:val="22"/>
        </w:rPr>
        <w:t> </w:t>
      </w:r>
      <w:r w:rsidR="000D5D68" w:rsidRPr="00C60977">
        <w:rPr>
          <w:szCs w:val="22"/>
        </w:rPr>
        <w:t>bydlení. Ochrana bydlení se řeší v rámci jak státní sociální podpory formou příspěvku na</w:t>
      </w:r>
      <w:r w:rsidR="00706127">
        <w:rPr>
          <w:szCs w:val="22"/>
        </w:rPr>
        <w:t> </w:t>
      </w:r>
      <w:r w:rsidR="000D5D68" w:rsidRPr="00C60977">
        <w:rPr>
          <w:szCs w:val="22"/>
        </w:rPr>
        <w:t>bydlení, tak</w:t>
      </w:r>
      <w:r w:rsidR="00706127">
        <w:rPr>
          <w:szCs w:val="22"/>
        </w:rPr>
        <w:t> </w:t>
      </w:r>
      <w:r w:rsidR="000D5D68" w:rsidRPr="00C60977">
        <w:rPr>
          <w:szCs w:val="22"/>
        </w:rPr>
        <w:t>v rámci systému pomoci v hmotné nouzi formou doplatku na</w:t>
      </w:r>
      <w:r w:rsidR="00EC215B">
        <w:rPr>
          <w:szCs w:val="22"/>
        </w:rPr>
        <w:t> </w:t>
      </w:r>
      <w:r w:rsidR="000D5D68" w:rsidRPr="00C60977">
        <w:rPr>
          <w:szCs w:val="22"/>
        </w:rPr>
        <w:t>bydlení. Samotné řešení chudoby prostřednictvím existenčního a životního minima je</w:t>
      </w:r>
      <w:r w:rsidR="00EC215B">
        <w:rPr>
          <w:szCs w:val="22"/>
        </w:rPr>
        <w:t> </w:t>
      </w:r>
      <w:r w:rsidR="000D5D68" w:rsidRPr="00C60977">
        <w:rPr>
          <w:szCs w:val="22"/>
        </w:rPr>
        <w:t>založeno na</w:t>
      </w:r>
      <w:r w:rsidR="00706127">
        <w:rPr>
          <w:szCs w:val="22"/>
        </w:rPr>
        <w:t> </w:t>
      </w:r>
      <w:r w:rsidR="000D5D68" w:rsidRPr="00C60977">
        <w:rPr>
          <w:szCs w:val="22"/>
        </w:rPr>
        <w:t xml:space="preserve">celospolečenské solidaritě, tzn. založeno na dávkách, jejichž financování </w:t>
      </w:r>
      <w:r w:rsidR="00EC215B">
        <w:rPr>
          <w:szCs w:val="22"/>
        </w:rPr>
        <w:t>pochází</w:t>
      </w:r>
      <w:r w:rsidR="000D5D68" w:rsidRPr="00C60977">
        <w:rPr>
          <w:szCs w:val="22"/>
        </w:rPr>
        <w:t xml:space="preserve"> z daní daňových poplatníků. (Krebs a kol., 2015)</w:t>
      </w:r>
      <w:r w:rsidR="00CD5A5C">
        <w:rPr>
          <w:szCs w:val="22"/>
        </w:rPr>
        <w:t>.</w:t>
      </w:r>
    </w:p>
    <w:p w14:paraId="72807B82" w14:textId="45750AFA" w:rsidR="00706127" w:rsidRPr="00131927" w:rsidRDefault="00706127" w:rsidP="00706127">
      <w:pPr>
        <w:spacing w:before="120" w:after="240" w:line="360" w:lineRule="auto"/>
        <w:ind w:firstLine="360"/>
        <w:jc w:val="both"/>
        <w:rPr>
          <w:b/>
          <w:bCs/>
          <w:i/>
          <w:iCs/>
        </w:rPr>
      </w:pPr>
      <w:r w:rsidRPr="00131927">
        <w:rPr>
          <w:b/>
          <w:bCs/>
          <w:i/>
          <w:iCs/>
        </w:rPr>
        <w:t>Nejvíce chudobou ohroženými skupinami jsou:</w:t>
      </w:r>
    </w:p>
    <w:p w14:paraId="32DDD803" w14:textId="0C38848B" w:rsidR="00706127" w:rsidRPr="00131927" w:rsidRDefault="00706127" w:rsidP="00AA5473">
      <w:pPr>
        <w:pStyle w:val="Odstavecseseznamem"/>
        <w:numPr>
          <w:ilvl w:val="0"/>
          <w:numId w:val="13"/>
        </w:numPr>
        <w:spacing w:before="120" w:after="240"/>
        <w:rPr>
          <w:i/>
          <w:iCs/>
          <w:sz w:val="24"/>
        </w:rPr>
      </w:pPr>
      <w:r w:rsidRPr="00131927">
        <w:rPr>
          <w:i/>
          <w:iCs/>
          <w:sz w:val="24"/>
        </w:rPr>
        <w:t>děti</w:t>
      </w:r>
      <w:r w:rsidR="006C08F7" w:rsidRPr="00131927">
        <w:rPr>
          <w:i/>
          <w:iCs/>
          <w:sz w:val="24"/>
        </w:rPr>
        <w:t xml:space="preserve"> a mládež,</w:t>
      </w:r>
    </w:p>
    <w:p w14:paraId="1EA1264D" w14:textId="432D1079" w:rsidR="00706127" w:rsidRPr="00131927" w:rsidRDefault="00706127" w:rsidP="00AA5473">
      <w:pPr>
        <w:pStyle w:val="Odstavecseseznamem"/>
        <w:numPr>
          <w:ilvl w:val="0"/>
          <w:numId w:val="13"/>
        </w:numPr>
        <w:spacing w:before="120" w:after="240"/>
        <w:rPr>
          <w:i/>
          <w:iCs/>
          <w:sz w:val="24"/>
        </w:rPr>
      </w:pPr>
      <w:r w:rsidRPr="00131927">
        <w:rPr>
          <w:i/>
          <w:iCs/>
          <w:sz w:val="24"/>
        </w:rPr>
        <w:t>rodiny,</w:t>
      </w:r>
    </w:p>
    <w:p w14:paraId="1B0EFDA5" w14:textId="03B4ADB5" w:rsidR="00706127" w:rsidRPr="00131927" w:rsidRDefault="00706127" w:rsidP="00AA5473">
      <w:pPr>
        <w:pStyle w:val="Odstavecseseznamem"/>
        <w:numPr>
          <w:ilvl w:val="0"/>
          <w:numId w:val="13"/>
        </w:numPr>
        <w:spacing w:before="120" w:after="240"/>
        <w:rPr>
          <w:i/>
          <w:iCs/>
          <w:sz w:val="24"/>
        </w:rPr>
      </w:pPr>
      <w:r w:rsidRPr="00131927">
        <w:rPr>
          <w:i/>
          <w:iCs/>
          <w:sz w:val="24"/>
        </w:rPr>
        <w:t>důchodci.</w:t>
      </w:r>
    </w:p>
    <w:p w14:paraId="6088B348" w14:textId="787AE9F5" w:rsidR="00131927" w:rsidRDefault="00706127" w:rsidP="00D552A1">
      <w:pPr>
        <w:spacing w:before="120" w:after="240" w:line="360" w:lineRule="auto"/>
        <w:ind w:firstLine="709"/>
        <w:jc w:val="both"/>
      </w:pPr>
      <w:r>
        <w:t xml:space="preserve">Tyto </w:t>
      </w:r>
      <w:r w:rsidR="00D12E34">
        <w:t>tři</w:t>
      </w:r>
      <w:r>
        <w:t xml:space="preserve"> výše zmíněné skupiny mají největší předpoklad výskytu chudoby. U prvních </w:t>
      </w:r>
      <w:r w:rsidR="006C08F7">
        <w:t>dvou</w:t>
      </w:r>
      <w:r>
        <w:t xml:space="preserve"> skupin se jedná o „zvláštní skupinu chudých“. Vezmeme-li si děti, tak o ty by měli pečovat rodiče, z toho důvodu se jejich chudoba odvíjí od chudoby rodičů</w:t>
      </w:r>
      <w:r w:rsidR="006C4960">
        <w:t xml:space="preserve">. Jelikož se děti </w:t>
      </w:r>
      <w:r>
        <w:t>nepodílejí na</w:t>
      </w:r>
      <w:r w:rsidR="006C08F7">
        <w:t> </w:t>
      </w:r>
      <w:r>
        <w:t>získá</w:t>
      </w:r>
      <w:r w:rsidR="006C4960">
        <w:t>vání</w:t>
      </w:r>
      <w:r>
        <w:t xml:space="preserve"> příjmů rodiny, </w:t>
      </w:r>
      <w:r w:rsidR="006C4960">
        <w:t>platí pravidlo</w:t>
      </w:r>
      <w:r w:rsidR="006C08F7">
        <w:t>,</w:t>
      </w:r>
      <w:r w:rsidR="006C4960">
        <w:t xml:space="preserve"> že čím je počet dětí v rodině vyšší, tím vyšší </w:t>
      </w:r>
      <w:r w:rsidR="006C08F7">
        <w:t xml:space="preserve">je </w:t>
      </w:r>
      <w:r w:rsidR="006C4960">
        <w:t>riziko výskytu chudoby.</w:t>
      </w:r>
      <w:r w:rsidR="00D12E34">
        <w:t xml:space="preserve">  Nejčastěji se chudoba vyskytuje u obyvatel pokročilého věku, a to zejména </w:t>
      </w:r>
      <w:r w:rsidR="00D12E34">
        <w:lastRenderedPageBreak/>
        <w:t>u těch, kteří se nacházejí ve velmi špatném zdravotním stavu, nebo u těch osob, kteří žijí osamoceně. Chudoba je u této skupiny je také zapříčiněna vyloučením z trhu práce, neboť důchody nedosahují takové výše jako běžný příjem z pracovněprávních vztahů, vzápětí toho tak dochází k poklesu životní úrovně. (Mareš, 1999).</w:t>
      </w:r>
    </w:p>
    <w:p w14:paraId="091BF35D" w14:textId="3B745C67" w:rsidR="00246FDC" w:rsidRPr="00D12E34" w:rsidRDefault="00131927" w:rsidP="00131927">
      <w:r>
        <w:br w:type="page"/>
      </w:r>
    </w:p>
    <w:p w14:paraId="30B3CC44" w14:textId="11E55E5D" w:rsidR="000D5D68" w:rsidRPr="00C60977" w:rsidRDefault="004C1324" w:rsidP="000263E8">
      <w:pPr>
        <w:pStyle w:val="Nadpis1"/>
        <w:ind w:left="431" w:hanging="431"/>
      </w:pPr>
      <w:bookmarkStart w:id="11" w:name="_Toc46142333"/>
      <w:r>
        <w:lastRenderedPageBreak/>
        <w:t xml:space="preserve">ROLE </w:t>
      </w:r>
      <w:r w:rsidR="000D5D68" w:rsidRPr="00C60977">
        <w:t>HOSPODÁŘSK</w:t>
      </w:r>
      <w:r>
        <w:t>É</w:t>
      </w:r>
      <w:r w:rsidR="000D5D68" w:rsidRPr="00C60977">
        <w:t xml:space="preserve"> A SOCIÁLNÍ POLITIK</w:t>
      </w:r>
      <w:r>
        <w:t>Y V OBLASTI ŽIVOTNÍ ÚROVNĚ</w:t>
      </w:r>
      <w:bookmarkEnd w:id="11"/>
      <w:r w:rsidR="000D5D68" w:rsidRPr="00C60977">
        <w:t xml:space="preserve"> </w:t>
      </w:r>
    </w:p>
    <w:p w14:paraId="24E6B6D3" w14:textId="2886C10B" w:rsidR="006B2E9B" w:rsidRDefault="000D5D68" w:rsidP="00EC215B">
      <w:pPr>
        <w:spacing w:before="120" w:after="240" w:line="360" w:lineRule="auto"/>
        <w:ind w:firstLine="454"/>
        <w:jc w:val="both"/>
        <w:rPr>
          <w:szCs w:val="22"/>
        </w:rPr>
      </w:pPr>
      <w:r w:rsidRPr="00C60977">
        <w:rPr>
          <w:szCs w:val="22"/>
        </w:rPr>
        <w:t xml:space="preserve">Veškeré oblasti rozvoje </w:t>
      </w:r>
      <w:r w:rsidR="006B2E9B">
        <w:rPr>
          <w:szCs w:val="22"/>
        </w:rPr>
        <w:t xml:space="preserve">lidského </w:t>
      </w:r>
      <w:r w:rsidRPr="00C60977">
        <w:rPr>
          <w:szCs w:val="22"/>
        </w:rPr>
        <w:t xml:space="preserve">života mají vzájemný vztah a </w:t>
      </w:r>
      <w:r w:rsidR="006B2E9B">
        <w:rPr>
          <w:szCs w:val="22"/>
        </w:rPr>
        <w:t>jistým způsobem jsou</w:t>
      </w:r>
      <w:r w:rsidRPr="00C60977">
        <w:rPr>
          <w:szCs w:val="22"/>
        </w:rPr>
        <w:t xml:space="preserve"> spolu spjaty a podmíněny</w:t>
      </w:r>
      <w:r w:rsidR="006B2E9B">
        <w:rPr>
          <w:szCs w:val="22"/>
        </w:rPr>
        <w:t xml:space="preserve">, tudíž nelze </w:t>
      </w:r>
      <w:r w:rsidRPr="00C60977">
        <w:rPr>
          <w:szCs w:val="22"/>
        </w:rPr>
        <w:t>tvrdit, že jsou na světě problémy povahy čistě hospodářské, nebo čistě sociální</w:t>
      </w:r>
      <w:r w:rsidR="006B2E9B">
        <w:rPr>
          <w:szCs w:val="22"/>
        </w:rPr>
        <w:t>. Ve všech případech se v</w:t>
      </w:r>
      <w:r w:rsidRPr="00C60977">
        <w:rPr>
          <w:szCs w:val="22"/>
        </w:rPr>
        <w:t xml:space="preserve">ždy </w:t>
      </w:r>
      <w:r w:rsidR="006B2E9B">
        <w:rPr>
          <w:szCs w:val="22"/>
        </w:rPr>
        <w:t>jedná</w:t>
      </w:r>
      <w:r w:rsidRPr="00C60977">
        <w:rPr>
          <w:szCs w:val="22"/>
        </w:rPr>
        <w:t xml:space="preserve"> o </w:t>
      </w:r>
      <w:r w:rsidR="006B2E9B">
        <w:rPr>
          <w:szCs w:val="22"/>
        </w:rPr>
        <w:t>jejich kombinaci</w:t>
      </w:r>
      <w:r w:rsidRPr="00C60977">
        <w:rPr>
          <w:szCs w:val="22"/>
        </w:rPr>
        <w:t>. Samozřejmě že</w:t>
      </w:r>
      <w:r w:rsidR="006B2E9B">
        <w:rPr>
          <w:szCs w:val="22"/>
        </w:rPr>
        <w:t> </w:t>
      </w:r>
      <w:r w:rsidRPr="00C60977">
        <w:rPr>
          <w:szCs w:val="22"/>
        </w:rPr>
        <w:t>pokaždé se bude jednat o daný problém, u kterého bude jedna z těchto povah</w:t>
      </w:r>
      <w:r w:rsidR="006B2E9B">
        <w:rPr>
          <w:szCs w:val="22"/>
        </w:rPr>
        <w:t>, ať už ekonomická, či sociální,</w:t>
      </w:r>
      <w:r w:rsidRPr="00C60977">
        <w:rPr>
          <w:szCs w:val="22"/>
        </w:rPr>
        <w:t xml:space="preserve"> více převládat. </w:t>
      </w:r>
    </w:p>
    <w:p w14:paraId="0C61B892" w14:textId="45D27739" w:rsidR="00B23709" w:rsidRPr="00BC1E5D" w:rsidRDefault="006B2E9B" w:rsidP="00EC215B">
      <w:pPr>
        <w:spacing w:before="120" w:after="240" w:line="360" w:lineRule="auto"/>
        <w:ind w:firstLine="454"/>
        <w:jc w:val="both"/>
        <w:rPr>
          <w:szCs w:val="22"/>
        </w:rPr>
      </w:pPr>
      <w:r>
        <w:rPr>
          <w:szCs w:val="22"/>
        </w:rPr>
        <w:t>H</w:t>
      </w:r>
      <w:r w:rsidR="000D5D68" w:rsidRPr="00C60977">
        <w:rPr>
          <w:szCs w:val="22"/>
        </w:rPr>
        <w:t xml:space="preserve">ospodářská a sociální politika </w:t>
      </w:r>
      <w:r>
        <w:rPr>
          <w:szCs w:val="22"/>
        </w:rPr>
        <w:t>jsou dvě</w:t>
      </w:r>
      <w:r w:rsidR="000D5D68" w:rsidRPr="00C60977">
        <w:rPr>
          <w:szCs w:val="22"/>
        </w:rPr>
        <w:t xml:space="preserve"> relativn</w:t>
      </w:r>
      <w:r>
        <w:rPr>
          <w:szCs w:val="22"/>
        </w:rPr>
        <w:t>ě</w:t>
      </w:r>
      <w:r w:rsidR="000D5D68" w:rsidRPr="00C60977">
        <w:rPr>
          <w:szCs w:val="22"/>
        </w:rPr>
        <w:t xml:space="preserve"> samostatn</w:t>
      </w:r>
      <w:r>
        <w:rPr>
          <w:szCs w:val="22"/>
        </w:rPr>
        <w:t>é</w:t>
      </w:r>
      <w:r w:rsidR="000D5D68" w:rsidRPr="00C60977">
        <w:rPr>
          <w:szCs w:val="22"/>
        </w:rPr>
        <w:t xml:space="preserve"> oblast</w:t>
      </w:r>
      <w:r>
        <w:rPr>
          <w:szCs w:val="22"/>
        </w:rPr>
        <w:t>i</w:t>
      </w:r>
      <w:r w:rsidR="000D5D68" w:rsidRPr="00C60977">
        <w:rPr>
          <w:szCs w:val="22"/>
        </w:rPr>
        <w:t xml:space="preserve"> činnost</w:t>
      </w:r>
      <w:r>
        <w:rPr>
          <w:szCs w:val="22"/>
        </w:rPr>
        <w:t>í</w:t>
      </w:r>
      <w:r w:rsidR="000D5D68" w:rsidRPr="00C60977">
        <w:rPr>
          <w:szCs w:val="22"/>
        </w:rPr>
        <w:t xml:space="preserve"> státu, </w:t>
      </w:r>
      <w:r>
        <w:rPr>
          <w:szCs w:val="22"/>
        </w:rPr>
        <w:t>a</w:t>
      </w:r>
      <w:r w:rsidR="00EC215B">
        <w:rPr>
          <w:szCs w:val="22"/>
        </w:rPr>
        <w:t> </w:t>
      </w:r>
      <w:r>
        <w:rPr>
          <w:szCs w:val="22"/>
        </w:rPr>
        <w:t>i</w:t>
      </w:r>
      <w:r w:rsidR="00EC215B">
        <w:rPr>
          <w:szCs w:val="22"/>
        </w:rPr>
        <w:t> </w:t>
      </w:r>
      <w:r>
        <w:rPr>
          <w:szCs w:val="22"/>
        </w:rPr>
        <w:t xml:space="preserve">přesto </w:t>
      </w:r>
      <w:r w:rsidR="000D5D68" w:rsidRPr="00C60977">
        <w:rPr>
          <w:szCs w:val="22"/>
        </w:rPr>
        <w:t xml:space="preserve">dochází k jejich častému střetávání v mnoha problémech </w:t>
      </w:r>
      <w:r>
        <w:rPr>
          <w:szCs w:val="22"/>
        </w:rPr>
        <w:t>a</w:t>
      </w:r>
      <w:r w:rsidR="000D5D68" w:rsidRPr="00C60977">
        <w:rPr>
          <w:szCs w:val="22"/>
        </w:rPr>
        <w:t xml:space="preserve"> situacích. Mezi těmito dvěma politikami se nacházejí velmi těsné vazby a souvislosti, u kterým zřídka kdy můžeme zaznamenat </w:t>
      </w:r>
      <w:r>
        <w:rPr>
          <w:szCs w:val="22"/>
        </w:rPr>
        <w:t xml:space="preserve">jasnou </w:t>
      </w:r>
      <w:r w:rsidR="000D5D68" w:rsidRPr="00C60977">
        <w:rPr>
          <w:szCs w:val="22"/>
        </w:rPr>
        <w:t xml:space="preserve">hranici, jež by tyto dvě politiky oddělovala. Následující podkapitoly jsou věnovány </w:t>
      </w:r>
      <w:r>
        <w:rPr>
          <w:szCs w:val="22"/>
        </w:rPr>
        <w:t xml:space="preserve">právě </w:t>
      </w:r>
      <w:r w:rsidR="000D5D68" w:rsidRPr="00C60977">
        <w:rPr>
          <w:szCs w:val="22"/>
        </w:rPr>
        <w:t xml:space="preserve">souvislostem a konkrétním vazbám </w:t>
      </w:r>
      <w:r>
        <w:rPr>
          <w:szCs w:val="22"/>
        </w:rPr>
        <w:t xml:space="preserve">jak </w:t>
      </w:r>
      <w:r w:rsidR="000D5D68" w:rsidRPr="00C60977">
        <w:rPr>
          <w:szCs w:val="22"/>
        </w:rPr>
        <w:t>ekonomické</w:t>
      </w:r>
      <w:r>
        <w:rPr>
          <w:szCs w:val="22"/>
        </w:rPr>
        <w:t>, tak</w:t>
      </w:r>
      <w:r w:rsidR="000D5D68" w:rsidRPr="00C60977">
        <w:rPr>
          <w:szCs w:val="22"/>
        </w:rPr>
        <w:t xml:space="preserve"> sociální sféry, </w:t>
      </w:r>
      <w:r>
        <w:rPr>
          <w:szCs w:val="22"/>
        </w:rPr>
        <w:t>i na základě toho, že</w:t>
      </w:r>
      <w:r w:rsidR="000D5D68" w:rsidRPr="00C60977">
        <w:rPr>
          <w:szCs w:val="22"/>
        </w:rPr>
        <w:t xml:space="preserve"> jsou svébytnými a relativně samostatnými disciplínami</w:t>
      </w:r>
      <w:r>
        <w:rPr>
          <w:szCs w:val="22"/>
        </w:rPr>
        <w:t>.</w:t>
      </w:r>
    </w:p>
    <w:p w14:paraId="598D1CDD" w14:textId="585B68AD" w:rsidR="001D060A" w:rsidRPr="00CE03CB" w:rsidRDefault="00AA0B9B" w:rsidP="000263E8">
      <w:pPr>
        <w:pStyle w:val="Nadpis2"/>
        <w:ind w:left="862" w:hanging="578"/>
      </w:pPr>
      <w:bookmarkStart w:id="12" w:name="_Toc46142334"/>
      <w:r>
        <w:t>HOSPODÁŘSKÁ POLITIKA</w:t>
      </w:r>
      <w:bookmarkEnd w:id="12"/>
    </w:p>
    <w:p w14:paraId="1EF26C1D" w14:textId="77777777" w:rsidR="00131927" w:rsidRPr="00131927" w:rsidRDefault="000D5D68" w:rsidP="00131927">
      <w:pPr>
        <w:spacing w:before="120" w:after="240" w:line="360" w:lineRule="auto"/>
        <w:ind w:firstLine="454"/>
        <w:jc w:val="both"/>
        <w:rPr>
          <w:b/>
          <w:bCs/>
          <w:i/>
          <w:iCs/>
        </w:rPr>
      </w:pPr>
      <w:r w:rsidRPr="00131927">
        <w:rPr>
          <w:b/>
          <w:bCs/>
          <w:i/>
          <w:iCs/>
        </w:rPr>
        <w:t xml:space="preserve">Na hospodářskou </w:t>
      </w:r>
      <w:r w:rsidR="004C1324" w:rsidRPr="00131927">
        <w:rPr>
          <w:b/>
          <w:bCs/>
          <w:i/>
          <w:iCs/>
        </w:rPr>
        <w:t>politiku</w:t>
      </w:r>
      <w:r w:rsidRPr="00131927">
        <w:rPr>
          <w:b/>
          <w:bCs/>
          <w:i/>
          <w:iCs/>
        </w:rPr>
        <w:t>, můžeme nahlížet ze dvou úhlů</w:t>
      </w:r>
      <w:r w:rsidR="00EC215B" w:rsidRPr="00131927">
        <w:rPr>
          <w:b/>
          <w:bCs/>
          <w:i/>
          <w:iCs/>
        </w:rPr>
        <w:t>: (Žák, 2007).</w:t>
      </w:r>
    </w:p>
    <w:p w14:paraId="1C6E3D7F" w14:textId="77777777" w:rsidR="00131927" w:rsidRPr="00131927" w:rsidRDefault="00EC215B" w:rsidP="00AA5473">
      <w:pPr>
        <w:pStyle w:val="Odstavecseseznamem"/>
        <w:numPr>
          <w:ilvl w:val="0"/>
          <w:numId w:val="21"/>
        </w:numPr>
        <w:spacing w:before="120" w:after="240"/>
        <w:rPr>
          <w:i/>
          <w:iCs/>
          <w:sz w:val="24"/>
        </w:rPr>
      </w:pPr>
      <w:r w:rsidRPr="00131927">
        <w:rPr>
          <w:i/>
          <w:iCs/>
          <w:sz w:val="24"/>
        </w:rPr>
        <w:t>p</w:t>
      </w:r>
      <w:r w:rsidR="000D5D68" w:rsidRPr="00131927">
        <w:rPr>
          <w:i/>
          <w:iCs/>
          <w:sz w:val="24"/>
        </w:rPr>
        <w:t>řístup státu k ekonomice dané země</w:t>
      </w:r>
      <w:r w:rsidRPr="00131927">
        <w:rPr>
          <w:i/>
          <w:iCs/>
          <w:sz w:val="24"/>
        </w:rPr>
        <w:t>,</w:t>
      </w:r>
    </w:p>
    <w:p w14:paraId="2326A80A" w14:textId="7B4EE32D" w:rsidR="00EB2C18" w:rsidRPr="00131927" w:rsidRDefault="00EC215B" w:rsidP="00AA5473">
      <w:pPr>
        <w:pStyle w:val="Odstavecseseznamem"/>
        <w:numPr>
          <w:ilvl w:val="0"/>
          <w:numId w:val="21"/>
        </w:numPr>
        <w:spacing w:before="120" w:after="240"/>
        <w:rPr>
          <w:i/>
          <w:iCs/>
          <w:sz w:val="24"/>
        </w:rPr>
      </w:pPr>
      <w:r w:rsidRPr="00131927">
        <w:rPr>
          <w:i/>
          <w:iCs/>
          <w:sz w:val="24"/>
        </w:rPr>
        <w:t>teoretickou disciplínu.</w:t>
      </w:r>
    </w:p>
    <w:p w14:paraId="33DCC2C6" w14:textId="3514A378" w:rsidR="008D4F32" w:rsidRDefault="000D5D68" w:rsidP="008D4F32">
      <w:pPr>
        <w:spacing w:before="120" w:after="240" w:line="360" w:lineRule="auto"/>
        <w:ind w:firstLine="360"/>
        <w:jc w:val="both"/>
        <w:rPr>
          <w:color w:val="000000" w:themeColor="text1"/>
          <w:szCs w:val="22"/>
        </w:rPr>
      </w:pPr>
      <w:r w:rsidRPr="00C60977">
        <w:rPr>
          <w:szCs w:val="22"/>
        </w:rPr>
        <w:t>V</w:t>
      </w:r>
      <w:r w:rsidR="000B27AD">
        <w:rPr>
          <w:szCs w:val="22"/>
        </w:rPr>
        <w:t> </w:t>
      </w:r>
      <w:r w:rsidRPr="00C60977">
        <w:rPr>
          <w:szCs w:val="22"/>
        </w:rPr>
        <w:t>této</w:t>
      </w:r>
      <w:r w:rsidR="000B27AD">
        <w:rPr>
          <w:szCs w:val="22"/>
        </w:rPr>
        <w:t xml:space="preserve"> diplomové</w:t>
      </w:r>
      <w:r w:rsidRPr="00C60977">
        <w:rPr>
          <w:szCs w:val="22"/>
        </w:rPr>
        <w:t xml:space="preserve"> práci </w:t>
      </w:r>
      <w:r w:rsidR="000B27AD">
        <w:rPr>
          <w:szCs w:val="22"/>
        </w:rPr>
        <w:t>bude nahlíženo</w:t>
      </w:r>
      <w:r w:rsidRPr="00C60977">
        <w:rPr>
          <w:szCs w:val="22"/>
        </w:rPr>
        <w:t xml:space="preserve"> na hospodářskou politiku jako na</w:t>
      </w:r>
      <w:r w:rsidR="00DD19E7">
        <w:rPr>
          <w:szCs w:val="22"/>
        </w:rPr>
        <w:t xml:space="preserve"> určitý postoj státu k </w:t>
      </w:r>
      <w:r w:rsidR="00DD19E7" w:rsidRPr="00DD19E7">
        <w:rPr>
          <w:color w:val="000000" w:themeColor="text1"/>
          <w:szCs w:val="22"/>
        </w:rPr>
        <w:t>ekonomice</w:t>
      </w:r>
      <w:r w:rsidRPr="00DD19E7">
        <w:rPr>
          <w:color w:val="000000" w:themeColor="text1"/>
          <w:szCs w:val="22"/>
        </w:rPr>
        <w:t xml:space="preserve"> dané země. </w:t>
      </w:r>
    </w:p>
    <w:p w14:paraId="0D6F0F2E" w14:textId="603A33A9" w:rsidR="008D4F32" w:rsidRDefault="000D5D68" w:rsidP="008D4F32">
      <w:pPr>
        <w:spacing w:before="120" w:after="240" w:line="360" w:lineRule="auto"/>
        <w:ind w:firstLine="360"/>
        <w:jc w:val="both"/>
        <w:rPr>
          <w:szCs w:val="22"/>
        </w:rPr>
      </w:pPr>
      <w:r w:rsidRPr="00DD19E7">
        <w:rPr>
          <w:color w:val="000000" w:themeColor="text1"/>
          <w:szCs w:val="22"/>
        </w:rPr>
        <w:t xml:space="preserve">Hospodářskou </w:t>
      </w:r>
      <w:r w:rsidRPr="00C60977">
        <w:rPr>
          <w:szCs w:val="22"/>
        </w:rPr>
        <w:t>politikou státu (z vybraného pohledu</w:t>
      </w:r>
      <w:r w:rsidR="008D4F32">
        <w:rPr>
          <w:szCs w:val="22"/>
        </w:rPr>
        <w:t xml:space="preserve">) </w:t>
      </w:r>
      <w:r w:rsidRPr="00C60977">
        <w:rPr>
          <w:szCs w:val="22"/>
        </w:rPr>
        <w:t xml:space="preserve">se myslí souhrn všech cílů, nástrojů, rozhodovacích procesů a opatření státu jak v mikroekonomii, tak v makroekonomii Za </w:t>
      </w:r>
      <w:r w:rsidR="004C1324">
        <w:rPr>
          <w:szCs w:val="22"/>
        </w:rPr>
        <w:t>její</w:t>
      </w:r>
      <w:r w:rsidR="004C1324" w:rsidRPr="00C60977">
        <w:rPr>
          <w:szCs w:val="22"/>
        </w:rPr>
        <w:t xml:space="preserve"> </w:t>
      </w:r>
      <w:r w:rsidRPr="00C60977">
        <w:rPr>
          <w:szCs w:val="22"/>
        </w:rPr>
        <w:t>aplikaci do praxe nese politickou odpovědnost vláda, jejíž rozhodnutí je vždy kompromisní</w:t>
      </w:r>
      <w:r w:rsidR="00EF1E44">
        <w:rPr>
          <w:szCs w:val="22"/>
        </w:rPr>
        <w:t xml:space="preserve">. </w:t>
      </w:r>
      <w:r w:rsidR="004D57DE">
        <w:rPr>
          <w:szCs w:val="22"/>
        </w:rPr>
        <w:t xml:space="preserve">(Kliková a Kotlán, </w:t>
      </w:r>
      <w:r w:rsidR="004D57DE" w:rsidRPr="00AE679D">
        <w:rPr>
          <w:szCs w:val="22"/>
        </w:rPr>
        <w:t>201</w:t>
      </w:r>
      <w:r w:rsidR="004D57DE">
        <w:rPr>
          <w:szCs w:val="22"/>
        </w:rPr>
        <w:t>9</w:t>
      </w:r>
      <w:r w:rsidR="004D57DE" w:rsidRPr="00AE679D">
        <w:rPr>
          <w:szCs w:val="22"/>
        </w:rPr>
        <w:t>).</w:t>
      </w:r>
      <w:r w:rsidR="008D4F32" w:rsidRPr="008D4F32">
        <w:rPr>
          <w:szCs w:val="22"/>
        </w:rPr>
        <w:t xml:space="preserve"> </w:t>
      </w:r>
    </w:p>
    <w:p w14:paraId="7854C4B7" w14:textId="6E660C15" w:rsidR="000D5D68" w:rsidRPr="008D4F32" w:rsidRDefault="008D4F32" w:rsidP="008D4F32">
      <w:pPr>
        <w:spacing w:before="120" w:after="240" w:line="360" w:lineRule="auto"/>
        <w:ind w:firstLine="360"/>
        <w:jc w:val="both"/>
        <w:rPr>
          <w:szCs w:val="22"/>
        </w:rPr>
      </w:pPr>
      <w:r>
        <w:rPr>
          <w:szCs w:val="22"/>
        </w:rPr>
        <w:t xml:space="preserve">Za tradiční hlavní cíl hospodářské politiky se považuje zajištění takových podmínek, jež vedou ke stabilnímu a progresivnímu vývoji ekonomiky. Pod tímto hlavním cílem se schovávají dílčí ekonomické cíle, a to vyvážený a stabilní ekonomický růst, snaha o nízkou nezaměstnanost, snaha o nízkou, stabilní inflaci a vnější rovnováhu. Obecně </w:t>
      </w:r>
      <w:r w:rsidR="004D57DE">
        <w:rPr>
          <w:szCs w:val="22"/>
        </w:rPr>
        <w:t xml:space="preserve">hospodářské </w:t>
      </w:r>
      <w:r>
        <w:rPr>
          <w:szCs w:val="22"/>
        </w:rPr>
        <w:t xml:space="preserve">cíle </w:t>
      </w:r>
      <w:r w:rsidR="004D57DE">
        <w:rPr>
          <w:szCs w:val="22"/>
        </w:rPr>
        <w:t xml:space="preserve">ekonomiky </w:t>
      </w:r>
      <w:r>
        <w:rPr>
          <w:szCs w:val="22"/>
        </w:rPr>
        <w:t>rozdělujeme</w:t>
      </w:r>
      <w:r w:rsidR="004D57DE">
        <w:rPr>
          <w:szCs w:val="22"/>
        </w:rPr>
        <w:t xml:space="preserve"> do </w:t>
      </w:r>
      <w:r w:rsidR="00131927">
        <w:rPr>
          <w:szCs w:val="22"/>
        </w:rPr>
        <w:t>tří</w:t>
      </w:r>
      <w:r w:rsidR="004D57DE">
        <w:rPr>
          <w:szCs w:val="22"/>
        </w:rPr>
        <w:t xml:space="preserve"> hlavních skupin, první skupina představuje maximalizaci </w:t>
      </w:r>
      <w:r w:rsidR="004D57DE">
        <w:rPr>
          <w:szCs w:val="22"/>
        </w:rPr>
        <w:lastRenderedPageBreak/>
        <w:t>společenského blahobytu, druhá skupina představuje základní společenské cíle a</w:t>
      </w:r>
      <w:r>
        <w:rPr>
          <w:szCs w:val="22"/>
        </w:rPr>
        <w:t> </w:t>
      </w:r>
      <w:r w:rsidR="004D57DE">
        <w:rPr>
          <w:szCs w:val="22"/>
        </w:rPr>
        <w:t>třetí skupina je zaměřena na tradiční ekonomické cíle.</w:t>
      </w:r>
      <w:r w:rsidR="004C1324">
        <w:rPr>
          <w:szCs w:val="22"/>
        </w:rPr>
        <w:t xml:space="preserve"> </w:t>
      </w:r>
      <w:r w:rsidR="004D57DE">
        <w:rPr>
          <w:szCs w:val="22"/>
        </w:rPr>
        <w:t>(Kliková</w:t>
      </w:r>
      <w:r w:rsidR="00244DFD">
        <w:rPr>
          <w:szCs w:val="22"/>
        </w:rPr>
        <w:t xml:space="preserve"> a </w:t>
      </w:r>
      <w:r w:rsidR="004D57DE">
        <w:rPr>
          <w:szCs w:val="22"/>
        </w:rPr>
        <w:t xml:space="preserve">Kotlán, </w:t>
      </w:r>
      <w:r w:rsidR="004D57DE" w:rsidRPr="00AE679D">
        <w:rPr>
          <w:szCs w:val="22"/>
        </w:rPr>
        <w:t>201</w:t>
      </w:r>
      <w:r w:rsidR="004D57DE">
        <w:rPr>
          <w:szCs w:val="22"/>
        </w:rPr>
        <w:t>9</w:t>
      </w:r>
      <w:r w:rsidR="004D57DE" w:rsidRPr="00AE679D">
        <w:rPr>
          <w:szCs w:val="22"/>
        </w:rPr>
        <w:t>).</w:t>
      </w:r>
    </w:p>
    <w:p w14:paraId="670B8662" w14:textId="77777777" w:rsidR="000D5D68" w:rsidRPr="00C60977" w:rsidRDefault="00AA0B9B" w:rsidP="00C60977">
      <w:pPr>
        <w:pStyle w:val="Nadpis2"/>
      </w:pPr>
      <w:bookmarkStart w:id="13" w:name="_Toc46142335"/>
      <w:r>
        <w:t>SOCIÁLNÍ POLITIKA</w:t>
      </w:r>
      <w:bookmarkEnd w:id="13"/>
    </w:p>
    <w:p w14:paraId="1B3BB895" w14:textId="5BEA7B63" w:rsidR="00FA4284" w:rsidRDefault="000D5D68" w:rsidP="00131927">
      <w:pPr>
        <w:spacing w:before="120" w:after="240" w:line="360" w:lineRule="auto"/>
        <w:ind w:firstLine="454"/>
        <w:jc w:val="both"/>
        <w:rPr>
          <w:szCs w:val="22"/>
        </w:rPr>
      </w:pPr>
      <w:r w:rsidRPr="00C60977">
        <w:rPr>
          <w:szCs w:val="22"/>
        </w:rPr>
        <w:t>Abychom správně porozuměli působení sociální politiky ve společenském systému, je</w:t>
      </w:r>
      <w:r w:rsidR="008A30FF">
        <w:rPr>
          <w:szCs w:val="22"/>
        </w:rPr>
        <w:t> </w:t>
      </w:r>
      <w:r w:rsidRPr="00C60977">
        <w:rPr>
          <w:szCs w:val="22"/>
        </w:rPr>
        <w:t>velice důležité si přiblížit, co vůbec sociální politika znamená. Z obecného hlediska chápeme sociální politiku jako politiku, která se soustředí na člověka, na rozvoj a na udržení lidských životních podmínek, v neposlední řadě se zaměřuje také na osobnost člověka a na jeho kvalitu žití. Sociální politika je za všech okolností součástí určitého společenského celku a s naprostou jistotou můžeme říci, že je i takto vnímána v ostatních vyspělých zemí světa. Pokud budeme společnost považovat za určitý systém, jež je tvořen několika sférami společenského rozvoje, potom budeme hovořit převážně o sféře ekonomické, ekologické, sociální, kulturní apod. Sociální politika bezpochyby ovlivňuje jednu z nejdůležitějších sfér života společnosti. Mimo jiné také zaujímá ve společenském systému velice důležité a nenahraditelné místo, dochází zde k rozvoji celého systému, jehož prostřednictvím podstatně působí na rozvoj celého společenského systému. Výše uvedená provázanost jednotlivých sfér života společnosti vede k tomu, že cíle, funkce a nástroje sociální politiky jsou založeny a utvářeny v souladu s ekonomickými, politickými, mravními a dalšími normami. V dnešním vyspělém světě je člověk považován za tu nejvyšší prioritu, neboť představuje jednat cílovou orientaci celého společenského snažení, a jednak představuje i rozhodující předpoklad a nejperspektivnější způsob docílení dynamického růstu společnosti. Pro dnešní moderní společnost je sociální politika její neodmyslitelnou součástí, neboť je zaměřena na rozvoj sociální sféry a snaží se hledat odpovědi na určité otázky, na které jiné sféry ani nepomýšlejí. Jak jsme si již uvedli, tato politika je blízce spjata se společenským okolím, z čehož vyplývá, že sociální politika je formována danou zemí a dobou. Z výše uvedeného textu tedy vyplývá, že pojetí sociální politiky není výhradně, či jednoznačně definováno. Z tohoto důvodu se v oblasti teorie a praxe dostává na povrch řada překážek při aplikaci sociálněpolitických opatření. Existuje celá řada autorů, kteří se zabývají sociální politikou, jejím vymezením a pojmoslovím. Někteří autoři tvrdí, že sociální politiku lze chápat jako praktickou snahu o co nejlepší uspořádání společenského celku. Jiní tvrdí, že sociální politika není částí nebo oborem, ale že se jedná o směr, způsob a hledisko samotné politiky. I přestože sociální politika ovlivňuje sociální systém, musí brát v potaz i určité základní principy, tzn. brát v potaz myšlenkové postupy a ideje, které jsou pro ni primární a zároveň, které jsou jí vlastní a které se v ní jasně promítají</w:t>
      </w:r>
      <w:r w:rsidR="006F26CB">
        <w:rPr>
          <w:szCs w:val="22"/>
        </w:rPr>
        <w:t>.</w:t>
      </w:r>
      <w:r w:rsidR="006F26CB" w:rsidRPr="006F26CB">
        <w:rPr>
          <w:szCs w:val="22"/>
        </w:rPr>
        <w:t xml:space="preserve"> </w:t>
      </w:r>
    </w:p>
    <w:p w14:paraId="43E755C1" w14:textId="460725A3" w:rsidR="006F26CB" w:rsidRPr="00131927" w:rsidRDefault="006F26CB" w:rsidP="006F26CB">
      <w:pPr>
        <w:spacing w:before="120" w:after="240" w:line="360" w:lineRule="auto"/>
        <w:ind w:firstLine="454"/>
        <w:jc w:val="both"/>
        <w:rPr>
          <w:b/>
          <w:bCs/>
          <w:i/>
          <w:iCs/>
          <w:szCs w:val="22"/>
        </w:rPr>
      </w:pPr>
      <w:r w:rsidRPr="00131927">
        <w:rPr>
          <w:b/>
          <w:bCs/>
          <w:i/>
          <w:iCs/>
          <w:szCs w:val="22"/>
        </w:rPr>
        <w:lastRenderedPageBreak/>
        <w:t>Za základní, nejtypičtější a nejvýznamnější principy sociální politiky lze tedy považovat:</w:t>
      </w:r>
    </w:p>
    <w:p w14:paraId="0274105B" w14:textId="4CA3D320" w:rsidR="00C44FFD" w:rsidRPr="00131927" w:rsidRDefault="006F26CB" w:rsidP="00AA5473">
      <w:pPr>
        <w:pStyle w:val="Odstavecseseznamem"/>
        <w:numPr>
          <w:ilvl w:val="0"/>
          <w:numId w:val="16"/>
        </w:numPr>
        <w:spacing w:before="120" w:after="240"/>
        <w:rPr>
          <w:i/>
          <w:iCs/>
          <w:sz w:val="24"/>
        </w:rPr>
      </w:pPr>
      <w:r w:rsidRPr="00131927">
        <w:rPr>
          <w:i/>
          <w:iCs/>
          <w:sz w:val="24"/>
        </w:rPr>
        <w:t>princip sociální spravedlnosti,</w:t>
      </w:r>
    </w:p>
    <w:p w14:paraId="4FBA3DAD" w14:textId="406C8DA1" w:rsidR="006F26CB" w:rsidRPr="00131927" w:rsidRDefault="006F26CB" w:rsidP="00AA5473">
      <w:pPr>
        <w:pStyle w:val="Odstavecseseznamem"/>
        <w:numPr>
          <w:ilvl w:val="0"/>
          <w:numId w:val="15"/>
        </w:numPr>
        <w:spacing w:before="120" w:after="240"/>
        <w:rPr>
          <w:i/>
          <w:iCs/>
          <w:sz w:val="24"/>
        </w:rPr>
      </w:pPr>
      <w:r w:rsidRPr="00131927">
        <w:rPr>
          <w:i/>
          <w:iCs/>
          <w:sz w:val="24"/>
        </w:rPr>
        <w:t>princip sociální solidarity,</w:t>
      </w:r>
    </w:p>
    <w:p w14:paraId="57D23C06" w14:textId="1F822D09" w:rsidR="006F26CB" w:rsidRPr="00131927" w:rsidRDefault="006F26CB" w:rsidP="00AA5473">
      <w:pPr>
        <w:pStyle w:val="Odstavecseseznamem"/>
        <w:numPr>
          <w:ilvl w:val="0"/>
          <w:numId w:val="15"/>
        </w:numPr>
        <w:spacing w:before="120" w:after="240"/>
        <w:rPr>
          <w:i/>
          <w:iCs/>
          <w:sz w:val="24"/>
        </w:rPr>
      </w:pPr>
      <w:r w:rsidRPr="00131927">
        <w:rPr>
          <w:i/>
          <w:iCs/>
          <w:sz w:val="24"/>
        </w:rPr>
        <w:t>princip ekvivalence,</w:t>
      </w:r>
    </w:p>
    <w:p w14:paraId="5547B468" w14:textId="60067A0D" w:rsidR="00C44FFD" w:rsidRPr="00131927" w:rsidRDefault="006F26CB" w:rsidP="00AA5473">
      <w:pPr>
        <w:pStyle w:val="Odstavecseseznamem"/>
        <w:numPr>
          <w:ilvl w:val="0"/>
          <w:numId w:val="15"/>
        </w:numPr>
        <w:spacing w:before="120" w:after="240"/>
        <w:rPr>
          <w:i/>
          <w:iCs/>
          <w:sz w:val="24"/>
        </w:rPr>
      </w:pPr>
      <w:r w:rsidRPr="00131927">
        <w:rPr>
          <w:i/>
          <w:iCs/>
          <w:sz w:val="24"/>
        </w:rPr>
        <w:t>princip subsidiarity a participace.</w:t>
      </w:r>
    </w:p>
    <w:p w14:paraId="705765BC" w14:textId="2224080F" w:rsidR="00D651EF" w:rsidRPr="00C60977" w:rsidRDefault="000D5D68" w:rsidP="000263E8">
      <w:pPr>
        <w:spacing w:before="120" w:after="240" w:line="360" w:lineRule="auto"/>
        <w:ind w:firstLine="454"/>
        <w:jc w:val="both"/>
        <w:rPr>
          <w:szCs w:val="22"/>
        </w:rPr>
      </w:pPr>
      <w:r w:rsidRPr="00C60977">
        <w:rPr>
          <w:szCs w:val="22"/>
        </w:rPr>
        <w:t xml:space="preserve"> </w:t>
      </w:r>
      <w:r w:rsidR="006F26CB">
        <w:rPr>
          <w:szCs w:val="22"/>
        </w:rPr>
        <w:t>Princip</w:t>
      </w:r>
      <w:r w:rsidRPr="00C60977">
        <w:rPr>
          <w:szCs w:val="22"/>
        </w:rPr>
        <w:t xml:space="preserve"> spravedlnosti</w:t>
      </w:r>
      <w:r w:rsidR="006F26CB">
        <w:rPr>
          <w:szCs w:val="22"/>
        </w:rPr>
        <w:t xml:space="preserve"> si můžeme vymezit pravidly, </w:t>
      </w:r>
      <w:r w:rsidRPr="00C60977">
        <w:rPr>
          <w:szCs w:val="22"/>
        </w:rPr>
        <w:t xml:space="preserve">podle kterých se jednotlivým občanům ve společnosti přerozdělují příjmy a bohatství, příležitosti a předpoklady. Většina autorů se shoduje na tom, že na princip sociální spravedlnosti je nutné vždy pohlížet z řady hledisek, a brát v potaz podstatu a charakter všech množných sociálních situací, které mohou nastat. Princip sociální spravedlnosti není předem daný jev, předem se mohou vyskytovat pouze soudy o sociální spravedlnosti (sociálně spravedlivé vs. sociálně nespravedlivé). Každý vnímá sociální spravedlnost subjektivně, což znamená, že jedinec hodnotí a vnímá pouze na základě své aktuální situace. Druhým principem je tedy princip sociální solidarity neboli princip vzájemné podpory. Tento princip se spojen s tvorbou a rozdělením jak životních podmínek, tak s rozdělením prostředků mezi jedince, to vše se děje s ohledem na dosažení idejí sociální spravedlnosti. </w:t>
      </w:r>
      <w:r w:rsidR="006F26CB">
        <w:rPr>
          <w:szCs w:val="22"/>
        </w:rPr>
        <w:t>Předposledním uvedeným principem je</w:t>
      </w:r>
      <w:r w:rsidRPr="00C60977">
        <w:rPr>
          <w:szCs w:val="22"/>
        </w:rPr>
        <w:t xml:space="preserve"> princip ekvivalence, </w:t>
      </w:r>
      <w:r w:rsidR="006F26CB">
        <w:rPr>
          <w:szCs w:val="22"/>
        </w:rPr>
        <w:t>který</w:t>
      </w:r>
      <w:r w:rsidRPr="00C60977">
        <w:rPr>
          <w:szCs w:val="22"/>
        </w:rPr>
        <w:t xml:space="preserve"> má své významné místo v sociální politice, neboť ekvivalence znamená rovnocennost. Nachází se zde předpoklad, že důchody, statky a služby budou rovnocenně rozděleny na základě jejich konkrétních výkonů a pracovního nasazení. Příkladem principu ekvivalence může být pojištění, ve kterém tento princip slouží jako nástroj k dosažení rovnováhy výše pojistného s výší očekávaného rizika, kterým lze případně kompenzovat. Dalším principem je princip subsidiarity, který funguje jako princip, jež spojuje osobní odpovědnost a solidaritu. Tento princip je založen na jedinci, který je povinen si pomoci sám, pokud se mu tato možnost nenaskytuje, musí se obrátit na rodinu. Stát stojí až na konci tohoto řetězce tzn. že stát pomůže, až když je k tomu vyzván. Mezi jeho hlavní povinnosti patří péče a tvorba takových podmínek, aby si každý jedinec byl schopen pomoci vlastním přičiněním. V neposlední řadě zde máme princip participace, jehož jednou z hlavních myšlenek je, že na život jednotlivce mohou mít vliv určitá opatření a rozhodnutí. Takovýto jedinec by samozřejmě měl mít právo být součástí procesu přijímání a realizování takových to vlivů. Stručně řečeno, každý by měl mít právo podílet se na všem, co má vliv na jejich životy. Jedná se o dlouhodobý a postupný proces, který je často znázorňován jako přechod od člověka (objektu sociální politiky), k plnoprávnému a respektovanému člověku. Člověk již nevystupuje jako pasivní příjemce sociálně politických </w:t>
      </w:r>
      <w:r w:rsidRPr="00C60977">
        <w:rPr>
          <w:szCs w:val="22"/>
        </w:rPr>
        <w:lastRenderedPageBreak/>
        <w:t>opatření, nýbrž se začíná sám podílet na tvorbě těchto opatření a také se spolupodílí na rozhodování o realizování přijatých opatření.  Za obecný cíl sociální politiky považujeme tvorbu lidsky důstojných podmínek života a zajištění rovnocenných podmínek a příležitostí pro</w:t>
      </w:r>
      <w:r w:rsidR="001B1B4D" w:rsidRPr="00C60977">
        <w:rPr>
          <w:szCs w:val="22"/>
        </w:rPr>
        <w:t> </w:t>
      </w:r>
      <w:r w:rsidRPr="00C60977">
        <w:rPr>
          <w:szCs w:val="22"/>
        </w:rPr>
        <w:t>všechny osoby. Pod příležitosti se mohou skrývat stejné podmínky pro přístup ke vzdělání, ke zdravotní péči, k pracovním příležitostem, k možnosti dosáhnout důstojného bydlení, to vše uvedené na kvalitní úrovni. (Krebs a kol., 2015).</w:t>
      </w:r>
    </w:p>
    <w:p w14:paraId="63E6D302" w14:textId="49E7E945" w:rsidR="000D5D68" w:rsidRPr="00C60977" w:rsidRDefault="00AA0B9B" w:rsidP="00C60977">
      <w:pPr>
        <w:pStyle w:val="Nadpis2"/>
      </w:pPr>
      <w:bookmarkStart w:id="14" w:name="_Toc46142336"/>
      <w:r>
        <w:t>PROVÁZANOST HOSPODÁŘSKÉ A SOCIÁLNÍ POLITIKY</w:t>
      </w:r>
      <w:bookmarkEnd w:id="14"/>
      <w:r>
        <w:t xml:space="preserve"> </w:t>
      </w:r>
    </w:p>
    <w:p w14:paraId="3E76FBEC" w14:textId="793B3156" w:rsidR="00955C25" w:rsidRDefault="000D5D68" w:rsidP="00955C25">
      <w:pPr>
        <w:spacing w:before="120" w:after="240" w:line="360" w:lineRule="auto"/>
        <w:ind w:firstLine="454"/>
        <w:jc w:val="both"/>
        <w:rPr>
          <w:szCs w:val="22"/>
        </w:rPr>
      </w:pPr>
      <w:r w:rsidRPr="00C60977">
        <w:rPr>
          <w:szCs w:val="22"/>
        </w:rPr>
        <w:t>Mezi hospodářskou a sociální politikou se nacházejí velice těsné vzájemné vazby. Veškeré společenské jevy mají jak své ekonomické, tak sociální a další aspekty, u kterých dochází k</w:t>
      </w:r>
      <w:r w:rsidR="00955C25">
        <w:rPr>
          <w:szCs w:val="22"/>
        </w:rPr>
        <w:t>e</w:t>
      </w:r>
      <w:r w:rsidRPr="00C60977">
        <w:rPr>
          <w:szCs w:val="22"/>
        </w:rPr>
        <w:t> vzájemnému propojení</w:t>
      </w:r>
      <w:r w:rsidR="00955C25">
        <w:rPr>
          <w:szCs w:val="22"/>
        </w:rPr>
        <w:t>. Na základě</w:t>
      </w:r>
      <w:r w:rsidRPr="00C60977">
        <w:rPr>
          <w:szCs w:val="22"/>
        </w:rPr>
        <w:t xml:space="preserve"> tohoto </w:t>
      </w:r>
      <w:r w:rsidR="00955C25">
        <w:rPr>
          <w:szCs w:val="22"/>
        </w:rPr>
        <w:t xml:space="preserve">nevznikají </w:t>
      </w:r>
      <w:r w:rsidRPr="00C60977">
        <w:rPr>
          <w:szCs w:val="22"/>
        </w:rPr>
        <w:t xml:space="preserve">problémy </w:t>
      </w:r>
      <w:r w:rsidR="00955C25">
        <w:rPr>
          <w:szCs w:val="22"/>
        </w:rPr>
        <w:t>čistě</w:t>
      </w:r>
      <w:r w:rsidRPr="00C60977">
        <w:rPr>
          <w:szCs w:val="22"/>
        </w:rPr>
        <w:t xml:space="preserve"> jen hospodářské, nebo </w:t>
      </w:r>
      <w:r w:rsidR="00955C25">
        <w:rPr>
          <w:szCs w:val="22"/>
        </w:rPr>
        <w:t>čistě</w:t>
      </w:r>
      <w:r w:rsidRPr="00C60977">
        <w:rPr>
          <w:szCs w:val="22"/>
        </w:rPr>
        <w:t xml:space="preserve"> sociální povahy. </w:t>
      </w:r>
      <w:r w:rsidR="00955C25" w:rsidRPr="00C60977">
        <w:rPr>
          <w:szCs w:val="22"/>
        </w:rPr>
        <w:t>(Krebs a kol., 2015).</w:t>
      </w:r>
      <w:r w:rsidR="00955C25">
        <w:rPr>
          <w:szCs w:val="22"/>
        </w:rPr>
        <w:t xml:space="preserve"> </w:t>
      </w:r>
    </w:p>
    <w:p w14:paraId="1AF714C7" w14:textId="3351F045" w:rsidR="00955C25" w:rsidRDefault="00955C25" w:rsidP="00955C25">
      <w:pPr>
        <w:spacing w:before="120" w:after="240" w:line="360" w:lineRule="auto"/>
        <w:ind w:firstLine="454"/>
        <w:jc w:val="both"/>
        <w:rPr>
          <w:szCs w:val="22"/>
        </w:rPr>
      </w:pPr>
      <w:r>
        <w:rPr>
          <w:szCs w:val="22"/>
        </w:rPr>
        <w:t xml:space="preserve">Samotná provázanost těchto dvou politik vychází totiž z poznání, že jakékoliv hospodářsko-politické opatření nese určité sociální následky. (Kliková a Kotlán, </w:t>
      </w:r>
      <w:r w:rsidRPr="00AE679D">
        <w:rPr>
          <w:szCs w:val="22"/>
        </w:rPr>
        <w:t>201</w:t>
      </w:r>
      <w:r>
        <w:rPr>
          <w:szCs w:val="22"/>
        </w:rPr>
        <w:t>9</w:t>
      </w:r>
      <w:r w:rsidRPr="00AE679D">
        <w:rPr>
          <w:szCs w:val="22"/>
        </w:rPr>
        <w:t>).</w:t>
      </w:r>
    </w:p>
    <w:p w14:paraId="169EE8D3" w14:textId="3E1CE8E2" w:rsidR="00955C25" w:rsidRDefault="005E45AB" w:rsidP="002957F7">
      <w:pPr>
        <w:spacing w:before="120" w:after="240" w:line="360" w:lineRule="auto"/>
        <w:ind w:firstLine="454"/>
        <w:jc w:val="both"/>
        <w:rPr>
          <w:szCs w:val="22"/>
        </w:rPr>
      </w:pPr>
      <w:r>
        <w:rPr>
          <w:szCs w:val="22"/>
        </w:rPr>
        <w:t>Praktickým příkladem může být</w:t>
      </w:r>
      <w:r w:rsidR="000D5D68" w:rsidRPr="00C60977">
        <w:rPr>
          <w:szCs w:val="22"/>
        </w:rPr>
        <w:t xml:space="preserve"> zkrácení pracovní doby z pohledu hospodářské politiky řeší problémy produktivity a nákladovosti, a z pohledu sociální politiky řešíme problémy s</w:t>
      </w:r>
      <w:r>
        <w:rPr>
          <w:szCs w:val="22"/>
        </w:rPr>
        <w:t> </w:t>
      </w:r>
      <w:r w:rsidR="000D5D68" w:rsidRPr="00C60977">
        <w:rPr>
          <w:szCs w:val="22"/>
        </w:rPr>
        <w:t xml:space="preserve">trávením volného času. Hospodářská politika se soustřeďuje na ovlivňování hospodářských veličin, kdežto sociální politika se soustředěna na ovlivňování, resp. zlepšování životních podmínek samotných lidí, k čemuž sociální politika využívá právě hospodářskopolitických opatření. </w:t>
      </w:r>
      <w:r w:rsidR="00955C25" w:rsidRPr="00C60977">
        <w:rPr>
          <w:szCs w:val="22"/>
        </w:rPr>
        <w:t>(Krebs a kol., 2015).</w:t>
      </w:r>
    </w:p>
    <w:p w14:paraId="3B7F1732" w14:textId="5976A688" w:rsidR="00955C25" w:rsidRDefault="000D5D68" w:rsidP="00955C25">
      <w:pPr>
        <w:spacing w:before="120" w:after="240" w:line="360" w:lineRule="auto"/>
        <w:ind w:firstLine="454"/>
        <w:jc w:val="both"/>
        <w:rPr>
          <w:szCs w:val="22"/>
        </w:rPr>
      </w:pPr>
      <w:r w:rsidRPr="00C60977">
        <w:rPr>
          <w:szCs w:val="22"/>
        </w:rPr>
        <w:t xml:space="preserve">I přestože tyto dvě politiky toho mají velmi společného, </w:t>
      </w:r>
      <w:r w:rsidR="00955C25">
        <w:rPr>
          <w:szCs w:val="22"/>
        </w:rPr>
        <w:t>jedná se čistě o</w:t>
      </w:r>
      <w:r w:rsidRPr="00C60977">
        <w:rPr>
          <w:szCs w:val="22"/>
        </w:rPr>
        <w:t xml:space="preserve"> dvě samovolné, nezávislé politiky, s relevantní samostatností a s velice silnými vzájemnými vazbami. Aby sociální politika byla účinná, je k tomu nutná výkonnost ekonomiky, </w:t>
      </w:r>
      <w:r w:rsidR="00955C25">
        <w:rPr>
          <w:szCs w:val="22"/>
        </w:rPr>
        <w:t xml:space="preserve">a </w:t>
      </w:r>
      <w:r w:rsidRPr="00C60977">
        <w:rPr>
          <w:szCs w:val="22"/>
        </w:rPr>
        <w:t xml:space="preserve">s tím související účinnost hospodářské politiky, protože právě tato politika vede k produkci zdrojů, jenž tvoří základnu pro financování výkonů právě sociální politiky. V podstatě lze říci, že hospodářská politika ekonomicky zajišťuje rozvoj sociální politiky. </w:t>
      </w:r>
      <w:r w:rsidR="005E45AB" w:rsidRPr="00C60977">
        <w:rPr>
          <w:szCs w:val="22"/>
        </w:rPr>
        <w:t>(Krebs a kol., 2015).</w:t>
      </w:r>
    </w:p>
    <w:p w14:paraId="37DFA199" w14:textId="19473D88" w:rsidR="0076097F" w:rsidRDefault="0076097F" w:rsidP="00955C25">
      <w:pPr>
        <w:spacing w:before="120" w:after="240" w:line="360" w:lineRule="auto"/>
        <w:ind w:firstLine="454"/>
        <w:jc w:val="both"/>
        <w:rPr>
          <w:szCs w:val="22"/>
        </w:rPr>
      </w:pPr>
    </w:p>
    <w:p w14:paraId="5D1040CE" w14:textId="5392F3BB" w:rsidR="0076097F" w:rsidRDefault="0076097F" w:rsidP="00955C25">
      <w:pPr>
        <w:spacing w:before="120" w:after="240" w:line="360" w:lineRule="auto"/>
        <w:ind w:firstLine="454"/>
        <w:jc w:val="both"/>
        <w:rPr>
          <w:szCs w:val="22"/>
        </w:rPr>
      </w:pPr>
    </w:p>
    <w:p w14:paraId="4B3F5A52" w14:textId="77777777" w:rsidR="0076097F" w:rsidRDefault="0076097F" w:rsidP="00955C25">
      <w:pPr>
        <w:spacing w:before="120" w:after="240" w:line="360" w:lineRule="auto"/>
        <w:ind w:firstLine="454"/>
        <w:jc w:val="both"/>
        <w:rPr>
          <w:szCs w:val="22"/>
        </w:rPr>
      </w:pPr>
    </w:p>
    <w:p w14:paraId="62070ED0" w14:textId="41157C4C" w:rsidR="003A169F" w:rsidRPr="00131927" w:rsidRDefault="000D5D68" w:rsidP="00131927">
      <w:pPr>
        <w:spacing w:before="120" w:after="240" w:line="360" w:lineRule="auto"/>
        <w:ind w:firstLine="454"/>
        <w:jc w:val="both"/>
        <w:rPr>
          <w:i/>
          <w:iCs/>
        </w:rPr>
      </w:pPr>
      <w:r w:rsidRPr="00131927">
        <w:rPr>
          <w:b/>
          <w:bCs/>
          <w:i/>
          <w:iCs/>
          <w:szCs w:val="22"/>
        </w:rPr>
        <w:lastRenderedPageBreak/>
        <w:t xml:space="preserve">Pokud se na tento vzájemný vztah dvou politik podíváme </w:t>
      </w:r>
      <w:r w:rsidR="00955C25" w:rsidRPr="00131927">
        <w:rPr>
          <w:b/>
          <w:bCs/>
          <w:i/>
          <w:iCs/>
          <w:szCs w:val="22"/>
        </w:rPr>
        <w:t xml:space="preserve">z obou úhlů, tak hospodářská </w:t>
      </w:r>
      <w:r w:rsidR="00955C25" w:rsidRPr="00131927">
        <w:rPr>
          <w:b/>
          <w:bCs/>
          <w:i/>
          <w:iCs/>
        </w:rPr>
        <w:t xml:space="preserve">politika </w:t>
      </w:r>
      <w:r w:rsidR="003A169F" w:rsidRPr="00131927">
        <w:rPr>
          <w:b/>
          <w:bCs/>
          <w:i/>
          <w:iCs/>
        </w:rPr>
        <w:t>ovlivňuje</w:t>
      </w:r>
      <w:r w:rsidR="00955C25" w:rsidRPr="00131927">
        <w:rPr>
          <w:b/>
          <w:bCs/>
          <w:i/>
          <w:iCs/>
        </w:rPr>
        <w:t xml:space="preserve"> sociální </w:t>
      </w:r>
      <w:r w:rsidR="003A169F" w:rsidRPr="00131927">
        <w:rPr>
          <w:b/>
          <w:bCs/>
          <w:i/>
          <w:iCs/>
        </w:rPr>
        <w:t>prostřednictvím</w:t>
      </w:r>
      <w:r w:rsidR="00955C25" w:rsidRPr="00131927">
        <w:rPr>
          <w:b/>
          <w:bCs/>
          <w:i/>
          <w:iCs/>
        </w:rPr>
        <w:t xml:space="preserve"> následujících </w:t>
      </w:r>
      <w:r w:rsidR="003A169F" w:rsidRPr="00131927">
        <w:rPr>
          <w:b/>
          <w:bCs/>
          <w:i/>
          <w:iCs/>
        </w:rPr>
        <w:t>nástrojů</w:t>
      </w:r>
      <w:r w:rsidR="005E45AB" w:rsidRPr="00131927">
        <w:rPr>
          <w:b/>
          <w:bCs/>
          <w:i/>
          <w:iCs/>
        </w:rPr>
        <w:t>:</w:t>
      </w:r>
      <w:r w:rsidR="005E45AB" w:rsidRPr="00131927">
        <w:rPr>
          <w:i/>
          <w:iCs/>
        </w:rPr>
        <w:t xml:space="preserve"> </w:t>
      </w:r>
      <w:r w:rsidR="005E45AB" w:rsidRPr="00131927">
        <w:rPr>
          <w:i/>
          <w:iCs/>
          <w:szCs w:val="22"/>
        </w:rPr>
        <w:t>(Kliková a Kotlán, 2019).</w:t>
      </w:r>
    </w:p>
    <w:p w14:paraId="5DBBA0BD" w14:textId="77777777" w:rsidR="003A169F" w:rsidRPr="00131927" w:rsidRDefault="003A169F" w:rsidP="00AA5473">
      <w:pPr>
        <w:pStyle w:val="Odstavecseseznamem"/>
        <w:numPr>
          <w:ilvl w:val="0"/>
          <w:numId w:val="12"/>
        </w:numPr>
        <w:spacing w:before="120" w:after="240"/>
        <w:rPr>
          <w:i/>
          <w:iCs/>
          <w:sz w:val="24"/>
        </w:rPr>
      </w:pPr>
      <w:r w:rsidRPr="00131927">
        <w:rPr>
          <w:i/>
          <w:iCs/>
          <w:sz w:val="24"/>
        </w:rPr>
        <w:t>soustavou daní, úrokových sazeb a daňových úlev,</w:t>
      </w:r>
    </w:p>
    <w:p w14:paraId="6D6F9D79" w14:textId="77777777" w:rsidR="003A169F" w:rsidRPr="00131927" w:rsidRDefault="003A169F" w:rsidP="00AA5473">
      <w:pPr>
        <w:pStyle w:val="Odstavecseseznamem"/>
        <w:numPr>
          <w:ilvl w:val="0"/>
          <w:numId w:val="12"/>
        </w:numPr>
        <w:spacing w:before="120" w:after="240"/>
        <w:rPr>
          <w:i/>
          <w:iCs/>
          <w:sz w:val="24"/>
        </w:rPr>
      </w:pPr>
      <w:r w:rsidRPr="00131927">
        <w:rPr>
          <w:i/>
          <w:iCs/>
          <w:sz w:val="24"/>
        </w:rPr>
        <w:t>strukturální a příjmovou politikou,</w:t>
      </w:r>
    </w:p>
    <w:p w14:paraId="0337B9D9" w14:textId="6DE7B74B" w:rsidR="003A169F" w:rsidRPr="00131927" w:rsidRDefault="003A169F" w:rsidP="00AA5473">
      <w:pPr>
        <w:pStyle w:val="Odstavecseseznamem"/>
        <w:numPr>
          <w:ilvl w:val="0"/>
          <w:numId w:val="12"/>
        </w:numPr>
        <w:spacing w:before="120" w:after="240"/>
        <w:rPr>
          <w:i/>
          <w:iCs/>
          <w:sz w:val="24"/>
        </w:rPr>
      </w:pPr>
      <w:r w:rsidRPr="00131927">
        <w:rPr>
          <w:i/>
          <w:iCs/>
          <w:sz w:val="24"/>
        </w:rPr>
        <w:t>mírou inflace.</w:t>
      </w:r>
    </w:p>
    <w:p w14:paraId="0D2D7722" w14:textId="5FE9BAB3" w:rsidR="003A169F" w:rsidRPr="00131927" w:rsidRDefault="003A169F" w:rsidP="00131927">
      <w:pPr>
        <w:spacing w:before="120" w:after="240" w:line="360" w:lineRule="auto"/>
        <w:jc w:val="both"/>
        <w:rPr>
          <w:b/>
          <w:bCs/>
          <w:i/>
          <w:iCs/>
        </w:rPr>
      </w:pPr>
      <w:r w:rsidRPr="00131927">
        <w:rPr>
          <w:b/>
          <w:bCs/>
          <w:i/>
          <w:iCs/>
        </w:rPr>
        <w:t>A naopak zase sociální politika ovlivňuje hospodářskou prostřednictvím těchto nástrojů:</w:t>
      </w:r>
    </w:p>
    <w:p w14:paraId="0957A1F7" w14:textId="438A8A80" w:rsidR="003A169F" w:rsidRPr="00131927" w:rsidRDefault="003A169F" w:rsidP="00AA5473">
      <w:pPr>
        <w:pStyle w:val="Odstavecseseznamem"/>
        <w:numPr>
          <w:ilvl w:val="0"/>
          <w:numId w:val="11"/>
        </w:numPr>
        <w:spacing w:before="120" w:after="240"/>
        <w:rPr>
          <w:i/>
          <w:iCs/>
          <w:sz w:val="24"/>
        </w:rPr>
      </w:pPr>
      <w:r w:rsidRPr="00131927">
        <w:rPr>
          <w:i/>
          <w:iCs/>
          <w:sz w:val="24"/>
        </w:rPr>
        <w:t>úrovní lidského kapitálu,</w:t>
      </w:r>
    </w:p>
    <w:p w14:paraId="34F01848" w14:textId="36E656C7" w:rsidR="003A169F" w:rsidRPr="00131927" w:rsidRDefault="003A169F" w:rsidP="00AA5473">
      <w:pPr>
        <w:pStyle w:val="Odstavecseseznamem"/>
        <w:numPr>
          <w:ilvl w:val="0"/>
          <w:numId w:val="11"/>
        </w:numPr>
        <w:spacing w:before="120" w:after="240"/>
        <w:rPr>
          <w:i/>
          <w:iCs/>
          <w:sz w:val="24"/>
        </w:rPr>
      </w:pPr>
      <w:r w:rsidRPr="00131927">
        <w:rPr>
          <w:i/>
          <w:iCs/>
          <w:sz w:val="24"/>
        </w:rPr>
        <w:t>určitými stanovenými podmínkami zaměstnávání osob</w:t>
      </w:r>
      <w:r w:rsidR="005E45AB" w:rsidRPr="00131927">
        <w:rPr>
          <w:i/>
          <w:iCs/>
          <w:sz w:val="24"/>
        </w:rPr>
        <w:t>,</w:t>
      </w:r>
    </w:p>
    <w:p w14:paraId="46FBF848" w14:textId="3D9BE5A3" w:rsidR="003A169F" w:rsidRPr="00131927" w:rsidRDefault="003A169F" w:rsidP="00AA5473">
      <w:pPr>
        <w:pStyle w:val="Odstavecseseznamem"/>
        <w:numPr>
          <w:ilvl w:val="0"/>
          <w:numId w:val="11"/>
        </w:numPr>
        <w:spacing w:before="120" w:after="240"/>
        <w:rPr>
          <w:i/>
          <w:iCs/>
          <w:sz w:val="24"/>
        </w:rPr>
      </w:pPr>
      <w:r w:rsidRPr="00131927">
        <w:rPr>
          <w:i/>
          <w:iCs/>
          <w:sz w:val="24"/>
        </w:rPr>
        <w:t>stanovením odvodů (SP a ZP) z platů a mezd</w:t>
      </w:r>
      <w:r w:rsidR="005E45AB" w:rsidRPr="00131927">
        <w:rPr>
          <w:i/>
          <w:iCs/>
          <w:sz w:val="24"/>
        </w:rPr>
        <w:t>,</w:t>
      </w:r>
    </w:p>
    <w:p w14:paraId="2B77C80F" w14:textId="20C573C9" w:rsidR="003A169F" w:rsidRPr="00131927" w:rsidRDefault="003A169F" w:rsidP="00AA5473">
      <w:pPr>
        <w:pStyle w:val="Odstavecseseznamem"/>
        <w:numPr>
          <w:ilvl w:val="0"/>
          <w:numId w:val="11"/>
        </w:numPr>
        <w:spacing w:before="120" w:after="240"/>
        <w:rPr>
          <w:i/>
          <w:iCs/>
          <w:sz w:val="24"/>
        </w:rPr>
      </w:pPr>
      <w:r w:rsidRPr="00131927">
        <w:rPr>
          <w:i/>
          <w:iCs/>
          <w:sz w:val="24"/>
        </w:rPr>
        <w:t>stanovením podmínek pro přidělování sociálních dávek</w:t>
      </w:r>
      <w:r w:rsidR="005E45AB" w:rsidRPr="00131927">
        <w:rPr>
          <w:i/>
          <w:iCs/>
          <w:sz w:val="24"/>
        </w:rPr>
        <w:t>,</w:t>
      </w:r>
    </w:p>
    <w:p w14:paraId="66F0E10F" w14:textId="0D871044" w:rsidR="005E45AB" w:rsidRPr="00131927" w:rsidRDefault="005E45AB" w:rsidP="00AA5473">
      <w:pPr>
        <w:pStyle w:val="Odstavecseseznamem"/>
        <w:numPr>
          <w:ilvl w:val="0"/>
          <w:numId w:val="11"/>
        </w:numPr>
        <w:spacing w:before="120" w:after="240"/>
        <w:rPr>
          <w:i/>
          <w:iCs/>
          <w:sz w:val="24"/>
        </w:rPr>
      </w:pPr>
      <w:r w:rsidRPr="00131927">
        <w:rPr>
          <w:i/>
          <w:iCs/>
          <w:sz w:val="24"/>
        </w:rPr>
        <w:t>jistými dávkami sociálního zabezpečení.</w:t>
      </w:r>
    </w:p>
    <w:p w14:paraId="2BA0ED8E" w14:textId="3F906D18" w:rsidR="000D5D68" w:rsidRDefault="005E45AB" w:rsidP="00955C25">
      <w:pPr>
        <w:spacing w:before="120" w:after="240" w:line="360" w:lineRule="auto"/>
        <w:ind w:firstLine="454"/>
        <w:jc w:val="both"/>
        <w:rPr>
          <w:szCs w:val="22"/>
        </w:rPr>
      </w:pPr>
      <w:r>
        <w:rPr>
          <w:szCs w:val="22"/>
        </w:rPr>
        <w:t xml:space="preserve">Čistě z </w:t>
      </w:r>
      <w:r w:rsidR="000D5D68" w:rsidRPr="00C60977">
        <w:rPr>
          <w:szCs w:val="22"/>
        </w:rPr>
        <w:t xml:space="preserve">pohledu hospodářské politiky, je to právě sociální politika, která vytváří právní, věcné a institucionální předpoklady a podmínky právě pro hospodářský rozvoj, neboť aby se hospodářská politika stala úspěšnou, je třeba brát v úvahu jaké předpoklady a dispozice mají jednotliví obyvatelé k pracovnímu výkonu, čím je hnána jejich motivace a jak velký prostor a škálu možností mají pro svoji iniciativu, sebeuplatnění a seberealizaci. Z těchto důvodů pracuje hospodářská politika ruku v ruce se sociální. Sociální politika bývá často nazývána jako politika růstu, bez které by samotná hospodářská politika neexistovala. </w:t>
      </w:r>
      <w:r w:rsidR="002957F7">
        <w:rPr>
          <w:szCs w:val="22"/>
        </w:rPr>
        <w:br/>
      </w:r>
      <w:r w:rsidR="000D5D68" w:rsidRPr="00C60977">
        <w:rPr>
          <w:szCs w:val="22"/>
        </w:rPr>
        <w:t>(Krebs a kol., 2015).</w:t>
      </w:r>
    </w:p>
    <w:p w14:paraId="57C61C9A" w14:textId="788A39B5" w:rsidR="0030164A" w:rsidRDefault="005E45AB" w:rsidP="005E45AB">
      <w:pPr>
        <w:spacing w:before="120" w:after="240" w:line="360" w:lineRule="auto"/>
        <w:ind w:firstLine="454"/>
        <w:jc w:val="both"/>
        <w:rPr>
          <w:szCs w:val="22"/>
        </w:rPr>
      </w:pPr>
      <w:r>
        <w:rPr>
          <w:szCs w:val="22"/>
        </w:rPr>
        <w:t>Právě provázanost těchto dvou politik ovlivňuje výši životní úrovně v dané zemi, neboť obecně platí, že čím je společnost vyspělejší, tím je právě vztah mezi těmito politikami těsnější a veškeré faktory ovlivňující tyto politiky navazují na zvolené ekonomické ukazatele, jež budou analyzovány a srovnávány v následujících kapitolách této diplomové práce.</w:t>
      </w:r>
    </w:p>
    <w:p w14:paraId="69D4CE49" w14:textId="66A8BE1E" w:rsidR="00246FDC" w:rsidRDefault="00246FDC" w:rsidP="005E45AB">
      <w:pPr>
        <w:spacing w:before="120" w:after="240" w:line="360" w:lineRule="auto"/>
        <w:ind w:firstLine="454"/>
        <w:jc w:val="both"/>
        <w:rPr>
          <w:szCs w:val="22"/>
        </w:rPr>
      </w:pPr>
    </w:p>
    <w:p w14:paraId="72927E48" w14:textId="4B56829A" w:rsidR="00246FDC" w:rsidRDefault="00246FDC" w:rsidP="005E45AB">
      <w:pPr>
        <w:spacing w:before="120" w:after="240" w:line="360" w:lineRule="auto"/>
        <w:ind w:firstLine="454"/>
        <w:jc w:val="both"/>
        <w:rPr>
          <w:szCs w:val="22"/>
        </w:rPr>
      </w:pPr>
    </w:p>
    <w:p w14:paraId="50DD2A1B" w14:textId="4E7CC0D0" w:rsidR="00246FDC" w:rsidRDefault="00246FDC" w:rsidP="005E45AB">
      <w:pPr>
        <w:spacing w:before="120" w:after="240" w:line="360" w:lineRule="auto"/>
        <w:ind w:firstLine="454"/>
        <w:jc w:val="both"/>
        <w:rPr>
          <w:szCs w:val="22"/>
        </w:rPr>
      </w:pPr>
    </w:p>
    <w:p w14:paraId="22FDBD3D" w14:textId="67C16882" w:rsidR="00246FDC" w:rsidRDefault="00246FDC" w:rsidP="005E45AB">
      <w:pPr>
        <w:spacing w:before="120" w:after="240" w:line="360" w:lineRule="auto"/>
        <w:ind w:firstLine="454"/>
        <w:jc w:val="both"/>
        <w:rPr>
          <w:szCs w:val="22"/>
        </w:rPr>
      </w:pPr>
    </w:p>
    <w:p w14:paraId="54E53EE5" w14:textId="77777777" w:rsidR="00246FDC" w:rsidRPr="005E45AB" w:rsidRDefault="00246FDC" w:rsidP="0076097F">
      <w:pPr>
        <w:spacing w:before="120" w:after="240" w:line="360" w:lineRule="auto"/>
        <w:jc w:val="both"/>
        <w:rPr>
          <w:szCs w:val="22"/>
        </w:rPr>
      </w:pPr>
    </w:p>
    <w:p w14:paraId="66442CBD" w14:textId="77777777" w:rsidR="00A70E66" w:rsidRPr="00C60977" w:rsidRDefault="00A70E66" w:rsidP="00C60977">
      <w:pPr>
        <w:pStyle w:val="Nadpis1"/>
      </w:pPr>
      <w:bookmarkStart w:id="15" w:name="_Toc46142337"/>
      <w:r w:rsidRPr="00C60977">
        <w:lastRenderedPageBreak/>
        <w:t xml:space="preserve">UKAZATELÉ </w:t>
      </w:r>
      <w:r w:rsidR="00455F68" w:rsidRPr="00C60977">
        <w:t xml:space="preserve">A ZPŮSOBY MĚŘENÍ </w:t>
      </w:r>
      <w:r w:rsidRPr="00C60977">
        <w:t>ŽIVOTNÍ ÚROVNĚ</w:t>
      </w:r>
      <w:bookmarkEnd w:id="15"/>
      <w:r w:rsidRPr="00C60977">
        <w:t xml:space="preserve"> </w:t>
      </w:r>
    </w:p>
    <w:p w14:paraId="55E9C6D6" w14:textId="77777777" w:rsidR="00F7684E" w:rsidRDefault="005D4152" w:rsidP="00F7684E">
      <w:pPr>
        <w:spacing w:before="120" w:after="240" w:line="360" w:lineRule="auto"/>
        <w:ind w:firstLine="454"/>
        <w:jc w:val="both"/>
      </w:pPr>
      <w:r w:rsidRPr="005D4152">
        <w:t>Oblast e</w:t>
      </w:r>
      <w:r w:rsidR="003B484B" w:rsidRPr="005D4152">
        <w:t>konomie řadí mezi hlavní ukazatele životní úrovně příjmy</w:t>
      </w:r>
      <w:r w:rsidRPr="005D4152">
        <w:t xml:space="preserve"> (průměrnou a minimální mzdu, životní a existenční minimum)</w:t>
      </w:r>
      <w:r w:rsidR="003B484B" w:rsidRPr="005D4152">
        <w:t>, spotřebu, nezaměstnanost, blahobyt, HDI, HPI a HDP na obyvatele</w:t>
      </w:r>
      <w:r w:rsidRPr="005D4152">
        <w:t xml:space="preserve"> apod.</w:t>
      </w:r>
      <w:r w:rsidR="00F7684E">
        <w:t xml:space="preserve"> </w:t>
      </w:r>
      <w:r w:rsidR="003B484B" w:rsidRPr="005D4152">
        <w:t xml:space="preserve">V následujících podkapitolách si hlavní ukazatele životní úrovně (z ekonomického pohledu) blíže rozebereme. </w:t>
      </w:r>
    </w:p>
    <w:p w14:paraId="6715D0D1" w14:textId="0725F30C" w:rsidR="005D4152" w:rsidRDefault="003B484B" w:rsidP="00F7684E">
      <w:pPr>
        <w:spacing w:before="120" w:after="240" w:line="360" w:lineRule="auto"/>
        <w:ind w:firstLine="454"/>
        <w:jc w:val="both"/>
      </w:pPr>
      <w:r w:rsidRPr="005D4152">
        <w:t>Nicméně obecně, pokud se zabýváme životní úrovní, je nutné brát v potaz jak zjištěné statistické údaje (objektivní ukazatele), tak i subjektivní hodnocení, neboť každý jedinec má své dané potřeby a každý z nich hodnotí a pohlíží na svoji životní úroveň a</w:t>
      </w:r>
      <w:r w:rsidR="005D4152">
        <w:t> </w:t>
      </w:r>
      <w:r w:rsidRPr="005D4152">
        <w:t xml:space="preserve">spokojenost odlišně. </w:t>
      </w:r>
    </w:p>
    <w:p w14:paraId="58D52276" w14:textId="08462B4F" w:rsidR="005D4152" w:rsidRDefault="003B484B" w:rsidP="00DE6560">
      <w:pPr>
        <w:spacing w:before="120" w:after="240" w:line="360" w:lineRule="auto"/>
        <w:ind w:firstLine="360"/>
        <w:jc w:val="both"/>
      </w:pPr>
      <w:r w:rsidRPr="005D4152">
        <w:t>Životní úroveň jsme tedy schopni měřit dvěma způsoby, a to objektivně</w:t>
      </w:r>
      <w:r w:rsidR="005D4152">
        <w:t xml:space="preserve"> a</w:t>
      </w:r>
      <w:r w:rsidRPr="005D4152">
        <w:t xml:space="preserve"> subjektivně. Pro</w:t>
      </w:r>
      <w:r w:rsidR="005D4152">
        <w:t> </w:t>
      </w:r>
      <w:r w:rsidRPr="005D4152">
        <w:t xml:space="preserve">tuto práci jsem si </w:t>
      </w:r>
      <w:r w:rsidR="005D4152">
        <w:t>zvolila</w:t>
      </w:r>
      <w:r w:rsidRPr="005D4152">
        <w:t xml:space="preserve"> první způsob, a to objektivní způsob hodnocení, neboť </w:t>
      </w:r>
      <w:r w:rsidR="005D4152">
        <w:t xml:space="preserve">u tohoto způsobu </w:t>
      </w:r>
      <w:r w:rsidRPr="005D4152">
        <w:t>dochází k přímému vyčíslení hodnoty a </w:t>
      </w:r>
      <w:r w:rsidR="005D4152">
        <w:t xml:space="preserve">zároveň se </w:t>
      </w:r>
      <w:r w:rsidRPr="005D4152">
        <w:t>jedná o způsob, jenž patří mezi nejvhodnější způsoby pro srovnání životní úrovně napříč státy</w:t>
      </w:r>
      <w:r w:rsidR="005D4152">
        <w:t xml:space="preserve">. </w:t>
      </w:r>
      <w:r w:rsidRPr="005D4152">
        <w:t>(</w:t>
      </w:r>
      <w:proofErr w:type="spellStart"/>
      <w:r w:rsidRPr="005D4152">
        <w:t>Hazuchová</w:t>
      </w:r>
      <w:proofErr w:type="spellEnd"/>
      <w:r w:rsidR="005D4152">
        <w:t xml:space="preserve"> a </w:t>
      </w:r>
      <w:r w:rsidRPr="005D4152">
        <w:t>Stávková, 2017).</w:t>
      </w:r>
    </w:p>
    <w:p w14:paraId="53B56AEF" w14:textId="3C118B90" w:rsidR="00DE6560" w:rsidRDefault="00DE6560" w:rsidP="00246FDC">
      <w:pPr>
        <w:spacing w:before="120" w:after="240" w:line="360" w:lineRule="auto"/>
        <w:ind w:firstLine="454"/>
        <w:jc w:val="both"/>
        <w:rPr>
          <w:szCs w:val="22"/>
        </w:rPr>
      </w:pPr>
      <w:r w:rsidRPr="009E1580">
        <w:rPr>
          <w:szCs w:val="22"/>
        </w:rPr>
        <w:t>Faktory, jež ovlivňují životní úroveň, jsou ty samé faktory, jež ovlivňují i hrubý domácí produkt (HDP představuje peněžní vyjádření celkové hodnoty statků a služeb vytvořených v dané zemi za určité období). Ze všeho nejdůležitější jsou spotřební výdaje, tzn. nákup potravin, benzínu, oblečení apod., zkrátka všechny věci, které se podílejí na zlepšení života. Další součástí HDP jsou vládní výdaje, čistý export a obchodní investice. Pod obchodními investicemi si můžeme například představit investice do nového zařízení a vybavení, investice do nemovitostí, popř. produktů (výzkum a vývoj). Čím více firmy investují, tím lépe je na tom ekonomika daného státu. To samé platí i pro vládní výdaje, kdy vláda nechává stavět nové silnice, mosty apod. Obyvatelé daného státu mají z těchto věcí užitek, který se projeví i na výši životní úrovně. Stejné pravidlo platí i u sociálního a zdravotního pojištění, neboť díky těmto „výhodám“ jsou životy lidí daleko lepší. Čisté vývozy nemají až takový zřejmý vliv na životní úroveň země, pokud ale v zemi převyšují vývozy produktů nežli dovozy, dochází k tvorbě více pracovních míst, což vede ke snížení nezaměstnanosti. (ČSÚ, 2020); (</w:t>
      </w:r>
      <w:proofErr w:type="spellStart"/>
      <w:r w:rsidRPr="009E1580">
        <w:rPr>
          <w:szCs w:val="22"/>
        </w:rPr>
        <w:t>Amadeo</w:t>
      </w:r>
      <w:proofErr w:type="spellEnd"/>
      <w:r w:rsidRPr="009E1580">
        <w:rPr>
          <w:szCs w:val="22"/>
        </w:rPr>
        <w:t>, 2020).</w:t>
      </w:r>
    </w:p>
    <w:p w14:paraId="0823E237" w14:textId="5BF396B0" w:rsidR="00A23AEB" w:rsidRDefault="00A23AEB" w:rsidP="00246FDC">
      <w:pPr>
        <w:spacing w:before="120" w:after="240" w:line="360" w:lineRule="auto"/>
        <w:ind w:firstLine="454"/>
        <w:jc w:val="both"/>
        <w:rPr>
          <w:szCs w:val="22"/>
        </w:rPr>
      </w:pPr>
    </w:p>
    <w:p w14:paraId="2AE8B801" w14:textId="77777777" w:rsidR="00131927" w:rsidRDefault="00131927" w:rsidP="00246FDC">
      <w:pPr>
        <w:spacing w:before="120" w:after="240" w:line="360" w:lineRule="auto"/>
        <w:ind w:firstLine="454"/>
        <w:jc w:val="both"/>
        <w:rPr>
          <w:szCs w:val="22"/>
        </w:rPr>
      </w:pPr>
    </w:p>
    <w:p w14:paraId="0F102776" w14:textId="77777777" w:rsidR="00A23AEB" w:rsidRPr="00246FDC" w:rsidRDefault="00A23AEB" w:rsidP="00246FDC">
      <w:pPr>
        <w:spacing w:before="120" w:after="240" w:line="360" w:lineRule="auto"/>
        <w:ind w:firstLine="454"/>
        <w:jc w:val="both"/>
        <w:rPr>
          <w:szCs w:val="22"/>
        </w:rPr>
      </w:pPr>
    </w:p>
    <w:p w14:paraId="2FE4A0F9" w14:textId="6E1934EB" w:rsidR="009E1580" w:rsidRDefault="00AA0B9B" w:rsidP="009E1580">
      <w:pPr>
        <w:pStyle w:val="Nadpis2"/>
      </w:pPr>
      <w:bookmarkStart w:id="16" w:name="_Toc46142338"/>
      <w:r>
        <w:lastRenderedPageBreak/>
        <w:t>EKONOMICKÉ UKAZATELE ŽIVOTNÍ ÚROVNĚ</w:t>
      </w:r>
      <w:bookmarkEnd w:id="16"/>
    </w:p>
    <w:p w14:paraId="498EF41F" w14:textId="02483B6F" w:rsidR="00131927" w:rsidRPr="00131927" w:rsidRDefault="00F7684E" w:rsidP="00131927">
      <w:pPr>
        <w:spacing w:before="120" w:after="240" w:line="360" w:lineRule="auto"/>
        <w:ind w:firstLine="454"/>
        <w:jc w:val="both"/>
        <w:rPr>
          <w:b/>
          <w:bCs/>
          <w:i/>
          <w:iCs/>
        </w:rPr>
      </w:pPr>
      <w:r w:rsidRPr="00131927">
        <w:rPr>
          <w:b/>
          <w:bCs/>
          <w:i/>
          <w:iCs/>
        </w:rPr>
        <w:t xml:space="preserve">Pro </w:t>
      </w:r>
      <w:r w:rsidR="00013F9F">
        <w:rPr>
          <w:b/>
          <w:bCs/>
          <w:i/>
          <w:iCs/>
        </w:rPr>
        <w:t>účely</w:t>
      </w:r>
      <w:r w:rsidRPr="00131927">
        <w:rPr>
          <w:b/>
          <w:bCs/>
          <w:i/>
          <w:iCs/>
        </w:rPr>
        <w:t xml:space="preserve"> diplomové práce byly vybrány některé z předešlých ukazatelů, a to:</w:t>
      </w:r>
    </w:p>
    <w:p w14:paraId="0E391B20" w14:textId="77777777" w:rsidR="00131927" w:rsidRPr="00131927" w:rsidRDefault="00F7684E" w:rsidP="00AA5473">
      <w:pPr>
        <w:pStyle w:val="Odstavecseseznamem"/>
        <w:numPr>
          <w:ilvl w:val="0"/>
          <w:numId w:val="22"/>
        </w:numPr>
        <w:spacing w:before="120" w:after="240"/>
        <w:rPr>
          <w:i/>
          <w:iCs/>
          <w:sz w:val="24"/>
        </w:rPr>
      </w:pPr>
      <w:r w:rsidRPr="00131927">
        <w:rPr>
          <w:i/>
          <w:iCs/>
          <w:sz w:val="24"/>
        </w:rPr>
        <w:t>hrubý domácí produkt,</w:t>
      </w:r>
    </w:p>
    <w:p w14:paraId="76F1F83C" w14:textId="2FF8AE0E" w:rsidR="00131927" w:rsidRPr="00131927" w:rsidRDefault="00F7684E" w:rsidP="00AA5473">
      <w:pPr>
        <w:pStyle w:val="Odstavecseseznamem"/>
        <w:numPr>
          <w:ilvl w:val="0"/>
          <w:numId w:val="22"/>
        </w:numPr>
        <w:spacing w:before="120" w:after="240"/>
        <w:rPr>
          <w:i/>
          <w:iCs/>
          <w:sz w:val="24"/>
        </w:rPr>
      </w:pPr>
      <w:r w:rsidRPr="00131927">
        <w:rPr>
          <w:i/>
          <w:iCs/>
          <w:sz w:val="24"/>
        </w:rPr>
        <w:t>příjmy (průměrná a minimální mzda, existenční, resp. životní minimum),</w:t>
      </w:r>
    </w:p>
    <w:p w14:paraId="59B54887" w14:textId="1F8AEED2" w:rsidR="00131927" w:rsidRPr="00131927" w:rsidRDefault="00F7684E" w:rsidP="00AA5473">
      <w:pPr>
        <w:pStyle w:val="Odstavecseseznamem"/>
        <w:numPr>
          <w:ilvl w:val="0"/>
          <w:numId w:val="22"/>
        </w:numPr>
        <w:spacing w:before="120" w:after="240"/>
        <w:rPr>
          <w:i/>
          <w:iCs/>
          <w:sz w:val="24"/>
        </w:rPr>
      </w:pPr>
      <w:r w:rsidRPr="00131927">
        <w:rPr>
          <w:i/>
          <w:iCs/>
          <w:sz w:val="24"/>
        </w:rPr>
        <w:t>nezaměstnanost,</w:t>
      </w:r>
    </w:p>
    <w:p w14:paraId="69A2D657" w14:textId="2239D41C" w:rsidR="00131927" w:rsidRPr="00131927" w:rsidRDefault="00F7684E" w:rsidP="00AA5473">
      <w:pPr>
        <w:pStyle w:val="Odstavecseseznamem"/>
        <w:numPr>
          <w:ilvl w:val="0"/>
          <w:numId w:val="22"/>
        </w:numPr>
        <w:spacing w:before="120" w:after="240"/>
        <w:rPr>
          <w:i/>
          <w:iCs/>
          <w:sz w:val="24"/>
        </w:rPr>
      </w:pPr>
      <w:r w:rsidRPr="00131927">
        <w:rPr>
          <w:i/>
          <w:iCs/>
          <w:sz w:val="24"/>
        </w:rPr>
        <w:t>index lidského rozvoje,</w:t>
      </w:r>
    </w:p>
    <w:p w14:paraId="67BC7947" w14:textId="2705BD3F" w:rsidR="00F7684E" w:rsidRPr="00131927" w:rsidRDefault="00F7684E" w:rsidP="00AA5473">
      <w:pPr>
        <w:pStyle w:val="Odstavecseseznamem"/>
        <w:numPr>
          <w:ilvl w:val="0"/>
          <w:numId w:val="22"/>
        </w:numPr>
        <w:spacing w:before="120" w:after="240"/>
        <w:rPr>
          <w:i/>
          <w:iCs/>
          <w:sz w:val="24"/>
        </w:rPr>
      </w:pPr>
      <w:r w:rsidRPr="00131927">
        <w:rPr>
          <w:i/>
          <w:iCs/>
          <w:sz w:val="24"/>
        </w:rPr>
        <w:t>index chudoby.</w:t>
      </w:r>
    </w:p>
    <w:p w14:paraId="44857E05" w14:textId="77777777" w:rsidR="00F7684E" w:rsidRDefault="00F7684E" w:rsidP="00F7684E">
      <w:pPr>
        <w:spacing w:before="120" w:after="240" w:line="360" w:lineRule="auto"/>
        <w:ind w:firstLine="360"/>
        <w:jc w:val="both"/>
      </w:pPr>
      <w:r w:rsidRPr="005D4152">
        <w:t xml:space="preserve">Je nutné podotknout, že HDP na obyvatele přímo nezobrazuje životní úroveň, ale je pouze jedním z dílčích faktorů. </w:t>
      </w:r>
    </w:p>
    <w:p w14:paraId="45D6DF7F" w14:textId="76392A3E" w:rsidR="009E1580" w:rsidRDefault="00A74AF4" w:rsidP="000B27AD">
      <w:pPr>
        <w:spacing w:before="120" w:after="240" w:line="360" w:lineRule="auto"/>
        <w:ind w:firstLine="360"/>
        <w:jc w:val="both"/>
      </w:pPr>
      <w:r>
        <w:t xml:space="preserve">V následující podkapitolách </w:t>
      </w:r>
      <w:r w:rsidR="00013F9F">
        <w:t>budou tyto</w:t>
      </w:r>
      <w:r>
        <w:t xml:space="preserve"> uvedené makroekonomické ukazatele </w:t>
      </w:r>
      <w:r w:rsidR="00013F9F">
        <w:t>blíže</w:t>
      </w:r>
      <w:r>
        <w:t xml:space="preserve"> přiblíž</w:t>
      </w:r>
      <w:r w:rsidR="00013F9F">
        <w:t xml:space="preserve">eny </w:t>
      </w:r>
      <w:r w:rsidR="00217D62">
        <w:t>a </w:t>
      </w:r>
      <w:r w:rsidR="00013F9F">
        <w:t>rozebrány.</w:t>
      </w:r>
    </w:p>
    <w:p w14:paraId="10AC6451" w14:textId="77777777" w:rsidR="009E1580" w:rsidRDefault="009E1580" w:rsidP="000263E8">
      <w:pPr>
        <w:pStyle w:val="Nadpis3"/>
      </w:pPr>
      <w:bookmarkStart w:id="17" w:name="_Toc46142339"/>
      <w:r w:rsidRPr="00C60977">
        <w:t xml:space="preserve">Hrubý domácí produkt (na obyvatele) </w:t>
      </w:r>
      <w:r>
        <w:t>–</w:t>
      </w:r>
      <w:r w:rsidRPr="00C60977">
        <w:t xml:space="preserve"> HDP</w:t>
      </w:r>
      <w:bookmarkEnd w:id="17"/>
    </w:p>
    <w:p w14:paraId="49C3FE48" w14:textId="77777777" w:rsidR="009E1580" w:rsidRDefault="009E1580" w:rsidP="009E1580">
      <w:pPr>
        <w:spacing w:before="120" w:after="240" w:line="360" w:lineRule="auto"/>
        <w:ind w:firstLine="454"/>
        <w:jc w:val="both"/>
        <w:rPr>
          <w:szCs w:val="22"/>
        </w:rPr>
      </w:pPr>
      <w:r>
        <w:t xml:space="preserve">Hrubý domácí produkt je jedním ze základních ukazatelů hospodářského růstu. Představuje hodnotu finálních statků a služeb, jež byly nově vyprodukovány v konkrétní zemi v průběhu sledovaného časového období. (Kadeřábková a Žďárek, </w:t>
      </w:r>
      <w:r w:rsidRPr="00C60977">
        <w:rPr>
          <w:szCs w:val="22"/>
        </w:rPr>
        <w:t>20</w:t>
      </w:r>
      <w:r>
        <w:rPr>
          <w:szCs w:val="22"/>
        </w:rPr>
        <w:t>06</w:t>
      </w:r>
      <w:r w:rsidRPr="00C60977">
        <w:rPr>
          <w:szCs w:val="22"/>
        </w:rPr>
        <w:t>)</w:t>
      </w:r>
      <w:r>
        <w:rPr>
          <w:szCs w:val="22"/>
        </w:rPr>
        <w:t>.</w:t>
      </w:r>
    </w:p>
    <w:p w14:paraId="4145DCEA" w14:textId="2F496936" w:rsidR="009E1580" w:rsidRDefault="009E1580" w:rsidP="00500663">
      <w:pPr>
        <w:spacing w:before="120" w:after="240" w:line="360" w:lineRule="auto"/>
        <w:ind w:firstLine="454"/>
        <w:jc w:val="both"/>
      </w:pPr>
      <w:r>
        <w:t xml:space="preserve">HDP </w:t>
      </w:r>
      <w:r w:rsidR="00013F9F">
        <w:t>se řadí</w:t>
      </w:r>
      <w:r>
        <w:t xml:space="preserve"> mezi ukazatele společenské životní úrovně, avšak jedná se pouze o částečného ukazatele životní úrovně, neboť nebere v potaz faktory jako jsou například volný čas, kvalita životního prostředí, stupeň zdraví a vzdělání, změny v nerovnosti příjmů nebo zvyšování technologie. </w:t>
      </w:r>
      <w:r w:rsidR="000B27AD">
        <w:t>Již bylo uvedeno</w:t>
      </w:r>
      <w:r>
        <w:t xml:space="preserve">, </w:t>
      </w:r>
      <w:r w:rsidR="000B27AD">
        <w:t xml:space="preserve">že </w:t>
      </w:r>
      <w:r>
        <w:t xml:space="preserve">stupeň životní úrovně je souborem všech faktorů, které ovlivňují lidské štěstí, je to rozsáhlá koncepce, jež zahrnuje mnohé, mimo jiné i komodity, které na trhu lze zakoupit, či prodat. </w:t>
      </w:r>
      <w:r w:rsidR="000B27AD">
        <w:t>Již bylo řečeno</w:t>
      </w:r>
      <w:r>
        <w:t>,</w:t>
      </w:r>
      <w:r w:rsidR="000B27AD">
        <w:t xml:space="preserve"> že</w:t>
      </w:r>
      <w:r>
        <w:t xml:space="preserve"> typickým příkladem je HDP (na obyvatele), které znázorňuje, že převážná část migrace ve světě představuje stěhování lidí ze zemí s celkem nízkým HDP (na obyvatele), do zemí s vcelku vysokým </w:t>
      </w:r>
      <w:r w:rsidR="003731DF">
        <w:t>hrubým domácím produktem</w:t>
      </w:r>
      <w:r>
        <w:t xml:space="preserve">. Je velice nutné pochopit, že i HDP má své určité limity v roli ukazatele hodnocení životní úrovně, neboť řadu faktorů, které se podílí na lidském štěstí, nelze zakoupit ani prodat. Z tohoto důvodu je ukazatel HDP limitovaným nástrojem pro hodnocení životní úrovně. Abychom lépe porozuměli omezení HDP (jako ukazatele životní úrovně) uveďme si několik faktorů které hrubý domácí produkt nebere v </w:t>
      </w:r>
      <w:r w:rsidR="000B27AD">
        <w:t>úvahu</w:t>
      </w:r>
      <w:r>
        <w:t xml:space="preserve">. HDP sice počítá s tím, kolik bylo vynaloženo na ochranu životního prostředí, na zdravotnictví a vzdělání, ale již nezahrnuje skutečný stupeň čistoty životního prostředí, zdraví, nebo vzdělanost obyvatelstva. Hrubý domácí produkt obsahuje náklady </w:t>
      </w:r>
      <w:r>
        <w:lastRenderedPageBreak/>
        <w:t xml:space="preserve">na koupi zařízení pro kontrolu znečištění, ale zároveň neudává, zdali je ovzduší, či voda skutečně čistější, nebo špinavější. HDP počítá s výdaji na zdravotní péči, ale již neuvádí, či očekávaná doba dožití nebo úmrtí dětí stouplo nebo kleslo. Podobně je tomu u vzdělání, kde se uvádí výdaje, nikoli číslo, kolik lidí umí číst, psát a počítat. Hrubý domácí produkt nevypovídá o stupni nerovnosti ve společnosti. </w:t>
      </w:r>
      <w:r w:rsidR="003731DF">
        <w:t>Hrubý domácí produkt</w:t>
      </w:r>
      <w:r>
        <w:t xml:space="preserve"> na jednoho obyvatele je</w:t>
      </w:r>
      <w:r w:rsidR="003731DF">
        <w:t> </w:t>
      </w:r>
      <w:r>
        <w:t xml:space="preserve">pouhým průměrem, což znamená, pokud hodnota stoupne o 5 %, mohlo buď dojít u všech k navýšení o 5 %, nebo pouze u určité skupiny a u ostatních mohlo dojít buď k menšímu navýšení, nebo v horším případě k poklesu. Existují i případy, ve kterých není </w:t>
      </w:r>
      <w:r w:rsidR="000B27AD">
        <w:t>zřejmé</w:t>
      </w:r>
      <w:r>
        <w:t>, zdali vůbec zvýšení HDP je dobrým znakem, příkladem může být hurikán, který zpustoší město. Po</w:t>
      </w:r>
      <w:r w:rsidR="003731DF">
        <w:t> </w:t>
      </w:r>
      <w:r>
        <w:t>této živelné pohromě dochází k obnově města, domů atd., a v návaznosti na tuto živelnou pohromu dochází k nárůstu stavební činnosti. Je hloupostí tvrdit, že hurikán napříč všemu, co</w:t>
      </w:r>
      <w:r w:rsidR="003731DF">
        <w:t> </w:t>
      </w:r>
      <w:r>
        <w:t>za</w:t>
      </w:r>
      <w:r w:rsidR="003731DF">
        <w:t> </w:t>
      </w:r>
      <w:r>
        <w:t>následky zanechal, byl ekonomicky výhodný. Skutečnost že hrubý domácí produkt (na</w:t>
      </w:r>
      <w:r w:rsidR="003731DF">
        <w:t> </w:t>
      </w:r>
      <w:r>
        <w:t xml:space="preserve">obyvatele) plně nezachycuje obecnou představu o životní úrovni, ale vede spíše k obavám, že zvýšení HDP je postupem času zkreslující. Čistě teoreticky je možné, že zároveň co dochází ke zvyšování </w:t>
      </w:r>
      <w:r w:rsidR="003731DF">
        <w:t>hrubého domácího produktu</w:t>
      </w:r>
      <w:r>
        <w:t xml:space="preserve">, dochází i ke snižování životní úrovně, a to z důvodu zhoršení ostatních faktorů, se kterými HDP nepočítá, jako např. zhoršení zdraví jedince, větší znečištění životního prostředí (naštěstí tyto obavy jsou často přeceňovány). V některých případech zvýšení HDP dochází ke zmírnění skutečného zvýšení životní úrovně. Hrubý domácí produkt, jak jsme si již uvedli, nezahrnuje faktory jako jsou volný čas, zdraví a čistotu životního prostředí a možné skutečnosti tvořené novými technologiemi. Na druhou stranu, pokud pomineme tyto faktory, tak </w:t>
      </w:r>
      <w:r w:rsidR="003731DF">
        <w:t>hrubý domácí produkt</w:t>
      </w:r>
      <w:r>
        <w:t xml:space="preserve"> má sklon zveličovat skutečný růst životní úrovně. I přestože hrubý domácí produkt neměří životní úroveň takovou, jaká skutečně je,</w:t>
      </w:r>
      <w:r w:rsidR="003731DF">
        <w:t> </w:t>
      </w:r>
      <w:r>
        <w:t>ale</w:t>
      </w:r>
      <w:r w:rsidR="006F26CB">
        <w:t> pokud se soustředíme na</w:t>
      </w:r>
      <w:r>
        <w:t xml:space="preserve"> produkc</w:t>
      </w:r>
      <w:r w:rsidR="006F26CB">
        <w:t>i</w:t>
      </w:r>
      <w:r>
        <w:t>, tak tu HDP měří opravdu dobře. Také poukazuje na</w:t>
      </w:r>
      <w:r w:rsidR="003731DF">
        <w:t> </w:t>
      </w:r>
      <w:r>
        <w:t>to, zda se daná země zlepšuje, nebo zda dochází ke zhoršení v oblasti pracovních míst (zaměstnanosti) a příjmů. Rozdíl mezi indexem lidského rozvoje a hrubým domácím produktem je ten, že hrubý domácí produkt nám udává, jak je stát bohatý, kdežto index lidského rozvoje nám říká, v jaké míře je konkrétní stát lidsky rozvinutý. Důležité je však vědět, žádné číslo nemůže zachytit všechny faktory podílející se na životní úrovni. (</w:t>
      </w:r>
      <w:proofErr w:type="spellStart"/>
      <w:r>
        <w:t>Khan</w:t>
      </w:r>
      <w:proofErr w:type="spellEnd"/>
      <w:r>
        <w:t xml:space="preserve"> </w:t>
      </w:r>
      <w:proofErr w:type="spellStart"/>
      <w:r>
        <w:t>Academy</w:t>
      </w:r>
      <w:proofErr w:type="spellEnd"/>
      <w:r>
        <w:t>, 2020); (Bílková, 2015).</w:t>
      </w:r>
    </w:p>
    <w:p w14:paraId="112CB752" w14:textId="5505742C" w:rsidR="00500663" w:rsidRDefault="00500663" w:rsidP="00500663">
      <w:pPr>
        <w:spacing w:before="120" w:after="240" w:line="360" w:lineRule="auto"/>
        <w:ind w:firstLine="454"/>
        <w:jc w:val="both"/>
      </w:pPr>
    </w:p>
    <w:p w14:paraId="4D46A555" w14:textId="0938DAB3" w:rsidR="00500663" w:rsidRDefault="00500663" w:rsidP="00500663">
      <w:pPr>
        <w:spacing w:before="120" w:after="240" w:line="360" w:lineRule="auto"/>
        <w:ind w:firstLine="454"/>
        <w:jc w:val="both"/>
      </w:pPr>
    </w:p>
    <w:p w14:paraId="652AAA57" w14:textId="77777777" w:rsidR="00500663" w:rsidRPr="00500663" w:rsidRDefault="00500663" w:rsidP="00500663">
      <w:pPr>
        <w:spacing w:before="120" w:after="240" w:line="360" w:lineRule="auto"/>
        <w:ind w:firstLine="454"/>
        <w:jc w:val="both"/>
      </w:pPr>
    </w:p>
    <w:p w14:paraId="55E8C88F" w14:textId="403B6103" w:rsidR="001B1B4D" w:rsidRPr="00C60977" w:rsidRDefault="00420CDC" w:rsidP="00C60977">
      <w:pPr>
        <w:pStyle w:val="Nadpis3"/>
      </w:pPr>
      <w:bookmarkStart w:id="18" w:name="_Toc46142340"/>
      <w:r>
        <w:lastRenderedPageBreak/>
        <w:t xml:space="preserve">Klasifikace </w:t>
      </w:r>
      <w:r w:rsidR="00F7684E">
        <w:t>důchodů</w:t>
      </w:r>
      <w:r>
        <w:t xml:space="preserve"> a jejich nerovností</w:t>
      </w:r>
      <w:bookmarkEnd w:id="18"/>
    </w:p>
    <w:p w14:paraId="0708A667" w14:textId="77777777" w:rsidR="00013F9F" w:rsidRPr="00013F9F" w:rsidRDefault="00DE6560" w:rsidP="00013F9F">
      <w:pPr>
        <w:spacing w:before="120" w:after="240" w:line="360" w:lineRule="auto"/>
        <w:ind w:firstLine="454"/>
        <w:jc w:val="both"/>
        <w:rPr>
          <w:b/>
          <w:bCs/>
          <w:i/>
          <w:iCs/>
        </w:rPr>
      </w:pPr>
      <w:r w:rsidRPr="00013F9F">
        <w:rPr>
          <w:b/>
          <w:bCs/>
          <w:i/>
          <w:iCs/>
        </w:rPr>
        <w:t>Tato podkapitola je výhradně zaměřena na:</w:t>
      </w:r>
    </w:p>
    <w:p w14:paraId="35F7FEE7" w14:textId="77777777" w:rsidR="00013F9F" w:rsidRPr="00013F9F" w:rsidRDefault="00DE6560" w:rsidP="00AA5473">
      <w:pPr>
        <w:pStyle w:val="Odstavecseseznamem"/>
        <w:numPr>
          <w:ilvl w:val="0"/>
          <w:numId w:val="23"/>
        </w:numPr>
        <w:spacing w:before="120" w:after="240"/>
        <w:rPr>
          <w:i/>
          <w:iCs/>
          <w:sz w:val="24"/>
        </w:rPr>
      </w:pPr>
      <w:r w:rsidRPr="00013F9F">
        <w:rPr>
          <w:i/>
          <w:iCs/>
          <w:sz w:val="24"/>
        </w:rPr>
        <w:t>klasifikaci příjmů a jejich nerovností (z obecného pohledu),</w:t>
      </w:r>
    </w:p>
    <w:p w14:paraId="5D07412D" w14:textId="3F881791" w:rsidR="00013F9F" w:rsidRPr="00013F9F" w:rsidRDefault="00DE6560" w:rsidP="00AA5473">
      <w:pPr>
        <w:pStyle w:val="Odstavecseseznamem"/>
        <w:numPr>
          <w:ilvl w:val="0"/>
          <w:numId w:val="23"/>
        </w:numPr>
        <w:spacing w:before="120" w:after="240"/>
        <w:rPr>
          <w:i/>
          <w:iCs/>
          <w:sz w:val="24"/>
        </w:rPr>
      </w:pPr>
      <w:r w:rsidRPr="00013F9F">
        <w:rPr>
          <w:i/>
          <w:iCs/>
          <w:sz w:val="24"/>
        </w:rPr>
        <w:t>průměrnou a minimální mzdu,</w:t>
      </w:r>
    </w:p>
    <w:p w14:paraId="340EF386" w14:textId="7A5C3C74" w:rsidR="00DE6560" w:rsidRPr="00013F9F" w:rsidRDefault="00DE6560" w:rsidP="00AA5473">
      <w:pPr>
        <w:pStyle w:val="Odstavecseseznamem"/>
        <w:numPr>
          <w:ilvl w:val="0"/>
          <w:numId w:val="23"/>
        </w:numPr>
        <w:spacing w:before="120" w:after="240"/>
        <w:rPr>
          <w:i/>
          <w:iCs/>
          <w:sz w:val="24"/>
        </w:rPr>
      </w:pPr>
      <w:r w:rsidRPr="00013F9F">
        <w:rPr>
          <w:i/>
          <w:iCs/>
          <w:sz w:val="24"/>
        </w:rPr>
        <w:t>životní/existenční minimum.</w:t>
      </w:r>
    </w:p>
    <w:p w14:paraId="0C68BD17" w14:textId="0A9E7445" w:rsidR="00542E03" w:rsidRDefault="00F55BC9" w:rsidP="00BD0944">
      <w:pPr>
        <w:spacing w:before="120" w:after="240" w:line="360" w:lineRule="auto"/>
        <w:ind w:firstLine="454"/>
        <w:jc w:val="both"/>
        <w:rPr>
          <w:szCs w:val="22"/>
        </w:rPr>
      </w:pPr>
      <w:r w:rsidRPr="00C60977">
        <w:rPr>
          <w:szCs w:val="22"/>
        </w:rPr>
        <w:t>Příjmy představují jeden z nejvýznamnější faktorů</w:t>
      </w:r>
      <w:r>
        <w:rPr>
          <w:szCs w:val="22"/>
        </w:rPr>
        <w:t xml:space="preserve"> určující</w:t>
      </w:r>
      <w:r w:rsidRPr="00C60977">
        <w:rPr>
          <w:szCs w:val="22"/>
        </w:rPr>
        <w:t xml:space="preserve"> stupeň životní úrovně domácností. Dá se říci, že příjmy stanovují jistou možnost jedince se účastnit na výsledcích práce ostatních jedinců, a to převážně prostřednictvím nákup</w:t>
      </w:r>
      <w:r>
        <w:rPr>
          <w:szCs w:val="22"/>
        </w:rPr>
        <w:t>ů</w:t>
      </w:r>
      <w:r w:rsidRPr="00C60977">
        <w:rPr>
          <w:szCs w:val="22"/>
        </w:rPr>
        <w:t xml:space="preserve"> statků a služeb. Výše příjmů, či výše spotřeby bývá velice často považována za </w:t>
      </w:r>
      <w:r>
        <w:rPr>
          <w:szCs w:val="22"/>
        </w:rPr>
        <w:t>jisté</w:t>
      </w:r>
      <w:r w:rsidRPr="00C60977">
        <w:rPr>
          <w:szCs w:val="22"/>
        </w:rPr>
        <w:t xml:space="preserve"> měřítko, prostřednictvím kterého dochází k určení životní úrovně. Důvody využívání výše příjmů a výše spotřeby jakožto ukazatelů míry životní úrovně jsou </w:t>
      </w:r>
      <w:r>
        <w:rPr>
          <w:szCs w:val="22"/>
        </w:rPr>
        <w:t xml:space="preserve">jednak </w:t>
      </w:r>
      <w:r w:rsidRPr="00C60977">
        <w:rPr>
          <w:szCs w:val="22"/>
        </w:rPr>
        <w:t xml:space="preserve">silná provázanost právě těchto dvou ukazatelů, na základě kterých, můžeme zobrazovat, jak lze snadněji docílit uspokojení daných potřeb jedinců a </w:t>
      </w:r>
      <w:r>
        <w:rPr>
          <w:szCs w:val="22"/>
        </w:rPr>
        <w:t>jednak</w:t>
      </w:r>
      <w:r w:rsidRPr="00C60977">
        <w:rPr>
          <w:szCs w:val="22"/>
        </w:rPr>
        <w:t xml:space="preserve">, že data těchto ukazatelů </w:t>
      </w:r>
      <w:r>
        <w:rPr>
          <w:szCs w:val="22"/>
        </w:rPr>
        <w:t>si lze</w:t>
      </w:r>
      <w:r w:rsidRPr="00C60977">
        <w:rPr>
          <w:szCs w:val="22"/>
        </w:rPr>
        <w:t xml:space="preserve"> dobře kvantifikovat a využít </w:t>
      </w:r>
      <w:r>
        <w:rPr>
          <w:szCs w:val="22"/>
        </w:rPr>
        <w:t xml:space="preserve">tak </w:t>
      </w:r>
      <w:r w:rsidRPr="00C60977">
        <w:rPr>
          <w:szCs w:val="22"/>
        </w:rPr>
        <w:t xml:space="preserve">při různých </w:t>
      </w:r>
      <w:r w:rsidRPr="00780EC0">
        <w:rPr>
          <w:szCs w:val="22"/>
        </w:rPr>
        <w:t xml:space="preserve">statistických měřeních. </w:t>
      </w:r>
      <w:r>
        <w:rPr>
          <w:szCs w:val="22"/>
        </w:rPr>
        <w:t>Příjmy představují</w:t>
      </w:r>
      <w:r w:rsidRPr="00C60977">
        <w:rPr>
          <w:szCs w:val="22"/>
        </w:rPr>
        <w:t xml:space="preserve"> populární demografickou proměnnou segmentaci trhů, neboť stupeň příjmů domácností rozhoduje o jejich kupní síle. Zároveň růst těchto příjmů nepředstavuje automaticky vyšší životní úroveň, jelikož životní úroveň je výhradně závislá na</w:t>
      </w:r>
      <w:r>
        <w:rPr>
          <w:szCs w:val="22"/>
        </w:rPr>
        <w:t> </w:t>
      </w:r>
      <w:r w:rsidRPr="00C60977">
        <w:rPr>
          <w:szCs w:val="22"/>
        </w:rPr>
        <w:t xml:space="preserve">kupní síle peněz. </w:t>
      </w:r>
      <w:r>
        <w:rPr>
          <w:szCs w:val="22"/>
        </w:rPr>
        <w:t>Př</w:t>
      </w:r>
      <w:r w:rsidRPr="00C60977">
        <w:rPr>
          <w:szCs w:val="22"/>
        </w:rPr>
        <w:t xml:space="preserve">íjem domácností </w:t>
      </w:r>
      <w:r>
        <w:rPr>
          <w:szCs w:val="22"/>
        </w:rPr>
        <w:t xml:space="preserve">je považován za </w:t>
      </w:r>
      <w:r w:rsidRPr="00C60977">
        <w:rPr>
          <w:szCs w:val="22"/>
        </w:rPr>
        <w:t>přirozené východisko sloužící jak ke zkoumání průměrné životní úrovně, tak sloužící pro porovnání změn v životní úrovni za určité období. Lidé nacházející se</w:t>
      </w:r>
      <w:r>
        <w:rPr>
          <w:szCs w:val="22"/>
        </w:rPr>
        <w:t> </w:t>
      </w:r>
      <w:r w:rsidRPr="00C60977">
        <w:rPr>
          <w:szCs w:val="22"/>
        </w:rPr>
        <w:t xml:space="preserve">v nižší příjmové skupině </w:t>
      </w:r>
      <w:r>
        <w:rPr>
          <w:szCs w:val="22"/>
        </w:rPr>
        <w:t xml:space="preserve">zpravidla </w:t>
      </w:r>
      <w:r w:rsidRPr="00C60977">
        <w:rPr>
          <w:szCs w:val="22"/>
        </w:rPr>
        <w:t>klasifikují svůj život jako méně uspokojivý, z čehož můžeme usoudit, že méně příjmů (peněžních prostředků) vede k většímu neuspokojení potřeb</w:t>
      </w:r>
      <w:r>
        <w:rPr>
          <w:szCs w:val="22"/>
        </w:rPr>
        <w:t>,</w:t>
      </w:r>
      <w:r w:rsidR="00542E03">
        <w:rPr>
          <w:szCs w:val="22"/>
        </w:rPr>
        <w:t xml:space="preserve"> </w:t>
      </w:r>
      <w:r w:rsidRPr="00C60977">
        <w:rPr>
          <w:szCs w:val="22"/>
        </w:rPr>
        <w:t xml:space="preserve">a </w:t>
      </w:r>
      <w:r>
        <w:rPr>
          <w:szCs w:val="22"/>
        </w:rPr>
        <w:t xml:space="preserve">tak </w:t>
      </w:r>
      <w:r w:rsidRPr="00C60977">
        <w:rPr>
          <w:szCs w:val="22"/>
        </w:rPr>
        <w:t>k celkově nižšímu ohodnocení životní spokojenosti jedince. (</w:t>
      </w:r>
      <w:proofErr w:type="spellStart"/>
      <w:r w:rsidRPr="00C60977">
        <w:rPr>
          <w:szCs w:val="22"/>
        </w:rPr>
        <w:t>Lamb</w:t>
      </w:r>
      <w:proofErr w:type="spellEnd"/>
      <w:r w:rsidR="00542E03">
        <w:rPr>
          <w:szCs w:val="22"/>
        </w:rPr>
        <w:t xml:space="preserve"> a kol.</w:t>
      </w:r>
      <w:r w:rsidRPr="00C60977">
        <w:rPr>
          <w:szCs w:val="22"/>
        </w:rPr>
        <w:t>, 2009)</w:t>
      </w:r>
      <w:r>
        <w:rPr>
          <w:szCs w:val="22"/>
        </w:rPr>
        <w:t>.</w:t>
      </w:r>
    </w:p>
    <w:p w14:paraId="62F2D46B" w14:textId="77777777" w:rsidR="00DF5AF6" w:rsidRDefault="00BA2535" w:rsidP="00DF5AF6">
      <w:pPr>
        <w:spacing w:line="360" w:lineRule="auto"/>
        <w:ind w:firstLine="454"/>
        <w:jc w:val="both"/>
        <w:rPr>
          <w:noProof/>
          <w:color w:val="FF0000"/>
          <w:szCs w:val="22"/>
        </w:rPr>
      </w:pPr>
      <w:r>
        <w:rPr>
          <w:szCs w:val="22"/>
        </w:rPr>
        <w:t>Příjem se skládá z více částí, a to z mezd (či jiných výdělků z pracovního vztahu), vlastnického důchodu a z transferových plateb. Příjem si můžete tedy znázornit prostřednictvím rovnice:</w:t>
      </w:r>
      <w:r w:rsidR="00DF5AF6" w:rsidRPr="00DF5AF6">
        <w:rPr>
          <w:noProof/>
          <w:color w:val="FF0000"/>
          <w:szCs w:val="22"/>
        </w:rPr>
        <w:t xml:space="preserve"> </w:t>
      </w:r>
      <w:bookmarkStart w:id="19" w:name="_Hlk45104515"/>
    </w:p>
    <w:p w14:paraId="087D1DE6" w14:textId="372D37E9" w:rsidR="00BA2535" w:rsidRPr="00B66325" w:rsidRDefault="00013F9F" w:rsidP="00013F9F">
      <w:pPr>
        <w:spacing w:line="360" w:lineRule="auto"/>
        <w:ind w:left="1418" w:firstLine="709"/>
        <w:jc w:val="right"/>
      </w:pPr>
      <m:oMath>
        <m:r>
          <m:rPr>
            <m:sty m:val="bi"/>
          </m:rPr>
          <w:rPr>
            <w:rFonts w:ascii="Cambria Math" w:hAnsi="Cambria Math"/>
          </w:rPr>
          <m:t xml:space="preserve">Y = </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L</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A</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K</m:t>
            </m:r>
          </m:sub>
        </m:sSub>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m:t>
            </m:r>
          </m:sub>
        </m:sSub>
      </m:oMath>
      <w:r w:rsidRPr="00B66325">
        <w:rPr>
          <w:b/>
          <w:bCs/>
          <w:vertAlign w:val="subscript"/>
        </w:rPr>
        <w:tab/>
        <w:t xml:space="preserve"> </w:t>
      </w:r>
      <w:r w:rsidRPr="00B66325">
        <w:rPr>
          <w:b/>
          <w:bCs/>
          <w:vertAlign w:val="subscript"/>
        </w:rPr>
        <w:tab/>
      </w:r>
      <w:r w:rsidRPr="00B66325">
        <w:rPr>
          <w:b/>
          <w:bCs/>
          <w:vertAlign w:val="subscript"/>
        </w:rPr>
        <w:tab/>
      </w:r>
      <w:r w:rsidR="00B66325">
        <w:rPr>
          <w:b/>
          <w:bCs/>
          <w:vertAlign w:val="subscript"/>
        </w:rPr>
        <w:tab/>
      </w:r>
      <w:r w:rsidRPr="00B66325">
        <w:rPr>
          <w:b/>
          <w:bCs/>
          <w:vertAlign w:val="subscript"/>
        </w:rPr>
        <w:tab/>
      </w:r>
      <w:r w:rsidRPr="000263E8">
        <w:rPr>
          <w:sz w:val="22"/>
          <w:szCs w:val="22"/>
        </w:rPr>
        <w:t>(2)</w:t>
      </w:r>
    </w:p>
    <w:bookmarkEnd w:id="19"/>
    <w:p w14:paraId="01E56591" w14:textId="67A2B0F4" w:rsidR="00246FDC" w:rsidRDefault="00542E03" w:rsidP="00BA2535">
      <w:pPr>
        <w:spacing w:before="120" w:after="240" w:line="360" w:lineRule="auto"/>
        <w:ind w:firstLine="454"/>
        <w:jc w:val="both"/>
        <w:rPr>
          <w:szCs w:val="22"/>
        </w:rPr>
      </w:pPr>
      <w:r>
        <w:rPr>
          <w:szCs w:val="22"/>
        </w:rPr>
        <w:t xml:space="preserve">Pokud hovoříme o příjmové nerovnosti, o chudobě, či o sociálním vyloučení, tak z ekonomického hlediska obecně platí, že sociální struktura obyvatelstva hraje velice důležitou roli rozhodující o volbě a konstrukci nástrojů sociální politiky. Vývoj samotných příjmů přímo ovlivňuje sociální strukturalizaci v dané zemi. Nesmíme však zapomínat i na další faktory související se sociální strukturou, a to na hospodářskou situaci konkrétní země, </w:t>
      </w:r>
      <w:r>
        <w:rPr>
          <w:szCs w:val="22"/>
        </w:rPr>
        <w:lastRenderedPageBreak/>
        <w:t xml:space="preserve">na demografický vývoj, na politickou vůli, či s vývoj disponibilních zdrojů. </w:t>
      </w:r>
      <w:r>
        <w:rPr>
          <w:szCs w:val="22"/>
        </w:rPr>
        <w:br/>
        <w:t>(</w:t>
      </w:r>
      <w:proofErr w:type="spellStart"/>
      <w:r>
        <w:rPr>
          <w:szCs w:val="22"/>
        </w:rPr>
        <w:t>Durdisová</w:t>
      </w:r>
      <w:proofErr w:type="spellEnd"/>
      <w:r>
        <w:rPr>
          <w:szCs w:val="22"/>
        </w:rPr>
        <w:t xml:space="preserve"> a kol., </w:t>
      </w:r>
      <w:r w:rsidRPr="00C60977">
        <w:rPr>
          <w:szCs w:val="22"/>
        </w:rPr>
        <w:t>20</w:t>
      </w:r>
      <w:r>
        <w:rPr>
          <w:szCs w:val="22"/>
        </w:rPr>
        <w:t>05</w:t>
      </w:r>
      <w:r w:rsidRPr="00C60977">
        <w:rPr>
          <w:szCs w:val="22"/>
        </w:rPr>
        <w:t>).</w:t>
      </w:r>
    </w:p>
    <w:p w14:paraId="4DAC14F1" w14:textId="1A01F1F9" w:rsidR="00F55BC9" w:rsidRPr="00C60977" w:rsidRDefault="00F55BC9" w:rsidP="00BD0944">
      <w:pPr>
        <w:spacing w:before="120" w:after="240" w:line="360" w:lineRule="auto"/>
        <w:ind w:firstLine="454"/>
        <w:jc w:val="both"/>
        <w:rPr>
          <w:szCs w:val="22"/>
        </w:rPr>
      </w:pPr>
      <w:r w:rsidRPr="00C60977">
        <w:rPr>
          <w:szCs w:val="22"/>
        </w:rPr>
        <w:t>Jednou z mnoha možností, jak</w:t>
      </w:r>
      <w:r>
        <w:rPr>
          <w:szCs w:val="22"/>
        </w:rPr>
        <w:t> </w:t>
      </w:r>
      <w:r w:rsidRPr="00C60977">
        <w:rPr>
          <w:szCs w:val="22"/>
        </w:rPr>
        <w:t>můžeme nerovnoměrnost</w:t>
      </w:r>
      <w:r>
        <w:rPr>
          <w:szCs w:val="22"/>
        </w:rPr>
        <w:t>i příjmů</w:t>
      </w:r>
      <w:r w:rsidRPr="00C60977">
        <w:rPr>
          <w:szCs w:val="22"/>
        </w:rPr>
        <w:t xml:space="preserve"> </w:t>
      </w:r>
      <w:r w:rsidRPr="00663340">
        <w:rPr>
          <w:szCs w:val="22"/>
        </w:rPr>
        <w:t xml:space="preserve">měřit, je </w:t>
      </w:r>
      <w:r w:rsidRPr="00C60977">
        <w:rPr>
          <w:szCs w:val="22"/>
        </w:rPr>
        <w:t xml:space="preserve">za pomoci </w:t>
      </w:r>
      <w:proofErr w:type="spellStart"/>
      <w:r w:rsidRPr="00C60977">
        <w:rPr>
          <w:szCs w:val="22"/>
        </w:rPr>
        <w:t>Giniho</w:t>
      </w:r>
      <w:proofErr w:type="spellEnd"/>
      <w:r w:rsidRPr="00C60977">
        <w:rPr>
          <w:szCs w:val="22"/>
        </w:rPr>
        <w:t xml:space="preserve"> koeficientu a pro grafické znázornění nerovnosti příjmů </w:t>
      </w:r>
      <w:r>
        <w:rPr>
          <w:szCs w:val="22"/>
        </w:rPr>
        <w:t xml:space="preserve">poté </w:t>
      </w:r>
      <w:r w:rsidRPr="00C60977">
        <w:rPr>
          <w:szCs w:val="22"/>
        </w:rPr>
        <w:t>bývá využívána Lorenzova křivka, jež</w:t>
      </w:r>
      <w:r>
        <w:rPr>
          <w:szCs w:val="22"/>
        </w:rPr>
        <w:t> </w:t>
      </w:r>
      <w:r w:rsidRPr="00C60977">
        <w:rPr>
          <w:szCs w:val="22"/>
        </w:rPr>
        <w:t>představuje míru odchylky reálného rozdělení od linie rovnoměrného rozdělení. Na</w:t>
      </w:r>
      <w:r w:rsidR="00BD0944">
        <w:rPr>
          <w:szCs w:val="22"/>
        </w:rPr>
        <w:t> </w:t>
      </w:r>
      <w:r w:rsidRPr="00C60977">
        <w:rPr>
          <w:szCs w:val="22"/>
        </w:rPr>
        <w:t>místě jsou také obavy, že</w:t>
      </w:r>
      <w:r>
        <w:rPr>
          <w:szCs w:val="22"/>
        </w:rPr>
        <w:t> </w:t>
      </w:r>
      <w:r w:rsidRPr="00C60977">
        <w:rPr>
          <w:szCs w:val="22"/>
        </w:rPr>
        <w:t>čím se stále více prohlubují rozdíly v </w:t>
      </w:r>
      <w:r w:rsidRPr="000F20AF">
        <w:rPr>
          <w:szCs w:val="22"/>
        </w:rPr>
        <w:t>příjmech, tím více mohou mít</w:t>
      </w:r>
      <w:r w:rsidRPr="000F20AF">
        <w:rPr>
          <w:color w:val="FF0000"/>
          <w:szCs w:val="22"/>
        </w:rPr>
        <w:t xml:space="preserve"> </w:t>
      </w:r>
      <w:r w:rsidRPr="000F20AF">
        <w:rPr>
          <w:szCs w:val="22"/>
        </w:rPr>
        <w:t>negativní vedlejší účinky</w:t>
      </w:r>
      <w:r w:rsidRPr="00C60977">
        <w:rPr>
          <w:szCs w:val="22"/>
        </w:rPr>
        <w:t xml:space="preserve"> na celou společnost</w:t>
      </w:r>
      <w:r>
        <w:rPr>
          <w:szCs w:val="22"/>
        </w:rPr>
        <w:t>,</w:t>
      </w:r>
      <w:r w:rsidRPr="00C60977">
        <w:rPr>
          <w:szCs w:val="22"/>
        </w:rPr>
        <w:t xml:space="preserve"> a </w:t>
      </w:r>
      <w:r>
        <w:rPr>
          <w:szCs w:val="22"/>
        </w:rPr>
        <w:t xml:space="preserve">tak i na </w:t>
      </w:r>
      <w:r w:rsidRPr="00C60977">
        <w:rPr>
          <w:szCs w:val="22"/>
        </w:rPr>
        <w:t xml:space="preserve">celou ekonomiku, neboť příjmová nerovnost zpomaluje hospodářský růst, </w:t>
      </w:r>
      <w:r>
        <w:rPr>
          <w:szCs w:val="22"/>
        </w:rPr>
        <w:t>což</w:t>
      </w:r>
      <w:r w:rsidRPr="00C60977">
        <w:rPr>
          <w:szCs w:val="22"/>
        </w:rPr>
        <w:t xml:space="preserve"> může vyvolat finanční krizi, která vede k oslabení poptávky. V návaznosti na tuto problematiku příjmové nerovnosti se váž</w:t>
      </w:r>
      <w:r>
        <w:rPr>
          <w:szCs w:val="22"/>
        </w:rPr>
        <w:t>e</w:t>
      </w:r>
      <w:r w:rsidRPr="00C60977">
        <w:rPr>
          <w:szCs w:val="22"/>
        </w:rPr>
        <w:t xml:space="preserve"> s tímto tématem </w:t>
      </w:r>
      <w:r>
        <w:rPr>
          <w:szCs w:val="22"/>
        </w:rPr>
        <w:t>i další</w:t>
      </w:r>
      <w:r w:rsidRPr="00C60977">
        <w:rPr>
          <w:szCs w:val="22"/>
        </w:rPr>
        <w:t xml:space="preserve"> problém, je</w:t>
      </w:r>
      <w:r>
        <w:rPr>
          <w:szCs w:val="22"/>
        </w:rPr>
        <w:t>n</w:t>
      </w:r>
      <w:r w:rsidRPr="00C60977">
        <w:rPr>
          <w:szCs w:val="22"/>
        </w:rPr>
        <w:t>ž může příjmová nerovnost vyvolat</w:t>
      </w:r>
      <w:r>
        <w:rPr>
          <w:szCs w:val="22"/>
        </w:rPr>
        <w:t>, a to je prohloubení chudoby. Samotnou chudobu</w:t>
      </w:r>
      <w:r w:rsidRPr="00C60977">
        <w:rPr>
          <w:szCs w:val="22"/>
        </w:rPr>
        <w:t xml:space="preserve"> si </w:t>
      </w:r>
      <w:r>
        <w:rPr>
          <w:szCs w:val="22"/>
        </w:rPr>
        <w:t>následně</w:t>
      </w:r>
      <w:r w:rsidRPr="00C60977">
        <w:rPr>
          <w:szCs w:val="22"/>
        </w:rPr>
        <w:t xml:space="preserve"> podrobněji popíšeme </w:t>
      </w:r>
      <w:r w:rsidRPr="00C60977">
        <w:t>a</w:t>
      </w:r>
      <w:r>
        <w:t xml:space="preserve"> více </w:t>
      </w:r>
      <w:r w:rsidRPr="00C60977">
        <w:t>rozebereme</w:t>
      </w:r>
      <w:r w:rsidRPr="00C60977">
        <w:rPr>
          <w:szCs w:val="22"/>
        </w:rPr>
        <w:t>.</w:t>
      </w:r>
      <w:r>
        <w:rPr>
          <w:szCs w:val="22"/>
        </w:rPr>
        <w:t xml:space="preserve"> </w:t>
      </w:r>
      <w:r w:rsidRPr="00C60977">
        <w:rPr>
          <w:szCs w:val="22"/>
        </w:rPr>
        <w:t>(</w:t>
      </w:r>
      <w:proofErr w:type="spellStart"/>
      <w:r w:rsidRPr="00C60977">
        <w:rPr>
          <w:szCs w:val="22"/>
        </w:rPr>
        <w:t>Saunders</w:t>
      </w:r>
      <w:proofErr w:type="spellEnd"/>
      <w:r w:rsidRPr="00C60977">
        <w:rPr>
          <w:szCs w:val="22"/>
        </w:rPr>
        <w:t xml:space="preserve">, 2002); </w:t>
      </w:r>
      <w:r>
        <w:rPr>
          <w:szCs w:val="22"/>
        </w:rPr>
        <w:br/>
      </w:r>
      <w:r w:rsidRPr="00C60977">
        <w:rPr>
          <w:szCs w:val="22"/>
        </w:rPr>
        <w:t>(</w:t>
      </w:r>
      <w:proofErr w:type="spellStart"/>
      <w:r w:rsidRPr="00C60977">
        <w:rPr>
          <w:szCs w:val="22"/>
        </w:rPr>
        <w:t>Bošanská</w:t>
      </w:r>
      <w:proofErr w:type="spellEnd"/>
      <w:r w:rsidRPr="00C60977">
        <w:rPr>
          <w:szCs w:val="22"/>
        </w:rPr>
        <w:t>, 2013).</w:t>
      </w:r>
    </w:p>
    <w:p w14:paraId="49885E8C" w14:textId="587611E3" w:rsidR="00957D01" w:rsidRDefault="002F7FCC" w:rsidP="00BD0944">
      <w:pPr>
        <w:shd w:val="clear" w:color="auto" w:fill="FFFFFF"/>
        <w:spacing w:before="120" w:after="240" w:line="360" w:lineRule="auto"/>
        <w:ind w:firstLine="454"/>
        <w:jc w:val="both"/>
        <w:rPr>
          <w:color w:val="222222"/>
        </w:rPr>
      </w:pPr>
      <w:r w:rsidRPr="002F7FCC">
        <w:rPr>
          <w:color w:val="222222"/>
        </w:rPr>
        <w:t>Z pohledu ekonomiky je životní úroveň tvořena právě materiálními faktory</w:t>
      </w:r>
      <w:r w:rsidR="00542E03">
        <w:rPr>
          <w:color w:val="222222"/>
        </w:rPr>
        <w:t>, tj.</w:t>
      </w:r>
      <w:r w:rsidRPr="002F7FCC">
        <w:rPr>
          <w:color w:val="222222"/>
        </w:rPr>
        <w:t xml:space="preserve"> příjmy. </w:t>
      </w:r>
      <w:r w:rsidR="00542E03">
        <w:rPr>
          <w:color w:val="222222"/>
        </w:rPr>
        <w:t xml:space="preserve">Na začátku této kapitoly jsme si uvedli, že </w:t>
      </w:r>
      <w:r w:rsidRPr="002F7FCC">
        <w:rPr>
          <w:color w:val="222222"/>
        </w:rPr>
        <w:t xml:space="preserve">příjmy </w:t>
      </w:r>
      <w:r w:rsidR="00542E03">
        <w:rPr>
          <w:color w:val="222222"/>
        </w:rPr>
        <w:t xml:space="preserve">tedy </w:t>
      </w:r>
      <w:r w:rsidRPr="002F7FCC">
        <w:rPr>
          <w:color w:val="222222"/>
        </w:rPr>
        <w:t xml:space="preserve">představují jeden ze stěžejních faktorů, na základě kterého, se určuje stupeň životní úrovně jedince (domácností). </w:t>
      </w:r>
      <w:r w:rsidR="00957D01" w:rsidRPr="002F7FCC">
        <w:rPr>
          <w:color w:val="222222"/>
        </w:rPr>
        <w:t>(</w:t>
      </w:r>
      <w:proofErr w:type="spellStart"/>
      <w:r w:rsidR="00957D01" w:rsidRPr="002F7FCC">
        <w:rPr>
          <w:color w:val="222222"/>
        </w:rPr>
        <w:t>Lamb</w:t>
      </w:r>
      <w:proofErr w:type="spellEnd"/>
      <w:r w:rsidR="00542E03">
        <w:rPr>
          <w:color w:val="222222"/>
        </w:rPr>
        <w:t xml:space="preserve"> a kol.</w:t>
      </w:r>
      <w:r w:rsidR="00957D01" w:rsidRPr="002F7FCC">
        <w:rPr>
          <w:color w:val="222222"/>
        </w:rPr>
        <w:t xml:space="preserve"> 2009)</w:t>
      </w:r>
      <w:r w:rsidR="00957D01">
        <w:rPr>
          <w:color w:val="222222"/>
        </w:rPr>
        <w:t>.</w:t>
      </w:r>
    </w:p>
    <w:p w14:paraId="566D2212" w14:textId="5CC95BA2" w:rsidR="00957D01" w:rsidRDefault="000B27AD" w:rsidP="00015C75">
      <w:pPr>
        <w:shd w:val="clear" w:color="auto" w:fill="FFFFFF"/>
        <w:spacing w:before="120" w:after="240" w:line="360" w:lineRule="auto"/>
        <w:ind w:firstLine="454"/>
        <w:jc w:val="both"/>
        <w:rPr>
          <w:color w:val="222222"/>
        </w:rPr>
      </w:pPr>
      <w:r>
        <w:rPr>
          <w:color w:val="222222"/>
        </w:rPr>
        <w:t>Je možné říci</w:t>
      </w:r>
      <w:r w:rsidR="002F7FCC" w:rsidRPr="002F7FCC">
        <w:rPr>
          <w:color w:val="222222"/>
        </w:rPr>
        <w:t xml:space="preserve">, že výši příjmů (nebo výši spotřeby) lze považovat za měřítko, díky kterému můžeme určit stupeň životní úrovně. Výhodou příjmů jakožto ukazatele životní úrovně je silná provázanost mezi výší spotřeby a výší příjmu, neboť prostřednictvím tohoto vztahu můžeme zobrazit, jak snadněji lze docílit uspokojení daných potřeb. Další výhodou těchto dvou ukazatelů je ta, že data lze dobře kvantifikovat a současně je můžeme využívat při nejrůznějších statistických měření. Je důležité podotknout, že růst příjmů nemusí automaticky představovat vyšší životní úroveň, neboť velkou roli zde hraje kupní síla peněz. </w:t>
      </w:r>
      <w:r w:rsidR="00957D01" w:rsidRPr="002F7FCC">
        <w:rPr>
          <w:color w:val="222222"/>
        </w:rPr>
        <w:t>(SOCIO web, 2003); </w:t>
      </w:r>
      <w:r w:rsidR="00015C75">
        <w:rPr>
          <w:color w:val="222222"/>
        </w:rPr>
        <w:br/>
      </w:r>
      <w:r w:rsidR="00957D01" w:rsidRPr="002F7FCC">
        <w:rPr>
          <w:color w:val="222222"/>
        </w:rPr>
        <w:t>(</w:t>
      </w:r>
      <w:proofErr w:type="spellStart"/>
      <w:r w:rsidR="00957D01" w:rsidRPr="002F7FCC">
        <w:rPr>
          <w:color w:val="222222"/>
        </w:rPr>
        <w:t>Saunders</w:t>
      </w:r>
      <w:proofErr w:type="spellEnd"/>
      <w:r w:rsidR="00957D01" w:rsidRPr="002F7FCC">
        <w:rPr>
          <w:color w:val="222222"/>
        </w:rPr>
        <w:t>, 2002)</w:t>
      </w:r>
      <w:r w:rsidR="00957D01">
        <w:rPr>
          <w:color w:val="222222"/>
        </w:rPr>
        <w:t>.</w:t>
      </w:r>
    </w:p>
    <w:p w14:paraId="63B04E07" w14:textId="33CD3E01" w:rsidR="00A86153" w:rsidRDefault="002F7FCC" w:rsidP="00BD0944">
      <w:pPr>
        <w:shd w:val="clear" w:color="auto" w:fill="FFFFFF"/>
        <w:spacing w:before="120" w:after="240" w:line="360" w:lineRule="auto"/>
        <w:ind w:firstLine="454"/>
        <w:jc w:val="both"/>
        <w:rPr>
          <w:color w:val="222222"/>
        </w:rPr>
      </w:pPr>
      <w:r w:rsidRPr="002F7FCC">
        <w:rPr>
          <w:color w:val="222222"/>
        </w:rPr>
        <w:t>Zpravidla platí, že lidé</w:t>
      </w:r>
      <w:r w:rsidR="00DD19E7">
        <w:rPr>
          <w:color w:val="222222"/>
        </w:rPr>
        <w:t xml:space="preserve"> nacházející se</w:t>
      </w:r>
      <w:r w:rsidRPr="002F7FCC">
        <w:rPr>
          <w:color w:val="222222"/>
        </w:rPr>
        <w:t xml:space="preserve"> v nižší </w:t>
      </w:r>
      <w:r w:rsidRPr="00DD19E7">
        <w:rPr>
          <w:color w:val="000000" w:themeColor="text1"/>
        </w:rPr>
        <w:t>příjmové skupině</w:t>
      </w:r>
      <w:r w:rsidR="00DD19E7" w:rsidRPr="00DD19E7">
        <w:rPr>
          <w:color w:val="000000" w:themeColor="text1"/>
        </w:rPr>
        <w:t>,</w:t>
      </w:r>
      <w:r w:rsidRPr="00DD19E7">
        <w:rPr>
          <w:color w:val="000000" w:themeColor="text1"/>
        </w:rPr>
        <w:t xml:space="preserve"> považují svůj </w:t>
      </w:r>
      <w:r w:rsidRPr="002F7FCC">
        <w:rPr>
          <w:color w:val="222222"/>
        </w:rPr>
        <w:t>život za</w:t>
      </w:r>
      <w:r w:rsidR="00BD0944">
        <w:rPr>
          <w:color w:val="222222"/>
        </w:rPr>
        <w:t> </w:t>
      </w:r>
      <w:r w:rsidRPr="002F7FCC">
        <w:rPr>
          <w:color w:val="222222"/>
        </w:rPr>
        <w:t>méně uspokojivý, z čehož tedy vyplývá, že menší příjmy směřují k většímu neuspokojení potřeb jedince, což vede obecně k nižšímu ohodnocení jeho životní spokojenosti. Příjmy, a tedy i</w:t>
      </w:r>
      <w:r w:rsidR="00957D01">
        <w:rPr>
          <w:color w:val="222222"/>
        </w:rPr>
        <w:t> </w:t>
      </w:r>
      <w:r w:rsidRPr="002F7FCC">
        <w:rPr>
          <w:color w:val="222222"/>
        </w:rPr>
        <w:t>spotřeba patří mezi jedny z přímých a z nejpoužívanějších měřítek životní úrovně. Obecně řečeno, příjmy odpovídají výdělkům z výrobních činností a aktuálním transferům, a právě příjmy jako takové umožňují lidem získat zboží a služby (a tím uspokojit své potřeby). Měřený příjem se velice často liší od měřené spotřeby, často za to mohou koncepční rozdíly v daných výrazech.</w:t>
      </w:r>
      <w:r w:rsidR="00957D01">
        <w:rPr>
          <w:color w:val="222222"/>
          <w:sz w:val="26"/>
          <w:szCs w:val="26"/>
        </w:rPr>
        <w:t xml:space="preserve"> </w:t>
      </w:r>
      <w:r w:rsidRPr="002F7FCC">
        <w:rPr>
          <w:color w:val="222222"/>
        </w:rPr>
        <w:t>(</w:t>
      </w:r>
      <w:proofErr w:type="spellStart"/>
      <w:r w:rsidRPr="002F7FCC">
        <w:rPr>
          <w:color w:val="222222"/>
        </w:rPr>
        <w:t>Lamb</w:t>
      </w:r>
      <w:proofErr w:type="spellEnd"/>
      <w:r w:rsidR="00BD0944">
        <w:rPr>
          <w:color w:val="222222"/>
        </w:rPr>
        <w:t xml:space="preserve"> a kol.,</w:t>
      </w:r>
      <w:r w:rsidRPr="002F7FCC">
        <w:rPr>
          <w:color w:val="222222"/>
        </w:rPr>
        <w:t>2009)</w:t>
      </w:r>
      <w:r w:rsidR="00A86153">
        <w:rPr>
          <w:color w:val="222222"/>
        </w:rPr>
        <w:t xml:space="preserve">; </w:t>
      </w:r>
      <w:r w:rsidR="00957D01" w:rsidRPr="002F7FCC">
        <w:rPr>
          <w:color w:val="222222"/>
        </w:rPr>
        <w:t>(</w:t>
      </w:r>
      <w:proofErr w:type="spellStart"/>
      <w:r w:rsidR="00957D01" w:rsidRPr="002F7FCC">
        <w:rPr>
          <w:color w:val="222222"/>
        </w:rPr>
        <w:t>Bošanská</w:t>
      </w:r>
      <w:proofErr w:type="spellEnd"/>
      <w:r w:rsidR="00957D01" w:rsidRPr="002F7FCC">
        <w:rPr>
          <w:color w:val="222222"/>
        </w:rPr>
        <w:t>, 2013); (</w:t>
      </w:r>
      <w:proofErr w:type="spellStart"/>
      <w:r w:rsidR="00957D01" w:rsidRPr="002F7FCC">
        <w:rPr>
          <w:color w:val="222222"/>
        </w:rPr>
        <w:t>Saunders</w:t>
      </w:r>
      <w:proofErr w:type="spellEnd"/>
      <w:r w:rsidR="00957D01" w:rsidRPr="002F7FCC">
        <w:rPr>
          <w:color w:val="222222"/>
        </w:rPr>
        <w:t>, 2002)</w:t>
      </w:r>
      <w:r w:rsidR="00957D01">
        <w:rPr>
          <w:color w:val="222222"/>
        </w:rPr>
        <w:t>.</w:t>
      </w:r>
    </w:p>
    <w:p w14:paraId="5AAD16D2" w14:textId="769E6B8E" w:rsidR="005402A3" w:rsidRDefault="005402A3" w:rsidP="00432182">
      <w:pPr>
        <w:shd w:val="clear" w:color="auto" w:fill="FFFFFF"/>
        <w:spacing w:before="120" w:after="240" w:line="360" w:lineRule="auto"/>
        <w:ind w:firstLine="454"/>
        <w:jc w:val="both"/>
        <w:rPr>
          <w:color w:val="222222"/>
        </w:rPr>
      </w:pPr>
      <w:r>
        <w:rPr>
          <w:color w:val="222222"/>
        </w:rPr>
        <w:lastRenderedPageBreak/>
        <w:t>Mezi nejznámější ukazatele, které měří nerovnosti v důchodech patří Lorenzova křivka a</w:t>
      </w:r>
      <w:r w:rsidR="00432182">
        <w:rPr>
          <w:color w:val="222222"/>
        </w:rPr>
        <w:t xml:space="preserve"> s ní spojen </w:t>
      </w:r>
      <w:proofErr w:type="spellStart"/>
      <w:r>
        <w:rPr>
          <w:color w:val="222222"/>
        </w:rPr>
        <w:t>Giniho</w:t>
      </w:r>
      <w:proofErr w:type="spellEnd"/>
      <w:r>
        <w:rPr>
          <w:color w:val="222222"/>
        </w:rPr>
        <w:t xml:space="preserve"> koeficient.</w:t>
      </w:r>
    </w:p>
    <w:p w14:paraId="692084DD" w14:textId="2E9F0CB2" w:rsidR="00432182" w:rsidRDefault="005402A3" w:rsidP="00432182">
      <w:pPr>
        <w:shd w:val="clear" w:color="auto" w:fill="FFFFFF"/>
        <w:spacing w:before="120" w:after="240" w:line="360" w:lineRule="auto"/>
        <w:ind w:firstLine="454"/>
        <w:jc w:val="both"/>
        <w:rPr>
          <w:color w:val="222222"/>
        </w:rPr>
      </w:pPr>
      <w:r>
        <w:rPr>
          <w:color w:val="222222"/>
        </w:rPr>
        <w:t xml:space="preserve">Příjmová nerovnost se zachycuje prostřednictvím Lorenzovi křivky. Tato křivka nám znázorňuje analytickou techniku, </w:t>
      </w:r>
      <w:proofErr w:type="gramStart"/>
      <w:r>
        <w:rPr>
          <w:color w:val="222222"/>
        </w:rPr>
        <w:t>jež</w:t>
      </w:r>
      <w:proofErr w:type="gramEnd"/>
      <w:r>
        <w:rPr>
          <w:color w:val="222222"/>
        </w:rPr>
        <w:t xml:space="preserve"> </w:t>
      </w:r>
      <w:r w:rsidR="00E05D5E">
        <w:rPr>
          <w:color w:val="222222"/>
        </w:rPr>
        <w:t>je</w:t>
      </w:r>
      <w:r>
        <w:rPr>
          <w:color w:val="222222"/>
        </w:rPr>
        <w:t xml:space="preserve"> využívána pro vyjádření nerovnosti. Lorenzova křivka má tvar krabicového diagramu, kde se na vodorovnou osu značí kumulativní procenta </w:t>
      </w:r>
      <w:r w:rsidR="00015C75">
        <w:rPr>
          <w:color w:val="222222"/>
        </w:rPr>
        <w:t>populace</w:t>
      </w:r>
      <w:r>
        <w:rPr>
          <w:color w:val="222222"/>
        </w:rPr>
        <w:t xml:space="preserve"> a na svislou zase kumulativní podíly na celkovém důchodu</w:t>
      </w:r>
      <w:r w:rsidR="00015C75">
        <w:rPr>
          <w:color w:val="222222"/>
        </w:rPr>
        <w:t xml:space="preserve"> (bohatství)</w:t>
      </w:r>
      <w:r>
        <w:rPr>
          <w:color w:val="222222"/>
        </w:rPr>
        <w:t xml:space="preserve"> dané země. Za ideální křivku je považována ta křivka, jež svírá sklon 45</w:t>
      </w:r>
      <w:r w:rsidRPr="005402A3">
        <w:rPr>
          <w:color w:val="222222"/>
          <w:vertAlign w:val="superscript"/>
        </w:rPr>
        <w:t>o</w:t>
      </w:r>
      <w:r w:rsidRPr="005402A3">
        <w:rPr>
          <w:color w:val="222222"/>
        </w:rPr>
        <w:t xml:space="preserve"> mezi přímkou a po</w:t>
      </w:r>
      <w:r>
        <w:rPr>
          <w:color w:val="222222"/>
        </w:rPr>
        <w:t>č</w:t>
      </w:r>
      <w:r w:rsidRPr="005402A3">
        <w:rPr>
          <w:color w:val="222222"/>
        </w:rPr>
        <w:t>átkem.</w:t>
      </w:r>
      <w:r>
        <w:rPr>
          <w:color w:val="222222"/>
        </w:rPr>
        <w:t xml:space="preserve"> Obecně platí, že</w:t>
      </w:r>
      <w:r w:rsidR="00E05D5E">
        <w:rPr>
          <w:color w:val="222222"/>
        </w:rPr>
        <w:t> </w:t>
      </w:r>
      <w:r>
        <w:rPr>
          <w:color w:val="222222"/>
        </w:rPr>
        <w:t>čím je Lorenzova křivka více „prohnutá“, tím je nerovnost v rozdělování důchodů větší.</w:t>
      </w:r>
      <w:r w:rsidR="00EF2635">
        <w:rPr>
          <w:color w:val="222222"/>
        </w:rPr>
        <w:t xml:space="preserve"> Čím se hodnota blíží více 0, tím je rozdělení bohatství rovnější. </w:t>
      </w:r>
      <w:r w:rsidR="00432182">
        <w:rPr>
          <w:color w:val="222222"/>
        </w:rPr>
        <w:t xml:space="preserve"> </w:t>
      </w:r>
      <w:r w:rsidR="00B90EFE">
        <w:rPr>
          <w:color w:val="222222"/>
        </w:rPr>
        <w:t>(Jurečka a kol., 2018).</w:t>
      </w:r>
    </w:p>
    <w:p w14:paraId="4188410B" w14:textId="099CE555" w:rsidR="005402A3" w:rsidRDefault="00432182" w:rsidP="00432182">
      <w:pPr>
        <w:shd w:val="clear" w:color="auto" w:fill="FFFFFF"/>
        <w:spacing w:before="120" w:after="240" w:line="360" w:lineRule="auto"/>
        <w:ind w:firstLine="454"/>
        <w:jc w:val="both"/>
        <w:rPr>
          <w:color w:val="222222"/>
        </w:rPr>
      </w:pPr>
      <w:r>
        <w:rPr>
          <w:color w:val="222222"/>
        </w:rPr>
        <w:t xml:space="preserve">Z Lorenzovi křivky poté vychází </w:t>
      </w:r>
      <w:proofErr w:type="spellStart"/>
      <w:r>
        <w:rPr>
          <w:color w:val="222222"/>
        </w:rPr>
        <w:t>Giniho</w:t>
      </w:r>
      <w:proofErr w:type="spellEnd"/>
      <w:r>
        <w:rPr>
          <w:color w:val="222222"/>
        </w:rPr>
        <w:t xml:space="preserve"> koeficient, který porovnává skutečnou Lorenzovu křivku s křivkou ideální. </w:t>
      </w:r>
    </w:p>
    <w:p w14:paraId="48DD19F4" w14:textId="7036181D" w:rsidR="007331C7" w:rsidRDefault="00432182" w:rsidP="007331C7">
      <w:pPr>
        <w:shd w:val="clear" w:color="auto" w:fill="FFFFFF"/>
        <w:spacing w:before="120" w:after="240" w:line="360" w:lineRule="auto"/>
        <w:ind w:firstLine="454"/>
        <w:jc w:val="both"/>
        <w:rPr>
          <w:color w:val="222222"/>
        </w:rPr>
      </w:pPr>
      <w:r>
        <w:rPr>
          <w:color w:val="222222"/>
        </w:rPr>
        <w:t>Tento koeficient nám vyjadřuje m</w:t>
      </w:r>
      <w:r w:rsidR="006642C4" w:rsidRPr="006642C4">
        <w:rPr>
          <w:color w:val="222222"/>
        </w:rPr>
        <w:t>íru e</w:t>
      </w:r>
      <w:r w:rsidR="006642C4">
        <w:rPr>
          <w:color w:val="222222"/>
        </w:rPr>
        <w:t>konomické nerovnosti důchodů v konkrétní zemi</w:t>
      </w:r>
      <w:r>
        <w:rPr>
          <w:color w:val="222222"/>
        </w:rPr>
        <w:t xml:space="preserve"> a</w:t>
      </w:r>
      <w:r w:rsidR="00B90EFE">
        <w:rPr>
          <w:color w:val="222222"/>
        </w:rPr>
        <w:t> </w:t>
      </w:r>
      <w:r w:rsidR="006642C4">
        <w:rPr>
          <w:color w:val="222222"/>
        </w:rPr>
        <w:t>znázorňuje rozdělení příjmů dané populace.</w:t>
      </w:r>
      <w:r>
        <w:rPr>
          <w:color w:val="222222"/>
        </w:rPr>
        <w:t xml:space="preserve"> Ekonomická nerovnost představuje rozdíly v přerozdělení aktiv, bohatství a zisku mezi jednotlivci, či celou společností. Tento jev je často označován jako propast mezi bohatými a chudými, či mezera bohatství. (OECD, 2016). </w:t>
      </w:r>
    </w:p>
    <w:p w14:paraId="760618F1" w14:textId="31047A68" w:rsidR="00882D84" w:rsidRDefault="007774B3" w:rsidP="007331C7">
      <w:pPr>
        <w:shd w:val="clear" w:color="auto" w:fill="FFFFFF"/>
        <w:spacing w:before="120" w:after="240" w:line="360" w:lineRule="auto"/>
        <w:ind w:firstLine="454"/>
        <w:jc w:val="both"/>
        <w:rPr>
          <w:color w:val="222222"/>
        </w:rPr>
      </w:pPr>
      <w:r>
        <w:rPr>
          <w:noProof/>
          <w:color w:val="222222"/>
        </w:rPr>
        <w:drawing>
          <wp:anchor distT="0" distB="0" distL="114300" distR="114300" simplePos="0" relativeHeight="251689984" behindDoc="0" locked="0" layoutInCell="1" allowOverlap="1" wp14:anchorId="55D5F043" wp14:editId="201F508A">
            <wp:simplePos x="0" y="0"/>
            <wp:positionH relativeFrom="margin">
              <wp:align>center</wp:align>
            </wp:positionH>
            <wp:positionV relativeFrom="margin">
              <wp:posOffset>4776470</wp:posOffset>
            </wp:positionV>
            <wp:extent cx="3086100" cy="2929255"/>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nzova křiva, Giniho koeficient.jpg"/>
                    <pic:cNvPicPr/>
                  </pic:nvPicPr>
                  <pic:blipFill>
                    <a:blip r:embed="rId10">
                      <a:extLst>
                        <a:ext uri="{28A0092B-C50C-407E-A947-70E740481C1C}">
                          <a14:useLocalDpi xmlns:a14="http://schemas.microsoft.com/office/drawing/2010/main" val="0"/>
                        </a:ext>
                      </a:extLst>
                    </a:blip>
                    <a:stretch>
                      <a:fillRect/>
                    </a:stretch>
                  </pic:blipFill>
                  <pic:spPr>
                    <a:xfrm>
                      <a:off x="0" y="0"/>
                      <a:ext cx="3086100" cy="2929255"/>
                    </a:xfrm>
                    <a:prstGeom prst="rect">
                      <a:avLst/>
                    </a:prstGeom>
                  </pic:spPr>
                </pic:pic>
              </a:graphicData>
            </a:graphic>
            <wp14:sizeRelH relativeFrom="margin">
              <wp14:pctWidth>0</wp14:pctWidth>
            </wp14:sizeRelH>
            <wp14:sizeRelV relativeFrom="margin">
              <wp14:pctHeight>0</wp14:pctHeight>
            </wp14:sizeRelV>
          </wp:anchor>
        </w:drawing>
      </w:r>
    </w:p>
    <w:p w14:paraId="697D879F" w14:textId="70ABB0F4" w:rsidR="007331C7" w:rsidRDefault="007331C7" w:rsidP="006A50D5">
      <w:pPr>
        <w:shd w:val="clear" w:color="auto" w:fill="FFFFFF"/>
        <w:spacing w:before="120" w:after="240" w:line="360" w:lineRule="auto"/>
        <w:ind w:firstLine="454"/>
        <w:jc w:val="both"/>
        <w:rPr>
          <w:color w:val="222222"/>
        </w:rPr>
      </w:pPr>
    </w:p>
    <w:p w14:paraId="58A0ADF6" w14:textId="03161C7D" w:rsidR="007331C7" w:rsidRDefault="007331C7" w:rsidP="007331C7">
      <w:pPr>
        <w:shd w:val="clear" w:color="auto" w:fill="FFFFFF"/>
        <w:spacing w:before="120" w:after="240" w:line="360" w:lineRule="auto"/>
        <w:jc w:val="both"/>
        <w:rPr>
          <w:color w:val="222222"/>
        </w:rPr>
      </w:pPr>
    </w:p>
    <w:p w14:paraId="29794D09" w14:textId="322A1F5A" w:rsidR="007331C7" w:rsidRDefault="007331C7" w:rsidP="006A50D5">
      <w:pPr>
        <w:shd w:val="clear" w:color="auto" w:fill="FFFFFF"/>
        <w:spacing w:before="120" w:after="240" w:line="360" w:lineRule="auto"/>
        <w:ind w:firstLine="454"/>
        <w:jc w:val="both"/>
        <w:rPr>
          <w:color w:val="222222"/>
        </w:rPr>
      </w:pPr>
    </w:p>
    <w:p w14:paraId="150195CA" w14:textId="78DC34E8" w:rsidR="007331C7" w:rsidRDefault="007331C7" w:rsidP="006A50D5">
      <w:pPr>
        <w:shd w:val="clear" w:color="auto" w:fill="FFFFFF"/>
        <w:spacing w:before="120" w:after="240" w:line="360" w:lineRule="auto"/>
        <w:ind w:firstLine="454"/>
        <w:jc w:val="both"/>
        <w:rPr>
          <w:color w:val="222222"/>
        </w:rPr>
      </w:pPr>
    </w:p>
    <w:p w14:paraId="32E68FE9" w14:textId="522B9936" w:rsidR="007331C7" w:rsidRDefault="007331C7" w:rsidP="006A50D5">
      <w:pPr>
        <w:shd w:val="clear" w:color="auto" w:fill="FFFFFF"/>
        <w:spacing w:before="120" w:after="240" w:line="360" w:lineRule="auto"/>
        <w:ind w:firstLine="454"/>
        <w:jc w:val="both"/>
        <w:rPr>
          <w:color w:val="222222"/>
        </w:rPr>
      </w:pPr>
    </w:p>
    <w:p w14:paraId="6DA195F7" w14:textId="62B24FF5" w:rsidR="007331C7" w:rsidRDefault="007331C7" w:rsidP="006A50D5">
      <w:pPr>
        <w:shd w:val="clear" w:color="auto" w:fill="FFFFFF"/>
        <w:spacing w:before="120" w:after="240" w:line="360" w:lineRule="auto"/>
        <w:ind w:firstLine="454"/>
        <w:jc w:val="both"/>
        <w:rPr>
          <w:color w:val="222222"/>
        </w:rPr>
      </w:pPr>
    </w:p>
    <w:p w14:paraId="6F261F2D" w14:textId="4BC671CE" w:rsidR="007331C7" w:rsidRDefault="007331C7" w:rsidP="006A50D5">
      <w:pPr>
        <w:shd w:val="clear" w:color="auto" w:fill="FFFFFF"/>
        <w:spacing w:before="120" w:after="240" w:line="360" w:lineRule="auto"/>
        <w:ind w:firstLine="454"/>
        <w:jc w:val="both"/>
        <w:rPr>
          <w:color w:val="222222"/>
        </w:rPr>
      </w:pPr>
    </w:p>
    <w:p w14:paraId="1A02894B" w14:textId="1708CC45" w:rsidR="00D552A1" w:rsidRDefault="00A554EA" w:rsidP="006A50D5">
      <w:pPr>
        <w:shd w:val="clear" w:color="auto" w:fill="FFFFFF"/>
        <w:spacing w:before="120" w:after="240" w:line="360" w:lineRule="auto"/>
        <w:ind w:firstLine="454"/>
        <w:jc w:val="both"/>
        <w:rPr>
          <w:color w:val="222222"/>
        </w:rPr>
      </w:pPr>
      <w:r>
        <w:rPr>
          <w:noProof/>
        </w:rPr>
        <mc:AlternateContent>
          <mc:Choice Requires="wps">
            <w:drawing>
              <wp:anchor distT="0" distB="0" distL="114300" distR="114300" simplePos="0" relativeHeight="251706368" behindDoc="0" locked="0" layoutInCell="1" allowOverlap="1" wp14:anchorId="38CF7904" wp14:editId="049F6647">
                <wp:simplePos x="0" y="0"/>
                <wp:positionH relativeFrom="column">
                  <wp:posOffset>500097</wp:posOffset>
                </wp:positionH>
                <wp:positionV relativeFrom="paragraph">
                  <wp:posOffset>18509</wp:posOffset>
                </wp:positionV>
                <wp:extent cx="4941570" cy="635"/>
                <wp:effectExtent l="0" t="0" r="0" b="0"/>
                <wp:wrapSquare wrapText="bothSides"/>
                <wp:docPr id="2" name="Textové pole 2"/>
                <wp:cNvGraphicFramePr/>
                <a:graphic xmlns:a="http://schemas.openxmlformats.org/drawingml/2006/main">
                  <a:graphicData uri="http://schemas.microsoft.com/office/word/2010/wordprocessingShape">
                    <wps:wsp>
                      <wps:cNvSpPr txBox="1"/>
                      <wps:spPr>
                        <a:xfrm>
                          <a:off x="0" y="0"/>
                          <a:ext cx="4941570" cy="635"/>
                        </a:xfrm>
                        <a:prstGeom prst="rect">
                          <a:avLst/>
                        </a:prstGeom>
                        <a:solidFill>
                          <a:prstClr val="white"/>
                        </a:solidFill>
                        <a:ln>
                          <a:noFill/>
                        </a:ln>
                      </wps:spPr>
                      <wps:txbx>
                        <w:txbxContent>
                          <w:p w14:paraId="53E4FDD1" w14:textId="06B15D36" w:rsidR="008A7955" w:rsidRPr="00A554EA" w:rsidRDefault="008A7955" w:rsidP="00A554EA">
                            <w:pPr>
                              <w:pStyle w:val="Titulek"/>
                              <w:rPr>
                                <w:noProof/>
                                <w:color w:val="222222"/>
                                <w:sz w:val="20"/>
                                <w:szCs w:val="20"/>
                              </w:rPr>
                            </w:pPr>
                            <w:bookmarkStart w:id="20" w:name="_Toc46142526"/>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Pr>
                                <w:noProof/>
                                <w:sz w:val="20"/>
                                <w:szCs w:val="20"/>
                              </w:rPr>
                              <w:t>1</w:t>
                            </w:r>
                            <w:r w:rsidRPr="00A554EA">
                              <w:rPr>
                                <w:sz w:val="20"/>
                                <w:szCs w:val="20"/>
                              </w:rPr>
                              <w:fldChar w:fldCharType="end"/>
                            </w:r>
                            <w:r w:rsidRPr="00A554EA">
                              <w:rPr>
                                <w:sz w:val="20"/>
                                <w:szCs w:val="20"/>
                              </w:rPr>
                              <w:t xml:space="preserve"> - Lorenzova křivka, Giniho koeficient (vl. zpracování; Bauer a kol., 2015)</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CF7904" id="_x0000_t202" coordsize="21600,21600" o:spt="202" path="m,l,21600r21600,l21600,xe">
                <v:stroke joinstyle="miter"/>
                <v:path gradientshapeok="t" o:connecttype="rect"/>
              </v:shapetype>
              <v:shape id="Textové pole 2" o:spid="_x0000_s1026" type="#_x0000_t202" style="position:absolute;left:0;text-align:left;margin-left:39.4pt;margin-top:1.45pt;width:389.1pt;height:.0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" stroked="f">
                <v:textbox style="mso-fit-shape-to-text:t" inset="0,0,0,0">
                  <w:txbxContent>
                    <w:p w14:paraId="53E4FDD1" w14:textId="06B15D36" w:rsidR="008A7955" w:rsidRPr="00A554EA" w:rsidRDefault="008A7955" w:rsidP="00A554EA">
                      <w:pPr>
                        <w:pStyle w:val="Titulek"/>
                        <w:rPr>
                          <w:noProof/>
                          <w:color w:val="222222"/>
                          <w:sz w:val="20"/>
                          <w:szCs w:val="20"/>
                        </w:rPr>
                      </w:pPr>
                      <w:bookmarkStart w:id="21" w:name="_Toc46142526"/>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Pr>
                          <w:noProof/>
                          <w:sz w:val="20"/>
                          <w:szCs w:val="20"/>
                        </w:rPr>
                        <w:t>1</w:t>
                      </w:r>
                      <w:r w:rsidRPr="00A554EA">
                        <w:rPr>
                          <w:sz w:val="20"/>
                          <w:szCs w:val="20"/>
                        </w:rPr>
                        <w:fldChar w:fldCharType="end"/>
                      </w:r>
                      <w:r w:rsidRPr="00A554EA">
                        <w:rPr>
                          <w:sz w:val="20"/>
                          <w:szCs w:val="20"/>
                        </w:rPr>
                        <w:t xml:space="preserve"> - Lorenzova křivka, Giniho koeficient (vl. zpracování; Bauer a kol., 2015)</w:t>
                      </w:r>
                      <w:bookmarkEnd w:id="21"/>
                    </w:p>
                  </w:txbxContent>
                </v:textbox>
                <w10:wrap type="square"/>
              </v:shape>
            </w:pict>
          </mc:Fallback>
        </mc:AlternateContent>
      </w:r>
    </w:p>
    <w:p w14:paraId="16A0A1A3" w14:textId="77777777" w:rsidR="008A7955" w:rsidRDefault="008A7955" w:rsidP="00D552A1">
      <w:pPr>
        <w:shd w:val="clear" w:color="auto" w:fill="FFFFFF"/>
        <w:spacing w:before="120" w:after="240" w:line="360" w:lineRule="auto"/>
        <w:ind w:firstLine="454"/>
        <w:jc w:val="both"/>
        <w:rPr>
          <w:color w:val="222222"/>
        </w:rPr>
      </w:pPr>
    </w:p>
    <w:p w14:paraId="2EEA8C9C" w14:textId="10F809E7" w:rsidR="00EF2635" w:rsidRPr="006642C4" w:rsidRDefault="002E73F9" w:rsidP="00D552A1">
      <w:pPr>
        <w:shd w:val="clear" w:color="auto" w:fill="FFFFFF"/>
        <w:spacing w:before="120" w:after="240" w:line="360" w:lineRule="auto"/>
        <w:ind w:firstLine="454"/>
        <w:jc w:val="both"/>
        <w:rPr>
          <w:color w:val="222222"/>
        </w:rPr>
      </w:pPr>
      <w:r>
        <w:rPr>
          <w:color w:val="222222"/>
        </w:rPr>
        <w:lastRenderedPageBreak/>
        <w:t>Zaměříme-li se na</w:t>
      </w:r>
      <w:r w:rsidR="00EF2635">
        <w:rPr>
          <w:color w:val="222222"/>
        </w:rPr>
        <w:t xml:space="preserve"> </w:t>
      </w:r>
      <w:r>
        <w:rPr>
          <w:color w:val="222222"/>
        </w:rPr>
        <w:t>příjmy</w:t>
      </w:r>
      <w:r w:rsidR="00EF2635">
        <w:rPr>
          <w:color w:val="222222"/>
        </w:rPr>
        <w:t xml:space="preserve">, </w:t>
      </w:r>
      <w:r>
        <w:rPr>
          <w:color w:val="222222"/>
        </w:rPr>
        <w:t xml:space="preserve">tak mezi ně také </w:t>
      </w:r>
      <w:r w:rsidR="00EF2635">
        <w:rPr>
          <w:color w:val="222222"/>
        </w:rPr>
        <w:t>patří jakékoliv sociální dávky, či další příjmy domácností, např. příjmy z pronájmu apod. Příjmová nerovnost odráží rozložení příjmů ve</w:t>
      </w:r>
      <w:r w:rsidR="00D552A1">
        <w:rPr>
          <w:color w:val="222222"/>
        </w:rPr>
        <w:t> </w:t>
      </w:r>
      <w:r w:rsidR="00EF2635">
        <w:rPr>
          <w:color w:val="222222"/>
        </w:rPr>
        <w:t>společnosti. Samotné rozložení příjmů je nesmírně důležitým aspektem jednak ekonomického rozvoje společnosti, ale také sociální stability. V současné tržní ekonomice máme nerovnoměrné rozložení příjmů. Příjmová nerovnost jako taková, je jev</w:t>
      </w:r>
      <w:r w:rsidR="00A83223">
        <w:rPr>
          <w:color w:val="222222"/>
        </w:rPr>
        <w:t>,</w:t>
      </w:r>
      <w:r w:rsidR="00EF2635">
        <w:rPr>
          <w:color w:val="222222"/>
        </w:rPr>
        <w:t xml:space="preserve"> ke kterému dochází v posledních desetiletích a který rozděluje společnost (</w:t>
      </w:r>
      <w:r w:rsidR="00A83223">
        <w:rPr>
          <w:color w:val="222222"/>
        </w:rPr>
        <w:t xml:space="preserve">Malá a </w:t>
      </w:r>
      <w:r w:rsidR="00EF2635">
        <w:rPr>
          <w:color w:val="222222"/>
        </w:rPr>
        <w:t>Červená, 2012).</w:t>
      </w:r>
    </w:p>
    <w:p w14:paraId="0B9AFFBB" w14:textId="32967139" w:rsidR="00500663" w:rsidRDefault="006A50D5" w:rsidP="00864356">
      <w:pPr>
        <w:shd w:val="clear" w:color="auto" w:fill="FFFFFF"/>
        <w:spacing w:before="120" w:after="240" w:line="360" w:lineRule="auto"/>
        <w:ind w:firstLine="454"/>
        <w:jc w:val="both"/>
        <w:rPr>
          <w:szCs w:val="22"/>
        </w:rPr>
      </w:pPr>
      <w:r w:rsidRPr="006A50D5">
        <w:rPr>
          <w:color w:val="222222"/>
        </w:rPr>
        <w:t>V</w:t>
      </w:r>
      <w:r w:rsidR="000B27AD">
        <w:rPr>
          <w:color w:val="222222"/>
        </w:rPr>
        <w:t> praktické části</w:t>
      </w:r>
      <w:r w:rsidRPr="006A50D5">
        <w:rPr>
          <w:color w:val="222222"/>
        </w:rPr>
        <w:t xml:space="preserve"> </w:t>
      </w:r>
      <w:r w:rsidR="000B27AD">
        <w:rPr>
          <w:color w:val="222222"/>
        </w:rPr>
        <w:t>bude</w:t>
      </w:r>
      <w:r w:rsidRPr="006A50D5">
        <w:rPr>
          <w:color w:val="222222"/>
        </w:rPr>
        <w:t xml:space="preserve"> provedena korelační analýza vycházející z průměrných mezd. Kromě průměrných mezd, však </w:t>
      </w:r>
      <w:r w:rsidR="000B27AD">
        <w:rPr>
          <w:color w:val="222222"/>
        </w:rPr>
        <w:t>rozlišujeme</w:t>
      </w:r>
      <w:r w:rsidRPr="006A50D5">
        <w:rPr>
          <w:color w:val="222222"/>
        </w:rPr>
        <w:t xml:space="preserve"> i tzv. medián příjmů. </w:t>
      </w:r>
      <w:r w:rsidR="005B392E" w:rsidRPr="006A50D5">
        <w:rPr>
          <w:color w:val="222222"/>
        </w:rPr>
        <w:t>Rozdíl mezi průměrnou mzdou a</w:t>
      </w:r>
      <w:r w:rsidRPr="006A50D5">
        <w:rPr>
          <w:color w:val="222222"/>
        </w:rPr>
        <w:t> </w:t>
      </w:r>
      <w:r w:rsidR="005B392E" w:rsidRPr="006A50D5">
        <w:rPr>
          <w:color w:val="222222"/>
        </w:rPr>
        <w:t>mediánem příjmů je v</w:t>
      </w:r>
      <w:r w:rsidR="00FD2E25" w:rsidRPr="006A50D5">
        <w:rPr>
          <w:color w:val="222222"/>
        </w:rPr>
        <w:t> ten, že v případě mediánu seřazujeme</w:t>
      </w:r>
      <w:r w:rsidR="00FD2E25">
        <w:rPr>
          <w:color w:val="222222"/>
        </w:rPr>
        <w:t xml:space="preserve"> mzdy a platy všech zaměstnaných osob o</w:t>
      </w:r>
      <w:r w:rsidR="00D46685">
        <w:rPr>
          <w:color w:val="222222"/>
        </w:rPr>
        <w:t>d</w:t>
      </w:r>
      <w:r w:rsidR="00FD2E25">
        <w:rPr>
          <w:color w:val="222222"/>
        </w:rPr>
        <w:t xml:space="preserve"> největší hodnoty po nejmenší</w:t>
      </w:r>
      <w:r w:rsidR="00D46685">
        <w:rPr>
          <w:color w:val="222222"/>
        </w:rPr>
        <w:t>. H</w:t>
      </w:r>
      <w:r w:rsidR="00FD2E25">
        <w:rPr>
          <w:color w:val="222222"/>
        </w:rPr>
        <w:t>odnota nacházející se přesně uprostřed je brána jako medián mezd</w:t>
      </w:r>
      <w:r w:rsidR="00D46685">
        <w:rPr>
          <w:color w:val="222222"/>
        </w:rPr>
        <w:t>, a d</w:t>
      </w:r>
      <w:r w:rsidR="00FD2E25">
        <w:rPr>
          <w:color w:val="222222"/>
        </w:rPr>
        <w:t xml:space="preserve">íky tomu medián mezd daleko lépe odpovídá skutečnosti. Obecně platí, že čím je rozdíl mezi těmito dvěma mzdami větší, tím je mzdová nerovnost v dané zemi vyšší. </w:t>
      </w:r>
      <w:r w:rsidR="00500663" w:rsidRPr="00C60977">
        <w:rPr>
          <w:szCs w:val="22"/>
        </w:rPr>
        <w:t>V posledních letech dochází k prohlubování příjmových nerovností ve společnosti</w:t>
      </w:r>
      <w:r w:rsidR="00500663">
        <w:rPr>
          <w:szCs w:val="22"/>
        </w:rPr>
        <w:t xml:space="preserve"> </w:t>
      </w:r>
      <w:r w:rsidR="00500663" w:rsidRPr="00C60977">
        <w:rPr>
          <w:szCs w:val="22"/>
        </w:rPr>
        <w:t>a</w:t>
      </w:r>
      <w:r w:rsidR="00500663">
        <w:rPr>
          <w:szCs w:val="22"/>
        </w:rPr>
        <w:t> </w:t>
      </w:r>
      <w:r w:rsidR="00500663" w:rsidRPr="00C60977">
        <w:rPr>
          <w:szCs w:val="22"/>
        </w:rPr>
        <w:t xml:space="preserve">zároveň </w:t>
      </w:r>
      <w:r w:rsidR="00500663">
        <w:rPr>
          <w:szCs w:val="22"/>
        </w:rPr>
        <w:t>i </w:t>
      </w:r>
      <w:r w:rsidR="00500663" w:rsidRPr="00C60977">
        <w:rPr>
          <w:szCs w:val="22"/>
        </w:rPr>
        <w:t xml:space="preserve">k prohlubování rozdílů mezi </w:t>
      </w:r>
      <w:r w:rsidR="00500663">
        <w:rPr>
          <w:szCs w:val="22"/>
        </w:rPr>
        <w:t xml:space="preserve">příjmem průměrným a mediánovým. </w:t>
      </w:r>
    </w:p>
    <w:p w14:paraId="3311B238" w14:textId="162CC5B7" w:rsidR="00420CDC" w:rsidRDefault="00864356" w:rsidP="00864356">
      <w:pPr>
        <w:shd w:val="clear" w:color="auto" w:fill="FFFFFF"/>
        <w:spacing w:before="120" w:after="240" w:line="360" w:lineRule="auto"/>
        <w:ind w:firstLine="454"/>
        <w:jc w:val="both"/>
        <w:rPr>
          <w:color w:val="222222"/>
        </w:rPr>
      </w:pPr>
      <w:r>
        <w:rPr>
          <w:color w:val="222222"/>
        </w:rPr>
        <w:t>Dalším pojmem je m</w:t>
      </w:r>
      <w:r w:rsidR="001253EF">
        <w:rPr>
          <w:color w:val="222222"/>
        </w:rPr>
        <w:t>inimální mzda</w:t>
      </w:r>
      <w:r>
        <w:rPr>
          <w:color w:val="222222"/>
        </w:rPr>
        <w:t>, která</w:t>
      </w:r>
      <w:r w:rsidR="001253EF">
        <w:rPr>
          <w:color w:val="222222"/>
        </w:rPr>
        <w:t xml:space="preserve"> představuje nejnižší přípustnou výši odměny za</w:t>
      </w:r>
      <w:r>
        <w:rPr>
          <w:color w:val="222222"/>
        </w:rPr>
        <w:t> </w:t>
      </w:r>
      <w:r w:rsidR="001253EF">
        <w:rPr>
          <w:color w:val="222222"/>
        </w:rPr>
        <w:t xml:space="preserve">práci vykonanou v pracovněprávním vztahu. </w:t>
      </w:r>
      <w:r w:rsidR="00F955C5">
        <w:rPr>
          <w:color w:val="222222"/>
        </w:rPr>
        <w:t>M</w:t>
      </w:r>
      <w:r w:rsidR="001253EF">
        <w:rPr>
          <w:color w:val="222222"/>
        </w:rPr>
        <w:t>inimální mzd</w:t>
      </w:r>
      <w:r w:rsidR="00F955C5">
        <w:rPr>
          <w:color w:val="222222"/>
        </w:rPr>
        <w:t>a je</w:t>
      </w:r>
      <w:r w:rsidR="001253EF">
        <w:rPr>
          <w:color w:val="222222"/>
        </w:rPr>
        <w:t xml:space="preserve"> uprav</w:t>
      </w:r>
      <w:r w:rsidR="00F955C5">
        <w:rPr>
          <w:color w:val="222222"/>
        </w:rPr>
        <w:t>ena</w:t>
      </w:r>
      <w:r w:rsidR="001253EF">
        <w:rPr>
          <w:color w:val="222222"/>
        </w:rPr>
        <w:t xml:space="preserve"> zákoník</w:t>
      </w:r>
      <w:r w:rsidR="00F955C5">
        <w:rPr>
          <w:color w:val="222222"/>
        </w:rPr>
        <w:t>em</w:t>
      </w:r>
      <w:r w:rsidR="001253EF">
        <w:rPr>
          <w:color w:val="222222"/>
        </w:rPr>
        <w:t xml:space="preserve"> práce</w:t>
      </w:r>
      <w:r w:rsidR="00F955C5">
        <w:rPr>
          <w:color w:val="222222"/>
        </w:rPr>
        <w:t xml:space="preserve">, resp. </w:t>
      </w:r>
      <w:r w:rsidR="001253EF">
        <w:rPr>
          <w:color w:val="222222"/>
        </w:rPr>
        <w:t>zákon</w:t>
      </w:r>
      <w:r w:rsidR="00F955C5">
        <w:rPr>
          <w:color w:val="222222"/>
        </w:rPr>
        <w:t>em</w:t>
      </w:r>
      <w:r w:rsidR="001253EF">
        <w:rPr>
          <w:color w:val="222222"/>
        </w:rPr>
        <w:t xml:space="preserve"> č.</w:t>
      </w:r>
      <w:r w:rsidR="00F955C5">
        <w:rPr>
          <w:color w:val="222222"/>
        </w:rPr>
        <w:t> </w:t>
      </w:r>
      <w:r w:rsidR="001253EF">
        <w:rPr>
          <w:color w:val="222222"/>
        </w:rPr>
        <w:t>262/2006 Sb., ve znění pozdějších předpisů</w:t>
      </w:r>
      <w:r w:rsidR="00F955C5">
        <w:rPr>
          <w:color w:val="222222"/>
        </w:rPr>
        <w:t>, a poté výše základní sazby minimální mzdy a podmínky týkající se jejího poskytování stanovuje nařízení vlády. (MPSV, 2019).</w:t>
      </w:r>
    </w:p>
    <w:p w14:paraId="369FE413" w14:textId="4AE71521" w:rsidR="003731DF" w:rsidRDefault="003731DF" w:rsidP="00F955C5">
      <w:pPr>
        <w:shd w:val="clear" w:color="auto" w:fill="FFFFFF"/>
        <w:spacing w:before="120" w:after="240" w:line="360" w:lineRule="auto"/>
        <w:ind w:firstLine="454"/>
        <w:jc w:val="both"/>
        <w:rPr>
          <w:color w:val="222222"/>
        </w:rPr>
      </w:pPr>
      <w:r>
        <w:rPr>
          <w:color w:val="222222"/>
        </w:rPr>
        <w:t>Zákonem stanovená výše minimální mzdy je závazná pro všechny, tzn. pro zaměstnavatele v podnikatelské, ale i v nepodnikatelské sféře. (Práce a mzda, 2019).</w:t>
      </w:r>
    </w:p>
    <w:p w14:paraId="1E2277EB" w14:textId="0699E614" w:rsidR="00A84D41" w:rsidRDefault="00A84D41" w:rsidP="00F955C5">
      <w:pPr>
        <w:shd w:val="clear" w:color="auto" w:fill="FFFFFF"/>
        <w:spacing w:before="120" w:after="240" w:line="360" w:lineRule="auto"/>
        <w:ind w:firstLine="454"/>
        <w:jc w:val="both"/>
        <w:rPr>
          <w:color w:val="222222"/>
        </w:rPr>
      </w:pPr>
      <w:r>
        <w:rPr>
          <w:color w:val="222222"/>
        </w:rPr>
        <w:t>Na dodržování minimální mzdy z pracovněprávních vztahů v České republice dohlíží a kontroluje Státní úřad inspekce práce a jemu podřízené oblastní inspektoráty práce, které se řídí zákonem č. 251/2005 Sb., o inspekci práce. (MPSV, 2019).</w:t>
      </w:r>
    </w:p>
    <w:p w14:paraId="21FDDA45" w14:textId="58DD6E05" w:rsidR="00A84D41" w:rsidRDefault="00A84D41" w:rsidP="00F955C5">
      <w:pPr>
        <w:shd w:val="clear" w:color="auto" w:fill="FFFFFF"/>
        <w:spacing w:before="120" w:after="240" w:line="360" w:lineRule="auto"/>
        <w:ind w:firstLine="454"/>
        <w:jc w:val="both"/>
        <w:rPr>
          <w:color w:val="222222"/>
        </w:rPr>
      </w:pPr>
      <w:r>
        <w:rPr>
          <w:color w:val="222222"/>
        </w:rPr>
        <w:t>V souvislosti s minimální mzdou je nutné také zmínit i tzv. zaručenou mzdu, která představuje minimální mzdu zaměstnance, rozdělenou na základě druhu jím vykonávané práce. Pojem „zaručená mzda“ je upraven zákoníkem práce. Obecná minimální mzda je pro nejméně kvalifikované profese, kdežto pro ostatní platí za minimální mzdu práce příslušná zaručená mzda. V současnosti je nejnižší úroveň zaručené mzdy rozdělena celkem na 8 úrovní dle složitosti, odpovědnosti a namáhavosti vykonávané práce. Následně se těchto 8 úrovní dělí do platových tříd. (Práce a mzda, 2019); (OSPZV-ASO ČR, 2018).</w:t>
      </w:r>
    </w:p>
    <w:p w14:paraId="7A6C8CCF" w14:textId="72110EE3" w:rsidR="00D47373" w:rsidRDefault="000B27AD" w:rsidP="00F955C5">
      <w:pPr>
        <w:spacing w:before="120" w:after="240" w:line="360" w:lineRule="auto"/>
        <w:ind w:firstLine="454"/>
        <w:jc w:val="both"/>
        <w:rPr>
          <w:szCs w:val="22"/>
        </w:rPr>
      </w:pPr>
      <w:r>
        <w:rPr>
          <w:szCs w:val="22"/>
        </w:rPr>
        <w:lastRenderedPageBreak/>
        <w:t>Následujícím ukazatelem</w:t>
      </w:r>
      <w:r w:rsidR="00A84D41">
        <w:rPr>
          <w:szCs w:val="22"/>
        </w:rPr>
        <w:t xml:space="preserve"> životní úrovně</w:t>
      </w:r>
      <w:r>
        <w:rPr>
          <w:szCs w:val="22"/>
        </w:rPr>
        <w:t xml:space="preserve"> je</w:t>
      </w:r>
      <w:r w:rsidR="00DE6560">
        <w:rPr>
          <w:szCs w:val="22"/>
        </w:rPr>
        <w:t xml:space="preserve"> ž</w:t>
      </w:r>
      <w:r w:rsidR="00D47373" w:rsidRPr="00AE679D">
        <w:rPr>
          <w:szCs w:val="22"/>
        </w:rPr>
        <w:t>ivotní</w:t>
      </w:r>
      <w:r w:rsidR="00DE6560">
        <w:rPr>
          <w:szCs w:val="22"/>
        </w:rPr>
        <w:t>m</w:t>
      </w:r>
      <w:r w:rsidR="00D47373" w:rsidRPr="00AE679D">
        <w:rPr>
          <w:szCs w:val="22"/>
        </w:rPr>
        <w:t xml:space="preserve"> minim</w:t>
      </w:r>
      <w:r w:rsidR="00A84D41">
        <w:rPr>
          <w:szCs w:val="22"/>
        </w:rPr>
        <w:t>um</w:t>
      </w:r>
      <w:r w:rsidR="00DE6560">
        <w:rPr>
          <w:szCs w:val="22"/>
        </w:rPr>
        <w:t xml:space="preserve">, </w:t>
      </w:r>
      <w:r>
        <w:rPr>
          <w:szCs w:val="22"/>
        </w:rPr>
        <w:t xml:space="preserve">které </w:t>
      </w:r>
      <w:r w:rsidR="00D47373" w:rsidRPr="00AE679D">
        <w:rPr>
          <w:szCs w:val="22"/>
        </w:rPr>
        <w:t>hraje jednu z</w:t>
      </w:r>
      <w:r w:rsidR="00A84D41">
        <w:rPr>
          <w:szCs w:val="22"/>
        </w:rPr>
        <w:t> </w:t>
      </w:r>
      <w:r w:rsidR="00D47373" w:rsidRPr="00AE679D">
        <w:rPr>
          <w:szCs w:val="22"/>
        </w:rPr>
        <w:t>hlavních rolí v sociální pomoci.  Představuje soubor statků a</w:t>
      </w:r>
      <w:r w:rsidR="00D47373">
        <w:rPr>
          <w:szCs w:val="22"/>
        </w:rPr>
        <w:t> </w:t>
      </w:r>
      <w:r w:rsidR="00D47373" w:rsidRPr="00AE679D">
        <w:rPr>
          <w:szCs w:val="22"/>
        </w:rPr>
        <w:t>služeb, jež slouží domácnosti nebo jednotlivci s cílem uspokojit dané potřeby. (Krebs a kol., 2015).</w:t>
      </w:r>
    </w:p>
    <w:p w14:paraId="3162CD2C" w14:textId="1A3D0B5C" w:rsidR="00D47373" w:rsidRDefault="00DE6560" w:rsidP="00D47373">
      <w:pPr>
        <w:spacing w:before="120" w:after="240" w:line="360" w:lineRule="auto"/>
        <w:ind w:firstLine="454"/>
        <w:jc w:val="both"/>
        <w:rPr>
          <w:szCs w:val="22"/>
        </w:rPr>
      </w:pPr>
      <w:r>
        <w:rPr>
          <w:szCs w:val="22"/>
        </w:rPr>
        <w:t xml:space="preserve">Životní minimum představuje </w:t>
      </w:r>
      <w:r w:rsidR="00D47373" w:rsidRPr="00AE679D">
        <w:rPr>
          <w:szCs w:val="22"/>
        </w:rPr>
        <w:t>společností uznávanou minimální hranici peněžních příjmů, díky kterým dochází k</w:t>
      </w:r>
      <w:r w:rsidR="00D47373">
        <w:rPr>
          <w:szCs w:val="22"/>
        </w:rPr>
        <w:t> </w:t>
      </w:r>
      <w:r w:rsidR="00D47373" w:rsidRPr="00AE679D">
        <w:rPr>
          <w:szCs w:val="22"/>
        </w:rPr>
        <w:t xml:space="preserve">zajištění výživy a dalších primárních osobních potřeb. (MPSV, 2020). </w:t>
      </w:r>
    </w:p>
    <w:p w14:paraId="196DFAE8" w14:textId="632709BF" w:rsidR="00DF5AF6" w:rsidRDefault="00D47373" w:rsidP="00DF5AF6">
      <w:pPr>
        <w:spacing w:before="120" w:after="240" w:line="360" w:lineRule="auto"/>
        <w:ind w:firstLine="454"/>
        <w:jc w:val="both"/>
        <w:rPr>
          <w:szCs w:val="22"/>
        </w:rPr>
      </w:pPr>
      <w:r w:rsidRPr="00AE679D">
        <w:rPr>
          <w:szCs w:val="22"/>
        </w:rPr>
        <w:t xml:space="preserve">Životní, ale i existenční minimum v České republice </w:t>
      </w:r>
      <w:r>
        <w:rPr>
          <w:szCs w:val="22"/>
        </w:rPr>
        <w:t>je upraveno</w:t>
      </w:r>
      <w:r w:rsidRPr="00AE679D">
        <w:rPr>
          <w:szCs w:val="22"/>
        </w:rPr>
        <w:t xml:space="preserve"> zákon</w:t>
      </w:r>
      <w:r>
        <w:rPr>
          <w:szCs w:val="22"/>
        </w:rPr>
        <w:t>em</w:t>
      </w:r>
      <w:r w:rsidRPr="00AE679D">
        <w:rPr>
          <w:szCs w:val="22"/>
        </w:rPr>
        <w:t xml:space="preserve"> č. 110/2006 Sb., o</w:t>
      </w:r>
      <w:r>
        <w:rPr>
          <w:szCs w:val="22"/>
        </w:rPr>
        <w:t> </w:t>
      </w:r>
      <w:r w:rsidRPr="00AE679D">
        <w:rPr>
          <w:szCs w:val="22"/>
        </w:rPr>
        <w:t>životním a existenčním minimu, a zároveň veškeré platné částky týkající se těchto minim jsou stanoveny nařízením vlády č. 61/2020 Sb., o zvýšení částek životního minima a</w:t>
      </w:r>
      <w:r>
        <w:rPr>
          <w:szCs w:val="22"/>
        </w:rPr>
        <w:t> </w:t>
      </w:r>
      <w:r w:rsidRPr="00AE679D">
        <w:rPr>
          <w:szCs w:val="22"/>
        </w:rPr>
        <w:t xml:space="preserve">existenčního minima. </w:t>
      </w:r>
      <w:r>
        <w:rPr>
          <w:szCs w:val="22"/>
        </w:rPr>
        <w:t>Z</w:t>
      </w:r>
      <w:r w:rsidRPr="00AE679D">
        <w:rPr>
          <w:szCs w:val="22"/>
        </w:rPr>
        <w:t>míněný zákon pojednává o minimální hranici peněžitých příjmů fyzických osob, které slouží jak k obstarání výživy, tak k obstarání dalších primárních osobních potřeb. Dále upravuje způsob posouzení, či peněžité příjmy fyzických osob vůbec dosahují částky stanovené pro životní minimum. (zákon č. 110/2006 Sb.).</w:t>
      </w:r>
    </w:p>
    <w:p w14:paraId="411DBDA0" w14:textId="77777777" w:rsidR="002E73F9" w:rsidRDefault="00500663" w:rsidP="002E73F9">
      <w:pPr>
        <w:spacing w:before="120" w:after="240" w:line="360" w:lineRule="auto"/>
        <w:ind w:firstLine="454"/>
        <w:jc w:val="both"/>
        <w:rPr>
          <w:b/>
          <w:bCs/>
          <w:i/>
          <w:iCs/>
          <w:szCs w:val="22"/>
        </w:rPr>
      </w:pPr>
      <w:r w:rsidRPr="002E73F9">
        <w:rPr>
          <w:b/>
          <w:bCs/>
          <w:i/>
          <w:iCs/>
          <w:szCs w:val="22"/>
        </w:rPr>
        <w:t>Metody</w:t>
      </w:r>
      <w:r w:rsidR="00D47373" w:rsidRPr="002E73F9">
        <w:rPr>
          <w:b/>
          <w:bCs/>
          <w:i/>
          <w:iCs/>
          <w:szCs w:val="22"/>
        </w:rPr>
        <w:t xml:space="preserve"> stanovení výše životního minima jsou v podstatě ty samé metody, kterými se</w:t>
      </w:r>
      <w:r w:rsidR="008D3557" w:rsidRPr="002E73F9">
        <w:rPr>
          <w:b/>
          <w:bCs/>
          <w:i/>
          <w:iCs/>
          <w:szCs w:val="22"/>
        </w:rPr>
        <w:t> </w:t>
      </w:r>
      <w:r w:rsidR="00D47373" w:rsidRPr="002E73F9">
        <w:rPr>
          <w:b/>
          <w:bCs/>
          <w:i/>
          <w:iCs/>
          <w:szCs w:val="22"/>
        </w:rPr>
        <w:t>definuje chudoba</w:t>
      </w:r>
      <w:r w:rsidR="008D3557" w:rsidRPr="002E73F9">
        <w:rPr>
          <w:b/>
          <w:bCs/>
          <w:i/>
          <w:iCs/>
          <w:szCs w:val="22"/>
        </w:rPr>
        <w:t xml:space="preserve">, tj.: </w:t>
      </w:r>
    </w:p>
    <w:p w14:paraId="398FFC80" w14:textId="77777777" w:rsidR="002E73F9" w:rsidRPr="002E73F9" w:rsidRDefault="008D3557" w:rsidP="00AA5473">
      <w:pPr>
        <w:pStyle w:val="Odstavecseseznamem"/>
        <w:numPr>
          <w:ilvl w:val="0"/>
          <w:numId w:val="24"/>
        </w:numPr>
        <w:spacing w:before="120" w:after="240"/>
        <w:rPr>
          <w:i/>
          <w:iCs/>
          <w:sz w:val="24"/>
        </w:rPr>
      </w:pPr>
      <w:r w:rsidRPr="002E73F9">
        <w:rPr>
          <w:i/>
          <w:iCs/>
          <w:sz w:val="24"/>
        </w:rPr>
        <w:t>a</w:t>
      </w:r>
      <w:r w:rsidR="00D47373" w:rsidRPr="002E73F9">
        <w:rPr>
          <w:i/>
          <w:iCs/>
          <w:sz w:val="24"/>
        </w:rPr>
        <w:t xml:space="preserve">bsolutní </w:t>
      </w:r>
      <w:r w:rsidRPr="002E73F9">
        <w:rPr>
          <w:i/>
          <w:iCs/>
          <w:sz w:val="24"/>
        </w:rPr>
        <w:t>metoda,</w:t>
      </w:r>
    </w:p>
    <w:p w14:paraId="70F422F9" w14:textId="63D69AEE" w:rsidR="00D47373" w:rsidRPr="002E73F9" w:rsidRDefault="00D47373" w:rsidP="00AA5473">
      <w:pPr>
        <w:pStyle w:val="Odstavecseseznamem"/>
        <w:numPr>
          <w:ilvl w:val="0"/>
          <w:numId w:val="24"/>
        </w:numPr>
        <w:spacing w:before="120" w:after="240"/>
        <w:rPr>
          <w:i/>
          <w:iCs/>
          <w:sz w:val="24"/>
        </w:rPr>
      </w:pPr>
      <w:r w:rsidRPr="002E73F9">
        <w:rPr>
          <w:i/>
          <w:iCs/>
          <w:sz w:val="24"/>
        </w:rPr>
        <w:t>relativní metod</w:t>
      </w:r>
      <w:r w:rsidR="008D3557" w:rsidRPr="002E73F9">
        <w:rPr>
          <w:i/>
          <w:iCs/>
          <w:sz w:val="24"/>
        </w:rPr>
        <w:t xml:space="preserve">a. </w:t>
      </w:r>
    </w:p>
    <w:p w14:paraId="5C092768" w14:textId="3FAC694E" w:rsidR="008D3557" w:rsidRDefault="008D3557" w:rsidP="00500663">
      <w:pPr>
        <w:spacing w:before="120" w:after="240" w:line="360" w:lineRule="auto"/>
        <w:ind w:firstLine="360"/>
        <w:jc w:val="both"/>
        <w:rPr>
          <w:szCs w:val="22"/>
        </w:rPr>
      </w:pPr>
      <w:r>
        <w:rPr>
          <w:szCs w:val="22"/>
        </w:rPr>
        <w:t xml:space="preserve">Relativní metoda představuje základ pro </w:t>
      </w:r>
      <w:r w:rsidR="00D47373" w:rsidRPr="00AE679D">
        <w:rPr>
          <w:szCs w:val="22"/>
        </w:rPr>
        <w:t>příjmov</w:t>
      </w:r>
      <w:r>
        <w:rPr>
          <w:szCs w:val="22"/>
        </w:rPr>
        <w:t xml:space="preserve">ou </w:t>
      </w:r>
      <w:r w:rsidR="00D47373" w:rsidRPr="00AE679D">
        <w:rPr>
          <w:szCs w:val="22"/>
        </w:rPr>
        <w:t>distribuc</w:t>
      </w:r>
      <w:r>
        <w:rPr>
          <w:szCs w:val="22"/>
        </w:rPr>
        <w:t>i</w:t>
      </w:r>
      <w:r w:rsidR="00D47373" w:rsidRPr="00AE679D">
        <w:rPr>
          <w:szCs w:val="22"/>
        </w:rPr>
        <w:t>, disponibilní zdroje společnosti a</w:t>
      </w:r>
      <w:r w:rsidR="00D47373">
        <w:rPr>
          <w:szCs w:val="22"/>
        </w:rPr>
        <w:t> </w:t>
      </w:r>
      <w:r w:rsidR="00D47373" w:rsidRPr="00AE679D">
        <w:rPr>
          <w:szCs w:val="22"/>
        </w:rPr>
        <w:t>makroekonomické veličiny, u kterých rozhoduje výše a na základě které se</w:t>
      </w:r>
      <w:r w:rsidR="00500663">
        <w:rPr>
          <w:szCs w:val="22"/>
        </w:rPr>
        <w:t> </w:t>
      </w:r>
      <w:r w:rsidR="00D47373" w:rsidRPr="00AE679D">
        <w:rPr>
          <w:szCs w:val="22"/>
        </w:rPr>
        <w:t xml:space="preserve">stanoví úroveň příjmů. Pod touto úrovní jsou jednotlivci bráni jako skupina požadující danou pomoc státu. </w:t>
      </w:r>
      <w:r w:rsidRPr="00AE679D">
        <w:rPr>
          <w:szCs w:val="22"/>
        </w:rPr>
        <w:t>(Krebs a kol., 2015).</w:t>
      </w:r>
    </w:p>
    <w:p w14:paraId="78502F5C" w14:textId="2583DC7E" w:rsidR="008D3557" w:rsidRDefault="00D47373" w:rsidP="008D3557">
      <w:pPr>
        <w:spacing w:before="120" w:after="240" w:line="360" w:lineRule="auto"/>
        <w:ind w:firstLine="709"/>
        <w:jc w:val="both"/>
        <w:rPr>
          <w:szCs w:val="22"/>
        </w:rPr>
      </w:pPr>
      <w:r w:rsidRPr="00AE679D">
        <w:rPr>
          <w:szCs w:val="22"/>
        </w:rPr>
        <w:t>Životní minimum je ve většině případů považováno za práh chudoby. Jednotlivci nacházejí pod tímto prahem, nejsou schopni žít minimálně přijatelným důstojným způsobem. Mnoho zemí, mimo jiné i Polsko a Maďarsko, výši životního minima stanovují na základě průměrného příjmu. Pod společností přijatelnou hranicí životního minima, nastává stav hmotné nouze. Pokud budeme brát hladinu životního minima z odborného hlediska, je minimum děleno na</w:t>
      </w:r>
      <w:r>
        <w:rPr>
          <w:szCs w:val="22"/>
        </w:rPr>
        <w:t> </w:t>
      </w:r>
      <w:r w:rsidRPr="00AE679D">
        <w:rPr>
          <w:szCs w:val="22"/>
        </w:rPr>
        <w:t xml:space="preserve">existenční a sociální. </w:t>
      </w:r>
      <w:r w:rsidR="006F26CB">
        <w:rPr>
          <w:szCs w:val="22"/>
        </w:rPr>
        <w:t xml:space="preserve">Existenční minimum </w:t>
      </w:r>
      <w:r w:rsidRPr="00AE679D">
        <w:rPr>
          <w:szCs w:val="22"/>
        </w:rPr>
        <w:t>představuje souhrn statků a služeb, bez</w:t>
      </w:r>
      <w:r w:rsidR="006F26CB">
        <w:rPr>
          <w:szCs w:val="22"/>
        </w:rPr>
        <w:t> </w:t>
      </w:r>
      <w:r w:rsidRPr="00AE679D">
        <w:rPr>
          <w:szCs w:val="22"/>
        </w:rPr>
        <w:t>kterých pokud nejsou uspokojeny potřeby jednotlivce a dochází k ohrožení jeho života a</w:t>
      </w:r>
      <w:r>
        <w:rPr>
          <w:szCs w:val="22"/>
        </w:rPr>
        <w:t> </w:t>
      </w:r>
      <w:r w:rsidRPr="00AE679D">
        <w:rPr>
          <w:szCs w:val="22"/>
        </w:rPr>
        <w:t xml:space="preserve">zdraví. (Krebs a kol., 2015). </w:t>
      </w:r>
    </w:p>
    <w:p w14:paraId="500C4BC3" w14:textId="589EA62C" w:rsidR="008D3557" w:rsidRDefault="00D47373" w:rsidP="008D3557">
      <w:pPr>
        <w:spacing w:before="120" w:after="240" w:line="360" w:lineRule="auto"/>
        <w:ind w:firstLine="709"/>
        <w:jc w:val="both"/>
        <w:rPr>
          <w:szCs w:val="22"/>
        </w:rPr>
      </w:pPr>
      <w:r w:rsidRPr="00AE679D">
        <w:rPr>
          <w:szCs w:val="22"/>
        </w:rPr>
        <w:lastRenderedPageBreak/>
        <w:t>Jedná se o minimální hranici peněžních příjmů, jež je nezbytná k zajištění výživy a</w:t>
      </w:r>
      <w:r w:rsidR="008D3557">
        <w:rPr>
          <w:szCs w:val="22"/>
        </w:rPr>
        <w:t> </w:t>
      </w:r>
      <w:r w:rsidRPr="00AE679D">
        <w:rPr>
          <w:szCs w:val="22"/>
        </w:rPr>
        <w:t xml:space="preserve">dalších primárních osobních potřeb tak, aby byl jedinec schopen přežít. Existenční minimum bylo zavedeno jako motivace </w:t>
      </w:r>
      <w:r>
        <w:rPr>
          <w:szCs w:val="22"/>
        </w:rPr>
        <w:t>pro</w:t>
      </w:r>
      <w:r w:rsidRPr="00AE679D">
        <w:rPr>
          <w:szCs w:val="22"/>
        </w:rPr>
        <w:t xml:space="preserve"> osoby nacházející se v hmotné nouzi. (MPSV, 2020).</w:t>
      </w:r>
    </w:p>
    <w:p w14:paraId="49A4E1C1" w14:textId="2B659EF7" w:rsidR="00D552A1" w:rsidRPr="00C60977" w:rsidRDefault="00D47373" w:rsidP="008A7955">
      <w:pPr>
        <w:spacing w:before="120" w:after="240" w:line="360" w:lineRule="auto"/>
        <w:ind w:firstLine="709"/>
        <w:jc w:val="both"/>
        <w:rPr>
          <w:szCs w:val="22"/>
        </w:rPr>
      </w:pPr>
      <w:r w:rsidRPr="00AE679D">
        <w:rPr>
          <w:szCs w:val="22"/>
        </w:rPr>
        <w:t xml:space="preserve">Výše existenčního minima na základě různých doporučení by měla tvořit zhruba polovinu celkového průměrného čistého příjmu. Sociální minimum vyjadřuje spodní hranici pásma všeobecně přijatelné životní úrovně a zároveň tvoří horní hranici pásma chudoby. Výše sociálního minima by měla tvořit zhruba dvě třetiny průměrného čistého příjmu. </w:t>
      </w:r>
      <w:r w:rsidR="008D3557">
        <w:rPr>
          <w:szCs w:val="22"/>
        </w:rPr>
        <w:br/>
      </w:r>
      <w:r w:rsidR="008D3557" w:rsidRPr="00AE679D">
        <w:rPr>
          <w:szCs w:val="22"/>
        </w:rPr>
        <w:t>(MPSV, 2020).</w:t>
      </w:r>
    </w:p>
    <w:p w14:paraId="2351AA9E" w14:textId="77777777" w:rsidR="001B1B4D" w:rsidRPr="00C60977" w:rsidRDefault="001B1B4D" w:rsidP="00C60977">
      <w:pPr>
        <w:pStyle w:val="Nadpis3"/>
      </w:pPr>
      <w:bookmarkStart w:id="22" w:name="_Toc46142341"/>
      <w:r w:rsidRPr="00C60977">
        <w:t>Nezaměstnanost</w:t>
      </w:r>
      <w:bookmarkEnd w:id="22"/>
    </w:p>
    <w:p w14:paraId="50F9D8F5" w14:textId="77777777" w:rsidR="003861CC" w:rsidRDefault="00B31597" w:rsidP="003861CC">
      <w:pPr>
        <w:spacing w:before="120" w:after="240" w:line="360" w:lineRule="auto"/>
        <w:ind w:firstLine="454"/>
        <w:jc w:val="both"/>
        <w:rPr>
          <w:szCs w:val="22"/>
        </w:rPr>
      </w:pPr>
      <w:r>
        <w:rPr>
          <w:szCs w:val="22"/>
        </w:rPr>
        <w:t xml:space="preserve">Nezaměstnanost hraje důležitou roli u životní úrovně lidí, bezpochyby má na ni významný vliv, neboť při dlouhodobé nezaměstnanosti nastává </w:t>
      </w:r>
      <w:r w:rsidR="004400D5">
        <w:rPr>
          <w:szCs w:val="22"/>
        </w:rPr>
        <w:t>ekonomické</w:t>
      </w:r>
      <w:r>
        <w:rPr>
          <w:szCs w:val="22"/>
        </w:rPr>
        <w:t xml:space="preserve"> omezení obyvatelstva, přičemž dochází k osobní ekonomické nejistotě. V případě dlouhodobé nezaměstnanosti může být obyvatelstvo ohroženo i samotnou chudobou. </w:t>
      </w:r>
      <w:r w:rsidR="00C42554">
        <w:rPr>
          <w:szCs w:val="22"/>
        </w:rPr>
        <w:t>Z toho lze tedy odvodit</w:t>
      </w:r>
      <w:r w:rsidR="00AF4F25" w:rsidRPr="00C60977">
        <w:rPr>
          <w:szCs w:val="22"/>
        </w:rPr>
        <w:t>, že při rostoucí nezaměstnanosti dochází k poklesu životní úrovně obyvatel.</w:t>
      </w:r>
      <w:r w:rsidR="0089637C" w:rsidRPr="00C60977">
        <w:rPr>
          <w:szCs w:val="22"/>
        </w:rPr>
        <w:t xml:space="preserve"> </w:t>
      </w:r>
      <w:r w:rsidR="00C42554">
        <w:rPr>
          <w:szCs w:val="22"/>
        </w:rPr>
        <w:t xml:space="preserve">(Buchtová, </w:t>
      </w:r>
      <w:r w:rsidR="00C42554" w:rsidRPr="002F7FCC">
        <w:rPr>
          <w:color w:val="222222"/>
        </w:rPr>
        <w:t>2002)</w:t>
      </w:r>
      <w:r w:rsidR="00C42554">
        <w:rPr>
          <w:color w:val="222222"/>
        </w:rPr>
        <w:t>.</w:t>
      </w:r>
    </w:p>
    <w:p w14:paraId="4588F3B3" w14:textId="77777777" w:rsidR="000B27AD" w:rsidRDefault="003A6572" w:rsidP="003861CC">
      <w:pPr>
        <w:spacing w:before="120" w:after="240" w:line="360" w:lineRule="auto"/>
        <w:ind w:firstLine="454"/>
        <w:jc w:val="both"/>
        <w:rPr>
          <w:szCs w:val="22"/>
        </w:rPr>
      </w:pPr>
      <w:r>
        <w:rPr>
          <w:color w:val="222222"/>
        </w:rPr>
        <w:t xml:space="preserve">V případě dlouhodobé nezaměstnanosti mohou nastat vážné sociální důsledky. Taková nezaměstnanost může člověku přivodit </w:t>
      </w:r>
      <w:r w:rsidR="00914D19">
        <w:rPr>
          <w:color w:val="222222"/>
        </w:rPr>
        <w:t xml:space="preserve">nejen </w:t>
      </w:r>
      <w:r>
        <w:rPr>
          <w:color w:val="222222"/>
        </w:rPr>
        <w:t xml:space="preserve">existenční potíže, </w:t>
      </w:r>
      <w:r w:rsidR="00914D19">
        <w:rPr>
          <w:color w:val="222222"/>
        </w:rPr>
        <w:t xml:space="preserve">ale také </w:t>
      </w:r>
      <w:r>
        <w:rPr>
          <w:color w:val="222222"/>
        </w:rPr>
        <w:t>ztrátu kvalifikace či</w:t>
      </w:r>
      <w:r w:rsidR="00174D02">
        <w:rPr>
          <w:color w:val="222222"/>
        </w:rPr>
        <w:t> </w:t>
      </w:r>
      <w:r>
        <w:rPr>
          <w:color w:val="222222"/>
        </w:rPr>
        <w:t>sebeúcty.</w:t>
      </w:r>
      <w:r w:rsidR="00914D19">
        <w:rPr>
          <w:color w:val="222222"/>
        </w:rPr>
        <w:t xml:space="preserve"> </w:t>
      </w:r>
      <w:r w:rsidR="0089637C" w:rsidRPr="00C60977">
        <w:rPr>
          <w:szCs w:val="22"/>
        </w:rPr>
        <w:t xml:space="preserve">Nezaměstnanost vnímáme jako situaci, během které část ekonomicky aktivního obyvatelstva nepracuje. </w:t>
      </w:r>
    </w:p>
    <w:p w14:paraId="5DBE8592" w14:textId="77777777" w:rsidR="000B27AD" w:rsidRPr="000B27AD" w:rsidRDefault="0089637C" w:rsidP="000B27AD">
      <w:pPr>
        <w:spacing w:before="120" w:after="240" w:line="360" w:lineRule="auto"/>
        <w:ind w:firstLine="454"/>
        <w:jc w:val="both"/>
        <w:rPr>
          <w:b/>
          <w:bCs/>
          <w:i/>
          <w:iCs/>
          <w:szCs w:val="22"/>
        </w:rPr>
      </w:pPr>
      <w:r w:rsidRPr="000B27AD">
        <w:rPr>
          <w:b/>
          <w:bCs/>
          <w:i/>
          <w:iCs/>
          <w:szCs w:val="22"/>
        </w:rPr>
        <w:t xml:space="preserve">V ekonomice rozlišujeme </w:t>
      </w:r>
      <w:r w:rsidR="00AF4F25" w:rsidRPr="000B27AD">
        <w:rPr>
          <w:b/>
          <w:bCs/>
          <w:i/>
          <w:iCs/>
          <w:szCs w:val="22"/>
        </w:rPr>
        <w:t xml:space="preserve">celkem </w:t>
      </w:r>
      <w:r w:rsidRPr="000B27AD">
        <w:rPr>
          <w:b/>
          <w:bCs/>
          <w:i/>
          <w:iCs/>
          <w:szCs w:val="22"/>
        </w:rPr>
        <w:t>čtyři druhy nezaměstnanosti</w:t>
      </w:r>
      <w:r w:rsidR="000B27AD" w:rsidRPr="000B27AD">
        <w:rPr>
          <w:b/>
          <w:bCs/>
          <w:i/>
          <w:iCs/>
          <w:szCs w:val="22"/>
        </w:rPr>
        <w:t>:</w:t>
      </w:r>
    </w:p>
    <w:p w14:paraId="3F0E1C70" w14:textId="69F58EC2" w:rsidR="000B27AD" w:rsidRPr="00791923" w:rsidRDefault="00791923" w:rsidP="000B27AD">
      <w:pPr>
        <w:pStyle w:val="Odstavecseseznamem"/>
        <w:numPr>
          <w:ilvl w:val="0"/>
          <w:numId w:val="27"/>
        </w:numPr>
        <w:spacing w:before="120" w:after="240"/>
        <w:rPr>
          <w:i/>
          <w:iCs/>
          <w:sz w:val="24"/>
          <w:szCs w:val="20"/>
        </w:rPr>
      </w:pPr>
      <w:r w:rsidRPr="00791923">
        <w:rPr>
          <w:i/>
          <w:iCs/>
          <w:sz w:val="24"/>
          <w:szCs w:val="20"/>
        </w:rPr>
        <w:t>f</w:t>
      </w:r>
      <w:r w:rsidR="0089637C" w:rsidRPr="00791923">
        <w:rPr>
          <w:i/>
          <w:iCs/>
          <w:sz w:val="24"/>
          <w:szCs w:val="20"/>
        </w:rPr>
        <w:t>rikční</w:t>
      </w:r>
      <w:r w:rsidR="000B27AD" w:rsidRPr="00791923">
        <w:rPr>
          <w:i/>
          <w:iCs/>
          <w:sz w:val="24"/>
          <w:szCs w:val="20"/>
        </w:rPr>
        <w:t xml:space="preserve"> </w:t>
      </w:r>
      <w:r w:rsidRPr="00791923">
        <w:rPr>
          <w:i/>
          <w:iCs/>
          <w:sz w:val="24"/>
          <w:szCs w:val="20"/>
        </w:rPr>
        <w:t>nezaměstnanost,</w:t>
      </w:r>
    </w:p>
    <w:p w14:paraId="2CC4D888" w14:textId="244DFD70" w:rsidR="000B27AD" w:rsidRPr="00791923" w:rsidRDefault="00791923" w:rsidP="000B27AD">
      <w:pPr>
        <w:pStyle w:val="Odstavecseseznamem"/>
        <w:numPr>
          <w:ilvl w:val="0"/>
          <w:numId w:val="27"/>
        </w:numPr>
        <w:spacing w:before="120" w:after="240"/>
        <w:rPr>
          <w:i/>
          <w:iCs/>
          <w:sz w:val="24"/>
          <w:szCs w:val="20"/>
        </w:rPr>
      </w:pPr>
      <w:r w:rsidRPr="00791923">
        <w:rPr>
          <w:i/>
          <w:iCs/>
          <w:sz w:val="24"/>
          <w:szCs w:val="20"/>
        </w:rPr>
        <w:t>s</w:t>
      </w:r>
      <w:r w:rsidR="0089637C" w:rsidRPr="00791923">
        <w:rPr>
          <w:i/>
          <w:iCs/>
          <w:sz w:val="24"/>
          <w:szCs w:val="20"/>
        </w:rPr>
        <w:t>trukturální</w:t>
      </w:r>
      <w:r w:rsidRPr="00791923">
        <w:rPr>
          <w:i/>
          <w:iCs/>
          <w:sz w:val="24"/>
          <w:szCs w:val="20"/>
        </w:rPr>
        <w:t xml:space="preserve"> nezaměstnanost,</w:t>
      </w:r>
    </w:p>
    <w:p w14:paraId="51717CB7" w14:textId="31745D0C" w:rsidR="000B27AD" w:rsidRPr="00791923" w:rsidRDefault="00791923" w:rsidP="000B27AD">
      <w:pPr>
        <w:pStyle w:val="Odstavecseseznamem"/>
        <w:numPr>
          <w:ilvl w:val="0"/>
          <w:numId w:val="27"/>
        </w:numPr>
        <w:spacing w:before="120" w:after="240"/>
        <w:rPr>
          <w:i/>
          <w:iCs/>
          <w:sz w:val="24"/>
          <w:szCs w:val="20"/>
        </w:rPr>
      </w:pPr>
      <w:r w:rsidRPr="00791923">
        <w:rPr>
          <w:i/>
          <w:iCs/>
          <w:sz w:val="24"/>
          <w:szCs w:val="20"/>
        </w:rPr>
        <w:t>s</w:t>
      </w:r>
      <w:r w:rsidR="0089637C" w:rsidRPr="00791923">
        <w:rPr>
          <w:i/>
          <w:iCs/>
          <w:sz w:val="24"/>
          <w:szCs w:val="20"/>
        </w:rPr>
        <w:t>ezónní</w:t>
      </w:r>
      <w:r w:rsidRPr="00791923">
        <w:rPr>
          <w:i/>
          <w:iCs/>
          <w:sz w:val="24"/>
          <w:szCs w:val="20"/>
        </w:rPr>
        <w:t xml:space="preserve"> nezaměstnanost,</w:t>
      </w:r>
    </w:p>
    <w:p w14:paraId="0DEAF27A" w14:textId="38847211" w:rsidR="000B27AD" w:rsidRPr="00791923" w:rsidRDefault="00791923" w:rsidP="000B27AD">
      <w:pPr>
        <w:pStyle w:val="Odstavecseseznamem"/>
        <w:numPr>
          <w:ilvl w:val="0"/>
          <w:numId w:val="27"/>
        </w:numPr>
        <w:spacing w:before="120" w:after="240"/>
        <w:rPr>
          <w:i/>
          <w:iCs/>
          <w:sz w:val="24"/>
          <w:szCs w:val="20"/>
        </w:rPr>
      </w:pPr>
      <w:r w:rsidRPr="00791923">
        <w:rPr>
          <w:i/>
          <w:iCs/>
          <w:sz w:val="24"/>
          <w:szCs w:val="20"/>
        </w:rPr>
        <w:t>c</w:t>
      </w:r>
      <w:r w:rsidR="0089637C" w:rsidRPr="00791923">
        <w:rPr>
          <w:i/>
          <w:iCs/>
          <w:sz w:val="24"/>
          <w:szCs w:val="20"/>
        </w:rPr>
        <w:t>yklickou nezaměstnanost</w:t>
      </w:r>
      <w:r w:rsidRPr="00791923">
        <w:rPr>
          <w:i/>
          <w:iCs/>
          <w:sz w:val="24"/>
          <w:szCs w:val="20"/>
        </w:rPr>
        <w:t>.</w:t>
      </w:r>
    </w:p>
    <w:p w14:paraId="100D5362" w14:textId="06030B83" w:rsidR="00FF0BDB" w:rsidRPr="003861CC" w:rsidRDefault="0089637C" w:rsidP="000B27AD">
      <w:pPr>
        <w:spacing w:before="120" w:after="240" w:line="360" w:lineRule="auto"/>
        <w:ind w:firstLine="454"/>
        <w:jc w:val="both"/>
        <w:rPr>
          <w:szCs w:val="22"/>
        </w:rPr>
      </w:pPr>
      <w:r w:rsidRPr="00C60977">
        <w:rPr>
          <w:szCs w:val="22"/>
        </w:rPr>
        <w:t>Na základě několika výzkumů lze říci, že</w:t>
      </w:r>
      <w:r w:rsidR="00AF4F25" w:rsidRPr="00C60977">
        <w:rPr>
          <w:szCs w:val="22"/>
        </w:rPr>
        <w:t> </w:t>
      </w:r>
      <w:r w:rsidRPr="00C60977">
        <w:rPr>
          <w:szCs w:val="22"/>
        </w:rPr>
        <w:t>i</w:t>
      </w:r>
      <w:r w:rsidR="00AF4F25" w:rsidRPr="00C60977">
        <w:rPr>
          <w:szCs w:val="22"/>
        </w:rPr>
        <w:t> </w:t>
      </w:r>
      <w:r w:rsidRPr="00C60977">
        <w:rPr>
          <w:szCs w:val="22"/>
        </w:rPr>
        <w:t>přestože jedinec ztratí zaměstnání, tak při vysokých sociálních dávkách a</w:t>
      </w:r>
      <w:r w:rsidR="00174D02">
        <w:rPr>
          <w:szCs w:val="22"/>
        </w:rPr>
        <w:t> </w:t>
      </w:r>
      <w:r w:rsidRPr="00C60977">
        <w:rPr>
          <w:szCs w:val="22"/>
        </w:rPr>
        <w:t>podpor</w:t>
      </w:r>
      <w:r w:rsidR="00AF4F25" w:rsidRPr="00C60977">
        <w:rPr>
          <w:szCs w:val="22"/>
        </w:rPr>
        <w:t>ách</w:t>
      </w:r>
      <w:r w:rsidRPr="00C60977">
        <w:rPr>
          <w:szCs w:val="22"/>
        </w:rPr>
        <w:t xml:space="preserve"> v nezaměstnanosti nikterak tato ztráta zaměstnání ne</w:t>
      </w:r>
      <w:r w:rsidR="00AF4F25" w:rsidRPr="00C60977">
        <w:rPr>
          <w:szCs w:val="22"/>
        </w:rPr>
        <w:t>musí ovlivnit, či ohrozit</w:t>
      </w:r>
      <w:r w:rsidRPr="00C60977">
        <w:rPr>
          <w:szCs w:val="22"/>
        </w:rPr>
        <w:t xml:space="preserve"> životní úroveň jedince.</w:t>
      </w:r>
      <w:r w:rsidR="00AF4F25" w:rsidRPr="00C60977">
        <w:rPr>
          <w:szCs w:val="22"/>
        </w:rPr>
        <w:t xml:space="preserve"> Nezaměstnanost </w:t>
      </w:r>
      <w:r w:rsidR="00791923">
        <w:rPr>
          <w:szCs w:val="22"/>
        </w:rPr>
        <w:t>bývá vyjadřována</w:t>
      </w:r>
      <w:r w:rsidR="00AF4F25" w:rsidRPr="00C60977">
        <w:rPr>
          <w:szCs w:val="22"/>
        </w:rPr>
        <w:t xml:space="preserve"> prostřednictvím míry nezaměstnanosti, která vyjadřuje procentuální podíl nezaměstnaných z celkového počtu ekonomicky aktivních obyvatel. Samotnou míru nezaměstnanosti lze zjišťovat na základě hlášení na úřadech práce, avšak zde je zjištěna pouze registrovaná </w:t>
      </w:r>
      <w:r w:rsidR="00AF4F25" w:rsidRPr="00C60977">
        <w:rPr>
          <w:szCs w:val="22"/>
        </w:rPr>
        <w:lastRenderedPageBreak/>
        <w:t>zaměstnanost, někteří jedinci se na úřady práce ani nenahlašují, z tohoto důvodu bude vždy skutečná nezaměstnanost o něco vyšší.</w:t>
      </w:r>
      <w:r w:rsidR="00995F7D">
        <w:rPr>
          <w:szCs w:val="22"/>
        </w:rPr>
        <w:t xml:space="preserve"> </w:t>
      </w:r>
      <w:r w:rsidR="00174D02">
        <w:rPr>
          <w:szCs w:val="22"/>
        </w:rPr>
        <w:t xml:space="preserve">(Holman, </w:t>
      </w:r>
      <w:r w:rsidR="00174D02" w:rsidRPr="002F7FCC">
        <w:rPr>
          <w:color w:val="222222"/>
        </w:rPr>
        <w:t>20</w:t>
      </w:r>
      <w:r w:rsidR="00174D02">
        <w:rPr>
          <w:color w:val="222222"/>
        </w:rPr>
        <w:t>11</w:t>
      </w:r>
      <w:r w:rsidR="00174D02" w:rsidRPr="002F7FCC">
        <w:rPr>
          <w:color w:val="222222"/>
        </w:rPr>
        <w:t>)</w:t>
      </w:r>
      <w:r w:rsidR="00174D02">
        <w:rPr>
          <w:color w:val="222222"/>
        </w:rPr>
        <w:t>.</w:t>
      </w:r>
    </w:p>
    <w:p w14:paraId="6A447F10" w14:textId="77777777" w:rsidR="001B1B4D" w:rsidRPr="00C60977" w:rsidRDefault="00455F68" w:rsidP="00C60977">
      <w:pPr>
        <w:pStyle w:val="Nadpis3"/>
      </w:pPr>
      <w:bookmarkStart w:id="23" w:name="_Toc46142342"/>
      <w:r w:rsidRPr="00C60977">
        <w:t>Index lidského rozvoje – HDI</w:t>
      </w:r>
      <w:bookmarkEnd w:id="23"/>
    </w:p>
    <w:p w14:paraId="3F8F2427" w14:textId="6454657C" w:rsidR="003861CC" w:rsidRDefault="00217B3A" w:rsidP="003861CC">
      <w:pPr>
        <w:spacing w:before="120" w:after="240" w:line="360" w:lineRule="auto"/>
        <w:ind w:firstLine="454"/>
        <w:jc w:val="both"/>
      </w:pPr>
      <w:r>
        <w:t xml:space="preserve">Tento index byl vytvořen, aby se zdůraznilo, že nestačí pouze hodnotit kritéria rozvoje regionů čistě na základě ekonomického růstu, ale že se musí brát v potaz také lidské schopnosti a dovednosti jedinců. Mimo jiné se tento index dá využít také pro zamyšlení se nad volbami a rozhodnutími politiky daného národa, a to prostřednictvím položení si otázky „Jak dvě země, jež mají stejnou úroveň HDP na </w:t>
      </w:r>
      <w:r w:rsidRPr="00174D02">
        <w:t xml:space="preserve">jednoho obyvatele, mohou skončit </w:t>
      </w:r>
      <w:r>
        <w:t xml:space="preserve">s rozdílnými výsledky lidského rozvoje?“, tyto rozdílné výsledky poté mohou podnítit debatu o prioritách dané vládní politiky. Samotný index lidského rozvoje byl vytvořen ekonomy </w:t>
      </w:r>
      <w:proofErr w:type="spellStart"/>
      <w:r>
        <w:t>Amartyan</w:t>
      </w:r>
      <w:proofErr w:type="spellEnd"/>
      <w:r>
        <w:t xml:space="preserve"> Senem a </w:t>
      </w:r>
      <w:proofErr w:type="spellStart"/>
      <w:r>
        <w:t>Mahbubem</w:t>
      </w:r>
      <w:proofErr w:type="spellEnd"/>
      <w:r>
        <w:t xml:space="preserve"> ul </w:t>
      </w:r>
      <w:proofErr w:type="spellStart"/>
      <w:r>
        <w:t>Haqem</w:t>
      </w:r>
      <w:proofErr w:type="spellEnd"/>
      <w:r>
        <w:t xml:space="preserve"> a poprvé byl použit v roce 1990, kdy se objevil úplně v prvním vydání Zprávy o lidském rozvoji a od této chvíle OSN každoročně vydává aktuální zprávy, ve kterých se snaží zhodnotit aktuální stav a pokrok v rozvoji v rámci celého světa.</w:t>
      </w:r>
      <w:r w:rsidR="003861CC">
        <w:br/>
      </w:r>
      <w:r>
        <w:t>(</w:t>
      </w:r>
      <w:proofErr w:type="spellStart"/>
      <w:r w:rsidRPr="00216BFA">
        <w:t>Human</w:t>
      </w:r>
      <w:proofErr w:type="spellEnd"/>
      <w:r w:rsidRPr="00216BFA">
        <w:t xml:space="preserve"> Development </w:t>
      </w:r>
      <w:proofErr w:type="spellStart"/>
      <w:r w:rsidRPr="00216BFA">
        <w:t>Reports</w:t>
      </w:r>
      <w:proofErr w:type="spellEnd"/>
      <w:r w:rsidRPr="00216BFA">
        <w:t>, 2020</w:t>
      </w:r>
      <w:r>
        <w:t>).</w:t>
      </w:r>
    </w:p>
    <w:p w14:paraId="298C3163" w14:textId="77777777" w:rsidR="007774B3" w:rsidRDefault="00217B3A" w:rsidP="003861CC">
      <w:pPr>
        <w:spacing w:before="120" w:after="240" w:line="360" w:lineRule="auto"/>
        <w:ind w:firstLine="454"/>
        <w:jc w:val="both"/>
      </w:pPr>
      <w:r>
        <w:t xml:space="preserve">Tento index je částečně postaven na ekonomickém ukazateli HDP, ale zároveň je doplněn o další </w:t>
      </w:r>
      <w:r w:rsidRPr="00DD52F7">
        <w:t>ukazatele.</w:t>
      </w:r>
      <w:r>
        <w:t xml:space="preserve"> </w:t>
      </w:r>
    </w:p>
    <w:p w14:paraId="04FCA051" w14:textId="5FB478D3" w:rsidR="00217B3A" w:rsidRPr="00DD52F7" w:rsidRDefault="00217B3A" w:rsidP="003861CC">
      <w:pPr>
        <w:spacing w:before="120" w:after="240" w:line="360" w:lineRule="auto"/>
        <w:ind w:firstLine="454"/>
        <w:jc w:val="both"/>
      </w:pPr>
      <w:r w:rsidRPr="002E73F9">
        <w:rPr>
          <w:b/>
          <w:bCs/>
          <w:i/>
          <w:iCs/>
        </w:rPr>
        <w:t>Jak můžeme na následujícím schématu vidět, index je</w:t>
      </w:r>
      <w:r w:rsidR="00EC28FF" w:rsidRPr="002E73F9">
        <w:rPr>
          <w:b/>
          <w:bCs/>
          <w:i/>
          <w:iCs/>
        </w:rPr>
        <w:t> </w:t>
      </w:r>
      <w:r w:rsidRPr="002E73F9">
        <w:rPr>
          <w:b/>
          <w:bCs/>
          <w:i/>
          <w:iCs/>
        </w:rPr>
        <w:t>zaměřen na hodnocení tří základních dimenzí lidského života a to:</w:t>
      </w:r>
    </w:p>
    <w:p w14:paraId="6A9EFCF8" w14:textId="0E6C49F2" w:rsidR="00217B3A" w:rsidRPr="002E73F9" w:rsidRDefault="003861CC" w:rsidP="00AA5473">
      <w:pPr>
        <w:pStyle w:val="Odstavecseseznamem"/>
        <w:numPr>
          <w:ilvl w:val="0"/>
          <w:numId w:val="8"/>
        </w:numPr>
        <w:spacing w:before="120" w:after="240"/>
        <w:rPr>
          <w:i/>
          <w:iCs/>
          <w:sz w:val="24"/>
        </w:rPr>
      </w:pPr>
      <w:r w:rsidRPr="002E73F9">
        <w:rPr>
          <w:i/>
          <w:iCs/>
          <w:sz w:val="24"/>
        </w:rPr>
        <w:t>z</w:t>
      </w:r>
      <w:r w:rsidR="00217B3A" w:rsidRPr="002E73F9">
        <w:rPr>
          <w:i/>
          <w:iCs/>
          <w:sz w:val="24"/>
        </w:rPr>
        <w:t>drav</w:t>
      </w:r>
      <w:r w:rsidR="00E868B1" w:rsidRPr="002E73F9">
        <w:rPr>
          <w:i/>
          <w:iCs/>
          <w:sz w:val="24"/>
        </w:rPr>
        <w:t xml:space="preserve">í, tj. </w:t>
      </w:r>
      <w:r w:rsidR="00217B3A" w:rsidRPr="002E73F9">
        <w:rPr>
          <w:i/>
          <w:iCs/>
          <w:sz w:val="24"/>
        </w:rPr>
        <w:t>dlouhý a zdravý život</w:t>
      </w:r>
      <w:r w:rsidRPr="002E73F9">
        <w:rPr>
          <w:i/>
          <w:iCs/>
          <w:sz w:val="24"/>
        </w:rPr>
        <w:t>,</w:t>
      </w:r>
    </w:p>
    <w:p w14:paraId="705BA31D" w14:textId="10AFC5AD" w:rsidR="00217B3A" w:rsidRPr="002E73F9" w:rsidRDefault="003861CC" w:rsidP="00AA5473">
      <w:pPr>
        <w:pStyle w:val="Odstavecseseznamem"/>
        <w:numPr>
          <w:ilvl w:val="0"/>
          <w:numId w:val="8"/>
        </w:numPr>
        <w:spacing w:before="120" w:after="240"/>
        <w:rPr>
          <w:i/>
          <w:iCs/>
          <w:sz w:val="24"/>
        </w:rPr>
      </w:pPr>
      <w:r w:rsidRPr="002E73F9">
        <w:rPr>
          <w:i/>
          <w:iCs/>
          <w:sz w:val="24"/>
        </w:rPr>
        <w:t>v</w:t>
      </w:r>
      <w:r w:rsidR="00217B3A" w:rsidRPr="002E73F9">
        <w:rPr>
          <w:i/>
          <w:iCs/>
          <w:sz w:val="24"/>
        </w:rPr>
        <w:t>zdělání</w:t>
      </w:r>
      <w:r w:rsidRPr="002E73F9">
        <w:rPr>
          <w:i/>
          <w:iCs/>
          <w:sz w:val="24"/>
        </w:rPr>
        <w:t>,</w:t>
      </w:r>
      <w:r w:rsidR="00217B3A" w:rsidRPr="002E73F9">
        <w:rPr>
          <w:i/>
          <w:iCs/>
          <w:sz w:val="24"/>
        </w:rPr>
        <w:t xml:space="preserve"> </w:t>
      </w:r>
    </w:p>
    <w:p w14:paraId="5A346747" w14:textId="015916B9" w:rsidR="003A0C96" w:rsidRPr="002E73F9" w:rsidRDefault="003861CC" w:rsidP="00AA5473">
      <w:pPr>
        <w:pStyle w:val="Odstavecseseznamem"/>
        <w:numPr>
          <w:ilvl w:val="0"/>
          <w:numId w:val="8"/>
        </w:numPr>
        <w:spacing w:before="120" w:after="240"/>
        <w:rPr>
          <w:i/>
          <w:iCs/>
          <w:sz w:val="24"/>
        </w:rPr>
      </w:pPr>
      <w:r w:rsidRPr="002E73F9">
        <w:rPr>
          <w:i/>
          <w:iCs/>
          <w:sz w:val="24"/>
        </w:rPr>
        <w:t>ž</w:t>
      </w:r>
      <w:r w:rsidR="00217B3A" w:rsidRPr="002E73F9">
        <w:rPr>
          <w:i/>
          <w:iCs/>
          <w:sz w:val="24"/>
        </w:rPr>
        <w:t>ivotní úroveň (důstojná životní úroveň)</w:t>
      </w:r>
      <w:r w:rsidRPr="002E73F9">
        <w:rPr>
          <w:i/>
          <w:iCs/>
          <w:sz w:val="24"/>
        </w:rPr>
        <w:t>.</w:t>
      </w:r>
    </w:p>
    <w:p w14:paraId="1F7C7A61" w14:textId="185BF84E" w:rsidR="006F3674" w:rsidRDefault="00217B3A" w:rsidP="008A7955">
      <w:pPr>
        <w:spacing w:before="120" w:after="240" w:line="360" w:lineRule="auto"/>
        <w:ind w:firstLine="360"/>
        <w:jc w:val="both"/>
      </w:pPr>
      <w:r w:rsidRPr="006528A2">
        <w:t xml:space="preserve">Dimenzí zdraví je myšlena očekávaná doba dožití ve zdraví jedince (dlouhý a zdravý život), tzn. že se sleduje průměrná očekávaná délka lidského života při narození, do které je však započítána i novorozenecká a kojenecká úmrtnost. </w:t>
      </w:r>
      <w:r w:rsidR="00EC28FF">
        <w:t>U dimenze vzdělání</w:t>
      </w:r>
      <w:r w:rsidRPr="006528A2">
        <w:t xml:space="preserve"> </w:t>
      </w:r>
      <w:r w:rsidR="00791923">
        <w:t>je posuzována</w:t>
      </w:r>
      <w:r w:rsidRPr="006528A2">
        <w:t xml:space="preserve"> gramotnost občanů na základě podílu dětí, jenž navštěvují školní zařízení (patří sem očekávaný počet let, které jedinec stráví ve školním zařízení a průměrný počet let, jež</w:t>
      </w:r>
      <w:r>
        <w:t> </w:t>
      </w:r>
      <w:r w:rsidRPr="006528A2">
        <w:t xml:space="preserve">jedinec strávil ve školním zařízení). </w:t>
      </w:r>
      <w:r w:rsidR="00EC28FF">
        <w:t>A třetí d</w:t>
      </w:r>
      <w:r w:rsidRPr="006528A2">
        <w:t xml:space="preserve">imenze životní úrovně představuje hmotnou životní úroveň, která </w:t>
      </w:r>
      <w:r w:rsidR="00EC28FF">
        <w:t>je vyjádřena jako</w:t>
      </w:r>
      <w:r w:rsidRPr="006528A2">
        <w:t xml:space="preserve"> hrubý národní produkt (HNP) na jednoho obyvatele. </w:t>
      </w:r>
      <w:r w:rsidR="00EC28FF">
        <w:t>Na základě tohoto souboru dimenzí představuje tedy i</w:t>
      </w:r>
      <w:r w:rsidRPr="006528A2">
        <w:t>ndex lidského rozvoje souhrnnou míru (složený index ze</w:t>
      </w:r>
      <w:r w:rsidR="00EC28FF">
        <w:t> </w:t>
      </w:r>
      <w:r w:rsidRPr="006528A2">
        <w:t>všech tří dílčích indexů za pomoci geometrického průměru)</w:t>
      </w:r>
      <w:r w:rsidR="0010478D">
        <w:t>.</w:t>
      </w:r>
      <w:r w:rsidRPr="006528A2">
        <w:t xml:space="preserve"> </w:t>
      </w:r>
      <w:r w:rsidR="0010478D">
        <w:t>I</w:t>
      </w:r>
      <w:r>
        <w:t xml:space="preserve">ndex lidského rozvoje může </w:t>
      </w:r>
      <w:r>
        <w:lastRenderedPageBreak/>
        <w:t xml:space="preserve">nabývat hodnot od 0 do 1. Čím jsou výsledné hodnoty vyšší, tím je v daném státě životní úroveň </w:t>
      </w:r>
      <w:r w:rsidR="008A7955">
        <w:rPr>
          <w:noProof/>
        </w:rPr>
        <w:drawing>
          <wp:anchor distT="0" distB="0" distL="114300" distR="114300" simplePos="0" relativeHeight="251685888" behindDoc="0" locked="0" layoutInCell="1" allowOverlap="1" wp14:anchorId="08522F75" wp14:editId="1B519537">
            <wp:simplePos x="0" y="0"/>
            <wp:positionH relativeFrom="margin">
              <wp:align>center</wp:align>
            </wp:positionH>
            <wp:positionV relativeFrom="margin">
              <wp:posOffset>774065</wp:posOffset>
            </wp:positionV>
            <wp:extent cx="5374640" cy="201930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I.jpg"/>
                    <pic:cNvPicPr/>
                  </pic:nvPicPr>
                  <pic:blipFill>
                    <a:blip r:embed="rId11">
                      <a:extLst>
                        <a:ext uri="{28A0092B-C50C-407E-A947-70E740481C1C}">
                          <a14:useLocalDpi xmlns:a14="http://schemas.microsoft.com/office/drawing/2010/main" val="0"/>
                        </a:ext>
                      </a:extLst>
                    </a:blip>
                    <a:stretch>
                      <a:fillRect/>
                    </a:stretch>
                  </pic:blipFill>
                  <pic:spPr>
                    <a:xfrm>
                      <a:off x="0" y="0"/>
                      <a:ext cx="5374640" cy="2019300"/>
                    </a:xfrm>
                    <a:prstGeom prst="rect">
                      <a:avLst/>
                    </a:prstGeom>
                  </pic:spPr>
                </pic:pic>
              </a:graphicData>
            </a:graphic>
            <wp14:sizeRelH relativeFrom="margin">
              <wp14:pctWidth>0</wp14:pctWidth>
            </wp14:sizeRelH>
            <wp14:sizeRelV relativeFrom="margin">
              <wp14:pctHeight>0</wp14:pctHeight>
            </wp14:sizeRelV>
          </wp:anchor>
        </w:drawing>
      </w:r>
      <w:r>
        <w:t>a obyvatelstvo vyspělejší. (</w:t>
      </w:r>
      <w:proofErr w:type="spellStart"/>
      <w:r w:rsidRPr="00216BFA">
        <w:t>Human</w:t>
      </w:r>
      <w:proofErr w:type="spellEnd"/>
      <w:r w:rsidRPr="00216BFA">
        <w:t xml:space="preserve"> Development </w:t>
      </w:r>
      <w:proofErr w:type="spellStart"/>
      <w:r w:rsidRPr="00216BFA">
        <w:t>Reports</w:t>
      </w:r>
      <w:proofErr w:type="spellEnd"/>
      <w:r w:rsidRPr="00216BFA">
        <w:t>, 2020</w:t>
      </w:r>
      <w:r>
        <w:t>).</w:t>
      </w:r>
    </w:p>
    <w:p w14:paraId="20FB201E" w14:textId="424A36C7" w:rsidR="000A11C5" w:rsidRDefault="008A7955" w:rsidP="003861CC">
      <w:pPr>
        <w:spacing w:before="120" w:after="240" w:line="360" w:lineRule="auto"/>
        <w:jc w:val="both"/>
      </w:pPr>
      <w:r>
        <w:rPr>
          <w:noProof/>
        </w:rPr>
        <mc:AlternateContent>
          <mc:Choice Requires="wps">
            <w:drawing>
              <wp:anchor distT="0" distB="0" distL="114300" distR="114300" simplePos="0" relativeHeight="251708416" behindDoc="0" locked="0" layoutInCell="1" allowOverlap="1" wp14:anchorId="05643943" wp14:editId="7525BFEF">
                <wp:simplePos x="0" y="0"/>
                <wp:positionH relativeFrom="margin">
                  <wp:align>center</wp:align>
                </wp:positionH>
                <wp:positionV relativeFrom="paragraph">
                  <wp:posOffset>2245360</wp:posOffset>
                </wp:positionV>
                <wp:extent cx="5374640" cy="635"/>
                <wp:effectExtent l="0" t="0" r="0" b="9525"/>
                <wp:wrapSquare wrapText="bothSides"/>
                <wp:docPr id="3" name="Textové pole 3"/>
                <wp:cNvGraphicFramePr/>
                <a:graphic xmlns:a="http://schemas.openxmlformats.org/drawingml/2006/main">
                  <a:graphicData uri="http://schemas.microsoft.com/office/word/2010/wordprocessingShape">
                    <wps:wsp>
                      <wps:cNvSpPr txBox="1"/>
                      <wps:spPr>
                        <a:xfrm>
                          <a:off x="0" y="0"/>
                          <a:ext cx="5374640" cy="635"/>
                        </a:xfrm>
                        <a:prstGeom prst="rect">
                          <a:avLst/>
                        </a:prstGeom>
                        <a:solidFill>
                          <a:prstClr val="white"/>
                        </a:solidFill>
                        <a:ln>
                          <a:noFill/>
                        </a:ln>
                      </wps:spPr>
                      <wps:txbx>
                        <w:txbxContent>
                          <w:p w14:paraId="2A8DB680" w14:textId="62F265B0" w:rsidR="008A7955" w:rsidRPr="00A554EA" w:rsidRDefault="008A7955" w:rsidP="00A554EA">
                            <w:pPr>
                              <w:pStyle w:val="Titulek"/>
                              <w:rPr>
                                <w:noProof/>
                                <w:sz w:val="20"/>
                                <w:szCs w:val="20"/>
                              </w:rPr>
                            </w:pPr>
                            <w:bookmarkStart w:id="24" w:name="_Toc46142527"/>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Pr>
                                <w:noProof/>
                                <w:sz w:val="20"/>
                                <w:szCs w:val="20"/>
                              </w:rPr>
                              <w:t>2</w:t>
                            </w:r>
                            <w:r w:rsidRPr="00A554EA">
                              <w:rPr>
                                <w:sz w:val="20"/>
                                <w:szCs w:val="20"/>
                              </w:rPr>
                              <w:fldChar w:fldCharType="end"/>
                            </w:r>
                            <w:r w:rsidRPr="00A554EA">
                              <w:rPr>
                                <w:sz w:val="20"/>
                                <w:szCs w:val="20"/>
                              </w:rPr>
                              <w:t xml:space="preserve"> - Index lidského rozvoje (vl. zpracování; Human Development Reports, 2020)</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643943" id="Textové pole 3" o:spid="_x0000_s1027" type="#_x0000_t202" style="position:absolute;left:0;text-align:left;margin-left:0;margin-top:176.8pt;width:423.2pt;height:.05pt;z-index:2517084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" stroked="f">
                <v:textbox style="mso-fit-shape-to-text:t" inset="0,0,0,0">
                  <w:txbxContent>
                    <w:p w14:paraId="2A8DB680" w14:textId="62F265B0" w:rsidR="008A7955" w:rsidRPr="00A554EA" w:rsidRDefault="008A7955" w:rsidP="00A554EA">
                      <w:pPr>
                        <w:pStyle w:val="Titulek"/>
                        <w:rPr>
                          <w:noProof/>
                          <w:sz w:val="20"/>
                          <w:szCs w:val="20"/>
                        </w:rPr>
                      </w:pPr>
                      <w:bookmarkStart w:id="25" w:name="_Toc46142527"/>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Pr>
                          <w:noProof/>
                          <w:sz w:val="20"/>
                          <w:szCs w:val="20"/>
                        </w:rPr>
                        <w:t>2</w:t>
                      </w:r>
                      <w:r w:rsidRPr="00A554EA">
                        <w:rPr>
                          <w:sz w:val="20"/>
                          <w:szCs w:val="20"/>
                        </w:rPr>
                        <w:fldChar w:fldCharType="end"/>
                      </w:r>
                      <w:r w:rsidRPr="00A554EA">
                        <w:rPr>
                          <w:sz w:val="20"/>
                          <w:szCs w:val="20"/>
                        </w:rPr>
                        <w:t xml:space="preserve"> - Index lidského rozvoje (vl. zpracování; Human Development Reports, 2020)</w:t>
                      </w:r>
                      <w:bookmarkEnd w:id="25"/>
                    </w:p>
                  </w:txbxContent>
                </v:textbox>
                <w10:wrap type="square" anchorx="margin"/>
              </v:shape>
            </w:pict>
          </mc:Fallback>
        </mc:AlternateContent>
      </w:r>
    </w:p>
    <w:p w14:paraId="22FFA58E" w14:textId="54BD675F" w:rsidR="00217B3A" w:rsidRPr="002E73F9" w:rsidRDefault="00217B3A" w:rsidP="003861CC">
      <w:pPr>
        <w:spacing w:before="120" w:after="240" w:line="360" w:lineRule="auto"/>
        <w:jc w:val="both"/>
        <w:rPr>
          <w:b/>
          <w:bCs/>
          <w:i/>
          <w:iCs/>
        </w:rPr>
      </w:pPr>
      <w:r w:rsidRPr="002E73F9">
        <w:rPr>
          <w:b/>
          <w:bCs/>
          <w:i/>
          <w:iCs/>
        </w:rPr>
        <w:t>Na základě nabytých hodnot poté můžeme státy dělit celkem do 4 skupin:</w:t>
      </w:r>
    </w:p>
    <w:p w14:paraId="447EFA13" w14:textId="03E7F06D" w:rsidR="00217B3A" w:rsidRPr="002E73F9" w:rsidRDefault="003861CC" w:rsidP="00AA5473">
      <w:pPr>
        <w:pStyle w:val="Odstavecseseznamem"/>
        <w:numPr>
          <w:ilvl w:val="0"/>
          <w:numId w:val="9"/>
        </w:numPr>
        <w:spacing w:before="120" w:after="240"/>
        <w:rPr>
          <w:i/>
          <w:iCs/>
          <w:sz w:val="24"/>
          <w:szCs w:val="22"/>
        </w:rPr>
      </w:pPr>
      <w:r w:rsidRPr="002E73F9">
        <w:rPr>
          <w:i/>
          <w:iCs/>
          <w:sz w:val="24"/>
          <w:szCs w:val="22"/>
        </w:rPr>
        <w:t>z</w:t>
      </w:r>
      <w:r w:rsidR="00217B3A" w:rsidRPr="002E73F9">
        <w:rPr>
          <w:i/>
          <w:iCs/>
          <w:sz w:val="24"/>
          <w:szCs w:val="22"/>
        </w:rPr>
        <w:t>emě s velice vysokým HDI (hodnoty 0,75 a vyšší) = velice vysoký lidský rozvoj</w:t>
      </w:r>
      <w:r w:rsidRPr="002E73F9">
        <w:rPr>
          <w:i/>
          <w:iCs/>
          <w:sz w:val="24"/>
          <w:szCs w:val="22"/>
        </w:rPr>
        <w:t>,</w:t>
      </w:r>
    </w:p>
    <w:p w14:paraId="564C7B4D" w14:textId="74D9FFD7" w:rsidR="00217B3A" w:rsidRPr="002E73F9" w:rsidRDefault="003861CC" w:rsidP="00AA5473">
      <w:pPr>
        <w:pStyle w:val="Odstavecseseznamem"/>
        <w:numPr>
          <w:ilvl w:val="0"/>
          <w:numId w:val="9"/>
        </w:numPr>
        <w:spacing w:before="120" w:after="240"/>
        <w:rPr>
          <w:i/>
          <w:iCs/>
          <w:sz w:val="24"/>
          <w:szCs w:val="22"/>
        </w:rPr>
      </w:pPr>
      <w:r w:rsidRPr="002E73F9">
        <w:rPr>
          <w:i/>
          <w:iCs/>
          <w:sz w:val="24"/>
          <w:szCs w:val="22"/>
        </w:rPr>
        <w:t>z</w:t>
      </w:r>
      <w:r w:rsidR="00217B3A" w:rsidRPr="002E73F9">
        <w:rPr>
          <w:i/>
          <w:iCs/>
          <w:sz w:val="24"/>
          <w:szCs w:val="22"/>
        </w:rPr>
        <w:t>emě s vysokým HDI (hodnoty od 0,51 do 0,75 vč.) = vysoký lidský rozvoj</w:t>
      </w:r>
      <w:r w:rsidRPr="002E73F9">
        <w:rPr>
          <w:i/>
          <w:iCs/>
          <w:sz w:val="24"/>
          <w:szCs w:val="22"/>
        </w:rPr>
        <w:t>,</w:t>
      </w:r>
    </w:p>
    <w:p w14:paraId="4F230EFD" w14:textId="5F683904" w:rsidR="00217B3A" w:rsidRPr="002E73F9" w:rsidRDefault="003861CC" w:rsidP="00AA5473">
      <w:pPr>
        <w:pStyle w:val="Odstavecseseznamem"/>
        <w:numPr>
          <w:ilvl w:val="0"/>
          <w:numId w:val="9"/>
        </w:numPr>
        <w:spacing w:before="120" w:after="240"/>
        <w:rPr>
          <w:i/>
          <w:iCs/>
          <w:sz w:val="24"/>
          <w:szCs w:val="22"/>
        </w:rPr>
      </w:pPr>
      <w:r w:rsidRPr="002E73F9">
        <w:rPr>
          <w:i/>
          <w:iCs/>
          <w:sz w:val="24"/>
          <w:szCs w:val="22"/>
        </w:rPr>
        <w:t>z</w:t>
      </w:r>
      <w:r w:rsidR="00217B3A" w:rsidRPr="002E73F9">
        <w:rPr>
          <w:i/>
          <w:iCs/>
          <w:sz w:val="24"/>
          <w:szCs w:val="22"/>
        </w:rPr>
        <w:t>emě se středním HDI (hodnoty od 0,50 do 0,26 včetně) = střední lidský rozvoj</w:t>
      </w:r>
      <w:r w:rsidRPr="002E73F9">
        <w:rPr>
          <w:i/>
          <w:iCs/>
          <w:sz w:val="24"/>
          <w:szCs w:val="22"/>
        </w:rPr>
        <w:t>,</w:t>
      </w:r>
    </w:p>
    <w:p w14:paraId="413A2D8D" w14:textId="75E455A6" w:rsidR="00EB2C18" w:rsidRPr="002E73F9" w:rsidRDefault="003861CC" w:rsidP="00AA5473">
      <w:pPr>
        <w:pStyle w:val="Odstavecseseznamem"/>
        <w:numPr>
          <w:ilvl w:val="0"/>
          <w:numId w:val="9"/>
        </w:numPr>
        <w:spacing w:before="120" w:after="240"/>
        <w:rPr>
          <w:i/>
          <w:iCs/>
          <w:sz w:val="24"/>
          <w:szCs w:val="22"/>
        </w:rPr>
      </w:pPr>
      <w:r w:rsidRPr="002E73F9">
        <w:rPr>
          <w:i/>
          <w:iCs/>
          <w:sz w:val="24"/>
          <w:szCs w:val="22"/>
        </w:rPr>
        <w:t>z</w:t>
      </w:r>
      <w:r w:rsidR="00217B3A" w:rsidRPr="002E73F9">
        <w:rPr>
          <w:i/>
          <w:iCs/>
          <w:sz w:val="24"/>
          <w:szCs w:val="22"/>
        </w:rPr>
        <w:t>emě s nízkým HDI (hodnoty 0,25 a nižší) = nízký lidský rozvoj</w:t>
      </w:r>
      <w:r w:rsidRPr="002E73F9">
        <w:rPr>
          <w:i/>
          <w:iCs/>
          <w:sz w:val="24"/>
          <w:szCs w:val="22"/>
        </w:rPr>
        <w:t>.</w:t>
      </w:r>
    </w:p>
    <w:p w14:paraId="7E6AC9C2" w14:textId="0D7D4522" w:rsidR="00217B3A" w:rsidRDefault="00217B3A" w:rsidP="003861CC">
      <w:pPr>
        <w:spacing w:before="120" w:after="240" w:line="360" w:lineRule="auto"/>
        <w:ind w:firstLine="360"/>
        <w:jc w:val="both"/>
        <w:rPr>
          <w:szCs w:val="22"/>
        </w:rPr>
      </w:pPr>
      <w:r>
        <w:rPr>
          <w:szCs w:val="22"/>
        </w:rPr>
        <w:t xml:space="preserve">Sestavení samotného indexu lidského rozvoje si lze rozdělit celkem do čtyř fází, </w:t>
      </w:r>
      <w:r w:rsidR="0010478D">
        <w:rPr>
          <w:szCs w:val="22"/>
        </w:rPr>
        <w:t>a to </w:t>
      </w:r>
      <w:r>
        <w:rPr>
          <w:szCs w:val="22"/>
        </w:rPr>
        <w:t>operacionalizace konceptu, fáze standardizace ukazatelů, fáze výpočtu dílčích indexů a</w:t>
      </w:r>
      <w:r w:rsidR="0010478D">
        <w:rPr>
          <w:szCs w:val="22"/>
        </w:rPr>
        <w:t> </w:t>
      </w:r>
      <w:r>
        <w:rPr>
          <w:szCs w:val="22"/>
        </w:rPr>
        <w:t xml:space="preserve">fáze výpočtu celkového konečného indexu. První fáze, tj. operacionalizace obnáší převedení jistých základních znaků, jež jsou špatně měřitelné do měřitelných a snadno porovnatelných veličin. Za </w:t>
      </w:r>
      <w:r w:rsidR="00C53E1B">
        <w:rPr>
          <w:szCs w:val="22"/>
        </w:rPr>
        <w:t>tyto</w:t>
      </w:r>
      <w:r>
        <w:rPr>
          <w:szCs w:val="22"/>
        </w:rPr>
        <w:t xml:space="preserve"> základní znaky, jež jsou podmínkou rozvoje lidstva se dle OSN považují vědomosti, kvalitní životní úroveň a plnohodnotný život. Další fází je tedy fáze standardizace ukazatelů, tzn. veškeré naměřené hodnoty všech ukazatelů převést tak, aby měly jednotnou formu tak, aby se s nimi dalo dále pracovat (zjednodušeně musíme provést standardizaci ukazatelů). Důvodem tohoto kroku je ten, že dílčí indexy jsou uvedeny v různých jednotkách (např. v letech, v dolarech apod.) a mimo jiné se zde objevuje i problém s rozptylem naměřených hodnot, neboť každý dílčí index nabývá různě vysokých hodnot. Ke standardizaci tedy dospějeme tak, že převedeme reálné hodnoty všech ukazatelů na stupnici od nuly do jedné. V tomto případě se minimální hodnota ukazatele rovná nule, a naopak maximální hodnota se rovná jedné. Abychom tedy získali standardizovanou hodnotu, musíme od aktuální hodnoty </w:t>
      </w:r>
      <w:r>
        <w:rPr>
          <w:szCs w:val="22"/>
        </w:rPr>
        <w:lastRenderedPageBreak/>
        <w:t>odečíst minimální hodnotu, a to celé podělit maximální hodnotou od které je odečtena minimální hodnota, obrázek níže tedy představuje, jak v praxi vypadá vzorec dílčího indexu. (</w:t>
      </w:r>
      <w:proofErr w:type="spellStart"/>
      <w:r w:rsidRPr="00C74C15">
        <w:rPr>
          <w:szCs w:val="22"/>
        </w:rPr>
        <w:t>Human</w:t>
      </w:r>
      <w:proofErr w:type="spellEnd"/>
      <w:r w:rsidRPr="00C74C15">
        <w:rPr>
          <w:szCs w:val="22"/>
        </w:rPr>
        <w:t xml:space="preserve"> Development </w:t>
      </w:r>
      <w:proofErr w:type="spellStart"/>
      <w:r w:rsidRPr="00C74C15">
        <w:rPr>
          <w:szCs w:val="22"/>
        </w:rPr>
        <w:t>Reports</w:t>
      </w:r>
      <w:proofErr w:type="spellEnd"/>
      <w:r w:rsidRPr="00C74C15">
        <w:rPr>
          <w:szCs w:val="22"/>
        </w:rPr>
        <w:t>, 2020</w:t>
      </w:r>
      <w:r>
        <w:rPr>
          <w:szCs w:val="22"/>
        </w:rPr>
        <w:t>); (</w:t>
      </w:r>
      <w:proofErr w:type="spellStart"/>
      <w:r>
        <w:rPr>
          <w:szCs w:val="22"/>
        </w:rPr>
        <w:t>Klugman</w:t>
      </w:r>
      <w:proofErr w:type="spellEnd"/>
      <w:r>
        <w:rPr>
          <w:szCs w:val="22"/>
        </w:rPr>
        <w:t xml:space="preserve"> a spol., </w:t>
      </w:r>
      <w:r w:rsidRPr="00C74C15">
        <w:rPr>
          <w:szCs w:val="22"/>
        </w:rPr>
        <w:t>20</w:t>
      </w:r>
      <w:r>
        <w:rPr>
          <w:szCs w:val="22"/>
        </w:rPr>
        <w:t>11).</w:t>
      </w:r>
    </w:p>
    <w:p w14:paraId="22045EAA" w14:textId="23A0ECCB" w:rsidR="002E73F9" w:rsidRPr="003E5B64" w:rsidRDefault="002E73F9" w:rsidP="003E5B64">
      <w:pPr>
        <w:spacing w:before="120" w:after="240" w:line="360" w:lineRule="auto"/>
        <w:ind w:firstLine="357"/>
        <w:jc w:val="right"/>
        <w:rPr>
          <w:sz w:val="22"/>
          <w:szCs w:val="22"/>
        </w:rPr>
      </w:pPr>
      <m:oMath>
        <m:r>
          <w:rPr>
            <w:rFonts w:ascii="Cambria Math" w:hAnsi="Cambria Math"/>
            <w:sz w:val="22"/>
            <w:szCs w:val="22"/>
          </w:rPr>
          <m:t>STANDARDIZOVANÁ HODNOTA=</m:t>
        </m:r>
        <m:f>
          <m:fPr>
            <m:ctrlPr>
              <w:rPr>
                <w:rFonts w:ascii="Cambria Math" w:hAnsi="Cambria Math"/>
                <w:i/>
                <w:sz w:val="22"/>
                <w:szCs w:val="22"/>
              </w:rPr>
            </m:ctrlPr>
          </m:fPr>
          <m:num>
            <m:r>
              <w:rPr>
                <w:rFonts w:ascii="Cambria Math" w:hAnsi="Cambria Math"/>
                <w:sz w:val="22"/>
                <w:szCs w:val="22"/>
              </w:rPr>
              <m:t>AKTUÁLNÍ HODNOTA-MINIMÁLNÍ HODNOTA</m:t>
            </m:r>
          </m:num>
          <m:den>
            <m:r>
              <w:rPr>
                <w:rFonts w:ascii="Cambria Math" w:hAnsi="Cambria Math"/>
                <w:sz w:val="22"/>
                <w:szCs w:val="22"/>
              </w:rPr>
              <m:t>MAXIMÁLNÍ HODNOTA-MINIMÁLNÍ HODNOTA</m:t>
            </m:r>
          </m:den>
        </m:f>
      </m:oMath>
      <w:r w:rsidR="003E5B64" w:rsidRPr="003E5B64">
        <w:rPr>
          <w:sz w:val="22"/>
          <w:szCs w:val="22"/>
        </w:rPr>
        <w:tab/>
        <w:t>(3)</w:t>
      </w:r>
    </w:p>
    <w:p w14:paraId="157BFA2F" w14:textId="74E09546" w:rsidR="002037C5" w:rsidRDefault="00ED2B8E" w:rsidP="002037C5">
      <w:pPr>
        <w:spacing w:before="120" w:after="240" w:line="360" w:lineRule="auto"/>
        <w:ind w:firstLine="357"/>
        <w:jc w:val="both"/>
        <w:rPr>
          <w:szCs w:val="22"/>
        </w:rPr>
      </w:pPr>
      <w:r>
        <w:rPr>
          <w:szCs w:val="22"/>
        </w:rPr>
        <w:t>Jelikož u HNP na obyvatele dochází k velkému rozptylu mezi maximální a minimální hodnotou, musíme použít jiný způsob standardizace, tzn. že za pomoci logaritmů redukujeme vysoké hodnoty.</w:t>
      </w:r>
      <w:r w:rsidR="00AA0B9B">
        <w:rPr>
          <w:szCs w:val="22"/>
        </w:rPr>
        <w:t xml:space="preserve"> Během této fáze</w:t>
      </w:r>
      <w:r w:rsidR="009062FE">
        <w:rPr>
          <w:szCs w:val="22"/>
        </w:rPr>
        <w:t xml:space="preserve"> pomalu přecházíme ve</w:t>
      </w:r>
      <w:r>
        <w:rPr>
          <w:szCs w:val="22"/>
        </w:rPr>
        <w:t xml:space="preserve"> výpočet dílčích indexů</w:t>
      </w:r>
      <w:r w:rsidR="009062FE">
        <w:rPr>
          <w:szCs w:val="22"/>
        </w:rPr>
        <w:t xml:space="preserve">. Musíme mít na paměti, že dimenzi vzdělání si musíme upravit pomocí dílčí indexů. V roce 2010 se zavedla nová metoda pro jejich </w:t>
      </w:r>
      <w:r w:rsidR="00D04FAE">
        <w:rPr>
          <w:szCs w:val="22"/>
        </w:rPr>
        <w:t>výpočet</w:t>
      </w:r>
      <w:r w:rsidR="00E868B1">
        <w:rPr>
          <w:szCs w:val="22"/>
        </w:rPr>
        <w:t>.</w:t>
      </w:r>
    </w:p>
    <w:p w14:paraId="44C8A1DD" w14:textId="77777777" w:rsidR="003E5B64" w:rsidRDefault="00D04FAE" w:rsidP="002037C5">
      <w:pPr>
        <w:spacing w:before="120" w:after="240" w:line="360" w:lineRule="auto"/>
        <w:ind w:firstLine="357"/>
        <w:jc w:val="both"/>
        <w:rPr>
          <w:szCs w:val="22"/>
        </w:rPr>
      </w:pPr>
      <w:r>
        <w:rPr>
          <w:szCs w:val="22"/>
        </w:rPr>
        <w:t>Nejprve si musíme vypočítat geometrický průměr z obou standardizovaných ukazatelů, tzn.</w:t>
      </w:r>
      <w:r w:rsidR="002E5C9D">
        <w:rPr>
          <w:szCs w:val="22"/>
        </w:rPr>
        <w:t> </w:t>
      </w:r>
      <w:r>
        <w:rPr>
          <w:szCs w:val="22"/>
        </w:rPr>
        <w:t>geometrický průměr ze standardizovan</w:t>
      </w:r>
      <w:r w:rsidR="00F911D4">
        <w:rPr>
          <w:szCs w:val="22"/>
        </w:rPr>
        <w:t xml:space="preserve">ého </w:t>
      </w:r>
      <w:r>
        <w:rPr>
          <w:szCs w:val="22"/>
        </w:rPr>
        <w:t>průměrn</w:t>
      </w:r>
      <w:r w:rsidR="00F911D4">
        <w:rPr>
          <w:szCs w:val="22"/>
        </w:rPr>
        <w:t>ého počtu</w:t>
      </w:r>
      <w:r>
        <w:rPr>
          <w:szCs w:val="22"/>
        </w:rPr>
        <w:t xml:space="preserve"> let strávených ve</w:t>
      </w:r>
      <w:r w:rsidR="00230E3C">
        <w:rPr>
          <w:szCs w:val="22"/>
        </w:rPr>
        <w:t> </w:t>
      </w:r>
      <w:r>
        <w:rPr>
          <w:szCs w:val="22"/>
        </w:rPr>
        <w:t>škole a ze standardizovan</w:t>
      </w:r>
      <w:r w:rsidR="00F911D4">
        <w:rPr>
          <w:szCs w:val="22"/>
        </w:rPr>
        <w:t>ého</w:t>
      </w:r>
      <w:r>
        <w:rPr>
          <w:szCs w:val="22"/>
        </w:rPr>
        <w:t xml:space="preserve"> očekávan</w:t>
      </w:r>
      <w:r w:rsidR="00F911D4">
        <w:rPr>
          <w:szCs w:val="22"/>
        </w:rPr>
        <w:t>ého počtu</w:t>
      </w:r>
      <w:r>
        <w:rPr>
          <w:szCs w:val="22"/>
        </w:rPr>
        <w:t xml:space="preserve"> let strávených ve</w:t>
      </w:r>
      <w:r w:rsidR="00C74C15">
        <w:rPr>
          <w:szCs w:val="22"/>
        </w:rPr>
        <w:t> </w:t>
      </w:r>
      <w:r>
        <w:rPr>
          <w:szCs w:val="22"/>
        </w:rPr>
        <w:t>škole</w:t>
      </w:r>
      <w:r w:rsidR="0058478E">
        <w:rPr>
          <w:szCs w:val="22"/>
        </w:rPr>
        <w:t xml:space="preserve"> </w:t>
      </w:r>
      <w:r w:rsidR="002C2E87">
        <w:rPr>
          <w:szCs w:val="22"/>
        </w:rPr>
        <w:t xml:space="preserve">viz </w:t>
      </w:r>
      <w:r w:rsidR="002E5C9D">
        <w:rPr>
          <w:szCs w:val="22"/>
        </w:rPr>
        <w:t xml:space="preserve">vzorec pro </w:t>
      </w:r>
      <w:r w:rsidR="002C2E87">
        <w:rPr>
          <w:szCs w:val="22"/>
        </w:rPr>
        <w:t xml:space="preserve">výpočet </w:t>
      </w:r>
      <w:r w:rsidR="0058478E">
        <w:rPr>
          <w:szCs w:val="22"/>
        </w:rPr>
        <w:t>níže</w:t>
      </w:r>
    </w:p>
    <w:p w14:paraId="333F7155" w14:textId="7431678C" w:rsidR="002037C5" w:rsidRPr="003E5B64" w:rsidRDefault="008F1E22" w:rsidP="003E5B64">
      <w:pPr>
        <w:spacing w:before="120" w:after="240" w:line="360" w:lineRule="auto"/>
        <w:ind w:firstLine="357"/>
        <w:jc w:val="right"/>
        <w:rPr>
          <w:sz w:val="18"/>
          <w:szCs w:val="16"/>
        </w:rPr>
      </w:pPr>
      <m:oMath>
        <m:r>
          <w:rPr>
            <w:rFonts w:ascii="Cambria Math" w:hAnsi="Cambria Math"/>
            <w:sz w:val="18"/>
            <w:szCs w:val="16"/>
          </w:rPr>
          <m:t>GEOMETRICKÝ PRŮMĚR=</m:t>
        </m:r>
        <m:rad>
          <m:radPr>
            <m:degHide m:val="1"/>
            <m:ctrlPr>
              <w:rPr>
                <w:rFonts w:ascii="Cambria Math" w:hAnsi="Cambria Math"/>
                <w:i/>
                <w:sz w:val="18"/>
                <w:szCs w:val="16"/>
              </w:rPr>
            </m:ctrlPr>
          </m:radPr>
          <m:deg/>
          <m:e>
            <m:eqArr>
              <m:eqArrPr>
                <m:ctrlPr>
                  <w:rPr>
                    <w:rFonts w:ascii="Cambria Math" w:hAnsi="Cambria Math"/>
                    <w:i/>
                    <w:sz w:val="18"/>
                    <w:szCs w:val="16"/>
                  </w:rPr>
                </m:ctrlPr>
              </m:eqArrPr>
              <m:e>
                <m:r>
                  <w:rPr>
                    <w:rFonts w:ascii="Cambria Math" w:hAnsi="Cambria Math"/>
                    <w:sz w:val="18"/>
                    <w:szCs w:val="16"/>
                  </w:rPr>
                  <m:t>STANDARD. PRŮMĚRNÝ POČET ×  STANDARD. OČEKÁVANÝ POČET</m:t>
                </m:r>
              </m:e>
              <m:e>
                <m:r>
                  <w:rPr>
                    <w:rFonts w:ascii="Cambria Math" w:hAnsi="Cambria Math"/>
                    <w:sz w:val="18"/>
                    <w:szCs w:val="16"/>
                  </w:rPr>
                  <m:t>LET STRÁVENÝCH VE ŠKOLE            LET STRÁVENÝCH VE ŠKOLE</m:t>
                </m:r>
              </m:e>
            </m:eqArr>
          </m:e>
        </m:rad>
      </m:oMath>
      <w:r w:rsidR="003E5B64">
        <w:rPr>
          <w:sz w:val="18"/>
          <w:szCs w:val="16"/>
        </w:rPr>
        <w:tab/>
      </w:r>
      <w:r w:rsidR="003E5B64" w:rsidRPr="003E5B64">
        <w:rPr>
          <w:sz w:val="22"/>
          <w:szCs w:val="20"/>
        </w:rPr>
        <w:t>(4)</w:t>
      </w:r>
    </w:p>
    <w:p w14:paraId="484C6B73" w14:textId="5CACC2AB" w:rsidR="0010478D" w:rsidRDefault="00E868B1" w:rsidP="002037C5">
      <w:pPr>
        <w:spacing w:line="360" w:lineRule="auto"/>
        <w:ind w:firstLine="357"/>
        <w:jc w:val="both"/>
        <w:rPr>
          <w:szCs w:val="22"/>
        </w:rPr>
      </w:pPr>
      <w:r>
        <w:rPr>
          <w:szCs w:val="22"/>
        </w:rPr>
        <w:t xml:space="preserve">Po výpočtu geometrického průměru u dimenze vzdělání se pokračuje stejně jako u ostatních dimenzí, tj. na základě vzorce (aktuální hodnota – minimální hodnota). </w:t>
      </w:r>
      <w:r>
        <w:t>Posledním krokem pro výpočet HDI je fáze výpočtu celkového indexu lidského rozvoje, která je založena na výsledcích třech dílčích indexů, jež jsme získali postupem popsaným výše. Na základě tedy těchto tří dílčích indexů si můžeme spočítat HDI prostřednictvím geometrického průměru všech tří dílčích indexů.</w:t>
      </w:r>
      <w:r w:rsidRPr="00F61D87">
        <w:t xml:space="preserve"> </w:t>
      </w:r>
      <w:r>
        <w:t>Poté na základě dosažené hodnoty od 0 po 1 a přiřadíme danou kategorii k námi vybraným státům, tj. stát s velmi vysokým lidský rozvojem atd.</w:t>
      </w:r>
      <w:r>
        <w:rPr>
          <w:szCs w:val="22"/>
        </w:rPr>
        <w:t xml:space="preserve"> </w:t>
      </w:r>
      <w:r w:rsidR="006A53A1">
        <w:rPr>
          <w:szCs w:val="22"/>
        </w:rPr>
        <w:t xml:space="preserve">(Syrovátka, </w:t>
      </w:r>
      <w:r w:rsidR="006A53A1" w:rsidRPr="00C60977">
        <w:rPr>
          <w:szCs w:val="22"/>
        </w:rPr>
        <w:t>20</w:t>
      </w:r>
      <w:r w:rsidR="006A53A1">
        <w:rPr>
          <w:szCs w:val="22"/>
        </w:rPr>
        <w:t>08</w:t>
      </w:r>
      <w:r w:rsidR="006A53A1" w:rsidRPr="00C60977">
        <w:rPr>
          <w:szCs w:val="22"/>
        </w:rPr>
        <w:t>)</w:t>
      </w:r>
      <w:r w:rsidR="006A53A1">
        <w:rPr>
          <w:szCs w:val="22"/>
        </w:rPr>
        <w:t xml:space="preserve">; </w:t>
      </w:r>
      <w:r>
        <w:t>(</w:t>
      </w:r>
      <w:proofErr w:type="spellStart"/>
      <w:r>
        <w:t>Human</w:t>
      </w:r>
      <w:proofErr w:type="spellEnd"/>
      <w:r>
        <w:t xml:space="preserve"> Development </w:t>
      </w:r>
      <w:proofErr w:type="spellStart"/>
      <w:r>
        <w:t>Reports</w:t>
      </w:r>
      <w:proofErr w:type="spellEnd"/>
      <w:r>
        <w:t xml:space="preserve">, </w:t>
      </w:r>
      <w:r w:rsidRPr="00C60977">
        <w:rPr>
          <w:szCs w:val="22"/>
        </w:rPr>
        <w:t>20</w:t>
      </w:r>
      <w:r>
        <w:rPr>
          <w:szCs w:val="22"/>
        </w:rPr>
        <w:t>20</w:t>
      </w:r>
      <w:r w:rsidRPr="00C60977">
        <w:rPr>
          <w:szCs w:val="22"/>
        </w:rPr>
        <w:t>)</w:t>
      </w:r>
      <w:r w:rsidR="006A53A1">
        <w:rPr>
          <w:szCs w:val="22"/>
        </w:rPr>
        <w:t>.</w:t>
      </w:r>
    </w:p>
    <w:p w14:paraId="6AB4FCF3" w14:textId="77777777" w:rsidR="000A11C5" w:rsidRDefault="000A11C5" w:rsidP="002037C5">
      <w:pPr>
        <w:spacing w:line="360" w:lineRule="auto"/>
        <w:ind w:firstLine="357"/>
        <w:jc w:val="both"/>
        <w:rPr>
          <w:szCs w:val="22"/>
        </w:rPr>
      </w:pPr>
    </w:p>
    <w:p w14:paraId="3EE25296" w14:textId="07C4D5C1" w:rsidR="00780B66" w:rsidRPr="003E5B64" w:rsidRDefault="005A3377" w:rsidP="003E5B64">
      <w:pPr>
        <w:spacing w:before="120" w:after="240" w:line="360" w:lineRule="auto"/>
        <w:ind w:firstLine="357"/>
        <w:jc w:val="right"/>
        <w:rPr>
          <w:sz w:val="20"/>
          <w:szCs w:val="20"/>
        </w:rPr>
      </w:pPr>
      <m:oMath>
        <m:r>
          <w:rPr>
            <w:rFonts w:ascii="Cambria Math" w:hAnsi="Cambria Math"/>
            <w:sz w:val="20"/>
            <w:szCs w:val="20"/>
          </w:rPr>
          <m:t>HDI=</m:t>
        </m:r>
        <m:rad>
          <m:radPr>
            <m:ctrlPr>
              <w:rPr>
                <w:rFonts w:ascii="Cambria Math" w:hAnsi="Cambria Math"/>
                <w:i/>
                <w:noProof/>
                <w:sz w:val="20"/>
                <w:szCs w:val="20"/>
              </w:rPr>
            </m:ctrlPr>
          </m:radPr>
          <m:deg>
            <m:r>
              <w:rPr>
                <w:rFonts w:ascii="Cambria Math" w:hAnsi="Cambria Math"/>
                <w:noProof/>
                <w:sz w:val="20"/>
                <w:szCs w:val="20"/>
              </w:rPr>
              <m:t>3</m:t>
            </m:r>
          </m:deg>
          <m:e>
            <m:r>
              <w:rPr>
                <w:rFonts w:ascii="Cambria Math" w:hAnsi="Cambria Math"/>
                <w:noProof/>
                <w:sz w:val="20"/>
                <w:szCs w:val="20"/>
              </w:rPr>
              <m:t>INDEX PRŮMĚRNÉ DÉLKY ŽIVOTA ×INDEX VZDĚLÁNÍ ×INDEX HNP</m:t>
            </m:r>
          </m:e>
        </m:rad>
      </m:oMath>
      <w:r w:rsidR="003E5B64">
        <w:rPr>
          <w:sz w:val="20"/>
          <w:szCs w:val="20"/>
        </w:rPr>
        <w:tab/>
      </w:r>
      <w:r w:rsidR="003E5B64" w:rsidRPr="000263E8">
        <w:rPr>
          <w:sz w:val="22"/>
          <w:szCs w:val="22"/>
        </w:rPr>
        <w:t>(5)</w:t>
      </w:r>
    </w:p>
    <w:p w14:paraId="2CE15CAA" w14:textId="09351685" w:rsidR="000A11C5" w:rsidRPr="00C60977" w:rsidRDefault="0010478D" w:rsidP="00864356">
      <w:pPr>
        <w:spacing w:before="120" w:after="240" w:line="360" w:lineRule="auto"/>
        <w:ind w:firstLine="357"/>
        <w:jc w:val="both"/>
      </w:pPr>
      <w:r w:rsidRPr="0010478D">
        <w:t xml:space="preserve">Díky přehlednosti a jednoduchosti tohoto indexu jsem tento ukazatel životní úrovně zařadila mezi vybrané ukazatele, které budou </w:t>
      </w:r>
      <w:r>
        <w:t xml:space="preserve">v této diplomové práci </w:t>
      </w:r>
      <w:r w:rsidRPr="0010478D">
        <w:t>předmětem zkoumání u</w:t>
      </w:r>
      <w:r>
        <w:t> </w:t>
      </w:r>
      <w:r w:rsidRPr="0010478D">
        <w:t>vybraných zemí střední Evropy</w:t>
      </w:r>
      <w:r>
        <w:t>.</w:t>
      </w:r>
    </w:p>
    <w:p w14:paraId="75961826" w14:textId="298AAFEB" w:rsidR="001B1B4D" w:rsidRPr="00C60977" w:rsidRDefault="001B1B4D" w:rsidP="00C60977">
      <w:pPr>
        <w:pStyle w:val="Nadpis3"/>
      </w:pPr>
      <w:bookmarkStart w:id="26" w:name="_Toc46142343"/>
      <w:r w:rsidRPr="00C60977">
        <w:lastRenderedPageBreak/>
        <w:t>Index chudoby – HPI</w:t>
      </w:r>
      <w:bookmarkEnd w:id="26"/>
    </w:p>
    <w:p w14:paraId="330DF508" w14:textId="33866944" w:rsidR="002E5C9D" w:rsidRPr="00C60977" w:rsidRDefault="00E868B1" w:rsidP="002037C5">
      <w:pPr>
        <w:spacing w:before="120" w:after="240" w:line="360" w:lineRule="auto"/>
        <w:ind w:firstLine="357"/>
        <w:jc w:val="both"/>
      </w:pPr>
      <w:r w:rsidRPr="00C60977">
        <w:t>Světová banka například uvádí, že chudobou se</w:t>
      </w:r>
      <w:r>
        <w:t> </w:t>
      </w:r>
      <w:r w:rsidRPr="00C60977">
        <w:t>rozumí komplexní problematika,</w:t>
      </w:r>
      <w:r>
        <w:t xml:space="preserve"> </w:t>
      </w:r>
      <w:r w:rsidRPr="00C60977">
        <w:t>je</w:t>
      </w:r>
      <w:r>
        <w:t>n</w:t>
      </w:r>
      <w:r w:rsidRPr="00C60977">
        <w:t>ž</w:t>
      </w:r>
      <w:r>
        <w:t xml:space="preserve"> </w:t>
      </w:r>
      <w:r w:rsidRPr="00C60977">
        <w:t xml:space="preserve">zahrnuje obrovské množství fenoménů, a to například neschopnost uspokojit základní potřeby jedince, nedostatek vzdělání a dovedností jedince, nedostatečné kvalitní bydlení, špatné zdraví jedince apod. </w:t>
      </w:r>
    </w:p>
    <w:p w14:paraId="129D8C9B" w14:textId="1641ADAD" w:rsidR="005A3377" w:rsidRPr="000A11C5" w:rsidRDefault="00E868B1" w:rsidP="000A11C5">
      <w:pPr>
        <w:spacing w:before="120" w:after="240" w:line="360" w:lineRule="auto"/>
        <w:ind w:firstLine="357"/>
        <w:jc w:val="both"/>
        <w:rPr>
          <w:szCs w:val="22"/>
        </w:rPr>
      </w:pPr>
      <w:r w:rsidRPr="00C60977">
        <w:t>Se samotnou chudobou se také váže tzv. index chudoby (</w:t>
      </w:r>
      <w:proofErr w:type="spellStart"/>
      <w:r w:rsidRPr="00C60977">
        <w:t>Human</w:t>
      </w:r>
      <w:proofErr w:type="spellEnd"/>
      <w:r w:rsidRPr="00C60977">
        <w:t xml:space="preserve"> </w:t>
      </w:r>
      <w:proofErr w:type="spellStart"/>
      <w:r w:rsidRPr="00C60977">
        <w:t>Poverty</w:t>
      </w:r>
      <w:proofErr w:type="spellEnd"/>
      <w:r w:rsidRPr="00C60977">
        <w:t xml:space="preserve"> Index = HPI). Jedná se o alternativní</w:t>
      </w:r>
      <w:r>
        <w:t xml:space="preserve"> a doplňující</w:t>
      </w:r>
      <w:r w:rsidRPr="00C60977">
        <w:t xml:space="preserve"> ukazatel k výše předešlému, tj. k indexu lidského rozvoje (HDI). </w:t>
      </w:r>
      <w:r>
        <w:t xml:space="preserve">Tento index byl poprvé použit jako součást zprávy o lidském rozvoji datované roku 1997. </w:t>
      </w:r>
      <w:r w:rsidR="002E5C9D">
        <w:t xml:space="preserve"> Index chudoby je</w:t>
      </w:r>
      <w:r w:rsidR="002E5C9D" w:rsidRPr="00C60977">
        <w:t xml:space="preserve"> index</w:t>
      </w:r>
      <w:r w:rsidR="002E5C9D">
        <w:t>, jež</w:t>
      </w:r>
      <w:r w:rsidR="002E5C9D" w:rsidRPr="00C60977">
        <w:t xml:space="preserve"> patří mezi ukazatele životní úrovně </w:t>
      </w:r>
      <w:r w:rsidR="002E5C9D">
        <w:t>a</w:t>
      </w:r>
      <w:r w:rsidR="002E5C9D" w:rsidRPr="00C60977">
        <w:t xml:space="preserve"> byl vyvinut a</w:t>
      </w:r>
      <w:r w:rsidR="00500663">
        <w:t> </w:t>
      </w:r>
      <w:r w:rsidR="002E5C9D" w:rsidRPr="00C60977">
        <w:t>je</w:t>
      </w:r>
      <w:r w:rsidR="00500663">
        <w:t> </w:t>
      </w:r>
      <w:r w:rsidR="002E5C9D" w:rsidRPr="00C60977">
        <w:t xml:space="preserve">sledován OSN. </w:t>
      </w:r>
      <w:r w:rsidR="002E5C9D" w:rsidRPr="0058118B">
        <w:rPr>
          <w:color w:val="000000" w:themeColor="text1"/>
          <w:szCs w:val="22"/>
        </w:rPr>
        <w:t>(</w:t>
      </w:r>
      <w:r w:rsidR="002E5C9D" w:rsidRPr="0058118B">
        <w:rPr>
          <w:color w:val="000000" w:themeColor="text1"/>
        </w:rPr>
        <w:t xml:space="preserve">OPHI, </w:t>
      </w:r>
      <w:r w:rsidR="002E5C9D" w:rsidRPr="0058118B">
        <w:rPr>
          <w:color w:val="000000" w:themeColor="text1"/>
          <w:szCs w:val="22"/>
        </w:rPr>
        <w:t>2020</w:t>
      </w:r>
      <w:r w:rsidR="002E5C9D">
        <w:rPr>
          <w:color w:val="000000" w:themeColor="text1"/>
          <w:szCs w:val="22"/>
        </w:rPr>
        <w:t>)</w:t>
      </w:r>
      <w:r w:rsidR="002E5C9D">
        <w:rPr>
          <w:szCs w:val="22"/>
        </w:rPr>
        <w:t>.</w:t>
      </w:r>
    </w:p>
    <w:p w14:paraId="15569CF9" w14:textId="77777777" w:rsidR="005A3377" w:rsidRPr="005A3377" w:rsidRDefault="00E868B1" w:rsidP="005A3377">
      <w:pPr>
        <w:spacing w:before="120" w:after="240" w:line="360" w:lineRule="auto"/>
        <w:ind w:firstLine="360"/>
        <w:jc w:val="both"/>
        <w:rPr>
          <w:b/>
          <w:bCs/>
          <w:i/>
          <w:iCs/>
        </w:rPr>
      </w:pPr>
      <w:r w:rsidRPr="005A3377">
        <w:rPr>
          <w:b/>
          <w:bCs/>
          <w:i/>
          <w:iCs/>
        </w:rPr>
        <w:t>Co se tedy týče indexu HPI, sledujeme u něj čtyři různé dimenze:</w:t>
      </w:r>
    </w:p>
    <w:p w14:paraId="54701301" w14:textId="77777777" w:rsidR="005A3377" w:rsidRPr="005A3377" w:rsidRDefault="006A53A1" w:rsidP="00AA5473">
      <w:pPr>
        <w:pStyle w:val="Odstavecseseznamem"/>
        <w:numPr>
          <w:ilvl w:val="0"/>
          <w:numId w:val="25"/>
        </w:numPr>
        <w:spacing w:before="120" w:after="240"/>
        <w:rPr>
          <w:i/>
          <w:iCs/>
          <w:sz w:val="24"/>
        </w:rPr>
      </w:pPr>
      <w:r w:rsidRPr="005A3377">
        <w:rPr>
          <w:i/>
          <w:iCs/>
        </w:rPr>
        <w:t>p</w:t>
      </w:r>
      <w:r w:rsidR="00E868B1" w:rsidRPr="005A3377">
        <w:rPr>
          <w:i/>
          <w:iCs/>
        </w:rPr>
        <w:t>ravděpodobnost nedožití se čtyřiceti let</w:t>
      </w:r>
      <w:r w:rsidRPr="005A3377">
        <w:rPr>
          <w:i/>
          <w:iCs/>
        </w:rPr>
        <w:t>,</w:t>
      </w:r>
    </w:p>
    <w:p w14:paraId="5A335D8C" w14:textId="7A276DF2" w:rsidR="005A3377" w:rsidRPr="005A3377" w:rsidRDefault="006A53A1" w:rsidP="00AA5473">
      <w:pPr>
        <w:pStyle w:val="Odstavecseseznamem"/>
        <w:numPr>
          <w:ilvl w:val="0"/>
          <w:numId w:val="25"/>
        </w:numPr>
        <w:spacing w:before="120" w:after="240"/>
        <w:rPr>
          <w:i/>
          <w:iCs/>
          <w:sz w:val="24"/>
        </w:rPr>
      </w:pPr>
      <w:r w:rsidRPr="005A3377">
        <w:rPr>
          <w:i/>
          <w:iCs/>
          <w:sz w:val="24"/>
        </w:rPr>
        <w:t>m</w:t>
      </w:r>
      <w:r w:rsidR="00E868B1" w:rsidRPr="005A3377">
        <w:rPr>
          <w:i/>
          <w:iCs/>
          <w:sz w:val="24"/>
        </w:rPr>
        <w:t>ír</w:t>
      </w:r>
      <w:r w:rsidRPr="005A3377">
        <w:rPr>
          <w:i/>
          <w:iCs/>
          <w:sz w:val="24"/>
        </w:rPr>
        <w:t>u</w:t>
      </w:r>
      <w:r w:rsidR="00E868B1" w:rsidRPr="005A3377">
        <w:rPr>
          <w:i/>
          <w:iCs/>
          <w:sz w:val="24"/>
        </w:rPr>
        <w:t xml:space="preserve"> gramotných dospělých obyvatel</w:t>
      </w:r>
      <w:r w:rsidRPr="005A3377">
        <w:rPr>
          <w:i/>
          <w:iCs/>
          <w:sz w:val="24"/>
        </w:rPr>
        <w:t>,</w:t>
      </w:r>
    </w:p>
    <w:p w14:paraId="04593264" w14:textId="207D18A6" w:rsidR="005A3377" w:rsidRPr="005A3377" w:rsidRDefault="006A53A1" w:rsidP="00AA5473">
      <w:pPr>
        <w:pStyle w:val="Odstavecseseznamem"/>
        <w:numPr>
          <w:ilvl w:val="0"/>
          <w:numId w:val="25"/>
        </w:numPr>
        <w:spacing w:before="120" w:after="240"/>
        <w:rPr>
          <w:i/>
          <w:iCs/>
          <w:sz w:val="24"/>
        </w:rPr>
      </w:pPr>
      <w:r w:rsidRPr="005A3377">
        <w:rPr>
          <w:i/>
          <w:iCs/>
          <w:sz w:val="24"/>
        </w:rPr>
        <w:t>p</w:t>
      </w:r>
      <w:r w:rsidR="00E868B1" w:rsidRPr="005A3377">
        <w:rPr>
          <w:i/>
          <w:iCs/>
          <w:sz w:val="24"/>
        </w:rPr>
        <w:t>odíl populace, jež nemá přístup k pitné vodě</w:t>
      </w:r>
      <w:r w:rsidRPr="005A3377">
        <w:rPr>
          <w:i/>
          <w:iCs/>
          <w:sz w:val="24"/>
        </w:rPr>
        <w:t>,</w:t>
      </w:r>
    </w:p>
    <w:p w14:paraId="035033E4" w14:textId="6CEECEB6" w:rsidR="002E5C9D" w:rsidRPr="005A3377" w:rsidRDefault="006A53A1" w:rsidP="00AA5473">
      <w:pPr>
        <w:pStyle w:val="Odstavecseseznamem"/>
        <w:numPr>
          <w:ilvl w:val="0"/>
          <w:numId w:val="25"/>
        </w:numPr>
        <w:spacing w:before="120" w:after="240"/>
        <w:rPr>
          <w:i/>
          <w:iCs/>
          <w:sz w:val="24"/>
        </w:rPr>
      </w:pPr>
      <w:r w:rsidRPr="005A3377">
        <w:rPr>
          <w:i/>
          <w:iCs/>
          <w:sz w:val="24"/>
        </w:rPr>
        <w:t>p</w:t>
      </w:r>
      <w:r w:rsidR="00E868B1" w:rsidRPr="005A3377">
        <w:rPr>
          <w:i/>
          <w:iCs/>
          <w:sz w:val="24"/>
        </w:rPr>
        <w:t>odíl dětí, jež trpí na podvýživu</w:t>
      </w:r>
      <w:r w:rsidRPr="005A3377">
        <w:rPr>
          <w:i/>
          <w:iCs/>
          <w:sz w:val="24"/>
        </w:rPr>
        <w:t>.</w:t>
      </w:r>
    </w:p>
    <w:p w14:paraId="4F65625A" w14:textId="74B24C10" w:rsidR="002E5C9D" w:rsidRPr="003523E2" w:rsidRDefault="00E868B1" w:rsidP="003523E2">
      <w:pPr>
        <w:spacing w:before="120" w:after="240" w:line="360" w:lineRule="auto"/>
        <w:ind w:firstLine="360"/>
        <w:jc w:val="both"/>
        <w:rPr>
          <w:szCs w:val="22"/>
        </w:rPr>
      </w:pPr>
      <w:r w:rsidRPr="00C60977">
        <w:t>Na rozdíl od měření chudoby příjmem, index chudoby používá ukazatele nejzákladnějších aspektů deprivace, a to krátk</w:t>
      </w:r>
      <w:r>
        <w:t>ou</w:t>
      </w:r>
      <w:r w:rsidRPr="00C60977">
        <w:t xml:space="preserve"> délk</w:t>
      </w:r>
      <w:r>
        <w:t>u</w:t>
      </w:r>
      <w:r w:rsidRPr="00C60977">
        <w:t xml:space="preserve"> života, nedostatek základního vzdělání</w:t>
      </w:r>
      <w:r>
        <w:t xml:space="preserve"> a </w:t>
      </w:r>
      <w:r w:rsidRPr="00C60977">
        <w:t>přístupu k</w:t>
      </w:r>
      <w:r>
        <w:t> </w:t>
      </w:r>
      <w:r w:rsidRPr="00C60977">
        <w:t>veřejným</w:t>
      </w:r>
      <w:r>
        <w:t>, či k</w:t>
      </w:r>
      <w:r w:rsidRPr="00C60977">
        <w:t> soukromým zdrojům. Index chudoby se soustředí na deprivace ve</w:t>
      </w:r>
      <w:r>
        <w:t> </w:t>
      </w:r>
      <w:r w:rsidRPr="00C60977">
        <w:t xml:space="preserve">třech nezbytných </w:t>
      </w:r>
      <w:r>
        <w:t>částí</w:t>
      </w:r>
      <w:r w:rsidRPr="00C60977">
        <w:t xml:space="preserve"> lidského života, </w:t>
      </w:r>
      <w:r>
        <w:t>které</w:t>
      </w:r>
      <w:r w:rsidRPr="00C60977">
        <w:t xml:space="preserve"> se rovněž odrážejí </w:t>
      </w:r>
      <w:r>
        <w:t>u indexu lidského rozvoje (HDI). J</w:t>
      </w:r>
      <w:r w:rsidRPr="00C60977">
        <w:t xml:space="preserve">edná se o </w:t>
      </w:r>
      <w:r>
        <w:t xml:space="preserve">oblasti </w:t>
      </w:r>
      <w:r w:rsidRPr="00C60977">
        <w:t>dlouhověkost</w:t>
      </w:r>
      <w:r>
        <w:t>i</w:t>
      </w:r>
      <w:r w:rsidRPr="00C60977">
        <w:t>, znalosti člověka a </w:t>
      </w:r>
      <w:r>
        <w:t xml:space="preserve">o oblast </w:t>
      </w:r>
      <w:r w:rsidRPr="00C60977">
        <w:t>životní úrov</w:t>
      </w:r>
      <w:r>
        <w:t>ně</w:t>
      </w:r>
      <w:r w:rsidRPr="00C60977">
        <w:t>.</w:t>
      </w:r>
      <w:r>
        <w:t xml:space="preserve"> Tento index se využívá například jako vodítko při zmírňování chudoby. V mnoha oficiálních národních zprávách o lidském rozvoji dochází k tomu, že tento index je soustředěn na regiony (jednotlivé části země, nikoli na celou zemi jako celek), či na různé sociálně-ekonomické skupiny, a to z důvodu identifikace nejchudších </w:t>
      </w:r>
      <w:r w:rsidRPr="00107E67">
        <w:rPr>
          <w:color w:val="000000" w:themeColor="text1"/>
        </w:rPr>
        <w:t xml:space="preserve">oblastí, či </w:t>
      </w:r>
      <w:r>
        <w:t xml:space="preserve">sociálních skupin v dané zemi. Takto zjištěné a veřejnosti sdělené výsledky mohou sloužit jako podklad k debatám, a dokonce na základě zjištěných výsledků může docházet ke změnám na politické scéně v dané zemi. Tento index je přímo zaměřen na konkrétní číslo jedinců, kteří se nacházejí v chudobě. S indexem chudoby se také váže i multidimenzionální index chudoby (MPI), jež byl vůbec poprvé použit roku 2010. Tento multidimenzionální index slouží k identifikování deprivací u všech tří dimenzí, tj. zdraví jedince, vzdělání a životní podmínky (stejné dimenze jako u indexu HDI) a slouží k přesnému stanovení počtu lidí, jež z mnoho pohledů chudí. Pokud si tedy tyto jednotlivé dimenze </w:t>
      </w:r>
      <w:r>
        <w:lastRenderedPageBreak/>
        <w:t xml:space="preserve">rozebereme, tak index MPI se v případě zdraví zabývá úmrtností novorozenců, kojenců a stupněm podvýživy u dětí. </w:t>
      </w:r>
      <w:r w:rsidR="006F26CB">
        <w:t>U druhé dimenze</w:t>
      </w:r>
      <w:r>
        <w:t xml:space="preserve">, tj. vzdělání, </w:t>
      </w:r>
      <w:r w:rsidR="006F26CB">
        <w:t>se</w:t>
      </w:r>
      <w:r>
        <w:t xml:space="preserve"> index MPI zabývá docházkou dětí do škol a délkou jejich vzdělání. Třetí dimenze, tj. životní podmínky se zaobírá domácnostmi, jež nemají přístup k elektřině, ke zdravotnickému zařízení, k pitné vodě atd. </w:t>
      </w:r>
      <w:r w:rsidRPr="00C60977">
        <w:t>(</w:t>
      </w:r>
      <w:proofErr w:type="spellStart"/>
      <w:r>
        <w:t>Planning</w:t>
      </w:r>
      <w:proofErr w:type="spellEnd"/>
      <w:r>
        <w:t xml:space="preserve"> Tank</w:t>
      </w:r>
      <w:r w:rsidRPr="00C60977">
        <w:t xml:space="preserve">, </w:t>
      </w:r>
      <w:r w:rsidRPr="0058118B">
        <w:rPr>
          <w:color w:val="000000" w:themeColor="text1"/>
          <w:szCs w:val="22"/>
        </w:rPr>
        <w:t xml:space="preserve">2015); </w:t>
      </w:r>
      <w:r w:rsidRPr="00C60977">
        <w:t>(</w:t>
      </w:r>
      <w:proofErr w:type="spellStart"/>
      <w:r w:rsidRPr="00C60977">
        <w:t>ArcGIS</w:t>
      </w:r>
      <w:proofErr w:type="spellEnd"/>
      <w:r w:rsidRPr="00C60977">
        <w:t xml:space="preserve">, </w:t>
      </w:r>
      <w:r w:rsidRPr="00C60977">
        <w:rPr>
          <w:szCs w:val="22"/>
        </w:rPr>
        <w:t>2012)</w:t>
      </w:r>
      <w:r>
        <w:rPr>
          <w:szCs w:val="22"/>
        </w:rPr>
        <w:t>.</w:t>
      </w:r>
    </w:p>
    <w:p w14:paraId="7C85C336" w14:textId="00CFD4E1" w:rsidR="00C20629" w:rsidRDefault="006341C8" w:rsidP="006341C8">
      <w:pPr>
        <w:pStyle w:val="Nadpis2"/>
      </w:pPr>
      <w:bookmarkStart w:id="27" w:name="_Toc46142344"/>
      <w:r>
        <w:t>DALŠÍ</w:t>
      </w:r>
      <w:r w:rsidR="00C20629">
        <w:t xml:space="preserve"> </w:t>
      </w:r>
      <w:r w:rsidR="00DE6560">
        <w:t xml:space="preserve">MOŽNÉ </w:t>
      </w:r>
      <w:r w:rsidR="00C20629">
        <w:t>UKAZATEL</w:t>
      </w:r>
      <w:r>
        <w:t>E</w:t>
      </w:r>
      <w:r w:rsidR="00C20629">
        <w:t xml:space="preserve"> ŽIVOTNÍ ÚROVNĚ</w:t>
      </w:r>
      <w:bookmarkEnd w:id="27"/>
      <w:r w:rsidR="00C20629">
        <w:t xml:space="preserve"> </w:t>
      </w:r>
    </w:p>
    <w:p w14:paraId="5B973AE2" w14:textId="65AD18C1" w:rsidR="002E5C9D" w:rsidRDefault="0037149C" w:rsidP="006A53A1">
      <w:pPr>
        <w:spacing w:before="120" w:after="240" w:line="360" w:lineRule="auto"/>
        <w:ind w:firstLine="454"/>
        <w:jc w:val="both"/>
      </w:pPr>
      <w:r>
        <w:t>Samozřejmě</w:t>
      </w:r>
      <w:r w:rsidR="00A90FA2">
        <w:t>,</w:t>
      </w:r>
      <w:r>
        <w:t xml:space="preserve"> existuje i celá řada další ukazatelů zabývající</w:t>
      </w:r>
      <w:r w:rsidR="00A90FA2">
        <w:t>ch</w:t>
      </w:r>
      <w:r>
        <w:t xml:space="preserve"> se životní úrovní. </w:t>
      </w:r>
      <w:r w:rsidR="00A90FA2">
        <w:t>P</w:t>
      </w:r>
      <w:r>
        <w:t>řestože je tato práce primárně zaměřena na ekonomické ukazatele, je důležité si uvědomit, že</w:t>
      </w:r>
      <w:r w:rsidR="00A90FA2">
        <w:t> </w:t>
      </w:r>
      <w:r>
        <w:t xml:space="preserve">ne na vše </w:t>
      </w:r>
      <w:r w:rsidR="00791923">
        <w:t>je možné</w:t>
      </w:r>
      <w:r>
        <w:t xml:space="preserve"> </w:t>
      </w:r>
      <w:r w:rsidR="00791923">
        <w:t>na</w:t>
      </w:r>
      <w:r>
        <w:t>hlížet z pohledu ekonomie a že zde existuje spousta dalších faktorů podílející se</w:t>
      </w:r>
      <w:r w:rsidR="00780B66">
        <w:t> </w:t>
      </w:r>
      <w:r>
        <w:t>na</w:t>
      </w:r>
      <w:r w:rsidR="00780B66">
        <w:t> </w:t>
      </w:r>
      <w:r>
        <w:t xml:space="preserve">životní úrovni jedinců. Ve stručnosti </w:t>
      </w:r>
      <w:r w:rsidR="00791923">
        <w:t>budou uvedeny</w:t>
      </w:r>
      <w:r>
        <w:t xml:space="preserve"> další ukazatele, dle kterých můžeme hodnotit životní úroveň lidí. </w:t>
      </w:r>
    </w:p>
    <w:p w14:paraId="0F04EB9D" w14:textId="484C730C" w:rsidR="002E5C9D" w:rsidRPr="0067040D" w:rsidRDefault="00791923" w:rsidP="0067040D">
      <w:pPr>
        <w:spacing w:before="120" w:after="240" w:line="360" w:lineRule="auto"/>
        <w:ind w:firstLine="454"/>
        <w:jc w:val="both"/>
      </w:pPr>
      <w:r>
        <w:t xml:space="preserve">První skupinou ukazatelů, které budou popsány, jsou ukazatele ekologické, jež hodnotí </w:t>
      </w:r>
      <w:r w:rsidR="0037149C" w:rsidRPr="00197C3C">
        <w:rPr>
          <w:color w:val="000000" w:themeColor="text1"/>
        </w:rPr>
        <w:t xml:space="preserve">životní úroveň na základě životního prostředí. </w:t>
      </w:r>
      <w:r>
        <w:t>Prvním ukazatelem z této skupiny je</w:t>
      </w:r>
      <w:r w:rsidR="0037149C">
        <w:t xml:space="preserve"> ukazatel „ekologické stopy“ neboli „</w:t>
      </w:r>
      <w:proofErr w:type="spellStart"/>
      <w:r w:rsidR="0037149C">
        <w:t>Ecological</w:t>
      </w:r>
      <w:proofErr w:type="spellEnd"/>
      <w:r w:rsidR="0037149C">
        <w:t xml:space="preserve"> </w:t>
      </w:r>
      <w:proofErr w:type="spellStart"/>
      <w:r w:rsidR="0037149C">
        <w:t>Footprint</w:t>
      </w:r>
      <w:proofErr w:type="spellEnd"/>
      <w:r w:rsidR="0037149C">
        <w:t>“</w:t>
      </w:r>
      <w:r w:rsidR="00FA584C">
        <w:t>, prostřednictvím něhož</w:t>
      </w:r>
      <w:r w:rsidR="0037149C">
        <w:t xml:space="preserve"> se měří ekologická stopa tzv. ekologické aktivum, jež daná populace potřebuje k tvorbě přírodních zdrojů a které spotřebovává (tzv. přivlastněná </w:t>
      </w:r>
      <w:proofErr w:type="spellStart"/>
      <w:r w:rsidR="0037149C">
        <w:t>biokapacita</w:t>
      </w:r>
      <w:proofErr w:type="spellEnd"/>
      <w:r w:rsidR="0037149C">
        <w:t>), ale</w:t>
      </w:r>
      <w:r w:rsidR="00FA584C">
        <w:t> </w:t>
      </w:r>
      <w:r w:rsidR="0037149C">
        <w:t>také se zde řeší, jak je odpad vstřebatelný a</w:t>
      </w:r>
      <w:r>
        <w:t> </w:t>
      </w:r>
      <w:r w:rsidR="0037149C">
        <w:t xml:space="preserve">jak dochází k jeho zneškodňování.  Ekologická stopa tedy představuje ekologickou stopu produkce zboží a služeb v konkrétní zemi, od které je odečten veškerý vývoz a přičten veškerý dovoz země. Ekologická stopa je kombinací dvou faktorů, a to kombinací kvality lidského života a environmentální výkonnosti. Konečná hodnota ekologické stopy je uváděna v tzv. globálních hektarech, u kterých platí, že čím je ekologická stopa nižší, tím méně jedinec znečišťuje životní prostředí. Dalším ekologickým ukazatelem, </w:t>
      </w:r>
      <w:r w:rsidR="0037149C" w:rsidRPr="00663B67">
        <w:t>který je úzce spjat a vychází částečně z předešlého</w:t>
      </w:r>
      <w:r w:rsidR="0037149C">
        <w:t xml:space="preserve"> ukazatele je „</w:t>
      </w:r>
      <w:proofErr w:type="spellStart"/>
      <w:r w:rsidR="0037149C" w:rsidRPr="00663B67">
        <w:rPr>
          <w:color w:val="000000" w:themeColor="text1"/>
        </w:rPr>
        <w:t>Carbon</w:t>
      </w:r>
      <w:proofErr w:type="spellEnd"/>
      <w:r w:rsidR="0037149C" w:rsidRPr="00663B67">
        <w:rPr>
          <w:color w:val="000000" w:themeColor="text1"/>
        </w:rPr>
        <w:t xml:space="preserve"> </w:t>
      </w:r>
      <w:proofErr w:type="spellStart"/>
      <w:r w:rsidR="0037149C" w:rsidRPr="00663B67">
        <w:rPr>
          <w:color w:val="000000" w:themeColor="text1"/>
        </w:rPr>
        <w:t>Footprint</w:t>
      </w:r>
      <w:proofErr w:type="spellEnd"/>
      <w:r w:rsidR="0037149C" w:rsidRPr="00663B67">
        <w:rPr>
          <w:color w:val="000000" w:themeColor="text1"/>
        </w:rPr>
        <w:t>“, což</w:t>
      </w:r>
      <w:r w:rsidR="0067040D">
        <w:rPr>
          <w:color w:val="000000" w:themeColor="text1"/>
        </w:rPr>
        <w:t> </w:t>
      </w:r>
      <w:r w:rsidR="0037149C">
        <w:t>v překladu znamená uhlíková stopa, V tomto případě měříme dopad lidské činnosti na</w:t>
      </w:r>
      <w:r w:rsidR="0067040D">
        <w:t> </w:t>
      </w:r>
      <w:r w:rsidR="0037149C">
        <w:t>životní prostředí (a následné projevy na změny klimatu). Konečná hodnota uhlíkové stopy je</w:t>
      </w:r>
      <w:r w:rsidR="00FA584C">
        <w:t> </w:t>
      </w:r>
      <w:r w:rsidR="0037149C">
        <w:t>přepočítána na objem vypuštěného oxidu uhličitého do ovzduší (může se uvádět v gramech, kilogramech či v tunách). Opět je zde stejný princip jako u ekologické stopy a to, že čím nižší je hodnota, tím nižší je zátěž na životní prostředí. Dalším v řadě ekologických ukazatelů může být příklad index šťastné planety tzv. Happy Planet Index, který pracuje s blahobytem a</w:t>
      </w:r>
      <w:r w:rsidR="0067040D">
        <w:t> </w:t>
      </w:r>
      <w:r w:rsidR="0037149C">
        <w:t>s ekologickou stopou. Tento index se snaží doplnit ukazatel HDP, jelikož poukazuje na to, že</w:t>
      </w:r>
      <w:r w:rsidR="0067040D">
        <w:t> </w:t>
      </w:r>
      <w:r w:rsidR="0037149C">
        <w:t>ne vždy vysoká spotřeba přírodních zdrojů znamená zvýšení blahobytu obyvatel. Princip tohoto indexu spočívá v tom, že blahobyt je podělen ekologickou stopou.</w:t>
      </w:r>
      <w:r w:rsidR="0067040D" w:rsidRPr="0067040D">
        <w:t xml:space="preserve"> </w:t>
      </w:r>
      <w:r w:rsidR="0067040D">
        <w:t>(</w:t>
      </w:r>
      <w:proofErr w:type="spellStart"/>
      <w:r w:rsidR="0067040D">
        <w:t>Bošanská</w:t>
      </w:r>
      <w:proofErr w:type="spellEnd"/>
      <w:r w:rsidR="0067040D">
        <w:t xml:space="preserve">, </w:t>
      </w:r>
      <w:r w:rsidR="0067040D" w:rsidRPr="00C60977">
        <w:rPr>
          <w:szCs w:val="22"/>
        </w:rPr>
        <w:t>201</w:t>
      </w:r>
      <w:r w:rsidR="0067040D">
        <w:rPr>
          <w:szCs w:val="22"/>
        </w:rPr>
        <w:t>3);</w:t>
      </w:r>
      <w:r w:rsidR="0067040D">
        <w:t xml:space="preserve"> </w:t>
      </w:r>
      <w:r w:rsidR="0037149C">
        <w:t>(</w:t>
      </w:r>
      <w:proofErr w:type="spellStart"/>
      <w:r w:rsidR="0037149C">
        <w:t>Global</w:t>
      </w:r>
      <w:proofErr w:type="spellEnd"/>
      <w:r w:rsidR="0037149C">
        <w:t xml:space="preserve"> </w:t>
      </w:r>
      <w:proofErr w:type="spellStart"/>
      <w:r w:rsidR="0037149C">
        <w:t>Footprint</w:t>
      </w:r>
      <w:proofErr w:type="spellEnd"/>
      <w:r w:rsidR="0037149C">
        <w:t xml:space="preserve"> Network, </w:t>
      </w:r>
      <w:r w:rsidR="0037149C" w:rsidRPr="00C60977">
        <w:rPr>
          <w:szCs w:val="22"/>
        </w:rPr>
        <w:t>20</w:t>
      </w:r>
      <w:r w:rsidR="0037149C">
        <w:rPr>
          <w:szCs w:val="22"/>
        </w:rPr>
        <w:t>20)</w:t>
      </w:r>
      <w:r w:rsidR="0067040D">
        <w:rPr>
          <w:szCs w:val="22"/>
        </w:rPr>
        <w:t>.</w:t>
      </w:r>
    </w:p>
    <w:p w14:paraId="1C54A4D4" w14:textId="32F8FE7E" w:rsidR="002E5C9D" w:rsidRDefault="00FA584C" w:rsidP="006A53A1">
      <w:pPr>
        <w:spacing w:before="120" w:after="240" w:line="360" w:lineRule="auto"/>
        <w:ind w:firstLine="454"/>
        <w:jc w:val="both"/>
      </w:pPr>
      <w:r>
        <w:lastRenderedPageBreak/>
        <w:t>Ekologických</w:t>
      </w:r>
      <w:r w:rsidR="0037149C">
        <w:t xml:space="preserve"> ukazatelů, kterými lze životní úroveň měřit,</w:t>
      </w:r>
      <w:r>
        <w:t xml:space="preserve"> existuje daleko více,</w:t>
      </w:r>
      <w:r w:rsidR="0037149C">
        <w:t xml:space="preserve"> příkladem může být index živoucí planety, či index environmentální výkonosti, avšak tato práce není postavena na ekologických ukazatelích, a proto </w:t>
      </w:r>
      <w:r w:rsidR="0037149C" w:rsidRPr="00663B67">
        <w:t xml:space="preserve">v krátkosti </w:t>
      </w:r>
      <w:r w:rsidR="005A3377">
        <w:t>byly představeny</w:t>
      </w:r>
      <w:r w:rsidR="0037149C">
        <w:t xml:space="preserve"> nejznámější a</w:t>
      </w:r>
      <w:r w:rsidR="005A3377">
        <w:t> </w:t>
      </w:r>
      <w:r w:rsidR="0037149C">
        <w:t xml:space="preserve">nejpoužívanější </w:t>
      </w:r>
      <w:r w:rsidR="005A3377">
        <w:t xml:space="preserve">ukazatele </w:t>
      </w:r>
      <w:r w:rsidR="0037149C">
        <w:t xml:space="preserve">z této kategorie. </w:t>
      </w:r>
    </w:p>
    <w:p w14:paraId="2ED06AB8" w14:textId="35BDD402" w:rsidR="002E5C9D" w:rsidRPr="002749D8" w:rsidRDefault="00791923" w:rsidP="006A53A1">
      <w:pPr>
        <w:spacing w:before="120" w:after="240" w:line="360" w:lineRule="auto"/>
        <w:ind w:firstLine="454"/>
        <w:jc w:val="both"/>
        <w:rPr>
          <w:szCs w:val="22"/>
        </w:rPr>
      </w:pPr>
      <w:r>
        <w:t>Druhou skupinu faktorů tvoří demografické ukazatele</w:t>
      </w:r>
      <w:r w:rsidR="0037149C">
        <w:t xml:space="preserve">, </w:t>
      </w:r>
      <w:r>
        <w:t>konkrétněji</w:t>
      </w:r>
      <w:r w:rsidR="0037149C">
        <w:t xml:space="preserve"> </w:t>
      </w:r>
      <w:r>
        <w:t>ukazatel</w:t>
      </w:r>
      <w:r w:rsidR="0037149C">
        <w:t xml:space="preserve"> „naděje</w:t>
      </w:r>
      <w:r>
        <w:t> </w:t>
      </w:r>
      <w:r w:rsidR="0037149C">
        <w:t>na</w:t>
      </w:r>
      <w:r>
        <w:t> </w:t>
      </w:r>
      <w:r w:rsidR="0037149C">
        <w:t>dožití“ a</w:t>
      </w:r>
      <w:r w:rsidR="0037149C" w:rsidRPr="00663B67">
        <w:t xml:space="preserve"> „vzdělanostní struktu</w:t>
      </w:r>
      <w:r>
        <w:t>ra</w:t>
      </w:r>
      <w:r w:rsidR="0037149C" w:rsidRPr="00663B67">
        <w:t xml:space="preserve"> populace“. </w:t>
      </w:r>
      <w:r>
        <w:t>Prvním ukazatelem, který patří do této skupiny je</w:t>
      </w:r>
      <w:r w:rsidR="0037149C">
        <w:t xml:space="preserve"> „naděje na dožití“ neboli tzv. střední délkou života jedince, kdy nám tato délka života udává průměrný počet let, jež má v jistém věku jedinec ještě před sebou, za předpokladu, že by zůstal zachován poměr úmrtnosti (poměr aktuální za dané sledované období). Výpočet </w:t>
      </w:r>
      <w:r w:rsidR="0037149C" w:rsidRPr="00663B67">
        <w:t>tohoto indexu je</w:t>
      </w:r>
      <w:r w:rsidR="0037149C">
        <w:t xml:space="preserve"> založen na tabulkách úmrtnosti a můžeme jej stanovit pro každý věk. Většina případů použití tohoto ukazatele souvisí s nadějí dožití při narození, tj. naděje dožití novorozence. Stručně řečeno se ptáme na to, kolika let se právě narozená osoba dožije. Je důležité myslet také na to, že důvodu odlišné úmrtnosti mužů a žen, je nutné index sestavit pro obě pohlaví zvlášť. (</w:t>
      </w:r>
      <w:r w:rsidR="00FA584C">
        <w:t>ČSÚ</w:t>
      </w:r>
      <w:r w:rsidR="0037149C">
        <w:t xml:space="preserve">, </w:t>
      </w:r>
      <w:r w:rsidR="0037149C" w:rsidRPr="00C60977">
        <w:rPr>
          <w:szCs w:val="22"/>
        </w:rPr>
        <w:t>20</w:t>
      </w:r>
      <w:r w:rsidR="0037149C">
        <w:rPr>
          <w:szCs w:val="22"/>
        </w:rPr>
        <w:t>19).</w:t>
      </w:r>
    </w:p>
    <w:p w14:paraId="2BCCA364" w14:textId="032C4E9E" w:rsidR="002E5C9D" w:rsidRPr="006A53A1" w:rsidRDefault="0037149C" w:rsidP="006A53A1">
      <w:pPr>
        <w:spacing w:before="120" w:after="240" w:line="360" w:lineRule="auto"/>
        <w:ind w:firstLine="454"/>
        <w:jc w:val="both"/>
        <w:rPr>
          <w:szCs w:val="22"/>
        </w:rPr>
      </w:pPr>
      <w:r>
        <w:t xml:space="preserve">Vzdělanostní struktura populace je velice důležitou charakteristikou kvality života, neboť jen vzdělaná pracovní síla vede k zabezpečení ekonomiky, jež je založena na znalostech, což zároveň představuje jeden z primárních předpokladů pro rozvoj vědy, výzkumu a s tím související technologický rozvoj a rozvoj znalostně náročnějších odvětví. </w:t>
      </w:r>
      <w:r w:rsidR="00FA584C">
        <w:t>S</w:t>
      </w:r>
      <w:r>
        <w:t xml:space="preserve">amotná úroveň vzdělání je statisticky sledována prostřednictvím Mezinárodní standardní klasifikací vzdělání, jež rozlišuje devět úrovní vzdělanosti. (Národní vzdělávací fond, </w:t>
      </w:r>
      <w:r w:rsidRPr="00C60977">
        <w:rPr>
          <w:szCs w:val="22"/>
        </w:rPr>
        <w:t>20</w:t>
      </w:r>
      <w:r>
        <w:rPr>
          <w:szCs w:val="22"/>
        </w:rPr>
        <w:t>15).</w:t>
      </w:r>
    </w:p>
    <w:p w14:paraId="2097285D" w14:textId="268FD3BE" w:rsidR="0067040D" w:rsidRDefault="0037149C" w:rsidP="00FA584C">
      <w:pPr>
        <w:spacing w:before="120" w:after="240" w:line="360" w:lineRule="auto"/>
        <w:ind w:firstLine="454"/>
        <w:jc w:val="both"/>
      </w:pPr>
      <w:r>
        <w:t xml:space="preserve">Nicméně existuje celá řada dalších nejrůznějších ukazatelů, jako jsou například index ekonomické svobody, globální index konkurenceschopnosti, </w:t>
      </w:r>
      <w:proofErr w:type="spellStart"/>
      <w:r>
        <w:t>Mercerův</w:t>
      </w:r>
      <w:proofErr w:type="spellEnd"/>
      <w:r>
        <w:t xml:space="preserve"> index, index genderové nerovnosti, index šťastné planety, index kvality a udržitelnosti života, index spotřebitelské důvěry a mnoho dalších.</w:t>
      </w:r>
    </w:p>
    <w:p w14:paraId="3AEB2AD1" w14:textId="77777777" w:rsidR="003747B5" w:rsidRDefault="003747B5" w:rsidP="0067040D"/>
    <w:p w14:paraId="402F3F03" w14:textId="77777777" w:rsidR="003747B5" w:rsidRDefault="003747B5">
      <w:r>
        <w:br w:type="page"/>
      </w:r>
    </w:p>
    <w:p w14:paraId="6F912EBA" w14:textId="77777777" w:rsidR="003747B5" w:rsidRPr="00C60977" w:rsidRDefault="003747B5" w:rsidP="003747B5">
      <w:pPr>
        <w:pStyle w:val="Nadpis1"/>
      </w:pPr>
      <w:bookmarkStart w:id="28" w:name="_Toc46142345"/>
      <w:r w:rsidRPr="00C60977">
        <w:lastRenderedPageBreak/>
        <w:t>METODIKA</w:t>
      </w:r>
      <w:bookmarkEnd w:id="28"/>
    </w:p>
    <w:p w14:paraId="2FBA9134" w14:textId="77777777" w:rsidR="003747B5" w:rsidRDefault="003747B5" w:rsidP="003747B5">
      <w:pPr>
        <w:spacing w:before="120" w:after="240" w:line="360" w:lineRule="auto"/>
        <w:ind w:firstLine="454"/>
        <w:jc w:val="both"/>
        <w:rPr>
          <w:szCs w:val="22"/>
        </w:rPr>
      </w:pPr>
      <w:r w:rsidRPr="00C60977">
        <w:rPr>
          <w:szCs w:val="22"/>
        </w:rPr>
        <w:t xml:space="preserve">Na základě stanoveného </w:t>
      </w:r>
      <w:r w:rsidRPr="00AB6C8B">
        <w:rPr>
          <w:szCs w:val="22"/>
        </w:rPr>
        <w:t xml:space="preserve">cíle je podrobena oblast životní úrovně vybraných zemí </w:t>
      </w:r>
      <w:r>
        <w:rPr>
          <w:szCs w:val="22"/>
        </w:rPr>
        <w:t xml:space="preserve">komparaci a </w:t>
      </w:r>
      <w:r w:rsidRPr="00AB6C8B">
        <w:rPr>
          <w:szCs w:val="22"/>
        </w:rPr>
        <w:t xml:space="preserve">korelační analýze. </w:t>
      </w:r>
    </w:p>
    <w:p w14:paraId="236146A4" w14:textId="77777777" w:rsidR="003747B5" w:rsidRDefault="003747B5" w:rsidP="003747B5">
      <w:pPr>
        <w:spacing w:before="120" w:after="240" w:line="360" w:lineRule="auto"/>
        <w:ind w:firstLine="454"/>
        <w:jc w:val="both"/>
        <w:rPr>
          <w:szCs w:val="22"/>
        </w:rPr>
      </w:pPr>
      <w:r w:rsidRPr="00AB6C8B">
        <w:rPr>
          <w:szCs w:val="22"/>
        </w:rPr>
        <w:t>Práce je rozdělena na teoretickou a praktickou část</w:t>
      </w:r>
      <w:r>
        <w:rPr>
          <w:szCs w:val="22"/>
        </w:rPr>
        <w:t>, přičemž t</w:t>
      </w:r>
      <w:r w:rsidRPr="00AB6C8B">
        <w:rPr>
          <w:szCs w:val="22"/>
        </w:rPr>
        <w:t xml:space="preserve">eoretická část práce je zaměřena na vymezení základních indikátorů </w:t>
      </w:r>
      <w:r w:rsidRPr="00C60977">
        <w:rPr>
          <w:szCs w:val="22"/>
        </w:rPr>
        <w:t>a ukazatelů</w:t>
      </w:r>
      <w:r w:rsidRPr="004934C1">
        <w:rPr>
          <w:color w:val="FF0000"/>
          <w:szCs w:val="22"/>
        </w:rPr>
        <w:t>,</w:t>
      </w:r>
      <w:r w:rsidRPr="00C60977">
        <w:rPr>
          <w:szCs w:val="22"/>
        </w:rPr>
        <w:t xml:space="preserve"> podle kterých lze životní úroveň hodnotit a měřit. </w:t>
      </w:r>
      <w:r>
        <w:rPr>
          <w:szCs w:val="22"/>
        </w:rPr>
        <w:t>P</w:t>
      </w:r>
      <w:r w:rsidRPr="00C60977">
        <w:rPr>
          <w:szCs w:val="22"/>
        </w:rPr>
        <w:t>řestože existuje celá řada ukazatelů, jež slouží k měření životní úrovně,</w:t>
      </w:r>
      <w:r>
        <w:rPr>
          <w:szCs w:val="22"/>
        </w:rPr>
        <w:t xml:space="preserve"> </w:t>
      </w:r>
      <w:r w:rsidRPr="00C60977">
        <w:rPr>
          <w:szCs w:val="22"/>
        </w:rPr>
        <w:t xml:space="preserve">každý z nich představuje specifický pohled na oblast životní úrovně. </w:t>
      </w:r>
    </w:p>
    <w:p w14:paraId="65DFD7BE" w14:textId="32E290E7" w:rsidR="003747B5" w:rsidRDefault="003747B5" w:rsidP="003747B5">
      <w:pPr>
        <w:spacing w:before="120" w:after="240" w:line="360" w:lineRule="auto"/>
        <w:ind w:firstLine="709"/>
        <w:jc w:val="both"/>
        <w:rPr>
          <w:szCs w:val="22"/>
        </w:rPr>
      </w:pPr>
      <w:r>
        <w:rPr>
          <w:szCs w:val="22"/>
        </w:rPr>
        <w:t xml:space="preserve">V teoretické části </w:t>
      </w:r>
      <w:r w:rsidR="00A41FE6">
        <w:rPr>
          <w:szCs w:val="22"/>
        </w:rPr>
        <w:t>je použita</w:t>
      </w:r>
      <w:r>
        <w:rPr>
          <w:szCs w:val="22"/>
        </w:rPr>
        <w:t xml:space="preserve"> především metod</w:t>
      </w:r>
      <w:r w:rsidR="00A41FE6">
        <w:rPr>
          <w:szCs w:val="22"/>
        </w:rPr>
        <w:t>a</w:t>
      </w:r>
      <w:r>
        <w:rPr>
          <w:szCs w:val="22"/>
        </w:rPr>
        <w:t xml:space="preserve"> deskripce k vymezení pojmů a rešerši literatury. </w:t>
      </w:r>
      <w:r w:rsidRPr="00C60977">
        <w:rPr>
          <w:szCs w:val="22"/>
        </w:rPr>
        <w:t>Praktická část je zpracována na základě teoretických poznatků získaných studiem odborné literatury a je zaměřena na </w:t>
      </w:r>
      <w:r>
        <w:rPr>
          <w:szCs w:val="22"/>
        </w:rPr>
        <w:t>podrobnou analýzu</w:t>
      </w:r>
      <w:r w:rsidRPr="00AB6C8B">
        <w:rPr>
          <w:szCs w:val="22"/>
        </w:rPr>
        <w:t xml:space="preserve"> a srovnání vybraných ukazatelů </w:t>
      </w:r>
      <w:r>
        <w:rPr>
          <w:szCs w:val="22"/>
        </w:rPr>
        <w:t>ve </w:t>
      </w:r>
      <w:r w:rsidRPr="00AB6C8B">
        <w:rPr>
          <w:szCs w:val="22"/>
        </w:rPr>
        <w:t>vybraných zemí</w:t>
      </w:r>
      <w:r>
        <w:rPr>
          <w:szCs w:val="22"/>
        </w:rPr>
        <w:t>ch.</w:t>
      </w:r>
    </w:p>
    <w:p w14:paraId="57648FE1" w14:textId="77777777" w:rsidR="003747B5" w:rsidRPr="00C60977" w:rsidRDefault="003747B5" w:rsidP="003747B5">
      <w:pPr>
        <w:spacing w:before="120" w:after="240" w:line="360" w:lineRule="auto"/>
        <w:ind w:firstLine="709"/>
        <w:jc w:val="both"/>
        <w:rPr>
          <w:szCs w:val="22"/>
        </w:rPr>
      </w:pPr>
      <w:r w:rsidRPr="00C60977">
        <w:rPr>
          <w:szCs w:val="22"/>
        </w:rPr>
        <w:t xml:space="preserve">V první řadě byl sledován vývoj životní úrovně ve zvolených zemí prostřednictvím vybraných ukazatelů a poté byly tyto ukazatele použity </w:t>
      </w:r>
      <w:r>
        <w:rPr>
          <w:szCs w:val="22"/>
        </w:rPr>
        <w:t xml:space="preserve">při komparaci a </w:t>
      </w:r>
      <w:r w:rsidRPr="00C60977">
        <w:rPr>
          <w:szCs w:val="22"/>
        </w:rPr>
        <w:t>korelační analýze. Pro</w:t>
      </w:r>
      <w:r>
        <w:rPr>
          <w:szCs w:val="22"/>
        </w:rPr>
        <w:t> </w:t>
      </w:r>
      <w:r w:rsidRPr="00C60977">
        <w:rPr>
          <w:szCs w:val="22"/>
        </w:rPr>
        <w:t>korelační analýzu byl</w:t>
      </w:r>
      <w:r>
        <w:rPr>
          <w:szCs w:val="22"/>
        </w:rPr>
        <w:t>a vybrána oblast příjmů, pro komparaci byly použity ukazatelé HDP, HDI, HPI a nezaměstnanost, jakožto ukazatelé životní úrovně. Z</w:t>
      </w:r>
      <w:r w:rsidRPr="00C60977">
        <w:rPr>
          <w:szCs w:val="22"/>
        </w:rPr>
        <w:t xml:space="preserve">ískaná data pocházela z internetových zdrojů například z Českého statistického úřadu, </w:t>
      </w:r>
      <w:proofErr w:type="spellStart"/>
      <w:r w:rsidRPr="00C60977">
        <w:rPr>
          <w:szCs w:val="22"/>
        </w:rPr>
        <w:t>Eurostatu</w:t>
      </w:r>
      <w:proofErr w:type="spellEnd"/>
      <w:r w:rsidRPr="00C60977">
        <w:rPr>
          <w:szCs w:val="22"/>
        </w:rPr>
        <w:t xml:space="preserve"> </w:t>
      </w:r>
      <w:r>
        <w:rPr>
          <w:szCs w:val="22"/>
        </w:rPr>
        <w:t xml:space="preserve">apod. </w:t>
      </w:r>
    </w:p>
    <w:p w14:paraId="47F08E3E" w14:textId="77777777" w:rsidR="003747B5" w:rsidRPr="00A41FE6" w:rsidRDefault="003747B5" w:rsidP="003747B5">
      <w:pPr>
        <w:spacing w:before="120" w:after="240" w:line="360" w:lineRule="auto"/>
        <w:jc w:val="both"/>
        <w:rPr>
          <w:b/>
          <w:bCs/>
          <w:i/>
          <w:iCs/>
          <w:szCs w:val="22"/>
        </w:rPr>
      </w:pPr>
      <w:r w:rsidRPr="00A41FE6">
        <w:rPr>
          <w:b/>
          <w:bCs/>
          <w:i/>
          <w:iCs/>
          <w:szCs w:val="22"/>
        </w:rPr>
        <w:t>Aby bylo možno dosáhnout stanoveného cíle, bylo zapotřebí provést následující kroky:</w:t>
      </w:r>
    </w:p>
    <w:p w14:paraId="728DC2C0" w14:textId="77777777" w:rsidR="003747B5" w:rsidRPr="00A41FE6" w:rsidRDefault="003747B5" w:rsidP="003747B5">
      <w:pPr>
        <w:pStyle w:val="Odstavecseseznamem"/>
        <w:numPr>
          <w:ilvl w:val="0"/>
          <w:numId w:val="6"/>
        </w:numPr>
        <w:spacing w:before="120" w:after="240"/>
        <w:rPr>
          <w:i/>
          <w:iCs/>
          <w:sz w:val="24"/>
          <w:szCs w:val="22"/>
        </w:rPr>
      </w:pPr>
      <w:r w:rsidRPr="00A41FE6">
        <w:rPr>
          <w:i/>
          <w:iCs/>
          <w:sz w:val="24"/>
          <w:szCs w:val="22"/>
        </w:rPr>
        <w:t>Získání a shromáždění dostatečného množství teoretických relevantních poznatků, a to jak o životní úrovni, tak o jednotlivých ukazatelích, které mohou být použity při měření životní úrovně.</w:t>
      </w:r>
    </w:p>
    <w:p w14:paraId="437544F9" w14:textId="77777777" w:rsidR="003747B5" w:rsidRPr="00A41FE6" w:rsidRDefault="003747B5" w:rsidP="003747B5">
      <w:pPr>
        <w:pStyle w:val="Odstavecseseznamem"/>
        <w:numPr>
          <w:ilvl w:val="0"/>
          <w:numId w:val="6"/>
        </w:numPr>
        <w:spacing w:before="120" w:after="240"/>
        <w:rPr>
          <w:i/>
          <w:iCs/>
          <w:sz w:val="24"/>
          <w:szCs w:val="22"/>
        </w:rPr>
      </w:pPr>
      <w:r w:rsidRPr="00A41FE6">
        <w:rPr>
          <w:i/>
          <w:iCs/>
          <w:sz w:val="24"/>
          <w:szCs w:val="22"/>
        </w:rPr>
        <w:t>Získání a ucelení potřebných statistických dat a převedení do grafické podoby (grafy).</w:t>
      </w:r>
    </w:p>
    <w:p w14:paraId="04E3DCCD" w14:textId="77777777" w:rsidR="003747B5" w:rsidRPr="00A41FE6" w:rsidRDefault="003747B5" w:rsidP="003747B5">
      <w:pPr>
        <w:pStyle w:val="Odstavecseseznamem"/>
        <w:numPr>
          <w:ilvl w:val="0"/>
          <w:numId w:val="6"/>
        </w:numPr>
        <w:spacing w:before="120" w:after="240"/>
        <w:rPr>
          <w:i/>
          <w:iCs/>
          <w:sz w:val="24"/>
          <w:szCs w:val="22"/>
        </w:rPr>
      </w:pPr>
      <w:r w:rsidRPr="00A41FE6">
        <w:rPr>
          <w:i/>
          <w:iCs/>
          <w:sz w:val="24"/>
          <w:szCs w:val="22"/>
        </w:rPr>
        <w:t>Aplikování korelační analýzy a provedení komparace získaných statistických dat.</w:t>
      </w:r>
    </w:p>
    <w:p w14:paraId="349A5DDE" w14:textId="77777777" w:rsidR="003747B5" w:rsidRPr="00C60977" w:rsidRDefault="003747B5" w:rsidP="003747B5">
      <w:pPr>
        <w:pStyle w:val="Odstavecseseznamem"/>
        <w:numPr>
          <w:ilvl w:val="0"/>
          <w:numId w:val="6"/>
        </w:numPr>
        <w:spacing w:before="120" w:after="240"/>
        <w:rPr>
          <w:sz w:val="24"/>
          <w:szCs w:val="22"/>
        </w:rPr>
      </w:pPr>
      <w:r w:rsidRPr="00A41FE6">
        <w:rPr>
          <w:i/>
          <w:iCs/>
          <w:sz w:val="24"/>
          <w:szCs w:val="22"/>
        </w:rPr>
        <w:t>Adaptace statistických dat pro potřeby statistického šetření</w:t>
      </w:r>
      <w:r>
        <w:rPr>
          <w:sz w:val="24"/>
          <w:szCs w:val="22"/>
        </w:rPr>
        <w:t>.</w:t>
      </w:r>
    </w:p>
    <w:p w14:paraId="0575FA9C" w14:textId="6AD6740E" w:rsidR="00DF2934" w:rsidRPr="00FA4284" w:rsidRDefault="0067040D" w:rsidP="0067040D">
      <w:r>
        <w:br w:type="page"/>
      </w:r>
    </w:p>
    <w:p w14:paraId="372B0125" w14:textId="4B7C4FC5" w:rsidR="00C93518" w:rsidRDefault="004C4A04" w:rsidP="00C93518">
      <w:pPr>
        <w:pStyle w:val="Nadpis1"/>
      </w:pPr>
      <w:bookmarkStart w:id="29" w:name="_Toc46142346"/>
      <w:r>
        <w:lastRenderedPageBreak/>
        <w:t>ANALÝZA A SROVNÁNÍ VYBRANÝCH UKAZATELŮ</w:t>
      </w:r>
      <w:bookmarkEnd w:id="29"/>
    </w:p>
    <w:p w14:paraId="4167936B" w14:textId="7987B8E2" w:rsidR="00645F48" w:rsidRDefault="00645F48" w:rsidP="006A53A1">
      <w:pPr>
        <w:spacing w:before="120" w:after="240" w:line="360" w:lineRule="auto"/>
        <w:ind w:firstLine="454"/>
        <w:jc w:val="both"/>
      </w:pPr>
      <w:r w:rsidRPr="0010478D">
        <w:t>Společnost má neustálou potřebu sbírat nejrůznější informace o zemi, ve které žije a</w:t>
      </w:r>
      <w:r>
        <w:t> </w:t>
      </w:r>
      <w:r w:rsidRPr="0010478D">
        <w:t>neustále se snaží měřit ekonomickou výkonnost své země a usiluje o to, aby získané výsledky podávaly co nejreálnější a nejpřesnější obraz.</w:t>
      </w:r>
    </w:p>
    <w:p w14:paraId="32B22648" w14:textId="3DCA025A" w:rsidR="00500663" w:rsidRDefault="00864356" w:rsidP="00500663">
      <w:pPr>
        <w:spacing w:before="120" w:after="240" w:line="360" w:lineRule="auto"/>
        <w:ind w:firstLine="454"/>
        <w:jc w:val="both"/>
      </w:pPr>
      <w:r>
        <w:t xml:space="preserve">Životní úroveň může být posuzována a měřena mnoha různými způsoby. </w:t>
      </w:r>
      <w:r w:rsidR="0061607C">
        <w:t>V následujících podkapitolách bude provedena analýza</w:t>
      </w:r>
      <w:r w:rsidR="003665ED">
        <w:t xml:space="preserve"> a srovnání</w:t>
      </w:r>
      <w:r w:rsidR="0061607C">
        <w:t xml:space="preserve">, </w:t>
      </w:r>
      <w:r w:rsidR="00645F48">
        <w:t>zaměřující se </w:t>
      </w:r>
      <w:r w:rsidR="0061607C">
        <w:t>na</w:t>
      </w:r>
      <w:r w:rsidR="003665ED">
        <w:t> </w:t>
      </w:r>
      <w:r w:rsidR="0061607C">
        <w:t>vybrané ukazatele životní úrovně, konkrétněji na ekonomické ukazatele, jejichž charakteristik</w:t>
      </w:r>
      <w:r w:rsidR="005A3377">
        <w:t>y</w:t>
      </w:r>
      <w:r w:rsidR="0061607C">
        <w:t xml:space="preserve"> </w:t>
      </w:r>
      <w:r w:rsidR="005A3377">
        <w:t>byly v této</w:t>
      </w:r>
      <w:r w:rsidR="0061607C">
        <w:t xml:space="preserve"> práci podrobněji </w:t>
      </w:r>
      <w:r w:rsidR="005A3377">
        <w:t>popsány</w:t>
      </w:r>
      <w:r w:rsidR="0061607C">
        <w:t xml:space="preserve"> </w:t>
      </w:r>
      <w:r w:rsidR="003665ED" w:rsidRPr="00500663">
        <w:t>v</w:t>
      </w:r>
      <w:r w:rsidR="0061607C" w:rsidRPr="00500663">
        <w:t xml:space="preserve"> </w:t>
      </w:r>
      <w:r w:rsidR="00500663" w:rsidRPr="00500663">
        <w:t>kapitole</w:t>
      </w:r>
      <w:r w:rsidR="0061607C" w:rsidRPr="00500663">
        <w:t xml:space="preserve"> </w:t>
      </w:r>
      <w:r w:rsidR="0061607C" w:rsidRPr="005A3377">
        <w:rPr>
          <w:i/>
          <w:iCs/>
        </w:rPr>
        <w:t>4.1 Ekonomické ukazatele životní úrovně</w:t>
      </w:r>
      <w:r w:rsidR="0061607C">
        <w:t>.</w:t>
      </w:r>
      <w:r w:rsidR="003665ED">
        <w:t xml:space="preserve"> Na základě výsledků bude na závěr </w:t>
      </w:r>
      <w:r w:rsidR="00EC28FF">
        <w:t>provedeno vyhodnocení</w:t>
      </w:r>
      <w:r w:rsidR="003665ED">
        <w:t>, v které z vybraných zemí je nejvyšší životní úroveň.</w:t>
      </w:r>
    </w:p>
    <w:p w14:paraId="3032720A" w14:textId="03A3B76C" w:rsidR="00500663" w:rsidRDefault="00AC7760" w:rsidP="00500663">
      <w:pPr>
        <w:pStyle w:val="Nadpis2"/>
      </w:pPr>
      <w:bookmarkStart w:id="30" w:name="_Toc46142347"/>
      <w:r>
        <w:t>VYBRANÉ STÁTY STŘEDNÍ EVROPY</w:t>
      </w:r>
      <w:bookmarkEnd w:id="30"/>
      <w:r>
        <w:t xml:space="preserve"> </w:t>
      </w:r>
    </w:p>
    <w:p w14:paraId="1A4DA43B" w14:textId="3899579C" w:rsidR="00500663" w:rsidRDefault="00500663" w:rsidP="00500663">
      <w:pPr>
        <w:spacing w:before="120" w:after="240" w:line="360" w:lineRule="auto"/>
        <w:ind w:firstLine="454"/>
        <w:jc w:val="both"/>
        <w:rPr>
          <w:szCs w:val="22"/>
        </w:rPr>
      </w:pPr>
      <w:r>
        <w:rPr>
          <w:szCs w:val="22"/>
        </w:rPr>
        <w:t xml:space="preserve">Doposud </w:t>
      </w:r>
      <w:r w:rsidR="007774B3">
        <w:rPr>
          <w:szCs w:val="22"/>
        </w:rPr>
        <w:t xml:space="preserve">byla rozebrána převážně </w:t>
      </w:r>
      <w:r>
        <w:rPr>
          <w:szCs w:val="22"/>
        </w:rPr>
        <w:t>struktu</w:t>
      </w:r>
      <w:r w:rsidR="007774B3">
        <w:rPr>
          <w:szCs w:val="22"/>
        </w:rPr>
        <w:t>ra</w:t>
      </w:r>
      <w:r>
        <w:rPr>
          <w:szCs w:val="22"/>
        </w:rPr>
        <w:t xml:space="preserve"> jednotlivých ukazatelů životní úrovně, </w:t>
      </w:r>
      <w:r w:rsidR="007774B3">
        <w:rPr>
          <w:szCs w:val="22"/>
        </w:rPr>
        <w:t>v práci byly podrobně uvedeny jejich</w:t>
      </w:r>
      <w:r>
        <w:rPr>
          <w:szCs w:val="22"/>
        </w:rPr>
        <w:t xml:space="preserve"> charakteristiky, klady a zápory. V následujících podkapitolách bude provedeno podrobné zhodnocení jak České republiky, tak ostatních zemí, jež naši zemi obklopují a to vč. Maďarska, které sice mezi sousedící státy České republiky nepatří, avšak je členem Visegrádské čtyřky, což tedy znamená, že se tato práce bude zaobírat celkem šesti státy. </w:t>
      </w:r>
    </w:p>
    <w:p w14:paraId="020E9803" w14:textId="4995D67A" w:rsidR="00500663" w:rsidRDefault="00500663" w:rsidP="00500663">
      <w:pPr>
        <w:spacing w:before="120" w:after="240" w:line="360" w:lineRule="auto"/>
        <w:ind w:firstLine="709"/>
        <w:jc w:val="both"/>
        <w:rPr>
          <w:szCs w:val="22"/>
        </w:rPr>
      </w:pPr>
      <w:r>
        <w:rPr>
          <w:szCs w:val="22"/>
        </w:rPr>
        <w:t xml:space="preserve">Důvodem, proč byly do této práce zařazeny i státy Visegradské čtyřky je prostý, neboť tyto státy spojuje historická soudržnost, která se datuje až do roku 1335, kdy se vůdci těchto zemí sjeli do města ležícím v Maďarsku (Visegrád), s jedním cílem, a to sjednat vzájemnou spolupráci jak při obchodních, tak politických otázkách. O 665 let později se tento historický akt stal popudem k tomu založit novodobou alianci čtyř středoevropských zemí. </w:t>
      </w:r>
      <w:r>
        <w:rPr>
          <w:szCs w:val="22"/>
        </w:rPr>
        <w:br/>
        <w:t>(MVČR, 2016).</w:t>
      </w:r>
    </w:p>
    <w:p w14:paraId="5A72D2D2" w14:textId="1C50FBAD" w:rsidR="00500663" w:rsidRDefault="00FA4284" w:rsidP="00500663">
      <w:pPr>
        <w:spacing w:before="120" w:after="240" w:line="360" w:lineRule="auto"/>
        <w:ind w:firstLine="454"/>
        <w:jc w:val="both"/>
        <w:rPr>
          <w:szCs w:val="22"/>
        </w:rPr>
      </w:pPr>
      <w:r w:rsidRPr="000E3F45">
        <w:rPr>
          <w:b/>
          <w:bCs/>
          <w:noProof/>
          <w:szCs w:val="16"/>
        </w:rPr>
        <w:lastRenderedPageBreak/>
        <w:drawing>
          <wp:anchor distT="0" distB="0" distL="114300" distR="114300" simplePos="0" relativeHeight="251679744" behindDoc="0" locked="0" layoutInCell="1" allowOverlap="1" wp14:anchorId="57E5F7D0" wp14:editId="10D8F9FD">
            <wp:simplePos x="0" y="0"/>
            <wp:positionH relativeFrom="margin">
              <wp:align>center</wp:align>
            </wp:positionH>
            <wp:positionV relativeFrom="margin">
              <wp:posOffset>17780</wp:posOffset>
            </wp:positionV>
            <wp:extent cx="3867150" cy="3333115"/>
            <wp:effectExtent l="0" t="0" r="0" b="635"/>
            <wp:wrapSquare wrapText="bothSides"/>
            <wp:docPr id="13" name="Obrázek 13" descr="Obsah obrázku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pa vybraných států.jpg"/>
                    <pic:cNvPicPr/>
                  </pic:nvPicPr>
                  <pic:blipFill>
                    <a:blip r:embed="rId12">
                      <a:extLst>
                        <a:ext uri="{28A0092B-C50C-407E-A947-70E740481C1C}">
                          <a14:useLocalDpi xmlns:a14="http://schemas.microsoft.com/office/drawing/2010/main" val="0"/>
                        </a:ext>
                      </a:extLst>
                    </a:blip>
                    <a:stretch>
                      <a:fillRect/>
                    </a:stretch>
                  </pic:blipFill>
                  <pic:spPr>
                    <a:xfrm>
                      <a:off x="0" y="0"/>
                      <a:ext cx="3867150" cy="3333115"/>
                    </a:xfrm>
                    <a:prstGeom prst="rect">
                      <a:avLst/>
                    </a:prstGeom>
                  </pic:spPr>
                </pic:pic>
              </a:graphicData>
            </a:graphic>
            <wp14:sizeRelH relativeFrom="margin">
              <wp14:pctWidth>0</wp14:pctWidth>
            </wp14:sizeRelH>
            <wp14:sizeRelV relativeFrom="margin">
              <wp14:pctHeight>0</wp14:pctHeight>
            </wp14:sizeRelV>
          </wp:anchor>
        </w:drawing>
      </w:r>
    </w:p>
    <w:p w14:paraId="009631DC" w14:textId="188239FC" w:rsidR="00500663" w:rsidRPr="0061607C" w:rsidRDefault="00500663" w:rsidP="006A53A1">
      <w:pPr>
        <w:spacing w:before="120" w:after="240" w:line="360" w:lineRule="auto"/>
        <w:ind w:firstLine="454"/>
        <w:jc w:val="both"/>
      </w:pPr>
    </w:p>
    <w:p w14:paraId="0D69F1C8" w14:textId="7143510D" w:rsidR="003A0C96" w:rsidRDefault="003A0C96" w:rsidP="000E3F45">
      <w:pPr>
        <w:spacing w:line="360" w:lineRule="auto"/>
        <w:ind w:firstLine="454"/>
        <w:jc w:val="both"/>
        <w:rPr>
          <w:szCs w:val="22"/>
        </w:rPr>
      </w:pPr>
    </w:p>
    <w:p w14:paraId="5DF9163A" w14:textId="7C65C005" w:rsidR="003A0C96" w:rsidRDefault="003A0C96" w:rsidP="000E3F45">
      <w:pPr>
        <w:spacing w:line="360" w:lineRule="auto"/>
        <w:ind w:firstLine="454"/>
        <w:jc w:val="both"/>
        <w:rPr>
          <w:szCs w:val="22"/>
        </w:rPr>
      </w:pPr>
    </w:p>
    <w:p w14:paraId="403D370D" w14:textId="639FA49F" w:rsidR="003A0C96" w:rsidRDefault="003A0C96" w:rsidP="000E3F45">
      <w:pPr>
        <w:spacing w:line="360" w:lineRule="auto"/>
        <w:ind w:firstLine="454"/>
        <w:jc w:val="both"/>
        <w:rPr>
          <w:szCs w:val="22"/>
        </w:rPr>
      </w:pPr>
    </w:p>
    <w:p w14:paraId="4EB4971E" w14:textId="15292B82" w:rsidR="003A0C96" w:rsidRDefault="003A0C96" w:rsidP="000E3F45">
      <w:pPr>
        <w:spacing w:line="360" w:lineRule="auto"/>
        <w:ind w:firstLine="454"/>
        <w:jc w:val="both"/>
        <w:rPr>
          <w:szCs w:val="22"/>
        </w:rPr>
      </w:pPr>
    </w:p>
    <w:p w14:paraId="4EB149F7" w14:textId="5ADF7367" w:rsidR="003A0C96" w:rsidRDefault="003A0C96" w:rsidP="000E3F45">
      <w:pPr>
        <w:spacing w:line="360" w:lineRule="auto"/>
        <w:ind w:firstLine="454"/>
        <w:jc w:val="both"/>
        <w:rPr>
          <w:szCs w:val="22"/>
        </w:rPr>
      </w:pPr>
    </w:p>
    <w:p w14:paraId="07B7C613" w14:textId="304A934C" w:rsidR="003A0C96" w:rsidRDefault="003A0C96" w:rsidP="000E3F45">
      <w:pPr>
        <w:spacing w:line="360" w:lineRule="auto"/>
        <w:ind w:firstLine="454"/>
        <w:jc w:val="both"/>
        <w:rPr>
          <w:szCs w:val="22"/>
        </w:rPr>
      </w:pPr>
    </w:p>
    <w:p w14:paraId="7450A50A" w14:textId="1B923172" w:rsidR="003A0C96" w:rsidRDefault="003A0C96" w:rsidP="00BA27DF">
      <w:pPr>
        <w:spacing w:line="360" w:lineRule="auto"/>
        <w:jc w:val="both"/>
        <w:rPr>
          <w:szCs w:val="22"/>
        </w:rPr>
      </w:pPr>
    </w:p>
    <w:p w14:paraId="0F3F69FA" w14:textId="10CEEC65" w:rsidR="003A0C96" w:rsidRDefault="003A0C96" w:rsidP="00BA27DF">
      <w:pPr>
        <w:spacing w:line="360" w:lineRule="auto"/>
        <w:jc w:val="both"/>
        <w:rPr>
          <w:szCs w:val="22"/>
        </w:rPr>
      </w:pPr>
    </w:p>
    <w:p w14:paraId="0FB37E96" w14:textId="0250E2B5" w:rsidR="003A0C96" w:rsidRDefault="003A0C96" w:rsidP="00BA27DF">
      <w:pPr>
        <w:spacing w:line="360" w:lineRule="auto"/>
        <w:jc w:val="both"/>
        <w:rPr>
          <w:szCs w:val="22"/>
        </w:rPr>
      </w:pPr>
    </w:p>
    <w:p w14:paraId="77AD3D28" w14:textId="38A3C97F" w:rsidR="00671B4D" w:rsidRDefault="00671B4D" w:rsidP="00780B66">
      <w:pPr>
        <w:spacing w:line="360" w:lineRule="auto"/>
        <w:jc w:val="both"/>
        <w:rPr>
          <w:szCs w:val="22"/>
        </w:rPr>
      </w:pPr>
    </w:p>
    <w:p w14:paraId="7FE358D9" w14:textId="69D3EB0B" w:rsidR="000263E8" w:rsidRDefault="00A554EA" w:rsidP="006A53A1">
      <w:pPr>
        <w:spacing w:before="120" w:after="240" w:line="360" w:lineRule="auto"/>
        <w:ind w:firstLine="709"/>
        <w:jc w:val="both"/>
        <w:rPr>
          <w:szCs w:val="22"/>
        </w:rPr>
      </w:pPr>
      <w:r>
        <w:rPr>
          <w:noProof/>
        </w:rPr>
        <mc:AlternateContent>
          <mc:Choice Requires="wps">
            <w:drawing>
              <wp:anchor distT="0" distB="0" distL="114300" distR="114300" simplePos="0" relativeHeight="251710464" behindDoc="0" locked="0" layoutInCell="1" allowOverlap="1" wp14:anchorId="54BFFB49" wp14:editId="0982BBF4">
                <wp:simplePos x="0" y="0"/>
                <wp:positionH relativeFrom="column">
                  <wp:posOffset>946150</wp:posOffset>
                </wp:positionH>
                <wp:positionV relativeFrom="paragraph">
                  <wp:posOffset>94480</wp:posOffset>
                </wp:positionV>
                <wp:extent cx="3867150" cy="635"/>
                <wp:effectExtent l="0" t="0" r="6350" b="12065"/>
                <wp:wrapSquare wrapText="bothSides"/>
                <wp:docPr id="5" name="Textové pole 5"/>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wps:spPr>
                      <wps:txbx>
                        <w:txbxContent>
                          <w:p w14:paraId="6AAB1AB2" w14:textId="28D0BF62" w:rsidR="008A7955" w:rsidRPr="00A554EA" w:rsidRDefault="008A7955" w:rsidP="00A554EA">
                            <w:pPr>
                              <w:pStyle w:val="Titulek"/>
                              <w:rPr>
                                <w:noProof/>
                                <w:sz w:val="20"/>
                                <w:szCs w:val="20"/>
                              </w:rPr>
                            </w:pPr>
                            <w:bookmarkStart w:id="31" w:name="_Toc46142528"/>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sidRPr="00A554EA">
                              <w:rPr>
                                <w:noProof/>
                                <w:sz w:val="20"/>
                                <w:szCs w:val="20"/>
                              </w:rPr>
                              <w:t>3</w:t>
                            </w:r>
                            <w:r w:rsidRPr="00A554EA">
                              <w:rPr>
                                <w:sz w:val="20"/>
                                <w:szCs w:val="20"/>
                              </w:rPr>
                              <w:fldChar w:fldCharType="end"/>
                            </w:r>
                            <w:r w:rsidRPr="00A554EA">
                              <w:rPr>
                                <w:sz w:val="20"/>
                                <w:szCs w:val="20"/>
                              </w:rPr>
                              <w:t xml:space="preserve"> - Mapa sousedů ČR a Visegrádské čtyřky </w:t>
                            </w:r>
                            <w:r w:rsidRPr="00A554EA">
                              <w:rPr>
                                <w:sz w:val="20"/>
                                <w:szCs w:val="20"/>
                              </w:rPr>
                              <w:br/>
                              <w:t>(vl. zpracování; Mapa Evropy, 2017)</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BFFB49" id="Textové pole 5" o:spid="_x0000_s1028" type="#_x0000_t202" style="position:absolute;left:0;text-align:left;margin-left:74.5pt;margin-top:7.45pt;width:304.5pt;height:.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" stroked="f">
                <v:textbox style="mso-fit-shape-to-text:t" inset="0,0,0,0">
                  <w:txbxContent>
                    <w:p w14:paraId="6AAB1AB2" w14:textId="28D0BF62" w:rsidR="008A7955" w:rsidRPr="00A554EA" w:rsidRDefault="008A7955" w:rsidP="00A554EA">
                      <w:pPr>
                        <w:pStyle w:val="Titulek"/>
                        <w:rPr>
                          <w:noProof/>
                          <w:sz w:val="20"/>
                          <w:szCs w:val="20"/>
                        </w:rPr>
                      </w:pPr>
                      <w:bookmarkStart w:id="32" w:name="_Toc46142528"/>
                      <w:r w:rsidRPr="00A554EA">
                        <w:rPr>
                          <w:sz w:val="20"/>
                          <w:szCs w:val="20"/>
                        </w:rPr>
                        <w:t xml:space="preserve">Obrázek </w:t>
                      </w:r>
                      <w:r w:rsidRPr="00A554EA">
                        <w:rPr>
                          <w:sz w:val="20"/>
                          <w:szCs w:val="20"/>
                        </w:rPr>
                        <w:fldChar w:fldCharType="begin"/>
                      </w:r>
                      <w:r w:rsidRPr="00A554EA">
                        <w:rPr>
                          <w:sz w:val="20"/>
                          <w:szCs w:val="20"/>
                        </w:rPr>
                        <w:instrText xml:space="preserve"> SEQ Obrázek \* ARABIC </w:instrText>
                      </w:r>
                      <w:r w:rsidRPr="00A554EA">
                        <w:rPr>
                          <w:sz w:val="20"/>
                          <w:szCs w:val="20"/>
                        </w:rPr>
                        <w:fldChar w:fldCharType="separate"/>
                      </w:r>
                      <w:r w:rsidRPr="00A554EA">
                        <w:rPr>
                          <w:noProof/>
                          <w:sz w:val="20"/>
                          <w:szCs w:val="20"/>
                        </w:rPr>
                        <w:t>3</w:t>
                      </w:r>
                      <w:r w:rsidRPr="00A554EA">
                        <w:rPr>
                          <w:sz w:val="20"/>
                          <w:szCs w:val="20"/>
                        </w:rPr>
                        <w:fldChar w:fldCharType="end"/>
                      </w:r>
                      <w:r w:rsidRPr="00A554EA">
                        <w:rPr>
                          <w:sz w:val="20"/>
                          <w:szCs w:val="20"/>
                        </w:rPr>
                        <w:t xml:space="preserve"> - Mapa sousedů ČR a Visegrádské čtyřky </w:t>
                      </w:r>
                      <w:r w:rsidRPr="00A554EA">
                        <w:rPr>
                          <w:sz w:val="20"/>
                          <w:szCs w:val="20"/>
                        </w:rPr>
                        <w:br/>
                        <w:t>(vl. zpracování; Mapa Evropy, 2017)</w:t>
                      </w:r>
                      <w:bookmarkEnd w:id="32"/>
                    </w:p>
                  </w:txbxContent>
                </v:textbox>
                <w10:wrap type="square"/>
              </v:shape>
            </w:pict>
          </mc:Fallback>
        </mc:AlternateContent>
      </w:r>
    </w:p>
    <w:p w14:paraId="31B71B3F" w14:textId="77777777" w:rsidR="00A554EA" w:rsidRDefault="00A554EA" w:rsidP="006A53A1">
      <w:pPr>
        <w:spacing w:before="120" w:after="240" w:line="360" w:lineRule="auto"/>
        <w:ind w:firstLine="709"/>
        <w:jc w:val="both"/>
        <w:rPr>
          <w:szCs w:val="22"/>
        </w:rPr>
      </w:pPr>
    </w:p>
    <w:p w14:paraId="25B0F097" w14:textId="27338E35" w:rsidR="003A0C96" w:rsidRDefault="00BA27DF" w:rsidP="006A53A1">
      <w:pPr>
        <w:spacing w:before="120" w:after="240" w:line="360" w:lineRule="auto"/>
        <w:ind w:firstLine="709"/>
        <w:jc w:val="both"/>
        <w:rPr>
          <w:szCs w:val="22"/>
        </w:rPr>
      </w:pPr>
      <w:r>
        <w:rPr>
          <w:szCs w:val="22"/>
        </w:rPr>
        <w:t xml:space="preserve">Tato práce je </w:t>
      </w:r>
      <w:r w:rsidR="003A0C96">
        <w:rPr>
          <w:szCs w:val="22"/>
        </w:rPr>
        <w:t>zaměřena</w:t>
      </w:r>
      <w:r>
        <w:rPr>
          <w:szCs w:val="22"/>
        </w:rPr>
        <w:t xml:space="preserve"> </w:t>
      </w:r>
      <w:r w:rsidR="00E12F5E">
        <w:rPr>
          <w:szCs w:val="22"/>
        </w:rPr>
        <w:t>jak</w:t>
      </w:r>
      <w:r>
        <w:rPr>
          <w:szCs w:val="22"/>
        </w:rPr>
        <w:t xml:space="preserve"> na Visegrádskou čtyřku, </w:t>
      </w:r>
      <w:r w:rsidR="00E12F5E">
        <w:rPr>
          <w:szCs w:val="22"/>
        </w:rPr>
        <w:t>tak na</w:t>
      </w:r>
      <w:r w:rsidR="009D0488">
        <w:rPr>
          <w:szCs w:val="22"/>
        </w:rPr>
        <w:t xml:space="preserve"> všechny </w:t>
      </w:r>
      <w:r>
        <w:rPr>
          <w:szCs w:val="22"/>
        </w:rPr>
        <w:t xml:space="preserve">sousedící země </w:t>
      </w:r>
      <w:r w:rsidRPr="003A0C96">
        <w:rPr>
          <w:szCs w:val="22"/>
        </w:rPr>
        <w:t>České republiky</w:t>
      </w:r>
      <w:r w:rsidR="00E12F5E">
        <w:rPr>
          <w:szCs w:val="22"/>
        </w:rPr>
        <w:t xml:space="preserve">. Z toho vyplývá i další </w:t>
      </w:r>
      <w:r w:rsidR="009D0488" w:rsidRPr="003A0C96">
        <w:rPr>
          <w:szCs w:val="22"/>
        </w:rPr>
        <w:t>d</w:t>
      </w:r>
      <w:r w:rsidRPr="003A0C96">
        <w:rPr>
          <w:szCs w:val="22"/>
        </w:rPr>
        <w:t>ůvod</w:t>
      </w:r>
      <w:r w:rsidR="009D0488" w:rsidRPr="003A0C96">
        <w:rPr>
          <w:szCs w:val="22"/>
        </w:rPr>
        <w:t xml:space="preserve"> (kromě společné historie těchto států)</w:t>
      </w:r>
      <w:r w:rsidRPr="003A0C96">
        <w:rPr>
          <w:szCs w:val="22"/>
        </w:rPr>
        <w:t xml:space="preserve">, </w:t>
      </w:r>
      <w:r w:rsidR="001D62CA" w:rsidRPr="003A0C96">
        <w:rPr>
          <w:szCs w:val="22"/>
        </w:rPr>
        <w:t xml:space="preserve">a </w:t>
      </w:r>
      <w:r w:rsidR="00E12F5E">
        <w:rPr>
          <w:szCs w:val="22"/>
        </w:rPr>
        <w:t>to</w:t>
      </w:r>
      <w:r w:rsidR="001D62CA" w:rsidRPr="003A0C96">
        <w:rPr>
          <w:szCs w:val="22"/>
        </w:rPr>
        <w:t xml:space="preserve"> </w:t>
      </w:r>
      <w:r w:rsidR="009D0488" w:rsidRPr="003A0C96">
        <w:rPr>
          <w:szCs w:val="22"/>
        </w:rPr>
        <w:t>stejná geografická poloha</w:t>
      </w:r>
      <w:r w:rsidR="00645F48">
        <w:rPr>
          <w:szCs w:val="22"/>
        </w:rPr>
        <w:t xml:space="preserve"> (</w:t>
      </w:r>
      <w:r w:rsidR="009D0488" w:rsidRPr="003A0C96">
        <w:rPr>
          <w:szCs w:val="22"/>
        </w:rPr>
        <w:t>tzn. že hovoříme o státech nacházejících se ve středí Evropě</w:t>
      </w:r>
      <w:r w:rsidR="00645F48">
        <w:rPr>
          <w:szCs w:val="22"/>
        </w:rPr>
        <w:t>), a</w:t>
      </w:r>
      <w:r w:rsidR="006A53A1">
        <w:rPr>
          <w:szCs w:val="22"/>
        </w:rPr>
        <w:t> </w:t>
      </w:r>
      <w:r w:rsidR="00645F48">
        <w:rPr>
          <w:szCs w:val="22"/>
        </w:rPr>
        <w:t>mimo jiné i</w:t>
      </w:r>
      <w:r w:rsidR="009D0488" w:rsidRPr="003A0C96">
        <w:rPr>
          <w:szCs w:val="22"/>
        </w:rPr>
        <w:t xml:space="preserve"> blízká, či podobná kultura zemí.</w:t>
      </w:r>
    </w:p>
    <w:p w14:paraId="62D86A06" w14:textId="5EF91071" w:rsidR="00645F48" w:rsidRDefault="00645F48" w:rsidP="006A53A1">
      <w:pPr>
        <w:spacing w:before="120" w:after="240" w:line="360" w:lineRule="auto"/>
        <w:ind w:firstLine="709"/>
        <w:jc w:val="both"/>
        <w:rPr>
          <w:szCs w:val="22"/>
        </w:rPr>
      </w:pPr>
      <w:r w:rsidRPr="0010478D">
        <w:t>Samotné srovnání životní úrovně jednotlivých vybraných zemí, může být jedincům nápomocné při rozhodování o tom, kde zapustit své kořeny, neboť kdo netouží žít v zemi s vyšší životní úrovní a vyšší kvalitou života. Neustálé sledování trendů ve vývoji má svou důležitou funkci, jednak slouží k hodnocení minulých rozhodnutí, ale také představují nápovědu pro</w:t>
      </w:r>
      <w:r>
        <w:t> </w:t>
      </w:r>
      <w:r w:rsidRPr="0010478D">
        <w:t>rozhodování o budoucnosti, či v neposlední řadě tato sledování dokáží pomoci odhalit ty</w:t>
      </w:r>
      <w:r>
        <w:t> </w:t>
      </w:r>
      <w:r w:rsidRPr="0010478D">
        <w:t>oblasti lidského života, ve kterých jsou určité rezervy a které napomáhají identifikovat ta</w:t>
      </w:r>
      <w:r>
        <w:t> </w:t>
      </w:r>
      <w:r w:rsidRPr="0010478D">
        <w:t>slabá místa, na které je nutno se více zaměřit a pokusit se o jejich zlepšení.</w:t>
      </w:r>
    </w:p>
    <w:p w14:paraId="71B50083" w14:textId="6FFE092C" w:rsidR="00645F48" w:rsidRDefault="009D0488" w:rsidP="003213A2">
      <w:pPr>
        <w:spacing w:before="120" w:after="240" w:line="360" w:lineRule="auto"/>
        <w:ind w:firstLine="709"/>
        <w:jc w:val="both"/>
        <w:rPr>
          <w:szCs w:val="22"/>
        </w:rPr>
      </w:pPr>
      <w:r w:rsidRPr="003A0C96">
        <w:rPr>
          <w:szCs w:val="16"/>
        </w:rPr>
        <w:t>V</w:t>
      </w:r>
      <w:r w:rsidRPr="003A0C96">
        <w:rPr>
          <w:szCs w:val="18"/>
        </w:rPr>
        <w:t xml:space="preserve"> následujících podkapitolách se budeme zaobírat, analyzovat a srovnávat již vybrané ekonomické ukazatele životní úrovně. Tato srovnání budou vyobrazena prostřednictvím grafické podoby, a to za účelem zvýraznění rozdílů mezi těmito </w:t>
      </w:r>
      <w:r w:rsidR="00645F48">
        <w:rPr>
          <w:szCs w:val="18"/>
        </w:rPr>
        <w:t>vybranými</w:t>
      </w:r>
      <w:r w:rsidRPr="003A0C96">
        <w:rPr>
          <w:szCs w:val="18"/>
        </w:rPr>
        <w:t xml:space="preserve"> zeměmi.</w:t>
      </w:r>
      <w:r w:rsidRPr="000E3F45">
        <w:rPr>
          <w:b/>
          <w:bCs/>
          <w:szCs w:val="18"/>
        </w:rPr>
        <w:t xml:space="preserve"> </w:t>
      </w:r>
    </w:p>
    <w:p w14:paraId="2694AAB1" w14:textId="671FB2C6" w:rsidR="000E3F45" w:rsidRDefault="000E3F45" w:rsidP="00937211">
      <w:pPr>
        <w:rPr>
          <w:szCs w:val="22"/>
        </w:rPr>
      </w:pPr>
    </w:p>
    <w:p w14:paraId="056A6752" w14:textId="7D44E28F" w:rsidR="008D1974" w:rsidRDefault="008D1974" w:rsidP="008D1974">
      <w:pPr>
        <w:pStyle w:val="Nadpis3"/>
      </w:pPr>
      <w:bookmarkStart w:id="33" w:name="_Toc46142348"/>
      <w:r>
        <w:lastRenderedPageBreak/>
        <w:t>Příjmy ve vybraných zemích Evropské Unie</w:t>
      </w:r>
      <w:bookmarkEnd w:id="33"/>
    </w:p>
    <w:p w14:paraId="0807217C" w14:textId="3A7EDEF3" w:rsidR="00FE7C7D" w:rsidRDefault="0051007A" w:rsidP="00FE7C7D">
      <w:pPr>
        <w:spacing w:before="120" w:after="240" w:line="360" w:lineRule="auto"/>
        <w:ind w:firstLine="454"/>
        <w:jc w:val="both"/>
      </w:pPr>
      <w:r>
        <w:t>Tato kapitola je zaměřena na příjmy, resp. na</w:t>
      </w:r>
      <w:r w:rsidR="00FE7C7D">
        <w:t xml:space="preserve"> průměrnou</w:t>
      </w:r>
      <w:r w:rsidR="007900C6">
        <w:t xml:space="preserve"> a</w:t>
      </w:r>
      <w:r w:rsidR="00FE7C7D">
        <w:t xml:space="preserve"> minimální mzd</w:t>
      </w:r>
      <w:r w:rsidR="007900C6">
        <w:t>u</w:t>
      </w:r>
      <w:r w:rsidR="00FE7C7D">
        <w:t xml:space="preserve"> a </w:t>
      </w:r>
      <w:r w:rsidR="007900C6">
        <w:t xml:space="preserve">na </w:t>
      </w:r>
      <w:r w:rsidR="00FE7C7D">
        <w:t>životní minim</w:t>
      </w:r>
      <w:r>
        <w:t>um</w:t>
      </w:r>
      <w:r w:rsidR="007900C6">
        <w:t xml:space="preserve"> vybraných zemí.</w:t>
      </w:r>
    </w:p>
    <w:p w14:paraId="7E171CAE" w14:textId="526BA449" w:rsidR="00FE7C7D" w:rsidRDefault="00FE7C7D" w:rsidP="00FE7C7D">
      <w:pPr>
        <w:spacing w:before="120" w:after="240" w:line="360" w:lineRule="auto"/>
        <w:ind w:firstLine="454"/>
        <w:jc w:val="both"/>
      </w:pPr>
      <w:r>
        <w:t>Rostoucí trend vývoje mezd jak v České republice, tak v ostatních vybraných zemí</w:t>
      </w:r>
      <w:r w:rsidR="007900C6">
        <w:t>ch</w:t>
      </w:r>
      <w:r>
        <w:t xml:space="preserve"> je</w:t>
      </w:r>
      <w:r w:rsidR="005A3377">
        <w:t> </w:t>
      </w:r>
      <w:r>
        <w:t>velmi patrný, a to ve všech oblastech</w:t>
      </w:r>
      <w:r w:rsidR="0051007A">
        <w:t xml:space="preserve">, tj. </w:t>
      </w:r>
      <w:r>
        <w:t>od pohlaví, přes věk</w:t>
      </w:r>
      <w:r w:rsidR="0051007A">
        <w:t xml:space="preserve"> až po </w:t>
      </w:r>
      <w:r>
        <w:t>vzdělání. (Marek, 2010).</w:t>
      </w:r>
    </w:p>
    <w:p w14:paraId="7766B76E" w14:textId="371330B5" w:rsidR="00FE7C7D" w:rsidRDefault="00FE7C7D" w:rsidP="00FE7C7D">
      <w:pPr>
        <w:spacing w:before="120" w:after="240" w:line="360" w:lineRule="auto"/>
        <w:ind w:firstLine="454"/>
        <w:jc w:val="both"/>
      </w:pPr>
      <w:r>
        <w:t>I přestože jsou samotné mzdy primárním zdrojem příjmů pro téměř většinu populace, nejsou až tak často průměrné mzdy předmětem analýz.</w:t>
      </w:r>
      <w:r w:rsidR="00477F4D">
        <w:t xml:space="preserve"> Někteří autoři se zabývají a soustřeďují na vznikající propast mezi zvyšováním cen potravin a danou úrovní mezd. Jejich výsledky poukazují na rostoucí ceny potravin při stagnaci mezd, přičemž tento růst cen a stagnace mezd jsou hlavními faktory, jež řídí nedostatek potravin</w:t>
      </w:r>
      <w:r w:rsidR="00586D6E">
        <w:t>. (</w:t>
      </w:r>
      <w:proofErr w:type="spellStart"/>
      <w:r w:rsidR="00586D6E">
        <w:t>Reeves</w:t>
      </w:r>
      <w:proofErr w:type="spellEnd"/>
      <w:r w:rsidR="00586D6E">
        <w:t xml:space="preserve">, </w:t>
      </w:r>
      <w:proofErr w:type="spellStart"/>
      <w:r w:rsidR="00586D6E">
        <w:t>Loopstra</w:t>
      </w:r>
      <w:proofErr w:type="spellEnd"/>
      <w:r w:rsidR="00586D6E">
        <w:t xml:space="preserve"> a </w:t>
      </w:r>
      <w:proofErr w:type="spellStart"/>
      <w:r w:rsidR="00586D6E">
        <w:t>Stuckler</w:t>
      </w:r>
      <w:proofErr w:type="spellEnd"/>
      <w:r w:rsidR="00586D6E">
        <w:t xml:space="preserve">, 2017). </w:t>
      </w:r>
    </w:p>
    <w:p w14:paraId="468D8830" w14:textId="6A3685D4" w:rsidR="00101E64" w:rsidRDefault="003213A2" w:rsidP="002037C5">
      <w:pPr>
        <w:spacing w:before="120" w:after="240" w:line="360" w:lineRule="auto"/>
        <w:ind w:firstLine="454"/>
        <w:jc w:val="both"/>
      </w:pPr>
      <w:r>
        <w:t xml:space="preserve">V této kapitole budou použity </w:t>
      </w:r>
      <w:r w:rsidR="00E12F5E">
        <w:t>matematick</w:t>
      </w:r>
      <w:r w:rsidR="00661616">
        <w:t xml:space="preserve">o-statistické </w:t>
      </w:r>
      <w:r>
        <w:t>metody časových řad</w:t>
      </w:r>
      <w:r w:rsidR="007900C6">
        <w:t xml:space="preserve">, dále </w:t>
      </w:r>
      <w:r>
        <w:t>korelační analýza pro popis vztahů mezi průměrnými mzdami v jednotlivých vybraných zemích</w:t>
      </w:r>
      <w:r w:rsidR="007900C6">
        <w:t xml:space="preserve"> a v neposlední řadě bude provedena komparace pro vybrané země EU.</w:t>
      </w:r>
      <w:r>
        <w:t xml:space="preserve"> Pro analýzu </w:t>
      </w:r>
      <w:r w:rsidR="00661616">
        <w:t>jsou</w:t>
      </w:r>
      <w:r>
        <w:t xml:space="preserve"> použita data z několika online zdrojů např. ČSÚ, Statistika Polsko, CEIC atd.</w:t>
      </w:r>
    </w:p>
    <w:p w14:paraId="34F3DDFA" w14:textId="7238FE34" w:rsidR="009B5545" w:rsidRPr="009B5545" w:rsidRDefault="009B5545" w:rsidP="009B5545">
      <w:pPr>
        <w:pStyle w:val="Titulek"/>
        <w:keepNext/>
        <w:rPr>
          <w:sz w:val="20"/>
          <w:szCs w:val="14"/>
        </w:rPr>
      </w:pPr>
      <w:bookmarkStart w:id="34" w:name="_Toc46142559"/>
      <w:r w:rsidRPr="009B5545">
        <w:rPr>
          <w:sz w:val="20"/>
          <w:szCs w:val="14"/>
        </w:rPr>
        <w:t xml:space="preserve">Tabulka </w:t>
      </w:r>
      <w:r w:rsidRPr="009B5545">
        <w:rPr>
          <w:sz w:val="20"/>
          <w:szCs w:val="14"/>
        </w:rPr>
        <w:fldChar w:fldCharType="begin"/>
      </w:r>
      <w:r w:rsidRPr="009B5545">
        <w:rPr>
          <w:sz w:val="20"/>
          <w:szCs w:val="14"/>
        </w:rPr>
        <w:instrText xml:space="preserve"> SEQ Tabulka \* ARABIC </w:instrText>
      </w:r>
      <w:r w:rsidRPr="009B5545">
        <w:rPr>
          <w:sz w:val="20"/>
          <w:szCs w:val="14"/>
        </w:rPr>
        <w:fldChar w:fldCharType="separate"/>
      </w:r>
      <w:r w:rsidR="00E21036">
        <w:rPr>
          <w:noProof/>
          <w:sz w:val="20"/>
          <w:szCs w:val="14"/>
        </w:rPr>
        <w:t>1</w:t>
      </w:r>
      <w:r w:rsidRPr="009B5545">
        <w:rPr>
          <w:sz w:val="20"/>
          <w:szCs w:val="14"/>
        </w:rPr>
        <w:fldChar w:fldCharType="end"/>
      </w:r>
      <w:r w:rsidRPr="009B5545">
        <w:rPr>
          <w:sz w:val="20"/>
          <w:szCs w:val="14"/>
        </w:rPr>
        <w:t xml:space="preserve"> - </w:t>
      </w:r>
      <w:r>
        <w:rPr>
          <w:sz w:val="20"/>
          <w:szCs w:val="14"/>
        </w:rPr>
        <w:t>M</w:t>
      </w:r>
      <w:r w:rsidRPr="009B5545">
        <w:rPr>
          <w:sz w:val="20"/>
          <w:szCs w:val="14"/>
        </w:rPr>
        <w:t>ěsíční průměrné mzdy pro vybrané země za období 201</w:t>
      </w:r>
      <w:r w:rsidR="00D559F1">
        <w:rPr>
          <w:sz w:val="20"/>
          <w:szCs w:val="14"/>
        </w:rPr>
        <w:t>2-2019</w:t>
      </w:r>
      <w:bookmarkEnd w:id="34"/>
      <w:r w:rsidRPr="009B5545">
        <w:rPr>
          <w:sz w:val="20"/>
          <w:szCs w:val="14"/>
        </w:rPr>
        <w:t xml:space="preserve"> </w:t>
      </w:r>
    </w:p>
    <w:tbl>
      <w:tblPr>
        <w:tblStyle w:val="Svtlmkatabulky"/>
        <w:tblW w:w="9067" w:type="dxa"/>
        <w:jc w:val="center"/>
        <w:shd w:val="clear" w:color="auto" w:fill="D9E2F3" w:themeFill="accent1" w:themeFillTint="33"/>
        <w:tblLook w:val="04A0" w:firstRow="1" w:lastRow="0" w:firstColumn="1" w:lastColumn="0" w:noHBand="0" w:noVBand="1"/>
      </w:tblPr>
      <w:tblGrid>
        <w:gridCol w:w="1130"/>
        <w:gridCol w:w="705"/>
        <w:gridCol w:w="868"/>
        <w:gridCol w:w="897"/>
        <w:gridCol w:w="897"/>
        <w:gridCol w:w="897"/>
        <w:gridCol w:w="897"/>
        <w:gridCol w:w="897"/>
        <w:gridCol w:w="897"/>
        <w:gridCol w:w="982"/>
      </w:tblGrid>
      <w:tr w:rsidR="002037C5" w:rsidRPr="00E7554A" w14:paraId="2672A304" w14:textId="77777777" w:rsidTr="00E7554A">
        <w:trPr>
          <w:trHeight w:val="214"/>
          <w:jc w:val="center"/>
        </w:trPr>
        <w:tc>
          <w:tcPr>
            <w:tcW w:w="9067"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564852" w14:textId="77777777" w:rsidR="00E7554A" w:rsidRPr="00E7554A" w:rsidRDefault="00E7554A" w:rsidP="00E7554A">
            <w:pPr>
              <w:jc w:val="center"/>
              <w:rPr>
                <w:b/>
                <w:bCs/>
                <w:color w:val="000000"/>
              </w:rPr>
            </w:pPr>
          </w:p>
          <w:p w14:paraId="7394ADCE" w14:textId="2A8A2911" w:rsidR="002037C5" w:rsidRPr="00E7554A" w:rsidRDefault="002037C5" w:rsidP="00E7554A">
            <w:pPr>
              <w:jc w:val="center"/>
              <w:rPr>
                <w:b/>
                <w:bCs/>
                <w:color w:val="000000"/>
              </w:rPr>
            </w:pPr>
            <w:r w:rsidRPr="00E7554A">
              <w:rPr>
                <w:b/>
                <w:bCs/>
                <w:color w:val="000000"/>
              </w:rPr>
              <w:t>MĚSÍČNÍ PRŮMĚRNÁ MZDA VE VYBRANÝCH ZEMÍCH EU</w:t>
            </w:r>
          </w:p>
          <w:p w14:paraId="4014C11F" w14:textId="77777777" w:rsidR="002037C5" w:rsidRPr="00E7554A" w:rsidRDefault="002037C5" w:rsidP="00E7554A">
            <w:pPr>
              <w:jc w:val="center"/>
              <w:rPr>
                <w:color w:val="000000"/>
              </w:rPr>
            </w:pPr>
            <w:r w:rsidRPr="00E7554A">
              <w:rPr>
                <w:color w:val="000000"/>
              </w:rPr>
              <w:t>(v národních měnách a v eurech)</w:t>
            </w:r>
          </w:p>
          <w:p w14:paraId="794D52E9" w14:textId="08D3CAB9" w:rsidR="00E7554A" w:rsidRPr="00E7554A" w:rsidRDefault="00E7554A" w:rsidP="00E7554A">
            <w:pPr>
              <w:jc w:val="center"/>
              <w:rPr>
                <w:color w:val="000000"/>
                <w:sz w:val="20"/>
                <w:szCs w:val="20"/>
              </w:rPr>
            </w:pPr>
          </w:p>
        </w:tc>
      </w:tr>
      <w:tr w:rsidR="002037C5" w:rsidRPr="00E7554A" w14:paraId="43B24678" w14:textId="77777777" w:rsidTr="00E7554A">
        <w:trPr>
          <w:trHeight w:val="214"/>
          <w:jc w:val="center"/>
        </w:trPr>
        <w:tc>
          <w:tcPr>
            <w:tcW w:w="1130" w:type="dxa"/>
            <w:vMerge w:val="restart"/>
            <w:tcBorders>
              <w:top w:val="single" w:sz="4" w:space="0" w:color="auto"/>
              <w:left w:val="single" w:sz="4" w:space="0" w:color="auto"/>
            </w:tcBorders>
            <w:shd w:val="clear" w:color="auto" w:fill="D9E2F3" w:themeFill="accent1" w:themeFillTint="33"/>
            <w:noWrap/>
            <w:vAlign w:val="center"/>
            <w:hideMark/>
          </w:tcPr>
          <w:p w14:paraId="50F106F3" w14:textId="77777777" w:rsidR="002037C5" w:rsidRPr="00E7554A" w:rsidRDefault="002037C5" w:rsidP="00357C6F">
            <w:pPr>
              <w:jc w:val="center"/>
              <w:rPr>
                <w:b/>
                <w:bCs/>
                <w:color w:val="000000"/>
                <w:sz w:val="20"/>
                <w:szCs w:val="20"/>
              </w:rPr>
            </w:pPr>
            <w:r w:rsidRPr="00E7554A">
              <w:rPr>
                <w:b/>
                <w:bCs/>
                <w:color w:val="000000"/>
                <w:sz w:val="20"/>
                <w:szCs w:val="20"/>
              </w:rPr>
              <w:t>Země</w:t>
            </w:r>
          </w:p>
        </w:tc>
        <w:tc>
          <w:tcPr>
            <w:tcW w:w="705" w:type="dxa"/>
            <w:vMerge w:val="restart"/>
            <w:tcBorders>
              <w:top w:val="single" w:sz="4" w:space="0" w:color="auto"/>
            </w:tcBorders>
            <w:shd w:val="clear" w:color="auto" w:fill="D9E2F3" w:themeFill="accent1" w:themeFillTint="33"/>
            <w:vAlign w:val="center"/>
          </w:tcPr>
          <w:p w14:paraId="2BE4C357" w14:textId="16568E11" w:rsidR="002037C5" w:rsidRPr="00E7554A" w:rsidRDefault="002037C5" w:rsidP="002037C5">
            <w:pPr>
              <w:jc w:val="center"/>
              <w:rPr>
                <w:b/>
                <w:bCs/>
                <w:color w:val="000000"/>
                <w:sz w:val="20"/>
                <w:szCs w:val="20"/>
              </w:rPr>
            </w:pPr>
            <w:r w:rsidRPr="00E7554A">
              <w:rPr>
                <w:b/>
                <w:bCs/>
                <w:color w:val="000000"/>
                <w:sz w:val="20"/>
                <w:szCs w:val="20"/>
              </w:rPr>
              <w:t>Měna</w:t>
            </w:r>
          </w:p>
        </w:tc>
        <w:tc>
          <w:tcPr>
            <w:tcW w:w="7232" w:type="dxa"/>
            <w:gridSpan w:val="8"/>
            <w:tcBorders>
              <w:top w:val="single" w:sz="4" w:space="0" w:color="auto"/>
              <w:right w:val="single" w:sz="4" w:space="0" w:color="auto"/>
            </w:tcBorders>
            <w:shd w:val="clear" w:color="auto" w:fill="D9E2F3" w:themeFill="accent1" w:themeFillTint="33"/>
            <w:noWrap/>
            <w:hideMark/>
          </w:tcPr>
          <w:p w14:paraId="49A46B39" w14:textId="4EF86FC5" w:rsidR="002037C5" w:rsidRPr="00E7554A" w:rsidRDefault="002037C5" w:rsidP="00357C6F">
            <w:pPr>
              <w:jc w:val="center"/>
              <w:rPr>
                <w:b/>
                <w:bCs/>
                <w:color w:val="000000"/>
                <w:sz w:val="20"/>
                <w:szCs w:val="20"/>
              </w:rPr>
            </w:pPr>
            <w:r w:rsidRPr="00E7554A">
              <w:rPr>
                <w:b/>
                <w:bCs/>
                <w:color w:val="000000"/>
                <w:sz w:val="20"/>
                <w:szCs w:val="20"/>
              </w:rPr>
              <w:t>Rok</w:t>
            </w:r>
          </w:p>
        </w:tc>
      </w:tr>
      <w:tr w:rsidR="000838F8" w:rsidRPr="00E7554A" w14:paraId="08BE9A26" w14:textId="77777777" w:rsidTr="00E7554A">
        <w:trPr>
          <w:trHeight w:val="228"/>
          <w:jc w:val="center"/>
        </w:trPr>
        <w:tc>
          <w:tcPr>
            <w:tcW w:w="1130" w:type="dxa"/>
            <w:vMerge/>
            <w:tcBorders>
              <w:left w:val="single" w:sz="4" w:space="0" w:color="auto"/>
              <w:bottom w:val="single" w:sz="4" w:space="0" w:color="auto"/>
            </w:tcBorders>
            <w:shd w:val="clear" w:color="auto" w:fill="D9E2F3" w:themeFill="accent1" w:themeFillTint="33"/>
            <w:hideMark/>
          </w:tcPr>
          <w:p w14:paraId="29463E7D" w14:textId="77777777" w:rsidR="002037C5" w:rsidRPr="00E7554A" w:rsidRDefault="002037C5" w:rsidP="00357C6F">
            <w:pPr>
              <w:rPr>
                <w:b/>
                <w:bCs/>
                <w:color w:val="000000"/>
                <w:sz w:val="20"/>
                <w:szCs w:val="20"/>
              </w:rPr>
            </w:pPr>
          </w:p>
        </w:tc>
        <w:tc>
          <w:tcPr>
            <w:tcW w:w="705" w:type="dxa"/>
            <w:vMerge/>
            <w:tcBorders>
              <w:bottom w:val="single" w:sz="4" w:space="0" w:color="auto"/>
            </w:tcBorders>
            <w:shd w:val="clear" w:color="auto" w:fill="D9E2F3" w:themeFill="accent1" w:themeFillTint="33"/>
          </w:tcPr>
          <w:p w14:paraId="21DCE3D2" w14:textId="77777777" w:rsidR="002037C5" w:rsidRPr="00E7554A" w:rsidRDefault="002037C5" w:rsidP="00357C6F">
            <w:pPr>
              <w:jc w:val="center"/>
              <w:rPr>
                <w:b/>
                <w:bCs/>
                <w:color w:val="000000"/>
                <w:sz w:val="20"/>
                <w:szCs w:val="20"/>
              </w:rPr>
            </w:pPr>
          </w:p>
        </w:tc>
        <w:tc>
          <w:tcPr>
            <w:tcW w:w="868" w:type="dxa"/>
            <w:tcBorders>
              <w:bottom w:val="single" w:sz="4" w:space="0" w:color="auto"/>
            </w:tcBorders>
            <w:shd w:val="clear" w:color="auto" w:fill="D9E2F3" w:themeFill="accent1" w:themeFillTint="33"/>
            <w:noWrap/>
            <w:hideMark/>
          </w:tcPr>
          <w:p w14:paraId="06D81389" w14:textId="0226B43B" w:rsidR="002037C5" w:rsidRPr="00E7554A" w:rsidRDefault="002037C5" w:rsidP="00357C6F">
            <w:pPr>
              <w:jc w:val="center"/>
              <w:rPr>
                <w:b/>
                <w:bCs/>
                <w:color w:val="000000"/>
                <w:sz w:val="20"/>
                <w:szCs w:val="20"/>
              </w:rPr>
            </w:pPr>
            <w:r w:rsidRPr="00E7554A">
              <w:rPr>
                <w:b/>
                <w:bCs/>
                <w:color w:val="000000"/>
                <w:sz w:val="20"/>
                <w:szCs w:val="20"/>
              </w:rPr>
              <w:t>2012</w:t>
            </w:r>
          </w:p>
        </w:tc>
        <w:tc>
          <w:tcPr>
            <w:tcW w:w="897" w:type="dxa"/>
            <w:tcBorders>
              <w:bottom w:val="single" w:sz="4" w:space="0" w:color="auto"/>
            </w:tcBorders>
            <w:shd w:val="clear" w:color="auto" w:fill="D9E2F3" w:themeFill="accent1" w:themeFillTint="33"/>
            <w:noWrap/>
            <w:hideMark/>
          </w:tcPr>
          <w:p w14:paraId="2A72253E" w14:textId="77777777" w:rsidR="002037C5" w:rsidRPr="00E7554A" w:rsidRDefault="002037C5" w:rsidP="00357C6F">
            <w:pPr>
              <w:jc w:val="center"/>
              <w:rPr>
                <w:b/>
                <w:bCs/>
                <w:color w:val="000000"/>
                <w:sz w:val="20"/>
                <w:szCs w:val="20"/>
              </w:rPr>
            </w:pPr>
            <w:r w:rsidRPr="00E7554A">
              <w:rPr>
                <w:b/>
                <w:bCs/>
                <w:color w:val="000000"/>
                <w:sz w:val="20"/>
                <w:szCs w:val="20"/>
              </w:rPr>
              <w:t>2013</w:t>
            </w:r>
          </w:p>
        </w:tc>
        <w:tc>
          <w:tcPr>
            <w:tcW w:w="897" w:type="dxa"/>
            <w:tcBorders>
              <w:bottom w:val="single" w:sz="4" w:space="0" w:color="auto"/>
            </w:tcBorders>
            <w:shd w:val="clear" w:color="auto" w:fill="D9E2F3" w:themeFill="accent1" w:themeFillTint="33"/>
            <w:noWrap/>
            <w:hideMark/>
          </w:tcPr>
          <w:p w14:paraId="780B9762" w14:textId="77777777" w:rsidR="002037C5" w:rsidRPr="00E7554A" w:rsidRDefault="002037C5" w:rsidP="00357C6F">
            <w:pPr>
              <w:jc w:val="center"/>
              <w:rPr>
                <w:b/>
                <w:bCs/>
                <w:color w:val="000000"/>
                <w:sz w:val="20"/>
                <w:szCs w:val="20"/>
              </w:rPr>
            </w:pPr>
            <w:r w:rsidRPr="00E7554A">
              <w:rPr>
                <w:b/>
                <w:bCs/>
                <w:color w:val="000000"/>
                <w:sz w:val="20"/>
                <w:szCs w:val="20"/>
              </w:rPr>
              <w:t>2014</w:t>
            </w:r>
          </w:p>
        </w:tc>
        <w:tc>
          <w:tcPr>
            <w:tcW w:w="897" w:type="dxa"/>
            <w:tcBorders>
              <w:bottom w:val="single" w:sz="4" w:space="0" w:color="auto"/>
            </w:tcBorders>
            <w:shd w:val="clear" w:color="auto" w:fill="D9E2F3" w:themeFill="accent1" w:themeFillTint="33"/>
            <w:noWrap/>
            <w:hideMark/>
          </w:tcPr>
          <w:p w14:paraId="6FBB7EF6" w14:textId="77777777" w:rsidR="002037C5" w:rsidRPr="00E7554A" w:rsidRDefault="002037C5" w:rsidP="00357C6F">
            <w:pPr>
              <w:jc w:val="center"/>
              <w:rPr>
                <w:b/>
                <w:bCs/>
                <w:color w:val="000000"/>
                <w:sz w:val="20"/>
                <w:szCs w:val="20"/>
              </w:rPr>
            </w:pPr>
            <w:r w:rsidRPr="00E7554A">
              <w:rPr>
                <w:b/>
                <w:bCs/>
                <w:color w:val="000000"/>
                <w:sz w:val="20"/>
                <w:szCs w:val="20"/>
              </w:rPr>
              <w:t>2015</w:t>
            </w:r>
          </w:p>
        </w:tc>
        <w:tc>
          <w:tcPr>
            <w:tcW w:w="897" w:type="dxa"/>
            <w:tcBorders>
              <w:bottom w:val="single" w:sz="4" w:space="0" w:color="auto"/>
            </w:tcBorders>
            <w:shd w:val="clear" w:color="auto" w:fill="D9E2F3" w:themeFill="accent1" w:themeFillTint="33"/>
            <w:noWrap/>
            <w:hideMark/>
          </w:tcPr>
          <w:p w14:paraId="0702A705" w14:textId="77777777" w:rsidR="002037C5" w:rsidRPr="00E7554A" w:rsidRDefault="002037C5" w:rsidP="00357C6F">
            <w:pPr>
              <w:jc w:val="center"/>
              <w:rPr>
                <w:b/>
                <w:bCs/>
                <w:color w:val="000000"/>
                <w:sz w:val="20"/>
                <w:szCs w:val="20"/>
              </w:rPr>
            </w:pPr>
            <w:r w:rsidRPr="00E7554A">
              <w:rPr>
                <w:b/>
                <w:bCs/>
                <w:color w:val="000000"/>
                <w:sz w:val="20"/>
                <w:szCs w:val="20"/>
              </w:rPr>
              <w:t>2016</w:t>
            </w:r>
          </w:p>
        </w:tc>
        <w:tc>
          <w:tcPr>
            <w:tcW w:w="897" w:type="dxa"/>
            <w:tcBorders>
              <w:bottom w:val="single" w:sz="4" w:space="0" w:color="auto"/>
            </w:tcBorders>
            <w:shd w:val="clear" w:color="auto" w:fill="D9E2F3" w:themeFill="accent1" w:themeFillTint="33"/>
            <w:noWrap/>
            <w:hideMark/>
          </w:tcPr>
          <w:p w14:paraId="0BCE23D7" w14:textId="77777777" w:rsidR="002037C5" w:rsidRPr="00E7554A" w:rsidRDefault="002037C5" w:rsidP="00357C6F">
            <w:pPr>
              <w:jc w:val="center"/>
              <w:rPr>
                <w:b/>
                <w:bCs/>
                <w:color w:val="000000"/>
                <w:sz w:val="20"/>
                <w:szCs w:val="20"/>
              </w:rPr>
            </w:pPr>
            <w:r w:rsidRPr="00E7554A">
              <w:rPr>
                <w:b/>
                <w:bCs/>
                <w:color w:val="000000"/>
                <w:sz w:val="20"/>
                <w:szCs w:val="20"/>
              </w:rPr>
              <w:t>2017</w:t>
            </w:r>
          </w:p>
        </w:tc>
        <w:tc>
          <w:tcPr>
            <w:tcW w:w="897" w:type="dxa"/>
            <w:tcBorders>
              <w:bottom w:val="single" w:sz="4" w:space="0" w:color="auto"/>
            </w:tcBorders>
            <w:shd w:val="clear" w:color="auto" w:fill="D9E2F3" w:themeFill="accent1" w:themeFillTint="33"/>
            <w:noWrap/>
            <w:hideMark/>
          </w:tcPr>
          <w:p w14:paraId="7E41AB58" w14:textId="77777777" w:rsidR="002037C5" w:rsidRPr="00E7554A" w:rsidRDefault="002037C5" w:rsidP="00357C6F">
            <w:pPr>
              <w:jc w:val="center"/>
              <w:rPr>
                <w:b/>
                <w:bCs/>
                <w:color w:val="000000"/>
                <w:sz w:val="20"/>
                <w:szCs w:val="20"/>
              </w:rPr>
            </w:pPr>
            <w:r w:rsidRPr="00E7554A">
              <w:rPr>
                <w:b/>
                <w:bCs/>
                <w:color w:val="000000"/>
                <w:sz w:val="20"/>
                <w:szCs w:val="20"/>
              </w:rPr>
              <w:t>2018</w:t>
            </w:r>
          </w:p>
        </w:tc>
        <w:tc>
          <w:tcPr>
            <w:tcW w:w="982" w:type="dxa"/>
            <w:tcBorders>
              <w:bottom w:val="single" w:sz="4" w:space="0" w:color="auto"/>
              <w:right w:val="single" w:sz="4" w:space="0" w:color="auto"/>
            </w:tcBorders>
            <w:shd w:val="clear" w:color="auto" w:fill="D9E2F3" w:themeFill="accent1" w:themeFillTint="33"/>
            <w:noWrap/>
            <w:hideMark/>
          </w:tcPr>
          <w:p w14:paraId="385750AC" w14:textId="77777777" w:rsidR="002037C5" w:rsidRPr="00E7554A" w:rsidRDefault="002037C5" w:rsidP="00357C6F">
            <w:pPr>
              <w:jc w:val="center"/>
              <w:rPr>
                <w:b/>
                <w:bCs/>
                <w:color w:val="000000"/>
                <w:sz w:val="20"/>
                <w:szCs w:val="20"/>
              </w:rPr>
            </w:pPr>
            <w:r w:rsidRPr="00E7554A">
              <w:rPr>
                <w:b/>
                <w:bCs/>
                <w:color w:val="000000"/>
                <w:sz w:val="20"/>
                <w:szCs w:val="20"/>
              </w:rPr>
              <w:t>2019</w:t>
            </w:r>
          </w:p>
        </w:tc>
      </w:tr>
      <w:tr w:rsidR="00780B66" w:rsidRPr="00E7554A" w14:paraId="27217C11" w14:textId="77777777" w:rsidTr="00E7554A">
        <w:trPr>
          <w:trHeight w:val="214"/>
          <w:jc w:val="center"/>
        </w:trPr>
        <w:tc>
          <w:tcPr>
            <w:tcW w:w="1130" w:type="dxa"/>
            <w:vMerge w:val="restart"/>
            <w:tcBorders>
              <w:top w:val="single" w:sz="4" w:space="0" w:color="auto"/>
              <w:left w:val="single" w:sz="4" w:space="0" w:color="auto"/>
            </w:tcBorders>
            <w:shd w:val="clear" w:color="auto" w:fill="D9E2F3" w:themeFill="accent1" w:themeFillTint="33"/>
            <w:noWrap/>
            <w:vAlign w:val="center"/>
            <w:hideMark/>
          </w:tcPr>
          <w:p w14:paraId="132C581C" w14:textId="3F569E45" w:rsidR="002037C5" w:rsidRPr="00E7554A" w:rsidRDefault="002037C5" w:rsidP="000838F8">
            <w:pPr>
              <w:jc w:val="center"/>
              <w:rPr>
                <w:b/>
                <w:bCs/>
                <w:color w:val="000000"/>
                <w:sz w:val="20"/>
                <w:szCs w:val="20"/>
              </w:rPr>
            </w:pPr>
            <w:r w:rsidRPr="00E7554A">
              <w:rPr>
                <w:b/>
                <w:bCs/>
                <w:color w:val="000000"/>
                <w:sz w:val="20"/>
                <w:szCs w:val="20"/>
              </w:rPr>
              <w:t>Česká</w:t>
            </w:r>
            <w:r w:rsidR="000838F8" w:rsidRPr="00E7554A">
              <w:rPr>
                <w:b/>
                <w:bCs/>
                <w:color w:val="000000"/>
                <w:sz w:val="20"/>
                <w:szCs w:val="20"/>
              </w:rPr>
              <w:t xml:space="preserve"> </w:t>
            </w:r>
            <w:r w:rsidRPr="00E7554A">
              <w:rPr>
                <w:b/>
                <w:bCs/>
                <w:color w:val="000000"/>
                <w:sz w:val="20"/>
                <w:szCs w:val="20"/>
              </w:rPr>
              <w:t>republika</w:t>
            </w:r>
          </w:p>
        </w:tc>
        <w:tc>
          <w:tcPr>
            <w:tcW w:w="705" w:type="dxa"/>
            <w:tcBorders>
              <w:top w:val="single" w:sz="4" w:space="0" w:color="auto"/>
            </w:tcBorders>
            <w:shd w:val="clear" w:color="auto" w:fill="D9E2F3" w:themeFill="accent1" w:themeFillTint="33"/>
            <w:vAlign w:val="center"/>
          </w:tcPr>
          <w:p w14:paraId="14D00601" w14:textId="762D3C6D" w:rsidR="002037C5" w:rsidRPr="00E7554A" w:rsidRDefault="0067040D" w:rsidP="0067040D">
            <w:pPr>
              <w:jc w:val="center"/>
              <w:rPr>
                <w:sz w:val="20"/>
                <w:szCs w:val="20"/>
              </w:rPr>
            </w:pPr>
            <w:r w:rsidRPr="00E7554A">
              <w:rPr>
                <w:sz w:val="20"/>
                <w:szCs w:val="20"/>
              </w:rPr>
              <w:t>CZK</w:t>
            </w:r>
          </w:p>
        </w:tc>
        <w:tc>
          <w:tcPr>
            <w:tcW w:w="868" w:type="dxa"/>
            <w:tcBorders>
              <w:top w:val="single" w:sz="4" w:space="0" w:color="auto"/>
            </w:tcBorders>
            <w:shd w:val="clear" w:color="auto" w:fill="D9E2F3" w:themeFill="accent1" w:themeFillTint="33"/>
            <w:noWrap/>
            <w:vAlign w:val="center"/>
            <w:hideMark/>
          </w:tcPr>
          <w:p w14:paraId="273CD568" w14:textId="321CC576" w:rsidR="002037C5" w:rsidRPr="00E7554A" w:rsidRDefault="002037C5" w:rsidP="00E7554A">
            <w:pPr>
              <w:jc w:val="right"/>
              <w:rPr>
                <w:color w:val="000000"/>
                <w:sz w:val="20"/>
                <w:szCs w:val="20"/>
              </w:rPr>
            </w:pPr>
            <w:r w:rsidRPr="00E7554A">
              <w:rPr>
                <w:sz w:val="20"/>
                <w:szCs w:val="20"/>
              </w:rPr>
              <w:t>25 101</w:t>
            </w:r>
          </w:p>
        </w:tc>
        <w:tc>
          <w:tcPr>
            <w:tcW w:w="897" w:type="dxa"/>
            <w:tcBorders>
              <w:top w:val="single" w:sz="4" w:space="0" w:color="auto"/>
            </w:tcBorders>
            <w:shd w:val="clear" w:color="auto" w:fill="D9E2F3" w:themeFill="accent1" w:themeFillTint="33"/>
            <w:noWrap/>
            <w:vAlign w:val="center"/>
            <w:hideMark/>
          </w:tcPr>
          <w:p w14:paraId="63D3C933" w14:textId="5E34FEFE" w:rsidR="002037C5" w:rsidRPr="00E7554A" w:rsidRDefault="002037C5" w:rsidP="00E7554A">
            <w:pPr>
              <w:jc w:val="right"/>
              <w:rPr>
                <w:color w:val="000000"/>
                <w:sz w:val="20"/>
                <w:szCs w:val="20"/>
              </w:rPr>
            </w:pPr>
            <w:r w:rsidRPr="00E7554A">
              <w:rPr>
                <w:sz w:val="20"/>
                <w:szCs w:val="20"/>
              </w:rPr>
              <w:t>25 128</w:t>
            </w:r>
          </w:p>
        </w:tc>
        <w:tc>
          <w:tcPr>
            <w:tcW w:w="897" w:type="dxa"/>
            <w:tcBorders>
              <w:top w:val="single" w:sz="4" w:space="0" w:color="auto"/>
            </w:tcBorders>
            <w:shd w:val="clear" w:color="auto" w:fill="D9E2F3" w:themeFill="accent1" w:themeFillTint="33"/>
            <w:noWrap/>
            <w:vAlign w:val="center"/>
            <w:hideMark/>
          </w:tcPr>
          <w:p w14:paraId="4EDAA23C" w14:textId="27AC54D5" w:rsidR="002037C5" w:rsidRPr="00E7554A" w:rsidRDefault="002037C5" w:rsidP="00E7554A">
            <w:pPr>
              <w:jc w:val="right"/>
              <w:rPr>
                <w:color w:val="000000"/>
                <w:sz w:val="20"/>
                <w:szCs w:val="20"/>
              </w:rPr>
            </w:pPr>
            <w:r w:rsidRPr="00E7554A">
              <w:rPr>
                <w:sz w:val="20"/>
                <w:szCs w:val="20"/>
              </w:rPr>
              <w:t>25 686</w:t>
            </w:r>
          </w:p>
        </w:tc>
        <w:tc>
          <w:tcPr>
            <w:tcW w:w="897" w:type="dxa"/>
            <w:tcBorders>
              <w:top w:val="single" w:sz="4" w:space="0" w:color="auto"/>
            </w:tcBorders>
            <w:shd w:val="clear" w:color="auto" w:fill="D9E2F3" w:themeFill="accent1" w:themeFillTint="33"/>
            <w:noWrap/>
            <w:vAlign w:val="center"/>
            <w:hideMark/>
          </w:tcPr>
          <w:p w14:paraId="348EC98A" w14:textId="2B955EC5" w:rsidR="002037C5" w:rsidRPr="00E7554A" w:rsidRDefault="002037C5" w:rsidP="00E7554A">
            <w:pPr>
              <w:jc w:val="right"/>
              <w:rPr>
                <w:color w:val="000000"/>
                <w:sz w:val="20"/>
                <w:szCs w:val="20"/>
              </w:rPr>
            </w:pPr>
            <w:r w:rsidRPr="00E7554A">
              <w:rPr>
                <w:sz w:val="20"/>
                <w:szCs w:val="20"/>
              </w:rPr>
              <w:t>26 467</w:t>
            </w:r>
          </w:p>
        </w:tc>
        <w:tc>
          <w:tcPr>
            <w:tcW w:w="897" w:type="dxa"/>
            <w:tcBorders>
              <w:top w:val="single" w:sz="4" w:space="0" w:color="auto"/>
            </w:tcBorders>
            <w:shd w:val="clear" w:color="auto" w:fill="D9E2F3" w:themeFill="accent1" w:themeFillTint="33"/>
            <w:noWrap/>
            <w:vAlign w:val="center"/>
            <w:hideMark/>
          </w:tcPr>
          <w:p w14:paraId="64D682A1" w14:textId="5F2053D0" w:rsidR="002037C5" w:rsidRPr="00E7554A" w:rsidRDefault="002037C5" w:rsidP="00E7554A">
            <w:pPr>
              <w:jc w:val="right"/>
              <w:rPr>
                <w:color w:val="000000"/>
                <w:sz w:val="20"/>
                <w:szCs w:val="20"/>
              </w:rPr>
            </w:pPr>
            <w:r w:rsidRPr="00E7554A">
              <w:rPr>
                <w:sz w:val="20"/>
                <w:szCs w:val="20"/>
              </w:rPr>
              <w:t>27 589</w:t>
            </w:r>
          </w:p>
        </w:tc>
        <w:tc>
          <w:tcPr>
            <w:tcW w:w="897" w:type="dxa"/>
            <w:tcBorders>
              <w:top w:val="single" w:sz="4" w:space="0" w:color="auto"/>
            </w:tcBorders>
            <w:shd w:val="clear" w:color="auto" w:fill="D9E2F3" w:themeFill="accent1" w:themeFillTint="33"/>
            <w:noWrap/>
            <w:vAlign w:val="center"/>
            <w:hideMark/>
          </w:tcPr>
          <w:p w14:paraId="145E4FFB" w14:textId="7F32498F" w:rsidR="002037C5" w:rsidRPr="00E7554A" w:rsidRDefault="002037C5" w:rsidP="00E7554A">
            <w:pPr>
              <w:jc w:val="right"/>
              <w:rPr>
                <w:color w:val="000000"/>
                <w:sz w:val="20"/>
                <w:szCs w:val="20"/>
              </w:rPr>
            </w:pPr>
            <w:r w:rsidRPr="00E7554A">
              <w:rPr>
                <w:sz w:val="20"/>
                <w:szCs w:val="20"/>
              </w:rPr>
              <w:t>29 504</w:t>
            </w:r>
          </w:p>
        </w:tc>
        <w:tc>
          <w:tcPr>
            <w:tcW w:w="897" w:type="dxa"/>
            <w:tcBorders>
              <w:top w:val="single" w:sz="4" w:space="0" w:color="auto"/>
            </w:tcBorders>
            <w:shd w:val="clear" w:color="auto" w:fill="D9E2F3" w:themeFill="accent1" w:themeFillTint="33"/>
            <w:noWrap/>
            <w:vAlign w:val="center"/>
            <w:hideMark/>
          </w:tcPr>
          <w:p w14:paraId="012EFC78" w14:textId="06F5C02E" w:rsidR="002037C5" w:rsidRPr="00E7554A" w:rsidRDefault="002037C5" w:rsidP="00E7554A">
            <w:pPr>
              <w:jc w:val="right"/>
              <w:rPr>
                <w:color w:val="000000"/>
                <w:sz w:val="20"/>
                <w:szCs w:val="20"/>
              </w:rPr>
            </w:pPr>
            <w:r w:rsidRPr="00E7554A">
              <w:rPr>
                <w:sz w:val="20"/>
                <w:szCs w:val="20"/>
              </w:rPr>
              <w:t>31 885</w:t>
            </w:r>
          </w:p>
        </w:tc>
        <w:tc>
          <w:tcPr>
            <w:tcW w:w="982" w:type="dxa"/>
            <w:tcBorders>
              <w:top w:val="single" w:sz="4" w:space="0" w:color="auto"/>
              <w:right w:val="single" w:sz="4" w:space="0" w:color="auto"/>
            </w:tcBorders>
            <w:shd w:val="clear" w:color="auto" w:fill="D9E2F3" w:themeFill="accent1" w:themeFillTint="33"/>
            <w:noWrap/>
            <w:vAlign w:val="center"/>
            <w:hideMark/>
          </w:tcPr>
          <w:p w14:paraId="0298487C" w14:textId="55259953" w:rsidR="002037C5" w:rsidRPr="00E7554A" w:rsidRDefault="007900C6" w:rsidP="00E7554A">
            <w:pPr>
              <w:jc w:val="right"/>
              <w:rPr>
                <w:color w:val="000000"/>
                <w:sz w:val="20"/>
                <w:szCs w:val="20"/>
              </w:rPr>
            </w:pPr>
            <w:r w:rsidRPr="00E7554A">
              <w:rPr>
                <w:color w:val="000000"/>
                <w:sz w:val="20"/>
                <w:szCs w:val="20"/>
              </w:rPr>
              <w:t>36 144</w:t>
            </w:r>
          </w:p>
        </w:tc>
      </w:tr>
      <w:tr w:rsidR="00780B66" w:rsidRPr="00E7554A" w14:paraId="3769DBC2" w14:textId="77777777" w:rsidTr="00E7554A">
        <w:trPr>
          <w:trHeight w:val="214"/>
          <w:jc w:val="center"/>
        </w:trPr>
        <w:tc>
          <w:tcPr>
            <w:tcW w:w="1130" w:type="dxa"/>
            <w:vMerge/>
            <w:tcBorders>
              <w:left w:val="single" w:sz="4" w:space="0" w:color="auto"/>
              <w:bottom w:val="single" w:sz="4" w:space="0" w:color="auto"/>
            </w:tcBorders>
            <w:shd w:val="clear" w:color="auto" w:fill="D9E2F3" w:themeFill="accent1" w:themeFillTint="33"/>
            <w:vAlign w:val="center"/>
            <w:hideMark/>
          </w:tcPr>
          <w:p w14:paraId="4AA14DEF" w14:textId="77777777" w:rsidR="002037C5" w:rsidRPr="00E7554A" w:rsidRDefault="002037C5" w:rsidP="000838F8">
            <w:pPr>
              <w:jc w:val="center"/>
              <w:rPr>
                <w:b/>
                <w:bCs/>
                <w:color w:val="000000"/>
                <w:sz w:val="20"/>
                <w:szCs w:val="20"/>
              </w:rPr>
            </w:pPr>
          </w:p>
        </w:tc>
        <w:tc>
          <w:tcPr>
            <w:tcW w:w="705" w:type="dxa"/>
            <w:tcBorders>
              <w:bottom w:val="single" w:sz="4" w:space="0" w:color="auto"/>
            </w:tcBorders>
            <w:shd w:val="clear" w:color="auto" w:fill="E2E9F6"/>
            <w:vAlign w:val="center"/>
          </w:tcPr>
          <w:p w14:paraId="3CE793BE" w14:textId="6A1C6B3F" w:rsidR="002037C5" w:rsidRPr="00E7554A" w:rsidRDefault="0067040D" w:rsidP="0067040D">
            <w:pPr>
              <w:jc w:val="center"/>
              <w:rPr>
                <w:sz w:val="20"/>
                <w:szCs w:val="20"/>
              </w:rPr>
            </w:pPr>
            <w:r w:rsidRPr="00E7554A">
              <w:rPr>
                <w:sz w:val="20"/>
                <w:szCs w:val="20"/>
              </w:rPr>
              <w:t>EUR</w:t>
            </w:r>
          </w:p>
        </w:tc>
        <w:tc>
          <w:tcPr>
            <w:tcW w:w="868" w:type="dxa"/>
            <w:tcBorders>
              <w:bottom w:val="single" w:sz="4" w:space="0" w:color="auto"/>
            </w:tcBorders>
            <w:shd w:val="clear" w:color="auto" w:fill="E2E9F6"/>
            <w:noWrap/>
            <w:vAlign w:val="center"/>
            <w:hideMark/>
          </w:tcPr>
          <w:p w14:paraId="2937AC65" w14:textId="0B830871" w:rsidR="002037C5" w:rsidRPr="00E7554A" w:rsidRDefault="002037C5" w:rsidP="00E7554A">
            <w:pPr>
              <w:jc w:val="right"/>
              <w:rPr>
                <w:color w:val="000000"/>
                <w:sz w:val="20"/>
                <w:szCs w:val="20"/>
              </w:rPr>
            </w:pPr>
            <w:r w:rsidRPr="00E7554A">
              <w:rPr>
                <w:sz w:val="20"/>
                <w:szCs w:val="20"/>
              </w:rPr>
              <w:t>1 001</w:t>
            </w:r>
          </w:p>
        </w:tc>
        <w:tc>
          <w:tcPr>
            <w:tcW w:w="897" w:type="dxa"/>
            <w:tcBorders>
              <w:bottom w:val="single" w:sz="4" w:space="0" w:color="auto"/>
            </w:tcBorders>
            <w:shd w:val="clear" w:color="auto" w:fill="E2E9F6"/>
            <w:noWrap/>
            <w:vAlign w:val="center"/>
            <w:hideMark/>
          </w:tcPr>
          <w:p w14:paraId="57DD6353" w14:textId="3A2E5419" w:rsidR="002037C5" w:rsidRPr="00E7554A" w:rsidRDefault="002037C5" w:rsidP="00E7554A">
            <w:pPr>
              <w:jc w:val="right"/>
              <w:rPr>
                <w:color w:val="000000"/>
                <w:sz w:val="20"/>
                <w:szCs w:val="20"/>
              </w:rPr>
            </w:pPr>
            <w:r w:rsidRPr="00E7554A">
              <w:rPr>
                <w:sz w:val="20"/>
                <w:szCs w:val="20"/>
              </w:rPr>
              <w:t>918</w:t>
            </w:r>
          </w:p>
        </w:tc>
        <w:tc>
          <w:tcPr>
            <w:tcW w:w="897" w:type="dxa"/>
            <w:tcBorders>
              <w:bottom w:val="single" w:sz="4" w:space="0" w:color="auto"/>
            </w:tcBorders>
            <w:shd w:val="clear" w:color="auto" w:fill="E2E9F6"/>
            <w:noWrap/>
            <w:vAlign w:val="center"/>
            <w:hideMark/>
          </w:tcPr>
          <w:p w14:paraId="63384FAD" w14:textId="769B4AD9" w:rsidR="002037C5" w:rsidRPr="00E7554A" w:rsidRDefault="002037C5" w:rsidP="00E7554A">
            <w:pPr>
              <w:jc w:val="right"/>
              <w:rPr>
                <w:color w:val="000000"/>
                <w:sz w:val="20"/>
                <w:szCs w:val="20"/>
              </w:rPr>
            </w:pPr>
            <w:r w:rsidRPr="00E7554A">
              <w:rPr>
                <w:sz w:val="20"/>
                <w:szCs w:val="20"/>
              </w:rPr>
              <w:t>929</w:t>
            </w:r>
          </w:p>
        </w:tc>
        <w:tc>
          <w:tcPr>
            <w:tcW w:w="897" w:type="dxa"/>
            <w:tcBorders>
              <w:bottom w:val="single" w:sz="4" w:space="0" w:color="auto"/>
            </w:tcBorders>
            <w:shd w:val="clear" w:color="auto" w:fill="E2E9F6"/>
            <w:noWrap/>
            <w:vAlign w:val="center"/>
            <w:hideMark/>
          </w:tcPr>
          <w:p w14:paraId="0255889A" w14:textId="3943463D" w:rsidR="002037C5" w:rsidRPr="00E7554A" w:rsidRDefault="002037C5" w:rsidP="00E7554A">
            <w:pPr>
              <w:jc w:val="right"/>
              <w:rPr>
                <w:color w:val="000000"/>
                <w:sz w:val="20"/>
                <w:szCs w:val="20"/>
              </w:rPr>
            </w:pPr>
            <w:r w:rsidRPr="00E7554A">
              <w:rPr>
                <w:sz w:val="20"/>
                <w:szCs w:val="20"/>
              </w:rPr>
              <w:t>979</w:t>
            </w:r>
          </w:p>
        </w:tc>
        <w:tc>
          <w:tcPr>
            <w:tcW w:w="897" w:type="dxa"/>
            <w:tcBorders>
              <w:bottom w:val="single" w:sz="4" w:space="0" w:color="auto"/>
            </w:tcBorders>
            <w:shd w:val="clear" w:color="auto" w:fill="E2E9F6"/>
            <w:noWrap/>
            <w:vAlign w:val="center"/>
            <w:hideMark/>
          </w:tcPr>
          <w:p w14:paraId="26662CE0" w14:textId="109CE968" w:rsidR="002037C5" w:rsidRPr="00E7554A" w:rsidRDefault="002037C5" w:rsidP="00E7554A">
            <w:pPr>
              <w:jc w:val="right"/>
              <w:rPr>
                <w:color w:val="000000"/>
                <w:sz w:val="20"/>
                <w:szCs w:val="20"/>
              </w:rPr>
            </w:pPr>
            <w:r w:rsidRPr="00E7554A">
              <w:rPr>
                <w:sz w:val="20"/>
                <w:szCs w:val="20"/>
              </w:rPr>
              <w:t>1 022</w:t>
            </w:r>
          </w:p>
        </w:tc>
        <w:tc>
          <w:tcPr>
            <w:tcW w:w="897" w:type="dxa"/>
            <w:tcBorders>
              <w:bottom w:val="single" w:sz="4" w:space="0" w:color="auto"/>
            </w:tcBorders>
            <w:shd w:val="clear" w:color="auto" w:fill="E2E9F6"/>
            <w:noWrap/>
            <w:vAlign w:val="center"/>
            <w:hideMark/>
          </w:tcPr>
          <w:p w14:paraId="38D4584E" w14:textId="63F7AE4A" w:rsidR="002037C5" w:rsidRPr="00E7554A" w:rsidRDefault="002037C5" w:rsidP="00E7554A">
            <w:pPr>
              <w:jc w:val="right"/>
              <w:rPr>
                <w:color w:val="000000"/>
                <w:sz w:val="20"/>
                <w:szCs w:val="20"/>
              </w:rPr>
            </w:pPr>
            <w:r w:rsidRPr="00E7554A">
              <w:rPr>
                <w:sz w:val="20"/>
                <w:szCs w:val="20"/>
              </w:rPr>
              <w:t>1 155</w:t>
            </w:r>
          </w:p>
        </w:tc>
        <w:tc>
          <w:tcPr>
            <w:tcW w:w="897" w:type="dxa"/>
            <w:tcBorders>
              <w:bottom w:val="single" w:sz="4" w:space="0" w:color="auto"/>
            </w:tcBorders>
            <w:shd w:val="clear" w:color="auto" w:fill="E2E9F6"/>
            <w:noWrap/>
            <w:vAlign w:val="center"/>
            <w:hideMark/>
          </w:tcPr>
          <w:p w14:paraId="454C8B64" w14:textId="2EE370CA" w:rsidR="002037C5" w:rsidRPr="00E7554A" w:rsidRDefault="002037C5" w:rsidP="00E7554A">
            <w:pPr>
              <w:jc w:val="right"/>
              <w:rPr>
                <w:color w:val="000000"/>
                <w:sz w:val="20"/>
                <w:szCs w:val="20"/>
              </w:rPr>
            </w:pPr>
            <w:r w:rsidRPr="00E7554A">
              <w:rPr>
                <w:sz w:val="20"/>
                <w:szCs w:val="20"/>
              </w:rPr>
              <w:t>1 239</w:t>
            </w:r>
          </w:p>
        </w:tc>
        <w:tc>
          <w:tcPr>
            <w:tcW w:w="982" w:type="dxa"/>
            <w:tcBorders>
              <w:bottom w:val="single" w:sz="4" w:space="0" w:color="auto"/>
              <w:right w:val="single" w:sz="4" w:space="0" w:color="auto"/>
            </w:tcBorders>
            <w:shd w:val="clear" w:color="auto" w:fill="E2E9F6"/>
            <w:noWrap/>
            <w:vAlign w:val="center"/>
            <w:hideMark/>
          </w:tcPr>
          <w:p w14:paraId="248C5A1D" w14:textId="1E77F939" w:rsidR="002037C5" w:rsidRPr="00E7554A" w:rsidRDefault="00B822BA" w:rsidP="00E7554A">
            <w:pPr>
              <w:jc w:val="right"/>
              <w:rPr>
                <w:color w:val="000000"/>
                <w:sz w:val="20"/>
                <w:szCs w:val="20"/>
              </w:rPr>
            </w:pPr>
            <w:r w:rsidRPr="00E7554A">
              <w:rPr>
                <w:color w:val="000000"/>
                <w:sz w:val="20"/>
                <w:szCs w:val="20"/>
              </w:rPr>
              <w:t>1 422</w:t>
            </w:r>
          </w:p>
        </w:tc>
      </w:tr>
      <w:tr w:rsidR="00780B66" w:rsidRPr="00E7554A" w14:paraId="4FA2206F" w14:textId="77777777" w:rsidTr="00E7554A">
        <w:trPr>
          <w:trHeight w:val="214"/>
          <w:jc w:val="center"/>
        </w:trPr>
        <w:tc>
          <w:tcPr>
            <w:tcW w:w="1130" w:type="dxa"/>
            <w:vMerge w:val="restart"/>
            <w:tcBorders>
              <w:top w:val="single" w:sz="4" w:space="0" w:color="auto"/>
              <w:left w:val="single" w:sz="4" w:space="0" w:color="auto"/>
            </w:tcBorders>
            <w:shd w:val="clear" w:color="auto" w:fill="D9E2F3" w:themeFill="accent1" w:themeFillTint="33"/>
            <w:noWrap/>
            <w:vAlign w:val="center"/>
            <w:hideMark/>
          </w:tcPr>
          <w:p w14:paraId="7320776B" w14:textId="77777777" w:rsidR="002037C5" w:rsidRPr="00E7554A" w:rsidRDefault="002037C5" w:rsidP="000838F8">
            <w:pPr>
              <w:jc w:val="center"/>
              <w:rPr>
                <w:b/>
                <w:bCs/>
                <w:color w:val="000000"/>
                <w:sz w:val="20"/>
                <w:szCs w:val="20"/>
              </w:rPr>
            </w:pPr>
            <w:r w:rsidRPr="00E7554A">
              <w:rPr>
                <w:b/>
                <w:bCs/>
                <w:color w:val="000000"/>
                <w:sz w:val="20"/>
                <w:szCs w:val="20"/>
              </w:rPr>
              <w:t>Maďarsko</w:t>
            </w:r>
          </w:p>
        </w:tc>
        <w:tc>
          <w:tcPr>
            <w:tcW w:w="705" w:type="dxa"/>
            <w:tcBorders>
              <w:top w:val="single" w:sz="4" w:space="0" w:color="auto"/>
            </w:tcBorders>
            <w:shd w:val="clear" w:color="auto" w:fill="D9E2F3" w:themeFill="accent1" w:themeFillTint="33"/>
            <w:vAlign w:val="center"/>
          </w:tcPr>
          <w:p w14:paraId="1273DC6D" w14:textId="3720AA0F" w:rsidR="002037C5" w:rsidRPr="00E7554A" w:rsidRDefault="0067040D" w:rsidP="0067040D">
            <w:pPr>
              <w:jc w:val="center"/>
              <w:rPr>
                <w:sz w:val="20"/>
                <w:szCs w:val="20"/>
              </w:rPr>
            </w:pPr>
            <w:r w:rsidRPr="00E7554A">
              <w:rPr>
                <w:sz w:val="20"/>
                <w:szCs w:val="20"/>
              </w:rPr>
              <w:t>HUF</w:t>
            </w:r>
          </w:p>
        </w:tc>
        <w:tc>
          <w:tcPr>
            <w:tcW w:w="868" w:type="dxa"/>
            <w:tcBorders>
              <w:top w:val="single" w:sz="4" w:space="0" w:color="auto"/>
            </w:tcBorders>
            <w:shd w:val="clear" w:color="auto" w:fill="D9E2F3" w:themeFill="accent1" w:themeFillTint="33"/>
            <w:noWrap/>
            <w:vAlign w:val="center"/>
            <w:hideMark/>
          </w:tcPr>
          <w:p w14:paraId="3F922AD3" w14:textId="1B1BBECF" w:rsidR="002037C5" w:rsidRPr="00E7554A" w:rsidRDefault="002037C5" w:rsidP="00E7554A">
            <w:pPr>
              <w:jc w:val="right"/>
              <w:rPr>
                <w:color w:val="000000"/>
                <w:sz w:val="20"/>
                <w:szCs w:val="20"/>
              </w:rPr>
            </w:pPr>
            <w:r w:rsidRPr="00E7554A">
              <w:rPr>
                <w:sz w:val="20"/>
                <w:szCs w:val="20"/>
              </w:rPr>
              <w:t>221 071</w:t>
            </w:r>
          </w:p>
        </w:tc>
        <w:tc>
          <w:tcPr>
            <w:tcW w:w="897" w:type="dxa"/>
            <w:tcBorders>
              <w:top w:val="single" w:sz="4" w:space="0" w:color="auto"/>
            </w:tcBorders>
            <w:shd w:val="clear" w:color="auto" w:fill="D9E2F3" w:themeFill="accent1" w:themeFillTint="33"/>
            <w:noWrap/>
            <w:vAlign w:val="center"/>
            <w:hideMark/>
          </w:tcPr>
          <w:p w14:paraId="6581AA4E" w14:textId="6C3F67DA" w:rsidR="002037C5" w:rsidRPr="00E7554A" w:rsidRDefault="002037C5" w:rsidP="00E7554A">
            <w:pPr>
              <w:jc w:val="right"/>
              <w:rPr>
                <w:color w:val="000000"/>
                <w:sz w:val="20"/>
                <w:szCs w:val="20"/>
              </w:rPr>
            </w:pPr>
            <w:r w:rsidRPr="00E7554A">
              <w:rPr>
                <w:sz w:val="20"/>
                <w:szCs w:val="20"/>
              </w:rPr>
              <w:t>222 228</w:t>
            </w:r>
          </w:p>
        </w:tc>
        <w:tc>
          <w:tcPr>
            <w:tcW w:w="897" w:type="dxa"/>
            <w:tcBorders>
              <w:top w:val="single" w:sz="4" w:space="0" w:color="auto"/>
            </w:tcBorders>
            <w:shd w:val="clear" w:color="auto" w:fill="D9E2F3" w:themeFill="accent1" w:themeFillTint="33"/>
            <w:noWrap/>
            <w:vAlign w:val="center"/>
            <w:hideMark/>
          </w:tcPr>
          <w:p w14:paraId="3A6F6161" w14:textId="6724A198" w:rsidR="002037C5" w:rsidRPr="00E7554A" w:rsidRDefault="002037C5" w:rsidP="00E7554A">
            <w:pPr>
              <w:jc w:val="right"/>
              <w:rPr>
                <w:color w:val="000000"/>
                <w:sz w:val="20"/>
                <w:szCs w:val="20"/>
              </w:rPr>
            </w:pPr>
            <w:r w:rsidRPr="00E7554A">
              <w:rPr>
                <w:sz w:val="20"/>
                <w:szCs w:val="20"/>
              </w:rPr>
              <w:t>265 610</w:t>
            </w:r>
          </w:p>
        </w:tc>
        <w:tc>
          <w:tcPr>
            <w:tcW w:w="897" w:type="dxa"/>
            <w:tcBorders>
              <w:top w:val="single" w:sz="4" w:space="0" w:color="auto"/>
            </w:tcBorders>
            <w:shd w:val="clear" w:color="auto" w:fill="D9E2F3" w:themeFill="accent1" w:themeFillTint="33"/>
            <w:noWrap/>
            <w:vAlign w:val="center"/>
            <w:hideMark/>
          </w:tcPr>
          <w:p w14:paraId="5DF7A76B" w14:textId="694077B1" w:rsidR="002037C5" w:rsidRPr="00E7554A" w:rsidRDefault="002037C5" w:rsidP="00E7554A">
            <w:pPr>
              <w:jc w:val="right"/>
              <w:rPr>
                <w:color w:val="000000"/>
                <w:sz w:val="20"/>
                <w:szCs w:val="20"/>
              </w:rPr>
            </w:pPr>
            <w:r w:rsidRPr="00E7554A">
              <w:rPr>
                <w:sz w:val="20"/>
                <w:szCs w:val="20"/>
              </w:rPr>
              <w:t>257 396</w:t>
            </w:r>
          </w:p>
        </w:tc>
        <w:tc>
          <w:tcPr>
            <w:tcW w:w="897" w:type="dxa"/>
            <w:tcBorders>
              <w:top w:val="single" w:sz="4" w:space="0" w:color="auto"/>
            </w:tcBorders>
            <w:shd w:val="clear" w:color="auto" w:fill="D9E2F3" w:themeFill="accent1" w:themeFillTint="33"/>
            <w:noWrap/>
            <w:vAlign w:val="center"/>
            <w:hideMark/>
          </w:tcPr>
          <w:p w14:paraId="00DEA445" w14:textId="5A2EAB2A" w:rsidR="002037C5" w:rsidRPr="00E7554A" w:rsidRDefault="002037C5" w:rsidP="00E7554A">
            <w:pPr>
              <w:jc w:val="right"/>
              <w:rPr>
                <w:color w:val="000000"/>
                <w:sz w:val="20"/>
                <w:szCs w:val="20"/>
              </w:rPr>
            </w:pPr>
            <w:r w:rsidRPr="00E7554A">
              <w:rPr>
                <w:sz w:val="20"/>
                <w:szCs w:val="20"/>
              </w:rPr>
              <w:t>274 816</w:t>
            </w:r>
          </w:p>
        </w:tc>
        <w:tc>
          <w:tcPr>
            <w:tcW w:w="897" w:type="dxa"/>
            <w:tcBorders>
              <w:top w:val="single" w:sz="4" w:space="0" w:color="auto"/>
            </w:tcBorders>
            <w:shd w:val="clear" w:color="auto" w:fill="D9E2F3" w:themeFill="accent1" w:themeFillTint="33"/>
            <w:noWrap/>
            <w:vAlign w:val="center"/>
            <w:hideMark/>
          </w:tcPr>
          <w:p w14:paraId="785089DC" w14:textId="22464F29" w:rsidR="002037C5" w:rsidRPr="00E7554A" w:rsidRDefault="002037C5" w:rsidP="00E7554A">
            <w:pPr>
              <w:jc w:val="right"/>
              <w:rPr>
                <w:color w:val="000000"/>
                <w:sz w:val="20"/>
                <w:szCs w:val="20"/>
              </w:rPr>
            </w:pPr>
            <w:r w:rsidRPr="00E7554A">
              <w:rPr>
                <w:sz w:val="20"/>
                <w:szCs w:val="20"/>
              </w:rPr>
              <w:t>280 847</w:t>
            </w:r>
          </w:p>
        </w:tc>
        <w:tc>
          <w:tcPr>
            <w:tcW w:w="897" w:type="dxa"/>
            <w:tcBorders>
              <w:top w:val="single" w:sz="4" w:space="0" w:color="auto"/>
            </w:tcBorders>
            <w:shd w:val="clear" w:color="auto" w:fill="D9E2F3" w:themeFill="accent1" w:themeFillTint="33"/>
            <w:noWrap/>
            <w:vAlign w:val="center"/>
            <w:hideMark/>
          </w:tcPr>
          <w:p w14:paraId="44C5AFDD" w14:textId="7FD269F2" w:rsidR="002037C5" w:rsidRPr="00E7554A" w:rsidRDefault="002037C5" w:rsidP="00E7554A">
            <w:pPr>
              <w:jc w:val="right"/>
              <w:rPr>
                <w:color w:val="000000"/>
                <w:sz w:val="20"/>
                <w:szCs w:val="20"/>
              </w:rPr>
            </w:pPr>
            <w:r w:rsidRPr="00E7554A">
              <w:rPr>
                <w:sz w:val="20"/>
                <w:szCs w:val="20"/>
              </w:rPr>
              <w:t>342 786</w:t>
            </w:r>
          </w:p>
        </w:tc>
        <w:tc>
          <w:tcPr>
            <w:tcW w:w="982" w:type="dxa"/>
            <w:tcBorders>
              <w:top w:val="single" w:sz="4" w:space="0" w:color="auto"/>
              <w:right w:val="single" w:sz="4" w:space="0" w:color="auto"/>
            </w:tcBorders>
            <w:shd w:val="clear" w:color="auto" w:fill="D9E2F3" w:themeFill="accent1" w:themeFillTint="33"/>
            <w:noWrap/>
            <w:vAlign w:val="center"/>
            <w:hideMark/>
          </w:tcPr>
          <w:p w14:paraId="6EF888B9" w14:textId="7BA0B1AE" w:rsidR="002037C5" w:rsidRPr="00E7554A" w:rsidRDefault="005F0BD5" w:rsidP="00E7554A">
            <w:pPr>
              <w:jc w:val="right"/>
              <w:rPr>
                <w:color w:val="000000"/>
                <w:sz w:val="20"/>
                <w:szCs w:val="20"/>
              </w:rPr>
            </w:pPr>
            <w:r w:rsidRPr="00E7554A">
              <w:rPr>
                <w:color w:val="000000"/>
                <w:sz w:val="20"/>
                <w:szCs w:val="20"/>
              </w:rPr>
              <w:t>406 388</w:t>
            </w:r>
          </w:p>
        </w:tc>
      </w:tr>
      <w:tr w:rsidR="0067040D" w:rsidRPr="00E7554A" w14:paraId="72EF51B5" w14:textId="77777777" w:rsidTr="00E7554A">
        <w:trPr>
          <w:trHeight w:val="214"/>
          <w:jc w:val="center"/>
        </w:trPr>
        <w:tc>
          <w:tcPr>
            <w:tcW w:w="1130" w:type="dxa"/>
            <w:vMerge/>
            <w:tcBorders>
              <w:left w:val="single" w:sz="4" w:space="0" w:color="auto"/>
              <w:bottom w:val="single" w:sz="4" w:space="0" w:color="auto"/>
            </w:tcBorders>
            <w:shd w:val="clear" w:color="auto" w:fill="D9E2F3" w:themeFill="accent1" w:themeFillTint="33"/>
            <w:vAlign w:val="center"/>
            <w:hideMark/>
          </w:tcPr>
          <w:p w14:paraId="19C32CA6" w14:textId="77777777" w:rsidR="0067040D" w:rsidRPr="00E7554A" w:rsidRDefault="0067040D" w:rsidP="0067040D">
            <w:pPr>
              <w:jc w:val="center"/>
              <w:rPr>
                <w:b/>
                <w:bCs/>
                <w:color w:val="000000"/>
                <w:sz w:val="20"/>
                <w:szCs w:val="20"/>
              </w:rPr>
            </w:pPr>
          </w:p>
        </w:tc>
        <w:tc>
          <w:tcPr>
            <w:tcW w:w="705" w:type="dxa"/>
            <w:tcBorders>
              <w:bottom w:val="single" w:sz="4" w:space="0" w:color="auto"/>
            </w:tcBorders>
            <w:shd w:val="clear" w:color="auto" w:fill="E2E9F6"/>
            <w:vAlign w:val="center"/>
          </w:tcPr>
          <w:p w14:paraId="6DC0324C" w14:textId="272C7CB3" w:rsidR="0067040D" w:rsidRPr="00E7554A" w:rsidRDefault="0067040D" w:rsidP="0067040D">
            <w:pPr>
              <w:jc w:val="center"/>
              <w:rPr>
                <w:sz w:val="20"/>
                <w:szCs w:val="20"/>
              </w:rPr>
            </w:pPr>
            <w:r w:rsidRPr="00E7554A">
              <w:rPr>
                <w:sz w:val="20"/>
                <w:szCs w:val="20"/>
              </w:rPr>
              <w:t>EUR</w:t>
            </w:r>
          </w:p>
        </w:tc>
        <w:tc>
          <w:tcPr>
            <w:tcW w:w="868" w:type="dxa"/>
            <w:tcBorders>
              <w:bottom w:val="single" w:sz="4" w:space="0" w:color="auto"/>
            </w:tcBorders>
            <w:shd w:val="clear" w:color="auto" w:fill="E2E9F6"/>
            <w:noWrap/>
            <w:vAlign w:val="center"/>
            <w:hideMark/>
          </w:tcPr>
          <w:p w14:paraId="6F94AC7A" w14:textId="01DBF12E" w:rsidR="0067040D" w:rsidRPr="00E7554A" w:rsidRDefault="0067040D" w:rsidP="00E7554A">
            <w:pPr>
              <w:jc w:val="right"/>
              <w:rPr>
                <w:color w:val="000000"/>
                <w:sz w:val="20"/>
                <w:szCs w:val="20"/>
              </w:rPr>
            </w:pPr>
            <w:r w:rsidRPr="00E7554A">
              <w:rPr>
                <w:sz w:val="20"/>
                <w:szCs w:val="20"/>
              </w:rPr>
              <w:t>752</w:t>
            </w:r>
          </w:p>
        </w:tc>
        <w:tc>
          <w:tcPr>
            <w:tcW w:w="897" w:type="dxa"/>
            <w:tcBorders>
              <w:bottom w:val="single" w:sz="4" w:space="0" w:color="auto"/>
            </w:tcBorders>
            <w:shd w:val="clear" w:color="auto" w:fill="E2E9F6"/>
            <w:noWrap/>
            <w:vAlign w:val="center"/>
            <w:hideMark/>
          </w:tcPr>
          <w:p w14:paraId="35A9ABCC" w14:textId="7BE302B4" w:rsidR="0067040D" w:rsidRPr="00E7554A" w:rsidRDefault="0067040D" w:rsidP="00E7554A">
            <w:pPr>
              <w:jc w:val="right"/>
              <w:rPr>
                <w:color w:val="000000"/>
                <w:sz w:val="20"/>
                <w:szCs w:val="20"/>
              </w:rPr>
            </w:pPr>
            <w:r w:rsidRPr="00E7554A">
              <w:rPr>
                <w:sz w:val="20"/>
                <w:szCs w:val="20"/>
              </w:rPr>
              <w:t>748</w:t>
            </w:r>
          </w:p>
        </w:tc>
        <w:tc>
          <w:tcPr>
            <w:tcW w:w="897" w:type="dxa"/>
            <w:tcBorders>
              <w:bottom w:val="single" w:sz="4" w:space="0" w:color="auto"/>
            </w:tcBorders>
            <w:shd w:val="clear" w:color="auto" w:fill="E2E9F6"/>
            <w:noWrap/>
            <w:vAlign w:val="center"/>
            <w:hideMark/>
          </w:tcPr>
          <w:p w14:paraId="4930851B" w14:textId="452FEA8D" w:rsidR="0067040D" w:rsidRPr="00E7554A" w:rsidRDefault="0067040D" w:rsidP="00E7554A">
            <w:pPr>
              <w:jc w:val="right"/>
              <w:rPr>
                <w:color w:val="000000"/>
                <w:sz w:val="20"/>
                <w:szCs w:val="20"/>
              </w:rPr>
            </w:pPr>
            <w:r w:rsidRPr="00E7554A">
              <w:rPr>
                <w:sz w:val="20"/>
                <w:szCs w:val="20"/>
              </w:rPr>
              <w:t>842</w:t>
            </w:r>
          </w:p>
        </w:tc>
        <w:tc>
          <w:tcPr>
            <w:tcW w:w="897" w:type="dxa"/>
            <w:tcBorders>
              <w:bottom w:val="single" w:sz="4" w:space="0" w:color="auto"/>
            </w:tcBorders>
            <w:shd w:val="clear" w:color="auto" w:fill="E2E9F6"/>
            <w:noWrap/>
            <w:vAlign w:val="center"/>
            <w:hideMark/>
          </w:tcPr>
          <w:p w14:paraId="656F2809" w14:textId="4B8E2F06" w:rsidR="0067040D" w:rsidRPr="00E7554A" w:rsidRDefault="0067040D" w:rsidP="00E7554A">
            <w:pPr>
              <w:jc w:val="right"/>
              <w:rPr>
                <w:color w:val="000000"/>
                <w:sz w:val="20"/>
                <w:szCs w:val="20"/>
              </w:rPr>
            </w:pPr>
            <w:r w:rsidRPr="00E7554A">
              <w:rPr>
                <w:sz w:val="20"/>
                <w:szCs w:val="20"/>
              </w:rPr>
              <w:t>815</w:t>
            </w:r>
          </w:p>
        </w:tc>
        <w:tc>
          <w:tcPr>
            <w:tcW w:w="897" w:type="dxa"/>
            <w:tcBorders>
              <w:bottom w:val="single" w:sz="4" w:space="0" w:color="auto"/>
            </w:tcBorders>
            <w:shd w:val="clear" w:color="auto" w:fill="E2E9F6"/>
            <w:noWrap/>
            <w:vAlign w:val="center"/>
            <w:hideMark/>
          </w:tcPr>
          <w:p w14:paraId="745FC931" w14:textId="58ADF849" w:rsidR="0067040D" w:rsidRPr="00E7554A" w:rsidRDefault="0067040D" w:rsidP="00E7554A">
            <w:pPr>
              <w:jc w:val="right"/>
              <w:rPr>
                <w:color w:val="000000"/>
                <w:sz w:val="20"/>
                <w:szCs w:val="20"/>
              </w:rPr>
            </w:pPr>
            <w:r w:rsidRPr="00E7554A">
              <w:rPr>
                <w:sz w:val="20"/>
                <w:szCs w:val="20"/>
              </w:rPr>
              <w:t>887</w:t>
            </w:r>
          </w:p>
        </w:tc>
        <w:tc>
          <w:tcPr>
            <w:tcW w:w="897" w:type="dxa"/>
            <w:tcBorders>
              <w:bottom w:val="single" w:sz="4" w:space="0" w:color="auto"/>
            </w:tcBorders>
            <w:shd w:val="clear" w:color="auto" w:fill="E2E9F6"/>
            <w:noWrap/>
            <w:vAlign w:val="center"/>
            <w:hideMark/>
          </w:tcPr>
          <w:p w14:paraId="19B65A88" w14:textId="14CC4531" w:rsidR="0067040D" w:rsidRPr="00E7554A" w:rsidRDefault="0067040D" w:rsidP="00E7554A">
            <w:pPr>
              <w:jc w:val="right"/>
              <w:rPr>
                <w:color w:val="000000"/>
                <w:sz w:val="20"/>
                <w:szCs w:val="20"/>
              </w:rPr>
            </w:pPr>
            <w:r w:rsidRPr="00E7554A">
              <w:rPr>
                <w:sz w:val="20"/>
                <w:szCs w:val="20"/>
              </w:rPr>
              <w:t>905</w:t>
            </w:r>
          </w:p>
        </w:tc>
        <w:tc>
          <w:tcPr>
            <w:tcW w:w="897" w:type="dxa"/>
            <w:tcBorders>
              <w:bottom w:val="single" w:sz="4" w:space="0" w:color="auto"/>
            </w:tcBorders>
            <w:shd w:val="clear" w:color="auto" w:fill="E2E9F6"/>
            <w:noWrap/>
            <w:vAlign w:val="center"/>
            <w:hideMark/>
          </w:tcPr>
          <w:p w14:paraId="03BBE575" w14:textId="080A1057" w:rsidR="0067040D" w:rsidRPr="00E7554A" w:rsidRDefault="0067040D" w:rsidP="00E7554A">
            <w:pPr>
              <w:jc w:val="right"/>
              <w:rPr>
                <w:color w:val="000000"/>
                <w:sz w:val="20"/>
                <w:szCs w:val="20"/>
              </w:rPr>
            </w:pPr>
            <w:r w:rsidRPr="00E7554A">
              <w:rPr>
                <w:sz w:val="20"/>
                <w:szCs w:val="20"/>
              </w:rPr>
              <w:t>1 068</w:t>
            </w:r>
          </w:p>
        </w:tc>
        <w:tc>
          <w:tcPr>
            <w:tcW w:w="982" w:type="dxa"/>
            <w:tcBorders>
              <w:bottom w:val="single" w:sz="4" w:space="0" w:color="auto"/>
              <w:right w:val="single" w:sz="4" w:space="0" w:color="auto"/>
            </w:tcBorders>
            <w:shd w:val="clear" w:color="auto" w:fill="E2E9F6"/>
            <w:noWrap/>
            <w:vAlign w:val="center"/>
            <w:hideMark/>
          </w:tcPr>
          <w:p w14:paraId="5A5E6902" w14:textId="5ECD6655" w:rsidR="0067040D" w:rsidRPr="00E7554A" w:rsidRDefault="005F0BD5" w:rsidP="00E7554A">
            <w:pPr>
              <w:jc w:val="right"/>
              <w:rPr>
                <w:color w:val="000000"/>
                <w:sz w:val="20"/>
                <w:szCs w:val="20"/>
              </w:rPr>
            </w:pPr>
            <w:r w:rsidRPr="00E7554A">
              <w:rPr>
                <w:color w:val="000000"/>
                <w:sz w:val="20"/>
                <w:szCs w:val="20"/>
              </w:rPr>
              <w:t>1 200</w:t>
            </w:r>
          </w:p>
        </w:tc>
      </w:tr>
      <w:tr w:rsidR="0067040D" w:rsidRPr="00E7554A" w14:paraId="390E6ED0" w14:textId="77777777" w:rsidTr="00E7554A">
        <w:trPr>
          <w:trHeight w:val="437"/>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621E80BE" w14:textId="77777777" w:rsidR="0067040D" w:rsidRPr="00E7554A" w:rsidRDefault="0067040D" w:rsidP="0067040D">
            <w:pPr>
              <w:jc w:val="center"/>
              <w:rPr>
                <w:b/>
                <w:bCs/>
                <w:color w:val="000000"/>
                <w:sz w:val="20"/>
                <w:szCs w:val="20"/>
              </w:rPr>
            </w:pPr>
            <w:r w:rsidRPr="00E7554A">
              <w:rPr>
                <w:b/>
                <w:bCs/>
                <w:color w:val="000000"/>
                <w:sz w:val="20"/>
                <w:szCs w:val="20"/>
              </w:rPr>
              <w:t>Německo</w:t>
            </w:r>
          </w:p>
        </w:tc>
        <w:tc>
          <w:tcPr>
            <w:tcW w:w="705" w:type="dxa"/>
            <w:tcBorders>
              <w:top w:val="single" w:sz="4" w:space="0" w:color="auto"/>
              <w:bottom w:val="single" w:sz="4" w:space="0" w:color="auto"/>
            </w:tcBorders>
            <w:shd w:val="clear" w:color="auto" w:fill="D9E2F3" w:themeFill="accent1" w:themeFillTint="33"/>
            <w:vAlign w:val="center"/>
          </w:tcPr>
          <w:p w14:paraId="6E18A96E" w14:textId="75A23BF8" w:rsidR="0067040D" w:rsidRPr="00E7554A" w:rsidRDefault="0067040D" w:rsidP="0067040D">
            <w:pPr>
              <w:jc w:val="center"/>
              <w:rPr>
                <w:sz w:val="20"/>
                <w:szCs w:val="20"/>
              </w:rPr>
            </w:pPr>
            <w:r w:rsidRPr="00E7554A">
              <w:rPr>
                <w:sz w:val="20"/>
                <w:szCs w:val="20"/>
              </w:rPr>
              <w:t>EUR</w:t>
            </w:r>
          </w:p>
        </w:tc>
        <w:tc>
          <w:tcPr>
            <w:tcW w:w="868" w:type="dxa"/>
            <w:tcBorders>
              <w:top w:val="single" w:sz="4" w:space="0" w:color="auto"/>
              <w:bottom w:val="single" w:sz="4" w:space="0" w:color="auto"/>
            </w:tcBorders>
            <w:shd w:val="clear" w:color="auto" w:fill="D9E2F3" w:themeFill="accent1" w:themeFillTint="33"/>
            <w:noWrap/>
            <w:vAlign w:val="center"/>
            <w:hideMark/>
          </w:tcPr>
          <w:p w14:paraId="473DD9C1" w14:textId="01567D7C" w:rsidR="0067040D" w:rsidRPr="00E7554A" w:rsidRDefault="0067040D" w:rsidP="00E7554A">
            <w:pPr>
              <w:jc w:val="right"/>
              <w:rPr>
                <w:color w:val="000000"/>
                <w:sz w:val="20"/>
                <w:szCs w:val="20"/>
              </w:rPr>
            </w:pPr>
            <w:r w:rsidRPr="00E7554A">
              <w:rPr>
                <w:sz w:val="20"/>
                <w:szCs w:val="20"/>
              </w:rPr>
              <w:t>3 054</w:t>
            </w:r>
          </w:p>
        </w:tc>
        <w:tc>
          <w:tcPr>
            <w:tcW w:w="897" w:type="dxa"/>
            <w:tcBorders>
              <w:top w:val="single" w:sz="4" w:space="0" w:color="auto"/>
              <w:bottom w:val="single" w:sz="4" w:space="0" w:color="auto"/>
            </w:tcBorders>
            <w:shd w:val="clear" w:color="auto" w:fill="D9E2F3" w:themeFill="accent1" w:themeFillTint="33"/>
            <w:noWrap/>
            <w:vAlign w:val="center"/>
            <w:hideMark/>
          </w:tcPr>
          <w:p w14:paraId="2AD7AE10" w14:textId="0A3E9DC8" w:rsidR="0067040D" w:rsidRPr="00E7554A" w:rsidRDefault="0067040D" w:rsidP="00E7554A">
            <w:pPr>
              <w:jc w:val="right"/>
              <w:rPr>
                <w:color w:val="000000"/>
                <w:sz w:val="20"/>
                <w:szCs w:val="20"/>
              </w:rPr>
            </w:pPr>
            <w:r w:rsidRPr="00E7554A">
              <w:rPr>
                <w:sz w:val="20"/>
                <w:szCs w:val="20"/>
              </w:rPr>
              <w:t>3 090</w:t>
            </w:r>
          </w:p>
        </w:tc>
        <w:tc>
          <w:tcPr>
            <w:tcW w:w="897" w:type="dxa"/>
            <w:tcBorders>
              <w:top w:val="single" w:sz="4" w:space="0" w:color="auto"/>
              <w:bottom w:val="single" w:sz="4" w:space="0" w:color="auto"/>
            </w:tcBorders>
            <w:shd w:val="clear" w:color="auto" w:fill="D9E2F3" w:themeFill="accent1" w:themeFillTint="33"/>
            <w:noWrap/>
            <w:vAlign w:val="center"/>
            <w:hideMark/>
          </w:tcPr>
          <w:p w14:paraId="2F3D5356" w14:textId="3769084F" w:rsidR="0067040D" w:rsidRPr="00E7554A" w:rsidRDefault="0067040D" w:rsidP="00E7554A">
            <w:pPr>
              <w:jc w:val="right"/>
              <w:rPr>
                <w:color w:val="000000"/>
                <w:sz w:val="20"/>
                <w:szCs w:val="20"/>
              </w:rPr>
            </w:pPr>
            <w:r w:rsidRPr="00E7554A">
              <w:rPr>
                <w:sz w:val="20"/>
                <w:szCs w:val="20"/>
              </w:rPr>
              <w:t>3 138</w:t>
            </w:r>
          </w:p>
        </w:tc>
        <w:tc>
          <w:tcPr>
            <w:tcW w:w="897" w:type="dxa"/>
            <w:tcBorders>
              <w:top w:val="single" w:sz="4" w:space="0" w:color="auto"/>
              <w:bottom w:val="single" w:sz="4" w:space="0" w:color="auto"/>
            </w:tcBorders>
            <w:shd w:val="clear" w:color="auto" w:fill="D9E2F3" w:themeFill="accent1" w:themeFillTint="33"/>
            <w:noWrap/>
            <w:vAlign w:val="center"/>
            <w:hideMark/>
          </w:tcPr>
          <w:p w14:paraId="5EB2D492" w14:textId="200EE986" w:rsidR="0067040D" w:rsidRPr="00E7554A" w:rsidRDefault="0067040D" w:rsidP="00E7554A">
            <w:pPr>
              <w:jc w:val="right"/>
              <w:rPr>
                <w:color w:val="000000"/>
                <w:sz w:val="20"/>
                <w:szCs w:val="20"/>
              </w:rPr>
            </w:pPr>
            <w:r w:rsidRPr="00E7554A">
              <w:rPr>
                <w:sz w:val="20"/>
                <w:szCs w:val="20"/>
              </w:rPr>
              <w:t>3 206</w:t>
            </w:r>
          </w:p>
        </w:tc>
        <w:tc>
          <w:tcPr>
            <w:tcW w:w="897" w:type="dxa"/>
            <w:tcBorders>
              <w:top w:val="single" w:sz="4" w:space="0" w:color="auto"/>
              <w:bottom w:val="single" w:sz="4" w:space="0" w:color="auto"/>
            </w:tcBorders>
            <w:shd w:val="clear" w:color="auto" w:fill="D9E2F3" w:themeFill="accent1" w:themeFillTint="33"/>
            <w:noWrap/>
            <w:vAlign w:val="center"/>
            <w:hideMark/>
          </w:tcPr>
          <w:p w14:paraId="0D91C613" w14:textId="5C731A84" w:rsidR="0067040D" w:rsidRPr="00E7554A" w:rsidRDefault="0067040D" w:rsidP="00E7554A">
            <w:pPr>
              <w:jc w:val="right"/>
              <w:rPr>
                <w:color w:val="000000"/>
                <w:sz w:val="20"/>
                <w:szCs w:val="20"/>
              </w:rPr>
            </w:pPr>
            <w:r w:rsidRPr="00E7554A">
              <w:rPr>
                <w:sz w:val="20"/>
                <w:szCs w:val="20"/>
              </w:rPr>
              <w:t>3 253</w:t>
            </w:r>
          </w:p>
        </w:tc>
        <w:tc>
          <w:tcPr>
            <w:tcW w:w="897" w:type="dxa"/>
            <w:tcBorders>
              <w:top w:val="single" w:sz="4" w:space="0" w:color="auto"/>
              <w:bottom w:val="single" w:sz="4" w:space="0" w:color="auto"/>
            </w:tcBorders>
            <w:shd w:val="clear" w:color="auto" w:fill="D9E2F3" w:themeFill="accent1" w:themeFillTint="33"/>
            <w:noWrap/>
            <w:vAlign w:val="center"/>
            <w:hideMark/>
          </w:tcPr>
          <w:p w14:paraId="2C6882FF" w14:textId="45B39673" w:rsidR="0067040D" w:rsidRPr="00E7554A" w:rsidRDefault="0067040D" w:rsidP="00E7554A">
            <w:pPr>
              <w:jc w:val="right"/>
              <w:rPr>
                <w:color w:val="000000"/>
                <w:sz w:val="20"/>
                <w:szCs w:val="20"/>
              </w:rPr>
            </w:pPr>
            <w:r w:rsidRPr="00E7554A">
              <w:rPr>
                <w:sz w:val="20"/>
                <w:szCs w:val="20"/>
              </w:rPr>
              <w:t>3 770</w:t>
            </w:r>
          </w:p>
        </w:tc>
        <w:tc>
          <w:tcPr>
            <w:tcW w:w="897" w:type="dxa"/>
            <w:tcBorders>
              <w:top w:val="single" w:sz="4" w:space="0" w:color="auto"/>
              <w:bottom w:val="single" w:sz="4" w:space="0" w:color="auto"/>
            </w:tcBorders>
            <w:shd w:val="clear" w:color="auto" w:fill="D9E2F3" w:themeFill="accent1" w:themeFillTint="33"/>
            <w:noWrap/>
            <w:vAlign w:val="center"/>
            <w:hideMark/>
          </w:tcPr>
          <w:p w14:paraId="40763E0A" w14:textId="28280C77" w:rsidR="0067040D" w:rsidRPr="00E7554A" w:rsidRDefault="0067040D" w:rsidP="00E7554A">
            <w:pPr>
              <w:jc w:val="right"/>
              <w:rPr>
                <w:color w:val="000000"/>
                <w:sz w:val="20"/>
                <w:szCs w:val="20"/>
              </w:rPr>
            </w:pPr>
            <w:r w:rsidRPr="00E7554A">
              <w:rPr>
                <w:sz w:val="20"/>
                <w:szCs w:val="20"/>
              </w:rPr>
              <w:t>3 880</w:t>
            </w:r>
          </w:p>
        </w:tc>
        <w:tc>
          <w:tcPr>
            <w:tcW w:w="982" w:type="dxa"/>
            <w:tcBorders>
              <w:top w:val="single" w:sz="4" w:space="0" w:color="auto"/>
              <w:bottom w:val="single" w:sz="4" w:space="0" w:color="auto"/>
              <w:right w:val="single" w:sz="4" w:space="0" w:color="auto"/>
            </w:tcBorders>
            <w:shd w:val="clear" w:color="auto" w:fill="D9E2F3" w:themeFill="accent1" w:themeFillTint="33"/>
            <w:noWrap/>
            <w:vAlign w:val="center"/>
            <w:hideMark/>
          </w:tcPr>
          <w:p w14:paraId="1336D177" w14:textId="28C58F08" w:rsidR="0067040D" w:rsidRPr="00E7554A" w:rsidRDefault="00D8032C" w:rsidP="00E7554A">
            <w:pPr>
              <w:jc w:val="right"/>
              <w:rPr>
                <w:color w:val="000000"/>
                <w:sz w:val="20"/>
                <w:szCs w:val="20"/>
              </w:rPr>
            </w:pPr>
            <w:r w:rsidRPr="00E7554A">
              <w:rPr>
                <w:color w:val="000000"/>
                <w:sz w:val="20"/>
                <w:szCs w:val="20"/>
              </w:rPr>
              <w:t>3 963</w:t>
            </w:r>
          </w:p>
        </w:tc>
      </w:tr>
      <w:tr w:rsidR="00780B66" w:rsidRPr="00E7554A" w14:paraId="5EFE5E07" w14:textId="77777777" w:rsidTr="00E7554A">
        <w:trPr>
          <w:trHeight w:val="214"/>
          <w:jc w:val="center"/>
        </w:trPr>
        <w:tc>
          <w:tcPr>
            <w:tcW w:w="1130" w:type="dxa"/>
            <w:vMerge w:val="restart"/>
            <w:tcBorders>
              <w:top w:val="single" w:sz="4" w:space="0" w:color="auto"/>
              <w:left w:val="single" w:sz="4" w:space="0" w:color="auto"/>
            </w:tcBorders>
            <w:shd w:val="clear" w:color="auto" w:fill="D9E2F3" w:themeFill="accent1" w:themeFillTint="33"/>
            <w:noWrap/>
            <w:vAlign w:val="center"/>
            <w:hideMark/>
          </w:tcPr>
          <w:p w14:paraId="1889A21F" w14:textId="77777777" w:rsidR="002037C5" w:rsidRPr="00E7554A" w:rsidRDefault="002037C5" w:rsidP="003631F7">
            <w:pPr>
              <w:jc w:val="center"/>
              <w:rPr>
                <w:b/>
                <w:bCs/>
                <w:color w:val="000000"/>
                <w:sz w:val="20"/>
                <w:szCs w:val="20"/>
              </w:rPr>
            </w:pPr>
            <w:r w:rsidRPr="00E7554A">
              <w:rPr>
                <w:b/>
                <w:bCs/>
                <w:color w:val="000000"/>
                <w:sz w:val="20"/>
                <w:szCs w:val="20"/>
              </w:rPr>
              <w:t>Polsko</w:t>
            </w:r>
          </w:p>
        </w:tc>
        <w:tc>
          <w:tcPr>
            <w:tcW w:w="705" w:type="dxa"/>
            <w:tcBorders>
              <w:top w:val="single" w:sz="4" w:space="0" w:color="auto"/>
            </w:tcBorders>
            <w:shd w:val="clear" w:color="auto" w:fill="D9E2F3" w:themeFill="accent1" w:themeFillTint="33"/>
            <w:vAlign w:val="center"/>
          </w:tcPr>
          <w:p w14:paraId="0D8D3C6F" w14:textId="7A3D20B7" w:rsidR="002037C5" w:rsidRPr="00E7554A" w:rsidRDefault="0067040D" w:rsidP="0067040D">
            <w:pPr>
              <w:jc w:val="center"/>
              <w:rPr>
                <w:sz w:val="20"/>
                <w:szCs w:val="20"/>
              </w:rPr>
            </w:pPr>
            <w:r w:rsidRPr="00E7554A">
              <w:rPr>
                <w:sz w:val="20"/>
                <w:szCs w:val="20"/>
              </w:rPr>
              <w:t>PLN</w:t>
            </w:r>
          </w:p>
        </w:tc>
        <w:tc>
          <w:tcPr>
            <w:tcW w:w="868" w:type="dxa"/>
            <w:tcBorders>
              <w:top w:val="single" w:sz="4" w:space="0" w:color="auto"/>
            </w:tcBorders>
            <w:shd w:val="clear" w:color="auto" w:fill="D9E2F3" w:themeFill="accent1" w:themeFillTint="33"/>
            <w:noWrap/>
            <w:vAlign w:val="center"/>
            <w:hideMark/>
          </w:tcPr>
          <w:p w14:paraId="731D4E29" w14:textId="4328C152" w:rsidR="002037C5" w:rsidRPr="00E7554A" w:rsidRDefault="002037C5" w:rsidP="00E7554A">
            <w:pPr>
              <w:jc w:val="right"/>
              <w:rPr>
                <w:color w:val="000000"/>
                <w:sz w:val="20"/>
                <w:szCs w:val="20"/>
              </w:rPr>
            </w:pPr>
            <w:r w:rsidRPr="00E7554A">
              <w:rPr>
                <w:sz w:val="20"/>
                <w:szCs w:val="20"/>
              </w:rPr>
              <w:t>3 522</w:t>
            </w:r>
          </w:p>
        </w:tc>
        <w:tc>
          <w:tcPr>
            <w:tcW w:w="897" w:type="dxa"/>
            <w:tcBorders>
              <w:top w:val="single" w:sz="4" w:space="0" w:color="auto"/>
            </w:tcBorders>
            <w:shd w:val="clear" w:color="auto" w:fill="D9E2F3" w:themeFill="accent1" w:themeFillTint="33"/>
            <w:noWrap/>
            <w:vAlign w:val="center"/>
            <w:hideMark/>
          </w:tcPr>
          <w:p w14:paraId="464C5F00" w14:textId="74A7EEBD" w:rsidR="002037C5" w:rsidRPr="00E7554A" w:rsidRDefault="002037C5" w:rsidP="00E7554A">
            <w:pPr>
              <w:jc w:val="right"/>
              <w:rPr>
                <w:color w:val="000000"/>
                <w:sz w:val="20"/>
                <w:szCs w:val="20"/>
              </w:rPr>
            </w:pPr>
            <w:r w:rsidRPr="00E7554A">
              <w:rPr>
                <w:sz w:val="20"/>
                <w:szCs w:val="20"/>
              </w:rPr>
              <w:t>3 650</w:t>
            </w:r>
          </w:p>
        </w:tc>
        <w:tc>
          <w:tcPr>
            <w:tcW w:w="897" w:type="dxa"/>
            <w:tcBorders>
              <w:top w:val="single" w:sz="4" w:space="0" w:color="auto"/>
            </w:tcBorders>
            <w:shd w:val="clear" w:color="auto" w:fill="D9E2F3" w:themeFill="accent1" w:themeFillTint="33"/>
            <w:noWrap/>
            <w:vAlign w:val="center"/>
            <w:hideMark/>
          </w:tcPr>
          <w:p w14:paraId="7AE5503F" w14:textId="3F6E1DB9" w:rsidR="002037C5" w:rsidRPr="00E7554A" w:rsidRDefault="002037C5" w:rsidP="00E7554A">
            <w:pPr>
              <w:jc w:val="right"/>
              <w:rPr>
                <w:color w:val="000000"/>
                <w:sz w:val="20"/>
                <w:szCs w:val="20"/>
              </w:rPr>
            </w:pPr>
            <w:r w:rsidRPr="00E7554A">
              <w:rPr>
                <w:sz w:val="20"/>
                <w:szCs w:val="20"/>
              </w:rPr>
              <w:t>3 783</w:t>
            </w:r>
          </w:p>
        </w:tc>
        <w:tc>
          <w:tcPr>
            <w:tcW w:w="897" w:type="dxa"/>
            <w:tcBorders>
              <w:top w:val="single" w:sz="4" w:space="0" w:color="auto"/>
            </w:tcBorders>
            <w:shd w:val="clear" w:color="auto" w:fill="D9E2F3" w:themeFill="accent1" w:themeFillTint="33"/>
            <w:noWrap/>
            <w:vAlign w:val="center"/>
            <w:hideMark/>
          </w:tcPr>
          <w:p w14:paraId="4A448B81" w14:textId="39E370E3" w:rsidR="002037C5" w:rsidRPr="00E7554A" w:rsidRDefault="002037C5" w:rsidP="00E7554A">
            <w:pPr>
              <w:jc w:val="right"/>
              <w:rPr>
                <w:color w:val="000000"/>
                <w:sz w:val="20"/>
                <w:szCs w:val="20"/>
              </w:rPr>
            </w:pPr>
            <w:r w:rsidRPr="00E7554A">
              <w:rPr>
                <w:sz w:val="20"/>
                <w:szCs w:val="20"/>
              </w:rPr>
              <w:t>3 900</w:t>
            </w:r>
          </w:p>
        </w:tc>
        <w:tc>
          <w:tcPr>
            <w:tcW w:w="897" w:type="dxa"/>
            <w:tcBorders>
              <w:top w:val="single" w:sz="4" w:space="0" w:color="auto"/>
            </w:tcBorders>
            <w:shd w:val="clear" w:color="auto" w:fill="D9E2F3" w:themeFill="accent1" w:themeFillTint="33"/>
            <w:noWrap/>
            <w:vAlign w:val="center"/>
            <w:hideMark/>
          </w:tcPr>
          <w:p w14:paraId="42A8AF33" w14:textId="5B846CF5" w:rsidR="002037C5" w:rsidRPr="00E7554A" w:rsidRDefault="002037C5" w:rsidP="00E7554A">
            <w:pPr>
              <w:jc w:val="right"/>
              <w:rPr>
                <w:color w:val="000000"/>
                <w:sz w:val="20"/>
                <w:szCs w:val="20"/>
              </w:rPr>
            </w:pPr>
            <w:r w:rsidRPr="00E7554A">
              <w:rPr>
                <w:sz w:val="20"/>
                <w:szCs w:val="20"/>
              </w:rPr>
              <w:t>4 047</w:t>
            </w:r>
          </w:p>
        </w:tc>
        <w:tc>
          <w:tcPr>
            <w:tcW w:w="897" w:type="dxa"/>
            <w:tcBorders>
              <w:top w:val="single" w:sz="4" w:space="0" w:color="auto"/>
            </w:tcBorders>
            <w:shd w:val="clear" w:color="auto" w:fill="D9E2F3" w:themeFill="accent1" w:themeFillTint="33"/>
            <w:noWrap/>
            <w:vAlign w:val="center"/>
            <w:hideMark/>
          </w:tcPr>
          <w:p w14:paraId="5C562179" w14:textId="0C823247" w:rsidR="002037C5" w:rsidRPr="00E7554A" w:rsidRDefault="002037C5" w:rsidP="00E7554A">
            <w:pPr>
              <w:jc w:val="right"/>
              <w:rPr>
                <w:color w:val="000000"/>
                <w:sz w:val="20"/>
                <w:szCs w:val="20"/>
              </w:rPr>
            </w:pPr>
            <w:r w:rsidRPr="00E7554A">
              <w:rPr>
                <w:sz w:val="20"/>
                <w:szCs w:val="20"/>
              </w:rPr>
              <w:t>4 272</w:t>
            </w:r>
          </w:p>
        </w:tc>
        <w:tc>
          <w:tcPr>
            <w:tcW w:w="897" w:type="dxa"/>
            <w:tcBorders>
              <w:top w:val="single" w:sz="4" w:space="0" w:color="auto"/>
            </w:tcBorders>
            <w:shd w:val="clear" w:color="auto" w:fill="D9E2F3" w:themeFill="accent1" w:themeFillTint="33"/>
            <w:noWrap/>
            <w:vAlign w:val="center"/>
            <w:hideMark/>
          </w:tcPr>
          <w:p w14:paraId="6F4F1903" w14:textId="2B84BB5E" w:rsidR="002037C5" w:rsidRPr="00E7554A" w:rsidRDefault="002037C5" w:rsidP="00E7554A">
            <w:pPr>
              <w:jc w:val="right"/>
              <w:rPr>
                <w:color w:val="000000"/>
                <w:sz w:val="20"/>
                <w:szCs w:val="20"/>
              </w:rPr>
            </w:pPr>
            <w:r w:rsidRPr="00E7554A">
              <w:rPr>
                <w:sz w:val="20"/>
                <w:szCs w:val="20"/>
              </w:rPr>
              <w:t>4 585</w:t>
            </w:r>
          </w:p>
        </w:tc>
        <w:tc>
          <w:tcPr>
            <w:tcW w:w="982" w:type="dxa"/>
            <w:tcBorders>
              <w:top w:val="single" w:sz="4" w:space="0" w:color="auto"/>
              <w:right w:val="single" w:sz="4" w:space="0" w:color="auto"/>
            </w:tcBorders>
            <w:shd w:val="clear" w:color="auto" w:fill="D9E2F3" w:themeFill="accent1" w:themeFillTint="33"/>
            <w:noWrap/>
            <w:vAlign w:val="center"/>
            <w:hideMark/>
          </w:tcPr>
          <w:p w14:paraId="487F842C" w14:textId="73FA8178" w:rsidR="002037C5" w:rsidRPr="00E7554A" w:rsidRDefault="007900C6" w:rsidP="00E7554A">
            <w:pPr>
              <w:jc w:val="right"/>
              <w:rPr>
                <w:color w:val="000000"/>
                <w:sz w:val="20"/>
                <w:szCs w:val="20"/>
              </w:rPr>
            </w:pPr>
            <w:r w:rsidRPr="00E7554A">
              <w:rPr>
                <w:color w:val="000000"/>
                <w:sz w:val="20"/>
                <w:szCs w:val="20"/>
              </w:rPr>
              <w:t>4 918</w:t>
            </w:r>
          </w:p>
        </w:tc>
      </w:tr>
      <w:tr w:rsidR="0067040D" w:rsidRPr="00E7554A" w14:paraId="4A481CE5" w14:textId="77777777" w:rsidTr="00E7554A">
        <w:trPr>
          <w:trHeight w:val="214"/>
          <w:jc w:val="center"/>
        </w:trPr>
        <w:tc>
          <w:tcPr>
            <w:tcW w:w="1130" w:type="dxa"/>
            <w:vMerge/>
            <w:tcBorders>
              <w:left w:val="single" w:sz="4" w:space="0" w:color="auto"/>
              <w:bottom w:val="single" w:sz="4" w:space="0" w:color="auto"/>
            </w:tcBorders>
            <w:shd w:val="clear" w:color="auto" w:fill="D9E2F3" w:themeFill="accent1" w:themeFillTint="33"/>
            <w:vAlign w:val="center"/>
            <w:hideMark/>
          </w:tcPr>
          <w:p w14:paraId="5F6A2EC6" w14:textId="77777777" w:rsidR="0067040D" w:rsidRPr="00E7554A" w:rsidRDefault="0067040D" w:rsidP="0067040D">
            <w:pPr>
              <w:jc w:val="center"/>
              <w:rPr>
                <w:b/>
                <w:bCs/>
                <w:color w:val="000000"/>
                <w:sz w:val="20"/>
                <w:szCs w:val="20"/>
              </w:rPr>
            </w:pPr>
          </w:p>
        </w:tc>
        <w:tc>
          <w:tcPr>
            <w:tcW w:w="705" w:type="dxa"/>
            <w:tcBorders>
              <w:bottom w:val="single" w:sz="4" w:space="0" w:color="auto"/>
            </w:tcBorders>
            <w:shd w:val="clear" w:color="auto" w:fill="E2E9F6"/>
            <w:vAlign w:val="center"/>
          </w:tcPr>
          <w:p w14:paraId="002AFE69" w14:textId="376CDC5F" w:rsidR="0067040D" w:rsidRPr="00E7554A" w:rsidRDefault="0067040D" w:rsidP="0067040D">
            <w:pPr>
              <w:jc w:val="center"/>
              <w:rPr>
                <w:sz w:val="20"/>
                <w:szCs w:val="20"/>
              </w:rPr>
            </w:pPr>
            <w:r w:rsidRPr="00E7554A">
              <w:rPr>
                <w:sz w:val="20"/>
                <w:szCs w:val="20"/>
              </w:rPr>
              <w:t>EUR</w:t>
            </w:r>
          </w:p>
        </w:tc>
        <w:tc>
          <w:tcPr>
            <w:tcW w:w="868" w:type="dxa"/>
            <w:tcBorders>
              <w:bottom w:val="single" w:sz="4" w:space="0" w:color="auto"/>
            </w:tcBorders>
            <w:shd w:val="clear" w:color="auto" w:fill="E2E9F6"/>
            <w:noWrap/>
            <w:vAlign w:val="center"/>
            <w:hideMark/>
          </w:tcPr>
          <w:p w14:paraId="079141EB" w14:textId="7E543966" w:rsidR="0067040D" w:rsidRPr="00E7554A" w:rsidRDefault="0067040D" w:rsidP="00E7554A">
            <w:pPr>
              <w:jc w:val="right"/>
              <w:rPr>
                <w:color w:val="000000"/>
                <w:sz w:val="20"/>
                <w:szCs w:val="20"/>
              </w:rPr>
            </w:pPr>
            <w:r w:rsidRPr="00E7554A">
              <w:rPr>
                <w:sz w:val="20"/>
                <w:szCs w:val="20"/>
              </w:rPr>
              <w:t>865</w:t>
            </w:r>
          </w:p>
        </w:tc>
        <w:tc>
          <w:tcPr>
            <w:tcW w:w="897" w:type="dxa"/>
            <w:tcBorders>
              <w:bottom w:val="single" w:sz="4" w:space="0" w:color="auto"/>
            </w:tcBorders>
            <w:shd w:val="clear" w:color="auto" w:fill="E2E9F6"/>
            <w:noWrap/>
            <w:vAlign w:val="center"/>
            <w:hideMark/>
          </w:tcPr>
          <w:p w14:paraId="6A9A7BA2" w14:textId="0278993D" w:rsidR="0067040D" w:rsidRPr="00E7554A" w:rsidRDefault="0067040D" w:rsidP="00E7554A">
            <w:pPr>
              <w:jc w:val="right"/>
              <w:rPr>
                <w:color w:val="000000"/>
                <w:sz w:val="20"/>
                <w:szCs w:val="20"/>
              </w:rPr>
            </w:pPr>
            <w:r w:rsidRPr="00E7554A">
              <w:rPr>
                <w:sz w:val="20"/>
                <w:szCs w:val="20"/>
              </w:rPr>
              <w:t>879</w:t>
            </w:r>
          </w:p>
        </w:tc>
        <w:tc>
          <w:tcPr>
            <w:tcW w:w="897" w:type="dxa"/>
            <w:tcBorders>
              <w:bottom w:val="single" w:sz="4" w:space="0" w:color="auto"/>
            </w:tcBorders>
            <w:shd w:val="clear" w:color="auto" w:fill="E2E9F6"/>
            <w:noWrap/>
            <w:vAlign w:val="center"/>
            <w:hideMark/>
          </w:tcPr>
          <w:p w14:paraId="4385D696" w14:textId="4DE61A72" w:rsidR="0067040D" w:rsidRPr="00E7554A" w:rsidRDefault="0067040D" w:rsidP="00E7554A">
            <w:pPr>
              <w:jc w:val="right"/>
              <w:rPr>
                <w:color w:val="000000"/>
                <w:sz w:val="20"/>
                <w:szCs w:val="20"/>
              </w:rPr>
            </w:pPr>
            <w:r w:rsidRPr="00E7554A">
              <w:rPr>
                <w:sz w:val="20"/>
                <w:szCs w:val="20"/>
              </w:rPr>
              <w:t>886</w:t>
            </w:r>
          </w:p>
        </w:tc>
        <w:tc>
          <w:tcPr>
            <w:tcW w:w="897" w:type="dxa"/>
            <w:tcBorders>
              <w:bottom w:val="single" w:sz="4" w:space="0" w:color="auto"/>
            </w:tcBorders>
            <w:shd w:val="clear" w:color="auto" w:fill="E2E9F6"/>
            <w:noWrap/>
            <w:vAlign w:val="center"/>
            <w:hideMark/>
          </w:tcPr>
          <w:p w14:paraId="0085FF14" w14:textId="5624B99B" w:rsidR="0067040D" w:rsidRPr="00E7554A" w:rsidRDefault="0067040D" w:rsidP="00E7554A">
            <w:pPr>
              <w:jc w:val="right"/>
              <w:rPr>
                <w:color w:val="000000"/>
                <w:sz w:val="20"/>
                <w:szCs w:val="20"/>
              </w:rPr>
            </w:pPr>
            <w:r w:rsidRPr="00E7554A">
              <w:rPr>
                <w:sz w:val="20"/>
                <w:szCs w:val="20"/>
              </w:rPr>
              <w:t>915</w:t>
            </w:r>
          </w:p>
        </w:tc>
        <w:tc>
          <w:tcPr>
            <w:tcW w:w="897" w:type="dxa"/>
            <w:tcBorders>
              <w:bottom w:val="single" w:sz="4" w:space="0" w:color="auto"/>
            </w:tcBorders>
            <w:shd w:val="clear" w:color="auto" w:fill="E2E9F6"/>
            <w:noWrap/>
            <w:vAlign w:val="center"/>
            <w:hideMark/>
          </w:tcPr>
          <w:p w14:paraId="2F9759CA" w14:textId="18DDA4FD" w:rsidR="0067040D" w:rsidRPr="00E7554A" w:rsidRDefault="0067040D" w:rsidP="00E7554A">
            <w:pPr>
              <w:jc w:val="right"/>
              <w:rPr>
                <w:color w:val="000000"/>
                <w:sz w:val="20"/>
                <w:szCs w:val="20"/>
              </w:rPr>
            </w:pPr>
            <w:r w:rsidRPr="00E7554A">
              <w:rPr>
                <w:sz w:val="20"/>
                <w:szCs w:val="20"/>
              </w:rPr>
              <w:t>918</w:t>
            </w:r>
          </w:p>
        </w:tc>
        <w:tc>
          <w:tcPr>
            <w:tcW w:w="897" w:type="dxa"/>
            <w:tcBorders>
              <w:bottom w:val="single" w:sz="4" w:space="0" w:color="auto"/>
            </w:tcBorders>
            <w:shd w:val="clear" w:color="auto" w:fill="E2E9F6"/>
            <w:noWrap/>
            <w:vAlign w:val="center"/>
            <w:hideMark/>
          </w:tcPr>
          <w:p w14:paraId="5C5C64B6" w14:textId="0467CED2" w:rsidR="0067040D" w:rsidRPr="00E7554A" w:rsidRDefault="0067040D" w:rsidP="00E7554A">
            <w:pPr>
              <w:jc w:val="right"/>
              <w:rPr>
                <w:color w:val="000000"/>
                <w:sz w:val="20"/>
                <w:szCs w:val="20"/>
              </w:rPr>
            </w:pPr>
            <w:r w:rsidRPr="00E7554A">
              <w:rPr>
                <w:sz w:val="20"/>
                <w:szCs w:val="20"/>
              </w:rPr>
              <w:t>1 023</w:t>
            </w:r>
          </w:p>
        </w:tc>
        <w:tc>
          <w:tcPr>
            <w:tcW w:w="897" w:type="dxa"/>
            <w:tcBorders>
              <w:bottom w:val="single" w:sz="4" w:space="0" w:color="auto"/>
            </w:tcBorders>
            <w:shd w:val="clear" w:color="auto" w:fill="E2E9F6"/>
            <w:noWrap/>
            <w:vAlign w:val="center"/>
            <w:hideMark/>
          </w:tcPr>
          <w:p w14:paraId="5F9086A6" w14:textId="5411A3A8" w:rsidR="0067040D" w:rsidRPr="00E7554A" w:rsidRDefault="0067040D" w:rsidP="00E7554A">
            <w:pPr>
              <w:jc w:val="right"/>
              <w:rPr>
                <w:color w:val="000000"/>
                <w:sz w:val="20"/>
                <w:szCs w:val="20"/>
              </w:rPr>
            </w:pPr>
            <w:r w:rsidRPr="00E7554A">
              <w:rPr>
                <w:sz w:val="20"/>
                <w:szCs w:val="20"/>
              </w:rPr>
              <w:t>1 066</w:t>
            </w:r>
          </w:p>
        </w:tc>
        <w:tc>
          <w:tcPr>
            <w:tcW w:w="982" w:type="dxa"/>
            <w:tcBorders>
              <w:bottom w:val="single" w:sz="4" w:space="0" w:color="auto"/>
              <w:right w:val="single" w:sz="4" w:space="0" w:color="auto"/>
            </w:tcBorders>
            <w:shd w:val="clear" w:color="auto" w:fill="E2E9F6"/>
            <w:noWrap/>
            <w:vAlign w:val="center"/>
            <w:hideMark/>
          </w:tcPr>
          <w:p w14:paraId="468A7F72" w14:textId="6C45C1DE" w:rsidR="0067040D" w:rsidRPr="00E7554A" w:rsidRDefault="00D552A1" w:rsidP="00E7554A">
            <w:pPr>
              <w:jc w:val="right"/>
              <w:rPr>
                <w:color w:val="000000"/>
                <w:sz w:val="20"/>
                <w:szCs w:val="20"/>
              </w:rPr>
            </w:pPr>
            <w:r w:rsidRPr="00E7554A">
              <w:rPr>
                <w:color w:val="000000"/>
                <w:sz w:val="20"/>
                <w:szCs w:val="20"/>
              </w:rPr>
              <w:t>1 099</w:t>
            </w:r>
          </w:p>
        </w:tc>
      </w:tr>
      <w:tr w:rsidR="0067040D" w:rsidRPr="00E7554A" w14:paraId="4D05086A" w14:textId="77777777" w:rsidTr="00E7554A">
        <w:trPr>
          <w:trHeight w:val="437"/>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4B8946EC" w14:textId="77777777" w:rsidR="0067040D" w:rsidRPr="00E7554A" w:rsidRDefault="0067040D" w:rsidP="0067040D">
            <w:pPr>
              <w:jc w:val="center"/>
              <w:rPr>
                <w:b/>
                <w:bCs/>
                <w:color w:val="000000"/>
                <w:sz w:val="20"/>
                <w:szCs w:val="20"/>
              </w:rPr>
            </w:pPr>
            <w:r w:rsidRPr="00E7554A">
              <w:rPr>
                <w:b/>
                <w:bCs/>
                <w:color w:val="000000"/>
                <w:sz w:val="20"/>
                <w:szCs w:val="20"/>
              </w:rPr>
              <w:t>Rakousko</w:t>
            </w:r>
          </w:p>
        </w:tc>
        <w:tc>
          <w:tcPr>
            <w:tcW w:w="705" w:type="dxa"/>
            <w:tcBorders>
              <w:top w:val="single" w:sz="4" w:space="0" w:color="auto"/>
              <w:bottom w:val="single" w:sz="4" w:space="0" w:color="auto"/>
            </w:tcBorders>
            <w:shd w:val="clear" w:color="auto" w:fill="D9E2F3" w:themeFill="accent1" w:themeFillTint="33"/>
            <w:vAlign w:val="center"/>
          </w:tcPr>
          <w:p w14:paraId="0F1A9C5A" w14:textId="7C2915C2" w:rsidR="0067040D" w:rsidRPr="00E7554A" w:rsidRDefault="0067040D" w:rsidP="0067040D">
            <w:pPr>
              <w:jc w:val="center"/>
              <w:rPr>
                <w:sz w:val="20"/>
                <w:szCs w:val="20"/>
              </w:rPr>
            </w:pPr>
            <w:r w:rsidRPr="00E7554A">
              <w:rPr>
                <w:sz w:val="20"/>
                <w:szCs w:val="20"/>
              </w:rPr>
              <w:t>EUR</w:t>
            </w:r>
          </w:p>
        </w:tc>
        <w:tc>
          <w:tcPr>
            <w:tcW w:w="868" w:type="dxa"/>
            <w:tcBorders>
              <w:top w:val="single" w:sz="4" w:space="0" w:color="auto"/>
              <w:bottom w:val="single" w:sz="4" w:space="0" w:color="auto"/>
            </w:tcBorders>
            <w:shd w:val="clear" w:color="auto" w:fill="D9E2F3" w:themeFill="accent1" w:themeFillTint="33"/>
            <w:noWrap/>
            <w:vAlign w:val="center"/>
            <w:hideMark/>
          </w:tcPr>
          <w:p w14:paraId="6C729B61" w14:textId="0C6EBB78" w:rsidR="0067040D" w:rsidRPr="00E7554A" w:rsidRDefault="0067040D" w:rsidP="00E7554A">
            <w:pPr>
              <w:jc w:val="right"/>
              <w:rPr>
                <w:color w:val="000000"/>
                <w:sz w:val="20"/>
                <w:szCs w:val="20"/>
              </w:rPr>
            </w:pPr>
            <w:r w:rsidRPr="00E7554A">
              <w:rPr>
                <w:sz w:val="20"/>
                <w:szCs w:val="20"/>
              </w:rPr>
              <w:t>3 189</w:t>
            </w:r>
          </w:p>
        </w:tc>
        <w:tc>
          <w:tcPr>
            <w:tcW w:w="897" w:type="dxa"/>
            <w:tcBorders>
              <w:top w:val="single" w:sz="4" w:space="0" w:color="auto"/>
              <w:bottom w:val="single" w:sz="4" w:space="0" w:color="auto"/>
            </w:tcBorders>
            <w:shd w:val="clear" w:color="auto" w:fill="D9E2F3" w:themeFill="accent1" w:themeFillTint="33"/>
            <w:noWrap/>
            <w:vAlign w:val="center"/>
            <w:hideMark/>
          </w:tcPr>
          <w:p w14:paraId="03BFDBAB" w14:textId="4B514E95" w:rsidR="0067040D" w:rsidRPr="00E7554A" w:rsidRDefault="0067040D" w:rsidP="00E7554A">
            <w:pPr>
              <w:jc w:val="right"/>
              <w:rPr>
                <w:color w:val="000000"/>
                <w:sz w:val="20"/>
                <w:szCs w:val="20"/>
              </w:rPr>
            </w:pPr>
            <w:r w:rsidRPr="00E7554A">
              <w:rPr>
                <w:sz w:val="20"/>
                <w:szCs w:val="20"/>
              </w:rPr>
              <w:t>3 261</w:t>
            </w:r>
          </w:p>
        </w:tc>
        <w:tc>
          <w:tcPr>
            <w:tcW w:w="897" w:type="dxa"/>
            <w:tcBorders>
              <w:top w:val="single" w:sz="4" w:space="0" w:color="auto"/>
              <w:bottom w:val="single" w:sz="4" w:space="0" w:color="auto"/>
            </w:tcBorders>
            <w:shd w:val="clear" w:color="auto" w:fill="D9E2F3" w:themeFill="accent1" w:themeFillTint="33"/>
            <w:noWrap/>
            <w:vAlign w:val="center"/>
            <w:hideMark/>
          </w:tcPr>
          <w:p w14:paraId="725AD34F" w14:textId="09C621C5" w:rsidR="0067040D" w:rsidRPr="00E7554A" w:rsidRDefault="0067040D" w:rsidP="00E7554A">
            <w:pPr>
              <w:jc w:val="right"/>
              <w:rPr>
                <w:color w:val="000000"/>
                <w:sz w:val="20"/>
                <w:szCs w:val="20"/>
              </w:rPr>
            </w:pPr>
            <w:r w:rsidRPr="00E7554A">
              <w:rPr>
                <w:sz w:val="20"/>
                <w:szCs w:val="20"/>
              </w:rPr>
              <w:t>3 339</w:t>
            </w:r>
          </w:p>
        </w:tc>
        <w:tc>
          <w:tcPr>
            <w:tcW w:w="897" w:type="dxa"/>
            <w:tcBorders>
              <w:top w:val="single" w:sz="4" w:space="0" w:color="auto"/>
              <w:bottom w:val="single" w:sz="4" w:space="0" w:color="auto"/>
            </w:tcBorders>
            <w:shd w:val="clear" w:color="auto" w:fill="D9E2F3" w:themeFill="accent1" w:themeFillTint="33"/>
            <w:noWrap/>
            <w:vAlign w:val="center"/>
            <w:hideMark/>
          </w:tcPr>
          <w:p w14:paraId="216973A3" w14:textId="525D37EC" w:rsidR="0067040D" w:rsidRPr="00E7554A" w:rsidRDefault="0067040D" w:rsidP="00E7554A">
            <w:pPr>
              <w:jc w:val="right"/>
              <w:rPr>
                <w:color w:val="000000"/>
                <w:sz w:val="20"/>
                <w:szCs w:val="20"/>
              </w:rPr>
            </w:pPr>
            <w:r w:rsidRPr="00E7554A">
              <w:rPr>
                <w:sz w:val="20"/>
                <w:szCs w:val="20"/>
              </w:rPr>
              <w:t>3 411</w:t>
            </w:r>
          </w:p>
        </w:tc>
        <w:tc>
          <w:tcPr>
            <w:tcW w:w="897" w:type="dxa"/>
            <w:tcBorders>
              <w:top w:val="single" w:sz="4" w:space="0" w:color="auto"/>
              <w:bottom w:val="single" w:sz="4" w:space="0" w:color="auto"/>
            </w:tcBorders>
            <w:shd w:val="clear" w:color="auto" w:fill="D9E2F3" w:themeFill="accent1" w:themeFillTint="33"/>
            <w:noWrap/>
            <w:vAlign w:val="center"/>
            <w:hideMark/>
          </w:tcPr>
          <w:p w14:paraId="65860A75" w14:textId="2B39F074" w:rsidR="0067040D" w:rsidRPr="00E7554A" w:rsidRDefault="0067040D" w:rsidP="00E7554A">
            <w:pPr>
              <w:jc w:val="right"/>
              <w:rPr>
                <w:color w:val="000000"/>
                <w:sz w:val="20"/>
                <w:szCs w:val="20"/>
              </w:rPr>
            </w:pPr>
            <w:r w:rsidRPr="00E7554A">
              <w:rPr>
                <w:sz w:val="20"/>
                <w:szCs w:val="20"/>
              </w:rPr>
              <w:t>3 493</w:t>
            </w:r>
          </w:p>
        </w:tc>
        <w:tc>
          <w:tcPr>
            <w:tcW w:w="897" w:type="dxa"/>
            <w:tcBorders>
              <w:top w:val="single" w:sz="4" w:space="0" w:color="auto"/>
              <w:bottom w:val="single" w:sz="4" w:space="0" w:color="auto"/>
            </w:tcBorders>
            <w:shd w:val="clear" w:color="auto" w:fill="D9E2F3" w:themeFill="accent1" w:themeFillTint="33"/>
            <w:noWrap/>
            <w:vAlign w:val="center"/>
            <w:hideMark/>
          </w:tcPr>
          <w:p w14:paraId="624C06F7" w14:textId="35DA2DAC" w:rsidR="0067040D" w:rsidRPr="00E7554A" w:rsidRDefault="0067040D" w:rsidP="00E7554A">
            <w:pPr>
              <w:jc w:val="right"/>
              <w:rPr>
                <w:color w:val="000000"/>
                <w:sz w:val="20"/>
                <w:szCs w:val="20"/>
              </w:rPr>
            </w:pPr>
            <w:r w:rsidRPr="00E7554A">
              <w:rPr>
                <w:sz w:val="20"/>
                <w:szCs w:val="20"/>
              </w:rPr>
              <w:t>3 549</w:t>
            </w:r>
          </w:p>
        </w:tc>
        <w:tc>
          <w:tcPr>
            <w:tcW w:w="897" w:type="dxa"/>
            <w:tcBorders>
              <w:top w:val="single" w:sz="4" w:space="0" w:color="auto"/>
              <w:bottom w:val="single" w:sz="4" w:space="0" w:color="auto"/>
            </w:tcBorders>
            <w:shd w:val="clear" w:color="auto" w:fill="D9E2F3" w:themeFill="accent1" w:themeFillTint="33"/>
            <w:noWrap/>
            <w:vAlign w:val="center"/>
            <w:hideMark/>
          </w:tcPr>
          <w:p w14:paraId="19B4111E" w14:textId="1F095DA0" w:rsidR="0067040D" w:rsidRPr="00E7554A" w:rsidRDefault="0067040D" w:rsidP="00E7554A">
            <w:pPr>
              <w:jc w:val="right"/>
              <w:rPr>
                <w:color w:val="000000"/>
                <w:sz w:val="20"/>
                <w:szCs w:val="20"/>
              </w:rPr>
            </w:pPr>
            <w:r w:rsidRPr="00E7554A">
              <w:rPr>
                <w:sz w:val="20"/>
                <w:szCs w:val="20"/>
              </w:rPr>
              <w:t>3 622</w:t>
            </w:r>
          </w:p>
        </w:tc>
        <w:tc>
          <w:tcPr>
            <w:tcW w:w="982" w:type="dxa"/>
            <w:tcBorders>
              <w:top w:val="single" w:sz="4" w:space="0" w:color="auto"/>
              <w:bottom w:val="single" w:sz="4" w:space="0" w:color="auto"/>
              <w:right w:val="single" w:sz="4" w:space="0" w:color="auto"/>
            </w:tcBorders>
            <w:shd w:val="clear" w:color="auto" w:fill="D9E2F3" w:themeFill="accent1" w:themeFillTint="33"/>
            <w:noWrap/>
            <w:vAlign w:val="center"/>
            <w:hideMark/>
          </w:tcPr>
          <w:p w14:paraId="13EF13B4" w14:textId="1522AC19" w:rsidR="0067040D" w:rsidRPr="00E7554A" w:rsidRDefault="00B822BA" w:rsidP="00E7554A">
            <w:pPr>
              <w:jc w:val="right"/>
              <w:rPr>
                <w:color w:val="000000"/>
                <w:sz w:val="20"/>
                <w:szCs w:val="20"/>
              </w:rPr>
            </w:pPr>
            <w:r w:rsidRPr="00E7554A">
              <w:rPr>
                <w:color w:val="000000"/>
                <w:sz w:val="20"/>
                <w:szCs w:val="20"/>
              </w:rPr>
              <w:t>3 999</w:t>
            </w:r>
          </w:p>
          <w:p w14:paraId="2C016824" w14:textId="4B2B436E" w:rsidR="0067040D" w:rsidRPr="00E7554A" w:rsidRDefault="0067040D" w:rsidP="00E7554A">
            <w:pPr>
              <w:jc w:val="right"/>
              <w:rPr>
                <w:color w:val="000000"/>
                <w:sz w:val="20"/>
                <w:szCs w:val="20"/>
              </w:rPr>
            </w:pPr>
          </w:p>
        </w:tc>
      </w:tr>
      <w:tr w:rsidR="00D8032C" w:rsidRPr="00E7554A" w14:paraId="45B439C0" w14:textId="77777777" w:rsidTr="00E7554A">
        <w:trPr>
          <w:trHeight w:val="470"/>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62FEEEA9" w14:textId="77777777" w:rsidR="00D8032C" w:rsidRPr="00E7554A" w:rsidRDefault="00D8032C" w:rsidP="0067040D">
            <w:pPr>
              <w:jc w:val="center"/>
              <w:rPr>
                <w:b/>
                <w:bCs/>
                <w:color w:val="000000"/>
                <w:sz w:val="20"/>
                <w:szCs w:val="20"/>
              </w:rPr>
            </w:pPr>
            <w:r w:rsidRPr="00E7554A">
              <w:rPr>
                <w:b/>
                <w:bCs/>
                <w:color w:val="000000"/>
                <w:sz w:val="20"/>
                <w:szCs w:val="20"/>
              </w:rPr>
              <w:t>Slovensko</w:t>
            </w:r>
          </w:p>
        </w:tc>
        <w:tc>
          <w:tcPr>
            <w:tcW w:w="705" w:type="dxa"/>
            <w:tcBorders>
              <w:top w:val="single" w:sz="4" w:space="0" w:color="auto"/>
              <w:bottom w:val="single" w:sz="4" w:space="0" w:color="auto"/>
            </w:tcBorders>
            <w:shd w:val="clear" w:color="auto" w:fill="D9E2F3" w:themeFill="accent1" w:themeFillTint="33"/>
            <w:vAlign w:val="center"/>
          </w:tcPr>
          <w:p w14:paraId="3BAFFAB8" w14:textId="321AA057" w:rsidR="00D8032C" w:rsidRPr="00E7554A" w:rsidRDefault="00D8032C" w:rsidP="0067040D">
            <w:pPr>
              <w:jc w:val="center"/>
              <w:rPr>
                <w:sz w:val="20"/>
                <w:szCs w:val="20"/>
              </w:rPr>
            </w:pPr>
            <w:r w:rsidRPr="00E7554A">
              <w:rPr>
                <w:sz w:val="20"/>
                <w:szCs w:val="20"/>
              </w:rPr>
              <w:t>EUR</w:t>
            </w:r>
          </w:p>
        </w:tc>
        <w:tc>
          <w:tcPr>
            <w:tcW w:w="868" w:type="dxa"/>
            <w:tcBorders>
              <w:top w:val="single" w:sz="4" w:space="0" w:color="auto"/>
              <w:bottom w:val="single" w:sz="4" w:space="0" w:color="auto"/>
            </w:tcBorders>
            <w:shd w:val="clear" w:color="auto" w:fill="D9E2F3" w:themeFill="accent1" w:themeFillTint="33"/>
            <w:noWrap/>
            <w:vAlign w:val="center"/>
          </w:tcPr>
          <w:p w14:paraId="6916AA6D" w14:textId="2D3150CD" w:rsidR="00D8032C" w:rsidRPr="00E7554A" w:rsidRDefault="00FD72D3" w:rsidP="00E7554A">
            <w:pPr>
              <w:jc w:val="right"/>
              <w:rPr>
                <w:color w:val="000000"/>
                <w:sz w:val="20"/>
                <w:szCs w:val="20"/>
              </w:rPr>
            </w:pPr>
            <w:r w:rsidRPr="00E7554A">
              <w:rPr>
                <w:color w:val="000000"/>
                <w:sz w:val="20"/>
                <w:szCs w:val="20"/>
              </w:rPr>
              <w:t>805</w:t>
            </w:r>
          </w:p>
        </w:tc>
        <w:tc>
          <w:tcPr>
            <w:tcW w:w="897" w:type="dxa"/>
            <w:tcBorders>
              <w:top w:val="single" w:sz="4" w:space="0" w:color="auto"/>
              <w:bottom w:val="single" w:sz="4" w:space="0" w:color="auto"/>
            </w:tcBorders>
            <w:shd w:val="clear" w:color="auto" w:fill="D9E2F3" w:themeFill="accent1" w:themeFillTint="33"/>
            <w:noWrap/>
            <w:vAlign w:val="center"/>
          </w:tcPr>
          <w:p w14:paraId="2594FA0E" w14:textId="5B240B74" w:rsidR="00D8032C" w:rsidRPr="00E7554A" w:rsidRDefault="00FD72D3" w:rsidP="00E7554A">
            <w:pPr>
              <w:jc w:val="right"/>
              <w:rPr>
                <w:color w:val="000000"/>
                <w:sz w:val="20"/>
                <w:szCs w:val="20"/>
              </w:rPr>
            </w:pPr>
            <w:r w:rsidRPr="00E7554A">
              <w:rPr>
                <w:color w:val="000000"/>
                <w:sz w:val="20"/>
                <w:szCs w:val="20"/>
              </w:rPr>
              <w:t>824</w:t>
            </w:r>
          </w:p>
        </w:tc>
        <w:tc>
          <w:tcPr>
            <w:tcW w:w="897" w:type="dxa"/>
            <w:tcBorders>
              <w:top w:val="single" w:sz="4" w:space="0" w:color="auto"/>
              <w:bottom w:val="single" w:sz="4" w:space="0" w:color="auto"/>
            </w:tcBorders>
            <w:shd w:val="clear" w:color="auto" w:fill="D9E2F3" w:themeFill="accent1" w:themeFillTint="33"/>
            <w:noWrap/>
            <w:vAlign w:val="center"/>
          </w:tcPr>
          <w:p w14:paraId="5F49B87C" w14:textId="4A75EF05" w:rsidR="00D8032C" w:rsidRPr="00E7554A" w:rsidRDefault="00FD72D3" w:rsidP="00E7554A">
            <w:pPr>
              <w:jc w:val="right"/>
              <w:rPr>
                <w:color w:val="000000"/>
                <w:sz w:val="20"/>
                <w:szCs w:val="20"/>
              </w:rPr>
            </w:pPr>
            <w:r w:rsidRPr="00E7554A">
              <w:rPr>
                <w:color w:val="000000"/>
                <w:sz w:val="20"/>
                <w:szCs w:val="20"/>
              </w:rPr>
              <w:t>858</w:t>
            </w:r>
          </w:p>
        </w:tc>
        <w:tc>
          <w:tcPr>
            <w:tcW w:w="897" w:type="dxa"/>
            <w:tcBorders>
              <w:top w:val="single" w:sz="4" w:space="0" w:color="auto"/>
              <w:bottom w:val="single" w:sz="4" w:space="0" w:color="auto"/>
            </w:tcBorders>
            <w:shd w:val="clear" w:color="auto" w:fill="D9E2F3" w:themeFill="accent1" w:themeFillTint="33"/>
            <w:noWrap/>
            <w:vAlign w:val="center"/>
          </w:tcPr>
          <w:p w14:paraId="2A375F3D" w14:textId="39CB296C" w:rsidR="00D8032C" w:rsidRPr="00E7554A" w:rsidRDefault="00FD72D3" w:rsidP="00E7554A">
            <w:pPr>
              <w:jc w:val="right"/>
              <w:rPr>
                <w:color w:val="000000"/>
                <w:sz w:val="20"/>
                <w:szCs w:val="20"/>
              </w:rPr>
            </w:pPr>
            <w:r w:rsidRPr="00E7554A">
              <w:rPr>
                <w:color w:val="000000"/>
                <w:sz w:val="20"/>
                <w:szCs w:val="20"/>
              </w:rPr>
              <w:t>883</w:t>
            </w:r>
          </w:p>
        </w:tc>
        <w:tc>
          <w:tcPr>
            <w:tcW w:w="897" w:type="dxa"/>
            <w:tcBorders>
              <w:top w:val="single" w:sz="4" w:space="0" w:color="auto"/>
              <w:bottom w:val="single" w:sz="4" w:space="0" w:color="auto"/>
            </w:tcBorders>
            <w:shd w:val="clear" w:color="auto" w:fill="D9E2F3" w:themeFill="accent1" w:themeFillTint="33"/>
            <w:noWrap/>
            <w:vAlign w:val="center"/>
          </w:tcPr>
          <w:p w14:paraId="294D7A1C" w14:textId="1C41BAF4" w:rsidR="00D8032C" w:rsidRPr="00E7554A" w:rsidRDefault="00FD72D3" w:rsidP="00E7554A">
            <w:pPr>
              <w:jc w:val="right"/>
              <w:rPr>
                <w:color w:val="000000"/>
                <w:sz w:val="20"/>
                <w:szCs w:val="20"/>
              </w:rPr>
            </w:pPr>
            <w:r w:rsidRPr="00E7554A">
              <w:rPr>
                <w:color w:val="000000"/>
                <w:sz w:val="20"/>
                <w:szCs w:val="20"/>
              </w:rPr>
              <w:t>912</w:t>
            </w:r>
          </w:p>
        </w:tc>
        <w:tc>
          <w:tcPr>
            <w:tcW w:w="897" w:type="dxa"/>
            <w:tcBorders>
              <w:top w:val="single" w:sz="4" w:space="0" w:color="auto"/>
              <w:bottom w:val="single" w:sz="4" w:space="0" w:color="auto"/>
            </w:tcBorders>
            <w:shd w:val="clear" w:color="auto" w:fill="D9E2F3" w:themeFill="accent1" w:themeFillTint="33"/>
            <w:noWrap/>
            <w:vAlign w:val="center"/>
          </w:tcPr>
          <w:p w14:paraId="1C523A93" w14:textId="3EEBD62D" w:rsidR="00D8032C" w:rsidRPr="00E7554A" w:rsidRDefault="00FD72D3" w:rsidP="00E7554A">
            <w:pPr>
              <w:jc w:val="right"/>
              <w:rPr>
                <w:color w:val="000000"/>
                <w:sz w:val="20"/>
                <w:szCs w:val="20"/>
              </w:rPr>
            </w:pPr>
            <w:r w:rsidRPr="00E7554A">
              <w:rPr>
                <w:color w:val="000000"/>
                <w:sz w:val="20"/>
                <w:szCs w:val="20"/>
              </w:rPr>
              <w:t>954</w:t>
            </w:r>
          </w:p>
        </w:tc>
        <w:tc>
          <w:tcPr>
            <w:tcW w:w="897" w:type="dxa"/>
            <w:tcBorders>
              <w:top w:val="single" w:sz="4" w:space="0" w:color="auto"/>
              <w:bottom w:val="single" w:sz="4" w:space="0" w:color="auto"/>
            </w:tcBorders>
            <w:shd w:val="clear" w:color="auto" w:fill="D9E2F3" w:themeFill="accent1" w:themeFillTint="33"/>
            <w:noWrap/>
            <w:vAlign w:val="center"/>
          </w:tcPr>
          <w:p w14:paraId="199DC7EF" w14:textId="65E317F6" w:rsidR="00D8032C" w:rsidRPr="00E7554A" w:rsidRDefault="00FD72D3" w:rsidP="00E7554A">
            <w:pPr>
              <w:jc w:val="right"/>
              <w:rPr>
                <w:color w:val="000000"/>
                <w:sz w:val="20"/>
                <w:szCs w:val="20"/>
              </w:rPr>
            </w:pPr>
            <w:r w:rsidRPr="00E7554A">
              <w:rPr>
                <w:color w:val="000000"/>
                <w:sz w:val="20"/>
                <w:szCs w:val="20"/>
              </w:rPr>
              <w:t>1 013</w:t>
            </w:r>
          </w:p>
        </w:tc>
        <w:tc>
          <w:tcPr>
            <w:tcW w:w="982" w:type="dxa"/>
            <w:tcBorders>
              <w:top w:val="single" w:sz="4" w:space="0" w:color="auto"/>
              <w:bottom w:val="single" w:sz="4" w:space="0" w:color="auto"/>
              <w:right w:val="single" w:sz="4" w:space="0" w:color="auto"/>
            </w:tcBorders>
            <w:shd w:val="clear" w:color="auto" w:fill="D9E2F3" w:themeFill="accent1" w:themeFillTint="33"/>
            <w:noWrap/>
            <w:vAlign w:val="center"/>
          </w:tcPr>
          <w:p w14:paraId="550BEDF2" w14:textId="76A3BD45" w:rsidR="00D8032C" w:rsidRPr="00E7554A" w:rsidRDefault="00FD72D3" w:rsidP="00E7554A">
            <w:pPr>
              <w:jc w:val="right"/>
              <w:rPr>
                <w:color w:val="000000"/>
                <w:sz w:val="20"/>
                <w:szCs w:val="20"/>
              </w:rPr>
            </w:pPr>
            <w:r w:rsidRPr="00E7554A">
              <w:rPr>
                <w:color w:val="000000"/>
                <w:sz w:val="20"/>
                <w:szCs w:val="20"/>
              </w:rPr>
              <w:t>1 092</w:t>
            </w:r>
          </w:p>
        </w:tc>
      </w:tr>
    </w:tbl>
    <w:p w14:paraId="4F35077F" w14:textId="25E0ACD9" w:rsidR="00C3469D" w:rsidRPr="00C3469D" w:rsidRDefault="00C3469D" w:rsidP="00C3469D">
      <w:pPr>
        <w:jc w:val="center"/>
        <w:rPr>
          <w:b/>
          <w:bCs/>
          <w:sz w:val="20"/>
          <w:szCs w:val="20"/>
        </w:rPr>
      </w:pPr>
      <w:r w:rsidRPr="00C3469D">
        <w:rPr>
          <w:b/>
          <w:bCs/>
          <w:sz w:val="20"/>
          <w:szCs w:val="20"/>
        </w:rPr>
        <w:t>(</w:t>
      </w:r>
      <w:proofErr w:type="spellStart"/>
      <w:r w:rsidRPr="00C3469D">
        <w:rPr>
          <w:b/>
          <w:bCs/>
          <w:sz w:val="20"/>
          <w:szCs w:val="20"/>
        </w:rPr>
        <w:t>vl</w:t>
      </w:r>
      <w:proofErr w:type="spellEnd"/>
      <w:r w:rsidRPr="00C3469D">
        <w:rPr>
          <w:b/>
          <w:bCs/>
          <w:sz w:val="20"/>
          <w:szCs w:val="20"/>
        </w:rPr>
        <w:t xml:space="preserve">. zpracování; </w:t>
      </w:r>
      <w:proofErr w:type="spellStart"/>
      <w:r w:rsidRPr="00C3469D">
        <w:rPr>
          <w:b/>
          <w:bCs/>
          <w:sz w:val="20"/>
          <w:szCs w:val="20"/>
        </w:rPr>
        <w:t>Statistic</w:t>
      </w:r>
      <w:proofErr w:type="spellEnd"/>
      <w:r w:rsidRPr="00C3469D">
        <w:rPr>
          <w:b/>
          <w:bCs/>
          <w:sz w:val="20"/>
          <w:szCs w:val="20"/>
        </w:rPr>
        <w:t xml:space="preserve"> </w:t>
      </w:r>
      <w:proofErr w:type="spellStart"/>
      <w:r w:rsidRPr="00C3469D">
        <w:rPr>
          <w:b/>
          <w:bCs/>
          <w:sz w:val="20"/>
          <w:szCs w:val="20"/>
        </w:rPr>
        <w:t>Poland</w:t>
      </w:r>
      <w:proofErr w:type="spellEnd"/>
      <w:r w:rsidR="00E7554A">
        <w:rPr>
          <w:b/>
          <w:bCs/>
          <w:sz w:val="20"/>
          <w:szCs w:val="20"/>
        </w:rPr>
        <w:t>,</w:t>
      </w:r>
      <w:r w:rsidRPr="00C3469D">
        <w:rPr>
          <w:b/>
          <w:bCs/>
          <w:sz w:val="20"/>
          <w:szCs w:val="20"/>
        </w:rPr>
        <w:t xml:space="preserve"> 2020; Statista</w:t>
      </w:r>
      <w:r w:rsidR="00E7554A">
        <w:rPr>
          <w:b/>
          <w:bCs/>
          <w:sz w:val="20"/>
          <w:szCs w:val="20"/>
        </w:rPr>
        <w:t>,</w:t>
      </w:r>
      <w:r w:rsidRPr="00C3469D">
        <w:rPr>
          <w:b/>
          <w:bCs/>
          <w:sz w:val="20"/>
          <w:szCs w:val="20"/>
        </w:rPr>
        <w:t xml:space="preserve"> 2020; CEIC</w:t>
      </w:r>
      <w:r w:rsidR="00E7554A">
        <w:rPr>
          <w:b/>
          <w:bCs/>
          <w:sz w:val="20"/>
          <w:szCs w:val="20"/>
        </w:rPr>
        <w:t>,</w:t>
      </w:r>
      <w:r w:rsidRPr="00C3469D">
        <w:rPr>
          <w:b/>
          <w:bCs/>
          <w:sz w:val="20"/>
          <w:szCs w:val="20"/>
        </w:rPr>
        <w:t xml:space="preserve"> 2020; ČSÚ</w:t>
      </w:r>
      <w:r w:rsidR="00E7554A">
        <w:rPr>
          <w:b/>
          <w:bCs/>
          <w:sz w:val="20"/>
          <w:szCs w:val="20"/>
        </w:rPr>
        <w:t>,</w:t>
      </w:r>
      <w:r w:rsidRPr="00C3469D">
        <w:rPr>
          <w:b/>
          <w:bCs/>
          <w:sz w:val="20"/>
          <w:szCs w:val="20"/>
        </w:rPr>
        <w:t xml:space="preserve"> 2020; </w:t>
      </w:r>
    </w:p>
    <w:p w14:paraId="2C2A1341" w14:textId="4F605F89" w:rsidR="00C3469D" w:rsidRPr="00C3469D" w:rsidRDefault="00C3469D" w:rsidP="00C3469D">
      <w:pPr>
        <w:jc w:val="center"/>
        <w:rPr>
          <w:b/>
          <w:bCs/>
          <w:sz w:val="20"/>
          <w:szCs w:val="20"/>
        </w:rPr>
      </w:pPr>
      <w:proofErr w:type="spellStart"/>
      <w:r w:rsidRPr="00C3469D">
        <w:rPr>
          <w:b/>
          <w:bCs/>
          <w:sz w:val="20"/>
          <w:szCs w:val="20"/>
        </w:rPr>
        <w:t>About</w:t>
      </w:r>
      <w:proofErr w:type="spellEnd"/>
      <w:r w:rsidRPr="00C3469D">
        <w:rPr>
          <w:b/>
          <w:bCs/>
          <w:sz w:val="20"/>
          <w:szCs w:val="20"/>
        </w:rPr>
        <w:t xml:space="preserve"> </w:t>
      </w:r>
      <w:proofErr w:type="spellStart"/>
      <w:r w:rsidRPr="00C3469D">
        <w:rPr>
          <w:b/>
          <w:bCs/>
          <w:sz w:val="20"/>
          <w:szCs w:val="20"/>
        </w:rPr>
        <w:t>Hungary</w:t>
      </w:r>
      <w:proofErr w:type="spellEnd"/>
      <w:r w:rsidR="00E7554A">
        <w:rPr>
          <w:b/>
          <w:bCs/>
          <w:sz w:val="20"/>
          <w:szCs w:val="20"/>
        </w:rPr>
        <w:t>,</w:t>
      </w:r>
      <w:r w:rsidRPr="00C3469D">
        <w:rPr>
          <w:b/>
          <w:bCs/>
          <w:sz w:val="20"/>
          <w:szCs w:val="20"/>
        </w:rPr>
        <w:t xml:space="preserve"> 2020; OECD</w:t>
      </w:r>
      <w:r w:rsidR="00E7554A">
        <w:rPr>
          <w:b/>
          <w:bCs/>
          <w:sz w:val="20"/>
          <w:szCs w:val="20"/>
        </w:rPr>
        <w:t>,</w:t>
      </w:r>
      <w:r w:rsidRPr="00C3469D">
        <w:rPr>
          <w:b/>
          <w:bCs/>
          <w:sz w:val="20"/>
          <w:szCs w:val="20"/>
        </w:rPr>
        <w:t xml:space="preserve"> 2020</w:t>
      </w:r>
      <w:r w:rsidR="00FD72D3">
        <w:rPr>
          <w:b/>
          <w:bCs/>
          <w:sz w:val="20"/>
          <w:szCs w:val="20"/>
        </w:rPr>
        <w:t xml:space="preserve">; </w:t>
      </w:r>
      <w:proofErr w:type="spellStart"/>
      <w:r w:rsidR="00FD72D3">
        <w:rPr>
          <w:b/>
          <w:bCs/>
          <w:sz w:val="20"/>
          <w:szCs w:val="20"/>
        </w:rPr>
        <w:t>Minimálna</w:t>
      </w:r>
      <w:proofErr w:type="spellEnd"/>
      <w:r w:rsidR="00FD72D3">
        <w:rPr>
          <w:b/>
          <w:bCs/>
          <w:sz w:val="20"/>
          <w:szCs w:val="20"/>
        </w:rPr>
        <w:t xml:space="preserve"> mzda</w:t>
      </w:r>
      <w:r w:rsidR="001B25B0">
        <w:rPr>
          <w:b/>
          <w:bCs/>
          <w:sz w:val="20"/>
          <w:szCs w:val="20"/>
        </w:rPr>
        <w:t xml:space="preserve"> SK</w:t>
      </w:r>
      <w:r w:rsidR="00E7554A">
        <w:rPr>
          <w:b/>
          <w:bCs/>
          <w:sz w:val="20"/>
          <w:szCs w:val="20"/>
        </w:rPr>
        <w:t>,</w:t>
      </w:r>
      <w:r w:rsidR="00FD72D3">
        <w:rPr>
          <w:b/>
          <w:bCs/>
          <w:sz w:val="20"/>
          <w:szCs w:val="20"/>
        </w:rPr>
        <w:t xml:space="preserve"> 2020</w:t>
      </w:r>
      <w:r w:rsidRPr="00C3469D">
        <w:rPr>
          <w:b/>
          <w:bCs/>
          <w:sz w:val="20"/>
          <w:szCs w:val="20"/>
        </w:rPr>
        <w:t>).</w:t>
      </w:r>
    </w:p>
    <w:p w14:paraId="4C1FC23A" w14:textId="0A5E987D" w:rsidR="00DF2934" w:rsidRDefault="00DF2934" w:rsidP="00937211">
      <w:pPr>
        <w:rPr>
          <w:szCs w:val="22"/>
        </w:rPr>
      </w:pPr>
    </w:p>
    <w:p w14:paraId="5BCEAFAC" w14:textId="77777777" w:rsidR="000A11C5" w:rsidRDefault="003213A2" w:rsidP="009B5545">
      <w:pPr>
        <w:spacing w:before="120" w:after="240" w:line="360" w:lineRule="auto"/>
        <w:ind w:firstLine="360"/>
        <w:jc w:val="both"/>
      </w:pPr>
      <w:r w:rsidRPr="00170F16">
        <w:t>Německo je jednou ze sousedních zemí České republiky a také je považován</w:t>
      </w:r>
      <w:r w:rsidR="00101E64">
        <w:t>o</w:t>
      </w:r>
      <w:r w:rsidRPr="00170F16">
        <w:t xml:space="preserve"> za jejího nejdůležitějšího obchodního partnera, a zároveň </w:t>
      </w:r>
      <w:r w:rsidR="00101E64">
        <w:t>patří mezi</w:t>
      </w:r>
      <w:r w:rsidRPr="00170F16">
        <w:t xml:space="preserve"> hlavní vývozní destinací České republiky. Zhruba jedna třetina veškerého českého vývozu směřuje právě do Německa, tento vysoký podíl vývozu poukazuje na vysokou úroveň propojení těchto dvou sousedících zemí.</w:t>
      </w:r>
    </w:p>
    <w:p w14:paraId="39872E10" w14:textId="758A759B" w:rsidR="00170F16" w:rsidRPr="00170F16" w:rsidRDefault="003213A2" w:rsidP="009B5545">
      <w:pPr>
        <w:spacing w:before="120" w:after="240" w:line="360" w:lineRule="auto"/>
        <w:ind w:firstLine="360"/>
        <w:jc w:val="both"/>
      </w:pPr>
      <w:r w:rsidRPr="00170F16">
        <w:lastRenderedPageBreak/>
        <w:t xml:space="preserve">Právě Česká republika </w:t>
      </w:r>
      <w:r w:rsidR="005D39A1" w:rsidRPr="00170F16">
        <w:t xml:space="preserve">patří mezi TOP 10 nejdůležitějších obchodních partnerů Německa. </w:t>
      </w:r>
      <w:r w:rsidR="00E7554A">
        <w:t>T</w:t>
      </w:r>
      <w:r w:rsidR="005D39A1" w:rsidRPr="00170F16">
        <w:t>yto dvě země mají k sobě opravdu blízko, neboť jejich průměrná míra růstu průměrných mezd je</w:t>
      </w:r>
      <w:r w:rsidR="00E7554A">
        <w:t> </w:t>
      </w:r>
      <w:r w:rsidR="005D39A1" w:rsidRPr="00170F16">
        <w:t>stejná. (</w:t>
      </w:r>
      <w:r w:rsidR="001B38D6">
        <w:t xml:space="preserve">Business </w:t>
      </w:r>
      <w:proofErr w:type="spellStart"/>
      <w:r w:rsidR="001B38D6">
        <w:t>info</w:t>
      </w:r>
      <w:proofErr w:type="spellEnd"/>
      <w:r w:rsidR="005D39A1" w:rsidRPr="00170F16">
        <w:t>, 2019).</w:t>
      </w:r>
    </w:p>
    <w:p w14:paraId="66FBE3E1" w14:textId="77777777" w:rsidR="003C7FEE" w:rsidRDefault="00170F16" w:rsidP="003C7FEE">
      <w:pPr>
        <w:spacing w:before="120" w:after="240" w:line="360" w:lineRule="auto"/>
        <w:ind w:firstLine="360"/>
        <w:jc w:val="both"/>
        <w:rPr>
          <w:b/>
          <w:bCs/>
          <w:i/>
          <w:iCs/>
        </w:rPr>
      </w:pPr>
      <w:r w:rsidRPr="003C7FEE">
        <w:rPr>
          <w:b/>
          <w:bCs/>
          <w:i/>
          <w:iCs/>
        </w:rPr>
        <w:t>Pokud y</w:t>
      </w:r>
      <w:r w:rsidRPr="003C7FEE">
        <w:rPr>
          <w:b/>
          <w:bCs/>
          <w:i/>
          <w:iCs/>
          <w:vertAlign w:val="subscript"/>
        </w:rPr>
        <w:t>1</w:t>
      </w:r>
      <w:r w:rsidRPr="003C7FEE">
        <w:rPr>
          <w:b/>
          <w:bCs/>
          <w:i/>
          <w:iCs/>
        </w:rPr>
        <w:t>, y</w:t>
      </w:r>
      <w:proofErr w:type="gramStart"/>
      <w:r w:rsidRPr="003C7FEE">
        <w:rPr>
          <w:b/>
          <w:bCs/>
          <w:i/>
          <w:iCs/>
          <w:vertAlign w:val="subscript"/>
        </w:rPr>
        <w:t>2</w:t>
      </w:r>
      <w:r w:rsidR="00101E64" w:rsidRPr="003C7FEE">
        <w:rPr>
          <w:b/>
          <w:bCs/>
          <w:i/>
          <w:iCs/>
        </w:rPr>
        <w:t>,</w:t>
      </w:r>
      <w:r w:rsidRPr="003C7FEE">
        <w:rPr>
          <w:b/>
          <w:bCs/>
          <w:i/>
          <w:iCs/>
        </w:rPr>
        <w:t>…</w:t>
      </w:r>
      <w:proofErr w:type="gramEnd"/>
      <w:r w:rsidR="00101E64" w:rsidRPr="003C7FEE">
        <w:rPr>
          <w:b/>
          <w:bCs/>
          <w:i/>
          <w:iCs/>
        </w:rPr>
        <w:t xml:space="preserve">, </w:t>
      </w:r>
      <w:proofErr w:type="spellStart"/>
      <w:r w:rsidRPr="003C7FEE">
        <w:rPr>
          <w:b/>
          <w:bCs/>
          <w:i/>
          <w:iCs/>
        </w:rPr>
        <w:t>y</w:t>
      </w:r>
      <w:r w:rsidRPr="003C7FEE">
        <w:rPr>
          <w:b/>
          <w:bCs/>
          <w:i/>
          <w:iCs/>
          <w:vertAlign w:val="subscript"/>
        </w:rPr>
        <w:t>n</w:t>
      </w:r>
      <w:proofErr w:type="spellEnd"/>
      <w:r w:rsidRPr="003C7FEE">
        <w:rPr>
          <w:b/>
          <w:bCs/>
          <w:i/>
          <w:iCs/>
        </w:rPr>
        <w:t xml:space="preserve"> představují časovou řadu měření n, můžeme ji charakterizovat následujícími jednoduchými ukazateli, jež se používají jako měřítko dynamiky:</w:t>
      </w:r>
    </w:p>
    <w:p w14:paraId="02E7D297" w14:textId="77777777" w:rsidR="003C7FEE" w:rsidRPr="003C7FEE" w:rsidRDefault="00170F16" w:rsidP="003C7FEE">
      <w:pPr>
        <w:pStyle w:val="Odstavecseseznamem"/>
        <w:numPr>
          <w:ilvl w:val="0"/>
          <w:numId w:val="26"/>
        </w:numPr>
        <w:spacing w:before="120" w:after="240"/>
        <w:rPr>
          <w:b/>
          <w:bCs/>
          <w:i/>
          <w:iCs/>
          <w:sz w:val="24"/>
        </w:rPr>
      </w:pPr>
      <w:r w:rsidRPr="003C7FEE">
        <w:rPr>
          <w:i/>
          <w:iCs/>
          <w:sz w:val="24"/>
        </w:rPr>
        <w:t>relativní přírůstky,</w:t>
      </w:r>
    </w:p>
    <w:p w14:paraId="0EA4D788" w14:textId="07FFFF0A" w:rsidR="00882D84" w:rsidRPr="003C7FEE" w:rsidRDefault="00882D84" w:rsidP="003C7FEE">
      <w:pPr>
        <w:pStyle w:val="Odstavecseseznamem"/>
        <w:spacing w:before="120" w:after="240"/>
        <w:ind w:left="1080" w:firstLine="0"/>
        <w:rPr>
          <w:b/>
          <w:bCs/>
          <w:i/>
          <w:iCs/>
          <w:sz w:val="24"/>
        </w:rPr>
      </w:pPr>
      <w:r w:rsidRPr="003C7FEE">
        <w:rPr>
          <w:i/>
          <w:iCs/>
          <w:sz w:val="24"/>
          <w:lang w:val="en-US"/>
        </w:rPr>
        <w:t xml:space="preserve">pro t </w:t>
      </w:r>
      <w:r w:rsidRPr="003C7FEE">
        <w:rPr>
          <w:sz w:val="24"/>
          <w:lang w:val="en-US"/>
        </w:rPr>
        <w:t xml:space="preserve">= </w:t>
      </w:r>
      <w:proofErr w:type="gramStart"/>
      <w:r w:rsidRPr="003C7FEE">
        <w:rPr>
          <w:i/>
          <w:iCs/>
          <w:sz w:val="24"/>
          <w:lang w:val="en-US"/>
        </w:rPr>
        <w:t>1,2,…</w:t>
      </w:r>
      <w:proofErr w:type="gramEnd"/>
      <w:r w:rsidRPr="003C7FEE">
        <w:rPr>
          <w:i/>
          <w:iCs/>
          <w:sz w:val="24"/>
          <w:lang w:val="en-US"/>
        </w:rPr>
        <w:t>,n-1,</w:t>
      </w:r>
    </w:p>
    <w:p w14:paraId="285C86B0" w14:textId="2C30DBB5" w:rsidR="004D1430" w:rsidRPr="00DA7F1E" w:rsidRDefault="003731DF" w:rsidP="00DA7F1E">
      <w:pPr>
        <w:ind w:left="360"/>
        <w:jc w:val="right"/>
        <w:rPr>
          <w:sz w:val="36"/>
          <w:szCs w:val="36"/>
          <w:lang w:val="en-US"/>
        </w:rPr>
      </w:pPr>
      <m:oMath>
        <m:sSub>
          <m:sSubPr>
            <m:ctrlPr>
              <w:rPr>
                <w:rFonts w:ascii="Cambria Math" w:hAnsi="Cambria Math"/>
                <w:i/>
                <w:sz w:val="32"/>
                <w:szCs w:val="32"/>
                <w:lang w:val="en-US"/>
              </w:rPr>
            </m:ctrlPr>
          </m:sSubPr>
          <m:e>
            <m:r>
              <w:rPr>
                <w:rFonts w:ascii="Cambria Math" w:hAnsi="Cambria Math"/>
                <w:sz w:val="32"/>
                <w:szCs w:val="32"/>
                <w:lang w:val="en-US"/>
              </w:rPr>
              <m:t>δ</m:t>
            </m:r>
          </m:e>
          <m:sub>
            <m:r>
              <w:rPr>
                <w:rFonts w:ascii="Cambria Math" w:hAnsi="Cambria Math"/>
                <w:sz w:val="32"/>
                <w:szCs w:val="32"/>
                <w:lang w:val="en-US"/>
              </w:rPr>
              <m:t>t</m:t>
            </m:r>
          </m:sub>
        </m:sSub>
        <m:r>
          <w:rPr>
            <w:rFonts w:ascii="Cambria Math" w:hAnsi="Cambria Math"/>
            <w:sz w:val="32"/>
            <w:szCs w:val="32"/>
            <w:lang w:val="en-US"/>
          </w:rPr>
          <m:t xml:space="preserve">= </m:t>
        </m:r>
        <m:f>
          <m:fPr>
            <m:ctrlPr>
              <w:rPr>
                <w:rFonts w:ascii="Cambria Math" w:hAnsi="Cambria Math"/>
                <w:i/>
                <w:sz w:val="32"/>
                <w:szCs w:val="32"/>
                <w:lang w:val="en-US"/>
              </w:rPr>
            </m:ctrlPr>
          </m:fPr>
          <m:num>
            <m:r>
              <w:rPr>
                <w:rFonts w:ascii="Cambria Math" w:hAnsi="Cambria Math"/>
                <w:sz w:val="32"/>
                <w:szCs w:val="32"/>
                <w:lang w:val="en-US"/>
              </w:rPr>
              <m:t>Δ</m:t>
            </m:r>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m:t>
                </m:r>
              </m:sub>
            </m:sSub>
          </m:num>
          <m:den>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t-1</m:t>
                </m:r>
              </m:sub>
            </m:sSub>
          </m:den>
        </m:f>
        <m:r>
          <w:rPr>
            <w:rFonts w:ascii="Cambria Math" w:hAnsi="Cambria Math"/>
            <w:sz w:val="32"/>
            <w:szCs w:val="32"/>
            <w:lang w:val="en-US"/>
          </w:rPr>
          <m:t>=</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m:t>
                </m:r>
              </m:sub>
            </m:sSub>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t-1</m:t>
                </m:r>
              </m:sub>
            </m:sSub>
          </m:num>
          <m:den>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t-1</m:t>
                </m:r>
              </m:sub>
            </m:sSub>
          </m:den>
        </m:f>
        <m:r>
          <w:rPr>
            <w:rFonts w:ascii="Cambria Math" w:hAnsi="Cambria Math"/>
            <w:sz w:val="32"/>
            <w:szCs w:val="32"/>
            <w:lang w:val="en-US"/>
          </w:rPr>
          <m:t xml:space="preserve">= </m:t>
        </m:r>
        <m:f>
          <m:fPr>
            <m:ctrlPr>
              <w:rPr>
                <w:rFonts w:ascii="Cambria Math" w:hAnsi="Cambria Math"/>
                <w:i/>
                <w:sz w:val="32"/>
                <w:szCs w:val="32"/>
                <w:lang w:val="en-US"/>
              </w:rPr>
            </m:ctrlPr>
          </m:fPr>
          <m:num>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m:t>
                </m:r>
              </m:sub>
            </m:sSub>
          </m:num>
          <m:den>
            <m:sSub>
              <m:sSubPr>
                <m:ctrlPr>
                  <w:rPr>
                    <w:rFonts w:ascii="Cambria Math" w:hAnsi="Cambria Math"/>
                    <w:i/>
                    <w:sz w:val="32"/>
                    <w:szCs w:val="32"/>
                    <w:lang w:val="en-US"/>
                  </w:rPr>
                </m:ctrlPr>
              </m:sSubPr>
              <m:e>
                <m:r>
                  <w:rPr>
                    <w:rFonts w:ascii="Cambria Math" w:hAnsi="Cambria Math"/>
                    <w:sz w:val="32"/>
                    <w:szCs w:val="32"/>
                    <w:lang w:val="en-US"/>
                  </w:rPr>
                  <m:t>y</m:t>
                </m:r>
              </m:e>
              <m:sub>
                <m:r>
                  <w:rPr>
                    <w:rFonts w:ascii="Cambria Math" w:hAnsi="Cambria Math"/>
                    <w:sz w:val="32"/>
                    <w:szCs w:val="32"/>
                    <w:lang w:val="en-US"/>
                  </w:rPr>
                  <m:t>t-1</m:t>
                </m:r>
              </m:sub>
            </m:sSub>
          </m:den>
        </m:f>
        <m:r>
          <w:rPr>
            <w:rFonts w:ascii="Cambria Math" w:hAnsi="Cambria Math"/>
            <w:sz w:val="32"/>
            <w:szCs w:val="32"/>
            <w:lang w:val="en-US"/>
          </w:rPr>
          <m:t xml:space="preserve">-1 </m:t>
        </m:r>
      </m:oMath>
      <w:r w:rsidR="00DA7F1E" w:rsidRPr="003C7FEE">
        <w:rPr>
          <w:sz w:val="36"/>
          <w:szCs w:val="36"/>
          <w:lang w:val="en-US"/>
        </w:rPr>
        <w:t xml:space="preserve"> </w:t>
      </w:r>
      <w:r w:rsidR="00DA7F1E">
        <w:rPr>
          <w:sz w:val="36"/>
          <w:szCs w:val="36"/>
          <w:lang w:val="en-US"/>
        </w:rPr>
        <w:tab/>
      </w:r>
      <w:r w:rsidR="00DA7F1E">
        <w:rPr>
          <w:sz w:val="36"/>
          <w:szCs w:val="36"/>
          <w:lang w:val="en-US"/>
        </w:rPr>
        <w:tab/>
      </w:r>
      <w:r w:rsidR="003C7FEE">
        <w:rPr>
          <w:sz w:val="36"/>
          <w:szCs w:val="36"/>
          <w:lang w:val="en-US"/>
        </w:rPr>
        <w:tab/>
      </w:r>
      <w:r w:rsidR="00DA7F1E" w:rsidRPr="008335D1">
        <w:rPr>
          <w:sz w:val="22"/>
          <w:szCs w:val="22"/>
          <w:lang w:val="en-US"/>
        </w:rPr>
        <w:t>(6)</w:t>
      </w:r>
    </w:p>
    <w:p w14:paraId="758DCA61" w14:textId="77777777" w:rsidR="00882D84" w:rsidRPr="00882D84" w:rsidRDefault="00882D84" w:rsidP="00882D84">
      <w:pPr>
        <w:ind w:left="360"/>
        <w:jc w:val="center"/>
        <w:rPr>
          <w:lang w:val="en-US"/>
        </w:rPr>
      </w:pPr>
    </w:p>
    <w:p w14:paraId="03CA4C29" w14:textId="5078B71D" w:rsidR="00101E64" w:rsidRPr="003C7FEE" w:rsidRDefault="00170F16" w:rsidP="003C7FEE">
      <w:pPr>
        <w:pStyle w:val="Odstavecseseznamem"/>
        <w:numPr>
          <w:ilvl w:val="0"/>
          <w:numId w:val="26"/>
        </w:numPr>
        <w:spacing w:before="120" w:after="240"/>
        <w:rPr>
          <w:i/>
          <w:iCs/>
          <w:sz w:val="24"/>
        </w:rPr>
      </w:pPr>
      <w:r w:rsidRPr="003C7FEE">
        <w:rPr>
          <w:i/>
          <w:iCs/>
          <w:sz w:val="24"/>
        </w:rPr>
        <w:t>průměrný faktor růstu.</w:t>
      </w:r>
    </w:p>
    <w:p w14:paraId="09FDBA55" w14:textId="6969866B" w:rsidR="00882D84" w:rsidRPr="008335D1" w:rsidRDefault="003731DF" w:rsidP="008335D1">
      <w:pPr>
        <w:pStyle w:val="Odstavecseseznamem"/>
        <w:spacing w:before="120" w:after="240"/>
        <w:ind w:firstLine="0"/>
        <w:jc w:val="right"/>
        <w:rPr>
          <w:sz w:val="32"/>
          <w:szCs w:val="32"/>
        </w:rPr>
      </w:pPr>
      <m:oMath>
        <m:acc>
          <m:accPr>
            <m:chr m:val="̅"/>
            <m:ctrlPr>
              <w:rPr>
                <w:rFonts w:ascii="Cambria Math" w:hAnsi="Cambria Math"/>
                <w:i/>
                <w:sz w:val="28"/>
                <w:szCs w:val="28"/>
              </w:rPr>
            </m:ctrlPr>
          </m:accPr>
          <m:e>
            <m:r>
              <w:rPr>
                <w:rFonts w:ascii="Cambria Math" w:hAnsi="Cambria Math"/>
                <w:sz w:val="28"/>
                <w:szCs w:val="28"/>
              </w:rPr>
              <m:t>k</m:t>
            </m:r>
          </m:e>
        </m:acc>
        <m:r>
          <w:rPr>
            <w:rFonts w:ascii="Cambria Math" w:hAnsi="Cambria Math"/>
            <w:sz w:val="28"/>
            <w:szCs w:val="28"/>
          </w:rPr>
          <m:t xml:space="preserve">= </m:t>
        </m:r>
        <m:rad>
          <m:radPr>
            <m:ctrlPr>
              <w:rPr>
                <w:rFonts w:ascii="Cambria Math" w:hAnsi="Cambria Math"/>
                <w:i/>
                <w:sz w:val="28"/>
                <w:szCs w:val="28"/>
              </w:rPr>
            </m:ctrlPr>
          </m:radPr>
          <m:deg>
            <m:r>
              <w:rPr>
                <w:rFonts w:ascii="Cambria Math" w:hAnsi="Cambria Math"/>
                <w:sz w:val="28"/>
                <w:szCs w:val="28"/>
              </w:rPr>
              <m:t>n-1</m:t>
            </m:r>
          </m:deg>
          <m:e>
            <m:sSub>
              <m:sSubPr>
                <m:ctrlPr>
                  <w:rPr>
                    <w:rFonts w:ascii="Cambria Math" w:hAnsi="Cambria Math"/>
                    <w:i/>
                    <w:sz w:val="28"/>
                    <w:szCs w:val="28"/>
                  </w:rPr>
                </m:ctrlPr>
              </m:sSubPr>
              <m:e>
                <m:r>
                  <w:rPr>
                    <w:rFonts w:ascii="Cambria Math" w:hAnsi="Cambria Math"/>
                    <w:sz w:val="28"/>
                    <w:szCs w:val="28"/>
                  </w:rPr>
                  <m:t>k</m:t>
                </m:r>
              </m:e>
              <m:sub>
                <m:eqArr>
                  <m:eqArrPr>
                    <m:ctrlPr>
                      <w:rPr>
                        <w:rFonts w:ascii="Cambria Math" w:hAnsi="Cambria Math"/>
                        <w:i/>
                        <w:sz w:val="28"/>
                        <w:szCs w:val="28"/>
                      </w:rPr>
                    </m:ctrlPr>
                  </m:eqArrPr>
                  <m:e>
                    <m:r>
                      <w:rPr>
                        <w:rFonts w:ascii="Cambria Math" w:hAnsi="Cambria Math"/>
                        <w:sz w:val="28"/>
                        <w:szCs w:val="28"/>
                      </w:rPr>
                      <m:t>1</m:t>
                    </m:r>
                  </m:e>
                </m:eqArr>
              </m:sub>
            </m:sSub>
          </m:e>
        </m:rad>
        <m:sSub>
          <m:sSubPr>
            <m:ctrlPr>
              <w:rPr>
                <w:rFonts w:ascii="Cambria Math" w:hAnsi="Cambria Math"/>
                <w:i/>
                <w:sz w:val="28"/>
                <w:szCs w:val="28"/>
              </w:rPr>
            </m:ctrlPr>
          </m:sSubPr>
          <m:e>
            <m:r>
              <w:rPr>
                <w:rFonts w:ascii="Cambria Math" w:hAnsi="Cambria Math"/>
                <w:sz w:val="28"/>
                <w:szCs w:val="28"/>
              </w:rPr>
              <m:t>k</m:t>
            </m:r>
          </m:e>
          <m:sub>
            <m:eqArr>
              <m:eqArrPr>
                <m:ctrlPr>
                  <w:rPr>
                    <w:rFonts w:ascii="Cambria Math" w:hAnsi="Cambria Math"/>
                    <w:i/>
                    <w:sz w:val="28"/>
                    <w:szCs w:val="28"/>
                  </w:rPr>
                </m:ctrlPr>
              </m:eqArrPr>
              <m:e>
                <m:r>
                  <w:rPr>
                    <w:rFonts w:ascii="Cambria Math" w:hAnsi="Cambria Math"/>
                    <w:sz w:val="28"/>
                    <w:szCs w:val="28"/>
                  </w:rPr>
                  <m:t>2</m:t>
                </m:r>
              </m:e>
            </m:eqAr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eqArr>
              <m:eqArrPr>
                <m:ctrlPr>
                  <w:rPr>
                    <w:rFonts w:ascii="Cambria Math" w:hAnsi="Cambria Math"/>
                    <w:i/>
                    <w:sz w:val="28"/>
                    <w:szCs w:val="28"/>
                  </w:rPr>
                </m:ctrlPr>
              </m:eqArrPr>
              <m:e>
                <m:r>
                  <w:rPr>
                    <w:rFonts w:ascii="Cambria Math" w:hAnsi="Cambria Math"/>
                    <w:sz w:val="28"/>
                    <w:szCs w:val="28"/>
                  </w:rPr>
                  <m:t>n</m:t>
                </m:r>
              </m:e>
            </m:eqArr>
          </m:sub>
        </m:sSub>
        <m:r>
          <w:rPr>
            <w:rFonts w:ascii="Cambria Math" w:hAnsi="Cambria Math"/>
            <w:sz w:val="28"/>
            <w:szCs w:val="28"/>
          </w:rPr>
          <m:t xml:space="preserve">= </m:t>
        </m:r>
        <m:rad>
          <m:radPr>
            <m:ctrlPr>
              <w:rPr>
                <w:rFonts w:ascii="Cambria Math" w:hAnsi="Cambria Math"/>
                <w:i/>
                <w:sz w:val="28"/>
                <w:szCs w:val="28"/>
              </w:rPr>
            </m:ctrlPr>
          </m:radPr>
          <m:deg>
            <m:r>
              <w:rPr>
                <w:rFonts w:ascii="Cambria Math" w:hAnsi="Cambria Math"/>
                <w:sz w:val="28"/>
                <w:szCs w:val="28"/>
              </w:rPr>
              <m:t>n-1</m:t>
            </m:r>
          </m:deg>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en>
            </m:f>
          </m:e>
        </m:rad>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den>
        </m:f>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4</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3</m:t>
                </m:r>
              </m:sub>
            </m:sSub>
          </m:den>
        </m:f>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n-1</m:t>
                </m:r>
              </m:sub>
            </m:sSub>
          </m:den>
        </m:f>
        <m:r>
          <w:rPr>
            <w:rFonts w:ascii="Cambria Math" w:hAnsi="Cambria Math"/>
            <w:sz w:val="28"/>
            <w:szCs w:val="28"/>
          </w:rPr>
          <m:t xml:space="preserve">= </m:t>
        </m:r>
        <m:rad>
          <m:radPr>
            <m:ctrlPr>
              <w:rPr>
                <w:rFonts w:ascii="Cambria Math" w:hAnsi="Cambria Math"/>
                <w:i/>
                <w:sz w:val="28"/>
                <w:szCs w:val="28"/>
              </w:rPr>
            </m:ctrlPr>
          </m:radPr>
          <m:deg>
            <m:r>
              <w:rPr>
                <w:rFonts w:ascii="Cambria Math" w:hAnsi="Cambria Math"/>
                <w:sz w:val="28"/>
                <w:szCs w:val="28"/>
              </w:rPr>
              <m:t>n-1</m:t>
            </m:r>
          </m:deg>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en>
            </m:f>
          </m:e>
        </m:rad>
        <m:r>
          <w:rPr>
            <w:rFonts w:ascii="Cambria Math" w:hAnsi="Cambria Math"/>
            <w:sz w:val="28"/>
            <w:szCs w:val="28"/>
          </w:rPr>
          <m:t xml:space="preserve"> </m:t>
        </m:r>
      </m:oMath>
      <w:r w:rsidR="008335D1">
        <w:rPr>
          <w:sz w:val="32"/>
          <w:szCs w:val="32"/>
        </w:rPr>
        <w:tab/>
      </w:r>
      <w:r w:rsidR="003C7FEE">
        <w:rPr>
          <w:sz w:val="32"/>
          <w:szCs w:val="32"/>
        </w:rPr>
        <w:tab/>
      </w:r>
      <w:r w:rsidR="008335D1" w:rsidRPr="008335D1">
        <w:rPr>
          <w:sz w:val="22"/>
          <w:szCs w:val="22"/>
        </w:rPr>
        <w:t>(7)</w:t>
      </w:r>
    </w:p>
    <w:p w14:paraId="60583462" w14:textId="77777777" w:rsidR="00101E64" w:rsidRDefault="00170F16" w:rsidP="00101E64">
      <w:pPr>
        <w:spacing w:before="120" w:after="240" w:line="360" w:lineRule="auto"/>
        <w:ind w:firstLine="357"/>
        <w:jc w:val="both"/>
      </w:pPr>
      <w:r>
        <w:t>Relativní přírůstky, které budou vypočteny (a vynásobeny 100), budou představovat roční růst průměrných mezd v % pro všechny námi vybrané země. Průměrný růstový faktor nám bude popisovat průměrnou míru růstu průměrných mezd za rok.</w:t>
      </w:r>
    </w:p>
    <w:p w14:paraId="7BC69F07" w14:textId="77777777" w:rsidR="00101E64" w:rsidRDefault="00170F16" w:rsidP="00101E64">
      <w:pPr>
        <w:spacing w:before="120" w:after="240" w:line="360" w:lineRule="auto"/>
        <w:ind w:firstLine="357"/>
        <w:jc w:val="both"/>
      </w:pPr>
      <w:r>
        <w:t>Kromě těchto ukazatelů, bude v této práci použita také korelační matice, popisující vztah mezi růstem průměrných mezd v jednotlivých zemích.</w:t>
      </w:r>
      <w:r w:rsidR="008E5B59">
        <w:t xml:space="preserve"> Korelační matice je založena na</w:t>
      </w:r>
      <w:r w:rsidR="00101E64">
        <w:t> </w:t>
      </w:r>
      <w:proofErr w:type="spellStart"/>
      <w:r w:rsidR="008E5B59">
        <w:t>Spearmanovech</w:t>
      </w:r>
      <w:proofErr w:type="spellEnd"/>
      <w:r w:rsidR="008E5B59">
        <w:t xml:space="preserve"> korelačních koeficientech, které jsou používány při měření monotónních vztahů mezi dvěma sadami měření.</w:t>
      </w:r>
    </w:p>
    <w:p w14:paraId="279E766F" w14:textId="61663A26" w:rsidR="008E5B59" w:rsidRDefault="008E5B59" w:rsidP="00101E64">
      <w:pPr>
        <w:spacing w:before="120" w:after="240" w:line="360" w:lineRule="auto"/>
        <w:ind w:firstLine="357"/>
        <w:jc w:val="both"/>
      </w:pPr>
      <w:proofErr w:type="spellStart"/>
      <w:r>
        <w:t>Spearmanův</w:t>
      </w:r>
      <w:proofErr w:type="spellEnd"/>
      <w:r>
        <w:t xml:space="preserve"> korelační koeficient se vypočítá dle vzorce: (</w:t>
      </w:r>
      <w:proofErr w:type="spellStart"/>
      <w:r>
        <w:t>Gibbons</w:t>
      </w:r>
      <w:proofErr w:type="spellEnd"/>
      <w:r>
        <w:t>, 1985)</w:t>
      </w:r>
    </w:p>
    <w:p w14:paraId="715D2576" w14:textId="5398700D" w:rsidR="00882D84" w:rsidRPr="00F2798D" w:rsidRDefault="00F2798D" w:rsidP="00F2798D">
      <w:pPr>
        <w:spacing w:before="120" w:after="240" w:line="360" w:lineRule="auto"/>
        <w:ind w:firstLine="357"/>
        <w:jc w:val="right"/>
        <w:rPr>
          <w:sz w:val="40"/>
          <w:szCs w:val="40"/>
        </w:rPr>
      </w:pPr>
      <m:oMath>
        <m:r>
          <m:rPr>
            <m:sty m:val="p"/>
          </m:rPr>
          <w:rPr>
            <w:rFonts w:ascii="Cambria Math" w:hAnsi="Cambria Math"/>
            <w:color w:val="4D5156"/>
            <w:sz w:val="32"/>
            <w:szCs w:val="32"/>
            <w:shd w:val="clear" w:color="auto" w:fill="FFFFFF"/>
          </w:rPr>
          <m:t>ρ=1-</m:t>
        </m:r>
        <m:f>
          <m:fPr>
            <m:ctrlPr>
              <w:rPr>
                <w:rFonts w:ascii="Cambria Math" w:hAnsi="Cambria Math"/>
                <w:color w:val="4D5156"/>
                <w:sz w:val="32"/>
                <w:szCs w:val="32"/>
                <w:shd w:val="clear" w:color="auto" w:fill="FFFFFF"/>
              </w:rPr>
            </m:ctrlPr>
          </m:fPr>
          <m:num>
            <m:r>
              <w:rPr>
                <w:rFonts w:ascii="Cambria Math" w:hAnsi="Cambria Math"/>
                <w:color w:val="4D5156"/>
                <w:sz w:val="32"/>
                <w:szCs w:val="32"/>
                <w:shd w:val="clear" w:color="auto" w:fill="FFFFFF"/>
              </w:rPr>
              <m:t>6∑</m:t>
            </m:r>
            <m:sSubSup>
              <m:sSubSupPr>
                <m:ctrlPr>
                  <w:rPr>
                    <w:rFonts w:ascii="Cambria Math" w:hAnsi="Cambria Math"/>
                    <w:i/>
                    <w:color w:val="4D5156"/>
                    <w:sz w:val="32"/>
                    <w:szCs w:val="32"/>
                    <w:shd w:val="clear" w:color="auto" w:fill="FFFFFF"/>
                  </w:rPr>
                </m:ctrlPr>
              </m:sSubSupPr>
              <m:e>
                <m:r>
                  <w:rPr>
                    <w:rFonts w:ascii="Cambria Math" w:hAnsi="Cambria Math"/>
                    <w:color w:val="4D5156"/>
                    <w:sz w:val="32"/>
                    <w:szCs w:val="32"/>
                    <w:shd w:val="clear" w:color="auto" w:fill="FFFFFF"/>
                  </w:rPr>
                  <m:t>d</m:t>
                </m:r>
              </m:e>
              <m:sub>
                <m:r>
                  <w:rPr>
                    <w:rFonts w:ascii="Cambria Math" w:hAnsi="Cambria Math"/>
                    <w:color w:val="4D5156"/>
                    <w:sz w:val="32"/>
                    <w:szCs w:val="32"/>
                    <w:shd w:val="clear" w:color="auto" w:fill="FFFFFF"/>
                  </w:rPr>
                  <m:t>i</m:t>
                </m:r>
              </m:sub>
              <m:sup>
                <m:r>
                  <w:rPr>
                    <w:rFonts w:ascii="Cambria Math" w:hAnsi="Cambria Math"/>
                    <w:color w:val="4D5156"/>
                    <w:sz w:val="32"/>
                    <w:szCs w:val="32"/>
                    <w:shd w:val="clear" w:color="auto" w:fill="FFFFFF"/>
                  </w:rPr>
                  <m:t>2</m:t>
                </m:r>
              </m:sup>
            </m:sSubSup>
          </m:num>
          <m:den>
            <m:r>
              <w:rPr>
                <w:rFonts w:ascii="Cambria Math" w:hAnsi="Cambria Math"/>
                <w:color w:val="4D5156"/>
                <w:sz w:val="32"/>
                <w:szCs w:val="32"/>
                <w:shd w:val="clear" w:color="auto" w:fill="FFFFFF"/>
              </w:rPr>
              <m:t>n(</m:t>
            </m:r>
            <m:sSup>
              <m:sSupPr>
                <m:ctrlPr>
                  <w:rPr>
                    <w:rFonts w:ascii="Cambria Math" w:hAnsi="Cambria Math"/>
                    <w:i/>
                    <w:color w:val="4D5156"/>
                    <w:sz w:val="32"/>
                    <w:szCs w:val="32"/>
                    <w:shd w:val="clear" w:color="auto" w:fill="FFFFFF"/>
                  </w:rPr>
                </m:ctrlPr>
              </m:sSupPr>
              <m:e>
                <m:r>
                  <w:rPr>
                    <w:rFonts w:ascii="Cambria Math" w:hAnsi="Cambria Math"/>
                    <w:color w:val="4D5156"/>
                    <w:sz w:val="32"/>
                    <w:szCs w:val="32"/>
                    <w:shd w:val="clear" w:color="auto" w:fill="FFFFFF"/>
                  </w:rPr>
                  <m:t>n</m:t>
                </m:r>
              </m:e>
              <m:sup>
                <m:r>
                  <w:rPr>
                    <w:rFonts w:ascii="Cambria Math" w:hAnsi="Cambria Math"/>
                    <w:color w:val="4D5156"/>
                    <w:sz w:val="32"/>
                    <w:szCs w:val="32"/>
                    <w:shd w:val="clear" w:color="auto" w:fill="FFFFFF"/>
                  </w:rPr>
                  <m:t>2</m:t>
                </m:r>
              </m:sup>
            </m:sSup>
            <m:r>
              <w:rPr>
                <w:rFonts w:ascii="Cambria Math" w:hAnsi="Cambria Math"/>
                <w:color w:val="4D5156"/>
                <w:sz w:val="32"/>
                <w:szCs w:val="32"/>
                <w:shd w:val="clear" w:color="auto" w:fill="FFFFFF"/>
              </w:rPr>
              <m:t>-1)</m:t>
            </m:r>
          </m:den>
        </m:f>
        <m:r>
          <m:rPr>
            <m:sty m:val="p"/>
          </m:rPr>
          <w:rPr>
            <w:rFonts w:ascii="Cambria Math" w:hAnsi="Cambria Math"/>
            <w:color w:val="4D5156"/>
            <w:sz w:val="32"/>
            <w:szCs w:val="32"/>
            <w:shd w:val="clear" w:color="auto" w:fill="FFFFFF"/>
          </w:rPr>
          <m:t xml:space="preserve"> </m:t>
        </m:r>
      </m:oMath>
      <w:r>
        <w:rPr>
          <w:color w:val="4D5156"/>
          <w:sz w:val="28"/>
          <w:szCs w:val="28"/>
          <w:shd w:val="clear" w:color="auto" w:fill="FFFFFF"/>
        </w:rPr>
        <w:tab/>
      </w:r>
      <w:r>
        <w:rPr>
          <w:color w:val="4D5156"/>
          <w:sz w:val="28"/>
          <w:szCs w:val="28"/>
          <w:shd w:val="clear" w:color="auto" w:fill="FFFFFF"/>
        </w:rPr>
        <w:tab/>
      </w:r>
      <w:r>
        <w:rPr>
          <w:color w:val="4D5156"/>
          <w:sz w:val="28"/>
          <w:szCs w:val="28"/>
          <w:shd w:val="clear" w:color="auto" w:fill="FFFFFF"/>
        </w:rPr>
        <w:tab/>
      </w:r>
      <w:r>
        <w:rPr>
          <w:color w:val="4D5156"/>
          <w:sz w:val="28"/>
          <w:szCs w:val="28"/>
          <w:shd w:val="clear" w:color="auto" w:fill="FFFFFF"/>
        </w:rPr>
        <w:tab/>
      </w:r>
      <w:r>
        <w:rPr>
          <w:color w:val="4D5156"/>
          <w:sz w:val="28"/>
          <w:szCs w:val="28"/>
          <w:shd w:val="clear" w:color="auto" w:fill="FFFFFF"/>
        </w:rPr>
        <w:tab/>
      </w:r>
      <w:r w:rsidRPr="00F2798D">
        <w:rPr>
          <w:color w:val="4D5156"/>
          <w:sz w:val="22"/>
          <w:szCs w:val="22"/>
          <w:shd w:val="clear" w:color="auto" w:fill="FFFFFF"/>
        </w:rPr>
        <w:t>(8)</w:t>
      </w:r>
    </w:p>
    <w:p w14:paraId="1EC0E152" w14:textId="77777777" w:rsidR="00661616" w:rsidRDefault="00882D84" w:rsidP="00661616">
      <w:pPr>
        <w:spacing w:before="120" w:after="240" w:line="360" w:lineRule="auto"/>
        <w:ind w:left="357"/>
        <w:jc w:val="both"/>
      </w:pPr>
      <w:r w:rsidRPr="00661616">
        <w:rPr>
          <w:b/>
          <w:bCs/>
          <w:i/>
          <w:iCs/>
        </w:rPr>
        <w:t>K</w:t>
      </w:r>
      <w:r w:rsidR="008E5B59" w:rsidRPr="00661616">
        <w:rPr>
          <w:b/>
          <w:bCs/>
          <w:i/>
          <w:iCs/>
        </w:rPr>
        <w:t>de</w:t>
      </w:r>
      <w:r w:rsidRPr="00661616">
        <w:rPr>
          <w:b/>
          <w:bCs/>
          <w:i/>
          <w:iCs/>
        </w:rPr>
        <w:t>:</w:t>
      </w:r>
      <w:r w:rsidR="003C7FEE">
        <w:tab/>
      </w:r>
    </w:p>
    <w:p w14:paraId="3AE4B346" w14:textId="77777777" w:rsidR="00661616" w:rsidRPr="00661616" w:rsidRDefault="008E5B59" w:rsidP="00661616">
      <w:pPr>
        <w:pStyle w:val="Odstavecseseznamem"/>
        <w:numPr>
          <w:ilvl w:val="0"/>
          <w:numId w:val="26"/>
        </w:numPr>
        <w:spacing w:before="120" w:after="240"/>
        <w:rPr>
          <w:i/>
          <w:iCs/>
          <w:sz w:val="24"/>
          <w:szCs w:val="22"/>
        </w:rPr>
      </w:pPr>
      <w:r w:rsidRPr="00661616">
        <w:rPr>
          <w:i/>
          <w:iCs/>
          <w:sz w:val="24"/>
          <w:szCs w:val="22"/>
        </w:rPr>
        <w:t>d</w:t>
      </w:r>
      <w:r w:rsidRPr="00661616">
        <w:rPr>
          <w:i/>
          <w:iCs/>
          <w:sz w:val="24"/>
          <w:szCs w:val="22"/>
          <w:vertAlign w:val="subscript"/>
        </w:rPr>
        <w:t>i</w:t>
      </w:r>
      <w:r w:rsidRPr="00661616">
        <w:rPr>
          <w:i/>
          <w:iCs/>
          <w:sz w:val="24"/>
          <w:szCs w:val="22"/>
        </w:rPr>
        <w:t xml:space="preserve"> = rozdíl ve spárovaných </w:t>
      </w:r>
      <w:r w:rsidR="00E7554A" w:rsidRPr="00661616">
        <w:rPr>
          <w:i/>
          <w:iCs/>
          <w:sz w:val="24"/>
          <w:szCs w:val="22"/>
        </w:rPr>
        <w:t>pořadích</w:t>
      </w:r>
      <w:r w:rsidR="00882D84" w:rsidRPr="00661616">
        <w:rPr>
          <w:i/>
          <w:iCs/>
          <w:sz w:val="24"/>
          <w:szCs w:val="22"/>
        </w:rPr>
        <w:t>,</w:t>
      </w:r>
      <w:r w:rsidR="00345718" w:rsidRPr="00661616">
        <w:rPr>
          <w:i/>
          <w:iCs/>
          <w:sz w:val="24"/>
          <w:szCs w:val="22"/>
        </w:rPr>
        <w:t xml:space="preserve"> </w:t>
      </w:r>
    </w:p>
    <w:p w14:paraId="320E52F6" w14:textId="0AD22511" w:rsidR="008E5B59" w:rsidRPr="00661616" w:rsidRDefault="008E5B59" w:rsidP="00661616">
      <w:pPr>
        <w:pStyle w:val="Odstavecseseznamem"/>
        <w:numPr>
          <w:ilvl w:val="0"/>
          <w:numId w:val="26"/>
        </w:numPr>
        <w:spacing w:before="120" w:after="240"/>
        <w:rPr>
          <w:i/>
          <w:iCs/>
          <w:sz w:val="24"/>
          <w:szCs w:val="22"/>
        </w:rPr>
      </w:pPr>
      <w:r w:rsidRPr="00661616">
        <w:rPr>
          <w:i/>
          <w:iCs/>
          <w:sz w:val="24"/>
          <w:szCs w:val="22"/>
        </w:rPr>
        <w:t>n = počet případů</w:t>
      </w:r>
      <w:r w:rsidR="00882D84" w:rsidRPr="00661616">
        <w:rPr>
          <w:i/>
          <w:iCs/>
          <w:sz w:val="24"/>
          <w:szCs w:val="22"/>
        </w:rPr>
        <w:t>,</w:t>
      </w:r>
      <w:r w:rsidRPr="00661616">
        <w:rPr>
          <w:i/>
          <w:iCs/>
          <w:sz w:val="24"/>
          <w:szCs w:val="22"/>
        </w:rPr>
        <w:t xml:space="preserve"> </w:t>
      </w:r>
      <w:r w:rsidR="00882D84" w:rsidRPr="00661616">
        <w:rPr>
          <w:i/>
          <w:iCs/>
          <w:sz w:val="24"/>
          <w:szCs w:val="22"/>
        </w:rPr>
        <w:t>ve kterých nabývají</w:t>
      </w:r>
      <w:r w:rsidRPr="00661616">
        <w:rPr>
          <w:i/>
          <w:iCs/>
          <w:sz w:val="24"/>
          <w:szCs w:val="22"/>
        </w:rPr>
        <w:t xml:space="preserve"> hodnoty v</w:t>
      </w:r>
      <w:r w:rsidR="003C7FEE" w:rsidRPr="00661616">
        <w:rPr>
          <w:i/>
          <w:iCs/>
          <w:sz w:val="24"/>
          <w:szCs w:val="22"/>
        </w:rPr>
        <w:t xml:space="preserve"> intervalu </w:t>
      </w:r>
      <w:r w:rsidRPr="00661616">
        <w:rPr>
          <w:i/>
          <w:iCs/>
          <w:sz w:val="24"/>
          <w:szCs w:val="22"/>
        </w:rPr>
        <w:t>[-1,1].</w:t>
      </w:r>
    </w:p>
    <w:p w14:paraId="63498461" w14:textId="4318FEAF" w:rsidR="008E5B59" w:rsidRDefault="008E5B59" w:rsidP="00101E64">
      <w:pPr>
        <w:spacing w:before="120" w:after="240" w:line="360" w:lineRule="auto"/>
        <w:ind w:firstLine="357"/>
        <w:jc w:val="both"/>
      </w:pPr>
      <w:r>
        <w:t>Zmíněn</w:t>
      </w:r>
      <w:r w:rsidR="00882D84">
        <w:t>á</w:t>
      </w:r>
      <w:r>
        <w:t xml:space="preserve"> korelační matice, kter</w:t>
      </w:r>
      <w:r w:rsidR="00882D84">
        <w:t>ou</w:t>
      </w:r>
      <w:r>
        <w:t xml:space="preserve"> si vypočítáme nám představuj</w:t>
      </w:r>
      <w:r w:rsidR="00882D84">
        <w:t>e</w:t>
      </w:r>
      <w:r>
        <w:t xml:space="preserve"> monotónní vztah mezi každou dvojicí uvažovaných měření. Vzhledem k tomu, že v této diplomové práci bylo vybráno </w:t>
      </w:r>
      <w:r>
        <w:lastRenderedPageBreak/>
        <w:t xml:space="preserve">celkem </w:t>
      </w:r>
      <w:r w:rsidR="00E7554A">
        <w:t>šest</w:t>
      </w:r>
      <w:r>
        <w:t xml:space="preserve"> zemí, bude mít korelační matice celkem </w:t>
      </w:r>
      <w:r w:rsidR="00E7554A">
        <w:t>šest</w:t>
      </w:r>
      <w:r>
        <w:t xml:space="preserve"> řádků a </w:t>
      </w:r>
      <w:r w:rsidR="00E7554A">
        <w:t>šest</w:t>
      </w:r>
      <w:r>
        <w:t xml:space="preserve"> sloupců. Čím vyšší bude hodnota v i-</w:t>
      </w:r>
      <w:proofErr w:type="spellStart"/>
      <w:r>
        <w:t>tém</w:t>
      </w:r>
      <w:proofErr w:type="spellEnd"/>
      <w:r>
        <w:t xml:space="preserve"> řádku a j-</w:t>
      </w:r>
      <w:proofErr w:type="spellStart"/>
      <w:r>
        <w:t>tém</w:t>
      </w:r>
      <w:proofErr w:type="spellEnd"/>
      <w:r>
        <w:t xml:space="preserve"> sloupci, tím vyšší bude pozitivní monotónní asociace mezi očekávaným růstem průměrných mezd v dané zemi. Pozitivní monotónní vztah nám představuje hodnotu jedné proměnné, která se zvyšuje, přičemž se zvyšuje i hodnota druhé proměnné. Pokud se však hodnota korelačního koeficientu v matici přiblíží hodnotě -1, pak </w:t>
      </w:r>
      <w:r w:rsidR="00101E64">
        <w:t>taková hodnota naznačuje, jak se jedna proměnná zvyšuje a hodnota druhé proměnné klesá, což nám představuje negativní monotónní asociaci. Pokud se hodnoty koeficientu přiblíží 0, pak mezi dvěma sadami měření neexistují monotónní vztahy.</w:t>
      </w:r>
    </w:p>
    <w:p w14:paraId="7102F328" w14:textId="728E22C8" w:rsidR="000838F8" w:rsidRDefault="00EB1710" w:rsidP="000838F8">
      <w:pPr>
        <w:spacing w:before="120" w:after="240" w:line="360" w:lineRule="auto"/>
        <w:ind w:firstLine="357"/>
        <w:jc w:val="both"/>
      </w:pPr>
      <w:r>
        <w:t>Roční míra růstu vychází ze skutečné průměrné mzdy (z průměrné měsíční). Tabulka</w:t>
      </w:r>
      <w:r w:rsidR="00345718">
        <w:t xml:space="preserve"> 1 </w:t>
      </w:r>
      <w:r w:rsidR="00661616">
        <w:t xml:space="preserve">uvedena </w:t>
      </w:r>
      <w:r w:rsidR="00345718">
        <w:t xml:space="preserve">výše </w:t>
      </w:r>
      <w:r>
        <w:t>představuje individuální výdělky v národních měnách, jelikož musíme pracovat s hodnotami v národních měnách, pokud bychom totiž přepočítávali průměrné měsíční mzdy směnných kurzem eura, dostali bychom zkreslené hodnoty.</w:t>
      </w:r>
    </w:p>
    <w:p w14:paraId="4A895416" w14:textId="14D76717" w:rsidR="000838F8" w:rsidRDefault="0051007A" w:rsidP="000838F8">
      <w:pPr>
        <w:spacing w:before="120" w:after="240" w:line="360" w:lineRule="auto"/>
        <w:ind w:firstLine="357"/>
        <w:jc w:val="both"/>
      </w:pPr>
      <w:r>
        <w:t xml:space="preserve">Tabulka </w:t>
      </w:r>
      <w:r w:rsidR="00867C9C">
        <w:t>2</w:t>
      </w:r>
      <w:r>
        <w:t xml:space="preserve"> zobrazuje roční růst průměrné mzdy v %, a </w:t>
      </w:r>
      <w:r w:rsidR="00E21036">
        <w:t xml:space="preserve">následná tabulka 3 zobrazuje </w:t>
      </w:r>
      <w:r>
        <w:t xml:space="preserve">pořadí (rank) ročních růstů. K těmto výsledkům jsme došli na základě hodnot průměrné měsíční mzdy z tabulky </w:t>
      </w:r>
      <w:r w:rsidR="00661616">
        <w:t>1</w:t>
      </w:r>
      <w:r>
        <w:t xml:space="preserve"> a pomocí vzorce pro </w:t>
      </w:r>
      <w:proofErr w:type="spellStart"/>
      <w:r w:rsidRPr="0051007A">
        <w:t>δt</w:t>
      </w:r>
      <w:proofErr w:type="spellEnd"/>
      <w:r>
        <w:t>, jež jsme si uvedli výše. U této metody vždy odčítáme běžný rok od předchozího a poté výsledek opět podělíme předchozím rokem např. (hodnota pro rok 2012 – hodnota roku 2013) / hodnota pro rok 2013). V posledním kroku musíme takto získané hodnoty vynásobit 100, abychom získali výsledky v %.</w:t>
      </w:r>
    </w:p>
    <w:p w14:paraId="2D6A4905" w14:textId="0F4BA7F7" w:rsidR="000838F8" w:rsidRPr="000838F8" w:rsidRDefault="000838F8" w:rsidP="000838F8">
      <w:pPr>
        <w:pStyle w:val="Titulek"/>
        <w:keepNext/>
        <w:rPr>
          <w:sz w:val="20"/>
          <w:szCs w:val="20"/>
        </w:rPr>
      </w:pPr>
      <w:bookmarkStart w:id="35" w:name="_Toc46142560"/>
      <w:r w:rsidRPr="000838F8">
        <w:rPr>
          <w:sz w:val="20"/>
          <w:szCs w:val="20"/>
        </w:rPr>
        <w:t xml:space="preserve">Tabulka </w:t>
      </w:r>
      <w:r w:rsidRPr="000838F8">
        <w:rPr>
          <w:sz w:val="20"/>
          <w:szCs w:val="20"/>
        </w:rPr>
        <w:fldChar w:fldCharType="begin"/>
      </w:r>
      <w:r w:rsidRPr="000838F8">
        <w:rPr>
          <w:sz w:val="20"/>
          <w:szCs w:val="20"/>
        </w:rPr>
        <w:instrText xml:space="preserve"> SEQ Tabulka \* ARABIC </w:instrText>
      </w:r>
      <w:r w:rsidRPr="000838F8">
        <w:rPr>
          <w:sz w:val="20"/>
          <w:szCs w:val="20"/>
        </w:rPr>
        <w:fldChar w:fldCharType="separate"/>
      </w:r>
      <w:r w:rsidR="00E21036">
        <w:rPr>
          <w:noProof/>
          <w:sz w:val="20"/>
          <w:szCs w:val="20"/>
        </w:rPr>
        <w:t>2</w:t>
      </w:r>
      <w:r w:rsidRPr="000838F8">
        <w:rPr>
          <w:sz w:val="20"/>
          <w:szCs w:val="20"/>
        </w:rPr>
        <w:fldChar w:fldCharType="end"/>
      </w:r>
      <w:r w:rsidRPr="000838F8">
        <w:rPr>
          <w:sz w:val="20"/>
          <w:szCs w:val="20"/>
        </w:rPr>
        <w:t xml:space="preserve"> – Roční růst průměrné mzdy pro vybrané země za období 2012</w:t>
      </w:r>
      <w:r w:rsidR="00CF70B7">
        <w:rPr>
          <w:sz w:val="20"/>
          <w:szCs w:val="20"/>
        </w:rPr>
        <w:t>-</w:t>
      </w:r>
      <w:r w:rsidRPr="000838F8">
        <w:rPr>
          <w:sz w:val="20"/>
          <w:szCs w:val="20"/>
        </w:rPr>
        <w:t>2019</w:t>
      </w:r>
      <w:bookmarkEnd w:id="35"/>
      <w:r w:rsidRPr="000838F8">
        <w:rPr>
          <w:sz w:val="20"/>
          <w:szCs w:val="20"/>
        </w:rPr>
        <w:t xml:space="preserve"> </w:t>
      </w:r>
    </w:p>
    <w:tbl>
      <w:tblPr>
        <w:tblStyle w:val="Svtlmkatabulky"/>
        <w:tblW w:w="8941" w:type="dxa"/>
        <w:jc w:val="center"/>
        <w:shd w:val="clear" w:color="auto" w:fill="D9E2F3" w:themeFill="accent1" w:themeFillTint="33"/>
        <w:tblLook w:val="04A0" w:firstRow="1" w:lastRow="0" w:firstColumn="1" w:lastColumn="0" w:noHBand="0" w:noVBand="1"/>
      </w:tblPr>
      <w:tblGrid>
        <w:gridCol w:w="1555"/>
        <w:gridCol w:w="1026"/>
        <w:gridCol w:w="1060"/>
        <w:gridCol w:w="1060"/>
        <w:gridCol w:w="1060"/>
        <w:gridCol w:w="1060"/>
        <w:gridCol w:w="1060"/>
        <w:gridCol w:w="1060"/>
      </w:tblGrid>
      <w:tr w:rsidR="00CD3E20" w:rsidRPr="000838F8" w14:paraId="5149A988" w14:textId="77777777" w:rsidTr="00E7554A">
        <w:trPr>
          <w:trHeight w:val="340"/>
          <w:jc w:val="center"/>
        </w:trPr>
        <w:tc>
          <w:tcPr>
            <w:tcW w:w="8941"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B902C3" w14:textId="77777777" w:rsidR="00E7554A" w:rsidRDefault="00E7554A" w:rsidP="00CD3E20">
            <w:pPr>
              <w:jc w:val="center"/>
              <w:rPr>
                <w:b/>
                <w:bCs/>
                <w:color w:val="000000"/>
                <w:sz w:val="20"/>
                <w:szCs w:val="20"/>
              </w:rPr>
            </w:pPr>
          </w:p>
          <w:p w14:paraId="586CAC24" w14:textId="6523F69E" w:rsidR="00CD3E20" w:rsidRPr="00E7554A" w:rsidRDefault="00CD3E20" w:rsidP="00CD3E20">
            <w:pPr>
              <w:jc w:val="center"/>
              <w:rPr>
                <w:b/>
                <w:bCs/>
                <w:color w:val="000000"/>
              </w:rPr>
            </w:pPr>
            <w:r w:rsidRPr="00E7554A">
              <w:rPr>
                <w:b/>
                <w:bCs/>
                <w:color w:val="000000"/>
              </w:rPr>
              <w:t>ROČNÍ RŮST PRŮMĚRNÉ MZDY</w:t>
            </w:r>
          </w:p>
          <w:p w14:paraId="41208BB1" w14:textId="77777777" w:rsidR="00CD3E20" w:rsidRPr="00E7554A" w:rsidRDefault="00CD3E20" w:rsidP="00CD3E20">
            <w:pPr>
              <w:jc w:val="center"/>
              <w:rPr>
                <w:color w:val="000000"/>
              </w:rPr>
            </w:pPr>
            <w:r w:rsidRPr="00E7554A">
              <w:rPr>
                <w:color w:val="000000"/>
              </w:rPr>
              <w:t xml:space="preserve">(vyjádřen v </w:t>
            </w:r>
            <w:r w:rsidRPr="00E7554A">
              <w:t>%, vč. ranku</w:t>
            </w:r>
            <w:r w:rsidRPr="00E7554A">
              <w:rPr>
                <w:color w:val="000000"/>
              </w:rPr>
              <w:t>)</w:t>
            </w:r>
          </w:p>
          <w:p w14:paraId="2D5FDA62" w14:textId="67ABB3E0" w:rsidR="00E7554A" w:rsidRPr="000838F8" w:rsidRDefault="00E7554A" w:rsidP="00CD3E20">
            <w:pPr>
              <w:jc w:val="center"/>
              <w:rPr>
                <w:b/>
                <w:bCs/>
                <w:color w:val="000000"/>
                <w:sz w:val="20"/>
                <w:szCs w:val="20"/>
              </w:rPr>
            </w:pPr>
          </w:p>
        </w:tc>
      </w:tr>
      <w:tr w:rsidR="00CD3E20" w:rsidRPr="000838F8" w14:paraId="0BAE2701" w14:textId="77777777" w:rsidTr="00E7554A">
        <w:trPr>
          <w:trHeight w:val="340"/>
          <w:jc w:val="center"/>
        </w:trPr>
        <w:tc>
          <w:tcPr>
            <w:tcW w:w="1555" w:type="dxa"/>
            <w:vMerge w:val="restart"/>
            <w:tcBorders>
              <w:top w:val="single" w:sz="4" w:space="0" w:color="auto"/>
              <w:left w:val="single" w:sz="4" w:space="0" w:color="auto"/>
            </w:tcBorders>
            <w:shd w:val="clear" w:color="auto" w:fill="D9E2F3" w:themeFill="accent1" w:themeFillTint="33"/>
            <w:vAlign w:val="center"/>
          </w:tcPr>
          <w:p w14:paraId="000C52F3" w14:textId="2CC3D2BB" w:rsidR="00CD3E20" w:rsidRPr="001B25B0" w:rsidRDefault="00CD3E20" w:rsidP="00CD3E20">
            <w:pPr>
              <w:jc w:val="center"/>
              <w:rPr>
                <w:b/>
                <w:bCs/>
                <w:color w:val="000000"/>
              </w:rPr>
            </w:pPr>
            <w:r w:rsidRPr="001B25B0">
              <w:rPr>
                <w:b/>
                <w:bCs/>
                <w:color w:val="000000"/>
              </w:rPr>
              <w:t>Země</w:t>
            </w:r>
          </w:p>
        </w:tc>
        <w:tc>
          <w:tcPr>
            <w:tcW w:w="7386" w:type="dxa"/>
            <w:gridSpan w:val="7"/>
            <w:tcBorders>
              <w:top w:val="single" w:sz="4" w:space="0" w:color="auto"/>
              <w:right w:val="single" w:sz="4" w:space="0" w:color="auto"/>
            </w:tcBorders>
            <w:shd w:val="clear" w:color="auto" w:fill="D9E2F3" w:themeFill="accent1" w:themeFillTint="33"/>
            <w:noWrap/>
            <w:vAlign w:val="center"/>
          </w:tcPr>
          <w:p w14:paraId="5E555BC3" w14:textId="03B1FC0F" w:rsidR="00CD3E20" w:rsidRPr="001B25B0" w:rsidRDefault="00CD3E20" w:rsidP="00E7554A">
            <w:pPr>
              <w:jc w:val="center"/>
              <w:rPr>
                <w:b/>
                <w:bCs/>
                <w:color w:val="000000"/>
              </w:rPr>
            </w:pPr>
            <w:r w:rsidRPr="001B25B0">
              <w:rPr>
                <w:b/>
                <w:bCs/>
                <w:color w:val="000000"/>
              </w:rPr>
              <w:t>Rok</w:t>
            </w:r>
          </w:p>
        </w:tc>
      </w:tr>
      <w:tr w:rsidR="00CD3E20" w:rsidRPr="000838F8" w14:paraId="5777E2F9" w14:textId="77777777" w:rsidTr="00E7554A">
        <w:trPr>
          <w:trHeight w:val="340"/>
          <w:jc w:val="center"/>
        </w:trPr>
        <w:tc>
          <w:tcPr>
            <w:tcW w:w="1555" w:type="dxa"/>
            <w:vMerge/>
            <w:tcBorders>
              <w:left w:val="single" w:sz="4" w:space="0" w:color="auto"/>
              <w:bottom w:val="single" w:sz="4" w:space="0" w:color="auto"/>
            </w:tcBorders>
            <w:shd w:val="clear" w:color="auto" w:fill="D9E2F3" w:themeFill="accent1" w:themeFillTint="33"/>
            <w:hideMark/>
          </w:tcPr>
          <w:p w14:paraId="7BB7533B" w14:textId="77777777" w:rsidR="00CD3E20" w:rsidRPr="001B25B0" w:rsidRDefault="00CD3E20" w:rsidP="00FA4284">
            <w:pPr>
              <w:rPr>
                <w:b/>
                <w:bCs/>
                <w:color w:val="000000"/>
              </w:rPr>
            </w:pPr>
          </w:p>
        </w:tc>
        <w:tc>
          <w:tcPr>
            <w:tcW w:w="1026" w:type="dxa"/>
            <w:tcBorders>
              <w:bottom w:val="single" w:sz="4" w:space="0" w:color="auto"/>
            </w:tcBorders>
            <w:shd w:val="clear" w:color="auto" w:fill="D9E2F3" w:themeFill="accent1" w:themeFillTint="33"/>
            <w:noWrap/>
            <w:vAlign w:val="center"/>
            <w:hideMark/>
          </w:tcPr>
          <w:p w14:paraId="4300EADB" w14:textId="683CB743" w:rsidR="00CD3E20" w:rsidRPr="001B25B0" w:rsidRDefault="00CD3E20" w:rsidP="00E7554A">
            <w:pPr>
              <w:jc w:val="center"/>
              <w:rPr>
                <w:b/>
                <w:bCs/>
                <w:color w:val="000000"/>
              </w:rPr>
            </w:pPr>
            <w:r w:rsidRPr="001B25B0">
              <w:rPr>
                <w:b/>
                <w:bCs/>
                <w:color w:val="000000"/>
              </w:rPr>
              <w:t>2013</w:t>
            </w:r>
          </w:p>
        </w:tc>
        <w:tc>
          <w:tcPr>
            <w:tcW w:w="1060" w:type="dxa"/>
            <w:tcBorders>
              <w:bottom w:val="single" w:sz="4" w:space="0" w:color="auto"/>
            </w:tcBorders>
            <w:shd w:val="clear" w:color="auto" w:fill="D9E2F3" w:themeFill="accent1" w:themeFillTint="33"/>
            <w:noWrap/>
            <w:vAlign w:val="center"/>
            <w:hideMark/>
          </w:tcPr>
          <w:p w14:paraId="153EA71B" w14:textId="0D172CF9" w:rsidR="00CD3E20" w:rsidRPr="001B25B0" w:rsidRDefault="00CD3E20" w:rsidP="00E7554A">
            <w:pPr>
              <w:jc w:val="center"/>
              <w:rPr>
                <w:b/>
                <w:bCs/>
                <w:color w:val="000000"/>
              </w:rPr>
            </w:pPr>
            <w:r w:rsidRPr="001B25B0">
              <w:rPr>
                <w:b/>
                <w:bCs/>
                <w:color w:val="000000"/>
              </w:rPr>
              <w:t>2014</w:t>
            </w:r>
          </w:p>
        </w:tc>
        <w:tc>
          <w:tcPr>
            <w:tcW w:w="1060" w:type="dxa"/>
            <w:tcBorders>
              <w:bottom w:val="single" w:sz="4" w:space="0" w:color="auto"/>
            </w:tcBorders>
            <w:shd w:val="clear" w:color="auto" w:fill="D9E2F3" w:themeFill="accent1" w:themeFillTint="33"/>
            <w:noWrap/>
            <w:vAlign w:val="center"/>
            <w:hideMark/>
          </w:tcPr>
          <w:p w14:paraId="1F9D7E98" w14:textId="1DA3DAB5" w:rsidR="00CD3E20" w:rsidRPr="001B25B0" w:rsidRDefault="00CD3E20" w:rsidP="00E7554A">
            <w:pPr>
              <w:jc w:val="center"/>
              <w:rPr>
                <w:b/>
                <w:bCs/>
                <w:color w:val="000000"/>
              </w:rPr>
            </w:pPr>
            <w:r w:rsidRPr="001B25B0">
              <w:rPr>
                <w:b/>
                <w:bCs/>
                <w:color w:val="000000"/>
              </w:rPr>
              <w:t>2015</w:t>
            </w:r>
          </w:p>
        </w:tc>
        <w:tc>
          <w:tcPr>
            <w:tcW w:w="1060" w:type="dxa"/>
            <w:tcBorders>
              <w:bottom w:val="single" w:sz="4" w:space="0" w:color="auto"/>
            </w:tcBorders>
            <w:shd w:val="clear" w:color="auto" w:fill="D9E2F3" w:themeFill="accent1" w:themeFillTint="33"/>
            <w:noWrap/>
            <w:vAlign w:val="center"/>
            <w:hideMark/>
          </w:tcPr>
          <w:p w14:paraId="780E4124" w14:textId="48F29204" w:rsidR="00CD3E20" w:rsidRPr="001B25B0" w:rsidRDefault="00CD3E20" w:rsidP="00E7554A">
            <w:pPr>
              <w:jc w:val="center"/>
              <w:rPr>
                <w:b/>
                <w:bCs/>
                <w:color w:val="000000"/>
              </w:rPr>
            </w:pPr>
            <w:r w:rsidRPr="001B25B0">
              <w:rPr>
                <w:b/>
                <w:bCs/>
                <w:color w:val="000000"/>
              </w:rPr>
              <w:t>2016</w:t>
            </w:r>
          </w:p>
        </w:tc>
        <w:tc>
          <w:tcPr>
            <w:tcW w:w="1060" w:type="dxa"/>
            <w:tcBorders>
              <w:bottom w:val="single" w:sz="4" w:space="0" w:color="auto"/>
            </w:tcBorders>
            <w:shd w:val="clear" w:color="auto" w:fill="D9E2F3" w:themeFill="accent1" w:themeFillTint="33"/>
            <w:noWrap/>
            <w:vAlign w:val="center"/>
            <w:hideMark/>
          </w:tcPr>
          <w:p w14:paraId="55E5FD8F" w14:textId="367F8C9C" w:rsidR="00CD3E20" w:rsidRPr="001B25B0" w:rsidRDefault="00CD3E20" w:rsidP="00E7554A">
            <w:pPr>
              <w:jc w:val="center"/>
              <w:rPr>
                <w:b/>
                <w:bCs/>
                <w:color w:val="000000"/>
              </w:rPr>
            </w:pPr>
            <w:r w:rsidRPr="001B25B0">
              <w:rPr>
                <w:b/>
                <w:bCs/>
                <w:color w:val="000000"/>
              </w:rPr>
              <w:t>2017</w:t>
            </w:r>
          </w:p>
        </w:tc>
        <w:tc>
          <w:tcPr>
            <w:tcW w:w="1060" w:type="dxa"/>
            <w:tcBorders>
              <w:bottom w:val="single" w:sz="4" w:space="0" w:color="auto"/>
            </w:tcBorders>
            <w:shd w:val="clear" w:color="auto" w:fill="D9E2F3" w:themeFill="accent1" w:themeFillTint="33"/>
            <w:noWrap/>
            <w:vAlign w:val="center"/>
            <w:hideMark/>
          </w:tcPr>
          <w:p w14:paraId="733D3DF9" w14:textId="4169259F" w:rsidR="00CD3E20" w:rsidRPr="001B25B0" w:rsidRDefault="00CD3E20" w:rsidP="00E7554A">
            <w:pPr>
              <w:jc w:val="center"/>
              <w:rPr>
                <w:b/>
                <w:bCs/>
                <w:color w:val="000000"/>
              </w:rPr>
            </w:pPr>
            <w:r w:rsidRPr="001B25B0">
              <w:rPr>
                <w:b/>
                <w:bCs/>
                <w:color w:val="000000"/>
              </w:rPr>
              <w:t>2018</w:t>
            </w:r>
          </w:p>
        </w:tc>
        <w:tc>
          <w:tcPr>
            <w:tcW w:w="1060" w:type="dxa"/>
            <w:tcBorders>
              <w:bottom w:val="single" w:sz="4" w:space="0" w:color="auto"/>
              <w:right w:val="single" w:sz="4" w:space="0" w:color="auto"/>
            </w:tcBorders>
            <w:shd w:val="clear" w:color="auto" w:fill="D9E2F3" w:themeFill="accent1" w:themeFillTint="33"/>
            <w:noWrap/>
            <w:vAlign w:val="center"/>
            <w:hideMark/>
          </w:tcPr>
          <w:p w14:paraId="0F7F704C" w14:textId="01DB3669" w:rsidR="00CD3E20" w:rsidRPr="001B25B0" w:rsidRDefault="00CD3E20" w:rsidP="00E7554A">
            <w:pPr>
              <w:jc w:val="center"/>
              <w:rPr>
                <w:b/>
                <w:bCs/>
                <w:color w:val="000000"/>
              </w:rPr>
            </w:pPr>
            <w:r w:rsidRPr="001B25B0">
              <w:rPr>
                <w:b/>
                <w:bCs/>
                <w:color w:val="000000"/>
              </w:rPr>
              <w:t>2019</w:t>
            </w:r>
          </w:p>
        </w:tc>
      </w:tr>
      <w:tr w:rsidR="00E21036" w:rsidRPr="000838F8" w14:paraId="55BCD57D"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2D4B4E57" w14:textId="77777777" w:rsidR="00E21036" w:rsidRPr="001B25B0" w:rsidRDefault="00E21036" w:rsidP="00CD3E20">
            <w:pPr>
              <w:jc w:val="center"/>
              <w:rPr>
                <w:b/>
                <w:bCs/>
                <w:color w:val="000000"/>
              </w:rPr>
            </w:pPr>
            <w:r w:rsidRPr="001B25B0">
              <w:rPr>
                <w:b/>
                <w:bCs/>
                <w:color w:val="000000"/>
              </w:rPr>
              <w:t>Česká republika</w:t>
            </w:r>
          </w:p>
        </w:tc>
        <w:tc>
          <w:tcPr>
            <w:tcW w:w="1026" w:type="dxa"/>
            <w:tcBorders>
              <w:top w:val="single" w:sz="4" w:space="0" w:color="auto"/>
            </w:tcBorders>
            <w:shd w:val="clear" w:color="auto" w:fill="D9E2F3" w:themeFill="accent1" w:themeFillTint="33"/>
            <w:noWrap/>
            <w:vAlign w:val="center"/>
            <w:hideMark/>
          </w:tcPr>
          <w:p w14:paraId="3D0917F4" w14:textId="3DD183BC" w:rsidR="00E21036" w:rsidRPr="001B25B0" w:rsidRDefault="00E21036" w:rsidP="00E21036">
            <w:pPr>
              <w:jc w:val="right"/>
              <w:rPr>
                <w:color w:val="000000"/>
              </w:rPr>
            </w:pPr>
            <w:r w:rsidRPr="001B25B0">
              <w:t>0,11</w:t>
            </w:r>
          </w:p>
        </w:tc>
        <w:tc>
          <w:tcPr>
            <w:tcW w:w="1060" w:type="dxa"/>
            <w:tcBorders>
              <w:top w:val="single" w:sz="4" w:space="0" w:color="auto"/>
            </w:tcBorders>
            <w:shd w:val="clear" w:color="auto" w:fill="D9E2F3" w:themeFill="accent1" w:themeFillTint="33"/>
            <w:noWrap/>
            <w:vAlign w:val="center"/>
            <w:hideMark/>
          </w:tcPr>
          <w:p w14:paraId="20E8B5E6" w14:textId="29B78B01" w:rsidR="00E21036" w:rsidRPr="001B25B0" w:rsidRDefault="00E21036" w:rsidP="00E21036">
            <w:pPr>
              <w:jc w:val="right"/>
              <w:rPr>
                <w:color w:val="000000"/>
              </w:rPr>
            </w:pPr>
            <w:r w:rsidRPr="001B25B0">
              <w:t>2,22</w:t>
            </w:r>
          </w:p>
        </w:tc>
        <w:tc>
          <w:tcPr>
            <w:tcW w:w="1060" w:type="dxa"/>
            <w:tcBorders>
              <w:top w:val="single" w:sz="4" w:space="0" w:color="auto"/>
            </w:tcBorders>
            <w:shd w:val="clear" w:color="auto" w:fill="D9E2F3" w:themeFill="accent1" w:themeFillTint="33"/>
            <w:noWrap/>
            <w:vAlign w:val="center"/>
            <w:hideMark/>
          </w:tcPr>
          <w:p w14:paraId="1A96EC42" w14:textId="015C78B0" w:rsidR="00E21036" w:rsidRPr="001B25B0" w:rsidRDefault="00E21036" w:rsidP="00E21036">
            <w:pPr>
              <w:jc w:val="right"/>
              <w:rPr>
                <w:color w:val="000000"/>
              </w:rPr>
            </w:pPr>
            <w:r w:rsidRPr="001B25B0">
              <w:t>3,04</w:t>
            </w:r>
          </w:p>
        </w:tc>
        <w:tc>
          <w:tcPr>
            <w:tcW w:w="1060" w:type="dxa"/>
            <w:tcBorders>
              <w:top w:val="single" w:sz="4" w:space="0" w:color="auto"/>
            </w:tcBorders>
            <w:shd w:val="clear" w:color="auto" w:fill="D9E2F3" w:themeFill="accent1" w:themeFillTint="33"/>
            <w:noWrap/>
            <w:vAlign w:val="center"/>
            <w:hideMark/>
          </w:tcPr>
          <w:p w14:paraId="2AF26031" w14:textId="538EAAD0" w:rsidR="00E21036" w:rsidRPr="001B25B0" w:rsidRDefault="00E21036" w:rsidP="00E21036">
            <w:pPr>
              <w:jc w:val="right"/>
              <w:rPr>
                <w:color w:val="000000"/>
              </w:rPr>
            </w:pPr>
            <w:r w:rsidRPr="001B25B0">
              <w:t>4,24</w:t>
            </w:r>
          </w:p>
        </w:tc>
        <w:tc>
          <w:tcPr>
            <w:tcW w:w="1060" w:type="dxa"/>
            <w:tcBorders>
              <w:top w:val="single" w:sz="4" w:space="0" w:color="auto"/>
            </w:tcBorders>
            <w:shd w:val="clear" w:color="auto" w:fill="D9E2F3" w:themeFill="accent1" w:themeFillTint="33"/>
            <w:noWrap/>
            <w:vAlign w:val="center"/>
            <w:hideMark/>
          </w:tcPr>
          <w:p w14:paraId="2F6104D4" w14:textId="233BD438" w:rsidR="00E21036" w:rsidRPr="001B25B0" w:rsidRDefault="00E21036" w:rsidP="00E21036">
            <w:pPr>
              <w:jc w:val="right"/>
              <w:rPr>
                <w:color w:val="000000"/>
              </w:rPr>
            </w:pPr>
            <w:r w:rsidRPr="001B25B0">
              <w:t>6,94</w:t>
            </w:r>
          </w:p>
        </w:tc>
        <w:tc>
          <w:tcPr>
            <w:tcW w:w="1060" w:type="dxa"/>
            <w:tcBorders>
              <w:top w:val="single" w:sz="4" w:space="0" w:color="auto"/>
            </w:tcBorders>
            <w:shd w:val="clear" w:color="auto" w:fill="D9E2F3" w:themeFill="accent1" w:themeFillTint="33"/>
            <w:noWrap/>
            <w:vAlign w:val="center"/>
            <w:hideMark/>
          </w:tcPr>
          <w:p w14:paraId="3803085E" w14:textId="49492170" w:rsidR="00E21036" w:rsidRPr="001B25B0" w:rsidRDefault="00E21036" w:rsidP="00E21036">
            <w:pPr>
              <w:jc w:val="right"/>
              <w:rPr>
                <w:color w:val="000000"/>
              </w:rPr>
            </w:pPr>
            <w:r w:rsidRPr="001B25B0">
              <w:t>8,07</w:t>
            </w:r>
          </w:p>
        </w:tc>
        <w:tc>
          <w:tcPr>
            <w:tcW w:w="1060" w:type="dxa"/>
            <w:tcBorders>
              <w:top w:val="single" w:sz="4" w:space="0" w:color="auto"/>
              <w:right w:val="single" w:sz="4" w:space="0" w:color="auto"/>
            </w:tcBorders>
            <w:shd w:val="clear" w:color="auto" w:fill="D9E2F3" w:themeFill="accent1" w:themeFillTint="33"/>
            <w:noWrap/>
            <w:vAlign w:val="center"/>
            <w:hideMark/>
          </w:tcPr>
          <w:p w14:paraId="6764BF55" w14:textId="1AEC570B" w:rsidR="00E21036" w:rsidRPr="001B25B0" w:rsidRDefault="00E21036" w:rsidP="00E21036">
            <w:pPr>
              <w:jc w:val="right"/>
              <w:rPr>
                <w:color w:val="000000"/>
              </w:rPr>
            </w:pPr>
            <w:r w:rsidRPr="001B25B0">
              <w:rPr>
                <w:color w:val="000000"/>
              </w:rPr>
              <w:t>13,36</w:t>
            </w:r>
          </w:p>
        </w:tc>
      </w:tr>
      <w:tr w:rsidR="00E21036" w:rsidRPr="000838F8" w14:paraId="4099757A"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0053BBBF" w14:textId="77777777" w:rsidR="00E21036" w:rsidRPr="001B25B0" w:rsidRDefault="00E21036" w:rsidP="00CD3E20">
            <w:pPr>
              <w:jc w:val="center"/>
              <w:rPr>
                <w:b/>
                <w:bCs/>
                <w:color w:val="000000"/>
              </w:rPr>
            </w:pPr>
            <w:r w:rsidRPr="001B25B0">
              <w:rPr>
                <w:b/>
                <w:bCs/>
                <w:color w:val="000000"/>
              </w:rPr>
              <w:t>Maďarsko</w:t>
            </w:r>
          </w:p>
        </w:tc>
        <w:tc>
          <w:tcPr>
            <w:tcW w:w="1026" w:type="dxa"/>
            <w:tcBorders>
              <w:top w:val="single" w:sz="4" w:space="0" w:color="auto"/>
            </w:tcBorders>
            <w:shd w:val="clear" w:color="auto" w:fill="D9E2F3" w:themeFill="accent1" w:themeFillTint="33"/>
            <w:noWrap/>
            <w:vAlign w:val="center"/>
            <w:hideMark/>
          </w:tcPr>
          <w:p w14:paraId="27564F80" w14:textId="6D8B8482" w:rsidR="00E21036" w:rsidRPr="001B25B0" w:rsidRDefault="00E21036" w:rsidP="00E21036">
            <w:pPr>
              <w:jc w:val="right"/>
              <w:rPr>
                <w:color w:val="000000"/>
              </w:rPr>
            </w:pPr>
            <w:r w:rsidRPr="001B25B0">
              <w:t>0,52</w:t>
            </w:r>
          </w:p>
        </w:tc>
        <w:tc>
          <w:tcPr>
            <w:tcW w:w="1060" w:type="dxa"/>
            <w:tcBorders>
              <w:top w:val="single" w:sz="4" w:space="0" w:color="auto"/>
            </w:tcBorders>
            <w:shd w:val="clear" w:color="auto" w:fill="D9E2F3" w:themeFill="accent1" w:themeFillTint="33"/>
            <w:noWrap/>
            <w:vAlign w:val="center"/>
            <w:hideMark/>
          </w:tcPr>
          <w:p w14:paraId="3534B56C" w14:textId="1C676458" w:rsidR="00E21036" w:rsidRPr="001B25B0" w:rsidRDefault="00E21036" w:rsidP="00E21036">
            <w:pPr>
              <w:jc w:val="right"/>
              <w:rPr>
                <w:color w:val="000000"/>
              </w:rPr>
            </w:pPr>
            <w:r w:rsidRPr="001B25B0">
              <w:t>19,52</w:t>
            </w:r>
          </w:p>
        </w:tc>
        <w:tc>
          <w:tcPr>
            <w:tcW w:w="1060" w:type="dxa"/>
            <w:tcBorders>
              <w:top w:val="single" w:sz="4" w:space="0" w:color="auto"/>
            </w:tcBorders>
            <w:shd w:val="clear" w:color="auto" w:fill="D9E2F3" w:themeFill="accent1" w:themeFillTint="33"/>
            <w:noWrap/>
            <w:vAlign w:val="center"/>
            <w:hideMark/>
          </w:tcPr>
          <w:p w14:paraId="4220C2E1" w14:textId="458133D9" w:rsidR="00E21036" w:rsidRPr="001B25B0" w:rsidRDefault="00E21036" w:rsidP="00E21036">
            <w:pPr>
              <w:jc w:val="right"/>
              <w:rPr>
                <w:color w:val="000000"/>
              </w:rPr>
            </w:pPr>
            <w:r w:rsidRPr="001B25B0">
              <w:t>-3,09</w:t>
            </w:r>
          </w:p>
        </w:tc>
        <w:tc>
          <w:tcPr>
            <w:tcW w:w="1060" w:type="dxa"/>
            <w:tcBorders>
              <w:top w:val="single" w:sz="4" w:space="0" w:color="auto"/>
            </w:tcBorders>
            <w:shd w:val="clear" w:color="auto" w:fill="D9E2F3" w:themeFill="accent1" w:themeFillTint="33"/>
            <w:noWrap/>
            <w:vAlign w:val="center"/>
            <w:hideMark/>
          </w:tcPr>
          <w:p w14:paraId="7DE118FC" w14:textId="08AEE84C" w:rsidR="00E21036" w:rsidRPr="001B25B0" w:rsidRDefault="00E21036" w:rsidP="00E21036">
            <w:pPr>
              <w:jc w:val="right"/>
              <w:rPr>
                <w:color w:val="000000"/>
              </w:rPr>
            </w:pPr>
            <w:r w:rsidRPr="001B25B0">
              <w:t>6,77</w:t>
            </w:r>
          </w:p>
        </w:tc>
        <w:tc>
          <w:tcPr>
            <w:tcW w:w="1060" w:type="dxa"/>
            <w:tcBorders>
              <w:top w:val="single" w:sz="4" w:space="0" w:color="auto"/>
            </w:tcBorders>
            <w:shd w:val="clear" w:color="auto" w:fill="D9E2F3" w:themeFill="accent1" w:themeFillTint="33"/>
            <w:noWrap/>
            <w:vAlign w:val="center"/>
            <w:hideMark/>
          </w:tcPr>
          <w:p w14:paraId="3F88874A" w14:textId="391264A1" w:rsidR="00E21036" w:rsidRPr="001B25B0" w:rsidRDefault="00E21036" w:rsidP="00E21036">
            <w:pPr>
              <w:jc w:val="right"/>
              <w:rPr>
                <w:color w:val="000000"/>
              </w:rPr>
            </w:pPr>
            <w:r w:rsidRPr="001B25B0">
              <w:t>2,19</w:t>
            </w:r>
          </w:p>
        </w:tc>
        <w:tc>
          <w:tcPr>
            <w:tcW w:w="1060" w:type="dxa"/>
            <w:tcBorders>
              <w:top w:val="single" w:sz="4" w:space="0" w:color="auto"/>
            </w:tcBorders>
            <w:shd w:val="clear" w:color="auto" w:fill="D9E2F3" w:themeFill="accent1" w:themeFillTint="33"/>
            <w:noWrap/>
            <w:vAlign w:val="center"/>
            <w:hideMark/>
          </w:tcPr>
          <w:p w14:paraId="73BAF294" w14:textId="11AB5719" w:rsidR="00E21036" w:rsidRPr="001B25B0" w:rsidRDefault="00E21036" w:rsidP="00E21036">
            <w:pPr>
              <w:jc w:val="right"/>
              <w:rPr>
                <w:color w:val="000000"/>
              </w:rPr>
            </w:pPr>
            <w:r w:rsidRPr="001B25B0">
              <w:t>22,05</w:t>
            </w:r>
          </w:p>
        </w:tc>
        <w:tc>
          <w:tcPr>
            <w:tcW w:w="1060" w:type="dxa"/>
            <w:tcBorders>
              <w:top w:val="single" w:sz="4" w:space="0" w:color="auto"/>
              <w:right w:val="single" w:sz="4" w:space="0" w:color="auto"/>
            </w:tcBorders>
            <w:shd w:val="clear" w:color="auto" w:fill="D9E2F3" w:themeFill="accent1" w:themeFillTint="33"/>
            <w:noWrap/>
            <w:vAlign w:val="center"/>
            <w:hideMark/>
          </w:tcPr>
          <w:p w14:paraId="65F909A8" w14:textId="0EF9EC1A" w:rsidR="00E21036" w:rsidRPr="001B25B0" w:rsidRDefault="00E21036" w:rsidP="00E21036">
            <w:pPr>
              <w:jc w:val="right"/>
              <w:rPr>
                <w:color w:val="000000"/>
              </w:rPr>
            </w:pPr>
            <w:r w:rsidRPr="001B25B0">
              <w:rPr>
                <w:color w:val="000000"/>
              </w:rPr>
              <w:t>18,55</w:t>
            </w:r>
          </w:p>
        </w:tc>
      </w:tr>
      <w:tr w:rsidR="00E21036" w:rsidRPr="000838F8" w14:paraId="404E122B"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6BF00BA2" w14:textId="77777777" w:rsidR="00E21036" w:rsidRPr="001B25B0" w:rsidRDefault="00E21036" w:rsidP="00CD3E20">
            <w:pPr>
              <w:jc w:val="center"/>
              <w:rPr>
                <w:b/>
                <w:bCs/>
                <w:color w:val="000000"/>
              </w:rPr>
            </w:pPr>
            <w:r w:rsidRPr="001B25B0">
              <w:rPr>
                <w:b/>
                <w:bCs/>
                <w:color w:val="000000"/>
              </w:rPr>
              <w:t>Německo</w:t>
            </w:r>
          </w:p>
        </w:tc>
        <w:tc>
          <w:tcPr>
            <w:tcW w:w="1026" w:type="dxa"/>
            <w:tcBorders>
              <w:top w:val="single" w:sz="4" w:space="0" w:color="auto"/>
            </w:tcBorders>
            <w:shd w:val="clear" w:color="auto" w:fill="D9E2F3" w:themeFill="accent1" w:themeFillTint="33"/>
            <w:noWrap/>
            <w:vAlign w:val="center"/>
            <w:hideMark/>
          </w:tcPr>
          <w:p w14:paraId="72FB4334" w14:textId="14C660BE" w:rsidR="00E21036" w:rsidRPr="001B25B0" w:rsidRDefault="00E21036" w:rsidP="00E21036">
            <w:pPr>
              <w:jc w:val="right"/>
              <w:rPr>
                <w:color w:val="000000"/>
              </w:rPr>
            </w:pPr>
            <w:r w:rsidRPr="001B25B0">
              <w:t>1,18</w:t>
            </w:r>
          </w:p>
        </w:tc>
        <w:tc>
          <w:tcPr>
            <w:tcW w:w="1060" w:type="dxa"/>
            <w:tcBorders>
              <w:top w:val="single" w:sz="4" w:space="0" w:color="auto"/>
            </w:tcBorders>
            <w:shd w:val="clear" w:color="auto" w:fill="D9E2F3" w:themeFill="accent1" w:themeFillTint="33"/>
            <w:noWrap/>
            <w:vAlign w:val="center"/>
            <w:hideMark/>
          </w:tcPr>
          <w:p w14:paraId="2C4E1DC0" w14:textId="197A05E8" w:rsidR="00E21036" w:rsidRPr="001B25B0" w:rsidRDefault="00E21036" w:rsidP="00E21036">
            <w:pPr>
              <w:jc w:val="right"/>
              <w:rPr>
                <w:color w:val="000000"/>
              </w:rPr>
            </w:pPr>
            <w:r w:rsidRPr="001B25B0">
              <w:t>1,55</w:t>
            </w:r>
          </w:p>
        </w:tc>
        <w:tc>
          <w:tcPr>
            <w:tcW w:w="1060" w:type="dxa"/>
            <w:tcBorders>
              <w:top w:val="single" w:sz="4" w:space="0" w:color="auto"/>
            </w:tcBorders>
            <w:shd w:val="clear" w:color="auto" w:fill="D9E2F3" w:themeFill="accent1" w:themeFillTint="33"/>
            <w:noWrap/>
            <w:vAlign w:val="center"/>
            <w:hideMark/>
          </w:tcPr>
          <w:p w14:paraId="4BD80BF7" w14:textId="7941678D" w:rsidR="00E21036" w:rsidRPr="001B25B0" w:rsidRDefault="00E21036" w:rsidP="00E21036">
            <w:pPr>
              <w:jc w:val="right"/>
              <w:rPr>
                <w:color w:val="000000"/>
              </w:rPr>
            </w:pPr>
            <w:r w:rsidRPr="001B25B0">
              <w:t>2,17</w:t>
            </w:r>
          </w:p>
        </w:tc>
        <w:tc>
          <w:tcPr>
            <w:tcW w:w="1060" w:type="dxa"/>
            <w:tcBorders>
              <w:top w:val="single" w:sz="4" w:space="0" w:color="auto"/>
            </w:tcBorders>
            <w:shd w:val="clear" w:color="auto" w:fill="D9E2F3" w:themeFill="accent1" w:themeFillTint="33"/>
            <w:noWrap/>
            <w:vAlign w:val="center"/>
            <w:hideMark/>
          </w:tcPr>
          <w:p w14:paraId="3A4FEBEE" w14:textId="5D2E76FE" w:rsidR="00E21036" w:rsidRPr="001B25B0" w:rsidRDefault="00E21036" w:rsidP="00E21036">
            <w:pPr>
              <w:jc w:val="right"/>
              <w:rPr>
                <w:color w:val="000000"/>
              </w:rPr>
            </w:pPr>
            <w:r w:rsidRPr="001B25B0">
              <w:t>1,47</w:t>
            </w:r>
          </w:p>
        </w:tc>
        <w:tc>
          <w:tcPr>
            <w:tcW w:w="1060" w:type="dxa"/>
            <w:tcBorders>
              <w:top w:val="single" w:sz="4" w:space="0" w:color="auto"/>
            </w:tcBorders>
            <w:shd w:val="clear" w:color="auto" w:fill="D9E2F3" w:themeFill="accent1" w:themeFillTint="33"/>
            <w:noWrap/>
            <w:vAlign w:val="center"/>
            <w:hideMark/>
          </w:tcPr>
          <w:p w14:paraId="271AE433" w14:textId="5A97E855" w:rsidR="00E21036" w:rsidRPr="001B25B0" w:rsidRDefault="00E21036" w:rsidP="00E21036">
            <w:pPr>
              <w:jc w:val="right"/>
              <w:rPr>
                <w:color w:val="000000"/>
              </w:rPr>
            </w:pPr>
            <w:r w:rsidRPr="001B25B0">
              <w:t>15,89</w:t>
            </w:r>
          </w:p>
        </w:tc>
        <w:tc>
          <w:tcPr>
            <w:tcW w:w="1060" w:type="dxa"/>
            <w:tcBorders>
              <w:top w:val="single" w:sz="4" w:space="0" w:color="auto"/>
            </w:tcBorders>
            <w:shd w:val="clear" w:color="auto" w:fill="D9E2F3" w:themeFill="accent1" w:themeFillTint="33"/>
            <w:noWrap/>
            <w:vAlign w:val="center"/>
            <w:hideMark/>
          </w:tcPr>
          <w:p w14:paraId="4DB15118" w14:textId="10B8DA9A" w:rsidR="00E21036" w:rsidRPr="001B25B0" w:rsidRDefault="00E21036" w:rsidP="00E21036">
            <w:pPr>
              <w:jc w:val="right"/>
              <w:rPr>
                <w:color w:val="000000"/>
              </w:rPr>
            </w:pPr>
            <w:r w:rsidRPr="001B25B0">
              <w:t>2,92</w:t>
            </w:r>
          </w:p>
        </w:tc>
        <w:tc>
          <w:tcPr>
            <w:tcW w:w="1060" w:type="dxa"/>
            <w:tcBorders>
              <w:top w:val="single" w:sz="4" w:space="0" w:color="auto"/>
              <w:right w:val="single" w:sz="4" w:space="0" w:color="auto"/>
            </w:tcBorders>
            <w:shd w:val="clear" w:color="auto" w:fill="D9E2F3" w:themeFill="accent1" w:themeFillTint="33"/>
            <w:noWrap/>
            <w:vAlign w:val="center"/>
            <w:hideMark/>
          </w:tcPr>
          <w:p w14:paraId="2717E016" w14:textId="1F8EE827" w:rsidR="00E21036" w:rsidRPr="001B25B0" w:rsidRDefault="00E21036" w:rsidP="00E21036">
            <w:pPr>
              <w:jc w:val="right"/>
              <w:rPr>
                <w:color w:val="000000"/>
              </w:rPr>
            </w:pPr>
            <w:r w:rsidRPr="001B25B0">
              <w:rPr>
                <w:color w:val="000000"/>
              </w:rPr>
              <w:t>2,14</w:t>
            </w:r>
          </w:p>
          <w:p w14:paraId="2680D405" w14:textId="61842F4F" w:rsidR="00E21036" w:rsidRPr="001B25B0" w:rsidRDefault="00E21036" w:rsidP="00E21036">
            <w:pPr>
              <w:jc w:val="right"/>
              <w:rPr>
                <w:color w:val="000000"/>
              </w:rPr>
            </w:pPr>
          </w:p>
        </w:tc>
      </w:tr>
      <w:tr w:rsidR="00E21036" w:rsidRPr="000838F8" w14:paraId="636CF825"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0E1BCCC6" w14:textId="77777777" w:rsidR="00E21036" w:rsidRPr="001B25B0" w:rsidRDefault="00E21036" w:rsidP="00CD3E20">
            <w:pPr>
              <w:jc w:val="center"/>
              <w:rPr>
                <w:b/>
                <w:bCs/>
                <w:color w:val="000000"/>
              </w:rPr>
            </w:pPr>
            <w:r w:rsidRPr="001B25B0">
              <w:rPr>
                <w:b/>
                <w:bCs/>
                <w:color w:val="000000"/>
              </w:rPr>
              <w:t>Polsko</w:t>
            </w:r>
          </w:p>
        </w:tc>
        <w:tc>
          <w:tcPr>
            <w:tcW w:w="1026" w:type="dxa"/>
            <w:tcBorders>
              <w:top w:val="single" w:sz="4" w:space="0" w:color="auto"/>
            </w:tcBorders>
            <w:shd w:val="clear" w:color="auto" w:fill="D9E2F3" w:themeFill="accent1" w:themeFillTint="33"/>
            <w:noWrap/>
            <w:vAlign w:val="center"/>
            <w:hideMark/>
          </w:tcPr>
          <w:p w14:paraId="5B8B708A" w14:textId="04839AA4" w:rsidR="00E21036" w:rsidRPr="001B25B0" w:rsidRDefault="00E21036" w:rsidP="00E21036">
            <w:pPr>
              <w:jc w:val="right"/>
              <w:rPr>
                <w:color w:val="000000"/>
              </w:rPr>
            </w:pPr>
            <w:r w:rsidRPr="001B25B0">
              <w:t>3,63</w:t>
            </w:r>
          </w:p>
        </w:tc>
        <w:tc>
          <w:tcPr>
            <w:tcW w:w="1060" w:type="dxa"/>
            <w:tcBorders>
              <w:top w:val="single" w:sz="4" w:space="0" w:color="auto"/>
            </w:tcBorders>
            <w:shd w:val="clear" w:color="auto" w:fill="D9E2F3" w:themeFill="accent1" w:themeFillTint="33"/>
            <w:noWrap/>
            <w:vAlign w:val="center"/>
            <w:hideMark/>
          </w:tcPr>
          <w:p w14:paraId="0F694935" w14:textId="47D038D4" w:rsidR="00E21036" w:rsidRPr="001B25B0" w:rsidRDefault="00E21036" w:rsidP="00E21036">
            <w:pPr>
              <w:jc w:val="right"/>
              <w:rPr>
                <w:color w:val="000000"/>
              </w:rPr>
            </w:pPr>
            <w:r w:rsidRPr="001B25B0">
              <w:t>3,64</w:t>
            </w:r>
          </w:p>
        </w:tc>
        <w:tc>
          <w:tcPr>
            <w:tcW w:w="1060" w:type="dxa"/>
            <w:tcBorders>
              <w:top w:val="single" w:sz="4" w:space="0" w:color="auto"/>
            </w:tcBorders>
            <w:shd w:val="clear" w:color="auto" w:fill="D9E2F3" w:themeFill="accent1" w:themeFillTint="33"/>
            <w:noWrap/>
            <w:vAlign w:val="center"/>
            <w:hideMark/>
          </w:tcPr>
          <w:p w14:paraId="552A3F62" w14:textId="1A210026" w:rsidR="00E21036" w:rsidRPr="001B25B0" w:rsidRDefault="00E21036" w:rsidP="00E21036">
            <w:pPr>
              <w:jc w:val="right"/>
              <w:rPr>
                <w:color w:val="000000"/>
              </w:rPr>
            </w:pPr>
            <w:r w:rsidRPr="001B25B0">
              <w:t>3,09</w:t>
            </w:r>
          </w:p>
        </w:tc>
        <w:tc>
          <w:tcPr>
            <w:tcW w:w="1060" w:type="dxa"/>
            <w:tcBorders>
              <w:top w:val="single" w:sz="4" w:space="0" w:color="auto"/>
            </w:tcBorders>
            <w:shd w:val="clear" w:color="auto" w:fill="D9E2F3" w:themeFill="accent1" w:themeFillTint="33"/>
            <w:noWrap/>
            <w:vAlign w:val="center"/>
            <w:hideMark/>
          </w:tcPr>
          <w:p w14:paraId="50CE773B" w14:textId="7F0F7131" w:rsidR="00E21036" w:rsidRPr="001B25B0" w:rsidRDefault="00E21036" w:rsidP="00E21036">
            <w:pPr>
              <w:jc w:val="right"/>
              <w:rPr>
                <w:color w:val="000000"/>
              </w:rPr>
            </w:pPr>
            <w:r w:rsidRPr="001B25B0">
              <w:t>3,77</w:t>
            </w:r>
          </w:p>
        </w:tc>
        <w:tc>
          <w:tcPr>
            <w:tcW w:w="1060" w:type="dxa"/>
            <w:tcBorders>
              <w:top w:val="single" w:sz="4" w:space="0" w:color="auto"/>
            </w:tcBorders>
            <w:shd w:val="clear" w:color="auto" w:fill="D9E2F3" w:themeFill="accent1" w:themeFillTint="33"/>
            <w:noWrap/>
            <w:vAlign w:val="center"/>
            <w:hideMark/>
          </w:tcPr>
          <w:p w14:paraId="1BC0EA1A" w14:textId="0E765845" w:rsidR="00E21036" w:rsidRPr="001B25B0" w:rsidRDefault="00E21036" w:rsidP="00E21036">
            <w:pPr>
              <w:jc w:val="right"/>
              <w:rPr>
                <w:color w:val="000000"/>
              </w:rPr>
            </w:pPr>
            <w:r w:rsidRPr="001B25B0">
              <w:t>5,56</w:t>
            </w:r>
          </w:p>
        </w:tc>
        <w:tc>
          <w:tcPr>
            <w:tcW w:w="1060" w:type="dxa"/>
            <w:tcBorders>
              <w:top w:val="single" w:sz="4" w:space="0" w:color="auto"/>
            </w:tcBorders>
            <w:shd w:val="clear" w:color="auto" w:fill="D9E2F3" w:themeFill="accent1" w:themeFillTint="33"/>
            <w:noWrap/>
            <w:vAlign w:val="center"/>
            <w:hideMark/>
          </w:tcPr>
          <w:p w14:paraId="52E1AEDA" w14:textId="6D24FF18" w:rsidR="00E21036" w:rsidRPr="001B25B0" w:rsidRDefault="00E21036" w:rsidP="00E21036">
            <w:pPr>
              <w:jc w:val="right"/>
              <w:rPr>
                <w:color w:val="000000"/>
              </w:rPr>
            </w:pPr>
            <w:r w:rsidRPr="001B25B0">
              <w:t>7,33</w:t>
            </w:r>
          </w:p>
        </w:tc>
        <w:tc>
          <w:tcPr>
            <w:tcW w:w="1060" w:type="dxa"/>
            <w:tcBorders>
              <w:top w:val="single" w:sz="4" w:space="0" w:color="auto"/>
              <w:right w:val="single" w:sz="4" w:space="0" w:color="auto"/>
            </w:tcBorders>
            <w:shd w:val="clear" w:color="auto" w:fill="D9E2F3" w:themeFill="accent1" w:themeFillTint="33"/>
            <w:noWrap/>
            <w:vAlign w:val="center"/>
          </w:tcPr>
          <w:p w14:paraId="36FDBF02" w14:textId="7F9B1C7E" w:rsidR="00E21036" w:rsidRPr="001B25B0" w:rsidRDefault="00E21036" w:rsidP="00E21036">
            <w:pPr>
              <w:jc w:val="right"/>
              <w:rPr>
                <w:color w:val="000000"/>
              </w:rPr>
            </w:pPr>
            <w:r w:rsidRPr="001B25B0">
              <w:rPr>
                <w:color w:val="000000"/>
              </w:rPr>
              <w:t>7,26</w:t>
            </w:r>
          </w:p>
        </w:tc>
      </w:tr>
      <w:tr w:rsidR="00E21036" w:rsidRPr="000838F8" w14:paraId="0B7F3F57"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0D2E3A34" w14:textId="382DDD44" w:rsidR="00E21036" w:rsidRPr="001B25B0" w:rsidRDefault="00E21036" w:rsidP="00CD3E20">
            <w:pPr>
              <w:jc w:val="center"/>
              <w:rPr>
                <w:b/>
                <w:bCs/>
                <w:color w:val="000000"/>
              </w:rPr>
            </w:pPr>
            <w:r w:rsidRPr="001B25B0">
              <w:rPr>
                <w:b/>
                <w:bCs/>
                <w:color w:val="000000"/>
              </w:rPr>
              <w:t>Rakousko</w:t>
            </w:r>
          </w:p>
          <w:p w14:paraId="41D9FB21" w14:textId="55392ADD" w:rsidR="00E21036" w:rsidRPr="001B25B0" w:rsidRDefault="00E21036" w:rsidP="00CD3E20">
            <w:pPr>
              <w:jc w:val="center"/>
              <w:rPr>
                <w:b/>
                <w:bCs/>
                <w:color w:val="000000"/>
              </w:rPr>
            </w:pPr>
          </w:p>
        </w:tc>
        <w:tc>
          <w:tcPr>
            <w:tcW w:w="1026" w:type="dxa"/>
            <w:tcBorders>
              <w:top w:val="single" w:sz="4" w:space="0" w:color="auto"/>
            </w:tcBorders>
            <w:shd w:val="clear" w:color="auto" w:fill="D9E2F3" w:themeFill="accent1" w:themeFillTint="33"/>
            <w:noWrap/>
            <w:vAlign w:val="center"/>
            <w:hideMark/>
          </w:tcPr>
          <w:p w14:paraId="628402D8" w14:textId="79346E9F" w:rsidR="00E21036" w:rsidRPr="001B25B0" w:rsidRDefault="00E21036" w:rsidP="00E21036">
            <w:pPr>
              <w:jc w:val="right"/>
              <w:rPr>
                <w:color w:val="000000"/>
              </w:rPr>
            </w:pPr>
            <w:r w:rsidRPr="001B25B0">
              <w:t>2,26</w:t>
            </w:r>
          </w:p>
        </w:tc>
        <w:tc>
          <w:tcPr>
            <w:tcW w:w="1060" w:type="dxa"/>
            <w:tcBorders>
              <w:top w:val="single" w:sz="4" w:space="0" w:color="auto"/>
            </w:tcBorders>
            <w:shd w:val="clear" w:color="auto" w:fill="D9E2F3" w:themeFill="accent1" w:themeFillTint="33"/>
            <w:noWrap/>
            <w:vAlign w:val="center"/>
            <w:hideMark/>
          </w:tcPr>
          <w:p w14:paraId="7D6DFAD9" w14:textId="17EB4B24" w:rsidR="00E21036" w:rsidRPr="001B25B0" w:rsidRDefault="00E21036" w:rsidP="00E21036">
            <w:pPr>
              <w:jc w:val="right"/>
              <w:rPr>
                <w:color w:val="000000"/>
              </w:rPr>
            </w:pPr>
            <w:r w:rsidRPr="001B25B0">
              <w:t>2,39</w:t>
            </w:r>
          </w:p>
        </w:tc>
        <w:tc>
          <w:tcPr>
            <w:tcW w:w="1060" w:type="dxa"/>
            <w:tcBorders>
              <w:top w:val="single" w:sz="4" w:space="0" w:color="auto"/>
            </w:tcBorders>
            <w:shd w:val="clear" w:color="auto" w:fill="D9E2F3" w:themeFill="accent1" w:themeFillTint="33"/>
            <w:noWrap/>
            <w:vAlign w:val="center"/>
            <w:hideMark/>
          </w:tcPr>
          <w:p w14:paraId="7F3D43A0" w14:textId="1C2659CD" w:rsidR="00E21036" w:rsidRPr="001B25B0" w:rsidRDefault="00E21036" w:rsidP="00E21036">
            <w:pPr>
              <w:jc w:val="right"/>
              <w:rPr>
                <w:color w:val="000000"/>
              </w:rPr>
            </w:pPr>
            <w:r w:rsidRPr="001B25B0">
              <w:t>2,16</w:t>
            </w:r>
          </w:p>
        </w:tc>
        <w:tc>
          <w:tcPr>
            <w:tcW w:w="1060" w:type="dxa"/>
            <w:tcBorders>
              <w:top w:val="single" w:sz="4" w:space="0" w:color="auto"/>
            </w:tcBorders>
            <w:shd w:val="clear" w:color="auto" w:fill="D9E2F3" w:themeFill="accent1" w:themeFillTint="33"/>
            <w:noWrap/>
            <w:vAlign w:val="center"/>
            <w:hideMark/>
          </w:tcPr>
          <w:p w14:paraId="6C58476F" w14:textId="4E49D8A2" w:rsidR="00E21036" w:rsidRPr="001B25B0" w:rsidRDefault="00E21036" w:rsidP="00E21036">
            <w:pPr>
              <w:jc w:val="right"/>
              <w:rPr>
                <w:color w:val="000000"/>
              </w:rPr>
            </w:pPr>
            <w:r w:rsidRPr="001B25B0">
              <w:t>2,40</w:t>
            </w:r>
          </w:p>
        </w:tc>
        <w:tc>
          <w:tcPr>
            <w:tcW w:w="1060" w:type="dxa"/>
            <w:tcBorders>
              <w:top w:val="single" w:sz="4" w:space="0" w:color="auto"/>
            </w:tcBorders>
            <w:shd w:val="clear" w:color="auto" w:fill="D9E2F3" w:themeFill="accent1" w:themeFillTint="33"/>
            <w:noWrap/>
            <w:vAlign w:val="center"/>
            <w:hideMark/>
          </w:tcPr>
          <w:p w14:paraId="11B96656" w14:textId="69B20509" w:rsidR="00E21036" w:rsidRPr="001B25B0" w:rsidRDefault="00E21036" w:rsidP="00E21036">
            <w:pPr>
              <w:jc w:val="right"/>
              <w:rPr>
                <w:color w:val="000000"/>
              </w:rPr>
            </w:pPr>
            <w:r w:rsidRPr="001B25B0">
              <w:t>1,60</w:t>
            </w:r>
          </w:p>
        </w:tc>
        <w:tc>
          <w:tcPr>
            <w:tcW w:w="1060" w:type="dxa"/>
            <w:tcBorders>
              <w:top w:val="single" w:sz="4" w:space="0" w:color="auto"/>
            </w:tcBorders>
            <w:shd w:val="clear" w:color="auto" w:fill="D9E2F3" w:themeFill="accent1" w:themeFillTint="33"/>
            <w:noWrap/>
            <w:vAlign w:val="center"/>
            <w:hideMark/>
          </w:tcPr>
          <w:p w14:paraId="1097B235" w14:textId="70B09105" w:rsidR="00E21036" w:rsidRPr="001B25B0" w:rsidRDefault="00E21036" w:rsidP="00E21036">
            <w:pPr>
              <w:jc w:val="right"/>
              <w:rPr>
                <w:color w:val="000000"/>
              </w:rPr>
            </w:pPr>
            <w:r w:rsidRPr="001B25B0">
              <w:t>2,06</w:t>
            </w:r>
          </w:p>
        </w:tc>
        <w:tc>
          <w:tcPr>
            <w:tcW w:w="1060" w:type="dxa"/>
            <w:tcBorders>
              <w:top w:val="single" w:sz="4" w:space="0" w:color="auto"/>
              <w:right w:val="single" w:sz="4" w:space="0" w:color="auto"/>
            </w:tcBorders>
            <w:shd w:val="clear" w:color="auto" w:fill="D9E2F3" w:themeFill="accent1" w:themeFillTint="33"/>
            <w:noWrap/>
            <w:vAlign w:val="center"/>
          </w:tcPr>
          <w:p w14:paraId="269C613D" w14:textId="1C29FAB2" w:rsidR="00E21036" w:rsidRPr="001B25B0" w:rsidRDefault="00E21036" w:rsidP="00E21036">
            <w:pPr>
              <w:jc w:val="right"/>
              <w:rPr>
                <w:color w:val="000000"/>
              </w:rPr>
            </w:pPr>
            <w:r w:rsidRPr="001B25B0">
              <w:rPr>
                <w:color w:val="000000"/>
              </w:rPr>
              <w:t>10,41</w:t>
            </w:r>
          </w:p>
        </w:tc>
      </w:tr>
      <w:tr w:rsidR="00E21036" w:rsidRPr="000838F8" w14:paraId="66F16467" w14:textId="77777777" w:rsidTr="00E21036">
        <w:trPr>
          <w:trHeight w:val="486"/>
          <w:jc w:val="center"/>
        </w:trPr>
        <w:tc>
          <w:tcPr>
            <w:tcW w:w="1555"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2BAD9E82" w14:textId="77777777" w:rsidR="00E21036" w:rsidRPr="001B25B0" w:rsidRDefault="00E21036" w:rsidP="00CD3E20">
            <w:pPr>
              <w:jc w:val="center"/>
              <w:rPr>
                <w:b/>
                <w:bCs/>
                <w:color w:val="000000"/>
              </w:rPr>
            </w:pPr>
            <w:r w:rsidRPr="001B25B0">
              <w:rPr>
                <w:b/>
                <w:bCs/>
                <w:color w:val="000000"/>
              </w:rPr>
              <w:t>Slovensko</w:t>
            </w:r>
          </w:p>
        </w:tc>
        <w:tc>
          <w:tcPr>
            <w:tcW w:w="1026" w:type="dxa"/>
            <w:tcBorders>
              <w:top w:val="single" w:sz="4" w:space="0" w:color="auto"/>
              <w:bottom w:val="single" w:sz="4" w:space="0" w:color="auto"/>
            </w:tcBorders>
            <w:shd w:val="clear" w:color="auto" w:fill="D9E2F3" w:themeFill="accent1" w:themeFillTint="33"/>
            <w:noWrap/>
            <w:vAlign w:val="center"/>
            <w:hideMark/>
          </w:tcPr>
          <w:p w14:paraId="3EA6BA04" w14:textId="7E3107BD" w:rsidR="00E21036" w:rsidRPr="001B25B0" w:rsidRDefault="00E21036" w:rsidP="00E21036">
            <w:pPr>
              <w:jc w:val="right"/>
              <w:rPr>
                <w:color w:val="000000"/>
              </w:rPr>
            </w:pPr>
            <w:r w:rsidRPr="001B25B0">
              <w:t>3,62</w:t>
            </w:r>
          </w:p>
        </w:tc>
        <w:tc>
          <w:tcPr>
            <w:tcW w:w="1060" w:type="dxa"/>
            <w:tcBorders>
              <w:top w:val="single" w:sz="4" w:space="0" w:color="auto"/>
              <w:bottom w:val="single" w:sz="4" w:space="0" w:color="auto"/>
            </w:tcBorders>
            <w:shd w:val="clear" w:color="auto" w:fill="D9E2F3" w:themeFill="accent1" w:themeFillTint="33"/>
            <w:noWrap/>
            <w:vAlign w:val="center"/>
            <w:hideMark/>
          </w:tcPr>
          <w:p w14:paraId="1D3B0EA9" w14:textId="3A02E5A8" w:rsidR="00E21036" w:rsidRPr="001B25B0" w:rsidRDefault="00E21036" w:rsidP="00E21036">
            <w:pPr>
              <w:jc w:val="right"/>
              <w:rPr>
                <w:color w:val="000000"/>
              </w:rPr>
            </w:pPr>
            <w:r w:rsidRPr="001B25B0">
              <w:t>5,29</w:t>
            </w:r>
          </w:p>
        </w:tc>
        <w:tc>
          <w:tcPr>
            <w:tcW w:w="1060" w:type="dxa"/>
            <w:tcBorders>
              <w:top w:val="single" w:sz="4" w:space="0" w:color="auto"/>
              <w:bottom w:val="single" w:sz="4" w:space="0" w:color="auto"/>
            </w:tcBorders>
            <w:shd w:val="clear" w:color="auto" w:fill="D9E2F3" w:themeFill="accent1" w:themeFillTint="33"/>
            <w:noWrap/>
            <w:vAlign w:val="center"/>
            <w:hideMark/>
          </w:tcPr>
          <w:p w14:paraId="7DAE2FC0" w14:textId="1C312B96" w:rsidR="00E21036" w:rsidRPr="001B25B0" w:rsidRDefault="00E21036" w:rsidP="00E21036">
            <w:pPr>
              <w:jc w:val="right"/>
              <w:rPr>
                <w:color w:val="000000"/>
              </w:rPr>
            </w:pPr>
            <w:r w:rsidRPr="001B25B0">
              <w:t>2,99</w:t>
            </w:r>
          </w:p>
        </w:tc>
        <w:tc>
          <w:tcPr>
            <w:tcW w:w="1060" w:type="dxa"/>
            <w:tcBorders>
              <w:top w:val="single" w:sz="4" w:space="0" w:color="auto"/>
              <w:bottom w:val="single" w:sz="4" w:space="0" w:color="auto"/>
            </w:tcBorders>
            <w:shd w:val="clear" w:color="auto" w:fill="D9E2F3" w:themeFill="accent1" w:themeFillTint="33"/>
            <w:noWrap/>
            <w:vAlign w:val="center"/>
            <w:hideMark/>
          </w:tcPr>
          <w:p w14:paraId="1E6AC819" w14:textId="2561CCE5" w:rsidR="00E21036" w:rsidRPr="001B25B0" w:rsidRDefault="00E21036" w:rsidP="00E21036">
            <w:pPr>
              <w:jc w:val="right"/>
              <w:rPr>
                <w:color w:val="000000"/>
              </w:rPr>
            </w:pPr>
            <w:r w:rsidRPr="001B25B0">
              <w:t>3,22</w:t>
            </w:r>
          </w:p>
        </w:tc>
        <w:tc>
          <w:tcPr>
            <w:tcW w:w="1060" w:type="dxa"/>
            <w:tcBorders>
              <w:top w:val="single" w:sz="4" w:space="0" w:color="auto"/>
              <w:bottom w:val="single" w:sz="4" w:space="0" w:color="auto"/>
            </w:tcBorders>
            <w:shd w:val="clear" w:color="auto" w:fill="D9E2F3" w:themeFill="accent1" w:themeFillTint="33"/>
            <w:noWrap/>
            <w:vAlign w:val="center"/>
            <w:hideMark/>
          </w:tcPr>
          <w:p w14:paraId="018B1791" w14:textId="33FE37E5" w:rsidR="00E21036" w:rsidRPr="001B25B0" w:rsidRDefault="00E21036" w:rsidP="00E21036">
            <w:pPr>
              <w:jc w:val="right"/>
              <w:rPr>
                <w:color w:val="000000"/>
              </w:rPr>
            </w:pPr>
            <w:r w:rsidRPr="001B25B0">
              <w:t>5,23</w:t>
            </w:r>
          </w:p>
        </w:tc>
        <w:tc>
          <w:tcPr>
            <w:tcW w:w="1060" w:type="dxa"/>
            <w:tcBorders>
              <w:top w:val="single" w:sz="4" w:space="0" w:color="auto"/>
              <w:bottom w:val="single" w:sz="4" w:space="0" w:color="auto"/>
            </w:tcBorders>
            <w:shd w:val="clear" w:color="auto" w:fill="D9E2F3" w:themeFill="accent1" w:themeFillTint="33"/>
            <w:noWrap/>
            <w:vAlign w:val="center"/>
            <w:hideMark/>
          </w:tcPr>
          <w:p w14:paraId="5013B6CB" w14:textId="3AB329B4" w:rsidR="00E21036" w:rsidRPr="001B25B0" w:rsidRDefault="00E21036" w:rsidP="00E21036">
            <w:pPr>
              <w:jc w:val="right"/>
              <w:rPr>
                <w:color w:val="000000"/>
              </w:rPr>
            </w:pPr>
            <w:r w:rsidRPr="001B25B0">
              <w:t>5,74</w:t>
            </w:r>
          </w:p>
        </w:tc>
        <w:tc>
          <w:tcPr>
            <w:tcW w:w="1060" w:type="dxa"/>
            <w:tcBorders>
              <w:top w:val="single" w:sz="4" w:space="0" w:color="auto"/>
              <w:bottom w:val="single" w:sz="4" w:space="0" w:color="auto"/>
              <w:right w:val="single" w:sz="4" w:space="0" w:color="auto"/>
            </w:tcBorders>
            <w:shd w:val="clear" w:color="auto" w:fill="D9E2F3" w:themeFill="accent1" w:themeFillTint="33"/>
            <w:noWrap/>
            <w:vAlign w:val="center"/>
          </w:tcPr>
          <w:p w14:paraId="1F586E87" w14:textId="10DAA42B" w:rsidR="00E21036" w:rsidRPr="001B25B0" w:rsidRDefault="00E21036" w:rsidP="00E21036">
            <w:pPr>
              <w:jc w:val="right"/>
              <w:rPr>
                <w:color w:val="000000"/>
              </w:rPr>
            </w:pPr>
            <w:r w:rsidRPr="001B25B0">
              <w:rPr>
                <w:color w:val="000000"/>
              </w:rPr>
              <w:t>7,80</w:t>
            </w:r>
          </w:p>
        </w:tc>
      </w:tr>
    </w:tbl>
    <w:p w14:paraId="4F67B3BF" w14:textId="77777777" w:rsidR="00345718" w:rsidRDefault="00345718" w:rsidP="00345718">
      <w:pPr>
        <w:spacing w:before="120" w:after="240" w:line="360" w:lineRule="auto"/>
        <w:ind w:firstLine="284"/>
        <w:jc w:val="both"/>
      </w:pPr>
    </w:p>
    <w:p w14:paraId="0D9B3F41" w14:textId="041B6EFA" w:rsidR="00E7554A" w:rsidRDefault="00345718" w:rsidP="00345718">
      <w:pPr>
        <w:spacing w:before="120" w:after="240" w:line="360" w:lineRule="auto"/>
        <w:ind w:firstLine="284"/>
        <w:jc w:val="both"/>
      </w:pPr>
      <w:r>
        <w:lastRenderedPageBreak/>
        <w:t xml:space="preserve">Jak </w:t>
      </w:r>
      <w:r w:rsidR="00661616">
        <w:t>je z tabulky 2 patrné</w:t>
      </w:r>
      <w:r>
        <w:t>, ze všech námi vybraných států Evropské unie (celkem šest)</w:t>
      </w:r>
      <w:r w:rsidR="00661616">
        <w:t xml:space="preserve"> má</w:t>
      </w:r>
      <w:r>
        <w:t xml:space="preserve"> pouze Česká republika nepřerušovaný růst za vybrané období, tzn. že dochází k neustálému zvyšování.</w:t>
      </w:r>
    </w:p>
    <w:p w14:paraId="1C7AE089" w14:textId="39326EBE" w:rsidR="00345718" w:rsidRDefault="00345718" w:rsidP="00DD5F39">
      <w:pPr>
        <w:spacing w:before="120" w:after="240" w:line="360" w:lineRule="auto"/>
        <w:ind w:firstLine="284"/>
        <w:jc w:val="both"/>
      </w:pPr>
      <w:r>
        <w:t xml:space="preserve">Pokud se zaměříme na Maďarsko, </w:t>
      </w:r>
      <w:r w:rsidR="00DD5F39">
        <w:t>v</w:t>
      </w:r>
      <w:r>
        <w:t> tabul</w:t>
      </w:r>
      <w:r w:rsidR="00DD5F39">
        <w:t>ce</w:t>
      </w:r>
      <w:r>
        <w:t xml:space="preserve"> 2 </w:t>
      </w:r>
      <w:r w:rsidR="00661616">
        <w:t>je možné</w:t>
      </w:r>
      <w:r>
        <w:t xml:space="preserve"> spatřit významné výkyvy v růstu mezd</w:t>
      </w:r>
      <w:r w:rsidR="00DD5F39">
        <w:t xml:space="preserve"> právě u této země</w:t>
      </w:r>
      <w:r>
        <w:t>.</w:t>
      </w:r>
      <w:r w:rsidR="00DD5F39">
        <w:t xml:space="preserve"> Soustředíme-li se přímo </w:t>
      </w:r>
      <w:r>
        <w:t>na rok 2015, můžeme si povšimnout záporné hodnoty</w:t>
      </w:r>
      <w:r w:rsidR="00DD5F39">
        <w:t>, důvodem bylo to, že v tomto roce zažilo Maďarsko intenzivní tlak na růst mezd, což bylo zapříčiněno nedostatkem pracovních sil z důvodu vysoké migrace maďarských občanů do západní Evropy. Na základě této situace byla vláda nucena zavést opatření na podporu produktivity a konkurenceschopnosti.</w:t>
      </w:r>
    </w:p>
    <w:p w14:paraId="50CEEF38" w14:textId="32CC965E" w:rsidR="00E21036" w:rsidRPr="00E21036" w:rsidRDefault="00E21036" w:rsidP="00E21036">
      <w:pPr>
        <w:pStyle w:val="Titulek"/>
        <w:keepNext/>
        <w:rPr>
          <w:sz w:val="20"/>
          <w:szCs w:val="14"/>
        </w:rPr>
      </w:pPr>
      <w:bookmarkStart w:id="36" w:name="_Toc46142561"/>
      <w:r w:rsidRPr="00E21036">
        <w:rPr>
          <w:sz w:val="20"/>
          <w:szCs w:val="14"/>
        </w:rPr>
        <w:t xml:space="preserve">Tabulka </w:t>
      </w:r>
      <w:r w:rsidRPr="00E21036">
        <w:rPr>
          <w:sz w:val="20"/>
          <w:szCs w:val="14"/>
        </w:rPr>
        <w:fldChar w:fldCharType="begin"/>
      </w:r>
      <w:r w:rsidRPr="00E21036">
        <w:rPr>
          <w:sz w:val="20"/>
          <w:szCs w:val="14"/>
        </w:rPr>
        <w:instrText xml:space="preserve"> SEQ Tabulka \* ARABIC </w:instrText>
      </w:r>
      <w:r w:rsidRPr="00E21036">
        <w:rPr>
          <w:sz w:val="20"/>
          <w:szCs w:val="14"/>
        </w:rPr>
        <w:fldChar w:fldCharType="separate"/>
      </w:r>
      <w:r w:rsidRPr="00E21036">
        <w:rPr>
          <w:noProof/>
          <w:sz w:val="20"/>
          <w:szCs w:val="14"/>
        </w:rPr>
        <w:t>3</w:t>
      </w:r>
      <w:r w:rsidRPr="00E21036">
        <w:rPr>
          <w:sz w:val="20"/>
          <w:szCs w:val="14"/>
        </w:rPr>
        <w:fldChar w:fldCharType="end"/>
      </w:r>
      <w:r w:rsidRPr="00E21036">
        <w:rPr>
          <w:sz w:val="20"/>
          <w:szCs w:val="14"/>
        </w:rPr>
        <w:t xml:space="preserve"> – Pořadí na základě ročního růstu průměrné mzdy</w:t>
      </w:r>
      <w:bookmarkEnd w:id="36"/>
    </w:p>
    <w:tbl>
      <w:tblPr>
        <w:tblStyle w:val="Svtlmkatabulky"/>
        <w:tblW w:w="8941" w:type="dxa"/>
        <w:jc w:val="center"/>
        <w:shd w:val="clear" w:color="auto" w:fill="D9E2F3" w:themeFill="accent1" w:themeFillTint="33"/>
        <w:tblLook w:val="04A0" w:firstRow="1" w:lastRow="0" w:firstColumn="1" w:lastColumn="0" w:noHBand="0" w:noVBand="1"/>
      </w:tblPr>
      <w:tblGrid>
        <w:gridCol w:w="1555"/>
        <w:gridCol w:w="1026"/>
        <w:gridCol w:w="1060"/>
        <w:gridCol w:w="1060"/>
        <w:gridCol w:w="1060"/>
        <w:gridCol w:w="1060"/>
        <w:gridCol w:w="1060"/>
        <w:gridCol w:w="1060"/>
      </w:tblGrid>
      <w:tr w:rsidR="00E7554A" w:rsidRPr="000838F8" w14:paraId="46FA06A4" w14:textId="77777777" w:rsidTr="00BD0091">
        <w:trPr>
          <w:trHeight w:val="340"/>
          <w:jc w:val="center"/>
        </w:trPr>
        <w:tc>
          <w:tcPr>
            <w:tcW w:w="8941"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A8BE86" w14:textId="77777777" w:rsidR="00E7554A" w:rsidRPr="001B25B0" w:rsidRDefault="00E7554A" w:rsidP="00BD0091">
            <w:pPr>
              <w:jc w:val="center"/>
              <w:rPr>
                <w:b/>
                <w:bCs/>
                <w:color w:val="000000"/>
              </w:rPr>
            </w:pPr>
          </w:p>
          <w:p w14:paraId="775164F7" w14:textId="5DC3DC4B" w:rsidR="00E7554A" w:rsidRPr="001B25B0" w:rsidRDefault="00E21036" w:rsidP="00E21036">
            <w:pPr>
              <w:jc w:val="center"/>
              <w:rPr>
                <w:b/>
                <w:bCs/>
                <w:color w:val="000000"/>
              </w:rPr>
            </w:pPr>
            <w:r w:rsidRPr="001B25B0">
              <w:rPr>
                <w:b/>
                <w:bCs/>
                <w:color w:val="000000"/>
              </w:rPr>
              <w:t xml:space="preserve">POŘADÍ NA ZÁKLADĚ </w:t>
            </w:r>
            <w:r w:rsidR="00E7554A" w:rsidRPr="001B25B0">
              <w:rPr>
                <w:b/>
                <w:bCs/>
                <w:color w:val="000000"/>
              </w:rPr>
              <w:t>ROČNÍ</w:t>
            </w:r>
            <w:r w:rsidRPr="001B25B0">
              <w:rPr>
                <w:b/>
                <w:bCs/>
                <w:color w:val="000000"/>
              </w:rPr>
              <w:t>HO</w:t>
            </w:r>
            <w:r w:rsidR="00E7554A" w:rsidRPr="001B25B0">
              <w:rPr>
                <w:b/>
                <w:bCs/>
                <w:color w:val="000000"/>
              </w:rPr>
              <w:t xml:space="preserve"> RŮST</w:t>
            </w:r>
            <w:r w:rsidRPr="001B25B0">
              <w:rPr>
                <w:b/>
                <w:bCs/>
                <w:color w:val="000000"/>
              </w:rPr>
              <w:t>U</w:t>
            </w:r>
            <w:r w:rsidR="00E7554A" w:rsidRPr="001B25B0">
              <w:rPr>
                <w:b/>
                <w:bCs/>
                <w:color w:val="000000"/>
              </w:rPr>
              <w:t xml:space="preserve"> PRŮMĚRNÉ MZDY</w:t>
            </w:r>
          </w:p>
          <w:p w14:paraId="089B402F" w14:textId="77777777" w:rsidR="00E7554A" w:rsidRPr="001B25B0" w:rsidRDefault="00E7554A" w:rsidP="00BD0091">
            <w:pPr>
              <w:jc w:val="center"/>
              <w:rPr>
                <w:b/>
                <w:bCs/>
                <w:color w:val="000000"/>
              </w:rPr>
            </w:pPr>
          </w:p>
        </w:tc>
      </w:tr>
      <w:tr w:rsidR="00E7554A" w:rsidRPr="000838F8" w14:paraId="56563241" w14:textId="77777777" w:rsidTr="00BD0091">
        <w:trPr>
          <w:trHeight w:val="340"/>
          <w:jc w:val="center"/>
        </w:trPr>
        <w:tc>
          <w:tcPr>
            <w:tcW w:w="1555" w:type="dxa"/>
            <w:vMerge w:val="restart"/>
            <w:tcBorders>
              <w:top w:val="single" w:sz="4" w:space="0" w:color="auto"/>
              <w:left w:val="single" w:sz="4" w:space="0" w:color="auto"/>
            </w:tcBorders>
            <w:shd w:val="clear" w:color="auto" w:fill="D9E2F3" w:themeFill="accent1" w:themeFillTint="33"/>
            <w:vAlign w:val="center"/>
          </w:tcPr>
          <w:p w14:paraId="00DDAAEE" w14:textId="77777777" w:rsidR="00E7554A" w:rsidRPr="001B25B0" w:rsidRDefault="00E7554A" w:rsidP="00BD0091">
            <w:pPr>
              <w:jc w:val="center"/>
              <w:rPr>
                <w:b/>
                <w:bCs/>
                <w:color w:val="000000"/>
              </w:rPr>
            </w:pPr>
            <w:r w:rsidRPr="001B25B0">
              <w:rPr>
                <w:b/>
                <w:bCs/>
                <w:color w:val="000000"/>
              </w:rPr>
              <w:t>Země</w:t>
            </w:r>
          </w:p>
        </w:tc>
        <w:tc>
          <w:tcPr>
            <w:tcW w:w="7386" w:type="dxa"/>
            <w:gridSpan w:val="7"/>
            <w:tcBorders>
              <w:top w:val="single" w:sz="4" w:space="0" w:color="auto"/>
              <w:right w:val="single" w:sz="4" w:space="0" w:color="auto"/>
            </w:tcBorders>
            <w:shd w:val="clear" w:color="auto" w:fill="D9E2F3" w:themeFill="accent1" w:themeFillTint="33"/>
            <w:noWrap/>
            <w:vAlign w:val="center"/>
          </w:tcPr>
          <w:p w14:paraId="52F32EC6" w14:textId="77777777" w:rsidR="00E7554A" w:rsidRPr="001B25B0" w:rsidRDefault="00E7554A" w:rsidP="00BD0091">
            <w:pPr>
              <w:jc w:val="center"/>
              <w:rPr>
                <w:b/>
                <w:bCs/>
                <w:color w:val="000000"/>
              </w:rPr>
            </w:pPr>
            <w:r w:rsidRPr="001B25B0">
              <w:rPr>
                <w:b/>
                <w:bCs/>
                <w:color w:val="000000"/>
              </w:rPr>
              <w:t>Rok</w:t>
            </w:r>
          </w:p>
        </w:tc>
      </w:tr>
      <w:tr w:rsidR="00E7554A" w:rsidRPr="000838F8" w14:paraId="11686290" w14:textId="77777777" w:rsidTr="00BD0091">
        <w:trPr>
          <w:trHeight w:val="340"/>
          <w:jc w:val="center"/>
        </w:trPr>
        <w:tc>
          <w:tcPr>
            <w:tcW w:w="1555" w:type="dxa"/>
            <w:vMerge/>
            <w:tcBorders>
              <w:left w:val="single" w:sz="4" w:space="0" w:color="auto"/>
              <w:bottom w:val="single" w:sz="4" w:space="0" w:color="auto"/>
            </w:tcBorders>
            <w:shd w:val="clear" w:color="auto" w:fill="D9E2F3" w:themeFill="accent1" w:themeFillTint="33"/>
            <w:hideMark/>
          </w:tcPr>
          <w:p w14:paraId="43D2C220" w14:textId="77777777" w:rsidR="00E7554A" w:rsidRPr="001B25B0" w:rsidRDefault="00E7554A" w:rsidP="00BD0091">
            <w:pPr>
              <w:rPr>
                <w:b/>
                <w:bCs/>
                <w:color w:val="000000"/>
              </w:rPr>
            </w:pPr>
          </w:p>
        </w:tc>
        <w:tc>
          <w:tcPr>
            <w:tcW w:w="1026" w:type="dxa"/>
            <w:tcBorders>
              <w:bottom w:val="single" w:sz="4" w:space="0" w:color="auto"/>
            </w:tcBorders>
            <w:shd w:val="clear" w:color="auto" w:fill="D9E2F3" w:themeFill="accent1" w:themeFillTint="33"/>
            <w:noWrap/>
            <w:vAlign w:val="center"/>
            <w:hideMark/>
          </w:tcPr>
          <w:p w14:paraId="076E2FA7" w14:textId="77777777" w:rsidR="00E7554A" w:rsidRPr="001B25B0" w:rsidRDefault="00E7554A" w:rsidP="00BD0091">
            <w:pPr>
              <w:jc w:val="center"/>
              <w:rPr>
                <w:b/>
                <w:bCs/>
                <w:color w:val="000000"/>
              </w:rPr>
            </w:pPr>
            <w:r w:rsidRPr="001B25B0">
              <w:rPr>
                <w:b/>
                <w:bCs/>
                <w:color w:val="000000"/>
              </w:rPr>
              <w:t>2013</w:t>
            </w:r>
          </w:p>
        </w:tc>
        <w:tc>
          <w:tcPr>
            <w:tcW w:w="1060" w:type="dxa"/>
            <w:tcBorders>
              <w:bottom w:val="single" w:sz="4" w:space="0" w:color="auto"/>
            </w:tcBorders>
            <w:shd w:val="clear" w:color="auto" w:fill="D9E2F3" w:themeFill="accent1" w:themeFillTint="33"/>
            <w:noWrap/>
            <w:vAlign w:val="center"/>
            <w:hideMark/>
          </w:tcPr>
          <w:p w14:paraId="2926CDF8" w14:textId="77777777" w:rsidR="00E7554A" w:rsidRPr="001B25B0" w:rsidRDefault="00E7554A" w:rsidP="00BD0091">
            <w:pPr>
              <w:jc w:val="center"/>
              <w:rPr>
                <w:b/>
                <w:bCs/>
                <w:color w:val="000000"/>
              </w:rPr>
            </w:pPr>
            <w:r w:rsidRPr="001B25B0">
              <w:rPr>
                <w:b/>
                <w:bCs/>
                <w:color w:val="000000"/>
              </w:rPr>
              <w:t>2014</w:t>
            </w:r>
          </w:p>
        </w:tc>
        <w:tc>
          <w:tcPr>
            <w:tcW w:w="1060" w:type="dxa"/>
            <w:tcBorders>
              <w:bottom w:val="single" w:sz="4" w:space="0" w:color="auto"/>
            </w:tcBorders>
            <w:shd w:val="clear" w:color="auto" w:fill="D9E2F3" w:themeFill="accent1" w:themeFillTint="33"/>
            <w:noWrap/>
            <w:vAlign w:val="center"/>
            <w:hideMark/>
          </w:tcPr>
          <w:p w14:paraId="50B874B1" w14:textId="77777777" w:rsidR="00E7554A" w:rsidRPr="001B25B0" w:rsidRDefault="00E7554A" w:rsidP="00BD0091">
            <w:pPr>
              <w:jc w:val="center"/>
              <w:rPr>
                <w:b/>
                <w:bCs/>
                <w:color w:val="000000"/>
              </w:rPr>
            </w:pPr>
            <w:r w:rsidRPr="001B25B0">
              <w:rPr>
                <w:b/>
                <w:bCs/>
                <w:color w:val="000000"/>
              </w:rPr>
              <w:t>2015</w:t>
            </w:r>
          </w:p>
        </w:tc>
        <w:tc>
          <w:tcPr>
            <w:tcW w:w="1060" w:type="dxa"/>
            <w:tcBorders>
              <w:bottom w:val="single" w:sz="4" w:space="0" w:color="auto"/>
            </w:tcBorders>
            <w:shd w:val="clear" w:color="auto" w:fill="D9E2F3" w:themeFill="accent1" w:themeFillTint="33"/>
            <w:noWrap/>
            <w:vAlign w:val="center"/>
            <w:hideMark/>
          </w:tcPr>
          <w:p w14:paraId="4F617CB9" w14:textId="77777777" w:rsidR="00E7554A" w:rsidRPr="001B25B0" w:rsidRDefault="00E7554A" w:rsidP="00BD0091">
            <w:pPr>
              <w:jc w:val="center"/>
              <w:rPr>
                <w:b/>
                <w:bCs/>
                <w:color w:val="000000"/>
              </w:rPr>
            </w:pPr>
            <w:r w:rsidRPr="001B25B0">
              <w:rPr>
                <w:b/>
                <w:bCs/>
                <w:color w:val="000000"/>
              </w:rPr>
              <w:t>2016</w:t>
            </w:r>
          </w:p>
        </w:tc>
        <w:tc>
          <w:tcPr>
            <w:tcW w:w="1060" w:type="dxa"/>
            <w:tcBorders>
              <w:bottom w:val="single" w:sz="4" w:space="0" w:color="auto"/>
            </w:tcBorders>
            <w:shd w:val="clear" w:color="auto" w:fill="D9E2F3" w:themeFill="accent1" w:themeFillTint="33"/>
            <w:noWrap/>
            <w:vAlign w:val="center"/>
            <w:hideMark/>
          </w:tcPr>
          <w:p w14:paraId="69FA978D" w14:textId="77777777" w:rsidR="00E7554A" w:rsidRPr="001B25B0" w:rsidRDefault="00E7554A" w:rsidP="00BD0091">
            <w:pPr>
              <w:jc w:val="center"/>
              <w:rPr>
                <w:b/>
                <w:bCs/>
                <w:color w:val="000000"/>
              </w:rPr>
            </w:pPr>
            <w:r w:rsidRPr="001B25B0">
              <w:rPr>
                <w:b/>
                <w:bCs/>
                <w:color w:val="000000"/>
              </w:rPr>
              <w:t>2017</w:t>
            </w:r>
          </w:p>
        </w:tc>
        <w:tc>
          <w:tcPr>
            <w:tcW w:w="1060" w:type="dxa"/>
            <w:tcBorders>
              <w:bottom w:val="single" w:sz="4" w:space="0" w:color="auto"/>
            </w:tcBorders>
            <w:shd w:val="clear" w:color="auto" w:fill="D9E2F3" w:themeFill="accent1" w:themeFillTint="33"/>
            <w:noWrap/>
            <w:vAlign w:val="center"/>
            <w:hideMark/>
          </w:tcPr>
          <w:p w14:paraId="4D94EDF7" w14:textId="77777777" w:rsidR="00E7554A" w:rsidRPr="001B25B0" w:rsidRDefault="00E7554A" w:rsidP="00BD0091">
            <w:pPr>
              <w:jc w:val="center"/>
              <w:rPr>
                <w:b/>
                <w:bCs/>
                <w:color w:val="000000"/>
              </w:rPr>
            </w:pPr>
            <w:r w:rsidRPr="001B25B0">
              <w:rPr>
                <w:b/>
                <w:bCs/>
                <w:color w:val="000000"/>
              </w:rPr>
              <w:t>2018</w:t>
            </w:r>
          </w:p>
        </w:tc>
        <w:tc>
          <w:tcPr>
            <w:tcW w:w="1060" w:type="dxa"/>
            <w:tcBorders>
              <w:bottom w:val="single" w:sz="4" w:space="0" w:color="auto"/>
              <w:right w:val="single" w:sz="4" w:space="0" w:color="auto"/>
            </w:tcBorders>
            <w:shd w:val="clear" w:color="auto" w:fill="D9E2F3" w:themeFill="accent1" w:themeFillTint="33"/>
            <w:noWrap/>
            <w:vAlign w:val="center"/>
            <w:hideMark/>
          </w:tcPr>
          <w:p w14:paraId="6579EC3A" w14:textId="77777777" w:rsidR="00E7554A" w:rsidRPr="001B25B0" w:rsidRDefault="00E7554A" w:rsidP="00BD0091">
            <w:pPr>
              <w:jc w:val="center"/>
              <w:rPr>
                <w:b/>
                <w:bCs/>
                <w:color w:val="000000"/>
              </w:rPr>
            </w:pPr>
            <w:r w:rsidRPr="001B25B0">
              <w:rPr>
                <w:b/>
                <w:bCs/>
                <w:color w:val="000000"/>
              </w:rPr>
              <w:t>2019</w:t>
            </w:r>
          </w:p>
        </w:tc>
      </w:tr>
      <w:tr w:rsidR="00E21036" w:rsidRPr="000838F8" w14:paraId="185284B1"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6C99DA98" w14:textId="77777777" w:rsidR="00E21036" w:rsidRPr="001B25B0" w:rsidRDefault="00E21036" w:rsidP="00BD0091">
            <w:pPr>
              <w:jc w:val="center"/>
              <w:rPr>
                <w:b/>
                <w:bCs/>
                <w:color w:val="000000"/>
              </w:rPr>
            </w:pPr>
            <w:r w:rsidRPr="001B25B0">
              <w:rPr>
                <w:b/>
                <w:bCs/>
                <w:color w:val="000000"/>
              </w:rPr>
              <w:t>Česká republika</w:t>
            </w:r>
          </w:p>
        </w:tc>
        <w:tc>
          <w:tcPr>
            <w:tcW w:w="1026" w:type="dxa"/>
            <w:tcBorders>
              <w:top w:val="single" w:sz="4" w:space="0" w:color="auto"/>
            </w:tcBorders>
            <w:shd w:val="clear" w:color="auto" w:fill="D9E2F3" w:themeFill="accent1" w:themeFillTint="33"/>
            <w:noWrap/>
            <w:vAlign w:val="center"/>
          </w:tcPr>
          <w:p w14:paraId="6563E078" w14:textId="637D1957" w:rsidR="00E21036" w:rsidRPr="001B25B0" w:rsidRDefault="00E21036" w:rsidP="00BD0091">
            <w:pPr>
              <w:jc w:val="center"/>
              <w:rPr>
                <w:color w:val="000000"/>
              </w:rPr>
            </w:pPr>
            <w:r w:rsidRPr="001B25B0">
              <w:rPr>
                <w:color w:val="000000"/>
              </w:rPr>
              <w:t>7</w:t>
            </w:r>
          </w:p>
        </w:tc>
        <w:tc>
          <w:tcPr>
            <w:tcW w:w="1060" w:type="dxa"/>
            <w:tcBorders>
              <w:top w:val="single" w:sz="4" w:space="0" w:color="auto"/>
            </w:tcBorders>
            <w:shd w:val="clear" w:color="auto" w:fill="D9E2F3" w:themeFill="accent1" w:themeFillTint="33"/>
            <w:noWrap/>
            <w:vAlign w:val="center"/>
          </w:tcPr>
          <w:p w14:paraId="43A7411F" w14:textId="77B989A5" w:rsidR="00E21036" w:rsidRPr="001B25B0" w:rsidRDefault="00E21036" w:rsidP="00BD0091">
            <w:pPr>
              <w:jc w:val="center"/>
              <w:rPr>
                <w:color w:val="000000"/>
              </w:rPr>
            </w:pPr>
            <w:r w:rsidRPr="001B25B0">
              <w:rPr>
                <w:color w:val="000000"/>
              </w:rPr>
              <w:t>6</w:t>
            </w:r>
          </w:p>
        </w:tc>
        <w:tc>
          <w:tcPr>
            <w:tcW w:w="1060" w:type="dxa"/>
            <w:tcBorders>
              <w:top w:val="single" w:sz="4" w:space="0" w:color="auto"/>
            </w:tcBorders>
            <w:shd w:val="clear" w:color="auto" w:fill="D9E2F3" w:themeFill="accent1" w:themeFillTint="33"/>
            <w:noWrap/>
            <w:vAlign w:val="center"/>
          </w:tcPr>
          <w:p w14:paraId="027A20D3" w14:textId="4E3011CE" w:rsidR="00E21036" w:rsidRPr="001B25B0" w:rsidRDefault="00E21036" w:rsidP="00BD0091">
            <w:pPr>
              <w:jc w:val="center"/>
              <w:rPr>
                <w:color w:val="000000"/>
              </w:rPr>
            </w:pPr>
            <w:r w:rsidRPr="001B25B0">
              <w:rPr>
                <w:color w:val="000000"/>
              </w:rPr>
              <w:t>5</w:t>
            </w:r>
          </w:p>
        </w:tc>
        <w:tc>
          <w:tcPr>
            <w:tcW w:w="1060" w:type="dxa"/>
            <w:tcBorders>
              <w:top w:val="single" w:sz="4" w:space="0" w:color="auto"/>
            </w:tcBorders>
            <w:shd w:val="clear" w:color="auto" w:fill="D9E2F3" w:themeFill="accent1" w:themeFillTint="33"/>
            <w:noWrap/>
            <w:vAlign w:val="center"/>
          </w:tcPr>
          <w:p w14:paraId="2249FAF9" w14:textId="0638B302" w:rsidR="00E21036" w:rsidRPr="001B25B0" w:rsidRDefault="00E21036" w:rsidP="00BD0091">
            <w:pPr>
              <w:jc w:val="center"/>
              <w:rPr>
                <w:color w:val="000000"/>
              </w:rPr>
            </w:pPr>
            <w:r w:rsidRPr="001B25B0">
              <w:rPr>
                <w:color w:val="000000"/>
              </w:rPr>
              <w:t>4</w:t>
            </w:r>
          </w:p>
        </w:tc>
        <w:tc>
          <w:tcPr>
            <w:tcW w:w="1060" w:type="dxa"/>
            <w:tcBorders>
              <w:top w:val="single" w:sz="4" w:space="0" w:color="auto"/>
            </w:tcBorders>
            <w:shd w:val="clear" w:color="auto" w:fill="D9E2F3" w:themeFill="accent1" w:themeFillTint="33"/>
            <w:noWrap/>
            <w:vAlign w:val="center"/>
          </w:tcPr>
          <w:p w14:paraId="0B2DDE68" w14:textId="4335740A" w:rsidR="00E21036" w:rsidRPr="001B25B0" w:rsidRDefault="00E21036" w:rsidP="00BD0091">
            <w:pPr>
              <w:jc w:val="center"/>
              <w:rPr>
                <w:color w:val="000000"/>
              </w:rPr>
            </w:pPr>
            <w:r w:rsidRPr="001B25B0">
              <w:rPr>
                <w:color w:val="000000"/>
              </w:rPr>
              <w:t>3</w:t>
            </w:r>
          </w:p>
        </w:tc>
        <w:tc>
          <w:tcPr>
            <w:tcW w:w="1060" w:type="dxa"/>
            <w:tcBorders>
              <w:top w:val="single" w:sz="4" w:space="0" w:color="auto"/>
            </w:tcBorders>
            <w:shd w:val="clear" w:color="auto" w:fill="D9E2F3" w:themeFill="accent1" w:themeFillTint="33"/>
            <w:noWrap/>
            <w:vAlign w:val="center"/>
          </w:tcPr>
          <w:p w14:paraId="79B9EBE2" w14:textId="09DD45D7" w:rsidR="00E21036" w:rsidRPr="001B25B0" w:rsidRDefault="00E21036" w:rsidP="00BD0091">
            <w:pPr>
              <w:jc w:val="center"/>
              <w:rPr>
                <w:color w:val="000000"/>
              </w:rPr>
            </w:pPr>
            <w:r w:rsidRPr="001B25B0">
              <w:rPr>
                <w:color w:val="000000"/>
              </w:rPr>
              <w:t>2</w:t>
            </w:r>
          </w:p>
        </w:tc>
        <w:tc>
          <w:tcPr>
            <w:tcW w:w="1060" w:type="dxa"/>
            <w:tcBorders>
              <w:top w:val="single" w:sz="4" w:space="0" w:color="auto"/>
              <w:right w:val="single" w:sz="4" w:space="0" w:color="auto"/>
            </w:tcBorders>
            <w:shd w:val="clear" w:color="auto" w:fill="D9E2F3" w:themeFill="accent1" w:themeFillTint="33"/>
            <w:noWrap/>
            <w:vAlign w:val="center"/>
          </w:tcPr>
          <w:p w14:paraId="6C9B2E77" w14:textId="1EF734F6" w:rsidR="00E21036" w:rsidRPr="001B25B0" w:rsidRDefault="00E21036" w:rsidP="00BD0091">
            <w:pPr>
              <w:jc w:val="center"/>
              <w:rPr>
                <w:color w:val="000000"/>
              </w:rPr>
            </w:pPr>
            <w:r w:rsidRPr="001B25B0">
              <w:rPr>
                <w:color w:val="000000"/>
              </w:rPr>
              <w:t>1</w:t>
            </w:r>
          </w:p>
        </w:tc>
      </w:tr>
      <w:tr w:rsidR="00E21036" w:rsidRPr="000838F8" w14:paraId="5BA34281"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363031CE" w14:textId="77777777" w:rsidR="00E21036" w:rsidRPr="001B25B0" w:rsidRDefault="00E21036" w:rsidP="00BD0091">
            <w:pPr>
              <w:jc w:val="center"/>
              <w:rPr>
                <w:b/>
                <w:bCs/>
                <w:color w:val="000000"/>
              </w:rPr>
            </w:pPr>
            <w:r w:rsidRPr="001B25B0">
              <w:rPr>
                <w:b/>
                <w:bCs/>
                <w:color w:val="000000"/>
              </w:rPr>
              <w:t>Maďarsko</w:t>
            </w:r>
          </w:p>
        </w:tc>
        <w:tc>
          <w:tcPr>
            <w:tcW w:w="1026" w:type="dxa"/>
            <w:tcBorders>
              <w:top w:val="single" w:sz="4" w:space="0" w:color="auto"/>
            </w:tcBorders>
            <w:shd w:val="clear" w:color="auto" w:fill="D9E2F3" w:themeFill="accent1" w:themeFillTint="33"/>
            <w:noWrap/>
            <w:vAlign w:val="center"/>
          </w:tcPr>
          <w:p w14:paraId="71F38C7E" w14:textId="5ED3FC05" w:rsidR="00E21036" w:rsidRPr="001B25B0" w:rsidRDefault="00E21036" w:rsidP="00BD0091">
            <w:pPr>
              <w:jc w:val="center"/>
              <w:rPr>
                <w:color w:val="000000"/>
              </w:rPr>
            </w:pPr>
            <w:r w:rsidRPr="001B25B0">
              <w:rPr>
                <w:color w:val="000000"/>
              </w:rPr>
              <w:t>6</w:t>
            </w:r>
          </w:p>
        </w:tc>
        <w:tc>
          <w:tcPr>
            <w:tcW w:w="1060" w:type="dxa"/>
            <w:tcBorders>
              <w:top w:val="single" w:sz="4" w:space="0" w:color="auto"/>
            </w:tcBorders>
            <w:shd w:val="clear" w:color="auto" w:fill="D9E2F3" w:themeFill="accent1" w:themeFillTint="33"/>
            <w:noWrap/>
            <w:vAlign w:val="center"/>
          </w:tcPr>
          <w:p w14:paraId="2761A3C1" w14:textId="4599C984" w:rsidR="00E21036" w:rsidRPr="001B25B0" w:rsidRDefault="00E21036" w:rsidP="00BD0091">
            <w:pPr>
              <w:jc w:val="center"/>
              <w:rPr>
                <w:color w:val="000000"/>
              </w:rPr>
            </w:pPr>
            <w:r w:rsidRPr="001B25B0">
              <w:rPr>
                <w:color w:val="000000"/>
              </w:rPr>
              <w:t>2</w:t>
            </w:r>
          </w:p>
        </w:tc>
        <w:tc>
          <w:tcPr>
            <w:tcW w:w="1060" w:type="dxa"/>
            <w:tcBorders>
              <w:top w:val="single" w:sz="4" w:space="0" w:color="auto"/>
            </w:tcBorders>
            <w:shd w:val="clear" w:color="auto" w:fill="D9E2F3" w:themeFill="accent1" w:themeFillTint="33"/>
            <w:noWrap/>
            <w:vAlign w:val="center"/>
          </w:tcPr>
          <w:p w14:paraId="67D3DED4" w14:textId="3FE01525" w:rsidR="00E21036" w:rsidRPr="001B25B0" w:rsidRDefault="00E21036" w:rsidP="00BD0091">
            <w:pPr>
              <w:jc w:val="center"/>
              <w:rPr>
                <w:color w:val="000000"/>
              </w:rPr>
            </w:pPr>
            <w:r w:rsidRPr="001B25B0">
              <w:rPr>
                <w:color w:val="000000"/>
              </w:rPr>
              <w:t>7</w:t>
            </w:r>
          </w:p>
        </w:tc>
        <w:tc>
          <w:tcPr>
            <w:tcW w:w="1060" w:type="dxa"/>
            <w:tcBorders>
              <w:top w:val="single" w:sz="4" w:space="0" w:color="auto"/>
            </w:tcBorders>
            <w:shd w:val="clear" w:color="auto" w:fill="D9E2F3" w:themeFill="accent1" w:themeFillTint="33"/>
            <w:noWrap/>
            <w:vAlign w:val="center"/>
          </w:tcPr>
          <w:p w14:paraId="4618624D" w14:textId="6BD6B9FE" w:rsidR="00E21036" w:rsidRPr="001B25B0" w:rsidRDefault="00E21036" w:rsidP="00BD0091">
            <w:pPr>
              <w:jc w:val="center"/>
              <w:rPr>
                <w:color w:val="000000"/>
              </w:rPr>
            </w:pPr>
            <w:r w:rsidRPr="001B25B0">
              <w:rPr>
                <w:color w:val="000000"/>
              </w:rPr>
              <w:t>4</w:t>
            </w:r>
          </w:p>
        </w:tc>
        <w:tc>
          <w:tcPr>
            <w:tcW w:w="1060" w:type="dxa"/>
            <w:tcBorders>
              <w:top w:val="single" w:sz="4" w:space="0" w:color="auto"/>
            </w:tcBorders>
            <w:shd w:val="clear" w:color="auto" w:fill="D9E2F3" w:themeFill="accent1" w:themeFillTint="33"/>
            <w:noWrap/>
            <w:vAlign w:val="center"/>
          </w:tcPr>
          <w:p w14:paraId="30800468" w14:textId="65FAE7BC" w:rsidR="00E21036" w:rsidRPr="001B25B0" w:rsidRDefault="00E21036" w:rsidP="00BD0091">
            <w:pPr>
              <w:jc w:val="center"/>
              <w:rPr>
                <w:color w:val="000000"/>
              </w:rPr>
            </w:pPr>
            <w:r w:rsidRPr="001B25B0">
              <w:rPr>
                <w:color w:val="000000"/>
              </w:rPr>
              <w:t>5</w:t>
            </w:r>
          </w:p>
        </w:tc>
        <w:tc>
          <w:tcPr>
            <w:tcW w:w="1060" w:type="dxa"/>
            <w:tcBorders>
              <w:top w:val="single" w:sz="4" w:space="0" w:color="auto"/>
            </w:tcBorders>
            <w:shd w:val="clear" w:color="auto" w:fill="D9E2F3" w:themeFill="accent1" w:themeFillTint="33"/>
            <w:noWrap/>
            <w:vAlign w:val="center"/>
          </w:tcPr>
          <w:p w14:paraId="3A35DADB" w14:textId="2B7FD026" w:rsidR="00E21036" w:rsidRPr="001B25B0" w:rsidRDefault="00E21036" w:rsidP="00BD0091">
            <w:pPr>
              <w:jc w:val="center"/>
              <w:rPr>
                <w:color w:val="000000"/>
              </w:rPr>
            </w:pPr>
            <w:r w:rsidRPr="001B25B0">
              <w:rPr>
                <w:color w:val="000000"/>
              </w:rPr>
              <w:t>1</w:t>
            </w:r>
          </w:p>
        </w:tc>
        <w:tc>
          <w:tcPr>
            <w:tcW w:w="1060" w:type="dxa"/>
            <w:tcBorders>
              <w:top w:val="single" w:sz="4" w:space="0" w:color="auto"/>
              <w:right w:val="single" w:sz="4" w:space="0" w:color="auto"/>
            </w:tcBorders>
            <w:shd w:val="clear" w:color="auto" w:fill="D9E2F3" w:themeFill="accent1" w:themeFillTint="33"/>
            <w:noWrap/>
            <w:vAlign w:val="center"/>
          </w:tcPr>
          <w:p w14:paraId="3F19CB91" w14:textId="43A5B29E" w:rsidR="00E21036" w:rsidRPr="001B25B0" w:rsidRDefault="00E21036" w:rsidP="00BD0091">
            <w:pPr>
              <w:jc w:val="center"/>
              <w:rPr>
                <w:color w:val="000000"/>
              </w:rPr>
            </w:pPr>
            <w:r w:rsidRPr="001B25B0">
              <w:rPr>
                <w:color w:val="000000"/>
              </w:rPr>
              <w:t>3</w:t>
            </w:r>
          </w:p>
        </w:tc>
      </w:tr>
      <w:tr w:rsidR="00E21036" w:rsidRPr="000838F8" w14:paraId="060761A1"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25D3ABBD" w14:textId="77777777" w:rsidR="00E21036" w:rsidRPr="001B25B0" w:rsidRDefault="00E21036" w:rsidP="00BD0091">
            <w:pPr>
              <w:jc w:val="center"/>
              <w:rPr>
                <w:b/>
                <w:bCs/>
                <w:color w:val="000000"/>
              </w:rPr>
            </w:pPr>
            <w:r w:rsidRPr="001B25B0">
              <w:rPr>
                <w:b/>
                <w:bCs/>
                <w:color w:val="000000"/>
              </w:rPr>
              <w:t>Německo</w:t>
            </w:r>
          </w:p>
        </w:tc>
        <w:tc>
          <w:tcPr>
            <w:tcW w:w="1026" w:type="dxa"/>
            <w:tcBorders>
              <w:top w:val="single" w:sz="4" w:space="0" w:color="auto"/>
            </w:tcBorders>
            <w:shd w:val="clear" w:color="auto" w:fill="D9E2F3" w:themeFill="accent1" w:themeFillTint="33"/>
            <w:noWrap/>
            <w:vAlign w:val="center"/>
          </w:tcPr>
          <w:p w14:paraId="44704355" w14:textId="39189AD1" w:rsidR="00E21036" w:rsidRPr="001B25B0" w:rsidRDefault="00E21036" w:rsidP="00BD0091">
            <w:pPr>
              <w:jc w:val="center"/>
              <w:rPr>
                <w:color w:val="000000"/>
              </w:rPr>
            </w:pPr>
            <w:r w:rsidRPr="001B25B0">
              <w:rPr>
                <w:color w:val="000000"/>
              </w:rPr>
              <w:t>7</w:t>
            </w:r>
          </w:p>
        </w:tc>
        <w:tc>
          <w:tcPr>
            <w:tcW w:w="1060" w:type="dxa"/>
            <w:tcBorders>
              <w:top w:val="single" w:sz="4" w:space="0" w:color="auto"/>
            </w:tcBorders>
            <w:shd w:val="clear" w:color="auto" w:fill="D9E2F3" w:themeFill="accent1" w:themeFillTint="33"/>
            <w:noWrap/>
            <w:vAlign w:val="center"/>
          </w:tcPr>
          <w:p w14:paraId="21D3F8C6" w14:textId="1F29A909" w:rsidR="00E21036" w:rsidRPr="001B25B0" w:rsidRDefault="00E21036" w:rsidP="00BD0091">
            <w:pPr>
              <w:jc w:val="center"/>
              <w:rPr>
                <w:color w:val="000000"/>
              </w:rPr>
            </w:pPr>
            <w:r w:rsidRPr="001B25B0">
              <w:rPr>
                <w:color w:val="000000"/>
              </w:rPr>
              <w:t>5</w:t>
            </w:r>
          </w:p>
        </w:tc>
        <w:tc>
          <w:tcPr>
            <w:tcW w:w="1060" w:type="dxa"/>
            <w:tcBorders>
              <w:top w:val="single" w:sz="4" w:space="0" w:color="auto"/>
            </w:tcBorders>
            <w:shd w:val="clear" w:color="auto" w:fill="D9E2F3" w:themeFill="accent1" w:themeFillTint="33"/>
            <w:noWrap/>
            <w:vAlign w:val="center"/>
          </w:tcPr>
          <w:p w14:paraId="5BFB7A7A" w14:textId="1C0F6F74" w:rsidR="00E21036" w:rsidRPr="001B25B0" w:rsidRDefault="00E21036" w:rsidP="00BD0091">
            <w:pPr>
              <w:jc w:val="center"/>
              <w:rPr>
                <w:color w:val="000000"/>
              </w:rPr>
            </w:pPr>
            <w:r w:rsidRPr="001B25B0">
              <w:rPr>
                <w:color w:val="000000"/>
              </w:rPr>
              <w:t>4</w:t>
            </w:r>
          </w:p>
        </w:tc>
        <w:tc>
          <w:tcPr>
            <w:tcW w:w="1060" w:type="dxa"/>
            <w:tcBorders>
              <w:top w:val="single" w:sz="4" w:space="0" w:color="auto"/>
            </w:tcBorders>
            <w:shd w:val="clear" w:color="auto" w:fill="D9E2F3" w:themeFill="accent1" w:themeFillTint="33"/>
            <w:noWrap/>
            <w:vAlign w:val="center"/>
          </w:tcPr>
          <w:p w14:paraId="59967D26" w14:textId="0F6CFFA4" w:rsidR="00E21036" w:rsidRPr="001B25B0" w:rsidRDefault="00E21036" w:rsidP="00BD0091">
            <w:pPr>
              <w:jc w:val="center"/>
              <w:rPr>
                <w:color w:val="000000"/>
              </w:rPr>
            </w:pPr>
            <w:r w:rsidRPr="001B25B0">
              <w:rPr>
                <w:color w:val="000000"/>
              </w:rPr>
              <w:t>6</w:t>
            </w:r>
          </w:p>
        </w:tc>
        <w:tc>
          <w:tcPr>
            <w:tcW w:w="1060" w:type="dxa"/>
            <w:tcBorders>
              <w:top w:val="single" w:sz="4" w:space="0" w:color="auto"/>
            </w:tcBorders>
            <w:shd w:val="clear" w:color="auto" w:fill="D9E2F3" w:themeFill="accent1" w:themeFillTint="33"/>
            <w:noWrap/>
            <w:vAlign w:val="center"/>
          </w:tcPr>
          <w:p w14:paraId="7D4C0B0B" w14:textId="1AE3C122" w:rsidR="00E21036" w:rsidRPr="001B25B0" w:rsidRDefault="00E21036" w:rsidP="00BD0091">
            <w:pPr>
              <w:jc w:val="center"/>
              <w:rPr>
                <w:color w:val="000000"/>
              </w:rPr>
            </w:pPr>
            <w:r w:rsidRPr="001B25B0">
              <w:rPr>
                <w:color w:val="000000"/>
              </w:rPr>
              <w:t>1</w:t>
            </w:r>
          </w:p>
        </w:tc>
        <w:tc>
          <w:tcPr>
            <w:tcW w:w="1060" w:type="dxa"/>
            <w:tcBorders>
              <w:top w:val="single" w:sz="4" w:space="0" w:color="auto"/>
            </w:tcBorders>
            <w:shd w:val="clear" w:color="auto" w:fill="D9E2F3" w:themeFill="accent1" w:themeFillTint="33"/>
            <w:noWrap/>
            <w:vAlign w:val="center"/>
          </w:tcPr>
          <w:p w14:paraId="6950A8F1" w14:textId="46FE593D" w:rsidR="00E21036" w:rsidRPr="001B25B0" w:rsidRDefault="00E21036" w:rsidP="00BD0091">
            <w:pPr>
              <w:jc w:val="center"/>
              <w:rPr>
                <w:color w:val="000000"/>
              </w:rPr>
            </w:pPr>
            <w:r w:rsidRPr="001B25B0">
              <w:rPr>
                <w:color w:val="000000"/>
              </w:rPr>
              <w:t>2</w:t>
            </w:r>
          </w:p>
        </w:tc>
        <w:tc>
          <w:tcPr>
            <w:tcW w:w="1060" w:type="dxa"/>
            <w:tcBorders>
              <w:top w:val="single" w:sz="4" w:space="0" w:color="auto"/>
              <w:right w:val="single" w:sz="4" w:space="0" w:color="auto"/>
            </w:tcBorders>
            <w:shd w:val="clear" w:color="auto" w:fill="D9E2F3" w:themeFill="accent1" w:themeFillTint="33"/>
            <w:noWrap/>
            <w:vAlign w:val="center"/>
          </w:tcPr>
          <w:p w14:paraId="59ED7752" w14:textId="458891D8" w:rsidR="00E21036" w:rsidRPr="001B25B0" w:rsidRDefault="00E21036" w:rsidP="00BD0091">
            <w:pPr>
              <w:jc w:val="center"/>
              <w:rPr>
                <w:color w:val="000000"/>
              </w:rPr>
            </w:pPr>
            <w:r w:rsidRPr="001B25B0">
              <w:rPr>
                <w:color w:val="000000"/>
              </w:rPr>
              <w:t>3</w:t>
            </w:r>
          </w:p>
        </w:tc>
      </w:tr>
      <w:tr w:rsidR="00E21036" w:rsidRPr="000838F8" w14:paraId="5052B39E"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3B1CB5FD" w14:textId="77777777" w:rsidR="00E21036" w:rsidRPr="001B25B0" w:rsidRDefault="00E21036" w:rsidP="00BD0091">
            <w:pPr>
              <w:jc w:val="center"/>
              <w:rPr>
                <w:b/>
                <w:bCs/>
                <w:color w:val="000000"/>
              </w:rPr>
            </w:pPr>
            <w:r w:rsidRPr="001B25B0">
              <w:rPr>
                <w:b/>
                <w:bCs/>
                <w:color w:val="000000"/>
              </w:rPr>
              <w:t>Polsko</w:t>
            </w:r>
          </w:p>
        </w:tc>
        <w:tc>
          <w:tcPr>
            <w:tcW w:w="1026" w:type="dxa"/>
            <w:tcBorders>
              <w:top w:val="single" w:sz="4" w:space="0" w:color="auto"/>
            </w:tcBorders>
            <w:shd w:val="clear" w:color="auto" w:fill="D9E2F3" w:themeFill="accent1" w:themeFillTint="33"/>
            <w:noWrap/>
            <w:vAlign w:val="center"/>
          </w:tcPr>
          <w:p w14:paraId="577E825A" w14:textId="275C52F4" w:rsidR="00E21036" w:rsidRPr="001B25B0" w:rsidRDefault="00E21036" w:rsidP="00BD0091">
            <w:pPr>
              <w:jc w:val="center"/>
              <w:rPr>
                <w:color w:val="000000"/>
              </w:rPr>
            </w:pPr>
            <w:r w:rsidRPr="001B25B0">
              <w:rPr>
                <w:color w:val="000000"/>
              </w:rPr>
              <w:t>6</w:t>
            </w:r>
          </w:p>
        </w:tc>
        <w:tc>
          <w:tcPr>
            <w:tcW w:w="1060" w:type="dxa"/>
            <w:tcBorders>
              <w:top w:val="single" w:sz="4" w:space="0" w:color="auto"/>
            </w:tcBorders>
            <w:shd w:val="clear" w:color="auto" w:fill="D9E2F3" w:themeFill="accent1" w:themeFillTint="33"/>
            <w:noWrap/>
            <w:vAlign w:val="center"/>
          </w:tcPr>
          <w:p w14:paraId="2B5B8F90" w14:textId="299FDEDC" w:rsidR="00E21036" w:rsidRPr="001B25B0" w:rsidRDefault="00E21036" w:rsidP="00BD0091">
            <w:pPr>
              <w:jc w:val="center"/>
              <w:rPr>
                <w:color w:val="000000"/>
              </w:rPr>
            </w:pPr>
            <w:r w:rsidRPr="001B25B0">
              <w:rPr>
                <w:color w:val="000000"/>
              </w:rPr>
              <w:t>5</w:t>
            </w:r>
          </w:p>
        </w:tc>
        <w:tc>
          <w:tcPr>
            <w:tcW w:w="1060" w:type="dxa"/>
            <w:tcBorders>
              <w:top w:val="single" w:sz="4" w:space="0" w:color="auto"/>
            </w:tcBorders>
            <w:shd w:val="clear" w:color="auto" w:fill="D9E2F3" w:themeFill="accent1" w:themeFillTint="33"/>
            <w:noWrap/>
            <w:vAlign w:val="center"/>
          </w:tcPr>
          <w:p w14:paraId="729F4B1F" w14:textId="76AA200F" w:rsidR="00E21036" w:rsidRPr="001B25B0" w:rsidRDefault="00E21036" w:rsidP="00BD0091">
            <w:pPr>
              <w:jc w:val="center"/>
              <w:rPr>
                <w:color w:val="000000"/>
              </w:rPr>
            </w:pPr>
            <w:r w:rsidRPr="001B25B0">
              <w:rPr>
                <w:color w:val="000000"/>
              </w:rPr>
              <w:t>7</w:t>
            </w:r>
          </w:p>
        </w:tc>
        <w:tc>
          <w:tcPr>
            <w:tcW w:w="1060" w:type="dxa"/>
            <w:tcBorders>
              <w:top w:val="single" w:sz="4" w:space="0" w:color="auto"/>
            </w:tcBorders>
            <w:shd w:val="clear" w:color="auto" w:fill="D9E2F3" w:themeFill="accent1" w:themeFillTint="33"/>
            <w:noWrap/>
            <w:vAlign w:val="center"/>
          </w:tcPr>
          <w:p w14:paraId="6411CCDC" w14:textId="79A80E41" w:rsidR="00E21036" w:rsidRPr="001B25B0" w:rsidRDefault="00E21036" w:rsidP="00BD0091">
            <w:pPr>
              <w:jc w:val="center"/>
              <w:rPr>
                <w:color w:val="000000"/>
              </w:rPr>
            </w:pPr>
            <w:r w:rsidRPr="001B25B0">
              <w:rPr>
                <w:color w:val="000000"/>
              </w:rPr>
              <w:t>4</w:t>
            </w:r>
          </w:p>
        </w:tc>
        <w:tc>
          <w:tcPr>
            <w:tcW w:w="1060" w:type="dxa"/>
            <w:tcBorders>
              <w:top w:val="single" w:sz="4" w:space="0" w:color="auto"/>
            </w:tcBorders>
            <w:shd w:val="clear" w:color="auto" w:fill="D9E2F3" w:themeFill="accent1" w:themeFillTint="33"/>
            <w:noWrap/>
            <w:vAlign w:val="center"/>
          </w:tcPr>
          <w:p w14:paraId="19ED03A5" w14:textId="2D8D6835" w:rsidR="00E21036" w:rsidRPr="001B25B0" w:rsidRDefault="00E21036" w:rsidP="00BD0091">
            <w:pPr>
              <w:jc w:val="center"/>
              <w:rPr>
                <w:color w:val="000000"/>
              </w:rPr>
            </w:pPr>
            <w:r w:rsidRPr="001B25B0">
              <w:rPr>
                <w:color w:val="000000"/>
              </w:rPr>
              <w:t>3</w:t>
            </w:r>
          </w:p>
        </w:tc>
        <w:tc>
          <w:tcPr>
            <w:tcW w:w="1060" w:type="dxa"/>
            <w:tcBorders>
              <w:top w:val="single" w:sz="4" w:space="0" w:color="auto"/>
            </w:tcBorders>
            <w:shd w:val="clear" w:color="auto" w:fill="D9E2F3" w:themeFill="accent1" w:themeFillTint="33"/>
            <w:noWrap/>
            <w:vAlign w:val="center"/>
          </w:tcPr>
          <w:p w14:paraId="34B17DC0" w14:textId="5533A106" w:rsidR="00E21036" w:rsidRPr="001B25B0" w:rsidRDefault="00E21036" w:rsidP="00BD0091">
            <w:pPr>
              <w:jc w:val="center"/>
              <w:rPr>
                <w:color w:val="000000"/>
              </w:rPr>
            </w:pPr>
            <w:r w:rsidRPr="001B25B0">
              <w:rPr>
                <w:color w:val="000000"/>
              </w:rPr>
              <w:t>1</w:t>
            </w:r>
          </w:p>
        </w:tc>
        <w:tc>
          <w:tcPr>
            <w:tcW w:w="1060" w:type="dxa"/>
            <w:tcBorders>
              <w:top w:val="single" w:sz="4" w:space="0" w:color="auto"/>
              <w:right w:val="single" w:sz="4" w:space="0" w:color="auto"/>
            </w:tcBorders>
            <w:shd w:val="clear" w:color="auto" w:fill="D9E2F3" w:themeFill="accent1" w:themeFillTint="33"/>
            <w:noWrap/>
            <w:vAlign w:val="center"/>
          </w:tcPr>
          <w:p w14:paraId="1831FA0E" w14:textId="6B63B546" w:rsidR="00E21036" w:rsidRPr="001B25B0" w:rsidRDefault="00E21036" w:rsidP="00BD0091">
            <w:pPr>
              <w:jc w:val="center"/>
              <w:rPr>
                <w:color w:val="000000"/>
              </w:rPr>
            </w:pPr>
            <w:r w:rsidRPr="001B25B0">
              <w:rPr>
                <w:color w:val="000000"/>
              </w:rPr>
              <w:t>2</w:t>
            </w:r>
          </w:p>
        </w:tc>
      </w:tr>
      <w:tr w:rsidR="00E21036" w:rsidRPr="000838F8" w14:paraId="6AE90C4F" w14:textId="77777777" w:rsidTr="00BD0091">
        <w:trPr>
          <w:trHeight w:val="486"/>
          <w:jc w:val="center"/>
        </w:trPr>
        <w:tc>
          <w:tcPr>
            <w:tcW w:w="1555" w:type="dxa"/>
            <w:tcBorders>
              <w:top w:val="single" w:sz="4" w:space="0" w:color="auto"/>
              <w:left w:val="single" w:sz="4" w:space="0" w:color="auto"/>
            </w:tcBorders>
            <w:shd w:val="clear" w:color="auto" w:fill="D9E2F3" w:themeFill="accent1" w:themeFillTint="33"/>
            <w:noWrap/>
            <w:vAlign w:val="center"/>
            <w:hideMark/>
          </w:tcPr>
          <w:p w14:paraId="4AC7FCE8" w14:textId="77777777" w:rsidR="00E21036" w:rsidRPr="001B25B0" w:rsidRDefault="00E21036" w:rsidP="00BD0091">
            <w:pPr>
              <w:jc w:val="center"/>
              <w:rPr>
                <w:b/>
                <w:bCs/>
                <w:color w:val="000000"/>
              </w:rPr>
            </w:pPr>
            <w:r w:rsidRPr="001B25B0">
              <w:rPr>
                <w:b/>
                <w:bCs/>
                <w:color w:val="000000"/>
              </w:rPr>
              <w:t>Rakousko</w:t>
            </w:r>
          </w:p>
          <w:p w14:paraId="753E2C97" w14:textId="77777777" w:rsidR="00E21036" w:rsidRPr="001B25B0" w:rsidRDefault="00E21036" w:rsidP="00BD0091">
            <w:pPr>
              <w:jc w:val="center"/>
              <w:rPr>
                <w:b/>
                <w:bCs/>
                <w:color w:val="000000"/>
              </w:rPr>
            </w:pPr>
          </w:p>
        </w:tc>
        <w:tc>
          <w:tcPr>
            <w:tcW w:w="1026" w:type="dxa"/>
            <w:tcBorders>
              <w:top w:val="single" w:sz="4" w:space="0" w:color="auto"/>
            </w:tcBorders>
            <w:shd w:val="clear" w:color="auto" w:fill="D9E2F3" w:themeFill="accent1" w:themeFillTint="33"/>
            <w:noWrap/>
            <w:vAlign w:val="center"/>
          </w:tcPr>
          <w:p w14:paraId="6D4194AA" w14:textId="7213C6B0" w:rsidR="00E21036" w:rsidRPr="001B25B0" w:rsidRDefault="00E21036" w:rsidP="00BD0091">
            <w:pPr>
              <w:jc w:val="center"/>
              <w:rPr>
                <w:color w:val="000000"/>
              </w:rPr>
            </w:pPr>
            <w:r w:rsidRPr="001B25B0">
              <w:rPr>
                <w:color w:val="000000"/>
              </w:rPr>
              <w:t>4</w:t>
            </w:r>
          </w:p>
        </w:tc>
        <w:tc>
          <w:tcPr>
            <w:tcW w:w="1060" w:type="dxa"/>
            <w:tcBorders>
              <w:top w:val="single" w:sz="4" w:space="0" w:color="auto"/>
            </w:tcBorders>
            <w:shd w:val="clear" w:color="auto" w:fill="D9E2F3" w:themeFill="accent1" w:themeFillTint="33"/>
            <w:noWrap/>
            <w:vAlign w:val="center"/>
          </w:tcPr>
          <w:p w14:paraId="07F128AF" w14:textId="51994C0B" w:rsidR="00E21036" w:rsidRPr="001B25B0" w:rsidRDefault="00E21036" w:rsidP="00BD0091">
            <w:pPr>
              <w:jc w:val="center"/>
              <w:rPr>
                <w:color w:val="000000"/>
              </w:rPr>
            </w:pPr>
            <w:r w:rsidRPr="001B25B0">
              <w:rPr>
                <w:color w:val="000000"/>
              </w:rPr>
              <w:t>3</w:t>
            </w:r>
          </w:p>
        </w:tc>
        <w:tc>
          <w:tcPr>
            <w:tcW w:w="1060" w:type="dxa"/>
            <w:tcBorders>
              <w:top w:val="single" w:sz="4" w:space="0" w:color="auto"/>
            </w:tcBorders>
            <w:shd w:val="clear" w:color="auto" w:fill="D9E2F3" w:themeFill="accent1" w:themeFillTint="33"/>
            <w:noWrap/>
            <w:vAlign w:val="center"/>
          </w:tcPr>
          <w:p w14:paraId="49B27CD8" w14:textId="0FCDCB3D" w:rsidR="00E21036" w:rsidRPr="001B25B0" w:rsidRDefault="00E21036" w:rsidP="00BD0091">
            <w:pPr>
              <w:jc w:val="center"/>
              <w:rPr>
                <w:color w:val="000000"/>
              </w:rPr>
            </w:pPr>
            <w:r w:rsidRPr="001B25B0">
              <w:rPr>
                <w:color w:val="000000"/>
              </w:rPr>
              <w:t>6</w:t>
            </w:r>
          </w:p>
        </w:tc>
        <w:tc>
          <w:tcPr>
            <w:tcW w:w="1060" w:type="dxa"/>
            <w:tcBorders>
              <w:top w:val="single" w:sz="4" w:space="0" w:color="auto"/>
            </w:tcBorders>
            <w:shd w:val="clear" w:color="auto" w:fill="D9E2F3" w:themeFill="accent1" w:themeFillTint="33"/>
            <w:noWrap/>
            <w:vAlign w:val="center"/>
          </w:tcPr>
          <w:p w14:paraId="5F6C37F1" w14:textId="5D842D09" w:rsidR="00E21036" w:rsidRPr="001B25B0" w:rsidRDefault="00E21036" w:rsidP="00BD0091">
            <w:pPr>
              <w:jc w:val="center"/>
              <w:rPr>
                <w:color w:val="000000"/>
              </w:rPr>
            </w:pPr>
            <w:r w:rsidRPr="001B25B0">
              <w:rPr>
                <w:color w:val="000000"/>
              </w:rPr>
              <w:t>2</w:t>
            </w:r>
          </w:p>
        </w:tc>
        <w:tc>
          <w:tcPr>
            <w:tcW w:w="1060" w:type="dxa"/>
            <w:tcBorders>
              <w:top w:val="single" w:sz="4" w:space="0" w:color="auto"/>
            </w:tcBorders>
            <w:shd w:val="clear" w:color="auto" w:fill="D9E2F3" w:themeFill="accent1" w:themeFillTint="33"/>
            <w:noWrap/>
            <w:vAlign w:val="center"/>
          </w:tcPr>
          <w:p w14:paraId="55AB11B5" w14:textId="2367E3E9" w:rsidR="00E21036" w:rsidRPr="001B25B0" w:rsidRDefault="00E21036" w:rsidP="00BD0091">
            <w:pPr>
              <w:jc w:val="center"/>
              <w:rPr>
                <w:color w:val="000000"/>
              </w:rPr>
            </w:pPr>
            <w:r w:rsidRPr="001B25B0">
              <w:rPr>
                <w:color w:val="000000"/>
              </w:rPr>
              <w:t>7</w:t>
            </w:r>
          </w:p>
        </w:tc>
        <w:tc>
          <w:tcPr>
            <w:tcW w:w="1060" w:type="dxa"/>
            <w:tcBorders>
              <w:top w:val="single" w:sz="4" w:space="0" w:color="auto"/>
            </w:tcBorders>
            <w:shd w:val="clear" w:color="auto" w:fill="D9E2F3" w:themeFill="accent1" w:themeFillTint="33"/>
            <w:noWrap/>
            <w:vAlign w:val="center"/>
          </w:tcPr>
          <w:p w14:paraId="1ED341F2" w14:textId="71E7A6DC" w:rsidR="00E21036" w:rsidRPr="001B25B0" w:rsidRDefault="00E21036" w:rsidP="00BD0091">
            <w:pPr>
              <w:jc w:val="center"/>
              <w:rPr>
                <w:color w:val="000000"/>
              </w:rPr>
            </w:pPr>
            <w:r w:rsidRPr="001B25B0">
              <w:rPr>
                <w:color w:val="000000"/>
              </w:rPr>
              <w:t>5</w:t>
            </w:r>
          </w:p>
        </w:tc>
        <w:tc>
          <w:tcPr>
            <w:tcW w:w="1060" w:type="dxa"/>
            <w:tcBorders>
              <w:top w:val="single" w:sz="4" w:space="0" w:color="auto"/>
              <w:right w:val="single" w:sz="4" w:space="0" w:color="auto"/>
            </w:tcBorders>
            <w:shd w:val="clear" w:color="auto" w:fill="D9E2F3" w:themeFill="accent1" w:themeFillTint="33"/>
            <w:noWrap/>
            <w:vAlign w:val="center"/>
          </w:tcPr>
          <w:p w14:paraId="299597B0" w14:textId="7D4607E7" w:rsidR="00E21036" w:rsidRPr="001B25B0" w:rsidRDefault="00E21036" w:rsidP="00BD0091">
            <w:pPr>
              <w:jc w:val="center"/>
              <w:rPr>
                <w:color w:val="000000"/>
              </w:rPr>
            </w:pPr>
            <w:r w:rsidRPr="001B25B0">
              <w:rPr>
                <w:color w:val="000000"/>
              </w:rPr>
              <w:t>1</w:t>
            </w:r>
          </w:p>
        </w:tc>
      </w:tr>
      <w:tr w:rsidR="00E21036" w:rsidRPr="000838F8" w14:paraId="7598D001" w14:textId="77777777" w:rsidTr="00E21036">
        <w:trPr>
          <w:trHeight w:val="486"/>
          <w:jc w:val="center"/>
        </w:trPr>
        <w:tc>
          <w:tcPr>
            <w:tcW w:w="1555"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56D3316E" w14:textId="77777777" w:rsidR="00E21036" w:rsidRPr="001B25B0" w:rsidRDefault="00E21036" w:rsidP="00BD0091">
            <w:pPr>
              <w:jc w:val="center"/>
              <w:rPr>
                <w:b/>
                <w:bCs/>
                <w:color w:val="000000"/>
              </w:rPr>
            </w:pPr>
            <w:r w:rsidRPr="001B25B0">
              <w:rPr>
                <w:b/>
                <w:bCs/>
                <w:color w:val="000000"/>
              </w:rPr>
              <w:t>Slovensko</w:t>
            </w:r>
          </w:p>
        </w:tc>
        <w:tc>
          <w:tcPr>
            <w:tcW w:w="1026" w:type="dxa"/>
            <w:tcBorders>
              <w:top w:val="single" w:sz="4" w:space="0" w:color="auto"/>
              <w:bottom w:val="single" w:sz="4" w:space="0" w:color="auto"/>
            </w:tcBorders>
            <w:shd w:val="clear" w:color="auto" w:fill="D9E2F3" w:themeFill="accent1" w:themeFillTint="33"/>
            <w:noWrap/>
            <w:vAlign w:val="center"/>
          </w:tcPr>
          <w:p w14:paraId="7F1C3AA0" w14:textId="3ED06E7E" w:rsidR="00E21036" w:rsidRPr="001B25B0" w:rsidRDefault="00E21036" w:rsidP="00BD0091">
            <w:pPr>
              <w:jc w:val="center"/>
              <w:rPr>
                <w:color w:val="000000"/>
              </w:rPr>
            </w:pPr>
            <w:r w:rsidRPr="001B25B0">
              <w:rPr>
                <w:color w:val="000000"/>
              </w:rPr>
              <w:t>5</w:t>
            </w:r>
          </w:p>
        </w:tc>
        <w:tc>
          <w:tcPr>
            <w:tcW w:w="1060" w:type="dxa"/>
            <w:tcBorders>
              <w:top w:val="single" w:sz="4" w:space="0" w:color="auto"/>
              <w:bottom w:val="single" w:sz="4" w:space="0" w:color="auto"/>
            </w:tcBorders>
            <w:shd w:val="clear" w:color="auto" w:fill="D9E2F3" w:themeFill="accent1" w:themeFillTint="33"/>
            <w:noWrap/>
            <w:vAlign w:val="center"/>
          </w:tcPr>
          <w:p w14:paraId="7901FB04" w14:textId="61D91105" w:rsidR="00E21036" w:rsidRPr="001B25B0" w:rsidRDefault="00E21036" w:rsidP="00BD0091">
            <w:pPr>
              <w:jc w:val="center"/>
              <w:rPr>
                <w:color w:val="000000"/>
              </w:rPr>
            </w:pPr>
            <w:r w:rsidRPr="001B25B0">
              <w:rPr>
                <w:color w:val="000000"/>
              </w:rPr>
              <w:t>3</w:t>
            </w:r>
          </w:p>
        </w:tc>
        <w:tc>
          <w:tcPr>
            <w:tcW w:w="1060" w:type="dxa"/>
            <w:tcBorders>
              <w:top w:val="single" w:sz="4" w:space="0" w:color="auto"/>
              <w:bottom w:val="single" w:sz="4" w:space="0" w:color="auto"/>
            </w:tcBorders>
            <w:shd w:val="clear" w:color="auto" w:fill="D9E2F3" w:themeFill="accent1" w:themeFillTint="33"/>
            <w:noWrap/>
            <w:vAlign w:val="center"/>
          </w:tcPr>
          <w:p w14:paraId="5C07C20F" w14:textId="7699ABEC" w:rsidR="00E21036" w:rsidRPr="001B25B0" w:rsidRDefault="00E21036" w:rsidP="00BD0091">
            <w:pPr>
              <w:jc w:val="center"/>
              <w:rPr>
                <w:color w:val="000000"/>
              </w:rPr>
            </w:pPr>
            <w:r w:rsidRPr="001B25B0">
              <w:rPr>
                <w:color w:val="000000"/>
              </w:rPr>
              <w:t>7</w:t>
            </w:r>
          </w:p>
        </w:tc>
        <w:tc>
          <w:tcPr>
            <w:tcW w:w="1060" w:type="dxa"/>
            <w:tcBorders>
              <w:top w:val="single" w:sz="4" w:space="0" w:color="auto"/>
              <w:bottom w:val="single" w:sz="4" w:space="0" w:color="auto"/>
            </w:tcBorders>
            <w:shd w:val="clear" w:color="auto" w:fill="D9E2F3" w:themeFill="accent1" w:themeFillTint="33"/>
            <w:noWrap/>
            <w:vAlign w:val="center"/>
          </w:tcPr>
          <w:p w14:paraId="30ACB229" w14:textId="0F17A98D" w:rsidR="00E21036" w:rsidRPr="001B25B0" w:rsidRDefault="00E21036" w:rsidP="00BD0091">
            <w:pPr>
              <w:jc w:val="center"/>
              <w:rPr>
                <w:color w:val="000000"/>
              </w:rPr>
            </w:pPr>
            <w:r w:rsidRPr="001B25B0">
              <w:rPr>
                <w:color w:val="000000"/>
              </w:rPr>
              <w:t>6</w:t>
            </w:r>
          </w:p>
        </w:tc>
        <w:tc>
          <w:tcPr>
            <w:tcW w:w="1060" w:type="dxa"/>
            <w:tcBorders>
              <w:top w:val="single" w:sz="4" w:space="0" w:color="auto"/>
              <w:bottom w:val="single" w:sz="4" w:space="0" w:color="auto"/>
            </w:tcBorders>
            <w:shd w:val="clear" w:color="auto" w:fill="D9E2F3" w:themeFill="accent1" w:themeFillTint="33"/>
            <w:noWrap/>
            <w:vAlign w:val="center"/>
          </w:tcPr>
          <w:p w14:paraId="6C3B9A45" w14:textId="0ACFE9D2" w:rsidR="00E21036" w:rsidRPr="001B25B0" w:rsidRDefault="00E21036" w:rsidP="00BD0091">
            <w:pPr>
              <w:jc w:val="center"/>
              <w:rPr>
                <w:color w:val="000000"/>
              </w:rPr>
            </w:pPr>
            <w:r w:rsidRPr="001B25B0">
              <w:rPr>
                <w:color w:val="000000"/>
              </w:rPr>
              <w:t>4</w:t>
            </w:r>
          </w:p>
        </w:tc>
        <w:tc>
          <w:tcPr>
            <w:tcW w:w="1060" w:type="dxa"/>
            <w:tcBorders>
              <w:top w:val="single" w:sz="4" w:space="0" w:color="auto"/>
              <w:bottom w:val="single" w:sz="4" w:space="0" w:color="auto"/>
            </w:tcBorders>
            <w:shd w:val="clear" w:color="auto" w:fill="D9E2F3" w:themeFill="accent1" w:themeFillTint="33"/>
            <w:noWrap/>
            <w:vAlign w:val="center"/>
          </w:tcPr>
          <w:p w14:paraId="459A3EEE" w14:textId="500495E7" w:rsidR="00E21036" w:rsidRPr="001B25B0" w:rsidRDefault="00E21036" w:rsidP="00BD0091">
            <w:pPr>
              <w:jc w:val="center"/>
              <w:rPr>
                <w:color w:val="000000"/>
              </w:rPr>
            </w:pPr>
            <w:r w:rsidRPr="001B25B0">
              <w:rPr>
                <w:color w:val="000000"/>
              </w:rPr>
              <w:t>2</w:t>
            </w:r>
          </w:p>
        </w:tc>
        <w:tc>
          <w:tcPr>
            <w:tcW w:w="1060" w:type="dxa"/>
            <w:tcBorders>
              <w:top w:val="single" w:sz="4" w:space="0" w:color="auto"/>
              <w:bottom w:val="single" w:sz="4" w:space="0" w:color="auto"/>
              <w:right w:val="single" w:sz="4" w:space="0" w:color="auto"/>
            </w:tcBorders>
            <w:shd w:val="clear" w:color="auto" w:fill="D9E2F3" w:themeFill="accent1" w:themeFillTint="33"/>
            <w:noWrap/>
            <w:vAlign w:val="center"/>
          </w:tcPr>
          <w:p w14:paraId="496CFFA9" w14:textId="272C194E" w:rsidR="00E21036" w:rsidRPr="001B25B0" w:rsidRDefault="00E21036" w:rsidP="00BD0091">
            <w:pPr>
              <w:jc w:val="center"/>
              <w:rPr>
                <w:color w:val="000000"/>
              </w:rPr>
            </w:pPr>
            <w:r w:rsidRPr="001B25B0">
              <w:rPr>
                <w:color w:val="000000"/>
              </w:rPr>
              <w:t>1</w:t>
            </w:r>
          </w:p>
        </w:tc>
      </w:tr>
    </w:tbl>
    <w:p w14:paraId="0B5D3FEA" w14:textId="7B4B72BB" w:rsidR="003C7FEE" w:rsidRDefault="003C7FEE" w:rsidP="003C7FEE">
      <w:pPr>
        <w:spacing w:before="120" w:after="240" w:line="360" w:lineRule="auto"/>
        <w:jc w:val="both"/>
      </w:pPr>
    </w:p>
    <w:p w14:paraId="153CB1D0" w14:textId="4009B18F" w:rsidR="003C7FEE" w:rsidRDefault="00C56A06" w:rsidP="00DD5F39">
      <w:pPr>
        <w:spacing w:before="120" w:after="240" w:line="360" w:lineRule="auto"/>
        <w:ind w:firstLine="709"/>
        <w:jc w:val="both"/>
      </w:pPr>
      <w:r>
        <w:t>Pokud bychom chtěli porovnat vývoj meziročního růstu průměrných mezd v</w:t>
      </w:r>
      <w:r w:rsidR="00882D84">
        <w:t>e </w:t>
      </w:r>
      <w:r>
        <w:t xml:space="preserve">vybraných zemích, můžeme pro porovnání použít následující korelační matici, jež byla vytvořena na základě postupu, který </w:t>
      </w:r>
      <w:r w:rsidR="001B25B0">
        <w:t>je uveden</w:t>
      </w:r>
      <w:r>
        <w:t xml:space="preserve"> výše.</w:t>
      </w:r>
    </w:p>
    <w:tbl>
      <w:tblPr>
        <w:tblStyle w:val="Svtltabulkasmkou1zvraznn1"/>
        <w:tblW w:w="9024" w:type="dxa"/>
        <w:tblLook w:val="04A0" w:firstRow="1" w:lastRow="0" w:firstColumn="1" w:lastColumn="0" w:noHBand="0" w:noVBand="1"/>
      </w:tblPr>
      <w:tblGrid>
        <w:gridCol w:w="1312"/>
        <w:gridCol w:w="1280"/>
        <w:gridCol w:w="1280"/>
        <w:gridCol w:w="1280"/>
        <w:gridCol w:w="1280"/>
        <w:gridCol w:w="1312"/>
        <w:gridCol w:w="1280"/>
      </w:tblGrid>
      <w:tr w:rsidR="001B25B0" w:rsidRPr="00C514B5" w14:paraId="7AD9124D" w14:textId="77777777" w:rsidTr="009A304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12" w:type="dxa"/>
            <w:tcBorders>
              <w:top w:val="single" w:sz="4" w:space="0" w:color="auto"/>
              <w:left w:val="single" w:sz="4" w:space="0" w:color="auto"/>
              <w:right w:val="single" w:sz="4" w:space="0" w:color="8EAADB" w:themeColor="accent1" w:themeTint="99"/>
            </w:tcBorders>
            <w:shd w:val="clear" w:color="auto" w:fill="D9E2F3" w:themeFill="accent1" w:themeFillTint="33"/>
            <w:noWrap/>
            <w:hideMark/>
          </w:tcPr>
          <w:p w14:paraId="0469FE58" w14:textId="61E3B33E" w:rsidR="00C514B5" w:rsidRPr="00C514B5" w:rsidRDefault="001B25B0" w:rsidP="00C514B5">
            <w:pPr>
              <w:jc w:val="center"/>
              <w:rPr>
                <w:color w:val="000000"/>
              </w:rPr>
            </w:pPr>
            <w:r w:rsidRPr="001B25B0">
              <w:rPr>
                <w:color w:val="000000"/>
              </w:rPr>
              <w:t>Země</w:t>
            </w:r>
          </w:p>
        </w:tc>
        <w:tc>
          <w:tcPr>
            <w:tcW w:w="1280"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714F1A9B"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Německo</w:t>
            </w:r>
          </w:p>
        </w:tc>
        <w:tc>
          <w:tcPr>
            <w:tcW w:w="1280"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02BCA5B2"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ČR</w:t>
            </w:r>
          </w:p>
        </w:tc>
        <w:tc>
          <w:tcPr>
            <w:tcW w:w="1280"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1A2D5B08"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Slovensko</w:t>
            </w:r>
          </w:p>
        </w:tc>
        <w:tc>
          <w:tcPr>
            <w:tcW w:w="1280"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590A12AE"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Polsko</w:t>
            </w:r>
          </w:p>
        </w:tc>
        <w:tc>
          <w:tcPr>
            <w:tcW w:w="1312" w:type="dxa"/>
            <w:tcBorders>
              <w:top w:val="single" w:sz="4" w:space="0" w:color="auto"/>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727B86B5"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Maďarsko</w:t>
            </w:r>
          </w:p>
        </w:tc>
        <w:tc>
          <w:tcPr>
            <w:tcW w:w="1280" w:type="dxa"/>
            <w:tcBorders>
              <w:top w:val="single" w:sz="4" w:space="0" w:color="auto"/>
              <w:left w:val="single" w:sz="4" w:space="0" w:color="8EAADB" w:themeColor="accent1" w:themeTint="99"/>
              <w:bottom w:val="single" w:sz="4" w:space="0" w:color="8EAADB" w:themeColor="accent1" w:themeTint="99"/>
              <w:right w:val="single" w:sz="4" w:space="0" w:color="auto"/>
            </w:tcBorders>
            <w:shd w:val="clear" w:color="auto" w:fill="D9E2F3" w:themeFill="accent1" w:themeFillTint="33"/>
            <w:noWrap/>
            <w:hideMark/>
          </w:tcPr>
          <w:p w14:paraId="07EBC45F" w14:textId="77777777" w:rsidR="00C514B5" w:rsidRPr="00C514B5" w:rsidRDefault="00C514B5" w:rsidP="00C514B5">
            <w:pPr>
              <w:jc w:val="center"/>
              <w:cnfStyle w:val="100000000000" w:firstRow="1" w:lastRow="0" w:firstColumn="0" w:lastColumn="0" w:oddVBand="0" w:evenVBand="0" w:oddHBand="0" w:evenHBand="0" w:firstRowFirstColumn="0" w:firstRowLastColumn="0" w:lastRowFirstColumn="0" w:lastRowLastColumn="0"/>
              <w:rPr>
                <w:color w:val="000000"/>
              </w:rPr>
            </w:pPr>
            <w:r w:rsidRPr="00C514B5">
              <w:rPr>
                <w:color w:val="000000"/>
              </w:rPr>
              <w:t>Rakousko</w:t>
            </w:r>
          </w:p>
        </w:tc>
      </w:tr>
      <w:tr w:rsidR="00C514B5" w:rsidRPr="001B25B0" w14:paraId="55D8C977" w14:textId="77777777" w:rsidTr="009A3040">
        <w:trPr>
          <w:trHeight w:val="315"/>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right w:val="single" w:sz="4" w:space="0" w:color="8EAADB" w:themeColor="accent1" w:themeTint="99"/>
            </w:tcBorders>
            <w:shd w:val="clear" w:color="auto" w:fill="D9E2F3" w:themeFill="accent1" w:themeFillTint="33"/>
            <w:noWrap/>
            <w:hideMark/>
          </w:tcPr>
          <w:p w14:paraId="74A0111A" w14:textId="77777777" w:rsidR="00C514B5" w:rsidRPr="00C514B5" w:rsidRDefault="00C514B5" w:rsidP="00C514B5">
            <w:pPr>
              <w:rPr>
                <w:color w:val="000000"/>
              </w:rPr>
            </w:pPr>
            <w:r w:rsidRPr="00C514B5">
              <w:rPr>
                <w:color w:val="000000"/>
              </w:rPr>
              <w:t>Německo</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3BBCF979"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nil"/>
            </w:tcBorders>
            <w:noWrap/>
            <w:hideMark/>
          </w:tcPr>
          <w:p w14:paraId="5BBB6781"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280" w:type="dxa"/>
            <w:vMerge w:val="restart"/>
            <w:tcBorders>
              <w:top w:val="single" w:sz="4" w:space="0" w:color="8EAADB" w:themeColor="accent1" w:themeTint="99"/>
              <w:left w:val="nil"/>
              <w:bottom w:val="nil"/>
              <w:right w:val="nil"/>
            </w:tcBorders>
            <w:noWrap/>
            <w:hideMark/>
          </w:tcPr>
          <w:p w14:paraId="3F7EA3D1"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280" w:type="dxa"/>
            <w:vMerge w:val="restart"/>
            <w:tcBorders>
              <w:top w:val="single" w:sz="4" w:space="0" w:color="8EAADB" w:themeColor="accent1" w:themeTint="99"/>
              <w:left w:val="nil"/>
              <w:bottom w:val="nil"/>
              <w:right w:val="nil"/>
            </w:tcBorders>
            <w:noWrap/>
            <w:hideMark/>
          </w:tcPr>
          <w:p w14:paraId="785F6E9A"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312" w:type="dxa"/>
            <w:vMerge w:val="restart"/>
            <w:tcBorders>
              <w:top w:val="single" w:sz="4" w:space="0" w:color="8EAADB" w:themeColor="accent1" w:themeTint="99"/>
              <w:left w:val="nil"/>
              <w:bottom w:val="nil"/>
              <w:right w:val="nil"/>
            </w:tcBorders>
            <w:noWrap/>
            <w:hideMark/>
          </w:tcPr>
          <w:p w14:paraId="0022F672"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280" w:type="dxa"/>
            <w:vMerge w:val="restart"/>
            <w:tcBorders>
              <w:top w:val="single" w:sz="4" w:space="0" w:color="8EAADB" w:themeColor="accent1" w:themeTint="99"/>
              <w:left w:val="nil"/>
              <w:bottom w:val="nil"/>
              <w:right w:val="single" w:sz="4" w:space="0" w:color="auto"/>
            </w:tcBorders>
            <w:noWrap/>
            <w:hideMark/>
          </w:tcPr>
          <w:p w14:paraId="16EBC19D" w14:textId="77777777" w:rsidR="00C514B5" w:rsidRPr="001B25B0"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 </w:t>
            </w:r>
          </w:p>
          <w:p w14:paraId="6D6F6FC9" w14:textId="77777777" w:rsidR="00C514B5" w:rsidRPr="001B25B0"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 </w:t>
            </w:r>
          </w:p>
          <w:p w14:paraId="6720645C" w14:textId="77777777" w:rsidR="00C514B5" w:rsidRPr="001B25B0"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 </w:t>
            </w:r>
          </w:p>
          <w:p w14:paraId="60B6FE74" w14:textId="77777777" w:rsidR="00C514B5" w:rsidRPr="001B25B0"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 </w:t>
            </w:r>
          </w:p>
          <w:p w14:paraId="5855277D" w14:textId="674C8A98"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 </w:t>
            </w:r>
          </w:p>
        </w:tc>
      </w:tr>
      <w:tr w:rsidR="00C514B5" w:rsidRPr="001B25B0" w14:paraId="6AD69E69" w14:textId="77777777" w:rsidTr="009A3040">
        <w:trPr>
          <w:trHeight w:val="315"/>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right w:val="single" w:sz="4" w:space="0" w:color="8EAADB" w:themeColor="accent1" w:themeTint="99"/>
            </w:tcBorders>
            <w:shd w:val="clear" w:color="auto" w:fill="D9E2F3" w:themeFill="accent1" w:themeFillTint="33"/>
            <w:noWrap/>
            <w:hideMark/>
          </w:tcPr>
          <w:p w14:paraId="78B5C766" w14:textId="77777777" w:rsidR="00C514B5" w:rsidRPr="00C514B5" w:rsidRDefault="00C514B5" w:rsidP="00C514B5">
            <w:pPr>
              <w:rPr>
                <w:color w:val="000000"/>
              </w:rPr>
            </w:pPr>
            <w:r w:rsidRPr="00C514B5">
              <w:rPr>
                <w:color w:val="000000"/>
              </w:rPr>
              <w:t>ČR</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70AF86D8"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0,60</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18D4F0CD"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c>
          <w:tcPr>
            <w:tcW w:w="1280" w:type="dxa"/>
            <w:vMerge/>
            <w:tcBorders>
              <w:top w:val="nil"/>
              <w:left w:val="single" w:sz="4" w:space="0" w:color="8EAADB" w:themeColor="accent1" w:themeTint="99"/>
              <w:bottom w:val="single" w:sz="4" w:space="0" w:color="8EAADB" w:themeColor="accent1" w:themeTint="99"/>
              <w:right w:val="nil"/>
            </w:tcBorders>
            <w:noWrap/>
            <w:hideMark/>
          </w:tcPr>
          <w:p w14:paraId="3C26A457"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280" w:type="dxa"/>
            <w:vMerge/>
            <w:tcBorders>
              <w:top w:val="nil"/>
              <w:left w:val="nil"/>
              <w:bottom w:val="nil"/>
              <w:right w:val="nil"/>
            </w:tcBorders>
            <w:noWrap/>
            <w:hideMark/>
          </w:tcPr>
          <w:p w14:paraId="317B7C77"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312" w:type="dxa"/>
            <w:vMerge/>
            <w:tcBorders>
              <w:top w:val="nil"/>
              <w:left w:val="nil"/>
              <w:bottom w:val="nil"/>
              <w:right w:val="nil"/>
            </w:tcBorders>
            <w:noWrap/>
            <w:hideMark/>
          </w:tcPr>
          <w:p w14:paraId="6962B96B"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280" w:type="dxa"/>
            <w:vMerge/>
            <w:tcBorders>
              <w:top w:val="nil"/>
              <w:left w:val="nil"/>
              <w:bottom w:val="nil"/>
              <w:right w:val="single" w:sz="4" w:space="0" w:color="auto"/>
            </w:tcBorders>
            <w:noWrap/>
            <w:hideMark/>
          </w:tcPr>
          <w:p w14:paraId="0B70360F" w14:textId="077E64C0"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C514B5" w:rsidRPr="001B25B0" w14:paraId="54FB3E18" w14:textId="77777777" w:rsidTr="009A3040">
        <w:trPr>
          <w:trHeight w:val="315"/>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right w:val="single" w:sz="4" w:space="0" w:color="8EAADB" w:themeColor="accent1" w:themeTint="99"/>
            </w:tcBorders>
            <w:shd w:val="clear" w:color="auto" w:fill="D9E2F3" w:themeFill="accent1" w:themeFillTint="33"/>
            <w:noWrap/>
            <w:hideMark/>
          </w:tcPr>
          <w:p w14:paraId="46880E7E" w14:textId="77777777" w:rsidR="00C514B5" w:rsidRPr="00C514B5" w:rsidRDefault="00C514B5" w:rsidP="00C514B5">
            <w:pPr>
              <w:rPr>
                <w:color w:val="000000"/>
              </w:rPr>
            </w:pPr>
            <w:r w:rsidRPr="00C514B5">
              <w:rPr>
                <w:color w:val="000000"/>
              </w:rPr>
              <w:t>Slovensko</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6CA0C46C"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0,14</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6E9C5C77" w14:textId="4F4195A6"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0,37</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7F943D88"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c>
          <w:tcPr>
            <w:tcW w:w="1280" w:type="dxa"/>
            <w:vMerge/>
            <w:tcBorders>
              <w:top w:val="nil"/>
              <w:left w:val="single" w:sz="4" w:space="0" w:color="8EAADB" w:themeColor="accent1" w:themeTint="99"/>
              <w:bottom w:val="single" w:sz="4" w:space="0" w:color="8EAADB" w:themeColor="accent1" w:themeTint="99"/>
              <w:right w:val="nil"/>
            </w:tcBorders>
            <w:noWrap/>
            <w:hideMark/>
          </w:tcPr>
          <w:p w14:paraId="750997CB"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312" w:type="dxa"/>
            <w:vMerge/>
            <w:tcBorders>
              <w:top w:val="nil"/>
              <w:left w:val="nil"/>
              <w:bottom w:val="nil"/>
              <w:right w:val="nil"/>
            </w:tcBorders>
            <w:noWrap/>
            <w:hideMark/>
          </w:tcPr>
          <w:p w14:paraId="0C113DA9"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pPr>
          </w:p>
        </w:tc>
        <w:tc>
          <w:tcPr>
            <w:tcW w:w="1280" w:type="dxa"/>
            <w:vMerge/>
            <w:tcBorders>
              <w:top w:val="nil"/>
              <w:left w:val="nil"/>
              <w:bottom w:val="nil"/>
              <w:right w:val="single" w:sz="4" w:space="0" w:color="auto"/>
            </w:tcBorders>
            <w:noWrap/>
            <w:hideMark/>
          </w:tcPr>
          <w:p w14:paraId="0C773A10" w14:textId="4B5BDBEA"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C514B5" w:rsidRPr="001B25B0" w14:paraId="3256BD38" w14:textId="77777777" w:rsidTr="009A3040">
        <w:trPr>
          <w:trHeight w:val="315"/>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right w:val="single" w:sz="4" w:space="0" w:color="8EAADB" w:themeColor="accent1" w:themeTint="99"/>
            </w:tcBorders>
            <w:shd w:val="clear" w:color="auto" w:fill="D9E2F3" w:themeFill="accent1" w:themeFillTint="33"/>
            <w:noWrap/>
            <w:hideMark/>
          </w:tcPr>
          <w:p w14:paraId="458A0718" w14:textId="77777777" w:rsidR="00C514B5" w:rsidRPr="00C514B5" w:rsidRDefault="00C514B5" w:rsidP="00C514B5">
            <w:pPr>
              <w:rPr>
                <w:color w:val="000000"/>
              </w:rPr>
            </w:pPr>
            <w:r w:rsidRPr="00C514B5">
              <w:rPr>
                <w:color w:val="000000"/>
              </w:rPr>
              <w:t>Polsko</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5B3EFE88"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0,43</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9C9C9" w:themeFill="accent3" w:themeFillTint="99"/>
            <w:noWrap/>
            <w:vAlign w:val="center"/>
            <w:hideMark/>
          </w:tcPr>
          <w:p w14:paraId="1AB786F1" w14:textId="652C2638"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B25B0">
              <w:rPr>
                <w:b/>
                <w:bCs/>
                <w:color w:val="000000"/>
              </w:rPr>
              <w:t>0,77</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0DC095BC" w14:textId="5B6F37E8"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0,66</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303CFA08"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c>
          <w:tcPr>
            <w:tcW w:w="1312" w:type="dxa"/>
            <w:vMerge/>
            <w:tcBorders>
              <w:top w:val="nil"/>
              <w:left w:val="single" w:sz="4" w:space="0" w:color="8EAADB" w:themeColor="accent1" w:themeTint="99"/>
              <w:bottom w:val="single" w:sz="4" w:space="0" w:color="8EAADB" w:themeColor="accent1" w:themeTint="99"/>
              <w:right w:val="nil"/>
            </w:tcBorders>
            <w:noWrap/>
            <w:hideMark/>
          </w:tcPr>
          <w:p w14:paraId="2E50C93E"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c>
          <w:tcPr>
            <w:tcW w:w="1280" w:type="dxa"/>
            <w:vMerge/>
            <w:tcBorders>
              <w:top w:val="nil"/>
              <w:left w:val="nil"/>
              <w:bottom w:val="nil"/>
              <w:right w:val="single" w:sz="4" w:space="0" w:color="auto"/>
            </w:tcBorders>
            <w:noWrap/>
            <w:hideMark/>
          </w:tcPr>
          <w:p w14:paraId="6C451C2C" w14:textId="5435D2D9"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C514B5" w:rsidRPr="001B25B0" w14:paraId="0D3A4501" w14:textId="77777777" w:rsidTr="009A3040">
        <w:trPr>
          <w:trHeight w:val="315"/>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right w:val="single" w:sz="4" w:space="0" w:color="8EAADB" w:themeColor="accent1" w:themeTint="99"/>
            </w:tcBorders>
            <w:shd w:val="clear" w:color="auto" w:fill="D9E2F3" w:themeFill="accent1" w:themeFillTint="33"/>
            <w:noWrap/>
            <w:hideMark/>
          </w:tcPr>
          <w:p w14:paraId="44A5E349" w14:textId="77777777" w:rsidR="00C514B5" w:rsidRPr="00C514B5" w:rsidRDefault="00C514B5" w:rsidP="00C514B5">
            <w:pPr>
              <w:rPr>
                <w:color w:val="000000"/>
              </w:rPr>
            </w:pPr>
            <w:r w:rsidRPr="00C514B5">
              <w:rPr>
                <w:color w:val="000000"/>
              </w:rPr>
              <w:t>Maďarsko</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hideMark/>
          </w:tcPr>
          <w:p w14:paraId="2B0D4E79"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-0,23</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38884176" w14:textId="7DAB36BB"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0,06</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C9C9C9" w:themeFill="accent3" w:themeFillTint="99"/>
            <w:noWrap/>
            <w:vAlign w:val="center"/>
            <w:hideMark/>
          </w:tcPr>
          <w:p w14:paraId="5E442CF9" w14:textId="7DE1335C"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1B25B0">
              <w:rPr>
                <w:b/>
                <w:bCs/>
                <w:color w:val="000000"/>
              </w:rPr>
              <w:t>0,69</w:t>
            </w:r>
          </w:p>
        </w:tc>
        <w:tc>
          <w:tcPr>
            <w:tcW w:w="128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noWrap/>
            <w:vAlign w:val="center"/>
            <w:hideMark/>
          </w:tcPr>
          <w:p w14:paraId="787E35E1" w14:textId="78D80F83"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0,57</w:t>
            </w:r>
          </w:p>
        </w:tc>
        <w:tc>
          <w:tcPr>
            <w:tcW w:w="131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noWrap/>
            <w:hideMark/>
          </w:tcPr>
          <w:p w14:paraId="1CE5E862"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c>
          <w:tcPr>
            <w:tcW w:w="1280" w:type="dxa"/>
            <w:vMerge/>
            <w:tcBorders>
              <w:top w:val="nil"/>
              <w:left w:val="single" w:sz="4" w:space="0" w:color="8EAADB" w:themeColor="accent1" w:themeTint="99"/>
              <w:bottom w:val="single" w:sz="4" w:space="0" w:color="8EAADB" w:themeColor="accent1" w:themeTint="99"/>
              <w:right w:val="single" w:sz="4" w:space="0" w:color="auto"/>
            </w:tcBorders>
            <w:noWrap/>
            <w:hideMark/>
          </w:tcPr>
          <w:p w14:paraId="3B10C3F4" w14:textId="6E47B295"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C514B5" w:rsidRPr="001B25B0" w14:paraId="0F5D4B81" w14:textId="77777777" w:rsidTr="009A3040">
        <w:trPr>
          <w:trHeight w:val="330"/>
        </w:trPr>
        <w:tc>
          <w:tcPr>
            <w:cnfStyle w:val="001000000000" w:firstRow="0" w:lastRow="0" w:firstColumn="1" w:lastColumn="0" w:oddVBand="0" w:evenVBand="0" w:oddHBand="0" w:evenHBand="0" w:firstRowFirstColumn="0" w:firstRowLastColumn="0" w:lastRowFirstColumn="0" w:lastRowLastColumn="0"/>
            <w:tcW w:w="1312" w:type="dxa"/>
            <w:tcBorders>
              <w:left w:val="single" w:sz="4" w:space="0" w:color="auto"/>
              <w:bottom w:val="single" w:sz="4" w:space="0" w:color="auto"/>
              <w:right w:val="single" w:sz="4" w:space="0" w:color="8EAADB" w:themeColor="accent1" w:themeTint="99"/>
            </w:tcBorders>
            <w:shd w:val="clear" w:color="auto" w:fill="D9E2F3" w:themeFill="accent1" w:themeFillTint="33"/>
            <w:noWrap/>
            <w:hideMark/>
          </w:tcPr>
          <w:p w14:paraId="0F75F748" w14:textId="77777777" w:rsidR="00C514B5" w:rsidRPr="00C514B5" w:rsidRDefault="00C514B5" w:rsidP="00C514B5">
            <w:pPr>
              <w:rPr>
                <w:color w:val="000000"/>
              </w:rPr>
            </w:pPr>
            <w:r w:rsidRPr="00C514B5">
              <w:rPr>
                <w:color w:val="000000"/>
              </w:rPr>
              <w:t>Rakousko</w:t>
            </w:r>
          </w:p>
        </w:tc>
        <w:tc>
          <w:tcPr>
            <w:tcW w:w="1280"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shd w:val="clear" w:color="auto" w:fill="EDEDED" w:themeFill="accent3" w:themeFillTint="33"/>
            <w:noWrap/>
            <w:hideMark/>
          </w:tcPr>
          <w:p w14:paraId="3B9C364F"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b/>
                <w:bCs/>
                <w:color w:val="000000"/>
              </w:rPr>
            </w:pPr>
            <w:r w:rsidRPr="00C514B5">
              <w:rPr>
                <w:b/>
                <w:bCs/>
                <w:color w:val="000000"/>
              </w:rPr>
              <w:t>-1,34</w:t>
            </w:r>
          </w:p>
        </w:tc>
        <w:tc>
          <w:tcPr>
            <w:tcW w:w="1280"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72DC5488" w14:textId="6AA495D8"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-0,37</w:t>
            </w:r>
          </w:p>
        </w:tc>
        <w:tc>
          <w:tcPr>
            <w:tcW w:w="1280"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09A3CB76" w14:textId="10C0F7CF"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-0,03</w:t>
            </w:r>
          </w:p>
        </w:tc>
        <w:tc>
          <w:tcPr>
            <w:tcW w:w="1280"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vAlign w:val="center"/>
            <w:hideMark/>
          </w:tcPr>
          <w:p w14:paraId="6BC130A0" w14:textId="609A6469"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-0,31</w:t>
            </w:r>
          </w:p>
        </w:tc>
        <w:tc>
          <w:tcPr>
            <w:tcW w:w="1312" w:type="dxa"/>
            <w:tcBorders>
              <w:top w:val="single" w:sz="4" w:space="0" w:color="8EAADB" w:themeColor="accent1" w:themeTint="99"/>
              <w:left w:val="single" w:sz="4" w:space="0" w:color="8EAADB" w:themeColor="accent1" w:themeTint="99"/>
              <w:bottom w:val="single" w:sz="4" w:space="0" w:color="auto"/>
              <w:right w:val="single" w:sz="4" w:space="0" w:color="8EAADB" w:themeColor="accent1" w:themeTint="99"/>
            </w:tcBorders>
            <w:noWrap/>
            <w:hideMark/>
          </w:tcPr>
          <w:p w14:paraId="6D736441" w14:textId="02E5A88F" w:rsidR="00C514B5" w:rsidRPr="00C514B5" w:rsidRDefault="00C514B5" w:rsidP="00464D59">
            <w:pPr>
              <w:jc w:val="center"/>
              <w:cnfStyle w:val="000000000000" w:firstRow="0" w:lastRow="0" w:firstColumn="0" w:lastColumn="0" w:oddVBand="0" w:evenVBand="0" w:oddHBand="0" w:evenHBand="0" w:firstRowFirstColumn="0" w:firstRowLastColumn="0" w:lastRowFirstColumn="0" w:lastRowLastColumn="0"/>
              <w:rPr>
                <w:color w:val="000000"/>
              </w:rPr>
            </w:pPr>
            <w:r w:rsidRPr="001B25B0">
              <w:rPr>
                <w:color w:val="000000"/>
              </w:rPr>
              <w:t>0,11</w:t>
            </w:r>
          </w:p>
        </w:tc>
        <w:tc>
          <w:tcPr>
            <w:tcW w:w="1280" w:type="dxa"/>
            <w:tcBorders>
              <w:top w:val="single" w:sz="4" w:space="0" w:color="8EAADB" w:themeColor="accent1" w:themeTint="99"/>
              <w:left w:val="single" w:sz="4" w:space="0" w:color="8EAADB" w:themeColor="accent1" w:themeTint="99"/>
              <w:bottom w:val="single" w:sz="4" w:space="0" w:color="auto"/>
              <w:right w:val="single" w:sz="4" w:space="0" w:color="auto"/>
            </w:tcBorders>
            <w:shd w:val="clear" w:color="auto" w:fill="D9E2F3" w:themeFill="accent1" w:themeFillTint="33"/>
            <w:noWrap/>
            <w:hideMark/>
          </w:tcPr>
          <w:p w14:paraId="7EDA14CF" w14:textId="77777777" w:rsidR="00C514B5" w:rsidRPr="00C514B5" w:rsidRDefault="00C514B5" w:rsidP="00C514B5">
            <w:pPr>
              <w:jc w:val="center"/>
              <w:cnfStyle w:val="000000000000" w:firstRow="0" w:lastRow="0" w:firstColumn="0" w:lastColumn="0" w:oddVBand="0" w:evenVBand="0" w:oddHBand="0" w:evenHBand="0" w:firstRowFirstColumn="0" w:firstRowLastColumn="0" w:lastRowFirstColumn="0" w:lastRowLastColumn="0"/>
              <w:rPr>
                <w:color w:val="000000"/>
              </w:rPr>
            </w:pPr>
            <w:r w:rsidRPr="00C514B5">
              <w:rPr>
                <w:color w:val="000000"/>
              </w:rPr>
              <w:t>1</w:t>
            </w:r>
          </w:p>
        </w:tc>
      </w:tr>
    </w:tbl>
    <w:p w14:paraId="17A86C55" w14:textId="3350BCB1" w:rsidR="00C56A06" w:rsidRDefault="00C56A06" w:rsidP="00937211">
      <w:pPr>
        <w:rPr>
          <w:szCs w:val="22"/>
        </w:rPr>
      </w:pPr>
    </w:p>
    <w:p w14:paraId="6A0882FD" w14:textId="3B042D4E" w:rsidR="00464D59" w:rsidRDefault="00DD5F39" w:rsidP="000A11C5">
      <w:pPr>
        <w:spacing w:before="120" w:after="240" w:line="360" w:lineRule="auto"/>
        <w:ind w:firstLine="709"/>
        <w:jc w:val="both"/>
        <w:rPr>
          <w:color w:val="000000"/>
        </w:rPr>
      </w:pPr>
      <w:r w:rsidRPr="00DD5F39">
        <w:rPr>
          <w:color w:val="000000"/>
        </w:rPr>
        <w:lastRenderedPageBreak/>
        <w:t>V korelační matici jsou zvýrazněny celkem tři hodnoty (dvě hodnoty tmavě šedou barvou a jedna hodnota světle šedou barvou). Hodnoty podbarvené tmavě šedou barvou</w:t>
      </w:r>
      <w:r w:rsidR="009A3040">
        <w:rPr>
          <w:color w:val="000000"/>
        </w:rPr>
        <w:t>, tj. 0,77 a 0,69</w:t>
      </w:r>
      <w:r w:rsidRPr="00DD5F39">
        <w:rPr>
          <w:color w:val="000000"/>
        </w:rPr>
        <w:t xml:space="preserve"> představují</w:t>
      </w:r>
      <w:r w:rsidR="009A3040">
        <w:rPr>
          <w:color w:val="000000"/>
        </w:rPr>
        <w:t xml:space="preserve"> dvě nejvyšší korelace, a to mezi Českou republikou a Polskem, a mezi Slovenskem a Maďarskem</w:t>
      </w:r>
      <w:r w:rsidR="00661616">
        <w:rPr>
          <w:color w:val="000000"/>
        </w:rPr>
        <w:t>. Je možné konstatovat</w:t>
      </w:r>
      <w:r w:rsidR="009A3040">
        <w:rPr>
          <w:color w:val="000000"/>
        </w:rPr>
        <w:t>, že u ročních růstů průměrných mezd za</w:t>
      </w:r>
      <w:r w:rsidR="00661616">
        <w:rPr>
          <w:color w:val="000000"/>
        </w:rPr>
        <w:t> </w:t>
      </w:r>
      <w:r w:rsidR="009A3040">
        <w:rPr>
          <w:color w:val="000000"/>
        </w:rPr>
        <w:t>vybrané období (2012-2019) se vyskytuje nejsilnější positivní vztah právě u těchto čtyř zmíněných zemích (Česká republika a Polsko; Slovensko a Maďarsko).</w:t>
      </w:r>
      <w:r w:rsidR="000A11C5">
        <w:rPr>
          <w:color w:val="000000"/>
        </w:rPr>
        <w:t xml:space="preserve"> </w:t>
      </w:r>
      <w:r w:rsidR="009A3040">
        <w:rPr>
          <w:color w:val="000000"/>
        </w:rPr>
        <w:t>Pokud se podíváme na</w:t>
      </w:r>
      <w:r w:rsidR="000A11C5">
        <w:rPr>
          <w:color w:val="000000"/>
        </w:rPr>
        <w:t> </w:t>
      </w:r>
      <w:r w:rsidR="009A3040">
        <w:rPr>
          <w:color w:val="000000"/>
        </w:rPr>
        <w:t xml:space="preserve">hodnotu podbarvenou světle šedě, tj. </w:t>
      </w:r>
      <w:r w:rsidR="001C5B4B">
        <w:rPr>
          <w:color w:val="000000"/>
        </w:rPr>
        <w:t>-1,34</w:t>
      </w:r>
      <w:r w:rsidR="009A3040">
        <w:rPr>
          <w:color w:val="000000"/>
        </w:rPr>
        <w:t>, ta představuje nejnižší nabytou hodnotu. Tato nízká hodnota značí nízkou korelaci mezi vývojem průměrných mezd v Německu a Rakousku.</w:t>
      </w:r>
    </w:p>
    <w:p w14:paraId="5F9139BD" w14:textId="5F6DD6EA" w:rsidR="003D6BAE" w:rsidRPr="001C5B4B" w:rsidRDefault="00E97DB6" w:rsidP="00734488">
      <w:pPr>
        <w:spacing w:before="120" w:after="240" w:line="360" w:lineRule="auto"/>
        <w:ind w:firstLine="709"/>
        <w:jc w:val="both"/>
        <w:rPr>
          <w:color w:val="000000"/>
        </w:rPr>
      </w:pPr>
      <w:r>
        <w:rPr>
          <w:color w:val="000000"/>
        </w:rPr>
        <w:t xml:space="preserve">Z ekonomického pohledu je životní úroveň složena z materiálních faktorů, a to konkrétně z příjmů. Příjem představuje jeden ze stěžejních faktorů určující samotnou životní úroveň </w:t>
      </w:r>
      <w:r w:rsidR="00734488">
        <w:rPr>
          <w:color w:val="000000"/>
        </w:rPr>
        <w:t>obyvatel,</w:t>
      </w:r>
      <w:r>
        <w:rPr>
          <w:color w:val="000000"/>
        </w:rPr>
        <w:t xml:space="preserve"> a právě proto jsem ukazatel příjmů zahrnula i do této práce, jelikož příjmy se jeví jako vhodné vstupy pro srovnání vybraných zemí.</w:t>
      </w:r>
    </w:p>
    <w:p w14:paraId="65BC6DC1" w14:textId="233636C6" w:rsidR="00661616" w:rsidRDefault="00C56A06" w:rsidP="000A11C5">
      <w:pPr>
        <w:spacing w:before="120" w:after="240" w:line="360" w:lineRule="auto"/>
        <w:ind w:firstLine="709"/>
        <w:jc w:val="both"/>
        <w:rPr>
          <w:szCs w:val="22"/>
        </w:rPr>
      </w:pPr>
      <w:r>
        <w:rPr>
          <w:szCs w:val="22"/>
        </w:rPr>
        <w:t xml:space="preserve">Další </w:t>
      </w:r>
      <w:r w:rsidR="001C5B4B">
        <w:rPr>
          <w:szCs w:val="22"/>
        </w:rPr>
        <w:t xml:space="preserve">částí z oblasti příjmů </w:t>
      </w:r>
      <w:r>
        <w:rPr>
          <w:szCs w:val="22"/>
        </w:rPr>
        <w:t xml:space="preserve">je minimální mzda pro vybrané země Evropské unie. Tabulka </w:t>
      </w:r>
      <w:r w:rsidR="00CF70B7">
        <w:rPr>
          <w:szCs w:val="22"/>
        </w:rPr>
        <w:t xml:space="preserve">3 </w:t>
      </w:r>
      <w:r>
        <w:rPr>
          <w:szCs w:val="22"/>
        </w:rPr>
        <w:t xml:space="preserve">znázorňuje </w:t>
      </w:r>
      <w:r w:rsidR="00CF70B7">
        <w:rPr>
          <w:szCs w:val="22"/>
        </w:rPr>
        <w:t xml:space="preserve">výši </w:t>
      </w:r>
      <w:r>
        <w:rPr>
          <w:szCs w:val="22"/>
        </w:rPr>
        <w:t xml:space="preserve">minimální mzdy ve vybraných letech </w:t>
      </w:r>
      <w:r w:rsidR="004D50FE">
        <w:rPr>
          <w:szCs w:val="22"/>
        </w:rPr>
        <w:t>pro zvolené země</w:t>
      </w:r>
      <w:r w:rsidR="00CF70B7">
        <w:rPr>
          <w:szCs w:val="22"/>
        </w:rPr>
        <w:t>. J</w:t>
      </w:r>
      <w:r w:rsidR="004D50FE">
        <w:rPr>
          <w:szCs w:val="22"/>
        </w:rPr>
        <w:t>ednotlivé hodnoty jsou uvedeny v národních měnách (</w:t>
      </w:r>
      <w:r w:rsidR="000506AA">
        <w:rPr>
          <w:szCs w:val="22"/>
        </w:rPr>
        <w:t>česká koruna</w:t>
      </w:r>
      <w:r w:rsidR="004D50FE">
        <w:rPr>
          <w:szCs w:val="22"/>
        </w:rPr>
        <w:t>, polský zlotý, maďarský forint, euro</w:t>
      </w:r>
      <w:r w:rsidR="000506AA">
        <w:rPr>
          <w:szCs w:val="22"/>
        </w:rPr>
        <w:t>),</w:t>
      </w:r>
      <w:r w:rsidR="004D50FE">
        <w:rPr>
          <w:szCs w:val="22"/>
        </w:rPr>
        <w:t xml:space="preserve"> popř. </w:t>
      </w:r>
      <w:r w:rsidR="000506AA">
        <w:rPr>
          <w:szCs w:val="22"/>
        </w:rPr>
        <w:t>u některých zemí ještě</w:t>
      </w:r>
      <w:r w:rsidR="004D50FE">
        <w:rPr>
          <w:szCs w:val="22"/>
        </w:rPr>
        <w:t xml:space="preserve"> přepočteny na eura</w:t>
      </w:r>
      <w:r w:rsidR="00CF70B7">
        <w:rPr>
          <w:szCs w:val="22"/>
        </w:rPr>
        <w:t xml:space="preserve"> pro lepší představivost.</w:t>
      </w:r>
    </w:p>
    <w:p w14:paraId="0D5F0C28" w14:textId="04B9F9D3" w:rsidR="000838F8" w:rsidRPr="000838F8" w:rsidRDefault="000838F8" w:rsidP="0062577D">
      <w:pPr>
        <w:pStyle w:val="Titulek"/>
        <w:keepNext/>
        <w:rPr>
          <w:sz w:val="20"/>
          <w:szCs w:val="20"/>
        </w:rPr>
      </w:pPr>
      <w:bookmarkStart w:id="37" w:name="_Toc46142562"/>
      <w:r w:rsidRPr="000838F8">
        <w:rPr>
          <w:sz w:val="20"/>
          <w:szCs w:val="20"/>
        </w:rPr>
        <w:t xml:space="preserve">Tabulka </w:t>
      </w:r>
      <w:r w:rsidRPr="000838F8">
        <w:rPr>
          <w:sz w:val="20"/>
          <w:szCs w:val="20"/>
        </w:rPr>
        <w:fldChar w:fldCharType="begin"/>
      </w:r>
      <w:r w:rsidRPr="000838F8">
        <w:rPr>
          <w:sz w:val="20"/>
          <w:szCs w:val="20"/>
        </w:rPr>
        <w:instrText xml:space="preserve"> SEQ Tabulka \* ARABIC </w:instrText>
      </w:r>
      <w:r w:rsidRPr="000838F8">
        <w:rPr>
          <w:sz w:val="20"/>
          <w:szCs w:val="20"/>
        </w:rPr>
        <w:fldChar w:fldCharType="separate"/>
      </w:r>
      <w:r w:rsidR="00E21036">
        <w:rPr>
          <w:noProof/>
          <w:sz w:val="20"/>
          <w:szCs w:val="20"/>
        </w:rPr>
        <w:t>4</w:t>
      </w:r>
      <w:r w:rsidRPr="000838F8">
        <w:rPr>
          <w:sz w:val="20"/>
          <w:szCs w:val="20"/>
        </w:rPr>
        <w:fldChar w:fldCharType="end"/>
      </w:r>
      <w:r w:rsidRPr="000838F8">
        <w:rPr>
          <w:sz w:val="20"/>
          <w:szCs w:val="20"/>
        </w:rPr>
        <w:t xml:space="preserve"> - Měsíční minimální mzdy pro vybrané země za období 2012</w:t>
      </w:r>
      <w:r w:rsidR="0057377B">
        <w:rPr>
          <w:sz w:val="20"/>
          <w:szCs w:val="20"/>
        </w:rPr>
        <w:t>-</w:t>
      </w:r>
      <w:r w:rsidRPr="000838F8">
        <w:rPr>
          <w:sz w:val="20"/>
          <w:szCs w:val="20"/>
        </w:rPr>
        <w:t>2019</w:t>
      </w:r>
      <w:bookmarkEnd w:id="37"/>
    </w:p>
    <w:tbl>
      <w:tblPr>
        <w:tblStyle w:val="Svtlmkatabulky"/>
        <w:tblW w:w="9067"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blBorders>
        <w:shd w:val="clear" w:color="auto" w:fill="D9E2F3" w:themeFill="accent1" w:themeFillTint="33"/>
        <w:tblLook w:val="04A0" w:firstRow="1" w:lastRow="0" w:firstColumn="1" w:lastColumn="0" w:noHBand="0" w:noVBand="1"/>
      </w:tblPr>
      <w:tblGrid>
        <w:gridCol w:w="1130"/>
        <w:gridCol w:w="759"/>
        <w:gridCol w:w="869"/>
        <w:gridCol w:w="899"/>
        <w:gridCol w:w="899"/>
        <w:gridCol w:w="899"/>
        <w:gridCol w:w="899"/>
        <w:gridCol w:w="899"/>
        <w:gridCol w:w="899"/>
        <w:gridCol w:w="915"/>
      </w:tblGrid>
      <w:tr w:rsidR="000838F8" w:rsidRPr="00794948" w14:paraId="52F057A0" w14:textId="77777777" w:rsidTr="00464D59">
        <w:trPr>
          <w:trHeight w:val="256"/>
          <w:jc w:val="center"/>
        </w:trPr>
        <w:tc>
          <w:tcPr>
            <w:tcW w:w="9067"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155427" w14:textId="77777777" w:rsidR="00464D59" w:rsidRPr="00794948" w:rsidRDefault="00464D59" w:rsidP="00FA4284">
            <w:pPr>
              <w:jc w:val="center"/>
              <w:rPr>
                <w:b/>
                <w:bCs/>
                <w:color w:val="000000"/>
                <w:sz w:val="20"/>
                <w:szCs w:val="20"/>
              </w:rPr>
            </w:pPr>
          </w:p>
          <w:p w14:paraId="3A7C4F95" w14:textId="10FA2976" w:rsidR="000838F8" w:rsidRPr="00794948" w:rsidRDefault="000838F8" w:rsidP="00FA4284">
            <w:pPr>
              <w:jc w:val="center"/>
              <w:rPr>
                <w:b/>
                <w:bCs/>
                <w:color w:val="000000"/>
              </w:rPr>
            </w:pPr>
            <w:r w:rsidRPr="00794948">
              <w:rPr>
                <w:b/>
                <w:bCs/>
                <w:color w:val="000000"/>
              </w:rPr>
              <w:t xml:space="preserve">MĚSÍČNÍ MINIMÁLNÍ MZDA VE VYBRANÝCH ZEMÍCH EU </w:t>
            </w:r>
          </w:p>
          <w:p w14:paraId="5FE64445" w14:textId="77777777" w:rsidR="000838F8" w:rsidRPr="00794948" w:rsidRDefault="000838F8" w:rsidP="00FA4284">
            <w:pPr>
              <w:jc w:val="center"/>
              <w:rPr>
                <w:color w:val="000000"/>
              </w:rPr>
            </w:pPr>
            <w:r w:rsidRPr="00794948">
              <w:rPr>
                <w:color w:val="000000"/>
              </w:rPr>
              <w:t>(v národních měnách a v eurech)</w:t>
            </w:r>
          </w:p>
          <w:p w14:paraId="4E05E35D" w14:textId="154A5687" w:rsidR="00464D59" w:rsidRPr="00794948" w:rsidRDefault="00464D59" w:rsidP="00FA4284">
            <w:pPr>
              <w:jc w:val="center"/>
              <w:rPr>
                <w:color w:val="000000"/>
                <w:sz w:val="20"/>
                <w:szCs w:val="20"/>
              </w:rPr>
            </w:pPr>
          </w:p>
        </w:tc>
      </w:tr>
      <w:tr w:rsidR="000838F8" w:rsidRPr="00794948" w14:paraId="5FBFACF9" w14:textId="77777777" w:rsidTr="00464D59">
        <w:trPr>
          <w:trHeight w:val="256"/>
          <w:jc w:val="center"/>
        </w:trPr>
        <w:tc>
          <w:tcPr>
            <w:tcW w:w="1130" w:type="dxa"/>
            <w:vMerge w:val="restart"/>
            <w:tcBorders>
              <w:top w:val="single" w:sz="4" w:space="0" w:color="auto"/>
              <w:left w:val="single" w:sz="4" w:space="0" w:color="auto"/>
              <w:bottom w:val="single" w:sz="4" w:space="0" w:color="BFBFBF" w:themeColor="background1" w:themeShade="BF"/>
            </w:tcBorders>
            <w:shd w:val="clear" w:color="auto" w:fill="D9E2F3" w:themeFill="accent1" w:themeFillTint="33"/>
            <w:noWrap/>
            <w:vAlign w:val="center"/>
            <w:hideMark/>
          </w:tcPr>
          <w:p w14:paraId="695E8417" w14:textId="77777777" w:rsidR="000838F8" w:rsidRPr="00794948" w:rsidRDefault="000838F8" w:rsidP="000838F8">
            <w:pPr>
              <w:jc w:val="center"/>
              <w:rPr>
                <w:b/>
                <w:bCs/>
                <w:color w:val="000000"/>
                <w:sz w:val="20"/>
                <w:szCs w:val="20"/>
              </w:rPr>
            </w:pPr>
            <w:r w:rsidRPr="00794948">
              <w:rPr>
                <w:b/>
                <w:bCs/>
                <w:color w:val="000000"/>
                <w:sz w:val="20"/>
                <w:szCs w:val="20"/>
              </w:rPr>
              <w:t>Země</w:t>
            </w:r>
          </w:p>
        </w:tc>
        <w:tc>
          <w:tcPr>
            <w:tcW w:w="759" w:type="dxa"/>
            <w:vMerge w:val="restart"/>
            <w:tcBorders>
              <w:top w:val="single" w:sz="4" w:space="0" w:color="auto"/>
              <w:bottom w:val="single" w:sz="4" w:space="0" w:color="BFBFBF" w:themeColor="background1" w:themeShade="BF"/>
            </w:tcBorders>
            <w:shd w:val="clear" w:color="auto" w:fill="D9E2F3" w:themeFill="accent1" w:themeFillTint="33"/>
            <w:vAlign w:val="center"/>
          </w:tcPr>
          <w:p w14:paraId="718199AF" w14:textId="01E599FD" w:rsidR="000838F8" w:rsidRPr="00794948" w:rsidRDefault="000838F8" w:rsidP="000838F8">
            <w:pPr>
              <w:jc w:val="center"/>
              <w:rPr>
                <w:b/>
                <w:bCs/>
                <w:color w:val="000000"/>
                <w:sz w:val="20"/>
                <w:szCs w:val="20"/>
              </w:rPr>
            </w:pPr>
            <w:r w:rsidRPr="00794948">
              <w:rPr>
                <w:b/>
                <w:bCs/>
                <w:color w:val="000000"/>
                <w:sz w:val="20"/>
                <w:szCs w:val="20"/>
              </w:rPr>
              <w:t>Měna</w:t>
            </w:r>
          </w:p>
        </w:tc>
        <w:tc>
          <w:tcPr>
            <w:tcW w:w="7178" w:type="dxa"/>
            <w:gridSpan w:val="8"/>
            <w:tcBorders>
              <w:top w:val="single" w:sz="4" w:space="0" w:color="auto"/>
              <w:bottom w:val="single" w:sz="4" w:space="0" w:color="BFBFBF" w:themeColor="background1" w:themeShade="BF"/>
              <w:right w:val="single" w:sz="4" w:space="0" w:color="auto"/>
            </w:tcBorders>
            <w:shd w:val="clear" w:color="auto" w:fill="D9E2F3" w:themeFill="accent1" w:themeFillTint="33"/>
            <w:noWrap/>
            <w:hideMark/>
          </w:tcPr>
          <w:p w14:paraId="69FE66EE" w14:textId="2E5AEEA2" w:rsidR="000838F8" w:rsidRPr="00794948" w:rsidRDefault="000838F8" w:rsidP="000838F8">
            <w:pPr>
              <w:jc w:val="center"/>
              <w:rPr>
                <w:b/>
                <w:bCs/>
                <w:color w:val="000000"/>
                <w:sz w:val="20"/>
                <w:szCs w:val="20"/>
              </w:rPr>
            </w:pPr>
            <w:r w:rsidRPr="00794948">
              <w:rPr>
                <w:b/>
                <w:bCs/>
                <w:color w:val="000000"/>
                <w:sz w:val="20"/>
                <w:szCs w:val="20"/>
              </w:rPr>
              <w:t>Rok</w:t>
            </w:r>
          </w:p>
        </w:tc>
      </w:tr>
      <w:tr w:rsidR="000838F8" w:rsidRPr="00794948" w14:paraId="6635299A" w14:textId="77777777" w:rsidTr="00464D59">
        <w:trPr>
          <w:trHeight w:val="272"/>
          <w:jc w:val="center"/>
        </w:trPr>
        <w:tc>
          <w:tcPr>
            <w:tcW w:w="1130" w:type="dxa"/>
            <w:vMerge/>
            <w:tcBorders>
              <w:top w:val="single" w:sz="4" w:space="0" w:color="BFBFBF" w:themeColor="background1" w:themeShade="BF"/>
              <w:left w:val="single" w:sz="4" w:space="0" w:color="auto"/>
              <w:bottom w:val="single" w:sz="4" w:space="0" w:color="auto"/>
            </w:tcBorders>
            <w:shd w:val="clear" w:color="auto" w:fill="D9E2F3" w:themeFill="accent1" w:themeFillTint="33"/>
            <w:hideMark/>
          </w:tcPr>
          <w:p w14:paraId="575BB79A" w14:textId="77777777" w:rsidR="000838F8" w:rsidRPr="00794948" w:rsidRDefault="000838F8" w:rsidP="000838F8">
            <w:pPr>
              <w:rPr>
                <w:b/>
                <w:bCs/>
                <w:color w:val="000000"/>
                <w:sz w:val="20"/>
                <w:szCs w:val="20"/>
              </w:rPr>
            </w:pPr>
          </w:p>
        </w:tc>
        <w:tc>
          <w:tcPr>
            <w:tcW w:w="759" w:type="dxa"/>
            <w:vMerge/>
            <w:tcBorders>
              <w:top w:val="single" w:sz="4" w:space="0" w:color="BFBFBF" w:themeColor="background1" w:themeShade="BF"/>
              <w:bottom w:val="single" w:sz="4" w:space="0" w:color="auto"/>
            </w:tcBorders>
            <w:shd w:val="clear" w:color="auto" w:fill="D9E2F3" w:themeFill="accent1" w:themeFillTint="33"/>
          </w:tcPr>
          <w:p w14:paraId="3EE416A0" w14:textId="77777777" w:rsidR="000838F8" w:rsidRPr="00794948" w:rsidRDefault="000838F8" w:rsidP="000838F8">
            <w:pPr>
              <w:jc w:val="center"/>
              <w:rPr>
                <w:b/>
                <w:bCs/>
                <w:color w:val="000000"/>
                <w:sz w:val="20"/>
                <w:szCs w:val="20"/>
              </w:rPr>
            </w:pPr>
          </w:p>
        </w:tc>
        <w:tc>
          <w:tcPr>
            <w:tcW w:w="869" w:type="dxa"/>
            <w:tcBorders>
              <w:top w:val="single" w:sz="4" w:space="0" w:color="BFBFBF" w:themeColor="background1" w:themeShade="BF"/>
              <w:bottom w:val="single" w:sz="4" w:space="0" w:color="auto"/>
            </w:tcBorders>
            <w:shd w:val="clear" w:color="auto" w:fill="D9E2F3" w:themeFill="accent1" w:themeFillTint="33"/>
            <w:noWrap/>
            <w:hideMark/>
          </w:tcPr>
          <w:p w14:paraId="749F8567" w14:textId="13F1D0CD" w:rsidR="000838F8" w:rsidRPr="00794948" w:rsidRDefault="000838F8" w:rsidP="000838F8">
            <w:pPr>
              <w:jc w:val="center"/>
              <w:rPr>
                <w:b/>
                <w:bCs/>
                <w:color w:val="000000"/>
                <w:sz w:val="20"/>
                <w:szCs w:val="20"/>
              </w:rPr>
            </w:pPr>
            <w:r w:rsidRPr="00794948">
              <w:rPr>
                <w:b/>
                <w:bCs/>
                <w:color w:val="000000"/>
                <w:sz w:val="20"/>
                <w:szCs w:val="20"/>
              </w:rPr>
              <w:t>2012</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26CDC74A" w14:textId="77777777" w:rsidR="000838F8" w:rsidRPr="00794948" w:rsidRDefault="000838F8" w:rsidP="000838F8">
            <w:pPr>
              <w:jc w:val="center"/>
              <w:rPr>
                <w:b/>
                <w:bCs/>
                <w:color w:val="000000"/>
                <w:sz w:val="20"/>
                <w:szCs w:val="20"/>
              </w:rPr>
            </w:pPr>
            <w:r w:rsidRPr="00794948">
              <w:rPr>
                <w:b/>
                <w:bCs/>
                <w:color w:val="000000"/>
                <w:sz w:val="20"/>
                <w:szCs w:val="20"/>
              </w:rPr>
              <w:t>2013</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3F6339ED" w14:textId="77777777" w:rsidR="000838F8" w:rsidRPr="00794948" w:rsidRDefault="000838F8" w:rsidP="000838F8">
            <w:pPr>
              <w:jc w:val="center"/>
              <w:rPr>
                <w:b/>
                <w:bCs/>
                <w:color w:val="000000"/>
                <w:sz w:val="20"/>
                <w:szCs w:val="20"/>
              </w:rPr>
            </w:pPr>
            <w:r w:rsidRPr="00794948">
              <w:rPr>
                <w:b/>
                <w:bCs/>
                <w:color w:val="000000"/>
                <w:sz w:val="20"/>
                <w:szCs w:val="20"/>
              </w:rPr>
              <w:t>2014</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5CB1FCFB" w14:textId="77777777" w:rsidR="000838F8" w:rsidRPr="00794948" w:rsidRDefault="000838F8" w:rsidP="000838F8">
            <w:pPr>
              <w:jc w:val="center"/>
              <w:rPr>
                <w:b/>
                <w:bCs/>
                <w:color w:val="000000"/>
                <w:sz w:val="20"/>
                <w:szCs w:val="20"/>
              </w:rPr>
            </w:pPr>
            <w:r w:rsidRPr="00794948">
              <w:rPr>
                <w:b/>
                <w:bCs/>
                <w:color w:val="000000"/>
                <w:sz w:val="20"/>
                <w:szCs w:val="20"/>
              </w:rPr>
              <w:t>2015</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334318C1" w14:textId="77777777" w:rsidR="000838F8" w:rsidRPr="00794948" w:rsidRDefault="000838F8" w:rsidP="000838F8">
            <w:pPr>
              <w:jc w:val="center"/>
              <w:rPr>
                <w:b/>
                <w:bCs/>
                <w:color w:val="000000"/>
                <w:sz w:val="20"/>
                <w:szCs w:val="20"/>
              </w:rPr>
            </w:pPr>
            <w:r w:rsidRPr="00794948">
              <w:rPr>
                <w:b/>
                <w:bCs/>
                <w:color w:val="000000"/>
                <w:sz w:val="20"/>
                <w:szCs w:val="20"/>
              </w:rPr>
              <w:t>2016</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30196959" w14:textId="77777777" w:rsidR="000838F8" w:rsidRPr="00794948" w:rsidRDefault="000838F8" w:rsidP="000838F8">
            <w:pPr>
              <w:jc w:val="center"/>
              <w:rPr>
                <w:b/>
                <w:bCs/>
                <w:color w:val="000000"/>
                <w:sz w:val="20"/>
                <w:szCs w:val="20"/>
              </w:rPr>
            </w:pPr>
            <w:r w:rsidRPr="00794948">
              <w:rPr>
                <w:b/>
                <w:bCs/>
                <w:color w:val="000000"/>
                <w:sz w:val="20"/>
                <w:szCs w:val="20"/>
              </w:rPr>
              <w:t>2017</w:t>
            </w:r>
          </w:p>
        </w:tc>
        <w:tc>
          <w:tcPr>
            <w:tcW w:w="899" w:type="dxa"/>
            <w:tcBorders>
              <w:top w:val="single" w:sz="4" w:space="0" w:color="BFBFBF" w:themeColor="background1" w:themeShade="BF"/>
              <w:bottom w:val="single" w:sz="4" w:space="0" w:color="auto"/>
            </w:tcBorders>
            <w:shd w:val="clear" w:color="auto" w:fill="D9E2F3" w:themeFill="accent1" w:themeFillTint="33"/>
            <w:noWrap/>
            <w:hideMark/>
          </w:tcPr>
          <w:p w14:paraId="59EB4EE0" w14:textId="77777777" w:rsidR="000838F8" w:rsidRPr="00794948" w:rsidRDefault="000838F8" w:rsidP="000838F8">
            <w:pPr>
              <w:jc w:val="center"/>
              <w:rPr>
                <w:b/>
                <w:bCs/>
                <w:color w:val="000000"/>
                <w:sz w:val="20"/>
                <w:szCs w:val="20"/>
              </w:rPr>
            </w:pPr>
            <w:r w:rsidRPr="00794948">
              <w:rPr>
                <w:b/>
                <w:bCs/>
                <w:color w:val="000000"/>
                <w:sz w:val="20"/>
                <w:szCs w:val="20"/>
              </w:rPr>
              <w:t>2018</w:t>
            </w:r>
          </w:p>
        </w:tc>
        <w:tc>
          <w:tcPr>
            <w:tcW w:w="915" w:type="dxa"/>
            <w:tcBorders>
              <w:top w:val="single" w:sz="4" w:space="0" w:color="BFBFBF" w:themeColor="background1" w:themeShade="BF"/>
              <w:bottom w:val="single" w:sz="4" w:space="0" w:color="auto"/>
              <w:right w:val="single" w:sz="4" w:space="0" w:color="auto"/>
            </w:tcBorders>
            <w:shd w:val="clear" w:color="auto" w:fill="D9E2F3" w:themeFill="accent1" w:themeFillTint="33"/>
            <w:noWrap/>
            <w:vAlign w:val="center"/>
            <w:hideMark/>
          </w:tcPr>
          <w:p w14:paraId="333DD585" w14:textId="77777777" w:rsidR="000838F8" w:rsidRPr="00794948" w:rsidRDefault="000838F8" w:rsidP="000E7863">
            <w:pPr>
              <w:jc w:val="center"/>
              <w:rPr>
                <w:b/>
                <w:bCs/>
                <w:color w:val="000000"/>
                <w:sz w:val="20"/>
                <w:szCs w:val="20"/>
              </w:rPr>
            </w:pPr>
            <w:r w:rsidRPr="00794948">
              <w:rPr>
                <w:b/>
                <w:bCs/>
                <w:color w:val="000000"/>
                <w:sz w:val="20"/>
                <w:szCs w:val="20"/>
              </w:rPr>
              <w:t>2019</w:t>
            </w:r>
          </w:p>
        </w:tc>
      </w:tr>
      <w:tr w:rsidR="000838F8" w:rsidRPr="00794948" w14:paraId="0E030E10" w14:textId="77777777" w:rsidTr="00464D59">
        <w:trPr>
          <w:trHeight w:val="256"/>
          <w:jc w:val="center"/>
        </w:trPr>
        <w:tc>
          <w:tcPr>
            <w:tcW w:w="1130" w:type="dxa"/>
            <w:vMerge w:val="restart"/>
            <w:tcBorders>
              <w:top w:val="single" w:sz="4" w:space="0" w:color="auto"/>
              <w:left w:val="single" w:sz="4" w:space="0" w:color="auto"/>
            </w:tcBorders>
            <w:shd w:val="clear" w:color="auto" w:fill="D9E2F3" w:themeFill="accent1" w:themeFillTint="33"/>
            <w:noWrap/>
            <w:vAlign w:val="center"/>
            <w:hideMark/>
          </w:tcPr>
          <w:p w14:paraId="2089F46E" w14:textId="77777777" w:rsidR="000838F8" w:rsidRPr="00794948" w:rsidRDefault="000838F8" w:rsidP="000838F8">
            <w:pPr>
              <w:jc w:val="center"/>
              <w:rPr>
                <w:b/>
                <w:bCs/>
                <w:color w:val="000000"/>
                <w:sz w:val="20"/>
                <w:szCs w:val="20"/>
              </w:rPr>
            </w:pPr>
            <w:r w:rsidRPr="00794948">
              <w:rPr>
                <w:b/>
                <w:bCs/>
                <w:color w:val="000000"/>
                <w:sz w:val="20"/>
                <w:szCs w:val="20"/>
              </w:rPr>
              <w:t>Česká republika</w:t>
            </w:r>
          </w:p>
        </w:tc>
        <w:tc>
          <w:tcPr>
            <w:tcW w:w="759" w:type="dxa"/>
            <w:tcBorders>
              <w:top w:val="single" w:sz="4" w:space="0" w:color="auto"/>
            </w:tcBorders>
            <w:shd w:val="clear" w:color="auto" w:fill="D9E2F3" w:themeFill="accent1" w:themeFillTint="33"/>
            <w:vAlign w:val="center"/>
          </w:tcPr>
          <w:p w14:paraId="1B1006BF" w14:textId="7060495D" w:rsidR="000838F8" w:rsidRPr="00794948" w:rsidRDefault="0067040D" w:rsidP="0067040D">
            <w:pPr>
              <w:jc w:val="center"/>
              <w:rPr>
                <w:sz w:val="20"/>
                <w:szCs w:val="20"/>
              </w:rPr>
            </w:pPr>
            <w:r w:rsidRPr="00794948">
              <w:rPr>
                <w:sz w:val="20"/>
                <w:szCs w:val="20"/>
              </w:rPr>
              <w:t>CZK</w:t>
            </w:r>
          </w:p>
        </w:tc>
        <w:tc>
          <w:tcPr>
            <w:tcW w:w="869" w:type="dxa"/>
            <w:tcBorders>
              <w:top w:val="single" w:sz="4" w:space="0" w:color="auto"/>
            </w:tcBorders>
            <w:shd w:val="clear" w:color="auto" w:fill="D9E2F3" w:themeFill="accent1" w:themeFillTint="33"/>
            <w:noWrap/>
            <w:vAlign w:val="center"/>
            <w:hideMark/>
          </w:tcPr>
          <w:p w14:paraId="6772E09F" w14:textId="4F44BCE9" w:rsidR="000838F8" w:rsidRPr="00794948" w:rsidRDefault="000838F8" w:rsidP="00464D59">
            <w:pPr>
              <w:jc w:val="right"/>
              <w:rPr>
                <w:color w:val="000000"/>
                <w:sz w:val="20"/>
                <w:szCs w:val="20"/>
              </w:rPr>
            </w:pPr>
            <w:r w:rsidRPr="00794948">
              <w:rPr>
                <w:sz w:val="20"/>
                <w:szCs w:val="20"/>
              </w:rPr>
              <w:t>8 000</w:t>
            </w:r>
          </w:p>
        </w:tc>
        <w:tc>
          <w:tcPr>
            <w:tcW w:w="899" w:type="dxa"/>
            <w:tcBorders>
              <w:top w:val="single" w:sz="4" w:space="0" w:color="auto"/>
            </w:tcBorders>
            <w:shd w:val="clear" w:color="auto" w:fill="D9E2F3" w:themeFill="accent1" w:themeFillTint="33"/>
            <w:noWrap/>
            <w:vAlign w:val="center"/>
            <w:hideMark/>
          </w:tcPr>
          <w:p w14:paraId="3D202A99" w14:textId="77777777" w:rsidR="000838F8" w:rsidRPr="00794948" w:rsidRDefault="000838F8" w:rsidP="00464D59">
            <w:pPr>
              <w:jc w:val="right"/>
              <w:rPr>
                <w:color w:val="000000"/>
                <w:sz w:val="20"/>
                <w:szCs w:val="20"/>
              </w:rPr>
            </w:pPr>
            <w:r w:rsidRPr="00794948">
              <w:rPr>
                <w:sz w:val="20"/>
                <w:szCs w:val="20"/>
              </w:rPr>
              <w:t>8 500</w:t>
            </w:r>
          </w:p>
        </w:tc>
        <w:tc>
          <w:tcPr>
            <w:tcW w:w="899" w:type="dxa"/>
            <w:tcBorders>
              <w:top w:val="single" w:sz="4" w:space="0" w:color="auto"/>
            </w:tcBorders>
            <w:shd w:val="clear" w:color="auto" w:fill="D9E2F3" w:themeFill="accent1" w:themeFillTint="33"/>
            <w:noWrap/>
            <w:vAlign w:val="center"/>
            <w:hideMark/>
          </w:tcPr>
          <w:p w14:paraId="160F0C92" w14:textId="77777777" w:rsidR="000838F8" w:rsidRPr="00794948" w:rsidRDefault="000838F8" w:rsidP="00464D59">
            <w:pPr>
              <w:jc w:val="right"/>
              <w:rPr>
                <w:color w:val="000000"/>
                <w:sz w:val="20"/>
                <w:szCs w:val="20"/>
              </w:rPr>
            </w:pPr>
            <w:r w:rsidRPr="00794948">
              <w:rPr>
                <w:sz w:val="20"/>
                <w:szCs w:val="20"/>
              </w:rPr>
              <w:t>8 500</w:t>
            </w:r>
          </w:p>
        </w:tc>
        <w:tc>
          <w:tcPr>
            <w:tcW w:w="899" w:type="dxa"/>
            <w:tcBorders>
              <w:top w:val="single" w:sz="4" w:space="0" w:color="auto"/>
            </w:tcBorders>
            <w:shd w:val="clear" w:color="auto" w:fill="D9E2F3" w:themeFill="accent1" w:themeFillTint="33"/>
            <w:noWrap/>
            <w:vAlign w:val="center"/>
            <w:hideMark/>
          </w:tcPr>
          <w:p w14:paraId="5A620079" w14:textId="77777777" w:rsidR="000838F8" w:rsidRPr="00794948" w:rsidRDefault="000838F8" w:rsidP="00464D59">
            <w:pPr>
              <w:jc w:val="right"/>
              <w:rPr>
                <w:color w:val="000000"/>
                <w:sz w:val="20"/>
                <w:szCs w:val="20"/>
              </w:rPr>
            </w:pPr>
            <w:r w:rsidRPr="00794948">
              <w:rPr>
                <w:sz w:val="20"/>
                <w:szCs w:val="20"/>
              </w:rPr>
              <w:t>9 200</w:t>
            </w:r>
          </w:p>
        </w:tc>
        <w:tc>
          <w:tcPr>
            <w:tcW w:w="899" w:type="dxa"/>
            <w:tcBorders>
              <w:top w:val="single" w:sz="4" w:space="0" w:color="auto"/>
            </w:tcBorders>
            <w:shd w:val="clear" w:color="auto" w:fill="D9E2F3" w:themeFill="accent1" w:themeFillTint="33"/>
            <w:noWrap/>
            <w:vAlign w:val="center"/>
            <w:hideMark/>
          </w:tcPr>
          <w:p w14:paraId="7CB90E13" w14:textId="77777777" w:rsidR="000838F8" w:rsidRPr="00794948" w:rsidRDefault="000838F8" w:rsidP="00464D59">
            <w:pPr>
              <w:jc w:val="right"/>
              <w:rPr>
                <w:color w:val="000000"/>
                <w:sz w:val="20"/>
                <w:szCs w:val="20"/>
              </w:rPr>
            </w:pPr>
            <w:r w:rsidRPr="00794948">
              <w:rPr>
                <w:sz w:val="20"/>
                <w:szCs w:val="20"/>
              </w:rPr>
              <w:t>9 900</w:t>
            </w:r>
          </w:p>
        </w:tc>
        <w:tc>
          <w:tcPr>
            <w:tcW w:w="899" w:type="dxa"/>
            <w:tcBorders>
              <w:top w:val="single" w:sz="4" w:space="0" w:color="auto"/>
            </w:tcBorders>
            <w:shd w:val="clear" w:color="auto" w:fill="D9E2F3" w:themeFill="accent1" w:themeFillTint="33"/>
            <w:noWrap/>
            <w:vAlign w:val="center"/>
            <w:hideMark/>
          </w:tcPr>
          <w:p w14:paraId="625DF339" w14:textId="77777777" w:rsidR="000838F8" w:rsidRPr="00794948" w:rsidRDefault="000838F8" w:rsidP="00464D59">
            <w:pPr>
              <w:jc w:val="right"/>
              <w:rPr>
                <w:color w:val="000000"/>
                <w:sz w:val="20"/>
                <w:szCs w:val="20"/>
              </w:rPr>
            </w:pPr>
            <w:r w:rsidRPr="00794948">
              <w:rPr>
                <w:sz w:val="20"/>
                <w:szCs w:val="20"/>
              </w:rPr>
              <w:t>11 000</w:t>
            </w:r>
          </w:p>
        </w:tc>
        <w:tc>
          <w:tcPr>
            <w:tcW w:w="899" w:type="dxa"/>
            <w:tcBorders>
              <w:top w:val="single" w:sz="4" w:space="0" w:color="auto"/>
            </w:tcBorders>
            <w:shd w:val="clear" w:color="auto" w:fill="D9E2F3" w:themeFill="accent1" w:themeFillTint="33"/>
            <w:noWrap/>
            <w:vAlign w:val="center"/>
            <w:hideMark/>
          </w:tcPr>
          <w:p w14:paraId="4948C984" w14:textId="77777777" w:rsidR="000838F8" w:rsidRPr="00794948" w:rsidRDefault="000838F8" w:rsidP="00464D59">
            <w:pPr>
              <w:jc w:val="right"/>
              <w:rPr>
                <w:color w:val="000000"/>
                <w:sz w:val="20"/>
                <w:szCs w:val="20"/>
              </w:rPr>
            </w:pPr>
            <w:r w:rsidRPr="00794948">
              <w:rPr>
                <w:sz w:val="20"/>
                <w:szCs w:val="20"/>
              </w:rPr>
              <w:t>12 200</w:t>
            </w:r>
          </w:p>
        </w:tc>
        <w:tc>
          <w:tcPr>
            <w:tcW w:w="915" w:type="dxa"/>
            <w:tcBorders>
              <w:top w:val="single" w:sz="4" w:space="0" w:color="auto"/>
              <w:right w:val="single" w:sz="4" w:space="0" w:color="auto"/>
            </w:tcBorders>
            <w:shd w:val="clear" w:color="auto" w:fill="D9E2F3" w:themeFill="accent1" w:themeFillTint="33"/>
            <w:noWrap/>
            <w:vAlign w:val="center"/>
            <w:hideMark/>
          </w:tcPr>
          <w:p w14:paraId="0867B7CE" w14:textId="6C985F66" w:rsidR="000838F8" w:rsidRPr="00794948" w:rsidRDefault="00597266" w:rsidP="00464D59">
            <w:pPr>
              <w:jc w:val="right"/>
              <w:rPr>
                <w:color w:val="000000"/>
                <w:sz w:val="20"/>
                <w:szCs w:val="20"/>
              </w:rPr>
            </w:pPr>
            <w:r w:rsidRPr="00794948">
              <w:rPr>
                <w:color w:val="000000"/>
                <w:sz w:val="20"/>
                <w:szCs w:val="20"/>
              </w:rPr>
              <w:t>13 350</w:t>
            </w:r>
          </w:p>
        </w:tc>
      </w:tr>
      <w:tr w:rsidR="000838F8" w:rsidRPr="00794948" w14:paraId="7D94FE7D" w14:textId="77777777" w:rsidTr="00464D59">
        <w:trPr>
          <w:trHeight w:val="256"/>
          <w:jc w:val="center"/>
        </w:trPr>
        <w:tc>
          <w:tcPr>
            <w:tcW w:w="1130" w:type="dxa"/>
            <w:vMerge/>
            <w:tcBorders>
              <w:left w:val="single" w:sz="4" w:space="0" w:color="auto"/>
              <w:bottom w:val="single" w:sz="4" w:space="0" w:color="auto"/>
            </w:tcBorders>
            <w:shd w:val="clear" w:color="auto" w:fill="D9E2F3" w:themeFill="accent1" w:themeFillTint="33"/>
            <w:vAlign w:val="center"/>
            <w:hideMark/>
          </w:tcPr>
          <w:p w14:paraId="263F4671" w14:textId="77777777" w:rsidR="000838F8" w:rsidRPr="00794948" w:rsidRDefault="000838F8" w:rsidP="000838F8">
            <w:pPr>
              <w:jc w:val="center"/>
              <w:rPr>
                <w:b/>
                <w:bCs/>
                <w:color w:val="000000"/>
                <w:sz w:val="20"/>
                <w:szCs w:val="20"/>
              </w:rPr>
            </w:pPr>
          </w:p>
        </w:tc>
        <w:tc>
          <w:tcPr>
            <w:tcW w:w="759" w:type="dxa"/>
            <w:tcBorders>
              <w:bottom w:val="single" w:sz="4" w:space="0" w:color="auto"/>
            </w:tcBorders>
            <w:shd w:val="clear" w:color="auto" w:fill="E2E9F6"/>
            <w:vAlign w:val="center"/>
          </w:tcPr>
          <w:p w14:paraId="2A5F4473" w14:textId="51B45A1A" w:rsidR="000838F8" w:rsidRPr="00794948" w:rsidRDefault="0067040D" w:rsidP="0067040D">
            <w:pPr>
              <w:jc w:val="center"/>
              <w:rPr>
                <w:sz w:val="20"/>
                <w:szCs w:val="20"/>
              </w:rPr>
            </w:pPr>
            <w:r w:rsidRPr="00794948">
              <w:rPr>
                <w:sz w:val="20"/>
                <w:szCs w:val="20"/>
              </w:rPr>
              <w:t>EUR</w:t>
            </w:r>
          </w:p>
        </w:tc>
        <w:tc>
          <w:tcPr>
            <w:tcW w:w="869" w:type="dxa"/>
            <w:tcBorders>
              <w:bottom w:val="single" w:sz="4" w:space="0" w:color="auto"/>
            </w:tcBorders>
            <w:shd w:val="clear" w:color="auto" w:fill="E2E9F6"/>
            <w:noWrap/>
            <w:vAlign w:val="center"/>
            <w:hideMark/>
          </w:tcPr>
          <w:p w14:paraId="647E3397" w14:textId="50DF8788" w:rsidR="000838F8" w:rsidRPr="00794948" w:rsidRDefault="000838F8" w:rsidP="00464D59">
            <w:pPr>
              <w:jc w:val="right"/>
              <w:rPr>
                <w:color w:val="000000"/>
                <w:sz w:val="20"/>
                <w:szCs w:val="20"/>
              </w:rPr>
            </w:pPr>
            <w:r w:rsidRPr="00794948">
              <w:rPr>
                <w:sz w:val="20"/>
                <w:szCs w:val="20"/>
              </w:rPr>
              <w:t>319</w:t>
            </w:r>
          </w:p>
        </w:tc>
        <w:tc>
          <w:tcPr>
            <w:tcW w:w="899" w:type="dxa"/>
            <w:tcBorders>
              <w:bottom w:val="single" w:sz="4" w:space="0" w:color="auto"/>
            </w:tcBorders>
            <w:shd w:val="clear" w:color="auto" w:fill="E2E9F6"/>
            <w:noWrap/>
            <w:vAlign w:val="center"/>
            <w:hideMark/>
          </w:tcPr>
          <w:p w14:paraId="588E2030" w14:textId="77777777" w:rsidR="000838F8" w:rsidRPr="00794948" w:rsidRDefault="000838F8" w:rsidP="00464D59">
            <w:pPr>
              <w:jc w:val="right"/>
              <w:rPr>
                <w:color w:val="000000"/>
                <w:sz w:val="20"/>
                <w:szCs w:val="20"/>
              </w:rPr>
            </w:pPr>
            <w:r w:rsidRPr="00794948">
              <w:rPr>
                <w:sz w:val="20"/>
                <w:szCs w:val="20"/>
              </w:rPr>
              <w:t>311</w:t>
            </w:r>
          </w:p>
        </w:tc>
        <w:tc>
          <w:tcPr>
            <w:tcW w:w="899" w:type="dxa"/>
            <w:tcBorders>
              <w:bottom w:val="single" w:sz="4" w:space="0" w:color="auto"/>
            </w:tcBorders>
            <w:shd w:val="clear" w:color="auto" w:fill="E2E9F6"/>
            <w:noWrap/>
            <w:vAlign w:val="center"/>
            <w:hideMark/>
          </w:tcPr>
          <w:p w14:paraId="5F75C6B3" w14:textId="77777777" w:rsidR="000838F8" w:rsidRPr="00794948" w:rsidRDefault="000838F8" w:rsidP="00464D59">
            <w:pPr>
              <w:jc w:val="right"/>
              <w:rPr>
                <w:color w:val="000000"/>
                <w:sz w:val="20"/>
                <w:szCs w:val="20"/>
              </w:rPr>
            </w:pPr>
            <w:r w:rsidRPr="00794948">
              <w:rPr>
                <w:sz w:val="20"/>
                <w:szCs w:val="20"/>
              </w:rPr>
              <w:t>307</w:t>
            </w:r>
          </w:p>
        </w:tc>
        <w:tc>
          <w:tcPr>
            <w:tcW w:w="899" w:type="dxa"/>
            <w:tcBorders>
              <w:bottom w:val="single" w:sz="4" w:space="0" w:color="auto"/>
            </w:tcBorders>
            <w:shd w:val="clear" w:color="auto" w:fill="E2E9F6"/>
            <w:noWrap/>
            <w:vAlign w:val="center"/>
            <w:hideMark/>
          </w:tcPr>
          <w:p w14:paraId="4454A522" w14:textId="77777777" w:rsidR="000838F8" w:rsidRPr="00794948" w:rsidRDefault="000838F8" w:rsidP="00464D59">
            <w:pPr>
              <w:jc w:val="right"/>
              <w:rPr>
                <w:color w:val="000000"/>
                <w:sz w:val="20"/>
                <w:szCs w:val="20"/>
              </w:rPr>
            </w:pPr>
            <w:r w:rsidRPr="00794948">
              <w:rPr>
                <w:sz w:val="20"/>
                <w:szCs w:val="20"/>
              </w:rPr>
              <w:t>340</w:t>
            </w:r>
          </w:p>
        </w:tc>
        <w:tc>
          <w:tcPr>
            <w:tcW w:w="899" w:type="dxa"/>
            <w:tcBorders>
              <w:bottom w:val="single" w:sz="4" w:space="0" w:color="auto"/>
            </w:tcBorders>
            <w:shd w:val="clear" w:color="auto" w:fill="E2E9F6"/>
            <w:noWrap/>
            <w:vAlign w:val="center"/>
            <w:hideMark/>
          </w:tcPr>
          <w:p w14:paraId="7E4FD699" w14:textId="77777777" w:rsidR="000838F8" w:rsidRPr="00794948" w:rsidRDefault="000838F8" w:rsidP="00464D59">
            <w:pPr>
              <w:jc w:val="right"/>
              <w:rPr>
                <w:color w:val="000000"/>
                <w:sz w:val="20"/>
                <w:szCs w:val="20"/>
              </w:rPr>
            </w:pPr>
            <w:r w:rsidRPr="00794948">
              <w:rPr>
                <w:sz w:val="20"/>
                <w:szCs w:val="20"/>
              </w:rPr>
              <w:t>367</w:t>
            </w:r>
          </w:p>
        </w:tc>
        <w:tc>
          <w:tcPr>
            <w:tcW w:w="899" w:type="dxa"/>
            <w:tcBorders>
              <w:bottom w:val="single" w:sz="4" w:space="0" w:color="auto"/>
            </w:tcBorders>
            <w:shd w:val="clear" w:color="auto" w:fill="E2E9F6"/>
            <w:noWrap/>
            <w:vAlign w:val="center"/>
            <w:hideMark/>
          </w:tcPr>
          <w:p w14:paraId="57E8B633" w14:textId="77777777" w:rsidR="000838F8" w:rsidRPr="00794948" w:rsidRDefault="000838F8" w:rsidP="00464D59">
            <w:pPr>
              <w:jc w:val="right"/>
              <w:rPr>
                <w:color w:val="000000"/>
                <w:sz w:val="20"/>
                <w:szCs w:val="20"/>
              </w:rPr>
            </w:pPr>
            <w:r w:rsidRPr="00794948">
              <w:rPr>
                <w:sz w:val="20"/>
                <w:szCs w:val="20"/>
              </w:rPr>
              <w:t>431</w:t>
            </w:r>
          </w:p>
        </w:tc>
        <w:tc>
          <w:tcPr>
            <w:tcW w:w="899" w:type="dxa"/>
            <w:tcBorders>
              <w:bottom w:val="single" w:sz="4" w:space="0" w:color="auto"/>
            </w:tcBorders>
            <w:shd w:val="clear" w:color="auto" w:fill="E2E9F6"/>
            <w:noWrap/>
            <w:vAlign w:val="center"/>
            <w:hideMark/>
          </w:tcPr>
          <w:p w14:paraId="15A29DDE" w14:textId="77777777" w:rsidR="000838F8" w:rsidRPr="00794948" w:rsidRDefault="000838F8" w:rsidP="00464D59">
            <w:pPr>
              <w:jc w:val="right"/>
              <w:rPr>
                <w:color w:val="000000"/>
                <w:sz w:val="20"/>
                <w:szCs w:val="20"/>
              </w:rPr>
            </w:pPr>
            <w:r w:rsidRPr="00794948">
              <w:rPr>
                <w:sz w:val="20"/>
                <w:szCs w:val="20"/>
              </w:rPr>
              <w:t>474</w:t>
            </w:r>
          </w:p>
        </w:tc>
        <w:tc>
          <w:tcPr>
            <w:tcW w:w="915" w:type="dxa"/>
            <w:tcBorders>
              <w:bottom w:val="single" w:sz="4" w:space="0" w:color="auto"/>
              <w:right w:val="single" w:sz="4" w:space="0" w:color="auto"/>
            </w:tcBorders>
            <w:shd w:val="clear" w:color="auto" w:fill="E2E9F6"/>
            <w:noWrap/>
            <w:vAlign w:val="center"/>
            <w:hideMark/>
          </w:tcPr>
          <w:p w14:paraId="1A8F113D" w14:textId="2C90B555" w:rsidR="000838F8" w:rsidRPr="00794948" w:rsidRDefault="00597266" w:rsidP="00464D59">
            <w:pPr>
              <w:jc w:val="right"/>
              <w:rPr>
                <w:color w:val="000000"/>
                <w:sz w:val="20"/>
                <w:szCs w:val="20"/>
              </w:rPr>
            </w:pPr>
            <w:r w:rsidRPr="00794948">
              <w:rPr>
                <w:color w:val="000000"/>
                <w:sz w:val="20"/>
                <w:szCs w:val="20"/>
              </w:rPr>
              <w:t>525</w:t>
            </w:r>
          </w:p>
        </w:tc>
      </w:tr>
      <w:tr w:rsidR="000838F8" w:rsidRPr="00794948" w14:paraId="097E6831" w14:textId="77777777" w:rsidTr="00464D59">
        <w:trPr>
          <w:trHeight w:val="256"/>
          <w:jc w:val="center"/>
        </w:trPr>
        <w:tc>
          <w:tcPr>
            <w:tcW w:w="1130" w:type="dxa"/>
            <w:vMerge w:val="restart"/>
            <w:tcBorders>
              <w:top w:val="single" w:sz="4" w:space="0" w:color="auto"/>
              <w:left w:val="single" w:sz="4" w:space="0" w:color="auto"/>
              <w:bottom w:val="single" w:sz="4" w:space="0" w:color="BFBFBF" w:themeColor="background1" w:themeShade="BF"/>
            </w:tcBorders>
            <w:shd w:val="clear" w:color="auto" w:fill="D9E2F3" w:themeFill="accent1" w:themeFillTint="33"/>
            <w:noWrap/>
            <w:vAlign w:val="center"/>
            <w:hideMark/>
          </w:tcPr>
          <w:p w14:paraId="57F3FD7E" w14:textId="77777777" w:rsidR="000838F8" w:rsidRPr="00794948" w:rsidRDefault="000838F8" w:rsidP="000838F8">
            <w:pPr>
              <w:jc w:val="center"/>
              <w:rPr>
                <w:b/>
                <w:bCs/>
                <w:color w:val="000000"/>
                <w:sz w:val="20"/>
                <w:szCs w:val="20"/>
              </w:rPr>
            </w:pPr>
            <w:r w:rsidRPr="00794948">
              <w:rPr>
                <w:b/>
                <w:bCs/>
                <w:color w:val="000000"/>
                <w:sz w:val="20"/>
                <w:szCs w:val="20"/>
              </w:rPr>
              <w:t>Maďarsko</w:t>
            </w:r>
          </w:p>
        </w:tc>
        <w:tc>
          <w:tcPr>
            <w:tcW w:w="759" w:type="dxa"/>
            <w:tcBorders>
              <w:top w:val="single" w:sz="4" w:space="0" w:color="auto"/>
              <w:bottom w:val="single" w:sz="4" w:space="0" w:color="BFBFBF" w:themeColor="background1" w:themeShade="BF"/>
            </w:tcBorders>
            <w:shd w:val="clear" w:color="auto" w:fill="D9E2F3" w:themeFill="accent1" w:themeFillTint="33"/>
            <w:vAlign w:val="center"/>
          </w:tcPr>
          <w:p w14:paraId="3EE649F7" w14:textId="31717224" w:rsidR="000838F8" w:rsidRPr="00794948" w:rsidRDefault="0067040D" w:rsidP="0067040D">
            <w:pPr>
              <w:jc w:val="center"/>
              <w:rPr>
                <w:sz w:val="20"/>
                <w:szCs w:val="20"/>
              </w:rPr>
            </w:pPr>
            <w:r w:rsidRPr="00794948">
              <w:rPr>
                <w:sz w:val="20"/>
                <w:szCs w:val="20"/>
              </w:rPr>
              <w:t>HUF</w:t>
            </w:r>
          </w:p>
        </w:tc>
        <w:tc>
          <w:tcPr>
            <w:tcW w:w="86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46509CD2" w14:textId="63BD23A9" w:rsidR="000838F8" w:rsidRPr="00794948" w:rsidRDefault="00A00D30" w:rsidP="00464D59">
            <w:pPr>
              <w:jc w:val="right"/>
              <w:rPr>
                <w:color w:val="000000"/>
                <w:sz w:val="20"/>
                <w:szCs w:val="20"/>
              </w:rPr>
            </w:pPr>
            <w:r w:rsidRPr="00794948">
              <w:rPr>
                <w:sz w:val="20"/>
                <w:szCs w:val="20"/>
              </w:rPr>
              <w:t>93 000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1D9CFA29" w14:textId="2964AD8F" w:rsidR="000838F8" w:rsidRPr="00794948" w:rsidRDefault="000838F8" w:rsidP="00464D59">
            <w:pPr>
              <w:jc w:val="right"/>
              <w:rPr>
                <w:color w:val="000000"/>
                <w:sz w:val="20"/>
                <w:szCs w:val="20"/>
              </w:rPr>
            </w:pPr>
            <w:r w:rsidRPr="00794948">
              <w:rPr>
                <w:sz w:val="20"/>
                <w:szCs w:val="20"/>
              </w:rPr>
              <w:t>9</w:t>
            </w:r>
            <w:r w:rsidR="00A00D30" w:rsidRPr="00794948">
              <w:rPr>
                <w:sz w:val="20"/>
                <w:szCs w:val="20"/>
              </w:rPr>
              <w:t>8 000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2A35B084" w14:textId="77777777" w:rsidR="000838F8" w:rsidRPr="00794948" w:rsidRDefault="000838F8" w:rsidP="00464D59">
            <w:pPr>
              <w:jc w:val="right"/>
              <w:rPr>
                <w:color w:val="000000"/>
                <w:sz w:val="20"/>
                <w:szCs w:val="20"/>
              </w:rPr>
            </w:pPr>
            <w:r w:rsidRPr="00794948">
              <w:rPr>
                <w:sz w:val="20"/>
                <w:szCs w:val="20"/>
              </w:rPr>
              <w:t>101 500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68C18594" w14:textId="77777777" w:rsidR="000838F8" w:rsidRPr="00794948" w:rsidRDefault="000838F8" w:rsidP="00464D59">
            <w:pPr>
              <w:jc w:val="right"/>
              <w:rPr>
                <w:color w:val="000000"/>
                <w:sz w:val="20"/>
                <w:szCs w:val="20"/>
              </w:rPr>
            </w:pPr>
            <w:r w:rsidRPr="00794948">
              <w:rPr>
                <w:sz w:val="20"/>
                <w:szCs w:val="20"/>
              </w:rPr>
              <w:t>105 000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632E5F7F" w14:textId="77777777" w:rsidR="000838F8" w:rsidRPr="00794948" w:rsidRDefault="000838F8" w:rsidP="00464D59">
            <w:pPr>
              <w:jc w:val="right"/>
              <w:rPr>
                <w:color w:val="000000"/>
                <w:sz w:val="20"/>
                <w:szCs w:val="20"/>
              </w:rPr>
            </w:pPr>
            <w:r w:rsidRPr="00794948">
              <w:rPr>
                <w:sz w:val="20"/>
                <w:szCs w:val="20"/>
              </w:rPr>
              <w:t>111 000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05127816" w14:textId="0977F544" w:rsidR="000838F8" w:rsidRPr="00794948" w:rsidRDefault="000838F8" w:rsidP="00464D59">
            <w:pPr>
              <w:jc w:val="right"/>
              <w:rPr>
                <w:color w:val="000000"/>
                <w:sz w:val="20"/>
                <w:szCs w:val="20"/>
              </w:rPr>
            </w:pPr>
            <w:r w:rsidRPr="00794948">
              <w:rPr>
                <w:sz w:val="20"/>
                <w:szCs w:val="20"/>
              </w:rPr>
              <w:t xml:space="preserve">127 </w:t>
            </w:r>
            <w:r w:rsidR="00A00D30" w:rsidRPr="00794948">
              <w:rPr>
                <w:sz w:val="20"/>
                <w:szCs w:val="20"/>
              </w:rPr>
              <w:t>500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30959B84" w14:textId="77777777" w:rsidR="000838F8" w:rsidRPr="00794948" w:rsidRDefault="000838F8" w:rsidP="00464D59">
            <w:pPr>
              <w:jc w:val="right"/>
              <w:rPr>
                <w:color w:val="000000"/>
                <w:sz w:val="20"/>
                <w:szCs w:val="20"/>
              </w:rPr>
            </w:pPr>
            <w:r w:rsidRPr="00794948">
              <w:rPr>
                <w:sz w:val="20"/>
                <w:szCs w:val="20"/>
              </w:rPr>
              <w:t>138 000</w:t>
            </w:r>
          </w:p>
        </w:tc>
        <w:tc>
          <w:tcPr>
            <w:tcW w:w="915" w:type="dxa"/>
            <w:tcBorders>
              <w:top w:val="single" w:sz="4" w:space="0" w:color="auto"/>
              <w:bottom w:val="single" w:sz="4" w:space="0" w:color="BFBFBF" w:themeColor="background1" w:themeShade="BF"/>
              <w:right w:val="single" w:sz="4" w:space="0" w:color="auto"/>
            </w:tcBorders>
            <w:shd w:val="clear" w:color="auto" w:fill="D9E2F3" w:themeFill="accent1" w:themeFillTint="33"/>
            <w:noWrap/>
            <w:vAlign w:val="center"/>
            <w:hideMark/>
          </w:tcPr>
          <w:p w14:paraId="767BE147" w14:textId="468944D6" w:rsidR="000838F8" w:rsidRPr="00794948" w:rsidRDefault="00A00D30" w:rsidP="00464D59">
            <w:pPr>
              <w:jc w:val="right"/>
              <w:rPr>
                <w:color w:val="000000"/>
                <w:sz w:val="20"/>
                <w:szCs w:val="20"/>
              </w:rPr>
            </w:pPr>
            <w:r w:rsidRPr="00794948">
              <w:rPr>
                <w:color w:val="000000"/>
                <w:sz w:val="20"/>
                <w:szCs w:val="20"/>
              </w:rPr>
              <w:t>149 000</w:t>
            </w:r>
          </w:p>
        </w:tc>
      </w:tr>
      <w:tr w:rsidR="0067040D" w:rsidRPr="00794948" w14:paraId="6F104D7D" w14:textId="77777777" w:rsidTr="00464D59">
        <w:trPr>
          <w:trHeight w:val="256"/>
          <w:jc w:val="center"/>
        </w:trPr>
        <w:tc>
          <w:tcPr>
            <w:tcW w:w="1130" w:type="dxa"/>
            <w:vMerge/>
            <w:tcBorders>
              <w:top w:val="single" w:sz="4" w:space="0" w:color="BFBFBF" w:themeColor="background1" w:themeShade="BF"/>
              <w:left w:val="single" w:sz="4" w:space="0" w:color="auto"/>
              <w:bottom w:val="single" w:sz="4" w:space="0" w:color="auto"/>
            </w:tcBorders>
            <w:shd w:val="clear" w:color="auto" w:fill="D9E2F3" w:themeFill="accent1" w:themeFillTint="33"/>
            <w:vAlign w:val="center"/>
            <w:hideMark/>
          </w:tcPr>
          <w:p w14:paraId="516FDBF8" w14:textId="77777777" w:rsidR="0067040D" w:rsidRPr="00794948" w:rsidRDefault="0067040D" w:rsidP="0067040D">
            <w:pPr>
              <w:jc w:val="center"/>
              <w:rPr>
                <w:b/>
                <w:bCs/>
                <w:color w:val="000000"/>
                <w:sz w:val="20"/>
                <w:szCs w:val="20"/>
              </w:rPr>
            </w:pPr>
          </w:p>
        </w:tc>
        <w:tc>
          <w:tcPr>
            <w:tcW w:w="759" w:type="dxa"/>
            <w:tcBorders>
              <w:top w:val="single" w:sz="4" w:space="0" w:color="BFBFBF" w:themeColor="background1" w:themeShade="BF"/>
              <w:bottom w:val="single" w:sz="4" w:space="0" w:color="auto"/>
            </w:tcBorders>
            <w:shd w:val="clear" w:color="auto" w:fill="E2E9F6"/>
            <w:vAlign w:val="center"/>
          </w:tcPr>
          <w:p w14:paraId="3DABD047" w14:textId="23143807" w:rsidR="0067040D" w:rsidRPr="00794948" w:rsidRDefault="0067040D" w:rsidP="0067040D">
            <w:pPr>
              <w:jc w:val="center"/>
              <w:rPr>
                <w:sz w:val="20"/>
                <w:szCs w:val="20"/>
              </w:rPr>
            </w:pPr>
            <w:r w:rsidRPr="00794948">
              <w:rPr>
                <w:sz w:val="20"/>
                <w:szCs w:val="20"/>
              </w:rPr>
              <w:t>EUR</w:t>
            </w:r>
          </w:p>
        </w:tc>
        <w:tc>
          <w:tcPr>
            <w:tcW w:w="869" w:type="dxa"/>
            <w:tcBorders>
              <w:top w:val="single" w:sz="4" w:space="0" w:color="BFBFBF" w:themeColor="background1" w:themeShade="BF"/>
              <w:bottom w:val="single" w:sz="4" w:space="0" w:color="auto"/>
            </w:tcBorders>
            <w:shd w:val="clear" w:color="auto" w:fill="E2E9F6"/>
            <w:noWrap/>
            <w:vAlign w:val="center"/>
            <w:hideMark/>
          </w:tcPr>
          <w:p w14:paraId="4B568D76" w14:textId="0E04332B" w:rsidR="0067040D" w:rsidRPr="00794948" w:rsidRDefault="00A00D30" w:rsidP="00464D59">
            <w:pPr>
              <w:jc w:val="right"/>
              <w:rPr>
                <w:color w:val="000000"/>
                <w:sz w:val="20"/>
                <w:szCs w:val="20"/>
              </w:rPr>
            </w:pPr>
            <w:r w:rsidRPr="00794948">
              <w:rPr>
                <w:sz w:val="20"/>
                <w:szCs w:val="20"/>
              </w:rPr>
              <w:t>313</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527DD5F0" w14:textId="1145430E" w:rsidR="0067040D" w:rsidRPr="00794948" w:rsidRDefault="0067040D" w:rsidP="00464D59">
            <w:pPr>
              <w:jc w:val="right"/>
              <w:rPr>
                <w:color w:val="000000"/>
                <w:sz w:val="20"/>
                <w:szCs w:val="20"/>
              </w:rPr>
            </w:pPr>
            <w:r w:rsidRPr="00794948">
              <w:rPr>
                <w:sz w:val="20"/>
                <w:szCs w:val="20"/>
              </w:rPr>
              <w:t>33</w:t>
            </w:r>
            <w:r w:rsidR="00A00D30" w:rsidRPr="00794948">
              <w:rPr>
                <w:sz w:val="20"/>
                <w:szCs w:val="20"/>
              </w:rPr>
              <w:t>0</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40852B82" w14:textId="05D654BE" w:rsidR="0067040D" w:rsidRPr="00794948" w:rsidRDefault="0067040D" w:rsidP="00464D59">
            <w:pPr>
              <w:jc w:val="right"/>
              <w:rPr>
                <w:color w:val="000000"/>
                <w:sz w:val="20"/>
                <w:szCs w:val="20"/>
              </w:rPr>
            </w:pPr>
            <w:r w:rsidRPr="00794948">
              <w:rPr>
                <w:sz w:val="20"/>
                <w:szCs w:val="20"/>
              </w:rPr>
              <w:t>3</w:t>
            </w:r>
            <w:r w:rsidR="00A00D30" w:rsidRPr="00794948">
              <w:rPr>
                <w:sz w:val="20"/>
                <w:szCs w:val="20"/>
              </w:rPr>
              <w:t>23</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4FE2F377" w14:textId="42AE3149" w:rsidR="0067040D" w:rsidRPr="00794948" w:rsidRDefault="0067040D" w:rsidP="00464D59">
            <w:pPr>
              <w:jc w:val="right"/>
              <w:rPr>
                <w:color w:val="000000"/>
                <w:sz w:val="20"/>
                <w:szCs w:val="20"/>
              </w:rPr>
            </w:pPr>
            <w:r w:rsidRPr="00794948">
              <w:rPr>
                <w:sz w:val="20"/>
                <w:szCs w:val="20"/>
              </w:rPr>
              <w:t>33</w:t>
            </w:r>
            <w:r w:rsidR="00A00D30" w:rsidRPr="00794948">
              <w:rPr>
                <w:sz w:val="20"/>
                <w:szCs w:val="20"/>
              </w:rPr>
              <w:t>2</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50A302E2" w14:textId="14D1A041" w:rsidR="0067040D" w:rsidRPr="00794948" w:rsidRDefault="0067040D" w:rsidP="00464D59">
            <w:pPr>
              <w:jc w:val="right"/>
              <w:rPr>
                <w:color w:val="000000"/>
                <w:sz w:val="20"/>
                <w:szCs w:val="20"/>
              </w:rPr>
            </w:pPr>
            <w:r w:rsidRPr="00794948">
              <w:rPr>
                <w:sz w:val="20"/>
                <w:szCs w:val="20"/>
              </w:rPr>
              <w:t>35</w:t>
            </w:r>
            <w:r w:rsidR="00A00D30" w:rsidRPr="00794948">
              <w:rPr>
                <w:sz w:val="20"/>
                <w:szCs w:val="20"/>
              </w:rPr>
              <w:t>8</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18B26C19" w14:textId="3EBA340A" w:rsidR="0067040D" w:rsidRPr="00794948" w:rsidRDefault="0067040D" w:rsidP="00464D59">
            <w:pPr>
              <w:jc w:val="right"/>
              <w:rPr>
                <w:color w:val="000000"/>
                <w:sz w:val="20"/>
                <w:szCs w:val="20"/>
              </w:rPr>
            </w:pPr>
            <w:r w:rsidRPr="00794948">
              <w:rPr>
                <w:sz w:val="20"/>
                <w:szCs w:val="20"/>
              </w:rPr>
              <w:t>41</w:t>
            </w:r>
            <w:r w:rsidR="00A00D30" w:rsidRPr="00794948">
              <w:rPr>
                <w:sz w:val="20"/>
                <w:szCs w:val="20"/>
              </w:rPr>
              <w:t>1</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0FE9C650" w14:textId="5386CD95" w:rsidR="0067040D" w:rsidRPr="00794948" w:rsidRDefault="0067040D" w:rsidP="00464D59">
            <w:pPr>
              <w:jc w:val="right"/>
              <w:rPr>
                <w:color w:val="000000"/>
                <w:sz w:val="20"/>
                <w:szCs w:val="20"/>
              </w:rPr>
            </w:pPr>
            <w:r w:rsidRPr="00794948">
              <w:rPr>
                <w:sz w:val="20"/>
                <w:szCs w:val="20"/>
              </w:rPr>
              <w:t>4</w:t>
            </w:r>
            <w:r w:rsidR="00A00D30" w:rsidRPr="00794948">
              <w:rPr>
                <w:sz w:val="20"/>
                <w:szCs w:val="20"/>
              </w:rPr>
              <w:t>30</w:t>
            </w:r>
          </w:p>
        </w:tc>
        <w:tc>
          <w:tcPr>
            <w:tcW w:w="915" w:type="dxa"/>
            <w:tcBorders>
              <w:top w:val="single" w:sz="4" w:space="0" w:color="BFBFBF" w:themeColor="background1" w:themeShade="BF"/>
              <w:bottom w:val="single" w:sz="4" w:space="0" w:color="auto"/>
              <w:right w:val="single" w:sz="4" w:space="0" w:color="auto"/>
            </w:tcBorders>
            <w:shd w:val="clear" w:color="auto" w:fill="E2E9F6"/>
            <w:noWrap/>
            <w:vAlign w:val="center"/>
            <w:hideMark/>
          </w:tcPr>
          <w:p w14:paraId="1669ACA1" w14:textId="1B22A01C" w:rsidR="0067040D" w:rsidRPr="00794948" w:rsidRDefault="00A00D30" w:rsidP="00464D59">
            <w:pPr>
              <w:jc w:val="right"/>
              <w:rPr>
                <w:color w:val="000000"/>
                <w:sz w:val="20"/>
                <w:szCs w:val="20"/>
              </w:rPr>
            </w:pPr>
            <w:r w:rsidRPr="00794948">
              <w:rPr>
                <w:color w:val="000000"/>
                <w:sz w:val="20"/>
                <w:szCs w:val="20"/>
              </w:rPr>
              <w:t>451</w:t>
            </w:r>
          </w:p>
        </w:tc>
      </w:tr>
      <w:tr w:rsidR="0067040D" w:rsidRPr="00794948" w14:paraId="6CD0580E" w14:textId="77777777" w:rsidTr="00464D59">
        <w:trPr>
          <w:trHeight w:val="520"/>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5F79ACAB" w14:textId="77777777" w:rsidR="0067040D" w:rsidRPr="00794948" w:rsidRDefault="0067040D" w:rsidP="0067040D">
            <w:pPr>
              <w:jc w:val="center"/>
              <w:rPr>
                <w:b/>
                <w:bCs/>
                <w:color w:val="000000"/>
                <w:sz w:val="20"/>
                <w:szCs w:val="20"/>
              </w:rPr>
            </w:pPr>
            <w:r w:rsidRPr="00794948">
              <w:rPr>
                <w:b/>
                <w:bCs/>
                <w:color w:val="000000"/>
                <w:sz w:val="20"/>
                <w:szCs w:val="20"/>
              </w:rPr>
              <w:t>Německo</w:t>
            </w:r>
          </w:p>
        </w:tc>
        <w:tc>
          <w:tcPr>
            <w:tcW w:w="759" w:type="dxa"/>
            <w:tcBorders>
              <w:top w:val="single" w:sz="4" w:space="0" w:color="auto"/>
              <w:bottom w:val="single" w:sz="4" w:space="0" w:color="auto"/>
            </w:tcBorders>
            <w:shd w:val="clear" w:color="auto" w:fill="D9E2F3" w:themeFill="accent1" w:themeFillTint="33"/>
            <w:vAlign w:val="center"/>
          </w:tcPr>
          <w:p w14:paraId="60FD10B0" w14:textId="3E2B16CB" w:rsidR="0067040D" w:rsidRPr="00794948" w:rsidRDefault="0067040D" w:rsidP="0067040D">
            <w:pPr>
              <w:jc w:val="center"/>
              <w:rPr>
                <w:sz w:val="20"/>
                <w:szCs w:val="20"/>
              </w:rPr>
            </w:pPr>
            <w:r w:rsidRPr="00794948">
              <w:rPr>
                <w:sz w:val="20"/>
                <w:szCs w:val="20"/>
              </w:rPr>
              <w:t>EUR</w:t>
            </w:r>
          </w:p>
        </w:tc>
        <w:tc>
          <w:tcPr>
            <w:tcW w:w="869" w:type="dxa"/>
            <w:tcBorders>
              <w:top w:val="single" w:sz="4" w:space="0" w:color="auto"/>
              <w:bottom w:val="single" w:sz="4" w:space="0" w:color="auto"/>
            </w:tcBorders>
            <w:shd w:val="clear" w:color="auto" w:fill="D9E2F3" w:themeFill="accent1" w:themeFillTint="33"/>
            <w:noWrap/>
            <w:vAlign w:val="center"/>
            <w:hideMark/>
          </w:tcPr>
          <w:p w14:paraId="59E20A7D" w14:textId="0361FB94"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4FB94C9A"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12BC9F11"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692F10F6" w14:textId="77777777" w:rsidR="0067040D" w:rsidRPr="00794948" w:rsidRDefault="0067040D" w:rsidP="00464D59">
            <w:pPr>
              <w:jc w:val="right"/>
              <w:rPr>
                <w:color w:val="000000"/>
                <w:sz w:val="20"/>
                <w:szCs w:val="20"/>
              </w:rPr>
            </w:pPr>
            <w:r w:rsidRPr="00794948">
              <w:rPr>
                <w:sz w:val="20"/>
                <w:szCs w:val="20"/>
              </w:rPr>
              <w:t>1 440</w:t>
            </w:r>
          </w:p>
        </w:tc>
        <w:tc>
          <w:tcPr>
            <w:tcW w:w="899" w:type="dxa"/>
            <w:tcBorders>
              <w:top w:val="single" w:sz="4" w:space="0" w:color="auto"/>
              <w:bottom w:val="single" w:sz="4" w:space="0" w:color="auto"/>
            </w:tcBorders>
            <w:shd w:val="clear" w:color="auto" w:fill="D9E2F3" w:themeFill="accent1" w:themeFillTint="33"/>
            <w:noWrap/>
            <w:vAlign w:val="center"/>
            <w:hideMark/>
          </w:tcPr>
          <w:p w14:paraId="4DAA99A3" w14:textId="77777777" w:rsidR="0067040D" w:rsidRPr="00794948" w:rsidRDefault="0067040D" w:rsidP="00464D59">
            <w:pPr>
              <w:jc w:val="right"/>
              <w:rPr>
                <w:color w:val="000000"/>
                <w:sz w:val="20"/>
                <w:szCs w:val="20"/>
              </w:rPr>
            </w:pPr>
            <w:r w:rsidRPr="00794948">
              <w:rPr>
                <w:sz w:val="20"/>
                <w:szCs w:val="20"/>
              </w:rPr>
              <w:t>1 440</w:t>
            </w:r>
          </w:p>
        </w:tc>
        <w:tc>
          <w:tcPr>
            <w:tcW w:w="899" w:type="dxa"/>
            <w:tcBorders>
              <w:top w:val="single" w:sz="4" w:space="0" w:color="auto"/>
              <w:bottom w:val="single" w:sz="4" w:space="0" w:color="auto"/>
            </w:tcBorders>
            <w:shd w:val="clear" w:color="auto" w:fill="D9E2F3" w:themeFill="accent1" w:themeFillTint="33"/>
            <w:noWrap/>
            <w:vAlign w:val="center"/>
            <w:hideMark/>
          </w:tcPr>
          <w:p w14:paraId="24D4EE1D" w14:textId="77777777" w:rsidR="0067040D" w:rsidRPr="00794948" w:rsidRDefault="0067040D" w:rsidP="00464D59">
            <w:pPr>
              <w:jc w:val="right"/>
              <w:rPr>
                <w:color w:val="000000"/>
                <w:sz w:val="20"/>
                <w:szCs w:val="20"/>
              </w:rPr>
            </w:pPr>
            <w:r w:rsidRPr="00794948">
              <w:rPr>
                <w:sz w:val="20"/>
                <w:szCs w:val="20"/>
              </w:rPr>
              <w:t>1 498</w:t>
            </w:r>
          </w:p>
        </w:tc>
        <w:tc>
          <w:tcPr>
            <w:tcW w:w="899" w:type="dxa"/>
            <w:tcBorders>
              <w:top w:val="single" w:sz="4" w:space="0" w:color="auto"/>
              <w:bottom w:val="single" w:sz="4" w:space="0" w:color="auto"/>
            </w:tcBorders>
            <w:shd w:val="clear" w:color="auto" w:fill="D9E2F3" w:themeFill="accent1" w:themeFillTint="33"/>
            <w:noWrap/>
            <w:vAlign w:val="center"/>
            <w:hideMark/>
          </w:tcPr>
          <w:p w14:paraId="17BF9798" w14:textId="77777777" w:rsidR="0067040D" w:rsidRPr="00794948" w:rsidRDefault="0067040D" w:rsidP="00464D59">
            <w:pPr>
              <w:jc w:val="right"/>
              <w:rPr>
                <w:color w:val="000000"/>
                <w:sz w:val="20"/>
                <w:szCs w:val="20"/>
              </w:rPr>
            </w:pPr>
            <w:r w:rsidRPr="00794948">
              <w:rPr>
                <w:sz w:val="20"/>
                <w:szCs w:val="20"/>
              </w:rPr>
              <w:t>1 498</w:t>
            </w:r>
          </w:p>
        </w:tc>
        <w:tc>
          <w:tcPr>
            <w:tcW w:w="915" w:type="dxa"/>
            <w:tcBorders>
              <w:top w:val="single" w:sz="4" w:space="0" w:color="auto"/>
              <w:bottom w:val="single" w:sz="4" w:space="0" w:color="auto"/>
              <w:right w:val="single" w:sz="4" w:space="0" w:color="auto"/>
            </w:tcBorders>
            <w:shd w:val="clear" w:color="auto" w:fill="D9E2F3" w:themeFill="accent1" w:themeFillTint="33"/>
            <w:noWrap/>
            <w:vAlign w:val="center"/>
            <w:hideMark/>
          </w:tcPr>
          <w:p w14:paraId="7CA1F8BD" w14:textId="30ECBF19" w:rsidR="0067040D" w:rsidRPr="00794948" w:rsidRDefault="00597266" w:rsidP="00464D59">
            <w:pPr>
              <w:jc w:val="right"/>
              <w:rPr>
                <w:color w:val="000000"/>
                <w:sz w:val="20"/>
                <w:szCs w:val="20"/>
              </w:rPr>
            </w:pPr>
            <w:r w:rsidRPr="00794948">
              <w:rPr>
                <w:color w:val="000000"/>
                <w:sz w:val="20"/>
                <w:szCs w:val="20"/>
              </w:rPr>
              <w:t>1 557</w:t>
            </w:r>
          </w:p>
        </w:tc>
      </w:tr>
      <w:tr w:rsidR="000838F8" w:rsidRPr="00794948" w14:paraId="3331CAA5" w14:textId="77777777" w:rsidTr="00464D59">
        <w:trPr>
          <w:trHeight w:val="256"/>
          <w:jc w:val="center"/>
        </w:trPr>
        <w:tc>
          <w:tcPr>
            <w:tcW w:w="1130" w:type="dxa"/>
            <w:vMerge w:val="restart"/>
            <w:tcBorders>
              <w:top w:val="single" w:sz="4" w:space="0" w:color="auto"/>
              <w:left w:val="single" w:sz="4" w:space="0" w:color="auto"/>
              <w:bottom w:val="single" w:sz="4" w:space="0" w:color="BFBFBF" w:themeColor="background1" w:themeShade="BF"/>
            </w:tcBorders>
            <w:shd w:val="clear" w:color="auto" w:fill="D9E2F3" w:themeFill="accent1" w:themeFillTint="33"/>
            <w:noWrap/>
            <w:vAlign w:val="center"/>
            <w:hideMark/>
          </w:tcPr>
          <w:p w14:paraId="0FCEF26C" w14:textId="77777777" w:rsidR="000838F8" w:rsidRPr="00794948" w:rsidRDefault="000838F8" w:rsidP="000838F8">
            <w:pPr>
              <w:jc w:val="center"/>
              <w:rPr>
                <w:b/>
                <w:bCs/>
                <w:color w:val="000000"/>
                <w:sz w:val="20"/>
                <w:szCs w:val="20"/>
              </w:rPr>
            </w:pPr>
            <w:r w:rsidRPr="00794948">
              <w:rPr>
                <w:b/>
                <w:bCs/>
                <w:color w:val="000000"/>
                <w:sz w:val="20"/>
                <w:szCs w:val="20"/>
              </w:rPr>
              <w:t>Polsko</w:t>
            </w:r>
          </w:p>
        </w:tc>
        <w:tc>
          <w:tcPr>
            <w:tcW w:w="759" w:type="dxa"/>
            <w:tcBorders>
              <w:top w:val="single" w:sz="4" w:space="0" w:color="auto"/>
              <w:bottom w:val="single" w:sz="4" w:space="0" w:color="BFBFBF" w:themeColor="background1" w:themeShade="BF"/>
            </w:tcBorders>
            <w:shd w:val="clear" w:color="auto" w:fill="D9E2F3" w:themeFill="accent1" w:themeFillTint="33"/>
            <w:vAlign w:val="center"/>
          </w:tcPr>
          <w:p w14:paraId="3B6C8EE6" w14:textId="7C73AF6B" w:rsidR="000838F8" w:rsidRPr="00794948" w:rsidRDefault="0067040D" w:rsidP="0067040D">
            <w:pPr>
              <w:jc w:val="center"/>
              <w:rPr>
                <w:sz w:val="20"/>
                <w:szCs w:val="20"/>
              </w:rPr>
            </w:pPr>
            <w:r w:rsidRPr="00794948">
              <w:rPr>
                <w:sz w:val="20"/>
                <w:szCs w:val="20"/>
              </w:rPr>
              <w:t>PLN</w:t>
            </w:r>
          </w:p>
        </w:tc>
        <w:tc>
          <w:tcPr>
            <w:tcW w:w="86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1136CAEA" w14:textId="67762B6B" w:rsidR="000838F8" w:rsidRPr="00794948" w:rsidRDefault="000838F8" w:rsidP="00464D59">
            <w:pPr>
              <w:jc w:val="right"/>
              <w:rPr>
                <w:color w:val="000000"/>
                <w:sz w:val="20"/>
                <w:szCs w:val="20"/>
              </w:rPr>
            </w:pPr>
            <w:r w:rsidRPr="00794948">
              <w:rPr>
                <w:sz w:val="20"/>
                <w:szCs w:val="20"/>
              </w:rPr>
              <w:t xml:space="preserve">1 500 </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7E1336E4" w14:textId="77777777" w:rsidR="000838F8" w:rsidRPr="00794948" w:rsidRDefault="000838F8" w:rsidP="00464D59">
            <w:pPr>
              <w:jc w:val="right"/>
              <w:rPr>
                <w:color w:val="000000"/>
                <w:sz w:val="20"/>
                <w:szCs w:val="20"/>
              </w:rPr>
            </w:pPr>
            <w:r w:rsidRPr="00794948">
              <w:rPr>
                <w:sz w:val="20"/>
                <w:szCs w:val="20"/>
              </w:rPr>
              <w:t>1 600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422DB866" w14:textId="77777777" w:rsidR="000838F8" w:rsidRPr="00794948" w:rsidRDefault="000838F8" w:rsidP="00464D59">
            <w:pPr>
              <w:jc w:val="right"/>
              <w:rPr>
                <w:color w:val="000000"/>
                <w:sz w:val="20"/>
                <w:szCs w:val="20"/>
              </w:rPr>
            </w:pPr>
            <w:r w:rsidRPr="00794948">
              <w:rPr>
                <w:sz w:val="20"/>
                <w:szCs w:val="20"/>
              </w:rPr>
              <w:t>1 680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6F07E65C" w14:textId="77777777" w:rsidR="000838F8" w:rsidRPr="00794948" w:rsidRDefault="000838F8" w:rsidP="00464D59">
            <w:pPr>
              <w:jc w:val="right"/>
              <w:rPr>
                <w:color w:val="000000"/>
                <w:sz w:val="20"/>
                <w:szCs w:val="20"/>
              </w:rPr>
            </w:pPr>
            <w:r w:rsidRPr="00794948">
              <w:rPr>
                <w:sz w:val="20"/>
                <w:szCs w:val="20"/>
              </w:rPr>
              <w:t>1 750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1D1D584D" w14:textId="77777777" w:rsidR="000838F8" w:rsidRPr="00794948" w:rsidRDefault="000838F8" w:rsidP="00464D59">
            <w:pPr>
              <w:jc w:val="right"/>
              <w:rPr>
                <w:color w:val="000000"/>
                <w:sz w:val="20"/>
                <w:szCs w:val="20"/>
              </w:rPr>
            </w:pPr>
            <w:r w:rsidRPr="00794948">
              <w:rPr>
                <w:sz w:val="20"/>
                <w:szCs w:val="20"/>
              </w:rPr>
              <w:t>1 850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09D145A3" w14:textId="77777777" w:rsidR="000838F8" w:rsidRPr="00794948" w:rsidRDefault="000838F8" w:rsidP="00464D59">
            <w:pPr>
              <w:jc w:val="right"/>
              <w:rPr>
                <w:color w:val="000000"/>
                <w:sz w:val="20"/>
                <w:szCs w:val="20"/>
              </w:rPr>
            </w:pPr>
            <w:r w:rsidRPr="00794948">
              <w:rPr>
                <w:sz w:val="20"/>
                <w:szCs w:val="20"/>
              </w:rPr>
              <w:t>2 000</w:t>
            </w:r>
          </w:p>
        </w:tc>
        <w:tc>
          <w:tcPr>
            <w:tcW w:w="89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3C693284" w14:textId="77777777" w:rsidR="000838F8" w:rsidRPr="00794948" w:rsidRDefault="000838F8" w:rsidP="00464D59">
            <w:pPr>
              <w:jc w:val="right"/>
              <w:rPr>
                <w:color w:val="000000"/>
                <w:sz w:val="20"/>
                <w:szCs w:val="20"/>
              </w:rPr>
            </w:pPr>
            <w:r w:rsidRPr="00794948">
              <w:rPr>
                <w:sz w:val="20"/>
                <w:szCs w:val="20"/>
              </w:rPr>
              <w:t>2 100</w:t>
            </w:r>
          </w:p>
        </w:tc>
        <w:tc>
          <w:tcPr>
            <w:tcW w:w="915" w:type="dxa"/>
            <w:tcBorders>
              <w:top w:val="single" w:sz="4" w:space="0" w:color="auto"/>
              <w:bottom w:val="single" w:sz="4" w:space="0" w:color="BFBFBF" w:themeColor="background1" w:themeShade="BF"/>
              <w:right w:val="single" w:sz="4" w:space="0" w:color="auto"/>
            </w:tcBorders>
            <w:shd w:val="clear" w:color="auto" w:fill="D9E2F3" w:themeFill="accent1" w:themeFillTint="33"/>
            <w:noWrap/>
            <w:vAlign w:val="center"/>
            <w:hideMark/>
          </w:tcPr>
          <w:p w14:paraId="2AC3C38D" w14:textId="056BF2EF" w:rsidR="000838F8" w:rsidRPr="00794948" w:rsidRDefault="00B53594" w:rsidP="00464D59">
            <w:pPr>
              <w:jc w:val="right"/>
              <w:rPr>
                <w:color w:val="000000"/>
                <w:sz w:val="20"/>
                <w:szCs w:val="20"/>
              </w:rPr>
            </w:pPr>
            <w:r w:rsidRPr="00794948">
              <w:rPr>
                <w:color w:val="000000"/>
                <w:sz w:val="20"/>
                <w:szCs w:val="20"/>
              </w:rPr>
              <w:t>2 250</w:t>
            </w:r>
          </w:p>
        </w:tc>
      </w:tr>
      <w:tr w:rsidR="0067040D" w:rsidRPr="00794948" w14:paraId="1565818E" w14:textId="77777777" w:rsidTr="00464D59">
        <w:trPr>
          <w:trHeight w:val="256"/>
          <w:jc w:val="center"/>
        </w:trPr>
        <w:tc>
          <w:tcPr>
            <w:tcW w:w="1130" w:type="dxa"/>
            <w:vMerge/>
            <w:tcBorders>
              <w:top w:val="single" w:sz="4" w:space="0" w:color="BFBFBF" w:themeColor="background1" w:themeShade="BF"/>
              <w:left w:val="single" w:sz="4" w:space="0" w:color="auto"/>
              <w:bottom w:val="single" w:sz="4" w:space="0" w:color="auto"/>
            </w:tcBorders>
            <w:shd w:val="clear" w:color="auto" w:fill="D9E2F3" w:themeFill="accent1" w:themeFillTint="33"/>
            <w:vAlign w:val="center"/>
            <w:hideMark/>
          </w:tcPr>
          <w:p w14:paraId="1837EE4A" w14:textId="77777777" w:rsidR="0067040D" w:rsidRPr="00794948" w:rsidRDefault="0067040D" w:rsidP="0067040D">
            <w:pPr>
              <w:jc w:val="center"/>
              <w:rPr>
                <w:b/>
                <w:bCs/>
                <w:color w:val="000000"/>
                <w:sz w:val="20"/>
                <w:szCs w:val="20"/>
              </w:rPr>
            </w:pPr>
          </w:p>
        </w:tc>
        <w:tc>
          <w:tcPr>
            <w:tcW w:w="759" w:type="dxa"/>
            <w:tcBorders>
              <w:top w:val="single" w:sz="4" w:space="0" w:color="BFBFBF" w:themeColor="background1" w:themeShade="BF"/>
              <w:bottom w:val="single" w:sz="4" w:space="0" w:color="auto"/>
            </w:tcBorders>
            <w:shd w:val="clear" w:color="auto" w:fill="E2E9F6"/>
            <w:vAlign w:val="center"/>
          </w:tcPr>
          <w:p w14:paraId="3EFC8F88" w14:textId="604568AC" w:rsidR="0067040D" w:rsidRPr="00794948" w:rsidRDefault="0067040D" w:rsidP="0067040D">
            <w:pPr>
              <w:jc w:val="center"/>
              <w:rPr>
                <w:sz w:val="20"/>
                <w:szCs w:val="20"/>
              </w:rPr>
            </w:pPr>
            <w:r w:rsidRPr="00794948">
              <w:rPr>
                <w:sz w:val="20"/>
                <w:szCs w:val="20"/>
              </w:rPr>
              <w:t>EUR</w:t>
            </w:r>
          </w:p>
        </w:tc>
        <w:tc>
          <w:tcPr>
            <w:tcW w:w="869" w:type="dxa"/>
            <w:tcBorders>
              <w:top w:val="single" w:sz="4" w:space="0" w:color="BFBFBF" w:themeColor="background1" w:themeShade="BF"/>
              <w:bottom w:val="single" w:sz="4" w:space="0" w:color="auto"/>
            </w:tcBorders>
            <w:shd w:val="clear" w:color="auto" w:fill="E2E9F6"/>
            <w:noWrap/>
            <w:vAlign w:val="center"/>
            <w:hideMark/>
          </w:tcPr>
          <w:p w14:paraId="34BD5843" w14:textId="4EB2DE07" w:rsidR="0067040D" w:rsidRPr="00794948" w:rsidRDefault="0067040D" w:rsidP="00464D59">
            <w:pPr>
              <w:jc w:val="right"/>
              <w:rPr>
                <w:color w:val="000000"/>
                <w:sz w:val="20"/>
                <w:szCs w:val="20"/>
              </w:rPr>
            </w:pPr>
            <w:r w:rsidRPr="00794948">
              <w:rPr>
                <w:sz w:val="20"/>
                <w:szCs w:val="20"/>
              </w:rPr>
              <w:t>336</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5EEFD1D6" w14:textId="77777777" w:rsidR="0067040D" w:rsidRPr="00794948" w:rsidRDefault="0067040D" w:rsidP="00464D59">
            <w:pPr>
              <w:jc w:val="right"/>
              <w:rPr>
                <w:color w:val="000000"/>
                <w:sz w:val="20"/>
                <w:szCs w:val="20"/>
              </w:rPr>
            </w:pPr>
            <w:r w:rsidRPr="00794948">
              <w:rPr>
                <w:sz w:val="20"/>
                <w:szCs w:val="20"/>
              </w:rPr>
              <w:t>393</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3151F43B" w14:textId="77777777" w:rsidR="0067040D" w:rsidRPr="00794948" w:rsidRDefault="0067040D" w:rsidP="00464D59">
            <w:pPr>
              <w:jc w:val="right"/>
              <w:rPr>
                <w:color w:val="000000"/>
                <w:sz w:val="20"/>
                <w:szCs w:val="20"/>
              </w:rPr>
            </w:pPr>
            <w:r w:rsidRPr="00794948">
              <w:rPr>
                <w:sz w:val="20"/>
                <w:szCs w:val="20"/>
              </w:rPr>
              <w:t>404</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30134E15" w14:textId="77777777" w:rsidR="0067040D" w:rsidRPr="00794948" w:rsidRDefault="0067040D" w:rsidP="00464D59">
            <w:pPr>
              <w:jc w:val="right"/>
              <w:rPr>
                <w:color w:val="000000"/>
                <w:sz w:val="20"/>
                <w:szCs w:val="20"/>
              </w:rPr>
            </w:pPr>
            <w:r w:rsidRPr="00794948">
              <w:rPr>
                <w:sz w:val="20"/>
                <w:szCs w:val="20"/>
              </w:rPr>
              <w:t>410</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6FA73C84" w14:textId="77777777" w:rsidR="0067040D" w:rsidRPr="00794948" w:rsidRDefault="0067040D" w:rsidP="00464D59">
            <w:pPr>
              <w:jc w:val="right"/>
              <w:rPr>
                <w:color w:val="000000"/>
                <w:sz w:val="20"/>
                <w:szCs w:val="20"/>
              </w:rPr>
            </w:pPr>
            <w:r w:rsidRPr="00794948">
              <w:rPr>
                <w:sz w:val="20"/>
                <w:szCs w:val="20"/>
              </w:rPr>
              <w:t>434</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7DC97954" w14:textId="77777777" w:rsidR="0067040D" w:rsidRPr="00794948" w:rsidRDefault="0067040D" w:rsidP="00464D59">
            <w:pPr>
              <w:jc w:val="right"/>
              <w:rPr>
                <w:color w:val="000000"/>
                <w:sz w:val="20"/>
                <w:szCs w:val="20"/>
              </w:rPr>
            </w:pPr>
            <w:r w:rsidRPr="00794948">
              <w:rPr>
                <w:sz w:val="20"/>
                <w:szCs w:val="20"/>
              </w:rPr>
              <w:t>453</w:t>
            </w:r>
          </w:p>
        </w:tc>
        <w:tc>
          <w:tcPr>
            <w:tcW w:w="899" w:type="dxa"/>
            <w:tcBorders>
              <w:top w:val="single" w:sz="4" w:space="0" w:color="BFBFBF" w:themeColor="background1" w:themeShade="BF"/>
              <w:bottom w:val="single" w:sz="4" w:space="0" w:color="auto"/>
            </w:tcBorders>
            <w:shd w:val="clear" w:color="auto" w:fill="E2E9F6"/>
            <w:noWrap/>
            <w:vAlign w:val="center"/>
            <w:hideMark/>
          </w:tcPr>
          <w:p w14:paraId="35408294" w14:textId="77777777" w:rsidR="0067040D" w:rsidRPr="00794948" w:rsidRDefault="0067040D" w:rsidP="00464D59">
            <w:pPr>
              <w:jc w:val="right"/>
              <w:rPr>
                <w:color w:val="000000"/>
                <w:sz w:val="20"/>
                <w:szCs w:val="20"/>
              </w:rPr>
            </w:pPr>
            <w:r w:rsidRPr="00794948">
              <w:rPr>
                <w:sz w:val="20"/>
                <w:szCs w:val="20"/>
              </w:rPr>
              <w:t>503</w:t>
            </w:r>
          </w:p>
        </w:tc>
        <w:tc>
          <w:tcPr>
            <w:tcW w:w="915" w:type="dxa"/>
            <w:tcBorders>
              <w:top w:val="single" w:sz="4" w:space="0" w:color="BFBFBF" w:themeColor="background1" w:themeShade="BF"/>
              <w:bottom w:val="single" w:sz="4" w:space="0" w:color="auto"/>
              <w:right w:val="single" w:sz="4" w:space="0" w:color="auto"/>
            </w:tcBorders>
            <w:shd w:val="clear" w:color="auto" w:fill="E2E9F6"/>
            <w:noWrap/>
            <w:vAlign w:val="center"/>
            <w:hideMark/>
          </w:tcPr>
          <w:p w14:paraId="06DE335F" w14:textId="19536DEE" w:rsidR="0067040D" w:rsidRPr="00794948" w:rsidRDefault="00597266" w:rsidP="00464D59">
            <w:pPr>
              <w:jc w:val="right"/>
              <w:rPr>
                <w:color w:val="000000"/>
                <w:sz w:val="20"/>
                <w:szCs w:val="20"/>
              </w:rPr>
            </w:pPr>
            <w:r w:rsidRPr="00794948">
              <w:rPr>
                <w:color w:val="000000"/>
                <w:sz w:val="20"/>
                <w:szCs w:val="20"/>
              </w:rPr>
              <w:t>529</w:t>
            </w:r>
          </w:p>
        </w:tc>
      </w:tr>
      <w:tr w:rsidR="0067040D" w:rsidRPr="00794948" w14:paraId="7346962C" w14:textId="77777777" w:rsidTr="00464D59">
        <w:trPr>
          <w:trHeight w:val="520"/>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7227E758" w14:textId="77777777" w:rsidR="0067040D" w:rsidRPr="00794948" w:rsidRDefault="0067040D" w:rsidP="0067040D">
            <w:pPr>
              <w:jc w:val="center"/>
              <w:rPr>
                <w:b/>
                <w:bCs/>
                <w:color w:val="000000"/>
                <w:sz w:val="20"/>
                <w:szCs w:val="20"/>
              </w:rPr>
            </w:pPr>
            <w:r w:rsidRPr="00794948">
              <w:rPr>
                <w:b/>
                <w:bCs/>
                <w:color w:val="000000"/>
                <w:sz w:val="20"/>
                <w:szCs w:val="20"/>
              </w:rPr>
              <w:t>Rakousko</w:t>
            </w:r>
          </w:p>
        </w:tc>
        <w:tc>
          <w:tcPr>
            <w:tcW w:w="759" w:type="dxa"/>
            <w:tcBorders>
              <w:top w:val="single" w:sz="4" w:space="0" w:color="auto"/>
              <w:bottom w:val="single" w:sz="4" w:space="0" w:color="auto"/>
            </w:tcBorders>
            <w:shd w:val="clear" w:color="auto" w:fill="D9E2F3" w:themeFill="accent1" w:themeFillTint="33"/>
            <w:vAlign w:val="center"/>
          </w:tcPr>
          <w:p w14:paraId="7C6E7F39" w14:textId="23F39E1D" w:rsidR="0067040D" w:rsidRPr="00794948" w:rsidRDefault="0067040D" w:rsidP="0067040D">
            <w:pPr>
              <w:jc w:val="center"/>
              <w:rPr>
                <w:sz w:val="20"/>
                <w:szCs w:val="20"/>
              </w:rPr>
            </w:pPr>
            <w:r w:rsidRPr="00794948">
              <w:rPr>
                <w:sz w:val="20"/>
                <w:szCs w:val="20"/>
              </w:rPr>
              <w:t>EUR</w:t>
            </w:r>
          </w:p>
        </w:tc>
        <w:tc>
          <w:tcPr>
            <w:tcW w:w="869" w:type="dxa"/>
            <w:tcBorders>
              <w:top w:val="single" w:sz="4" w:space="0" w:color="auto"/>
              <w:bottom w:val="single" w:sz="4" w:space="0" w:color="auto"/>
            </w:tcBorders>
            <w:shd w:val="clear" w:color="auto" w:fill="D9E2F3" w:themeFill="accent1" w:themeFillTint="33"/>
            <w:noWrap/>
            <w:vAlign w:val="center"/>
            <w:hideMark/>
          </w:tcPr>
          <w:p w14:paraId="7FE31519" w14:textId="7A1B17D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45AD6348"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27C69D18"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098576B1"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60271707"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56AB4042" w14:textId="77777777" w:rsidR="0067040D" w:rsidRPr="00794948" w:rsidRDefault="0067040D" w:rsidP="0067040D">
            <w:pPr>
              <w:jc w:val="center"/>
              <w:rPr>
                <w:color w:val="000000"/>
                <w:sz w:val="20"/>
                <w:szCs w:val="20"/>
              </w:rPr>
            </w:pPr>
            <w:r w:rsidRPr="00794948">
              <w:rPr>
                <w:sz w:val="20"/>
                <w:szCs w:val="20"/>
              </w:rPr>
              <w:t>-</w:t>
            </w:r>
          </w:p>
        </w:tc>
        <w:tc>
          <w:tcPr>
            <w:tcW w:w="899" w:type="dxa"/>
            <w:tcBorders>
              <w:top w:val="single" w:sz="4" w:space="0" w:color="auto"/>
              <w:bottom w:val="single" w:sz="4" w:space="0" w:color="auto"/>
            </w:tcBorders>
            <w:shd w:val="clear" w:color="auto" w:fill="D9E2F3" w:themeFill="accent1" w:themeFillTint="33"/>
            <w:noWrap/>
            <w:vAlign w:val="center"/>
            <w:hideMark/>
          </w:tcPr>
          <w:p w14:paraId="02CD0038" w14:textId="77777777" w:rsidR="0067040D" w:rsidRPr="00794948" w:rsidRDefault="0067040D" w:rsidP="00597266">
            <w:pPr>
              <w:jc w:val="center"/>
              <w:rPr>
                <w:color w:val="000000"/>
                <w:sz w:val="20"/>
                <w:szCs w:val="20"/>
              </w:rPr>
            </w:pPr>
            <w:r w:rsidRPr="00794948">
              <w:rPr>
                <w:sz w:val="20"/>
                <w:szCs w:val="20"/>
              </w:rPr>
              <w:t>-</w:t>
            </w:r>
          </w:p>
        </w:tc>
        <w:tc>
          <w:tcPr>
            <w:tcW w:w="915" w:type="dxa"/>
            <w:tcBorders>
              <w:top w:val="single" w:sz="4" w:space="0" w:color="auto"/>
              <w:bottom w:val="single" w:sz="4" w:space="0" w:color="auto"/>
              <w:right w:val="single" w:sz="4" w:space="0" w:color="auto"/>
            </w:tcBorders>
            <w:shd w:val="clear" w:color="auto" w:fill="D9E2F3" w:themeFill="accent1" w:themeFillTint="33"/>
            <w:noWrap/>
            <w:vAlign w:val="center"/>
            <w:hideMark/>
          </w:tcPr>
          <w:p w14:paraId="1CE75F7A" w14:textId="75D7EEE0" w:rsidR="0067040D" w:rsidRPr="00794948" w:rsidRDefault="00B53594" w:rsidP="00661616">
            <w:pPr>
              <w:jc w:val="center"/>
              <w:rPr>
                <w:color w:val="000000"/>
                <w:sz w:val="20"/>
                <w:szCs w:val="20"/>
              </w:rPr>
            </w:pPr>
            <w:r w:rsidRPr="00794948">
              <w:rPr>
                <w:color w:val="000000"/>
                <w:sz w:val="20"/>
                <w:szCs w:val="20"/>
              </w:rPr>
              <w:t>-</w:t>
            </w:r>
          </w:p>
        </w:tc>
      </w:tr>
      <w:tr w:rsidR="00597266" w:rsidRPr="00794948" w14:paraId="7C1D2491" w14:textId="77777777" w:rsidTr="00464D59">
        <w:trPr>
          <w:trHeight w:val="522"/>
          <w:jc w:val="center"/>
        </w:trPr>
        <w:tc>
          <w:tcPr>
            <w:tcW w:w="1130" w:type="dxa"/>
            <w:tcBorders>
              <w:top w:val="single" w:sz="4" w:space="0" w:color="auto"/>
              <w:left w:val="single" w:sz="4" w:space="0" w:color="auto"/>
              <w:bottom w:val="single" w:sz="4" w:space="0" w:color="auto"/>
            </w:tcBorders>
            <w:shd w:val="clear" w:color="auto" w:fill="D9E2F3" w:themeFill="accent1" w:themeFillTint="33"/>
            <w:noWrap/>
            <w:vAlign w:val="center"/>
            <w:hideMark/>
          </w:tcPr>
          <w:p w14:paraId="75FC016E" w14:textId="77777777" w:rsidR="00597266" w:rsidRPr="00794948" w:rsidRDefault="00597266" w:rsidP="0067040D">
            <w:pPr>
              <w:jc w:val="center"/>
              <w:rPr>
                <w:b/>
                <w:bCs/>
                <w:color w:val="000000"/>
                <w:sz w:val="20"/>
                <w:szCs w:val="20"/>
              </w:rPr>
            </w:pPr>
            <w:r w:rsidRPr="00794948">
              <w:rPr>
                <w:b/>
                <w:bCs/>
                <w:color w:val="000000"/>
                <w:sz w:val="20"/>
                <w:szCs w:val="20"/>
              </w:rPr>
              <w:t>Slovensko</w:t>
            </w:r>
          </w:p>
        </w:tc>
        <w:tc>
          <w:tcPr>
            <w:tcW w:w="759" w:type="dxa"/>
            <w:tcBorders>
              <w:top w:val="single" w:sz="4" w:space="0" w:color="auto"/>
              <w:bottom w:val="single" w:sz="4" w:space="0" w:color="auto"/>
            </w:tcBorders>
            <w:shd w:val="clear" w:color="auto" w:fill="D9E2F3" w:themeFill="accent1" w:themeFillTint="33"/>
            <w:vAlign w:val="center"/>
          </w:tcPr>
          <w:p w14:paraId="2CA48E27" w14:textId="73DC01C1" w:rsidR="00597266" w:rsidRPr="00794948" w:rsidRDefault="00597266" w:rsidP="0067040D">
            <w:pPr>
              <w:jc w:val="center"/>
              <w:rPr>
                <w:sz w:val="20"/>
                <w:szCs w:val="20"/>
              </w:rPr>
            </w:pPr>
            <w:r w:rsidRPr="00794948">
              <w:rPr>
                <w:sz w:val="20"/>
                <w:szCs w:val="20"/>
              </w:rPr>
              <w:t>EUR</w:t>
            </w:r>
          </w:p>
        </w:tc>
        <w:tc>
          <w:tcPr>
            <w:tcW w:w="869" w:type="dxa"/>
            <w:tcBorders>
              <w:top w:val="single" w:sz="4" w:space="0" w:color="auto"/>
              <w:bottom w:val="single" w:sz="4" w:space="0" w:color="auto"/>
            </w:tcBorders>
            <w:shd w:val="clear" w:color="auto" w:fill="D9E2F3" w:themeFill="accent1" w:themeFillTint="33"/>
            <w:noWrap/>
            <w:vAlign w:val="center"/>
            <w:hideMark/>
          </w:tcPr>
          <w:p w14:paraId="5FCFC515" w14:textId="3613B21B" w:rsidR="00597266" w:rsidRPr="00794948" w:rsidRDefault="00597266" w:rsidP="00464D59">
            <w:pPr>
              <w:jc w:val="right"/>
              <w:rPr>
                <w:color w:val="000000"/>
                <w:sz w:val="20"/>
                <w:szCs w:val="20"/>
              </w:rPr>
            </w:pPr>
            <w:r w:rsidRPr="00794948">
              <w:rPr>
                <w:sz w:val="20"/>
                <w:szCs w:val="20"/>
              </w:rPr>
              <w:t>327</w:t>
            </w:r>
          </w:p>
        </w:tc>
        <w:tc>
          <w:tcPr>
            <w:tcW w:w="899" w:type="dxa"/>
            <w:tcBorders>
              <w:top w:val="single" w:sz="4" w:space="0" w:color="auto"/>
              <w:bottom w:val="single" w:sz="4" w:space="0" w:color="auto"/>
            </w:tcBorders>
            <w:shd w:val="clear" w:color="auto" w:fill="D9E2F3" w:themeFill="accent1" w:themeFillTint="33"/>
            <w:noWrap/>
            <w:vAlign w:val="center"/>
            <w:hideMark/>
          </w:tcPr>
          <w:p w14:paraId="40C894AA" w14:textId="77777777" w:rsidR="00597266" w:rsidRPr="00794948" w:rsidRDefault="00597266" w:rsidP="00464D59">
            <w:pPr>
              <w:jc w:val="right"/>
              <w:rPr>
                <w:color w:val="000000"/>
                <w:sz w:val="20"/>
                <w:szCs w:val="20"/>
              </w:rPr>
            </w:pPr>
            <w:r w:rsidRPr="00794948">
              <w:rPr>
                <w:sz w:val="20"/>
                <w:szCs w:val="20"/>
              </w:rPr>
              <w:t>338</w:t>
            </w:r>
          </w:p>
        </w:tc>
        <w:tc>
          <w:tcPr>
            <w:tcW w:w="899" w:type="dxa"/>
            <w:tcBorders>
              <w:top w:val="single" w:sz="4" w:space="0" w:color="auto"/>
              <w:bottom w:val="single" w:sz="4" w:space="0" w:color="auto"/>
            </w:tcBorders>
            <w:shd w:val="clear" w:color="auto" w:fill="D9E2F3" w:themeFill="accent1" w:themeFillTint="33"/>
            <w:noWrap/>
            <w:vAlign w:val="center"/>
            <w:hideMark/>
          </w:tcPr>
          <w:p w14:paraId="69FC1605" w14:textId="77777777" w:rsidR="00597266" w:rsidRPr="00794948" w:rsidRDefault="00597266" w:rsidP="00464D59">
            <w:pPr>
              <w:jc w:val="right"/>
              <w:rPr>
                <w:color w:val="000000"/>
                <w:sz w:val="20"/>
                <w:szCs w:val="20"/>
              </w:rPr>
            </w:pPr>
            <w:r w:rsidRPr="00794948">
              <w:rPr>
                <w:sz w:val="20"/>
                <w:szCs w:val="20"/>
              </w:rPr>
              <w:t>352</w:t>
            </w:r>
          </w:p>
        </w:tc>
        <w:tc>
          <w:tcPr>
            <w:tcW w:w="899" w:type="dxa"/>
            <w:tcBorders>
              <w:top w:val="single" w:sz="4" w:space="0" w:color="auto"/>
              <w:bottom w:val="single" w:sz="4" w:space="0" w:color="auto"/>
            </w:tcBorders>
            <w:shd w:val="clear" w:color="auto" w:fill="D9E2F3" w:themeFill="accent1" w:themeFillTint="33"/>
            <w:noWrap/>
            <w:vAlign w:val="center"/>
            <w:hideMark/>
          </w:tcPr>
          <w:p w14:paraId="06E5BCF9" w14:textId="77777777" w:rsidR="00597266" w:rsidRPr="00794948" w:rsidRDefault="00597266" w:rsidP="00464D59">
            <w:pPr>
              <w:jc w:val="right"/>
              <w:rPr>
                <w:color w:val="000000"/>
                <w:sz w:val="20"/>
                <w:szCs w:val="20"/>
              </w:rPr>
            </w:pPr>
            <w:r w:rsidRPr="00794948">
              <w:rPr>
                <w:sz w:val="20"/>
                <w:szCs w:val="20"/>
              </w:rPr>
              <w:t>380</w:t>
            </w:r>
          </w:p>
        </w:tc>
        <w:tc>
          <w:tcPr>
            <w:tcW w:w="899" w:type="dxa"/>
            <w:tcBorders>
              <w:top w:val="single" w:sz="4" w:space="0" w:color="auto"/>
              <w:bottom w:val="single" w:sz="4" w:space="0" w:color="auto"/>
            </w:tcBorders>
            <w:shd w:val="clear" w:color="auto" w:fill="D9E2F3" w:themeFill="accent1" w:themeFillTint="33"/>
            <w:noWrap/>
            <w:vAlign w:val="center"/>
            <w:hideMark/>
          </w:tcPr>
          <w:p w14:paraId="368F594D" w14:textId="77777777" w:rsidR="00597266" w:rsidRPr="00794948" w:rsidRDefault="00597266" w:rsidP="00464D59">
            <w:pPr>
              <w:jc w:val="right"/>
              <w:rPr>
                <w:color w:val="000000"/>
                <w:sz w:val="20"/>
                <w:szCs w:val="20"/>
              </w:rPr>
            </w:pPr>
            <w:r w:rsidRPr="00794948">
              <w:rPr>
                <w:sz w:val="20"/>
                <w:szCs w:val="20"/>
              </w:rPr>
              <w:t>405</w:t>
            </w:r>
          </w:p>
        </w:tc>
        <w:tc>
          <w:tcPr>
            <w:tcW w:w="899" w:type="dxa"/>
            <w:tcBorders>
              <w:top w:val="single" w:sz="4" w:space="0" w:color="auto"/>
              <w:bottom w:val="single" w:sz="4" w:space="0" w:color="auto"/>
            </w:tcBorders>
            <w:shd w:val="clear" w:color="auto" w:fill="D9E2F3" w:themeFill="accent1" w:themeFillTint="33"/>
            <w:noWrap/>
            <w:vAlign w:val="center"/>
            <w:hideMark/>
          </w:tcPr>
          <w:p w14:paraId="3461A555" w14:textId="77777777" w:rsidR="00597266" w:rsidRPr="00794948" w:rsidRDefault="00597266" w:rsidP="00464D59">
            <w:pPr>
              <w:jc w:val="right"/>
              <w:rPr>
                <w:color w:val="000000"/>
                <w:sz w:val="20"/>
                <w:szCs w:val="20"/>
              </w:rPr>
            </w:pPr>
            <w:r w:rsidRPr="00794948">
              <w:rPr>
                <w:sz w:val="20"/>
                <w:szCs w:val="20"/>
              </w:rPr>
              <w:t>435</w:t>
            </w:r>
          </w:p>
        </w:tc>
        <w:tc>
          <w:tcPr>
            <w:tcW w:w="899" w:type="dxa"/>
            <w:tcBorders>
              <w:top w:val="single" w:sz="4" w:space="0" w:color="auto"/>
              <w:bottom w:val="single" w:sz="4" w:space="0" w:color="auto"/>
            </w:tcBorders>
            <w:shd w:val="clear" w:color="auto" w:fill="D9E2F3" w:themeFill="accent1" w:themeFillTint="33"/>
            <w:noWrap/>
            <w:vAlign w:val="center"/>
            <w:hideMark/>
          </w:tcPr>
          <w:p w14:paraId="211076DC" w14:textId="77777777" w:rsidR="00597266" w:rsidRPr="00794948" w:rsidRDefault="00597266" w:rsidP="00464D59">
            <w:pPr>
              <w:jc w:val="right"/>
              <w:rPr>
                <w:color w:val="000000"/>
                <w:sz w:val="20"/>
                <w:szCs w:val="20"/>
              </w:rPr>
            </w:pPr>
            <w:r w:rsidRPr="00794948">
              <w:rPr>
                <w:sz w:val="20"/>
                <w:szCs w:val="20"/>
              </w:rPr>
              <w:t>480</w:t>
            </w:r>
          </w:p>
        </w:tc>
        <w:tc>
          <w:tcPr>
            <w:tcW w:w="915" w:type="dxa"/>
            <w:tcBorders>
              <w:top w:val="single" w:sz="4" w:space="0" w:color="auto"/>
              <w:bottom w:val="single" w:sz="4" w:space="0" w:color="auto"/>
              <w:right w:val="single" w:sz="4" w:space="0" w:color="auto"/>
            </w:tcBorders>
            <w:shd w:val="clear" w:color="auto" w:fill="D9E2F3" w:themeFill="accent1" w:themeFillTint="33"/>
            <w:noWrap/>
            <w:vAlign w:val="center"/>
            <w:hideMark/>
          </w:tcPr>
          <w:p w14:paraId="1F79E6C2" w14:textId="77777777" w:rsidR="00597266" w:rsidRPr="00794948" w:rsidRDefault="00597266" w:rsidP="00464D59">
            <w:pPr>
              <w:jc w:val="right"/>
              <w:rPr>
                <w:color w:val="000000"/>
                <w:sz w:val="20"/>
                <w:szCs w:val="20"/>
              </w:rPr>
            </w:pPr>
            <w:r w:rsidRPr="00794948">
              <w:rPr>
                <w:color w:val="000000"/>
                <w:sz w:val="20"/>
                <w:szCs w:val="20"/>
              </w:rPr>
              <w:t>520</w:t>
            </w:r>
          </w:p>
          <w:p w14:paraId="6E66E2F1" w14:textId="2FF32FB4" w:rsidR="00597266" w:rsidRPr="00794948" w:rsidRDefault="00597266" w:rsidP="00464D59">
            <w:pPr>
              <w:jc w:val="right"/>
              <w:rPr>
                <w:color w:val="000000"/>
                <w:sz w:val="20"/>
                <w:szCs w:val="20"/>
              </w:rPr>
            </w:pPr>
          </w:p>
        </w:tc>
      </w:tr>
    </w:tbl>
    <w:p w14:paraId="4D306734" w14:textId="77777777" w:rsidR="001B25B0" w:rsidRDefault="00C3469D" w:rsidP="001B25B0">
      <w:pPr>
        <w:pStyle w:val="Titulek"/>
        <w:keepNext/>
        <w:rPr>
          <w:sz w:val="20"/>
          <w:szCs w:val="20"/>
        </w:rPr>
      </w:pPr>
      <w:r>
        <w:rPr>
          <w:sz w:val="20"/>
          <w:szCs w:val="20"/>
        </w:rPr>
        <w:t>(</w:t>
      </w:r>
      <w:proofErr w:type="spellStart"/>
      <w:r>
        <w:rPr>
          <w:sz w:val="20"/>
          <w:szCs w:val="20"/>
        </w:rPr>
        <w:t>vl</w:t>
      </w:r>
      <w:proofErr w:type="spellEnd"/>
      <w:r>
        <w:rPr>
          <w:sz w:val="20"/>
          <w:szCs w:val="20"/>
        </w:rPr>
        <w:t xml:space="preserve">. zpracování; </w:t>
      </w:r>
      <w:proofErr w:type="spellStart"/>
      <w:r>
        <w:rPr>
          <w:sz w:val="20"/>
          <w:szCs w:val="20"/>
        </w:rPr>
        <w:t>Schleicher</w:t>
      </w:r>
      <w:proofErr w:type="spellEnd"/>
      <w:r w:rsidR="001B25B0">
        <w:rPr>
          <w:sz w:val="20"/>
          <w:szCs w:val="20"/>
        </w:rPr>
        <w:t>,</w:t>
      </w:r>
      <w:r>
        <w:rPr>
          <w:sz w:val="20"/>
          <w:szCs w:val="20"/>
        </w:rPr>
        <w:t xml:space="preserve"> 2020, </w:t>
      </w:r>
      <w:proofErr w:type="spellStart"/>
      <w:r>
        <w:rPr>
          <w:sz w:val="20"/>
          <w:szCs w:val="20"/>
        </w:rPr>
        <w:t>Eurofound</w:t>
      </w:r>
      <w:proofErr w:type="spellEnd"/>
      <w:r w:rsidR="001B25B0">
        <w:rPr>
          <w:sz w:val="20"/>
          <w:szCs w:val="20"/>
        </w:rPr>
        <w:t>,</w:t>
      </w:r>
      <w:r>
        <w:rPr>
          <w:sz w:val="20"/>
          <w:szCs w:val="20"/>
        </w:rPr>
        <w:t xml:space="preserve"> 2015; KSH</w:t>
      </w:r>
      <w:r w:rsidR="001B25B0">
        <w:rPr>
          <w:sz w:val="20"/>
          <w:szCs w:val="20"/>
        </w:rPr>
        <w:t>,</w:t>
      </w:r>
      <w:r>
        <w:rPr>
          <w:sz w:val="20"/>
          <w:szCs w:val="20"/>
        </w:rPr>
        <w:t xml:space="preserve"> 2020; ČSÚ</w:t>
      </w:r>
      <w:r w:rsidR="001B25B0">
        <w:rPr>
          <w:sz w:val="20"/>
          <w:szCs w:val="20"/>
        </w:rPr>
        <w:t>,</w:t>
      </w:r>
      <w:r>
        <w:rPr>
          <w:sz w:val="20"/>
          <w:szCs w:val="20"/>
        </w:rPr>
        <w:t xml:space="preserve"> 2020; </w:t>
      </w:r>
    </w:p>
    <w:p w14:paraId="6039D984" w14:textId="3DD8DDC8" w:rsidR="000838F8" w:rsidRDefault="00C3469D" w:rsidP="001B25B0">
      <w:pPr>
        <w:pStyle w:val="Titulek"/>
        <w:keepNext/>
        <w:rPr>
          <w:sz w:val="20"/>
          <w:szCs w:val="20"/>
        </w:rPr>
      </w:pPr>
      <w:proofErr w:type="spellStart"/>
      <w:r>
        <w:rPr>
          <w:sz w:val="20"/>
          <w:szCs w:val="20"/>
        </w:rPr>
        <w:t>Minimálna</w:t>
      </w:r>
      <w:proofErr w:type="spellEnd"/>
      <w:r>
        <w:rPr>
          <w:sz w:val="20"/>
          <w:szCs w:val="20"/>
        </w:rPr>
        <w:t xml:space="preserve"> mzda SK</w:t>
      </w:r>
      <w:r w:rsidR="001B25B0">
        <w:rPr>
          <w:sz w:val="20"/>
          <w:szCs w:val="20"/>
        </w:rPr>
        <w:t>,</w:t>
      </w:r>
      <w:r>
        <w:rPr>
          <w:sz w:val="20"/>
          <w:szCs w:val="20"/>
        </w:rPr>
        <w:t xml:space="preserve"> 2020; </w:t>
      </w:r>
      <w:proofErr w:type="spellStart"/>
      <w:r>
        <w:rPr>
          <w:sz w:val="20"/>
          <w:szCs w:val="20"/>
        </w:rPr>
        <w:t>Wage</w:t>
      </w:r>
      <w:proofErr w:type="spellEnd"/>
      <w:r>
        <w:rPr>
          <w:sz w:val="20"/>
          <w:szCs w:val="20"/>
        </w:rPr>
        <w:t xml:space="preserve"> </w:t>
      </w:r>
      <w:proofErr w:type="spellStart"/>
      <w:r>
        <w:rPr>
          <w:sz w:val="20"/>
          <w:szCs w:val="20"/>
        </w:rPr>
        <w:t>Indicator</w:t>
      </w:r>
      <w:proofErr w:type="spellEnd"/>
      <w:r w:rsidR="001B25B0">
        <w:rPr>
          <w:sz w:val="20"/>
          <w:szCs w:val="20"/>
        </w:rPr>
        <w:t>,</w:t>
      </w:r>
      <w:r>
        <w:rPr>
          <w:sz w:val="20"/>
          <w:szCs w:val="20"/>
        </w:rPr>
        <w:t xml:space="preserve"> 2020).</w:t>
      </w:r>
      <w:r w:rsidRPr="000838F8">
        <w:rPr>
          <w:sz w:val="20"/>
          <w:szCs w:val="20"/>
        </w:rPr>
        <w:t xml:space="preserve"> </w:t>
      </w:r>
    </w:p>
    <w:p w14:paraId="43C1082A" w14:textId="77777777" w:rsidR="00794948" w:rsidRPr="00794948" w:rsidRDefault="00794948" w:rsidP="00794948"/>
    <w:p w14:paraId="332D18EE" w14:textId="19AAF12D" w:rsidR="00794948" w:rsidRDefault="001B25B0" w:rsidP="001C5B4B">
      <w:pPr>
        <w:spacing w:before="120" w:after="240" w:line="360" w:lineRule="auto"/>
        <w:ind w:firstLine="709"/>
        <w:jc w:val="both"/>
        <w:rPr>
          <w:szCs w:val="22"/>
        </w:rPr>
      </w:pPr>
      <w:r>
        <w:rPr>
          <w:szCs w:val="22"/>
        </w:rPr>
        <w:lastRenderedPageBreak/>
        <w:t>Německo</w:t>
      </w:r>
      <w:r w:rsidR="000506AA">
        <w:rPr>
          <w:szCs w:val="22"/>
        </w:rPr>
        <w:t xml:space="preserve"> zavedlo minimální mzdu až v roce 2015. Co se týče Rakouska, to doposud </w:t>
      </w:r>
      <w:r w:rsidR="000506AA" w:rsidRPr="000506AA">
        <w:rPr>
          <w:szCs w:val="22"/>
        </w:rPr>
        <w:t>nemá státem danou výši minimální mzdy, existují zde pouze kolektivní smlouvy, které jsou sjednány v oblasti sociálního partnerství. Podle těchto kolektivních smluv pracovníci nemohou vydělávat méně než 1</w:t>
      </w:r>
      <w:r w:rsidR="000506AA">
        <w:rPr>
          <w:szCs w:val="22"/>
        </w:rPr>
        <w:t xml:space="preserve"> </w:t>
      </w:r>
      <w:r w:rsidR="000506AA" w:rsidRPr="000506AA">
        <w:rPr>
          <w:szCs w:val="22"/>
        </w:rPr>
        <w:t>500 eur měsíčně.</w:t>
      </w:r>
      <w:r w:rsidR="000506AA">
        <w:rPr>
          <w:szCs w:val="22"/>
        </w:rPr>
        <w:t xml:space="preserve"> </w:t>
      </w:r>
      <w:r w:rsidR="00F375E2">
        <w:rPr>
          <w:szCs w:val="22"/>
        </w:rPr>
        <w:t xml:space="preserve"> Na základě toho je z pohledu minimální mzdy </w:t>
      </w:r>
      <w:r w:rsidR="007F25B0">
        <w:rPr>
          <w:szCs w:val="22"/>
        </w:rPr>
        <w:t xml:space="preserve">na tom </w:t>
      </w:r>
      <w:r w:rsidR="00F375E2">
        <w:rPr>
          <w:szCs w:val="22"/>
        </w:rPr>
        <w:t xml:space="preserve">nejlépe právě Rakousko, po něm Německo, dále </w:t>
      </w:r>
      <w:r w:rsidR="007F25B0">
        <w:rPr>
          <w:szCs w:val="22"/>
        </w:rPr>
        <w:t>Slovensko, poté Polsko, Česká republika a</w:t>
      </w:r>
      <w:r>
        <w:rPr>
          <w:szCs w:val="22"/>
        </w:rPr>
        <w:t> </w:t>
      </w:r>
      <w:r w:rsidR="007F25B0">
        <w:rPr>
          <w:szCs w:val="22"/>
        </w:rPr>
        <w:t>Maďarsko.</w:t>
      </w:r>
    </w:p>
    <w:p w14:paraId="13E9FB17" w14:textId="28A34D4F" w:rsidR="00E17D95" w:rsidRPr="00C3469D" w:rsidRDefault="006E5806" w:rsidP="00C3469D">
      <w:pPr>
        <w:pStyle w:val="Titulek"/>
        <w:keepNext/>
        <w:rPr>
          <w:sz w:val="20"/>
          <w:szCs w:val="20"/>
        </w:rPr>
      </w:pPr>
      <w:bookmarkStart w:id="38" w:name="_Toc46142563"/>
      <w:r w:rsidRPr="006E5806">
        <w:rPr>
          <w:sz w:val="20"/>
          <w:szCs w:val="20"/>
        </w:rPr>
        <w:t xml:space="preserve">Tabulka </w:t>
      </w:r>
      <w:r w:rsidRPr="006E5806">
        <w:rPr>
          <w:sz w:val="20"/>
          <w:szCs w:val="20"/>
        </w:rPr>
        <w:fldChar w:fldCharType="begin"/>
      </w:r>
      <w:r w:rsidRPr="006E5806">
        <w:rPr>
          <w:sz w:val="20"/>
          <w:szCs w:val="20"/>
        </w:rPr>
        <w:instrText xml:space="preserve"> SEQ Tabulka \* ARABIC </w:instrText>
      </w:r>
      <w:r w:rsidRPr="006E5806">
        <w:rPr>
          <w:sz w:val="20"/>
          <w:szCs w:val="20"/>
        </w:rPr>
        <w:fldChar w:fldCharType="separate"/>
      </w:r>
      <w:r w:rsidR="00E21036">
        <w:rPr>
          <w:noProof/>
          <w:sz w:val="20"/>
          <w:szCs w:val="20"/>
        </w:rPr>
        <w:t>5</w:t>
      </w:r>
      <w:r w:rsidRPr="006E5806">
        <w:rPr>
          <w:sz w:val="20"/>
          <w:szCs w:val="20"/>
        </w:rPr>
        <w:fldChar w:fldCharType="end"/>
      </w:r>
      <w:r w:rsidRPr="006E5806">
        <w:rPr>
          <w:sz w:val="20"/>
          <w:szCs w:val="20"/>
        </w:rPr>
        <w:t xml:space="preserve"> – Životní minimum pro vybrané země za období 2012</w:t>
      </w:r>
      <w:r w:rsidR="0057377B">
        <w:rPr>
          <w:sz w:val="20"/>
          <w:szCs w:val="20"/>
        </w:rPr>
        <w:t>-</w:t>
      </w:r>
      <w:r w:rsidRPr="006E5806">
        <w:rPr>
          <w:sz w:val="20"/>
          <w:szCs w:val="20"/>
        </w:rPr>
        <w:t>2019</w:t>
      </w:r>
      <w:bookmarkEnd w:id="38"/>
    </w:p>
    <w:tbl>
      <w:tblPr>
        <w:tblStyle w:val="Svtlmkatabulky"/>
        <w:tblW w:w="9351" w:type="dxa"/>
        <w:jc w:val="center"/>
        <w:tblBorders>
          <w:top w:val="single" w:sz="4" w:space="0" w:color="auto"/>
          <w:left w:val="single" w:sz="4" w:space="0" w:color="auto"/>
          <w:bottom w:val="single" w:sz="4" w:space="0" w:color="auto"/>
          <w:right w:val="single" w:sz="4" w:space="0" w:color="auto"/>
        </w:tblBorders>
        <w:shd w:val="clear" w:color="auto" w:fill="D9E2F3" w:themeFill="accent1" w:themeFillTint="33"/>
        <w:tblLook w:val="04A0" w:firstRow="1" w:lastRow="0" w:firstColumn="1" w:lastColumn="0" w:noHBand="0" w:noVBand="1"/>
      </w:tblPr>
      <w:tblGrid>
        <w:gridCol w:w="1275"/>
        <w:gridCol w:w="705"/>
        <w:gridCol w:w="879"/>
        <w:gridCol w:w="906"/>
        <w:gridCol w:w="906"/>
        <w:gridCol w:w="906"/>
        <w:gridCol w:w="906"/>
        <w:gridCol w:w="906"/>
        <w:gridCol w:w="906"/>
        <w:gridCol w:w="1056"/>
      </w:tblGrid>
      <w:tr w:rsidR="000838F8" w:rsidRPr="00794948" w14:paraId="7B742ABC" w14:textId="77777777" w:rsidTr="00794948">
        <w:trPr>
          <w:trHeight w:val="275"/>
          <w:jc w:val="center"/>
        </w:trPr>
        <w:tc>
          <w:tcPr>
            <w:tcW w:w="9351" w:type="dxa"/>
            <w:gridSpan w:val="10"/>
            <w:tcBorders>
              <w:bottom w:val="single" w:sz="4" w:space="0" w:color="auto"/>
            </w:tcBorders>
            <w:shd w:val="clear" w:color="auto" w:fill="D9E2F3" w:themeFill="accent1" w:themeFillTint="33"/>
          </w:tcPr>
          <w:p w14:paraId="1BCF5AA2" w14:textId="77777777" w:rsidR="00794948" w:rsidRPr="00794948" w:rsidRDefault="00794948" w:rsidP="008E5B59">
            <w:pPr>
              <w:jc w:val="center"/>
              <w:rPr>
                <w:b/>
                <w:bCs/>
                <w:color w:val="000000"/>
              </w:rPr>
            </w:pPr>
          </w:p>
          <w:p w14:paraId="5415DFA0" w14:textId="2C88EBEB" w:rsidR="000838F8" w:rsidRPr="00794948" w:rsidRDefault="000838F8" w:rsidP="008E5B59">
            <w:pPr>
              <w:jc w:val="center"/>
              <w:rPr>
                <w:b/>
                <w:bCs/>
                <w:color w:val="000000"/>
              </w:rPr>
            </w:pPr>
            <w:r w:rsidRPr="00794948">
              <w:rPr>
                <w:b/>
                <w:bCs/>
                <w:color w:val="000000"/>
              </w:rPr>
              <w:t xml:space="preserve">MĚSÍČNÍ ŽIVOTNÍ MINIMUM VE VYBRANÝCH ZEMÍCH EU </w:t>
            </w:r>
          </w:p>
          <w:p w14:paraId="089E64C4" w14:textId="77777777" w:rsidR="000838F8" w:rsidRPr="00794948" w:rsidRDefault="000838F8" w:rsidP="008E5B59">
            <w:pPr>
              <w:jc w:val="center"/>
              <w:rPr>
                <w:color w:val="000000"/>
              </w:rPr>
            </w:pPr>
            <w:r w:rsidRPr="00794948">
              <w:rPr>
                <w:color w:val="000000"/>
              </w:rPr>
              <w:t>(v národních měnách a v eurech)</w:t>
            </w:r>
          </w:p>
          <w:p w14:paraId="6630DBFB" w14:textId="7CD4BE88" w:rsidR="00794948" w:rsidRPr="00794948" w:rsidRDefault="00794948" w:rsidP="008E5B59">
            <w:pPr>
              <w:jc w:val="center"/>
              <w:rPr>
                <w:color w:val="000000"/>
                <w:sz w:val="20"/>
                <w:szCs w:val="20"/>
              </w:rPr>
            </w:pPr>
          </w:p>
        </w:tc>
      </w:tr>
      <w:tr w:rsidR="000838F8" w:rsidRPr="00794948" w14:paraId="73298D12" w14:textId="77777777" w:rsidTr="00794948">
        <w:trPr>
          <w:trHeight w:val="275"/>
          <w:jc w:val="center"/>
        </w:trPr>
        <w:tc>
          <w:tcPr>
            <w:tcW w:w="1275" w:type="dxa"/>
            <w:vMerge w:val="restart"/>
            <w:tcBorders>
              <w:top w:val="single" w:sz="4" w:space="0" w:color="auto"/>
              <w:bottom w:val="single" w:sz="4" w:space="0" w:color="BFBFBF" w:themeColor="background1" w:themeShade="BF"/>
            </w:tcBorders>
            <w:shd w:val="clear" w:color="auto" w:fill="D9E2F3" w:themeFill="accent1" w:themeFillTint="33"/>
            <w:noWrap/>
            <w:vAlign w:val="center"/>
            <w:hideMark/>
          </w:tcPr>
          <w:p w14:paraId="3298667C" w14:textId="77777777" w:rsidR="000838F8" w:rsidRPr="00794948" w:rsidRDefault="000838F8" w:rsidP="008E5B59">
            <w:pPr>
              <w:jc w:val="center"/>
              <w:rPr>
                <w:b/>
                <w:bCs/>
                <w:color w:val="000000"/>
                <w:sz w:val="20"/>
                <w:szCs w:val="20"/>
              </w:rPr>
            </w:pPr>
            <w:r w:rsidRPr="00794948">
              <w:rPr>
                <w:b/>
                <w:bCs/>
                <w:color w:val="000000"/>
                <w:sz w:val="20"/>
                <w:szCs w:val="20"/>
              </w:rPr>
              <w:t>Země</w:t>
            </w:r>
          </w:p>
        </w:tc>
        <w:tc>
          <w:tcPr>
            <w:tcW w:w="705" w:type="dxa"/>
            <w:vMerge w:val="restart"/>
            <w:tcBorders>
              <w:top w:val="single" w:sz="4" w:space="0" w:color="auto"/>
              <w:bottom w:val="single" w:sz="4" w:space="0" w:color="BFBFBF" w:themeColor="background1" w:themeShade="BF"/>
            </w:tcBorders>
            <w:shd w:val="clear" w:color="auto" w:fill="D9E2F3" w:themeFill="accent1" w:themeFillTint="33"/>
            <w:vAlign w:val="center"/>
          </w:tcPr>
          <w:p w14:paraId="14716075" w14:textId="605128F1" w:rsidR="000838F8" w:rsidRPr="00794948" w:rsidRDefault="000838F8" w:rsidP="006E5806">
            <w:pPr>
              <w:jc w:val="center"/>
              <w:rPr>
                <w:b/>
                <w:bCs/>
                <w:color w:val="000000"/>
                <w:sz w:val="20"/>
                <w:szCs w:val="20"/>
              </w:rPr>
            </w:pPr>
            <w:r w:rsidRPr="00794948">
              <w:rPr>
                <w:b/>
                <w:bCs/>
                <w:color w:val="000000"/>
                <w:sz w:val="20"/>
                <w:szCs w:val="20"/>
              </w:rPr>
              <w:t>Měna</w:t>
            </w:r>
          </w:p>
        </w:tc>
        <w:tc>
          <w:tcPr>
            <w:tcW w:w="7371" w:type="dxa"/>
            <w:gridSpan w:val="8"/>
            <w:tcBorders>
              <w:top w:val="single" w:sz="4" w:space="0" w:color="auto"/>
              <w:bottom w:val="single" w:sz="4" w:space="0" w:color="BFBFBF" w:themeColor="background1" w:themeShade="BF"/>
            </w:tcBorders>
            <w:shd w:val="clear" w:color="auto" w:fill="D9E2F3" w:themeFill="accent1" w:themeFillTint="33"/>
            <w:noWrap/>
            <w:hideMark/>
          </w:tcPr>
          <w:p w14:paraId="1BA06403" w14:textId="601B5AA5" w:rsidR="000838F8" w:rsidRPr="00794948" w:rsidRDefault="000838F8" w:rsidP="008E5B59">
            <w:pPr>
              <w:jc w:val="center"/>
              <w:rPr>
                <w:b/>
                <w:bCs/>
                <w:color w:val="000000"/>
                <w:sz w:val="20"/>
                <w:szCs w:val="20"/>
              </w:rPr>
            </w:pPr>
            <w:r w:rsidRPr="00794948">
              <w:rPr>
                <w:b/>
                <w:bCs/>
                <w:color w:val="000000"/>
                <w:sz w:val="20"/>
                <w:szCs w:val="20"/>
              </w:rPr>
              <w:t>Rok</w:t>
            </w:r>
          </w:p>
        </w:tc>
      </w:tr>
      <w:tr w:rsidR="000838F8" w:rsidRPr="00794948" w14:paraId="1EFCDCF0" w14:textId="77777777" w:rsidTr="00794948">
        <w:trPr>
          <w:trHeight w:val="292"/>
          <w:jc w:val="center"/>
        </w:trPr>
        <w:tc>
          <w:tcPr>
            <w:tcW w:w="1275" w:type="dxa"/>
            <w:vMerge/>
            <w:tcBorders>
              <w:top w:val="single" w:sz="4" w:space="0" w:color="BFBFBF" w:themeColor="background1" w:themeShade="BF"/>
              <w:bottom w:val="single" w:sz="4" w:space="0" w:color="auto"/>
            </w:tcBorders>
            <w:shd w:val="clear" w:color="auto" w:fill="D9E2F3" w:themeFill="accent1" w:themeFillTint="33"/>
            <w:hideMark/>
          </w:tcPr>
          <w:p w14:paraId="1C15DE68" w14:textId="77777777" w:rsidR="000838F8" w:rsidRPr="00794948" w:rsidRDefault="000838F8" w:rsidP="008E5B59">
            <w:pPr>
              <w:rPr>
                <w:b/>
                <w:bCs/>
                <w:color w:val="000000"/>
                <w:sz w:val="20"/>
                <w:szCs w:val="20"/>
              </w:rPr>
            </w:pPr>
          </w:p>
        </w:tc>
        <w:tc>
          <w:tcPr>
            <w:tcW w:w="705" w:type="dxa"/>
            <w:vMerge/>
            <w:tcBorders>
              <w:top w:val="single" w:sz="4" w:space="0" w:color="BFBFBF" w:themeColor="background1" w:themeShade="BF"/>
              <w:bottom w:val="single" w:sz="4" w:space="0" w:color="auto"/>
            </w:tcBorders>
            <w:shd w:val="clear" w:color="auto" w:fill="D9E2F3" w:themeFill="accent1" w:themeFillTint="33"/>
            <w:vAlign w:val="center"/>
          </w:tcPr>
          <w:p w14:paraId="556C3FFB" w14:textId="77777777" w:rsidR="000838F8" w:rsidRPr="00794948" w:rsidRDefault="000838F8" w:rsidP="006E5806">
            <w:pPr>
              <w:jc w:val="center"/>
              <w:rPr>
                <w:b/>
                <w:bCs/>
                <w:color w:val="000000"/>
                <w:sz w:val="20"/>
                <w:szCs w:val="20"/>
              </w:rPr>
            </w:pPr>
          </w:p>
        </w:tc>
        <w:tc>
          <w:tcPr>
            <w:tcW w:w="879" w:type="dxa"/>
            <w:tcBorders>
              <w:top w:val="single" w:sz="4" w:space="0" w:color="BFBFBF" w:themeColor="background1" w:themeShade="BF"/>
              <w:bottom w:val="single" w:sz="4" w:space="0" w:color="auto"/>
            </w:tcBorders>
            <w:shd w:val="clear" w:color="auto" w:fill="D9E2F3" w:themeFill="accent1" w:themeFillTint="33"/>
            <w:noWrap/>
            <w:hideMark/>
          </w:tcPr>
          <w:p w14:paraId="0E0200CB" w14:textId="5C8E2D49" w:rsidR="000838F8" w:rsidRPr="00794948" w:rsidRDefault="000838F8" w:rsidP="008E5B59">
            <w:pPr>
              <w:jc w:val="center"/>
              <w:rPr>
                <w:b/>
                <w:bCs/>
                <w:color w:val="000000"/>
                <w:sz w:val="20"/>
                <w:szCs w:val="20"/>
              </w:rPr>
            </w:pPr>
            <w:r w:rsidRPr="00794948">
              <w:rPr>
                <w:b/>
                <w:bCs/>
                <w:color w:val="000000"/>
                <w:sz w:val="20"/>
                <w:szCs w:val="20"/>
              </w:rPr>
              <w:t>2012</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7DE52A62" w14:textId="77777777" w:rsidR="000838F8" w:rsidRPr="00794948" w:rsidRDefault="000838F8" w:rsidP="008E5B59">
            <w:pPr>
              <w:jc w:val="center"/>
              <w:rPr>
                <w:b/>
                <w:bCs/>
                <w:color w:val="000000"/>
                <w:sz w:val="20"/>
                <w:szCs w:val="20"/>
              </w:rPr>
            </w:pPr>
            <w:r w:rsidRPr="00794948">
              <w:rPr>
                <w:b/>
                <w:bCs/>
                <w:color w:val="000000"/>
                <w:sz w:val="20"/>
                <w:szCs w:val="20"/>
              </w:rPr>
              <w:t>2013</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5B97EC1C" w14:textId="77777777" w:rsidR="000838F8" w:rsidRPr="00794948" w:rsidRDefault="000838F8" w:rsidP="008E5B59">
            <w:pPr>
              <w:jc w:val="center"/>
              <w:rPr>
                <w:b/>
                <w:bCs/>
                <w:color w:val="000000"/>
                <w:sz w:val="20"/>
                <w:szCs w:val="20"/>
              </w:rPr>
            </w:pPr>
            <w:r w:rsidRPr="00794948">
              <w:rPr>
                <w:b/>
                <w:bCs/>
                <w:color w:val="000000"/>
                <w:sz w:val="20"/>
                <w:szCs w:val="20"/>
              </w:rPr>
              <w:t>2014</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6E49C769" w14:textId="77777777" w:rsidR="000838F8" w:rsidRPr="00794948" w:rsidRDefault="000838F8" w:rsidP="008E5B59">
            <w:pPr>
              <w:jc w:val="center"/>
              <w:rPr>
                <w:b/>
                <w:bCs/>
                <w:color w:val="000000"/>
                <w:sz w:val="20"/>
                <w:szCs w:val="20"/>
              </w:rPr>
            </w:pPr>
            <w:r w:rsidRPr="00794948">
              <w:rPr>
                <w:b/>
                <w:bCs/>
                <w:color w:val="000000"/>
                <w:sz w:val="20"/>
                <w:szCs w:val="20"/>
              </w:rPr>
              <w:t>2015</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1F73EDCC" w14:textId="77777777" w:rsidR="000838F8" w:rsidRPr="00794948" w:rsidRDefault="000838F8" w:rsidP="008E5B59">
            <w:pPr>
              <w:jc w:val="center"/>
              <w:rPr>
                <w:b/>
                <w:bCs/>
                <w:color w:val="000000"/>
                <w:sz w:val="20"/>
                <w:szCs w:val="20"/>
              </w:rPr>
            </w:pPr>
            <w:r w:rsidRPr="00794948">
              <w:rPr>
                <w:b/>
                <w:bCs/>
                <w:color w:val="000000"/>
                <w:sz w:val="20"/>
                <w:szCs w:val="20"/>
              </w:rPr>
              <w:t>2016</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3D767F41" w14:textId="77777777" w:rsidR="000838F8" w:rsidRPr="00794948" w:rsidRDefault="000838F8" w:rsidP="008E5B59">
            <w:pPr>
              <w:jc w:val="center"/>
              <w:rPr>
                <w:b/>
                <w:bCs/>
                <w:color w:val="000000"/>
                <w:sz w:val="20"/>
                <w:szCs w:val="20"/>
              </w:rPr>
            </w:pPr>
            <w:r w:rsidRPr="00794948">
              <w:rPr>
                <w:b/>
                <w:bCs/>
                <w:color w:val="000000"/>
                <w:sz w:val="20"/>
                <w:szCs w:val="20"/>
              </w:rPr>
              <w:t>2017</w:t>
            </w:r>
          </w:p>
        </w:tc>
        <w:tc>
          <w:tcPr>
            <w:tcW w:w="906" w:type="dxa"/>
            <w:tcBorders>
              <w:top w:val="single" w:sz="4" w:space="0" w:color="BFBFBF" w:themeColor="background1" w:themeShade="BF"/>
              <w:bottom w:val="single" w:sz="4" w:space="0" w:color="auto"/>
            </w:tcBorders>
            <w:shd w:val="clear" w:color="auto" w:fill="D9E2F3" w:themeFill="accent1" w:themeFillTint="33"/>
            <w:noWrap/>
            <w:hideMark/>
          </w:tcPr>
          <w:p w14:paraId="05FCB9C8" w14:textId="77777777" w:rsidR="000838F8" w:rsidRPr="00794948" w:rsidRDefault="000838F8" w:rsidP="008E5B59">
            <w:pPr>
              <w:jc w:val="center"/>
              <w:rPr>
                <w:b/>
                <w:bCs/>
                <w:color w:val="000000"/>
                <w:sz w:val="20"/>
                <w:szCs w:val="20"/>
              </w:rPr>
            </w:pPr>
            <w:r w:rsidRPr="00794948">
              <w:rPr>
                <w:b/>
                <w:bCs/>
                <w:color w:val="000000"/>
                <w:sz w:val="20"/>
                <w:szCs w:val="20"/>
              </w:rPr>
              <w:t>2018</w:t>
            </w:r>
          </w:p>
        </w:tc>
        <w:tc>
          <w:tcPr>
            <w:tcW w:w="1056" w:type="dxa"/>
            <w:tcBorders>
              <w:top w:val="single" w:sz="4" w:space="0" w:color="BFBFBF" w:themeColor="background1" w:themeShade="BF"/>
              <w:bottom w:val="single" w:sz="4" w:space="0" w:color="auto"/>
            </w:tcBorders>
            <w:shd w:val="clear" w:color="auto" w:fill="D9E2F3" w:themeFill="accent1" w:themeFillTint="33"/>
            <w:noWrap/>
            <w:hideMark/>
          </w:tcPr>
          <w:p w14:paraId="4B6FE6FA" w14:textId="77777777" w:rsidR="000838F8" w:rsidRPr="00794948" w:rsidRDefault="000838F8" w:rsidP="008E5B59">
            <w:pPr>
              <w:jc w:val="center"/>
              <w:rPr>
                <w:b/>
                <w:bCs/>
                <w:color w:val="000000"/>
                <w:sz w:val="20"/>
                <w:szCs w:val="20"/>
              </w:rPr>
            </w:pPr>
            <w:r w:rsidRPr="00794948">
              <w:rPr>
                <w:b/>
                <w:bCs/>
                <w:color w:val="000000"/>
                <w:sz w:val="20"/>
                <w:szCs w:val="20"/>
              </w:rPr>
              <w:t>2019</w:t>
            </w:r>
          </w:p>
        </w:tc>
      </w:tr>
      <w:tr w:rsidR="000838F8" w:rsidRPr="00794948" w14:paraId="0C4F1476" w14:textId="77777777" w:rsidTr="00794948">
        <w:trPr>
          <w:trHeight w:val="275"/>
          <w:jc w:val="center"/>
        </w:trPr>
        <w:tc>
          <w:tcPr>
            <w:tcW w:w="1275" w:type="dxa"/>
            <w:vMerge w:val="restart"/>
            <w:tcBorders>
              <w:top w:val="single" w:sz="4" w:space="0" w:color="auto"/>
            </w:tcBorders>
            <w:shd w:val="clear" w:color="auto" w:fill="D9E2F3" w:themeFill="accent1" w:themeFillTint="33"/>
            <w:noWrap/>
            <w:vAlign w:val="center"/>
            <w:hideMark/>
          </w:tcPr>
          <w:p w14:paraId="65B4AE0A" w14:textId="77777777" w:rsidR="000838F8" w:rsidRPr="00794948" w:rsidRDefault="000838F8" w:rsidP="000838F8">
            <w:pPr>
              <w:jc w:val="center"/>
              <w:rPr>
                <w:b/>
                <w:bCs/>
                <w:color w:val="000000"/>
                <w:sz w:val="20"/>
                <w:szCs w:val="20"/>
              </w:rPr>
            </w:pPr>
            <w:r w:rsidRPr="00794948">
              <w:rPr>
                <w:b/>
                <w:bCs/>
                <w:color w:val="000000"/>
                <w:sz w:val="20"/>
                <w:szCs w:val="20"/>
              </w:rPr>
              <w:t>Česká republika</w:t>
            </w:r>
          </w:p>
        </w:tc>
        <w:tc>
          <w:tcPr>
            <w:tcW w:w="705" w:type="dxa"/>
            <w:tcBorders>
              <w:top w:val="single" w:sz="4" w:space="0" w:color="auto"/>
            </w:tcBorders>
            <w:shd w:val="clear" w:color="auto" w:fill="D9E2F3" w:themeFill="accent1" w:themeFillTint="33"/>
            <w:vAlign w:val="center"/>
          </w:tcPr>
          <w:p w14:paraId="788D3E57" w14:textId="79043D21" w:rsidR="000838F8" w:rsidRPr="00794948" w:rsidRDefault="0067040D" w:rsidP="0067040D">
            <w:pPr>
              <w:jc w:val="center"/>
              <w:rPr>
                <w:sz w:val="20"/>
                <w:szCs w:val="20"/>
              </w:rPr>
            </w:pPr>
            <w:r w:rsidRPr="00794948">
              <w:rPr>
                <w:sz w:val="20"/>
                <w:szCs w:val="20"/>
              </w:rPr>
              <w:t>CZK</w:t>
            </w:r>
          </w:p>
        </w:tc>
        <w:tc>
          <w:tcPr>
            <w:tcW w:w="879" w:type="dxa"/>
            <w:tcBorders>
              <w:top w:val="single" w:sz="4" w:space="0" w:color="auto"/>
            </w:tcBorders>
            <w:shd w:val="clear" w:color="auto" w:fill="D9E2F3" w:themeFill="accent1" w:themeFillTint="33"/>
            <w:noWrap/>
            <w:vAlign w:val="center"/>
            <w:hideMark/>
          </w:tcPr>
          <w:p w14:paraId="5F85A114" w14:textId="34DF60B1"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2481683D" w14:textId="05BE982F"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1388BC30" w14:textId="0095EE71"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7FA8309C" w14:textId="13140815"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725DD332" w14:textId="0722451E"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147C0F31" w14:textId="5FCC3089" w:rsidR="000838F8" w:rsidRPr="00794948" w:rsidRDefault="000838F8" w:rsidP="001C5B4B">
            <w:pPr>
              <w:jc w:val="right"/>
              <w:rPr>
                <w:color w:val="000000"/>
                <w:sz w:val="20"/>
                <w:szCs w:val="20"/>
              </w:rPr>
            </w:pPr>
            <w:r w:rsidRPr="00794948">
              <w:rPr>
                <w:sz w:val="20"/>
                <w:szCs w:val="20"/>
              </w:rPr>
              <w:t>3 410</w:t>
            </w:r>
          </w:p>
        </w:tc>
        <w:tc>
          <w:tcPr>
            <w:tcW w:w="906" w:type="dxa"/>
            <w:tcBorders>
              <w:top w:val="single" w:sz="4" w:space="0" w:color="auto"/>
            </w:tcBorders>
            <w:shd w:val="clear" w:color="auto" w:fill="D9E2F3" w:themeFill="accent1" w:themeFillTint="33"/>
            <w:noWrap/>
            <w:vAlign w:val="center"/>
            <w:hideMark/>
          </w:tcPr>
          <w:p w14:paraId="765F7F2C" w14:textId="3282F2CD" w:rsidR="000838F8" w:rsidRPr="00794948" w:rsidRDefault="000838F8" w:rsidP="001C5B4B">
            <w:pPr>
              <w:jc w:val="right"/>
              <w:rPr>
                <w:color w:val="000000"/>
                <w:sz w:val="20"/>
                <w:szCs w:val="20"/>
              </w:rPr>
            </w:pPr>
            <w:r w:rsidRPr="00794948">
              <w:rPr>
                <w:sz w:val="20"/>
                <w:szCs w:val="20"/>
              </w:rPr>
              <w:t>3 410</w:t>
            </w:r>
          </w:p>
        </w:tc>
        <w:tc>
          <w:tcPr>
            <w:tcW w:w="1056" w:type="dxa"/>
            <w:tcBorders>
              <w:top w:val="single" w:sz="4" w:space="0" w:color="auto"/>
            </w:tcBorders>
            <w:shd w:val="clear" w:color="auto" w:fill="D9E2F3" w:themeFill="accent1" w:themeFillTint="33"/>
            <w:noWrap/>
            <w:vAlign w:val="center"/>
            <w:hideMark/>
          </w:tcPr>
          <w:p w14:paraId="489EB9EA" w14:textId="00F085E8" w:rsidR="000838F8" w:rsidRPr="00794948" w:rsidRDefault="00B53594" w:rsidP="001C5B4B">
            <w:pPr>
              <w:jc w:val="right"/>
              <w:rPr>
                <w:color w:val="000000"/>
                <w:sz w:val="20"/>
                <w:szCs w:val="20"/>
              </w:rPr>
            </w:pPr>
            <w:r w:rsidRPr="00794948">
              <w:rPr>
                <w:color w:val="000000"/>
                <w:sz w:val="20"/>
                <w:szCs w:val="20"/>
              </w:rPr>
              <w:t>3 410</w:t>
            </w:r>
          </w:p>
        </w:tc>
      </w:tr>
      <w:tr w:rsidR="000838F8" w:rsidRPr="00794948" w14:paraId="45AD7CE8" w14:textId="77777777" w:rsidTr="00794948">
        <w:trPr>
          <w:trHeight w:val="275"/>
          <w:jc w:val="center"/>
        </w:trPr>
        <w:tc>
          <w:tcPr>
            <w:tcW w:w="1275" w:type="dxa"/>
            <w:vMerge/>
            <w:tcBorders>
              <w:bottom w:val="single" w:sz="4" w:space="0" w:color="auto"/>
            </w:tcBorders>
            <w:shd w:val="clear" w:color="auto" w:fill="D9E2F3" w:themeFill="accent1" w:themeFillTint="33"/>
            <w:vAlign w:val="center"/>
            <w:hideMark/>
          </w:tcPr>
          <w:p w14:paraId="50D0AD29" w14:textId="77777777" w:rsidR="000838F8" w:rsidRPr="00794948" w:rsidRDefault="000838F8" w:rsidP="000838F8">
            <w:pPr>
              <w:jc w:val="center"/>
              <w:rPr>
                <w:b/>
                <w:bCs/>
                <w:color w:val="000000"/>
                <w:sz w:val="20"/>
                <w:szCs w:val="20"/>
              </w:rPr>
            </w:pPr>
          </w:p>
        </w:tc>
        <w:tc>
          <w:tcPr>
            <w:tcW w:w="705" w:type="dxa"/>
            <w:tcBorders>
              <w:bottom w:val="single" w:sz="4" w:space="0" w:color="auto"/>
            </w:tcBorders>
            <w:shd w:val="clear" w:color="auto" w:fill="E2E9F6"/>
            <w:vAlign w:val="center"/>
          </w:tcPr>
          <w:p w14:paraId="7D588FE9" w14:textId="25BE51F3" w:rsidR="000838F8" w:rsidRPr="00794948" w:rsidRDefault="0067040D" w:rsidP="0067040D">
            <w:pPr>
              <w:jc w:val="center"/>
              <w:rPr>
                <w:sz w:val="20"/>
                <w:szCs w:val="20"/>
              </w:rPr>
            </w:pPr>
            <w:r w:rsidRPr="00794948">
              <w:rPr>
                <w:sz w:val="20"/>
                <w:szCs w:val="20"/>
              </w:rPr>
              <w:t>EUR</w:t>
            </w:r>
          </w:p>
        </w:tc>
        <w:tc>
          <w:tcPr>
            <w:tcW w:w="879" w:type="dxa"/>
            <w:tcBorders>
              <w:bottom w:val="single" w:sz="4" w:space="0" w:color="auto"/>
            </w:tcBorders>
            <w:shd w:val="clear" w:color="auto" w:fill="E2E9F6"/>
            <w:noWrap/>
            <w:vAlign w:val="center"/>
            <w:hideMark/>
          </w:tcPr>
          <w:p w14:paraId="708FE3DF" w14:textId="5D9D79DA" w:rsidR="000838F8" w:rsidRPr="00794948" w:rsidRDefault="000838F8" w:rsidP="001C5B4B">
            <w:pPr>
              <w:jc w:val="right"/>
              <w:rPr>
                <w:color w:val="000000"/>
                <w:sz w:val="20"/>
                <w:szCs w:val="20"/>
              </w:rPr>
            </w:pPr>
            <w:r w:rsidRPr="00794948">
              <w:rPr>
                <w:sz w:val="20"/>
                <w:szCs w:val="20"/>
              </w:rPr>
              <w:t>136</w:t>
            </w:r>
          </w:p>
        </w:tc>
        <w:tc>
          <w:tcPr>
            <w:tcW w:w="906" w:type="dxa"/>
            <w:tcBorders>
              <w:bottom w:val="single" w:sz="4" w:space="0" w:color="auto"/>
            </w:tcBorders>
            <w:shd w:val="clear" w:color="auto" w:fill="E2E9F6"/>
            <w:noWrap/>
            <w:vAlign w:val="center"/>
            <w:hideMark/>
          </w:tcPr>
          <w:p w14:paraId="5B25C404" w14:textId="13A9EC5B" w:rsidR="000838F8" w:rsidRPr="00794948" w:rsidRDefault="000838F8" w:rsidP="001C5B4B">
            <w:pPr>
              <w:jc w:val="right"/>
              <w:rPr>
                <w:color w:val="000000"/>
                <w:sz w:val="20"/>
                <w:szCs w:val="20"/>
              </w:rPr>
            </w:pPr>
            <w:r w:rsidRPr="00794948">
              <w:rPr>
                <w:sz w:val="20"/>
                <w:szCs w:val="20"/>
              </w:rPr>
              <w:t>125</w:t>
            </w:r>
          </w:p>
        </w:tc>
        <w:tc>
          <w:tcPr>
            <w:tcW w:w="906" w:type="dxa"/>
            <w:tcBorders>
              <w:bottom w:val="single" w:sz="4" w:space="0" w:color="auto"/>
            </w:tcBorders>
            <w:shd w:val="clear" w:color="auto" w:fill="E2E9F6"/>
            <w:noWrap/>
            <w:vAlign w:val="center"/>
            <w:hideMark/>
          </w:tcPr>
          <w:p w14:paraId="52DDBDC5" w14:textId="53A708BE" w:rsidR="000838F8" w:rsidRPr="00794948" w:rsidRDefault="000838F8" w:rsidP="001C5B4B">
            <w:pPr>
              <w:jc w:val="right"/>
              <w:rPr>
                <w:color w:val="000000"/>
                <w:sz w:val="20"/>
                <w:szCs w:val="20"/>
              </w:rPr>
            </w:pPr>
            <w:r w:rsidRPr="00794948">
              <w:rPr>
                <w:sz w:val="20"/>
                <w:szCs w:val="20"/>
              </w:rPr>
              <w:t>123</w:t>
            </w:r>
          </w:p>
        </w:tc>
        <w:tc>
          <w:tcPr>
            <w:tcW w:w="906" w:type="dxa"/>
            <w:tcBorders>
              <w:bottom w:val="single" w:sz="4" w:space="0" w:color="auto"/>
            </w:tcBorders>
            <w:shd w:val="clear" w:color="auto" w:fill="E2E9F6"/>
            <w:noWrap/>
            <w:vAlign w:val="center"/>
            <w:hideMark/>
          </w:tcPr>
          <w:p w14:paraId="1FC6131F" w14:textId="14AEA7D6" w:rsidR="000838F8" w:rsidRPr="00794948" w:rsidRDefault="000838F8" w:rsidP="001C5B4B">
            <w:pPr>
              <w:jc w:val="right"/>
              <w:rPr>
                <w:color w:val="000000"/>
                <w:sz w:val="20"/>
                <w:szCs w:val="20"/>
              </w:rPr>
            </w:pPr>
            <w:r w:rsidRPr="00794948">
              <w:rPr>
                <w:sz w:val="20"/>
                <w:szCs w:val="20"/>
              </w:rPr>
              <w:t>126</w:t>
            </w:r>
          </w:p>
        </w:tc>
        <w:tc>
          <w:tcPr>
            <w:tcW w:w="906" w:type="dxa"/>
            <w:tcBorders>
              <w:bottom w:val="single" w:sz="4" w:space="0" w:color="auto"/>
            </w:tcBorders>
            <w:shd w:val="clear" w:color="auto" w:fill="E2E9F6"/>
            <w:noWrap/>
            <w:vAlign w:val="center"/>
            <w:hideMark/>
          </w:tcPr>
          <w:p w14:paraId="0CD85CF7" w14:textId="68AC52E0" w:rsidR="000838F8" w:rsidRPr="00794948" w:rsidRDefault="000838F8" w:rsidP="001C5B4B">
            <w:pPr>
              <w:jc w:val="right"/>
              <w:rPr>
                <w:color w:val="000000"/>
                <w:sz w:val="20"/>
                <w:szCs w:val="20"/>
              </w:rPr>
            </w:pPr>
            <w:r w:rsidRPr="00794948">
              <w:rPr>
                <w:sz w:val="20"/>
                <w:szCs w:val="20"/>
              </w:rPr>
              <w:t>126</w:t>
            </w:r>
          </w:p>
        </w:tc>
        <w:tc>
          <w:tcPr>
            <w:tcW w:w="906" w:type="dxa"/>
            <w:tcBorders>
              <w:bottom w:val="single" w:sz="4" w:space="0" w:color="auto"/>
            </w:tcBorders>
            <w:shd w:val="clear" w:color="auto" w:fill="E2E9F6"/>
            <w:noWrap/>
            <w:vAlign w:val="center"/>
            <w:hideMark/>
          </w:tcPr>
          <w:p w14:paraId="637314E5" w14:textId="752E8AB3" w:rsidR="000838F8" w:rsidRPr="00794948" w:rsidRDefault="000838F8" w:rsidP="001C5B4B">
            <w:pPr>
              <w:jc w:val="right"/>
              <w:rPr>
                <w:color w:val="000000"/>
                <w:sz w:val="20"/>
                <w:szCs w:val="20"/>
              </w:rPr>
            </w:pPr>
            <w:r w:rsidRPr="00794948">
              <w:rPr>
                <w:sz w:val="20"/>
                <w:szCs w:val="20"/>
              </w:rPr>
              <w:t>134</w:t>
            </w:r>
          </w:p>
        </w:tc>
        <w:tc>
          <w:tcPr>
            <w:tcW w:w="906" w:type="dxa"/>
            <w:tcBorders>
              <w:bottom w:val="single" w:sz="4" w:space="0" w:color="auto"/>
            </w:tcBorders>
            <w:shd w:val="clear" w:color="auto" w:fill="E2E9F6"/>
            <w:noWrap/>
            <w:vAlign w:val="center"/>
            <w:hideMark/>
          </w:tcPr>
          <w:p w14:paraId="50F572A0" w14:textId="3590A714" w:rsidR="000838F8" w:rsidRPr="00794948" w:rsidRDefault="000838F8" w:rsidP="001C5B4B">
            <w:pPr>
              <w:jc w:val="right"/>
              <w:rPr>
                <w:color w:val="000000"/>
                <w:sz w:val="20"/>
                <w:szCs w:val="20"/>
              </w:rPr>
            </w:pPr>
            <w:r w:rsidRPr="00794948">
              <w:rPr>
                <w:sz w:val="20"/>
                <w:szCs w:val="20"/>
              </w:rPr>
              <w:t>133</w:t>
            </w:r>
          </w:p>
        </w:tc>
        <w:tc>
          <w:tcPr>
            <w:tcW w:w="1056" w:type="dxa"/>
            <w:tcBorders>
              <w:bottom w:val="single" w:sz="4" w:space="0" w:color="auto"/>
            </w:tcBorders>
            <w:shd w:val="clear" w:color="auto" w:fill="E2E9F6"/>
            <w:noWrap/>
            <w:vAlign w:val="center"/>
            <w:hideMark/>
          </w:tcPr>
          <w:p w14:paraId="733B515E" w14:textId="78CCF283" w:rsidR="000838F8" w:rsidRPr="00794948" w:rsidRDefault="00694AAC" w:rsidP="001C5B4B">
            <w:pPr>
              <w:jc w:val="right"/>
              <w:rPr>
                <w:color w:val="000000"/>
                <w:sz w:val="20"/>
                <w:szCs w:val="20"/>
              </w:rPr>
            </w:pPr>
            <w:r w:rsidRPr="00794948">
              <w:rPr>
                <w:color w:val="000000"/>
                <w:sz w:val="20"/>
                <w:szCs w:val="20"/>
              </w:rPr>
              <w:t>134</w:t>
            </w:r>
          </w:p>
        </w:tc>
      </w:tr>
      <w:tr w:rsidR="00B53594" w:rsidRPr="00794948" w14:paraId="708E3E70" w14:textId="77777777" w:rsidTr="00794948">
        <w:trPr>
          <w:trHeight w:val="275"/>
          <w:jc w:val="center"/>
        </w:trPr>
        <w:tc>
          <w:tcPr>
            <w:tcW w:w="1275" w:type="dxa"/>
            <w:vMerge w:val="restart"/>
            <w:tcBorders>
              <w:top w:val="single" w:sz="4" w:space="0" w:color="auto"/>
              <w:bottom w:val="single" w:sz="4" w:space="0" w:color="BFBFBF" w:themeColor="background1" w:themeShade="BF"/>
            </w:tcBorders>
            <w:shd w:val="clear" w:color="auto" w:fill="D9E2F3" w:themeFill="accent1" w:themeFillTint="33"/>
            <w:noWrap/>
            <w:vAlign w:val="center"/>
            <w:hideMark/>
          </w:tcPr>
          <w:p w14:paraId="2B9DB091" w14:textId="77777777" w:rsidR="00B53594" w:rsidRPr="00794948" w:rsidRDefault="00B53594" w:rsidP="00B53594">
            <w:pPr>
              <w:jc w:val="center"/>
              <w:rPr>
                <w:b/>
                <w:bCs/>
                <w:color w:val="000000"/>
                <w:sz w:val="20"/>
                <w:szCs w:val="20"/>
              </w:rPr>
            </w:pPr>
            <w:r w:rsidRPr="00794948">
              <w:rPr>
                <w:b/>
                <w:bCs/>
                <w:color w:val="000000"/>
                <w:sz w:val="20"/>
                <w:szCs w:val="20"/>
              </w:rPr>
              <w:t>Maďarsko</w:t>
            </w:r>
          </w:p>
        </w:tc>
        <w:tc>
          <w:tcPr>
            <w:tcW w:w="705" w:type="dxa"/>
            <w:tcBorders>
              <w:top w:val="single" w:sz="4" w:space="0" w:color="auto"/>
              <w:bottom w:val="single" w:sz="4" w:space="0" w:color="BFBFBF" w:themeColor="background1" w:themeShade="BF"/>
            </w:tcBorders>
            <w:shd w:val="clear" w:color="auto" w:fill="D9E2F3" w:themeFill="accent1" w:themeFillTint="33"/>
            <w:vAlign w:val="center"/>
          </w:tcPr>
          <w:p w14:paraId="146CCB2B" w14:textId="3A73B818" w:rsidR="00B53594" w:rsidRPr="00794948" w:rsidRDefault="00B53594" w:rsidP="00B53594">
            <w:pPr>
              <w:jc w:val="center"/>
              <w:rPr>
                <w:sz w:val="20"/>
                <w:szCs w:val="20"/>
              </w:rPr>
            </w:pPr>
            <w:r w:rsidRPr="00794948">
              <w:rPr>
                <w:sz w:val="20"/>
                <w:szCs w:val="20"/>
              </w:rPr>
              <w:t>HUF</w:t>
            </w:r>
          </w:p>
        </w:tc>
        <w:tc>
          <w:tcPr>
            <w:tcW w:w="87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5B8B6DCF" w14:textId="4995D72E" w:rsidR="00B53594" w:rsidRPr="00794948" w:rsidRDefault="00B53594" w:rsidP="001C5B4B">
            <w:pPr>
              <w:jc w:val="right"/>
              <w:rPr>
                <w:color w:val="000000"/>
                <w:sz w:val="20"/>
                <w:szCs w:val="20"/>
              </w:rPr>
            </w:pPr>
            <w:r w:rsidRPr="00794948">
              <w:rPr>
                <w:sz w:val="20"/>
                <w:szCs w:val="20"/>
              </w:rPr>
              <w:t>85 960</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0F0094D0" w14:textId="172F6330" w:rsidR="00B53594" w:rsidRPr="00794948" w:rsidRDefault="00B53594" w:rsidP="001C5B4B">
            <w:pPr>
              <w:jc w:val="right"/>
              <w:rPr>
                <w:color w:val="000000"/>
                <w:sz w:val="20"/>
                <w:szCs w:val="20"/>
              </w:rPr>
            </w:pPr>
            <w:r w:rsidRPr="00794948">
              <w:rPr>
                <w:sz w:val="20"/>
                <w:szCs w:val="20"/>
              </w:rPr>
              <w:t>87 510</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2459B7A5" w14:textId="75DBFB97" w:rsidR="00B53594" w:rsidRPr="00794948" w:rsidRDefault="00B53594" w:rsidP="001C5B4B">
            <w:pPr>
              <w:jc w:val="right"/>
              <w:rPr>
                <w:color w:val="000000"/>
                <w:sz w:val="20"/>
                <w:szCs w:val="20"/>
              </w:rPr>
            </w:pPr>
            <w:r w:rsidRPr="00794948">
              <w:rPr>
                <w:sz w:val="20"/>
                <w:szCs w:val="20"/>
              </w:rPr>
              <w:t>87 351</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20E704BE" w14:textId="77149AEB" w:rsidR="00B53594" w:rsidRPr="00794948" w:rsidRDefault="00B53594" w:rsidP="001C5B4B">
            <w:pPr>
              <w:jc w:val="right"/>
              <w:rPr>
                <w:color w:val="000000"/>
                <w:sz w:val="20"/>
                <w:szCs w:val="20"/>
              </w:rPr>
            </w:pPr>
            <w:r w:rsidRPr="00794948">
              <w:rPr>
                <w:sz w:val="20"/>
                <w:szCs w:val="20"/>
              </w:rPr>
              <w:t>88 016</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59ADB1A8" w14:textId="3FC69188" w:rsidR="00B53594" w:rsidRPr="00794948" w:rsidRDefault="00B53594" w:rsidP="001C5B4B">
            <w:pPr>
              <w:jc w:val="right"/>
              <w:rPr>
                <w:color w:val="000000"/>
                <w:sz w:val="20"/>
                <w:szCs w:val="20"/>
              </w:rPr>
            </w:pPr>
            <w:r w:rsidRPr="00794948">
              <w:rPr>
                <w:sz w:val="20"/>
                <w:szCs w:val="20"/>
              </w:rPr>
              <w:t>88 619</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7785628E" w14:textId="3D672703" w:rsidR="00B53594" w:rsidRPr="00794948" w:rsidRDefault="00B53594" w:rsidP="001C5B4B">
            <w:pPr>
              <w:jc w:val="right"/>
              <w:rPr>
                <w:color w:val="000000"/>
                <w:sz w:val="20"/>
                <w:szCs w:val="20"/>
              </w:rPr>
            </w:pPr>
            <w:r w:rsidRPr="00794948">
              <w:rPr>
                <w:sz w:val="20"/>
                <w:szCs w:val="20"/>
              </w:rPr>
              <w:t>90 450</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5322CA56" w14:textId="1E13FB58" w:rsidR="00B53594" w:rsidRPr="00794948" w:rsidRDefault="00B53594" w:rsidP="001C5B4B">
            <w:pPr>
              <w:jc w:val="right"/>
              <w:rPr>
                <w:color w:val="000000"/>
                <w:sz w:val="20"/>
                <w:szCs w:val="20"/>
              </w:rPr>
            </w:pPr>
            <w:r w:rsidRPr="00794948">
              <w:rPr>
                <w:sz w:val="20"/>
                <w:szCs w:val="20"/>
              </w:rPr>
              <w:t>138 000</w:t>
            </w:r>
          </w:p>
        </w:tc>
        <w:tc>
          <w:tcPr>
            <w:tcW w:w="105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78B91CAE" w14:textId="119FC634" w:rsidR="00B53594" w:rsidRPr="00794948" w:rsidRDefault="00B53594" w:rsidP="001C5B4B">
            <w:pPr>
              <w:jc w:val="right"/>
              <w:rPr>
                <w:color w:val="000000"/>
                <w:sz w:val="20"/>
                <w:szCs w:val="20"/>
              </w:rPr>
            </w:pPr>
            <w:r w:rsidRPr="00794948">
              <w:rPr>
                <w:color w:val="000000"/>
                <w:sz w:val="20"/>
                <w:szCs w:val="20"/>
              </w:rPr>
              <w:t>149 000</w:t>
            </w:r>
          </w:p>
        </w:tc>
      </w:tr>
      <w:tr w:rsidR="00B53594" w:rsidRPr="00794948" w14:paraId="3C97C121" w14:textId="77777777" w:rsidTr="00794948">
        <w:trPr>
          <w:trHeight w:val="275"/>
          <w:jc w:val="center"/>
        </w:trPr>
        <w:tc>
          <w:tcPr>
            <w:tcW w:w="1275" w:type="dxa"/>
            <w:vMerge/>
            <w:tcBorders>
              <w:top w:val="single" w:sz="4" w:space="0" w:color="BFBFBF" w:themeColor="background1" w:themeShade="BF"/>
              <w:bottom w:val="single" w:sz="4" w:space="0" w:color="auto"/>
            </w:tcBorders>
            <w:shd w:val="clear" w:color="auto" w:fill="D9E2F3" w:themeFill="accent1" w:themeFillTint="33"/>
            <w:vAlign w:val="center"/>
            <w:hideMark/>
          </w:tcPr>
          <w:p w14:paraId="1BFE3903" w14:textId="77777777" w:rsidR="00B53594" w:rsidRPr="00794948" w:rsidRDefault="00B53594" w:rsidP="00B53594">
            <w:pPr>
              <w:jc w:val="center"/>
              <w:rPr>
                <w:b/>
                <w:bCs/>
                <w:color w:val="000000"/>
                <w:sz w:val="20"/>
                <w:szCs w:val="20"/>
              </w:rPr>
            </w:pPr>
          </w:p>
        </w:tc>
        <w:tc>
          <w:tcPr>
            <w:tcW w:w="705" w:type="dxa"/>
            <w:tcBorders>
              <w:top w:val="single" w:sz="4" w:space="0" w:color="BFBFBF" w:themeColor="background1" w:themeShade="BF"/>
              <w:bottom w:val="single" w:sz="4" w:space="0" w:color="auto"/>
            </w:tcBorders>
            <w:shd w:val="clear" w:color="auto" w:fill="E2E9F6"/>
            <w:vAlign w:val="center"/>
          </w:tcPr>
          <w:p w14:paraId="184C0A94" w14:textId="4746482E" w:rsidR="00B53594" w:rsidRPr="00794948" w:rsidRDefault="00B53594" w:rsidP="00B53594">
            <w:pPr>
              <w:jc w:val="center"/>
              <w:rPr>
                <w:sz w:val="20"/>
                <w:szCs w:val="20"/>
              </w:rPr>
            </w:pPr>
            <w:r w:rsidRPr="00794948">
              <w:rPr>
                <w:sz w:val="20"/>
                <w:szCs w:val="20"/>
              </w:rPr>
              <w:t>EUR</w:t>
            </w:r>
          </w:p>
        </w:tc>
        <w:tc>
          <w:tcPr>
            <w:tcW w:w="879" w:type="dxa"/>
            <w:tcBorders>
              <w:top w:val="single" w:sz="4" w:space="0" w:color="BFBFBF" w:themeColor="background1" w:themeShade="BF"/>
              <w:bottom w:val="single" w:sz="4" w:space="0" w:color="auto"/>
            </w:tcBorders>
            <w:shd w:val="clear" w:color="auto" w:fill="E2E9F6"/>
            <w:noWrap/>
            <w:vAlign w:val="center"/>
            <w:hideMark/>
          </w:tcPr>
          <w:p w14:paraId="02DDF858" w14:textId="2CBAE0BA" w:rsidR="00B53594" w:rsidRPr="00794948" w:rsidRDefault="00B53594" w:rsidP="001C5B4B">
            <w:pPr>
              <w:jc w:val="right"/>
              <w:rPr>
                <w:color w:val="000000"/>
                <w:sz w:val="20"/>
                <w:szCs w:val="20"/>
              </w:rPr>
            </w:pPr>
            <w:r w:rsidRPr="00794948">
              <w:rPr>
                <w:sz w:val="20"/>
                <w:szCs w:val="20"/>
              </w:rPr>
              <w:t>277</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188CE9B0" w14:textId="1933107E" w:rsidR="00B53594" w:rsidRPr="00794948" w:rsidRDefault="00B53594" w:rsidP="001C5B4B">
            <w:pPr>
              <w:jc w:val="right"/>
              <w:rPr>
                <w:color w:val="000000"/>
                <w:sz w:val="20"/>
                <w:szCs w:val="20"/>
              </w:rPr>
            </w:pPr>
            <w:r w:rsidRPr="00794948">
              <w:rPr>
                <w:sz w:val="20"/>
                <w:szCs w:val="20"/>
              </w:rPr>
              <w:t>282</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70EDD4BC" w14:textId="15AB6ADA" w:rsidR="00B53594" w:rsidRPr="00794948" w:rsidRDefault="00B53594" w:rsidP="001C5B4B">
            <w:pPr>
              <w:jc w:val="right"/>
              <w:rPr>
                <w:color w:val="000000"/>
                <w:sz w:val="20"/>
                <w:szCs w:val="20"/>
              </w:rPr>
            </w:pPr>
            <w:r w:rsidRPr="00794948">
              <w:rPr>
                <w:sz w:val="20"/>
                <w:szCs w:val="20"/>
              </w:rPr>
              <w:t>282</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6F07324B" w14:textId="5CC73FA8" w:rsidR="00B53594" w:rsidRPr="00794948" w:rsidRDefault="00B53594" w:rsidP="001C5B4B">
            <w:pPr>
              <w:jc w:val="right"/>
              <w:rPr>
                <w:color w:val="000000"/>
                <w:sz w:val="20"/>
                <w:szCs w:val="20"/>
              </w:rPr>
            </w:pPr>
            <w:r w:rsidRPr="00794948">
              <w:rPr>
                <w:sz w:val="20"/>
                <w:szCs w:val="20"/>
              </w:rPr>
              <w:t>284</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02216D26" w14:textId="1117D334" w:rsidR="00B53594" w:rsidRPr="00794948" w:rsidRDefault="00B53594" w:rsidP="001C5B4B">
            <w:pPr>
              <w:jc w:val="right"/>
              <w:rPr>
                <w:color w:val="000000"/>
                <w:sz w:val="20"/>
                <w:szCs w:val="20"/>
              </w:rPr>
            </w:pPr>
            <w:r w:rsidRPr="00794948">
              <w:rPr>
                <w:sz w:val="20"/>
                <w:szCs w:val="20"/>
              </w:rPr>
              <w:t>286</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5764EEB2" w14:textId="6B7D1BAA" w:rsidR="00B53594" w:rsidRPr="00794948" w:rsidRDefault="00B53594" w:rsidP="001C5B4B">
            <w:pPr>
              <w:jc w:val="right"/>
              <w:rPr>
                <w:color w:val="000000"/>
                <w:sz w:val="20"/>
                <w:szCs w:val="20"/>
              </w:rPr>
            </w:pPr>
            <w:r w:rsidRPr="00794948">
              <w:rPr>
                <w:sz w:val="20"/>
                <w:szCs w:val="20"/>
              </w:rPr>
              <w:t>292</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5625FCBB" w14:textId="1190820E" w:rsidR="00B53594" w:rsidRPr="00794948" w:rsidRDefault="00B53594" w:rsidP="001C5B4B">
            <w:pPr>
              <w:jc w:val="right"/>
              <w:rPr>
                <w:color w:val="000000"/>
                <w:sz w:val="20"/>
                <w:szCs w:val="20"/>
              </w:rPr>
            </w:pPr>
            <w:r w:rsidRPr="00794948">
              <w:rPr>
                <w:sz w:val="20"/>
                <w:szCs w:val="20"/>
              </w:rPr>
              <w:t>427</w:t>
            </w:r>
          </w:p>
        </w:tc>
        <w:tc>
          <w:tcPr>
            <w:tcW w:w="1056" w:type="dxa"/>
            <w:tcBorders>
              <w:top w:val="single" w:sz="4" w:space="0" w:color="BFBFBF" w:themeColor="background1" w:themeShade="BF"/>
              <w:bottom w:val="single" w:sz="4" w:space="0" w:color="auto"/>
            </w:tcBorders>
            <w:shd w:val="clear" w:color="auto" w:fill="E2E9F6"/>
            <w:noWrap/>
            <w:vAlign w:val="center"/>
            <w:hideMark/>
          </w:tcPr>
          <w:p w14:paraId="0A5D6927" w14:textId="398379AB" w:rsidR="00B53594" w:rsidRPr="00794948" w:rsidRDefault="00B53594" w:rsidP="001C5B4B">
            <w:pPr>
              <w:jc w:val="right"/>
              <w:rPr>
                <w:color w:val="000000"/>
                <w:sz w:val="20"/>
                <w:szCs w:val="20"/>
              </w:rPr>
            </w:pPr>
            <w:r w:rsidRPr="00794948">
              <w:rPr>
                <w:color w:val="000000"/>
                <w:sz w:val="20"/>
                <w:szCs w:val="20"/>
              </w:rPr>
              <w:t>451</w:t>
            </w:r>
          </w:p>
        </w:tc>
      </w:tr>
      <w:tr w:rsidR="00B53594" w:rsidRPr="00794948" w14:paraId="679C2C12" w14:textId="77777777" w:rsidTr="00794948">
        <w:trPr>
          <w:trHeight w:val="558"/>
          <w:jc w:val="center"/>
        </w:trPr>
        <w:tc>
          <w:tcPr>
            <w:tcW w:w="1275" w:type="dxa"/>
            <w:tcBorders>
              <w:top w:val="single" w:sz="4" w:space="0" w:color="auto"/>
              <w:bottom w:val="single" w:sz="4" w:space="0" w:color="auto"/>
            </w:tcBorders>
            <w:shd w:val="clear" w:color="auto" w:fill="D9E2F3" w:themeFill="accent1" w:themeFillTint="33"/>
            <w:noWrap/>
            <w:vAlign w:val="center"/>
            <w:hideMark/>
          </w:tcPr>
          <w:p w14:paraId="24D8DF2A" w14:textId="77777777" w:rsidR="00B53594" w:rsidRPr="00794948" w:rsidRDefault="00B53594" w:rsidP="00B53594">
            <w:pPr>
              <w:jc w:val="center"/>
              <w:rPr>
                <w:b/>
                <w:bCs/>
                <w:color w:val="000000"/>
                <w:sz w:val="20"/>
                <w:szCs w:val="20"/>
              </w:rPr>
            </w:pPr>
            <w:r w:rsidRPr="00794948">
              <w:rPr>
                <w:b/>
                <w:bCs/>
                <w:color w:val="000000"/>
                <w:sz w:val="20"/>
                <w:szCs w:val="20"/>
              </w:rPr>
              <w:t>Německo</w:t>
            </w:r>
          </w:p>
        </w:tc>
        <w:tc>
          <w:tcPr>
            <w:tcW w:w="705" w:type="dxa"/>
            <w:tcBorders>
              <w:top w:val="single" w:sz="4" w:space="0" w:color="auto"/>
              <w:bottom w:val="single" w:sz="4" w:space="0" w:color="auto"/>
            </w:tcBorders>
            <w:shd w:val="clear" w:color="auto" w:fill="D9E2F3" w:themeFill="accent1" w:themeFillTint="33"/>
            <w:vAlign w:val="center"/>
          </w:tcPr>
          <w:p w14:paraId="50381EF7" w14:textId="7128FD45" w:rsidR="00B53594" w:rsidRPr="00794948" w:rsidRDefault="00B53594" w:rsidP="00B53594">
            <w:pPr>
              <w:jc w:val="center"/>
              <w:rPr>
                <w:sz w:val="20"/>
                <w:szCs w:val="20"/>
              </w:rPr>
            </w:pPr>
            <w:r w:rsidRPr="00794948">
              <w:rPr>
                <w:sz w:val="20"/>
                <w:szCs w:val="20"/>
              </w:rPr>
              <w:t>EUR</w:t>
            </w:r>
          </w:p>
        </w:tc>
        <w:tc>
          <w:tcPr>
            <w:tcW w:w="879" w:type="dxa"/>
            <w:tcBorders>
              <w:top w:val="single" w:sz="4" w:space="0" w:color="auto"/>
              <w:bottom w:val="single" w:sz="4" w:space="0" w:color="auto"/>
            </w:tcBorders>
            <w:shd w:val="clear" w:color="auto" w:fill="D9E2F3" w:themeFill="accent1" w:themeFillTint="33"/>
            <w:noWrap/>
            <w:vAlign w:val="center"/>
            <w:hideMark/>
          </w:tcPr>
          <w:p w14:paraId="2EF60F5F" w14:textId="383E7C6C" w:rsidR="00B53594" w:rsidRPr="00794948" w:rsidRDefault="00B53594" w:rsidP="001C5B4B">
            <w:pPr>
              <w:jc w:val="right"/>
              <w:rPr>
                <w:color w:val="000000"/>
                <w:sz w:val="20"/>
                <w:szCs w:val="20"/>
              </w:rPr>
            </w:pPr>
            <w:r w:rsidRPr="00794948">
              <w:rPr>
                <w:sz w:val="20"/>
                <w:szCs w:val="20"/>
              </w:rPr>
              <w:t>667</w:t>
            </w:r>
          </w:p>
        </w:tc>
        <w:tc>
          <w:tcPr>
            <w:tcW w:w="906" w:type="dxa"/>
            <w:tcBorders>
              <w:top w:val="single" w:sz="4" w:space="0" w:color="auto"/>
              <w:bottom w:val="single" w:sz="4" w:space="0" w:color="auto"/>
            </w:tcBorders>
            <w:shd w:val="clear" w:color="auto" w:fill="D9E2F3" w:themeFill="accent1" w:themeFillTint="33"/>
            <w:noWrap/>
            <w:vAlign w:val="center"/>
            <w:hideMark/>
          </w:tcPr>
          <w:p w14:paraId="30B8836F" w14:textId="438D6C29" w:rsidR="00B53594" w:rsidRPr="00794948" w:rsidRDefault="00B53594" w:rsidP="001C5B4B">
            <w:pPr>
              <w:jc w:val="right"/>
              <w:rPr>
                <w:color w:val="000000"/>
                <w:sz w:val="20"/>
                <w:szCs w:val="20"/>
              </w:rPr>
            </w:pPr>
            <w:r w:rsidRPr="00794948">
              <w:rPr>
                <w:sz w:val="20"/>
                <w:szCs w:val="20"/>
              </w:rPr>
              <w:t>678</w:t>
            </w:r>
          </w:p>
        </w:tc>
        <w:tc>
          <w:tcPr>
            <w:tcW w:w="906" w:type="dxa"/>
            <w:tcBorders>
              <w:top w:val="single" w:sz="4" w:space="0" w:color="auto"/>
              <w:bottom w:val="single" w:sz="4" w:space="0" w:color="auto"/>
            </w:tcBorders>
            <w:shd w:val="clear" w:color="auto" w:fill="D9E2F3" w:themeFill="accent1" w:themeFillTint="33"/>
            <w:noWrap/>
            <w:vAlign w:val="center"/>
            <w:hideMark/>
          </w:tcPr>
          <w:p w14:paraId="3196FD96" w14:textId="47138C4A" w:rsidR="00B53594" w:rsidRPr="00794948" w:rsidRDefault="00B53594" w:rsidP="001C5B4B">
            <w:pPr>
              <w:jc w:val="right"/>
              <w:rPr>
                <w:color w:val="000000"/>
                <w:sz w:val="20"/>
                <w:szCs w:val="20"/>
              </w:rPr>
            </w:pPr>
            <w:r w:rsidRPr="00794948">
              <w:rPr>
                <w:sz w:val="20"/>
                <w:szCs w:val="20"/>
              </w:rPr>
              <w:t>696</w:t>
            </w:r>
          </w:p>
        </w:tc>
        <w:tc>
          <w:tcPr>
            <w:tcW w:w="906" w:type="dxa"/>
            <w:tcBorders>
              <w:top w:val="single" w:sz="4" w:space="0" w:color="auto"/>
              <w:bottom w:val="single" w:sz="4" w:space="0" w:color="auto"/>
            </w:tcBorders>
            <w:shd w:val="clear" w:color="auto" w:fill="D9E2F3" w:themeFill="accent1" w:themeFillTint="33"/>
            <w:noWrap/>
            <w:vAlign w:val="center"/>
            <w:hideMark/>
          </w:tcPr>
          <w:p w14:paraId="088B292E" w14:textId="3423A4DE" w:rsidR="00B53594" w:rsidRPr="00794948" w:rsidRDefault="00B53594" w:rsidP="001C5B4B">
            <w:pPr>
              <w:jc w:val="right"/>
              <w:rPr>
                <w:color w:val="000000"/>
                <w:sz w:val="20"/>
                <w:szCs w:val="20"/>
              </w:rPr>
            </w:pPr>
            <w:r w:rsidRPr="00794948">
              <w:rPr>
                <w:sz w:val="20"/>
                <w:szCs w:val="20"/>
              </w:rPr>
              <w:t>706</w:t>
            </w:r>
          </w:p>
        </w:tc>
        <w:tc>
          <w:tcPr>
            <w:tcW w:w="906" w:type="dxa"/>
            <w:tcBorders>
              <w:top w:val="single" w:sz="4" w:space="0" w:color="auto"/>
              <w:bottom w:val="single" w:sz="4" w:space="0" w:color="auto"/>
            </w:tcBorders>
            <w:shd w:val="clear" w:color="auto" w:fill="D9E2F3" w:themeFill="accent1" w:themeFillTint="33"/>
            <w:noWrap/>
            <w:vAlign w:val="center"/>
            <w:hideMark/>
          </w:tcPr>
          <w:p w14:paraId="5DB77A57" w14:textId="6DE0288A" w:rsidR="00B53594" w:rsidRPr="00794948" w:rsidRDefault="00B53594" w:rsidP="001C5B4B">
            <w:pPr>
              <w:jc w:val="right"/>
              <w:rPr>
                <w:color w:val="000000"/>
                <w:sz w:val="20"/>
                <w:szCs w:val="20"/>
              </w:rPr>
            </w:pPr>
            <w:r w:rsidRPr="00794948">
              <w:rPr>
                <w:sz w:val="20"/>
                <w:szCs w:val="20"/>
              </w:rPr>
              <w:t>721</w:t>
            </w:r>
          </w:p>
        </w:tc>
        <w:tc>
          <w:tcPr>
            <w:tcW w:w="906" w:type="dxa"/>
            <w:tcBorders>
              <w:top w:val="single" w:sz="4" w:space="0" w:color="auto"/>
              <w:bottom w:val="single" w:sz="4" w:space="0" w:color="auto"/>
            </w:tcBorders>
            <w:shd w:val="clear" w:color="auto" w:fill="D9E2F3" w:themeFill="accent1" w:themeFillTint="33"/>
            <w:noWrap/>
            <w:vAlign w:val="center"/>
            <w:hideMark/>
          </w:tcPr>
          <w:p w14:paraId="62DD3106" w14:textId="0DC314D2" w:rsidR="00B53594" w:rsidRPr="00794948" w:rsidRDefault="00B53594" w:rsidP="001C5B4B">
            <w:pPr>
              <w:jc w:val="right"/>
              <w:rPr>
                <w:color w:val="000000"/>
                <w:sz w:val="20"/>
                <w:szCs w:val="20"/>
              </w:rPr>
            </w:pPr>
            <w:r w:rsidRPr="00794948">
              <w:rPr>
                <w:sz w:val="20"/>
                <w:szCs w:val="20"/>
              </w:rPr>
              <w:t>735</w:t>
            </w:r>
          </w:p>
        </w:tc>
        <w:tc>
          <w:tcPr>
            <w:tcW w:w="906" w:type="dxa"/>
            <w:tcBorders>
              <w:top w:val="single" w:sz="4" w:space="0" w:color="auto"/>
              <w:bottom w:val="single" w:sz="4" w:space="0" w:color="auto"/>
            </w:tcBorders>
            <w:shd w:val="clear" w:color="auto" w:fill="D9E2F3" w:themeFill="accent1" w:themeFillTint="33"/>
            <w:noWrap/>
            <w:vAlign w:val="center"/>
            <w:hideMark/>
          </w:tcPr>
          <w:p w14:paraId="5AAE8FB7" w14:textId="4AC28A24" w:rsidR="00B53594" w:rsidRPr="00794948" w:rsidRDefault="00B53594" w:rsidP="001C5B4B">
            <w:pPr>
              <w:jc w:val="right"/>
              <w:rPr>
                <w:color w:val="000000"/>
                <w:sz w:val="20"/>
                <w:szCs w:val="20"/>
              </w:rPr>
            </w:pPr>
            <w:r w:rsidRPr="00794948">
              <w:rPr>
                <w:sz w:val="20"/>
                <w:szCs w:val="20"/>
              </w:rPr>
              <w:t>750</w:t>
            </w:r>
          </w:p>
        </w:tc>
        <w:tc>
          <w:tcPr>
            <w:tcW w:w="1056" w:type="dxa"/>
            <w:tcBorders>
              <w:top w:val="single" w:sz="4" w:space="0" w:color="auto"/>
              <w:bottom w:val="single" w:sz="4" w:space="0" w:color="auto"/>
            </w:tcBorders>
            <w:shd w:val="clear" w:color="auto" w:fill="D9E2F3" w:themeFill="accent1" w:themeFillTint="33"/>
            <w:noWrap/>
            <w:vAlign w:val="center"/>
            <w:hideMark/>
          </w:tcPr>
          <w:p w14:paraId="389FDADD" w14:textId="2AFA743C" w:rsidR="00B53594" w:rsidRPr="00794948" w:rsidRDefault="00B53594" w:rsidP="001C5B4B">
            <w:pPr>
              <w:jc w:val="right"/>
              <w:rPr>
                <w:color w:val="000000"/>
                <w:sz w:val="20"/>
                <w:szCs w:val="20"/>
              </w:rPr>
            </w:pPr>
            <w:r w:rsidRPr="00794948">
              <w:rPr>
                <w:color w:val="000000"/>
                <w:sz w:val="20"/>
                <w:szCs w:val="20"/>
              </w:rPr>
              <w:t>764</w:t>
            </w:r>
          </w:p>
        </w:tc>
      </w:tr>
      <w:tr w:rsidR="00B53594" w:rsidRPr="00794948" w14:paraId="10312B4B" w14:textId="77777777" w:rsidTr="00794948">
        <w:trPr>
          <w:trHeight w:val="275"/>
          <w:jc w:val="center"/>
        </w:trPr>
        <w:tc>
          <w:tcPr>
            <w:tcW w:w="1275" w:type="dxa"/>
            <w:vMerge w:val="restart"/>
            <w:tcBorders>
              <w:top w:val="single" w:sz="4" w:space="0" w:color="auto"/>
              <w:bottom w:val="single" w:sz="4" w:space="0" w:color="BFBFBF" w:themeColor="background1" w:themeShade="BF"/>
            </w:tcBorders>
            <w:shd w:val="clear" w:color="auto" w:fill="D9E2F3" w:themeFill="accent1" w:themeFillTint="33"/>
            <w:noWrap/>
            <w:vAlign w:val="center"/>
            <w:hideMark/>
          </w:tcPr>
          <w:p w14:paraId="6D539BEF" w14:textId="77777777" w:rsidR="00B53594" w:rsidRPr="00794948" w:rsidRDefault="00B53594" w:rsidP="00B53594">
            <w:pPr>
              <w:jc w:val="center"/>
              <w:rPr>
                <w:b/>
                <w:bCs/>
                <w:color w:val="000000"/>
                <w:sz w:val="20"/>
                <w:szCs w:val="20"/>
              </w:rPr>
            </w:pPr>
            <w:r w:rsidRPr="00794948">
              <w:rPr>
                <w:b/>
                <w:bCs/>
                <w:color w:val="000000"/>
                <w:sz w:val="20"/>
                <w:szCs w:val="20"/>
              </w:rPr>
              <w:t>Polsko</w:t>
            </w:r>
          </w:p>
        </w:tc>
        <w:tc>
          <w:tcPr>
            <w:tcW w:w="705" w:type="dxa"/>
            <w:tcBorders>
              <w:top w:val="single" w:sz="4" w:space="0" w:color="auto"/>
              <w:bottom w:val="single" w:sz="4" w:space="0" w:color="BFBFBF" w:themeColor="background1" w:themeShade="BF"/>
            </w:tcBorders>
            <w:shd w:val="clear" w:color="auto" w:fill="D9E2F3" w:themeFill="accent1" w:themeFillTint="33"/>
            <w:vAlign w:val="center"/>
          </w:tcPr>
          <w:p w14:paraId="2DE7B95C" w14:textId="17FED02E" w:rsidR="00B53594" w:rsidRPr="00794948" w:rsidRDefault="00B53594" w:rsidP="00B53594">
            <w:pPr>
              <w:jc w:val="center"/>
              <w:rPr>
                <w:sz w:val="20"/>
                <w:szCs w:val="20"/>
              </w:rPr>
            </w:pPr>
            <w:r w:rsidRPr="00794948">
              <w:rPr>
                <w:sz w:val="20"/>
                <w:szCs w:val="20"/>
              </w:rPr>
              <w:t>PLN</w:t>
            </w:r>
          </w:p>
        </w:tc>
        <w:tc>
          <w:tcPr>
            <w:tcW w:w="879"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3B920128" w14:textId="1408BA82" w:rsidR="00B53594" w:rsidRPr="00794948" w:rsidRDefault="00B53594" w:rsidP="001C5B4B">
            <w:pPr>
              <w:jc w:val="right"/>
              <w:rPr>
                <w:color w:val="000000"/>
                <w:sz w:val="20"/>
                <w:szCs w:val="20"/>
              </w:rPr>
            </w:pPr>
            <w:r w:rsidRPr="00794948">
              <w:rPr>
                <w:sz w:val="20"/>
                <w:szCs w:val="20"/>
              </w:rPr>
              <w:t>591</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6B433392" w14:textId="0796E42E" w:rsidR="00B53594" w:rsidRPr="00794948" w:rsidRDefault="00B53594" w:rsidP="001C5B4B">
            <w:pPr>
              <w:jc w:val="right"/>
              <w:rPr>
                <w:color w:val="000000"/>
                <w:sz w:val="20"/>
                <w:szCs w:val="20"/>
              </w:rPr>
            </w:pPr>
            <w:r w:rsidRPr="00794948">
              <w:rPr>
                <w:sz w:val="20"/>
                <w:szCs w:val="20"/>
              </w:rPr>
              <w:t>542</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0C1E524A" w14:textId="4FC633AC" w:rsidR="00B53594" w:rsidRPr="00794948" w:rsidRDefault="00B53594" w:rsidP="001C5B4B">
            <w:pPr>
              <w:jc w:val="right"/>
              <w:rPr>
                <w:color w:val="000000"/>
                <w:sz w:val="20"/>
                <w:szCs w:val="20"/>
              </w:rPr>
            </w:pPr>
            <w:r w:rsidRPr="00794948">
              <w:rPr>
                <w:sz w:val="20"/>
                <w:szCs w:val="20"/>
              </w:rPr>
              <w:t>544</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0247AA3E" w14:textId="378B084C" w:rsidR="00B53594" w:rsidRPr="00794948" w:rsidRDefault="00B53594" w:rsidP="001C5B4B">
            <w:pPr>
              <w:jc w:val="right"/>
              <w:rPr>
                <w:color w:val="000000"/>
                <w:sz w:val="20"/>
                <w:szCs w:val="20"/>
              </w:rPr>
            </w:pPr>
            <w:r w:rsidRPr="00794948">
              <w:rPr>
                <w:sz w:val="20"/>
                <w:szCs w:val="20"/>
              </w:rPr>
              <w:t>546</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125AB955" w14:textId="465BE652" w:rsidR="00B53594" w:rsidRPr="00794948" w:rsidRDefault="00B53594" w:rsidP="001C5B4B">
            <w:pPr>
              <w:jc w:val="right"/>
              <w:rPr>
                <w:color w:val="000000"/>
                <w:sz w:val="20"/>
                <w:szCs w:val="20"/>
              </w:rPr>
            </w:pPr>
            <w:r w:rsidRPr="00794948">
              <w:rPr>
                <w:sz w:val="20"/>
                <w:szCs w:val="20"/>
              </w:rPr>
              <w:t>555</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3D84BD2F" w14:textId="608232BE" w:rsidR="00B53594" w:rsidRPr="00794948" w:rsidRDefault="00B53594" w:rsidP="001C5B4B">
            <w:pPr>
              <w:jc w:val="right"/>
              <w:rPr>
                <w:color w:val="000000"/>
                <w:sz w:val="20"/>
                <w:szCs w:val="20"/>
              </w:rPr>
            </w:pPr>
            <w:r w:rsidRPr="00794948">
              <w:rPr>
                <w:sz w:val="20"/>
                <w:szCs w:val="20"/>
              </w:rPr>
              <w:t>574</w:t>
            </w:r>
          </w:p>
        </w:tc>
        <w:tc>
          <w:tcPr>
            <w:tcW w:w="90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285A939C" w14:textId="52628F36" w:rsidR="00B53594" w:rsidRPr="00794948" w:rsidRDefault="00B53594" w:rsidP="001C5B4B">
            <w:pPr>
              <w:jc w:val="right"/>
              <w:rPr>
                <w:color w:val="000000"/>
                <w:sz w:val="20"/>
                <w:szCs w:val="20"/>
              </w:rPr>
            </w:pPr>
            <w:r w:rsidRPr="00794948">
              <w:rPr>
                <w:sz w:val="20"/>
                <w:szCs w:val="20"/>
              </w:rPr>
              <w:t>591</w:t>
            </w:r>
          </w:p>
        </w:tc>
        <w:tc>
          <w:tcPr>
            <w:tcW w:w="1056" w:type="dxa"/>
            <w:tcBorders>
              <w:top w:val="single" w:sz="4" w:space="0" w:color="auto"/>
              <w:bottom w:val="single" w:sz="4" w:space="0" w:color="BFBFBF" w:themeColor="background1" w:themeShade="BF"/>
            </w:tcBorders>
            <w:shd w:val="clear" w:color="auto" w:fill="D9E2F3" w:themeFill="accent1" w:themeFillTint="33"/>
            <w:noWrap/>
            <w:vAlign w:val="center"/>
            <w:hideMark/>
          </w:tcPr>
          <w:p w14:paraId="35DD91DA" w14:textId="2B7C8EE5" w:rsidR="00B53594" w:rsidRPr="00794948" w:rsidRDefault="00694AAC" w:rsidP="001C5B4B">
            <w:pPr>
              <w:jc w:val="right"/>
              <w:rPr>
                <w:color w:val="000000"/>
                <w:sz w:val="20"/>
                <w:szCs w:val="20"/>
              </w:rPr>
            </w:pPr>
            <w:r w:rsidRPr="00794948">
              <w:rPr>
                <w:color w:val="000000"/>
                <w:sz w:val="20"/>
                <w:szCs w:val="20"/>
              </w:rPr>
              <w:t>617</w:t>
            </w:r>
          </w:p>
        </w:tc>
      </w:tr>
      <w:tr w:rsidR="00B53594" w:rsidRPr="00794948" w14:paraId="0F9CF0D9" w14:textId="77777777" w:rsidTr="00794948">
        <w:trPr>
          <w:trHeight w:val="275"/>
          <w:jc w:val="center"/>
        </w:trPr>
        <w:tc>
          <w:tcPr>
            <w:tcW w:w="1275" w:type="dxa"/>
            <w:vMerge/>
            <w:tcBorders>
              <w:top w:val="single" w:sz="4" w:space="0" w:color="BFBFBF" w:themeColor="background1" w:themeShade="BF"/>
              <w:bottom w:val="single" w:sz="4" w:space="0" w:color="auto"/>
            </w:tcBorders>
            <w:shd w:val="clear" w:color="auto" w:fill="D9E2F3" w:themeFill="accent1" w:themeFillTint="33"/>
            <w:vAlign w:val="center"/>
            <w:hideMark/>
          </w:tcPr>
          <w:p w14:paraId="4956A095" w14:textId="77777777" w:rsidR="00B53594" w:rsidRPr="00794948" w:rsidRDefault="00B53594" w:rsidP="00B53594">
            <w:pPr>
              <w:jc w:val="center"/>
              <w:rPr>
                <w:b/>
                <w:bCs/>
                <w:color w:val="000000"/>
                <w:sz w:val="20"/>
                <w:szCs w:val="20"/>
              </w:rPr>
            </w:pPr>
          </w:p>
        </w:tc>
        <w:tc>
          <w:tcPr>
            <w:tcW w:w="705" w:type="dxa"/>
            <w:tcBorders>
              <w:top w:val="single" w:sz="4" w:space="0" w:color="BFBFBF" w:themeColor="background1" w:themeShade="BF"/>
              <w:bottom w:val="single" w:sz="4" w:space="0" w:color="auto"/>
            </w:tcBorders>
            <w:shd w:val="clear" w:color="auto" w:fill="E2E9F6"/>
            <w:vAlign w:val="center"/>
          </w:tcPr>
          <w:p w14:paraId="0D6734EC" w14:textId="2120C3DF" w:rsidR="00B53594" w:rsidRPr="00794948" w:rsidRDefault="00B53594" w:rsidP="00B53594">
            <w:pPr>
              <w:jc w:val="center"/>
              <w:rPr>
                <w:sz w:val="20"/>
                <w:szCs w:val="20"/>
              </w:rPr>
            </w:pPr>
            <w:r w:rsidRPr="00794948">
              <w:rPr>
                <w:sz w:val="20"/>
                <w:szCs w:val="20"/>
              </w:rPr>
              <w:t>EUR</w:t>
            </w:r>
          </w:p>
        </w:tc>
        <w:tc>
          <w:tcPr>
            <w:tcW w:w="879" w:type="dxa"/>
            <w:tcBorders>
              <w:top w:val="single" w:sz="4" w:space="0" w:color="BFBFBF" w:themeColor="background1" w:themeShade="BF"/>
              <w:bottom w:val="single" w:sz="4" w:space="0" w:color="auto"/>
            </w:tcBorders>
            <w:shd w:val="clear" w:color="auto" w:fill="E2E9F6"/>
            <w:noWrap/>
            <w:vAlign w:val="center"/>
            <w:hideMark/>
          </w:tcPr>
          <w:p w14:paraId="1B5B40C8" w14:textId="2DBED7BD" w:rsidR="00B53594" w:rsidRPr="00794948" w:rsidRDefault="00B53594" w:rsidP="001C5B4B">
            <w:pPr>
              <w:jc w:val="right"/>
              <w:rPr>
                <w:color w:val="000000"/>
                <w:sz w:val="20"/>
                <w:szCs w:val="20"/>
              </w:rPr>
            </w:pPr>
            <w:r w:rsidRPr="00794948">
              <w:rPr>
                <w:sz w:val="20"/>
                <w:szCs w:val="20"/>
              </w:rPr>
              <w:t>127</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16D10B88" w14:textId="543B473B" w:rsidR="00B53594" w:rsidRPr="00794948" w:rsidRDefault="00B53594" w:rsidP="001C5B4B">
            <w:pPr>
              <w:jc w:val="right"/>
              <w:rPr>
                <w:color w:val="000000"/>
                <w:sz w:val="20"/>
                <w:szCs w:val="20"/>
              </w:rPr>
            </w:pPr>
            <w:r w:rsidRPr="00794948">
              <w:rPr>
                <w:sz w:val="20"/>
                <w:szCs w:val="20"/>
              </w:rPr>
              <w:t>131</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6CB40FD5" w14:textId="09A755EF" w:rsidR="00B53594" w:rsidRPr="00794948" w:rsidRDefault="00B53594" w:rsidP="001C5B4B">
            <w:pPr>
              <w:jc w:val="right"/>
              <w:rPr>
                <w:color w:val="000000"/>
                <w:sz w:val="20"/>
                <w:szCs w:val="20"/>
              </w:rPr>
            </w:pPr>
            <w:r w:rsidRPr="00794948">
              <w:rPr>
                <w:sz w:val="20"/>
                <w:szCs w:val="20"/>
              </w:rPr>
              <w:t>127</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52D05DC2" w14:textId="36ACEC95" w:rsidR="00B53594" w:rsidRPr="00794948" w:rsidRDefault="00B53594" w:rsidP="001C5B4B">
            <w:pPr>
              <w:jc w:val="right"/>
              <w:rPr>
                <w:color w:val="000000"/>
                <w:sz w:val="20"/>
                <w:szCs w:val="20"/>
              </w:rPr>
            </w:pPr>
            <w:r w:rsidRPr="00794948">
              <w:rPr>
                <w:sz w:val="20"/>
                <w:szCs w:val="20"/>
              </w:rPr>
              <w:t>128</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1EA9AD3A" w14:textId="57E2CC38" w:rsidR="00B53594" w:rsidRPr="00794948" w:rsidRDefault="00B53594" w:rsidP="001C5B4B">
            <w:pPr>
              <w:jc w:val="right"/>
              <w:rPr>
                <w:color w:val="000000"/>
                <w:sz w:val="20"/>
                <w:szCs w:val="20"/>
              </w:rPr>
            </w:pPr>
            <w:r w:rsidRPr="00794948">
              <w:rPr>
                <w:sz w:val="20"/>
                <w:szCs w:val="20"/>
              </w:rPr>
              <w:t>126</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6E674410" w14:textId="3F264951" w:rsidR="00B53594" w:rsidRPr="00794948" w:rsidRDefault="00B53594" w:rsidP="001C5B4B">
            <w:pPr>
              <w:jc w:val="right"/>
              <w:rPr>
                <w:color w:val="000000"/>
                <w:sz w:val="20"/>
                <w:szCs w:val="20"/>
              </w:rPr>
            </w:pPr>
            <w:r w:rsidRPr="00794948">
              <w:rPr>
                <w:sz w:val="20"/>
                <w:szCs w:val="20"/>
              </w:rPr>
              <w:t>137</w:t>
            </w:r>
          </w:p>
        </w:tc>
        <w:tc>
          <w:tcPr>
            <w:tcW w:w="906" w:type="dxa"/>
            <w:tcBorders>
              <w:top w:val="single" w:sz="4" w:space="0" w:color="BFBFBF" w:themeColor="background1" w:themeShade="BF"/>
              <w:bottom w:val="single" w:sz="4" w:space="0" w:color="auto"/>
            </w:tcBorders>
            <w:shd w:val="clear" w:color="auto" w:fill="E2E9F6"/>
            <w:noWrap/>
            <w:vAlign w:val="center"/>
            <w:hideMark/>
          </w:tcPr>
          <w:p w14:paraId="0AAB0A49" w14:textId="75AADF08" w:rsidR="00B53594" w:rsidRPr="00794948" w:rsidRDefault="00B53594" w:rsidP="001C5B4B">
            <w:pPr>
              <w:jc w:val="right"/>
              <w:rPr>
                <w:color w:val="000000"/>
                <w:sz w:val="20"/>
                <w:szCs w:val="20"/>
              </w:rPr>
            </w:pPr>
            <w:r w:rsidRPr="00794948">
              <w:rPr>
                <w:sz w:val="20"/>
                <w:szCs w:val="20"/>
              </w:rPr>
              <w:t>137</w:t>
            </w:r>
          </w:p>
        </w:tc>
        <w:tc>
          <w:tcPr>
            <w:tcW w:w="1056" w:type="dxa"/>
            <w:tcBorders>
              <w:top w:val="single" w:sz="4" w:space="0" w:color="BFBFBF" w:themeColor="background1" w:themeShade="BF"/>
              <w:bottom w:val="single" w:sz="4" w:space="0" w:color="auto"/>
            </w:tcBorders>
            <w:shd w:val="clear" w:color="auto" w:fill="E2E9F6"/>
            <w:noWrap/>
            <w:vAlign w:val="center"/>
            <w:hideMark/>
          </w:tcPr>
          <w:p w14:paraId="5EB6385B" w14:textId="7609966A" w:rsidR="00B53594" w:rsidRPr="00794948" w:rsidRDefault="00694AAC" w:rsidP="001C5B4B">
            <w:pPr>
              <w:jc w:val="right"/>
              <w:rPr>
                <w:color w:val="000000"/>
                <w:sz w:val="20"/>
                <w:szCs w:val="20"/>
              </w:rPr>
            </w:pPr>
            <w:r w:rsidRPr="00794948">
              <w:rPr>
                <w:color w:val="000000"/>
                <w:sz w:val="20"/>
                <w:szCs w:val="20"/>
              </w:rPr>
              <w:t>145</w:t>
            </w:r>
          </w:p>
        </w:tc>
      </w:tr>
      <w:tr w:rsidR="00B53594" w:rsidRPr="00794948" w14:paraId="1267E5CF" w14:textId="77777777" w:rsidTr="00794948">
        <w:trPr>
          <w:trHeight w:val="558"/>
          <w:jc w:val="center"/>
        </w:trPr>
        <w:tc>
          <w:tcPr>
            <w:tcW w:w="1275" w:type="dxa"/>
            <w:tcBorders>
              <w:top w:val="single" w:sz="4" w:space="0" w:color="auto"/>
              <w:bottom w:val="single" w:sz="4" w:space="0" w:color="auto"/>
            </w:tcBorders>
            <w:shd w:val="clear" w:color="auto" w:fill="D9E2F3" w:themeFill="accent1" w:themeFillTint="33"/>
            <w:noWrap/>
            <w:vAlign w:val="center"/>
            <w:hideMark/>
          </w:tcPr>
          <w:p w14:paraId="12D07CFE" w14:textId="77777777" w:rsidR="00B53594" w:rsidRPr="00794948" w:rsidRDefault="00B53594" w:rsidP="00B53594">
            <w:pPr>
              <w:jc w:val="center"/>
              <w:rPr>
                <w:b/>
                <w:bCs/>
                <w:color w:val="000000"/>
                <w:sz w:val="20"/>
                <w:szCs w:val="20"/>
              </w:rPr>
            </w:pPr>
            <w:r w:rsidRPr="00794948">
              <w:rPr>
                <w:b/>
                <w:bCs/>
                <w:color w:val="000000"/>
                <w:sz w:val="20"/>
                <w:szCs w:val="20"/>
              </w:rPr>
              <w:t>Rakousko</w:t>
            </w:r>
          </w:p>
        </w:tc>
        <w:tc>
          <w:tcPr>
            <w:tcW w:w="705" w:type="dxa"/>
            <w:tcBorders>
              <w:top w:val="single" w:sz="4" w:space="0" w:color="auto"/>
              <w:bottom w:val="single" w:sz="4" w:space="0" w:color="auto"/>
            </w:tcBorders>
            <w:shd w:val="clear" w:color="auto" w:fill="D9E2F3" w:themeFill="accent1" w:themeFillTint="33"/>
            <w:vAlign w:val="center"/>
          </w:tcPr>
          <w:p w14:paraId="1FFE9B7E" w14:textId="04B69A8F" w:rsidR="00B53594" w:rsidRPr="00794948" w:rsidRDefault="00B53594" w:rsidP="00B53594">
            <w:pPr>
              <w:jc w:val="center"/>
              <w:rPr>
                <w:sz w:val="20"/>
                <w:szCs w:val="20"/>
              </w:rPr>
            </w:pPr>
            <w:r w:rsidRPr="00794948">
              <w:rPr>
                <w:sz w:val="20"/>
                <w:szCs w:val="20"/>
              </w:rPr>
              <w:t>EUR</w:t>
            </w:r>
          </w:p>
        </w:tc>
        <w:tc>
          <w:tcPr>
            <w:tcW w:w="879" w:type="dxa"/>
            <w:tcBorders>
              <w:top w:val="single" w:sz="4" w:space="0" w:color="auto"/>
              <w:bottom w:val="single" w:sz="4" w:space="0" w:color="auto"/>
            </w:tcBorders>
            <w:shd w:val="clear" w:color="auto" w:fill="D9E2F3" w:themeFill="accent1" w:themeFillTint="33"/>
            <w:noWrap/>
            <w:vAlign w:val="center"/>
            <w:hideMark/>
          </w:tcPr>
          <w:p w14:paraId="6357CCAD" w14:textId="4B65EB3F"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3A53EFBA" w14:textId="66FD4617"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4120751B" w14:textId="7238DAA6"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1539720A" w14:textId="617EDC03"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57D8AC51" w14:textId="46083DF2"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2E579298" w14:textId="5AB08D35" w:rsidR="00B53594" w:rsidRPr="00794948" w:rsidRDefault="00B53594" w:rsidP="00B53594">
            <w:pPr>
              <w:jc w:val="center"/>
              <w:rPr>
                <w:color w:val="000000"/>
                <w:sz w:val="20"/>
                <w:szCs w:val="20"/>
              </w:rPr>
            </w:pPr>
            <w:r w:rsidRPr="00794948">
              <w:rPr>
                <w:sz w:val="20"/>
                <w:szCs w:val="20"/>
              </w:rPr>
              <w:t>-</w:t>
            </w:r>
          </w:p>
        </w:tc>
        <w:tc>
          <w:tcPr>
            <w:tcW w:w="906" w:type="dxa"/>
            <w:tcBorders>
              <w:top w:val="single" w:sz="4" w:space="0" w:color="auto"/>
              <w:bottom w:val="single" w:sz="4" w:space="0" w:color="auto"/>
            </w:tcBorders>
            <w:shd w:val="clear" w:color="auto" w:fill="D9E2F3" w:themeFill="accent1" w:themeFillTint="33"/>
            <w:noWrap/>
            <w:vAlign w:val="center"/>
            <w:hideMark/>
          </w:tcPr>
          <w:p w14:paraId="709F8BA9" w14:textId="4871F324" w:rsidR="00B53594" w:rsidRPr="00794948" w:rsidRDefault="00B53594" w:rsidP="00B53594">
            <w:pPr>
              <w:jc w:val="center"/>
              <w:rPr>
                <w:color w:val="000000"/>
                <w:sz w:val="20"/>
                <w:szCs w:val="20"/>
              </w:rPr>
            </w:pPr>
            <w:r w:rsidRPr="00794948">
              <w:rPr>
                <w:sz w:val="20"/>
                <w:szCs w:val="20"/>
              </w:rPr>
              <w:t>-</w:t>
            </w:r>
          </w:p>
        </w:tc>
        <w:tc>
          <w:tcPr>
            <w:tcW w:w="1056" w:type="dxa"/>
            <w:tcBorders>
              <w:top w:val="single" w:sz="4" w:space="0" w:color="auto"/>
              <w:bottom w:val="single" w:sz="4" w:space="0" w:color="auto"/>
            </w:tcBorders>
            <w:shd w:val="clear" w:color="auto" w:fill="D9E2F3" w:themeFill="accent1" w:themeFillTint="33"/>
            <w:noWrap/>
            <w:vAlign w:val="center"/>
            <w:hideMark/>
          </w:tcPr>
          <w:p w14:paraId="33BDC64F" w14:textId="68DC4D60" w:rsidR="00B53594" w:rsidRPr="00794948" w:rsidRDefault="00694AAC" w:rsidP="000E7863">
            <w:pPr>
              <w:jc w:val="center"/>
              <w:rPr>
                <w:color w:val="000000"/>
                <w:sz w:val="20"/>
                <w:szCs w:val="20"/>
              </w:rPr>
            </w:pPr>
            <w:r w:rsidRPr="00794948">
              <w:rPr>
                <w:color w:val="000000"/>
                <w:sz w:val="20"/>
                <w:szCs w:val="20"/>
              </w:rPr>
              <w:t>-</w:t>
            </w:r>
          </w:p>
          <w:p w14:paraId="126D9E8B" w14:textId="1A1DCD29" w:rsidR="00B53594" w:rsidRPr="00794948" w:rsidRDefault="00B53594" w:rsidP="000E7863">
            <w:pPr>
              <w:jc w:val="center"/>
              <w:rPr>
                <w:color w:val="000000"/>
                <w:sz w:val="20"/>
                <w:szCs w:val="20"/>
              </w:rPr>
            </w:pPr>
          </w:p>
        </w:tc>
      </w:tr>
      <w:tr w:rsidR="000E7863" w:rsidRPr="00794948" w14:paraId="4E24F0AE" w14:textId="77777777" w:rsidTr="00794948">
        <w:trPr>
          <w:trHeight w:val="560"/>
          <w:jc w:val="center"/>
        </w:trPr>
        <w:tc>
          <w:tcPr>
            <w:tcW w:w="1275" w:type="dxa"/>
            <w:tcBorders>
              <w:top w:val="single" w:sz="4" w:space="0" w:color="auto"/>
              <w:bottom w:val="single" w:sz="4" w:space="0" w:color="auto"/>
            </w:tcBorders>
            <w:shd w:val="clear" w:color="auto" w:fill="D9E2F3" w:themeFill="accent1" w:themeFillTint="33"/>
            <w:noWrap/>
            <w:vAlign w:val="center"/>
            <w:hideMark/>
          </w:tcPr>
          <w:p w14:paraId="36E7E93A" w14:textId="77777777" w:rsidR="000E7863" w:rsidRPr="00794948" w:rsidRDefault="000E7863" w:rsidP="00B53594">
            <w:pPr>
              <w:jc w:val="center"/>
              <w:rPr>
                <w:b/>
                <w:bCs/>
                <w:color w:val="000000"/>
                <w:sz w:val="20"/>
                <w:szCs w:val="20"/>
              </w:rPr>
            </w:pPr>
            <w:r w:rsidRPr="00794948">
              <w:rPr>
                <w:b/>
                <w:bCs/>
                <w:color w:val="000000"/>
                <w:sz w:val="20"/>
                <w:szCs w:val="20"/>
              </w:rPr>
              <w:t>Slovensko</w:t>
            </w:r>
          </w:p>
        </w:tc>
        <w:tc>
          <w:tcPr>
            <w:tcW w:w="705" w:type="dxa"/>
            <w:tcBorders>
              <w:top w:val="single" w:sz="4" w:space="0" w:color="auto"/>
              <w:bottom w:val="single" w:sz="4" w:space="0" w:color="auto"/>
            </w:tcBorders>
            <w:shd w:val="clear" w:color="auto" w:fill="D9E2F3" w:themeFill="accent1" w:themeFillTint="33"/>
            <w:vAlign w:val="center"/>
          </w:tcPr>
          <w:p w14:paraId="63998AAF" w14:textId="6F240927" w:rsidR="000E7863" w:rsidRPr="00794948" w:rsidRDefault="000E7863" w:rsidP="00B53594">
            <w:pPr>
              <w:jc w:val="center"/>
              <w:rPr>
                <w:sz w:val="20"/>
                <w:szCs w:val="20"/>
              </w:rPr>
            </w:pPr>
            <w:r w:rsidRPr="00794948">
              <w:rPr>
                <w:sz w:val="20"/>
                <w:szCs w:val="20"/>
              </w:rPr>
              <w:t>EUR</w:t>
            </w:r>
          </w:p>
        </w:tc>
        <w:tc>
          <w:tcPr>
            <w:tcW w:w="879" w:type="dxa"/>
            <w:tcBorders>
              <w:top w:val="single" w:sz="4" w:space="0" w:color="auto"/>
              <w:bottom w:val="single" w:sz="4" w:space="0" w:color="auto"/>
            </w:tcBorders>
            <w:shd w:val="clear" w:color="auto" w:fill="D9E2F3" w:themeFill="accent1" w:themeFillTint="33"/>
            <w:noWrap/>
            <w:vAlign w:val="center"/>
            <w:hideMark/>
          </w:tcPr>
          <w:p w14:paraId="79EB244B" w14:textId="059FEED1" w:rsidR="000E7863" w:rsidRPr="00794948" w:rsidRDefault="000E7863" w:rsidP="001C5B4B">
            <w:pPr>
              <w:jc w:val="right"/>
              <w:rPr>
                <w:color w:val="000000"/>
                <w:sz w:val="20"/>
                <w:szCs w:val="20"/>
              </w:rPr>
            </w:pPr>
            <w:r w:rsidRPr="00794948">
              <w:rPr>
                <w:sz w:val="20"/>
                <w:szCs w:val="20"/>
              </w:rPr>
              <w:t>190</w:t>
            </w:r>
          </w:p>
        </w:tc>
        <w:tc>
          <w:tcPr>
            <w:tcW w:w="906" w:type="dxa"/>
            <w:tcBorders>
              <w:top w:val="single" w:sz="4" w:space="0" w:color="auto"/>
              <w:bottom w:val="single" w:sz="4" w:space="0" w:color="auto"/>
            </w:tcBorders>
            <w:shd w:val="clear" w:color="auto" w:fill="D9E2F3" w:themeFill="accent1" w:themeFillTint="33"/>
            <w:noWrap/>
            <w:vAlign w:val="center"/>
            <w:hideMark/>
          </w:tcPr>
          <w:p w14:paraId="4CDC435D" w14:textId="0DBC8B5F" w:rsidR="000E7863" w:rsidRPr="00794948" w:rsidRDefault="000E7863" w:rsidP="001C5B4B">
            <w:pPr>
              <w:jc w:val="right"/>
              <w:rPr>
                <w:color w:val="000000"/>
                <w:sz w:val="20"/>
                <w:szCs w:val="20"/>
              </w:rPr>
            </w:pPr>
            <w:r w:rsidRPr="00794948">
              <w:rPr>
                <w:sz w:val="20"/>
                <w:szCs w:val="20"/>
              </w:rPr>
              <w:t>198</w:t>
            </w:r>
          </w:p>
        </w:tc>
        <w:tc>
          <w:tcPr>
            <w:tcW w:w="906" w:type="dxa"/>
            <w:tcBorders>
              <w:top w:val="single" w:sz="4" w:space="0" w:color="auto"/>
              <w:bottom w:val="single" w:sz="4" w:space="0" w:color="auto"/>
            </w:tcBorders>
            <w:shd w:val="clear" w:color="auto" w:fill="D9E2F3" w:themeFill="accent1" w:themeFillTint="33"/>
            <w:noWrap/>
            <w:vAlign w:val="center"/>
            <w:hideMark/>
          </w:tcPr>
          <w:p w14:paraId="391112D7" w14:textId="2651183C" w:rsidR="000E7863" w:rsidRPr="00794948" w:rsidRDefault="000E7863" w:rsidP="001C5B4B">
            <w:pPr>
              <w:jc w:val="right"/>
              <w:rPr>
                <w:color w:val="000000"/>
                <w:sz w:val="20"/>
                <w:szCs w:val="20"/>
              </w:rPr>
            </w:pPr>
            <w:r w:rsidRPr="00794948">
              <w:rPr>
                <w:sz w:val="20"/>
                <w:szCs w:val="20"/>
              </w:rPr>
              <w:t>198</w:t>
            </w:r>
          </w:p>
        </w:tc>
        <w:tc>
          <w:tcPr>
            <w:tcW w:w="906" w:type="dxa"/>
            <w:tcBorders>
              <w:top w:val="single" w:sz="4" w:space="0" w:color="auto"/>
              <w:bottom w:val="single" w:sz="4" w:space="0" w:color="auto"/>
            </w:tcBorders>
            <w:shd w:val="clear" w:color="auto" w:fill="D9E2F3" w:themeFill="accent1" w:themeFillTint="33"/>
            <w:noWrap/>
            <w:vAlign w:val="center"/>
            <w:hideMark/>
          </w:tcPr>
          <w:p w14:paraId="5F0C8397" w14:textId="0C00764A" w:rsidR="000E7863" w:rsidRPr="00794948" w:rsidRDefault="000E7863" w:rsidP="001C5B4B">
            <w:pPr>
              <w:jc w:val="right"/>
              <w:rPr>
                <w:color w:val="000000"/>
                <w:sz w:val="20"/>
                <w:szCs w:val="20"/>
              </w:rPr>
            </w:pPr>
            <w:r w:rsidRPr="00794948">
              <w:rPr>
                <w:sz w:val="20"/>
                <w:szCs w:val="20"/>
              </w:rPr>
              <w:t>198</w:t>
            </w:r>
          </w:p>
        </w:tc>
        <w:tc>
          <w:tcPr>
            <w:tcW w:w="906" w:type="dxa"/>
            <w:tcBorders>
              <w:top w:val="single" w:sz="4" w:space="0" w:color="auto"/>
              <w:bottom w:val="single" w:sz="4" w:space="0" w:color="auto"/>
            </w:tcBorders>
            <w:shd w:val="clear" w:color="auto" w:fill="D9E2F3" w:themeFill="accent1" w:themeFillTint="33"/>
            <w:noWrap/>
            <w:vAlign w:val="center"/>
            <w:hideMark/>
          </w:tcPr>
          <w:p w14:paraId="7E212E9D" w14:textId="4624BAE4" w:rsidR="000E7863" w:rsidRPr="00794948" w:rsidRDefault="000E7863" w:rsidP="001C5B4B">
            <w:pPr>
              <w:jc w:val="right"/>
              <w:rPr>
                <w:color w:val="000000"/>
                <w:sz w:val="20"/>
                <w:szCs w:val="20"/>
              </w:rPr>
            </w:pPr>
            <w:r w:rsidRPr="00794948">
              <w:rPr>
                <w:sz w:val="20"/>
                <w:szCs w:val="20"/>
              </w:rPr>
              <w:t>198</w:t>
            </w:r>
          </w:p>
        </w:tc>
        <w:tc>
          <w:tcPr>
            <w:tcW w:w="906" w:type="dxa"/>
            <w:tcBorders>
              <w:top w:val="single" w:sz="4" w:space="0" w:color="auto"/>
              <w:bottom w:val="single" w:sz="4" w:space="0" w:color="auto"/>
            </w:tcBorders>
            <w:shd w:val="clear" w:color="auto" w:fill="D9E2F3" w:themeFill="accent1" w:themeFillTint="33"/>
            <w:noWrap/>
            <w:vAlign w:val="center"/>
            <w:hideMark/>
          </w:tcPr>
          <w:p w14:paraId="5A06396A" w14:textId="6A90C016" w:rsidR="000E7863" w:rsidRPr="00794948" w:rsidRDefault="000E7863" w:rsidP="001C5B4B">
            <w:pPr>
              <w:jc w:val="right"/>
              <w:rPr>
                <w:color w:val="000000"/>
                <w:sz w:val="20"/>
                <w:szCs w:val="20"/>
              </w:rPr>
            </w:pPr>
            <w:r w:rsidRPr="00794948">
              <w:rPr>
                <w:sz w:val="20"/>
                <w:szCs w:val="20"/>
              </w:rPr>
              <w:t>199</w:t>
            </w:r>
          </w:p>
        </w:tc>
        <w:tc>
          <w:tcPr>
            <w:tcW w:w="906" w:type="dxa"/>
            <w:tcBorders>
              <w:top w:val="single" w:sz="4" w:space="0" w:color="auto"/>
              <w:bottom w:val="single" w:sz="4" w:space="0" w:color="auto"/>
            </w:tcBorders>
            <w:shd w:val="clear" w:color="auto" w:fill="D9E2F3" w:themeFill="accent1" w:themeFillTint="33"/>
            <w:noWrap/>
            <w:vAlign w:val="center"/>
            <w:hideMark/>
          </w:tcPr>
          <w:p w14:paraId="3BD5856E" w14:textId="21F14B65" w:rsidR="000E7863" w:rsidRPr="00794948" w:rsidRDefault="000E7863" w:rsidP="001C5B4B">
            <w:pPr>
              <w:jc w:val="right"/>
              <w:rPr>
                <w:color w:val="000000"/>
                <w:sz w:val="20"/>
                <w:szCs w:val="20"/>
              </w:rPr>
            </w:pPr>
            <w:r w:rsidRPr="00794948">
              <w:rPr>
                <w:sz w:val="20"/>
                <w:szCs w:val="20"/>
              </w:rPr>
              <w:t>205</w:t>
            </w:r>
          </w:p>
        </w:tc>
        <w:tc>
          <w:tcPr>
            <w:tcW w:w="1056" w:type="dxa"/>
            <w:tcBorders>
              <w:top w:val="single" w:sz="4" w:space="0" w:color="auto"/>
              <w:bottom w:val="single" w:sz="4" w:space="0" w:color="auto"/>
            </w:tcBorders>
            <w:shd w:val="clear" w:color="auto" w:fill="D9E2F3" w:themeFill="accent1" w:themeFillTint="33"/>
            <w:noWrap/>
            <w:vAlign w:val="center"/>
            <w:hideMark/>
          </w:tcPr>
          <w:p w14:paraId="0D89FD00" w14:textId="114AB52C" w:rsidR="000E7863" w:rsidRPr="00794948" w:rsidRDefault="000E7863" w:rsidP="001C5B4B">
            <w:pPr>
              <w:jc w:val="right"/>
              <w:rPr>
                <w:color w:val="000000"/>
                <w:sz w:val="20"/>
                <w:szCs w:val="20"/>
              </w:rPr>
            </w:pPr>
            <w:r w:rsidRPr="00794948">
              <w:rPr>
                <w:color w:val="000000"/>
                <w:sz w:val="20"/>
                <w:szCs w:val="20"/>
              </w:rPr>
              <w:t>210</w:t>
            </w:r>
          </w:p>
          <w:p w14:paraId="25371B74" w14:textId="77777777" w:rsidR="000E7863" w:rsidRPr="00794948" w:rsidRDefault="000E7863" w:rsidP="001C5B4B">
            <w:pPr>
              <w:jc w:val="right"/>
              <w:rPr>
                <w:color w:val="000000"/>
                <w:sz w:val="20"/>
                <w:szCs w:val="20"/>
              </w:rPr>
            </w:pPr>
          </w:p>
        </w:tc>
      </w:tr>
    </w:tbl>
    <w:p w14:paraId="5F4564C8" w14:textId="119FBB22" w:rsidR="008A2FB2" w:rsidRDefault="00C3469D" w:rsidP="00794948">
      <w:pPr>
        <w:pStyle w:val="Titulek"/>
        <w:keepNext/>
        <w:rPr>
          <w:sz w:val="20"/>
          <w:szCs w:val="20"/>
        </w:rPr>
      </w:pPr>
      <w:r>
        <w:rPr>
          <w:sz w:val="20"/>
          <w:szCs w:val="20"/>
        </w:rPr>
        <w:t>(</w:t>
      </w:r>
      <w:proofErr w:type="spellStart"/>
      <w:r>
        <w:rPr>
          <w:sz w:val="20"/>
          <w:szCs w:val="20"/>
        </w:rPr>
        <w:t>vl</w:t>
      </w:r>
      <w:proofErr w:type="spellEnd"/>
      <w:r>
        <w:rPr>
          <w:sz w:val="20"/>
          <w:szCs w:val="20"/>
        </w:rPr>
        <w:t>. zpracování; IZ</w:t>
      </w:r>
      <w:r w:rsidR="00794948">
        <w:rPr>
          <w:sz w:val="20"/>
          <w:szCs w:val="20"/>
        </w:rPr>
        <w:t>,</w:t>
      </w:r>
      <w:r>
        <w:rPr>
          <w:sz w:val="20"/>
          <w:szCs w:val="20"/>
        </w:rPr>
        <w:t xml:space="preserve"> 2020, Sociálna </w:t>
      </w:r>
      <w:proofErr w:type="spellStart"/>
      <w:r>
        <w:rPr>
          <w:sz w:val="20"/>
          <w:szCs w:val="20"/>
        </w:rPr>
        <w:t>poisťovňa</w:t>
      </w:r>
      <w:proofErr w:type="spellEnd"/>
      <w:r w:rsidR="00794948">
        <w:rPr>
          <w:sz w:val="20"/>
          <w:szCs w:val="20"/>
        </w:rPr>
        <w:t>,</w:t>
      </w:r>
      <w:r>
        <w:rPr>
          <w:sz w:val="20"/>
          <w:szCs w:val="20"/>
        </w:rPr>
        <w:t xml:space="preserve"> 2016, IPISS</w:t>
      </w:r>
      <w:r w:rsidR="00794948">
        <w:rPr>
          <w:sz w:val="20"/>
          <w:szCs w:val="20"/>
        </w:rPr>
        <w:t>,</w:t>
      </w:r>
      <w:r>
        <w:rPr>
          <w:sz w:val="20"/>
          <w:szCs w:val="20"/>
        </w:rPr>
        <w:t xml:space="preserve"> 2020, </w:t>
      </w:r>
      <w:proofErr w:type="spellStart"/>
      <w:r>
        <w:rPr>
          <w:sz w:val="20"/>
          <w:szCs w:val="20"/>
        </w:rPr>
        <w:t>Stever-Schutzbrief</w:t>
      </w:r>
      <w:proofErr w:type="spellEnd"/>
      <w:r w:rsidR="00794948">
        <w:rPr>
          <w:sz w:val="20"/>
          <w:szCs w:val="20"/>
        </w:rPr>
        <w:t>,</w:t>
      </w:r>
      <w:r>
        <w:rPr>
          <w:sz w:val="20"/>
          <w:szCs w:val="20"/>
        </w:rPr>
        <w:t xml:space="preserve"> 2020; </w:t>
      </w:r>
      <w:r w:rsidR="00794948">
        <w:rPr>
          <w:sz w:val="20"/>
          <w:szCs w:val="20"/>
        </w:rPr>
        <w:br/>
      </w:r>
      <w:r>
        <w:rPr>
          <w:sz w:val="20"/>
          <w:szCs w:val="20"/>
        </w:rPr>
        <w:t>ČSÚ</w:t>
      </w:r>
      <w:r w:rsidR="00794948">
        <w:rPr>
          <w:sz w:val="20"/>
          <w:szCs w:val="20"/>
        </w:rPr>
        <w:t>,</w:t>
      </w:r>
      <w:r>
        <w:rPr>
          <w:sz w:val="20"/>
          <w:szCs w:val="20"/>
        </w:rPr>
        <w:t xml:space="preserve"> 2020;</w:t>
      </w:r>
      <w:r w:rsidR="00794948">
        <w:rPr>
          <w:sz w:val="20"/>
          <w:szCs w:val="20"/>
        </w:rPr>
        <w:t xml:space="preserve"> </w:t>
      </w:r>
      <w:proofErr w:type="spellStart"/>
      <w:r>
        <w:rPr>
          <w:sz w:val="20"/>
          <w:szCs w:val="20"/>
        </w:rPr>
        <w:t>Wage</w:t>
      </w:r>
      <w:proofErr w:type="spellEnd"/>
      <w:r>
        <w:rPr>
          <w:sz w:val="20"/>
          <w:szCs w:val="20"/>
        </w:rPr>
        <w:t xml:space="preserve"> </w:t>
      </w:r>
      <w:proofErr w:type="spellStart"/>
      <w:r>
        <w:rPr>
          <w:sz w:val="20"/>
          <w:szCs w:val="20"/>
        </w:rPr>
        <w:t>Indicator</w:t>
      </w:r>
      <w:proofErr w:type="spellEnd"/>
      <w:r w:rsidR="00794948">
        <w:rPr>
          <w:sz w:val="20"/>
          <w:szCs w:val="20"/>
        </w:rPr>
        <w:t>,</w:t>
      </w:r>
      <w:r>
        <w:rPr>
          <w:sz w:val="20"/>
          <w:szCs w:val="20"/>
        </w:rPr>
        <w:t xml:space="preserve"> 2020).</w:t>
      </w:r>
    </w:p>
    <w:p w14:paraId="7B4233C0" w14:textId="77777777" w:rsidR="00C3469D" w:rsidRPr="00C3469D" w:rsidRDefault="00C3469D" w:rsidP="00C3469D"/>
    <w:p w14:paraId="70C9652D" w14:textId="2E895BAF" w:rsidR="00E30E68" w:rsidRDefault="007F25B0" w:rsidP="00E30E68">
      <w:pPr>
        <w:spacing w:before="120" w:after="240" w:line="360" w:lineRule="auto"/>
        <w:ind w:firstLine="709"/>
        <w:jc w:val="both"/>
        <w:rPr>
          <w:szCs w:val="22"/>
        </w:rPr>
      </w:pPr>
      <w:r>
        <w:rPr>
          <w:szCs w:val="22"/>
        </w:rPr>
        <w:t xml:space="preserve">Na základě tabulky 4 můžeme opět vidět, že v Rakousko neexistuje oficiální životní minimum. </w:t>
      </w:r>
      <w:r w:rsidR="00B53594">
        <w:rPr>
          <w:szCs w:val="22"/>
        </w:rPr>
        <w:t>V roce 2018 se Maďarská vláda usnesla na tom, že výše životního minima se bude rovnat výši minimální mzdy. U České republiky výše životního minima zůstává za sledované období neměnná.</w:t>
      </w:r>
    </w:p>
    <w:p w14:paraId="1B5357C1" w14:textId="77777777" w:rsidR="00E30E68" w:rsidRDefault="00867C9C" w:rsidP="000E7863">
      <w:pPr>
        <w:spacing w:before="120" w:after="240" w:line="360" w:lineRule="auto"/>
        <w:ind w:firstLine="709"/>
        <w:jc w:val="both"/>
        <w:rPr>
          <w:szCs w:val="22"/>
        </w:rPr>
      </w:pPr>
      <w:r>
        <w:rPr>
          <w:szCs w:val="22"/>
        </w:rPr>
        <w:t>Nerovnost ve světě je stále větší a větší, což může mít potencionální vliv jak na</w:t>
      </w:r>
      <w:r w:rsidR="000E7863">
        <w:rPr>
          <w:szCs w:val="22"/>
        </w:rPr>
        <w:t> </w:t>
      </w:r>
      <w:r>
        <w:rPr>
          <w:szCs w:val="22"/>
        </w:rPr>
        <w:t xml:space="preserve">politickou stabilitu, tak na hospodářský růst, sociální soudržnost, či dokonce na samotné štěstí lidí. </w:t>
      </w:r>
    </w:p>
    <w:p w14:paraId="675A3830" w14:textId="77777777" w:rsidR="00E30E68" w:rsidRDefault="00E30E68" w:rsidP="00E30E68">
      <w:pPr>
        <w:spacing w:before="120" w:after="240" w:line="360" w:lineRule="auto"/>
        <w:ind w:firstLine="454"/>
        <w:jc w:val="both"/>
        <w:rPr>
          <w:szCs w:val="22"/>
        </w:rPr>
      </w:pPr>
      <w:r>
        <w:rPr>
          <w:szCs w:val="22"/>
        </w:rPr>
        <w:t>Index chudoby byl zaveden roku 2010 a za jeho zrodem stojí OPHI (</w:t>
      </w:r>
      <w:proofErr w:type="spellStart"/>
      <w:r>
        <w:rPr>
          <w:szCs w:val="22"/>
        </w:rPr>
        <w:t>The</w:t>
      </w:r>
      <w:proofErr w:type="spellEnd"/>
      <w:r>
        <w:rPr>
          <w:szCs w:val="22"/>
        </w:rPr>
        <w:t xml:space="preserve"> Oxford </w:t>
      </w:r>
      <w:proofErr w:type="spellStart"/>
      <w:r>
        <w:rPr>
          <w:szCs w:val="22"/>
        </w:rPr>
        <w:t>Poverty</w:t>
      </w:r>
      <w:proofErr w:type="spellEnd"/>
      <w:r>
        <w:rPr>
          <w:szCs w:val="22"/>
        </w:rPr>
        <w:t xml:space="preserve"> and </w:t>
      </w:r>
      <w:proofErr w:type="spellStart"/>
      <w:r>
        <w:rPr>
          <w:szCs w:val="22"/>
        </w:rPr>
        <w:t>Human</w:t>
      </w:r>
      <w:proofErr w:type="spellEnd"/>
      <w:r>
        <w:rPr>
          <w:szCs w:val="22"/>
        </w:rPr>
        <w:t xml:space="preserve"> Development </w:t>
      </w:r>
      <w:proofErr w:type="spellStart"/>
      <w:r>
        <w:rPr>
          <w:szCs w:val="22"/>
        </w:rPr>
        <w:t>Ininitative</w:t>
      </w:r>
      <w:proofErr w:type="spellEnd"/>
      <w:r>
        <w:rPr>
          <w:szCs w:val="22"/>
        </w:rPr>
        <w:t>) a UNDP (</w:t>
      </w:r>
      <w:proofErr w:type="spellStart"/>
      <w:r>
        <w:rPr>
          <w:szCs w:val="22"/>
        </w:rPr>
        <w:t>The</w:t>
      </w:r>
      <w:proofErr w:type="spellEnd"/>
      <w:r>
        <w:rPr>
          <w:szCs w:val="22"/>
        </w:rPr>
        <w:t xml:space="preserve"> United </w:t>
      </w:r>
      <w:proofErr w:type="spellStart"/>
      <w:r>
        <w:rPr>
          <w:szCs w:val="22"/>
        </w:rPr>
        <w:t>Nations</w:t>
      </w:r>
      <w:proofErr w:type="spellEnd"/>
      <w:r>
        <w:rPr>
          <w:szCs w:val="22"/>
        </w:rPr>
        <w:t xml:space="preserve"> Development </w:t>
      </w:r>
      <w:proofErr w:type="spellStart"/>
      <w:r>
        <w:rPr>
          <w:szCs w:val="22"/>
        </w:rPr>
        <w:t>Programme</w:t>
      </w:r>
      <w:proofErr w:type="spellEnd"/>
      <w:r>
        <w:rPr>
          <w:szCs w:val="22"/>
        </w:rPr>
        <w:t>).</w:t>
      </w:r>
    </w:p>
    <w:p w14:paraId="110120D5" w14:textId="79C9CBEE" w:rsidR="00867C9C" w:rsidRDefault="00E30E68" w:rsidP="00E30E68">
      <w:pPr>
        <w:spacing w:before="120" w:after="240" w:line="360" w:lineRule="auto"/>
        <w:ind w:firstLine="454"/>
        <w:jc w:val="both"/>
        <w:rPr>
          <w:szCs w:val="22"/>
        </w:rPr>
      </w:pPr>
      <w:r>
        <w:rPr>
          <w:szCs w:val="22"/>
        </w:rPr>
        <w:lastRenderedPageBreak/>
        <w:t xml:space="preserve">Tento globální index srovnává a udává data týkající se chudoby pro více než 100 zemí, zahrnující cca 5,7 miliard lidí. </w:t>
      </w:r>
      <w:r w:rsidR="00867C9C">
        <w:rPr>
          <w:szCs w:val="22"/>
        </w:rPr>
        <w:t>HPI udává, že více než 1,3 bilionu lidí žije v chudobě (nejchudšími oblastmi jsou Afrika a jižní Asie). V již zmíněných dvou oblastech se nachází až 84,5 % všech lidí zasažených chudobou. Nejen v těchto uvedených oblastech je kriticky vysoký výskyt chudoby, ale</w:t>
      </w:r>
      <w:r w:rsidR="00794948">
        <w:rPr>
          <w:szCs w:val="22"/>
        </w:rPr>
        <w:t> </w:t>
      </w:r>
      <w:r w:rsidR="00867C9C">
        <w:rPr>
          <w:szCs w:val="22"/>
        </w:rPr>
        <w:t xml:space="preserve">například v Súdánu je chudobou </w:t>
      </w:r>
      <w:r w:rsidR="00867C9C" w:rsidRPr="00850D1B">
        <w:t>zasaženo až 52,3 % obyvatelstva, nebo například Haiti udává,</w:t>
      </w:r>
      <w:r w:rsidR="00794948">
        <w:t xml:space="preserve"> </w:t>
      </w:r>
      <w:r w:rsidR="00867C9C" w:rsidRPr="00850D1B">
        <w:t>že až 41,3 % obyvatel se řadí mezi chudobné. (</w:t>
      </w:r>
      <w:proofErr w:type="spellStart"/>
      <w:r w:rsidR="00867C9C" w:rsidRPr="00850D1B">
        <w:t>The</w:t>
      </w:r>
      <w:proofErr w:type="spellEnd"/>
      <w:r w:rsidR="00867C9C" w:rsidRPr="00850D1B">
        <w:t xml:space="preserve"> United </w:t>
      </w:r>
      <w:proofErr w:type="spellStart"/>
      <w:r w:rsidR="00867C9C" w:rsidRPr="00850D1B">
        <w:t>Nations</w:t>
      </w:r>
      <w:proofErr w:type="spellEnd"/>
      <w:r w:rsidR="00867C9C" w:rsidRPr="00850D1B">
        <w:t xml:space="preserve"> Development </w:t>
      </w:r>
      <w:proofErr w:type="spellStart"/>
      <w:r w:rsidR="00867C9C" w:rsidRPr="00850D1B">
        <w:t>Programme</w:t>
      </w:r>
      <w:proofErr w:type="spellEnd"/>
      <w:r w:rsidR="00867C9C" w:rsidRPr="00850D1B">
        <w:t xml:space="preserve"> and Oxford </w:t>
      </w:r>
      <w:proofErr w:type="spellStart"/>
      <w:r w:rsidR="00867C9C" w:rsidRPr="00850D1B">
        <w:t>Poverty</w:t>
      </w:r>
      <w:proofErr w:type="spellEnd"/>
      <w:r w:rsidR="00867C9C" w:rsidRPr="00850D1B">
        <w:t xml:space="preserve"> and </w:t>
      </w:r>
      <w:proofErr w:type="spellStart"/>
      <w:r w:rsidR="00867C9C" w:rsidRPr="00850D1B">
        <w:t>Human</w:t>
      </w:r>
      <w:proofErr w:type="spellEnd"/>
      <w:r w:rsidR="00867C9C" w:rsidRPr="00850D1B">
        <w:t xml:space="preserve"> Development </w:t>
      </w:r>
      <w:proofErr w:type="spellStart"/>
      <w:r w:rsidR="00867C9C" w:rsidRPr="00850D1B">
        <w:t>Initiative</w:t>
      </w:r>
      <w:proofErr w:type="spellEnd"/>
      <w:r w:rsidR="00867C9C" w:rsidRPr="00850D1B">
        <w:t>,</w:t>
      </w:r>
      <w:r w:rsidR="00867C9C">
        <w:rPr>
          <w:szCs w:val="22"/>
        </w:rPr>
        <w:t xml:space="preserve"> </w:t>
      </w:r>
      <w:r w:rsidR="00867C9C" w:rsidRPr="00C60977">
        <w:rPr>
          <w:szCs w:val="22"/>
        </w:rPr>
        <w:t>20</w:t>
      </w:r>
      <w:r w:rsidR="00867C9C">
        <w:rPr>
          <w:szCs w:val="22"/>
        </w:rPr>
        <w:t xml:space="preserve">19). </w:t>
      </w:r>
    </w:p>
    <w:p w14:paraId="0F78DDEA" w14:textId="503E4F24" w:rsidR="000A11C5" w:rsidRDefault="000A11C5" w:rsidP="000A11C5">
      <w:pPr>
        <w:spacing w:before="120" w:after="240" w:line="360" w:lineRule="auto"/>
        <w:ind w:firstLine="454"/>
        <w:jc w:val="both"/>
        <w:rPr>
          <w:color w:val="000000" w:themeColor="text1"/>
        </w:rPr>
      </w:pPr>
      <w:r>
        <w:rPr>
          <w:szCs w:val="22"/>
        </w:rPr>
        <w:t xml:space="preserve">Vybrané země </w:t>
      </w:r>
      <w:r w:rsidR="00867C9C">
        <w:rPr>
          <w:szCs w:val="22"/>
        </w:rPr>
        <w:t xml:space="preserve">se nacházejí </w:t>
      </w:r>
      <w:r w:rsidR="00867C9C" w:rsidRPr="00867C9C">
        <w:rPr>
          <w:color w:val="000000" w:themeColor="text1"/>
          <w:szCs w:val="22"/>
        </w:rPr>
        <w:t xml:space="preserve">pod </w:t>
      </w:r>
      <w:r w:rsidR="00794948" w:rsidRPr="00867C9C">
        <w:rPr>
          <w:color w:val="000000" w:themeColor="text1"/>
          <w:szCs w:val="22"/>
        </w:rPr>
        <w:t>3</w:t>
      </w:r>
      <w:r w:rsidR="00794948" w:rsidRPr="00867C9C">
        <w:rPr>
          <w:color w:val="000000" w:themeColor="text1"/>
        </w:rPr>
        <w:t xml:space="preserve">% </w:t>
      </w:r>
      <w:r w:rsidR="00867C9C" w:rsidRPr="00867C9C">
        <w:rPr>
          <w:color w:val="000000" w:themeColor="text1"/>
          <w:szCs w:val="22"/>
        </w:rPr>
        <w:t xml:space="preserve">hranicí </w:t>
      </w:r>
      <w:r w:rsidR="00867C9C" w:rsidRPr="00867C9C">
        <w:rPr>
          <w:color w:val="000000" w:themeColor="text1"/>
        </w:rPr>
        <w:t>extrémní chudoby.</w:t>
      </w:r>
      <w:r w:rsidR="00867C9C" w:rsidRPr="00867C9C">
        <w:rPr>
          <w:color w:val="000000" w:themeColor="text1"/>
          <w:szCs w:val="22"/>
        </w:rPr>
        <w:t xml:space="preserve"> </w:t>
      </w:r>
      <w:r w:rsidR="00E26DC1">
        <w:rPr>
          <w:color w:val="000000" w:themeColor="text1"/>
          <w:szCs w:val="22"/>
        </w:rPr>
        <w:t>Následující data pocházejí z různých zdrojů, např. ze statistických úřadů</w:t>
      </w:r>
      <w:r w:rsidR="00A77725">
        <w:rPr>
          <w:color w:val="000000" w:themeColor="text1"/>
          <w:szCs w:val="22"/>
        </w:rPr>
        <w:t xml:space="preserve"> apod. </w:t>
      </w:r>
      <w:r w:rsidR="00867C9C">
        <w:rPr>
          <w:color w:val="000000" w:themeColor="text1"/>
          <w:szCs w:val="22"/>
        </w:rPr>
        <w:t xml:space="preserve">V České republice je </w:t>
      </w:r>
      <w:r w:rsidR="00A77725">
        <w:rPr>
          <w:color w:val="000000" w:themeColor="text1"/>
          <w:szCs w:val="22"/>
        </w:rPr>
        <w:t xml:space="preserve">v současnosti </w:t>
      </w:r>
      <w:r w:rsidR="00867C9C">
        <w:rPr>
          <w:color w:val="000000" w:themeColor="text1"/>
          <w:szCs w:val="22"/>
        </w:rPr>
        <w:t xml:space="preserve">ohroženo příjmovou chudobou zhruba 9,6 </w:t>
      </w:r>
      <w:r w:rsidR="00867C9C" w:rsidRPr="00867C9C">
        <w:rPr>
          <w:color w:val="000000" w:themeColor="text1"/>
        </w:rPr>
        <w:t>%</w:t>
      </w:r>
      <w:r w:rsidR="00867C9C">
        <w:rPr>
          <w:color w:val="000000" w:themeColor="text1"/>
        </w:rPr>
        <w:t xml:space="preserve"> </w:t>
      </w:r>
      <w:r w:rsidR="00867C9C">
        <w:rPr>
          <w:color w:val="000000" w:themeColor="text1"/>
          <w:szCs w:val="22"/>
        </w:rPr>
        <w:t>obyvatel. V Německu je</w:t>
      </w:r>
      <w:r w:rsidR="00591C34">
        <w:rPr>
          <w:color w:val="000000" w:themeColor="text1"/>
          <w:szCs w:val="22"/>
        </w:rPr>
        <w:t> </w:t>
      </w:r>
      <w:r w:rsidR="00867C9C">
        <w:rPr>
          <w:color w:val="000000" w:themeColor="text1"/>
          <w:szCs w:val="22"/>
        </w:rPr>
        <w:t>chudobou ohroženo 15,5</w:t>
      </w:r>
      <w:r>
        <w:rPr>
          <w:color w:val="000000" w:themeColor="text1"/>
          <w:szCs w:val="22"/>
        </w:rPr>
        <w:t> </w:t>
      </w:r>
      <w:r w:rsidR="00867C9C" w:rsidRPr="00867C9C">
        <w:rPr>
          <w:color w:val="000000" w:themeColor="text1"/>
        </w:rPr>
        <w:t>%</w:t>
      </w:r>
      <w:r w:rsidR="00867C9C">
        <w:rPr>
          <w:color w:val="000000" w:themeColor="text1"/>
        </w:rPr>
        <w:t xml:space="preserve"> obyvatel</w:t>
      </w:r>
      <w:r w:rsidR="009036EF">
        <w:rPr>
          <w:color w:val="000000" w:themeColor="text1"/>
        </w:rPr>
        <w:t>. V Polsku zase mírně klesá míra ekonomické chudoby, která v současnosti činí zhruba 4</w:t>
      </w:r>
      <w:r w:rsidR="007603DE">
        <w:rPr>
          <w:color w:val="000000" w:themeColor="text1"/>
        </w:rPr>
        <w:t>,2</w:t>
      </w:r>
      <w:r w:rsidR="009036EF">
        <w:rPr>
          <w:color w:val="000000" w:themeColor="text1"/>
        </w:rPr>
        <w:t xml:space="preserve"> </w:t>
      </w:r>
      <w:r w:rsidR="009036EF" w:rsidRPr="00867C9C">
        <w:rPr>
          <w:color w:val="000000" w:themeColor="text1"/>
        </w:rPr>
        <w:t>%</w:t>
      </w:r>
      <w:r w:rsidR="00591C34">
        <w:rPr>
          <w:color w:val="000000" w:themeColor="text1"/>
        </w:rPr>
        <w:t xml:space="preserve">. </w:t>
      </w:r>
      <w:r>
        <w:rPr>
          <w:color w:val="000000" w:themeColor="text1"/>
        </w:rPr>
        <w:t>K</w:t>
      </w:r>
      <w:r w:rsidR="009036EF">
        <w:rPr>
          <w:color w:val="000000" w:themeColor="text1"/>
        </w:rPr>
        <w:t xml:space="preserve">lesající jev </w:t>
      </w:r>
      <w:r>
        <w:rPr>
          <w:color w:val="000000" w:themeColor="text1"/>
        </w:rPr>
        <w:t>vykazuje i</w:t>
      </w:r>
      <w:r w:rsidR="009036EF">
        <w:rPr>
          <w:color w:val="000000" w:themeColor="text1"/>
        </w:rPr>
        <w:t xml:space="preserve"> Rakousko, kterému se v posledních letech snaží neustále míru ekonomické chudoby snižovat, v současnosti </w:t>
      </w:r>
      <w:r w:rsidR="00D32E4E">
        <w:rPr>
          <w:color w:val="000000" w:themeColor="text1"/>
        </w:rPr>
        <w:t xml:space="preserve">se v Rakousku nachází 13,4 </w:t>
      </w:r>
      <w:r w:rsidR="00D32E4E" w:rsidRPr="00867C9C">
        <w:rPr>
          <w:color w:val="000000" w:themeColor="text1"/>
        </w:rPr>
        <w:t>%</w:t>
      </w:r>
      <w:r w:rsidR="00D32E4E">
        <w:rPr>
          <w:color w:val="000000" w:themeColor="text1"/>
        </w:rPr>
        <w:t xml:space="preserve"> obyvatel žijící v chudobě. </w:t>
      </w:r>
      <w:r w:rsidR="007603DE">
        <w:rPr>
          <w:color w:val="000000" w:themeColor="text1"/>
        </w:rPr>
        <w:t>Maďarsko</w:t>
      </w:r>
      <w:r w:rsidR="00D32E4E">
        <w:rPr>
          <w:color w:val="000000" w:themeColor="text1"/>
        </w:rPr>
        <w:t xml:space="preserve"> oproti ostatním vybraným zemím vykazuje vysoké procento chudoby, pokud se soustředíme na</w:t>
      </w:r>
      <w:r w:rsidR="00E26DC1">
        <w:rPr>
          <w:color w:val="000000" w:themeColor="text1"/>
        </w:rPr>
        <w:t> </w:t>
      </w:r>
      <w:r w:rsidR="00D32E4E">
        <w:rPr>
          <w:color w:val="000000" w:themeColor="text1"/>
        </w:rPr>
        <w:t xml:space="preserve">námi vybrané období, tak nejvyššího procenta chudoby dosáhlo </w:t>
      </w:r>
      <w:r w:rsidR="007603DE">
        <w:rPr>
          <w:color w:val="000000" w:themeColor="text1"/>
        </w:rPr>
        <w:t>Maďarsko</w:t>
      </w:r>
      <w:r w:rsidR="00D32E4E">
        <w:rPr>
          <w:color w:val="000000" w:themeColor="text1"/>
        </w:rPr>
        <w:t xml:space="preserve"> v roce 2013 a</w:t>
      </w:r>
      <w:r w:rsidR="00EF283D">
        <w:rPr>
          <w:color w:val="000000" w:themeColor="text1"/>
        </w:rPr>
        <w:t> </w:t>
      </w:r>
      <w:r w:rsidR="00D32E4E">
        <w:rPr>
          <w:color w:val="000000" w:themeColor="text1"/>
        </w:rPr>
        <w:t>to</w:t>
      </w:r>
      <w:r w:rsidR="00E26DC1">
        <w:rPr>
          <w:color w:val="000000" w:themeColor="text1"/>
        </w:rPr>
        <w:t> </w:t>
      </w:r>
      <w:r w:rsidR="00D32E4E">
        <w:rPr>
          <w:color w:val="000000" w:themeColor="text1"/>
        </w:rPr>
        <w:t xml:space="preserve">34,8 </w:t>
      </w:r>
      <w:r w:rsidR="00D32E4E" w:rsidRPr="00867C9C">
        <w:rPr>
          <w:color w:val="000000" w:themeColor="text1"/>
        </w:rPr>
        <w:t>%</w:t>
      </w:r>
      <w:r w:rsidR="00D32E4E">
        <w:rPr>
          <w:color w:val="000000" w:themeColor="text1"/>
        </w:rPr>
        <w:t xml:space="preserve">. Naštěstí se </w:t>
      </w:r>
      <w:r w:rsidR="007603DE">
        <w:rPr>
          <w:color w:val="000000" w:themeColor="text1"/>
        </w:rPr>
        <w:t>Maďarsku</w:t>
      </w:r>
      <w:r w:rsidR="00D32E4E">
        <w:rPr>
          <w:color w:val="000000" w:themeColor="text1"/>
        </w:rPr>
        <w:t xml:space="preserve"> v následujících letech daří snižovat chudobu a v současnosti </w:t>
      </w:r>
      <w:r w:rsidR="00591C34">
        <w:rPr>
          <w:color w:val="000000" w:themeColor="text1"/>
        </w:rPr>
        <w:t>je chudobou</w:t>
      </w:r>
      <w:r w:rsidR="00D32E4E">
        <w:rPr>
          <w:color w:val="000000" w:themeColor="text1"/>
        </w:rPr>
        <w:t xml:space="preserve"> </w:t>
      </w:r>
      <w:r w:rsidR="00591C34">
        <w:rPr>
          <w:color w:val="000000" w:themeColor="text1"/>
        </w:rPr>
        <w:t>ohroženo</w:t>
      </w:r>
      <w:r w:rsidR="00D32E4E">
        <w:rPr>
          <w:color w:val="000000" w:themeColor="text1"/>
        </w:rPr>
        <w:t xml:space="preserve"> zhruba 18,9 </w:t>
      </w:r>
      <w:r w:rsidR="00D32E4E" w:rsidRPr="00867C9C">
        <w:rPr>
          <w:color w:val="000000" w:themeColor="text1"/>
        </w:rPr>
        <w:t>%</w:t>
      </w:r>
      <w:r w:rsidR="00D32E4E">
        <w:rPr>
          <w:color w:val="000000" w:themeColor="text1"/>
        </w:rPr>
        <w:t xml:space="preserve"> obyvatel.</w:t>
      </w:r>
      <w:r w:rsidR="00591C34">
        <w:rPr>
          <w:color w:val="000000" w:themeColor="text1"/>
        </w:rPr>
        <w:t xml:space="preserve"> Na Slovensku je zase každý šestý obyvatel ohrožen chudobou, obecně je chudobou ohroženo zhruba 16,3 </w:t>
      </w:r>
      <w:r w:rsidR="00591C34" w:rsidRPr="00867C9C">
        <w:rPr>
          <w:color w:val="000000" w:themeColor="text1"/>
        </w:rPr>
        <w:t>%</w:t>
      </w:r>
      <w:r w:rsidR="00591C34">
        <w:rPr>
          <w:color w:val="000000" w:themeColor="text1"/>
        </w:rPr>
        <w:t xml:space="preserve"> populace</w:t>
      </w:r>
      <w:r>
        <w:rPr>
          <w:color w:val="000000" w:themeColor="text1"/>
        </w:rPr>
        <w:t>.</w:t>
      </w:r>
    </w:p>
    <w:p w14:paraId="3B94526F" w14:textId="77777777" w:rsidR="001C5B4B" w:rsidRDefault="00591C34" w:rsidP="001C5B4B">
      <w:pPr>
        <w:spacing w:before="120" w:after="240" w:line="360" w:lineRule="auto"/>
        <w:ind w:firstLine="454"/>
        <w:jc w:val="both"/>
        <w:rPr>
          <w:color w:val="000000" w:themeColor="text1"/>
        </w:rPr>
      </w:pPr>
      <w:r w:rsidRPr="00794948">
        <w:rPr>
          <w:b/>
          <w:bCs/>
          <w:i/>
          <w:iCs/>
          <w:color w:val="000000" w:themeColor="text1"/>
        </w:rPr>
        <w:t xml:space="preserve">Pokud tedy porovnáme tyto </w:t>
      </w:r>
      <w:r w:rsidR="00E26DC1" w:rsidRPr="00794948">
        <w:rPr>
          <w:b/>
          <w:bCs/>
          <w:i/>
          <w:iCs/>
          <w:color w:val="000000" w:themeColor="text1"/>
        </w:rPr>
        <w:t>procenta s celkovým počtem obyvatel</w:t>
      </w:r>
      <w:r w:rsidRPr="00794948">
        <w:rPr>
          <w:b/>
          <w:bCs/>
          <w:i/>
          <w:iCs/>
          <w:color w:val="000000" w:themeColor="text1"/>
        </w:rPr>
        <w:t>, pak nám vychází že:</w:t>
      </w:r>
    </w:p>
    <w:p w14:paraId="700A35DA" w14:textId="77777777" w:rsidR="001C5B4B"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V</w:t>
      </w:r>
      <w:r w:rsidR="007603DE" w:rsidRPr="001C5B4B">
        <w:rPr>
          <w:i/>
          <w:iCs/>
          <w:color w:val="000000" w:themeColor="text1"/>
          <w:sz w:val="24"/>
          <w:szCs w:val="22"/>
        </w:rPr>
        <w:t xml:space="preserve"> </w:t>
      </w:r>
      <w:r w:rsidR="00591C34" w:rsidRPr="001C5B4B">
        <w:rPr>
          <w:i/>
          <w:iCs/>
          <w:color w:val="000000" w:themeColor="text1"/>
          <w:sz w:val="24"/>
          <w:szCs w:val="22"/>
        </w:rPr>
        <w:t>Česká republi</w:t>
      </w:r>
      <w:r w:rsidR="007603DE" w:rsidRPr="001C5B4B">
        <w:rPr>
          <w:i/>
          <w:iCs/>
          <w:color w:val="000000" w:themeColor="text1"/>
          <w:sz w:val="24"/>
          <w:szCs w:val="22"/>
        </w:rPr>
        <w:t xml:space="preserve">ce je chudobou ohroženo 9,6 %, v přepočtu </w:t>
      </w:r>
      <w:r w:rsidR="00BA5B01" w:rsidRPr="001C5B4B">
        <w:rPr>
          <w:i/>
          <w:iCs/>
          <w:color w:val="000000" w:themeColor="text1"/>
          <w:sz w:val="24"/>
          <w:szCs w:val="22"/>
        </w:rPr>
        <w:t>se jedná o</w:t>
      </w:r>
      <w:r w:rsidR="001C5B4B" w:rsidRPr="001C5B4B">
        <w:rPr>
          <w:i/>
          <w:iCs/>
          <w:color w:val="000000" w:themeColor="text1"/>
          <w:sz w:val="24"/>
          <w:szCs w:val="22"/>
        </w:rPr>
        <w:t> </w:t>
      </w:r>
      <w:r w:rsidR="007603DE" w:rsidRPr="001C5B4B">
        <w:rPr>
          <w:i/>
          <w:iCs/>
          <w:color w:val="000000" w:themeColor="text1"/>
          <w:sz w:val="24"/>
          <w:szCs w:val="22"/>
        </w:rPr>
        <w:t>1 026 240 osob</w:t>
      </w:r>
      <w:r w:rsidR="00BA5B01" w:rsidRPr="001C5B4B">
        <w:rPr>
          <w:i/>
          <w:iCs/>
          <w:color w:val="000000" w:themeColor="text1"/>
          <w:sz w:val="24"/>
          <w:szCs w:val="22"/>
        </w:rPr>
        <w:t xml:space="preserve">, což představuje zhruba desetinu </w:t>
      </w:r>
      <w:r w:rsidR="00F15296" w:rsidRPr="001C5B4B">
        <w:rPr>
          <w:i/>
          <w:iCs/>
          <w:color w:val="000000" w:themeColor="text1"/>
          <w:sz w:val="24"/>
          <w:szCs w:val="22"/>
        </w:rPr>
        <w:t xml:space="preserve">české </w:t>
      </w:r>
      <w:r w:rsidR="00BA5B01" w:rsidRPr="001C5B4B">
        <w:rPr>
          <w:i/>
          <w:iCs/>
          <w:color w:val="000000" w:themeColor="text1"/>
          <w:sz w:val="24"/>
          <w:szCs w:val="22"/>
        </w:rPr>
        <w:t>populace</w:t>
      </w:r>
      <w:r w:rsidRPr="001C5B4B">
        <w:rPr>
          <w:i/>
          <w:iCs/>
          <w:color w:val="000000" w:themeColor="text1"/>
          <w:sz w:val="24"/>
          <w:szCs w:val="22"/>
        </w:rPr>
        <w:t>.</w:t>
      </w:r>
    </w:p>
    <w:p w14:paraId="19E05EDC" w14:textId="77777777" w:rsidR="001C5B4B"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V</w:t>
      </w:r>
      <w:r w:rsidR="007603DE" w:rsidRPr="001C5B4B">
        <w:rPr>
          <w:i/>
          <w:iCs/>
          <w:color w:val="000000" w:themeColor="text1"/>
          <w:sz w:val="24"/>
          <w:szCs w:val="22"/>
        </w:rPr>
        <w:t xml:space="preserve"> </w:t>
      </w:r>
      <w:r w:rsidR="00591C34" w:rsidRPr="001C5B4B">
        <w:rPr>
          <w:i/>
          <w:iCs/>
          <w:color w:val="000000" w:themeColor="text1"/>
          <w:sz w:val="24"/>
          <w:szCs w:val="22"/>
        </w:rPr>
        <w:t>Maďarsk</w:t>
      </w:r>
      <w:r w:rsidR="007603DE" w:rsidRPr="001C5B4B">
        <w:rPr>
          <w:i/>
          <w:iCs/>
          <w:color w:val="000000" w:themeColor="text1"/>
          <w:sz w:val="24"/>
          <w:szCs w:val="22"/>
        </w:rPr>
        <w:t xml:space="preserve">u je chudobou ohroženo 18,9 %, </w:t>
      </w:r>
      <w:r w:rsidR="00BA5B01" w:rsidRPr="001C5B4B">
        <w:rPr>
          <w:i/>
          <w:iCs/>
          <w:color w:val="000000" w:themeColor="text1"/>
          <w:sz w:val="24"/>
          <w:szCs w:val="22"/>
        </w:rPr>
        <w:t xml:space="preserve">v přepočtu se jedná o </w:t>
      </w:r>
      <w:r w:rsidR="007603DE" w:rsidRPr="001C5B4B">
        <w:rPr>
          <w:i/>
          <w:iCs/>
          <w:color w:val="000000" w:themeColor="text1"/>
          <w:sz w:val="24"/>
          <w:szCs w:val="22"/>
        </w:rPr>
        <w:t>1 847 097 osob</w:t>
      </w:r>
      <w:r w:rsidR="00BA5B01" w:rsidRPr="001C5B4B">
        <w:rPr>
          <w:i/>
          <w:iCs/>
          <w:color w:val="000000" w:themeColor="text1"/>
          <w:sz w:val="24"/>
          <w:szCs w:val="22"/>
        </w:rPr>
        <w:t>, což</w:t>
      </w:r>
      <w:r w:rsidR="00F15296" w:rsidRPr="001C5B4B">
        <w:rPr>
          <w:i/>
          <w:iCs/>
          <w:color w:val="000000" w:themeColor="text1"/>
          <w:sz w:val="24"/>
          <w:szCs w:val="22"/>
        </w:rPr>
        <w:t> </w:t>
      </w:r>
      <w:r w:rsidR="00BA5B01" w:rsidRPr="001C5B4B">
        <w:rPr>
          <w:i/>
          <w:iCs/>
          <w:color w:val="000000" w:themeColor="text1"/>
          <w:sz w:val="24"/>
          <w:szCs w:val="22"/>
        </w:rPr>
        <w:t>představuje zhruba</w:t>
      </w:r>
      <w:r w:rsidR="00F15296" w:rsidRPr="001C5B4B">
        <w:rPr>
          <w:i/>
          <w:iCs/>
          <w:color w:val="000000" w:themeColor="text1"/>
          <w:sz w:val="24"/>
          <w:szCs w:val="22"/>
        </w:rPr>
        <w:t xml:space="preserve"> pětinu maďarské populace</w:t>
      </w:r>
      <w:r w:rsidRPr="001C5B4B">
        <w:rPr>
          <w:i/>
          <w:iCs/>
          <w:color w:val="000000" w:themeColor="text1"/>
          <w:sz w:val="24"/>
          <w:szCs w:val="22"/>
        </w:rPr>
        <w:t>.</w:t>
      </w:r>
    </w:p>
    <w:p w14:paraId="40E63986" w14:textId="77777777" w:rsidR="001C5B4B"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V</w:t>
      </w:r>
      <w:r w:rsidR="007603DE" w:rsidRPr="001C5B4B">
        <w:rPr>
          <w:i/>
          <w:iCs/>
          <w:color w:val="000000" w:themeColor="text1"/>
          <w:sz w:val="24"/>
          <w:szCs w:val="22"/>
        </w:rPr>
        <w:t xml:space="preserve"> </w:t>
      </w:r>
      <w:r w:rsidR="00591C34" w:rsidRPr="001C5B4B">
        <w:rPr>
          <w:i/>
          <w:iCs/>
          <w:color w:val="000000" w:themeColor="text1"/>
          <w:sz w:val="24"/>
          <w:szCs w:val="22"/>
        </w:rPr>
        <w:t>Německ</w:t>
      </w:r>
      <w:r w:rsidR="007603DE" w:rsidRPr="001C5B4B">
        <w:rPr>
          <w:i/>
          <w:iCs/>
          <w:color w:val="000000" w:themeColor="text1"/>
          <w:sz w:val="24"/>
          <w:szCs w:val="22"/>
        </w:rPr>
        <w:t xml:space="preserve">u je chudobou ohroženo 15,5 %, </w:t>
      </w:r>
      <w:r w:rsidR="00BA5B01" w:rsidRPr="001C5B4B">
        <w:rPr>
          <w:i/>
          <w:iCs/>
          <w:color w:val="000000" w:themeColor="text1"/>
          <w:sz w:val="24"/>
          <w:szCs w:val="22"/>
        </w:rPr>
        <w:t xml:space="preserve">v přepočtu se jedná o </w:t>
      </w:r>
      <w:r w:rsidR="007603DE" w:rsidRPr="001C5B4B">
        <w:rPr>
          <w:i/>
          <w:iCs/>
          <w:color w:val="000000" w:themeColor="text1"/>
          <w:sz w:val="24"/>
          <w:szCs w:val="22"/>
        </w:rPr>
        <w:t>12 868 100 osob</w:t>
      </w:r>
      <w:r w:rsidR="00BA5B01" w:rsidRPr="001C5B4B">
        <w:rPr>
          <w:i/>
          <w:iCs/>
          <w:color w:val="000000" w:themeColor="text1"/>
          <w:sz w:val="24"/>
          <w:szCs w:val="22"/>
        </w:rPr>
        <w:t>,</w:t>
      </w:r>
      <w:r w:rsidR="00F15296" w:rsidRPr="001C5B4B">
        <w:rPr>
          <w:i/>
          <w:iCs/>
          <w:color w:val="000000" w:themeColor="text1"/>
          <w:sz w:val="24"/>
          <w:szCs w:val="22"/>
        </w:rPr>
        <w:t xml:space="preserve"> což</w:t>
      </w:r>
      <w:r w:rsidR="001A6AC7" w:rsidRPr="001C5B4B">
        <w:rPr>
          <w:i/>
          <w:iCs/>
          <w:color w:val="000000" w:themeColor="text1"/>
          <w:sz w:val="24"/>
          <w:szCs w:val="22"/>
        </w:rPr>
        <w:t> </w:t>
      </w:r>
      <w:r w:rsidR="00F15296" w:rsidRPr="001C5B4B">
        <w:rPr>
          <w:i/>
          <w:iCs/>
          <w:color w:val="000000" w:themeColor="text1"/>
          <w:sz w:val="24"/>
          <w:szCs w:val="22"/>
        </w:rPr>
        <w:t>představuje zhruba šesti</w:t>
      </w:r>
      <w:r w:rsidR="00BA6FB4" w:rsidRPr="001C5B4B">
        <w:rPr>
          <w:i/>
          <w:iCs/>
          <w:color w:val="000000" w:themeColor="text1"/>
          <w:sz w:val="24"/>
          <w:szCs w:val="22"/>
        </w:rPr>
        <w:t>nu</w:t>
      </w:r>
      <w:r w:rsidR="001A6AC7" w:rsidRPr="001C5B4B">
        <w:rPr>
          <w:i/>
          <w:iCs/>
          <w:color w:val="000000" w:themeColor="text1"/>
          <w:sz w:val="24"/>
          <w:szCs w:val="22"/>
        </w:rPr>
        <w:t xml:space="preserve"> německé </w:t>
      </w:r>
      <w:r w:rsidR="00F15296" w:rsidRPr="001C5B4B">
        <w:rPr>
          <w:i/>
          <w:iCs/>
          <w:color w:val="000000" w:themeColor="text1"/>
          <w:sz w:val="24"/>
          <w:szCs w:val="22"/>
        </w:rPr>
        <w:t>populace</w:t>
      </w:r>
      <w:r w:rsidRPr="001C5B4B">
        <w:rPr>
          <w:i/>
          <w:iCs/>
          <w:color w:val="000000" w:themeColor="text1"/>
          <w:sz w:val="24"/>
          <w:szCs w:val="22"/>
        </w:rPr>
        <w:t>.</w:t>
      </w:r>
    </w:p>
    <w:p w14:paraId="35D22122" w14:textId="77777777" w:rsidR="001C5B4B"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V</w:t>
      </w:r>
      <w:r w:rsidR="007603DE" w:rsidRPr="001C5B4B">
        <w:rPr>
          <w:i/>
          <w:iCs/>
          <w:color w:val="000000" w:themeColor="text1"/>
          <w:sz w:val="24"/>
          <w:szCs w:val="22"/>
        </w:rPr>
        <w:t> </w:t>
      </w:r>
      <w:r w:rsidR="00591C34" w:rsidRPr="001C5B4B">
        <w:rPr>
          <w:i/>
          <w:iCs/>
          <w:color w:val="000000" w:themeColor="text1"/>
          <w:sz w:val="24"/>
          <w:szCs w:val="22"/>
        </w:rPr>
        <w:t>Polsk</w:t>
      </w:r>
      <w:r w:rsidR="007603DE" w:rsidRPr="001C5B4B">
        <w:rPr>
          <w:i/>
          <w:iCs/>
          <w:color w:val="000000" w:themeColor="text1"/>
          <w:sz w:val="24"/>
          <w:szCs w:val="22"/>
        </w:rPr>
        <w:t xml:space="preserve">u je chudobou ohroženo 4,2 %, </w:t>
      </w:r>
      <w:r w:rsidR="00BA5B01" w:rsidRPr="001C5B4B">
        <w:rPr>
          <w:i/>
          <w:iCs/>
          <w:color w:val="000000" w:themeColor="text1"/>
          <w:sz w:val="24"/>
          <w:szCs w:val="22"/>
        </w:rPr>
        <w:t xml:space="preserve">v přepočtu se jedná o </w:t>
      </w:r>
      <w:r w:rsidR="00E26DC1" w:rsidRPr="001C5B4B">
        <w:rPr>
          <w:i/>
          <w:iCs/>
          <w:color w:val="000000" w:themeColor="text1"/>
          <w:sz w:val="24"/>
          <w:szCs w:val="22"/>
        </w:rPr>
        <w:t xml:space="preserve">1 594 740 </w:t>
      </w:r>
      <w:r w:rsidR="007603DE" w:rsidRPr="001C5B4B">
        <w:rPr>
          <w:i/>
          <w:iCs/>
          <w:color w:val="000000" w:themeColor="text1"/>
          <w:sz w:val="24"/>
          <w:szCs w:val="22"/>
        </w:rPr>
        <w:t>osob</w:t>
      </w:r>
      <w:r w:rsidR="001A6AC7" w:rsidRPr="001C5B4B">
        <w:rPr>
          <w:i/>
          <w:iCs/>
          <w:color w:val="000000" w:themeColor="text1"/>
          <w:sz w:val="24"/>
          <w:szCs w:val="22"/>
        </w:rPr>
        <w:t xml:space="preserve">, což představuje zhruba </w:t>
      </w:r>
      <w:r w:rsidR="001A071D" w:rsidRPr="001C5B4B">
        <w:rPr>
          <w:i/>
          <w:iCs/>
          <w:color w:val="000000" w:themeColor="text1"/>
          <w:sz w:val="24"/>
          <w:szCs w:val="22"/>
        </w:rPr>
        <w:t xml:space="preserve">jednu </w:t>
      </w:r>
      <w:r w:rsidR="00027BE6" w:rsidRPr="001C5B4B">
        <w:rPr>
          <w:i/>
          <w:iCs/>
          <w:color w:val="000000" w:themeColor="text1"/>
          <w:sz w:val="24"/>
          <w:szCs w:val="22"/>
        </w:rPr>
        <w:t>čtyřiadvacetinu</w:t>
      </w:r>
      <w:r w:rsidR="001A6AC7" w:rsidRPr="001C5B4B">
        <w:rPr>
          <w:i/>
          <w:iCs/>
          <w:color w:val="000000" w:themeColor="text1"/>
          <w:sz w:val="24"/>
          <w:szCs w:val="22"/>
        </w:rPr>
        <w:t xml:space="preserve"> polské populace</w:t>
      </w:r>
      <w:r w:rsidRPr="001C5B4B">
        <w:rPr>
          <w:i/>
          <w:iCs/>
          <w:color w:val="000000" w:themeColor="text1"/>
          <w:sz w:val="24"/>
          <w:szCs w:val="22"/>
        </w:rPr>
        <w:t>.</w:t>
      </w:r>
    </w:p>
    <w:p w14:paraId="4D0D87AB" w14:textId="77777777" w:rsidR="001C5B4B"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V</w:t>
      </w:r>
      <w:r w:rsidR="007603DE" w:rsidRPr="001C5B4B">
        <w:rPr>
          <w:i/>
          <w:iCs/>
          <w:color w:val="000000" w:themeColor="text1"/>
          <w:sz w:val="24"/>
          <w:szCs w:val="22"/>
        </w:rPr>
        <w:t xml:space="preserve"> </w:t>
      </w:r>
      <w:r w:rsidR="00591C34" w:rsidRPr="001C5B4B">
        <w:rPr>
          <w:i/>
          <w:iCs/>
          <w:color w:val="000000" w:themeColor="text1"/>
          <w:sz w:val="24"/>
          <w:szCs w:val="22"/>
        </w:rPr>
        <w:t>Rakousk</w:t>
      </w:r>
      <w:r w:rsidR="007603DE" w:rsidRPr="001C5B4B">
        <w:rPr>
          <w:i/>
          <w:iCs/>
          <w:color w:val="000000" w:themeColor="text1"/>
          <w:sz w:val="24"/>
          <w:szCs w:val="22"/>
        </w:rPr>
        <w:t>u je chudobou ohroženo 1</w:t>
      </w:r>
      <w:r w:rsidR="00EF283D" w:rsidRPr="001C5B4B">
        <w:rPr>
          <w:i/>
          <w:iCs/>
          <w:color w:val="000000" w:themeColor="text1"/>
          <w:sz w:val="24"/>
          <w:szCs w:val="22"/>
        </w:rPr>
        <w:t xml:space="preserve">8 </w:t>
      </w:r>
      <w:r w:rsidR="007603DE" w:rsidRPr="001C5B4B">
        <w:rPr>
          <w:i/>
          <w:iCs/>
          <w:color w:val="000000" w:themeColor="text1"/>
          <w:sz w:val="24"/>
          <w:szCs w:val="22"/>
        </w:rPr>
        <w:t xml:space="preserve">%, </w:t>
      </w:r>
      <w:r w:rsidR="00BA5B01" w:rsidRPr="001C5B4B">
        <w:rPr>
          <w:i/>
          <w:iCs/>
          <w:color w:val="000000" w:themeColor="text1"/>
          <w:sz w:val="24"/>
          <w:szCs w:val="22"/>
        </w:rPr>
        <w:t xml:space="preserve">v přepočtu se jedná o </w:t>
      </w:r>
      <w:r w:rsidR="00E26DC1" w:rsidRPr="001C5B4B">
        <w:rPr>
          <w:i/>
          <w:iCs/>
          <w:color w:val="000000" w:themeColor="text1"/>
          <w:sz w:val="24"/>
          <w:szCs w:val="22"/>
        </w:rPr>
        <w:t>1</w:t>
      </w:r>
      <w:r w:rsidR="00EF283D" w:rsidRPr="001C5B4B">
        <w:rPr>
          <w:i/>
          <w:iCs/>
          <w:color w:val="000000" w:themeColor="text1"/>
          <w:sz w:val="24"/>
          <w:szCs w:val="22"/>
        </w:rPr>
        <w:t xml:space="preserve"> 594 620 </w:t>
      </w:r>
      <w:r w:rsidR="007603DE" w:rsidRPr="001C5B4B">
        <w:rPr>
          <w:i/>
          <w:iCs/>
          <w:color w:val="000000" w:themeColor="text1"/>
          <w:sz w:val="24"/>
          <w:szCs w:val="22"/>
        </w:rPr>
        <w:t>osob</w:t>
      </w:r>
      <w:r w:rsidR="001A6AC7" w:rsidRPr="001C5B4B">
        <w:rPr>
          <w:i/>
          <w:iCs/>
          <w:color w:val="000000" w:themeColor="text1"/>
          <w:sz w:val="24"/>
          <w:szCs w:val="22"/>
        </w:rPr>
        <w:t>, což představuje zhruba šesti</w:t>
      </w:r>
      <w:r w:rsidR="00BA6FB4" w:rsidRPr="001C5B4B">
        <w:rPr>
          <w:i/>
          <w:iCs/>
          <w:color w:val="000000" w:themeColor="text1"/>
          <w:sz w:val="24"/>
          <w:szCs w:val="22"/>
        </w:rPr>
        <w:t>nu</w:t>
      </w:r>
      <w:r w:rsidR="001A6AC7" w:rsidRPr="001C5B4B">
        <w:rPr>
          <w:i/>
          <w:iCs/>
          <w:color w:val="000000" w:themeColor="text1"/>
          <w:sz w:val="24"/>
          <w:szCs w:val="22"/>
        </w:rPr>
        <w:t xml:space="preserve"> rakouské populace</w:t>
      </w:r>
      <w:r w:rsidRPr="001C5B4B">
        <w:rPr>
          <w:i/>
          <w:iCs/>
          <w:color w:val="000000" w:themeColor="text1"/>
          <w:sz w:val="24"/>
          <w:szCs w:val="22"/>
        </w:rPr>
        <w:t>.</w:t>
      </w:r>
    </w:p>
    <w:p w14:paraId="26EEB3D7" w14:textId="520CB877" w:rsidR="00591C34" w:rsidRPr="001C5B4B" w:rsidRDefault="00794948" w:rsidP="001C5B4B">
      <w:pPr>
        <w:pStyle w:val="Odstavecseseznamem"/>
        <w:numPr>
          <w:ilvl w:val="0"/>
          <w:numId w:val="26"/>
        </w:numPr>
        <w:spacing w:before="120" w:after="240"/>
        <w:rPr>
          <w:color w:val="000000" w:themeColor="text1"/>
          <w:sz w:val="24"/>
          <w:szCs w:val="22"/>
        </w:rPr>
      </w:pPr>
      <w:r w:rsidRPr="001C5B4B">
        <w:rPr>
          <w:i/>
          <w:iCs/>
          <w:color w:val="000000" w:themeColor="text1"/>
          <w:sz w:val="24"/>
          <w:szCs w:val="22"/>
        </w:rPr>
        <w:t xml:space="preserve">Na </w:t>
      </w:r>
      <w:r w:rsidR="00591C34" w:rsidRPr="001C5B4B">
        <w:rPr>
          <w:i/>
          <w:iCs/>
          <w:color w:val="000000" w:themeColor="text1"/>
          <w:sz w:val="24"/>
          <w:szCs w:val="22"/>
        </w:rPr>
        <w:t>Slovensk</w:t>
      </w:r>
      <w:r w:rsidR="007603DE" w:rsidRPr="001C5B4B">
        <w:rPr>
          <w:i/>
          <w:iCs/>
          <w:color w:val="000000" w:themeColor="text1"/>
          <w:sz w:val="24"/>
          <w:szCs w:val="22"/>
        </w:rPr>
        <w:t xml:space="preserve">u je chudobou ohroženo 16,3 %, </w:t>
      </w:r>
      <w:r w:rsidR="00BA5B01" w:rsidRPr="001C5B4B">
        <w:rPr>
          <w:i/>
          <w:iCs/>
          <w:color w:val="000000" w:themeColor="text1"/>
          <w:sz w:val="24"/>
          <w:szCs w:val="22"/>
        </w:rPr>
        <w:t xml:space="preserve">v přepočtu se jedná o </w:t>
      </w:r>
      <w:r w:rsidR="007603DE" w:rsidRPr="001C5B4B">
        <w:rPr>
          <w:i/>
          <w:iCs/>
          <w:color w:val="000000" w:themeColor="text1"/>
          <w:sz w:val="24"/>
          <w:szCs w:val="22"/>
        </w:rPr>
        <w:t>872 000 osob</w:t>
      </w:r>
      <w:r w:rsidR="001A6AC7" w:rsidRPr="001C5B4B">
        <w:rPr>
          <w:i/>
          <w:iCs/>
          <w:color w:val="000000" w:themeColor="text1"/>
          <w:sz w:val="24"/>
          <w:szCs w:val="22"/>
        </w:rPr>
        <w:t xml:space="preserve">, což představuje zhruba </w:t>
      </w:r>
      <w:r w:rsidR="00BA6FB4" w:rsidRPr="001C5B4B">
        <w:rPr>
          <w:i/>
          <w:iCs/>
          <w:color w:val="000000" w:themeColor="text1"/>
          <w:sz w:val="24"/>
          <w:szCs w:val="22"/>
        </w:rPr>
        <w:t>šestinu</w:t>
      </w:r>
      <w:r w:rsidR="001A6AC7" w:rsidRPr="001C5B4B">
        <w:rPr>
          <w:i/>
          <w:iCs/>
          <w:color w:val="000000" w:themeColor="text1"/>
          <w:sz w:val="24"/>
          <w:szCs w:val="22"/>
        </w:rPr>
        <w:t xml:space="preserve"> slovenské populace</w:t>
      </w:r>
      <w:r w:rsidR="00027BE6" w:rsidRPr="001C5B4B">
        <w:rPr>
          <w:i/>
          <w:iCs/>
          <w:color w:val="000000" w:themeColor="text1"/>
          <w:sz w:val="24"/>
          <w:szCs w:val="22"/>
        </w:rPr>
        <w:t>.</w:t>
      </w:r>
    </w:p>
    <w:p w14:paraId="3AEA1A8E" w14:textId="756D68E1" w:rsidR="00A77725" w:rsidRDefault="00A77725" w:rsidP="001A6AC7">
      <w:pPr>
        <w:spacing w:before="120" w:after="240" w:line="360" w:lineRule="auto"/>
        <w:ind w:firstLine="360"/>
        <w:jc w:val="both"/>
        <w:rPr>
          <w:color w:val="000000" w:themeColor="text1"/>
        </w:rPr>
      </w:pPr>
      <w:r>
        <w:rPr>
          <w:color w:val="000000" w:themeColor="text1"/>
        </w:rPr>
        <w:lastRenderedPageBreak/>
        <w:t xml:space="preserve">Ke konkrétnímu číslu osob ohrožených chudobou jsme se dopracovali prostřednictvím výpočtu procent </w:t>
      </w:r>
      <w:r w:rsidR="001A6AC7">
        <w:rPr>
          <w:color w:val="000000" w:themeColor="text1"/>
        </w:rPr>
        <w:t>z</w:t>
      </w:r>
      <w:r>
        <w:rPr>
          <w:color w:val="000000" w:themeColor="text1"/>
        </w:rPr>
        <w:t> celkovému počtu obyvatel dané země.</w:t>
      </w:r>
      <w:r w:rsidR="00DF1457">
        <w:rPr>
          <w:color w:val="000000" w:themeColor="text1"/>
        </w:rPr>
        <w:t xml:space="preserve"> </w:t>
      </w:r>
    </w:p>
    <w:p w14:paraId="4324F536" w14:textId="3697780D" w:rsidR="00661616" w:rsidRPr="000A11C5" w:rsidRDefault="00BA6FB4" w:rsidP="000A11C5">
      <w:pPr>
        <w:spacing w:before="120" w:after="240" w:line="360" w:lineRule="auto"/>
        <w:ind w:firstLine="360"/>
        <w:jc w:val="both"/>
        <w:rPr>
          <w:color w:val="000000" w:themeColor="text1"/>
        </w:rPr>
      </w:pPr>
      <w:r>
        <w:rPr>
          <w:color w:val="000000" w:themeColor="text1"/>
        </w:rPr>
        <w:t>Pokud budeme tedy chudobu v těchto zemích porovnávat mezi sebou, pak nejlépe je</w:t>
      </w:r>
      <w:r w:rsidR="000E7863">
        <w:rPr>
          <w:color w:val="000000" w:themeColor="text1"/>
        </w:rPr>
        <w:t> </w:t>
      </w:r>
      <w:r>
        <w:rPr>
          <w:color w:val="000000" w:themeColor="text1"/>
        </w:rPr>
        <w:t>na</w:t>
      </w:r>
      <w:r w:rsidR="000E7863">
        <w:rPr>
          <w:color w:val="000000" w:themeColor="text1"/>
        </w:rPr>
        <w:t> </w:t>
      </w:r>
      <w:r>
        <w:rPr>
          <w:color w:val="000000" w:themeColor="text1"/>
        </w:rPr>
        <w:t>tom</w:t>
      </w:r>
      <w:r w:rsidR="000E7863">
        <w:rPr>
          <w:color w:val="000000" w:themeColor="text1"/>
        </w:rPr>
        <w:t>,</w:t>
      </w:r>
      <w:r>
        <w:rPr>
          <w:color w:val="000000" w:themeColor="text1"/>
        </w:rPr>
        <w:t xml:space="preserve"> </w:t>
      </w:r>
      <w:r w:rsidR="001A071D">
        <w:rPr>
          <w:color w:val="000000" w:themeColor="text1"/>
        </w:rPr>
        <w:t xml:space="preserve">co se týče osob ohrožených chudobou </w:t>
      </w:r>
      <w:r>
        <w:rPr>
          <w:color w:val="000000" w:themeColor="text1"/>
        </w:rPr>
        <w:t>Polsko a nejhůře zase Maďarsko.</w:t>
      </w:r>
    </w:p>
    <w:p w14:paraId="6E31B184" w14:textId="3D01C302" w:rsidR="005A2356" w:rsidRPr="000607C5" w:rsidRDefault="005A2356" w:rsidP="000607C5">
      <w:pPr>
        <w:pStyle w:val="Nadpis3"/>
      </w:pPr>
      <w:bookmarkStart w:id="39" w:name="_Toc46142349"/>
      <w:r w:rsidRPr="000607C5">
        <w:t xml:space="preserve">Nezaměstnanost </w:t>
      </w:r>
      <w:r w:rsidR="008D1974">
        <w:t xml:space="preserve">ve </w:t>
      </w:r>
      <w:r w:rsidRPr="000607C5">
        <w:t>vybraných zemích Evropské Unie</w:t>
      </w:r>
      <w:bookmarkEnd w:id="39"/>
      <w:r w:rsidRPr="000607C5">
        <w:t xml:space="preserve"> </w:t>
      </w:r>
    </w:p>
    <w:p w14:paraId="7B21652B" w14:textId="2E0424DD" w:rsidR="005A2356" w:rsidRDefault="004400D5" w:rsidP="006A53A1">
      <w:pPr>
        <w:spacing w:before="120" w:after="240" w:line="360" w:lineRule="auto"/>
        <w:ind w:firstLine="454"/>
        <w:jc w:val="both"/>
      </w:pPr>
      <w:r>
        <w:t>Každý stát si klade za cíl snižovat nezaměstnanost ve své zemi. Usiluj</w:t>
      </w:r>
      <w:r w:rsidR="00A75553">
        <w:t>e</w:t>
      </w:r>
      <w:r>
        <w:t xml:space="preserve"> o to, </w:t>
      </w:r>
      <w:r w:rsidRPr="00A75553">
        <w:t>aby</w:t>
      </w:r>
      <w:r w:rsidR="00A75553">
        <w:t> </w:t>
      </w:r>
      <w:r w:rsidRPr="00A75553">
        <w:t>obyvatelstvu</w:t>
      </w:r>
      <w:r>
        <w:t xml:space="preserve"> </w:t>
      </w:r>
      <w:r w:rsidR="00A75553">
        <w:t xml:space="preserve">byla </w:t>
      </w:r>
      <w:r>
        <w:t>poskyt</w:t>
      </w:r>
      <w:r w:rsidR="00A75553">
        <w:t>nuta</w:t>
      </w:r>
      <w:r>
        <w:t xml:space="preserve"> prác</w:t>
      </w:r>
      <w:r w:rsidR="00A75553">
        <w:t>e,</w:t>
      </w:r>
      <w:r>
        <w:t xml:space="preserve"> a zároveň aby nedocházelo k vysokému množství získávání sociálních dávek u</w:t>
      </w:r>
      <w:r w:rsidR="00A75553">
        <w:t> </w:t>
      </w:r>
      <w:r>
        <w:t>nezaměstnaných obyvatel.</w:t>
      </w:r>
    </w:p>
    <w:p w14:paraId="18412257" w14:textId="3986A127" w:rsidR="00A75553" w:rsidRDefault="00A75553" w:rsidP="006A53A1">
      <w:pPr>
        <w:spacing w:before="120" w:after="240" w:line="360" w:lineRule="auto"/>
        <w:jc w:val="both"/>
      </w:pPr>
      <w:r>
        <w:t>Již jsme si uvedli, že míra nezaměstnanosti nám znázorňuje osoby nezaměstnané, jakožto procento pracovní síly. Graf</w:t>
      </w:r>
      <w:r w:rsidR="001D5D03">
        <w:t xml:space="preserve"> 1 </w:t>
      </w:r>
      <w:r>
        <w:t>znázorňuje míru nezaměstnanosti v %</w:t>
      </w:r>
      <w:r w:rsidR="003E5B64">
        <w:t xml:space="preserve"> </w:t>
      </w:r>
      <w:r>
        <w:t>a týká se nezaměstnaných osob ve věku 15 až 74 let</w:t>
      </w:r>
      <w:r w:rsidR="000607C5">
        <w:t xml:space="preserve"> ve vybraných zemích EU.</w:t>
      </w:r>
    </w:p>
    <w:p w14:paraId="15B4C2D3" w14:textId="76E49DC7" w:rsidR="006E5806" w:rsidRDefault="00794948" w:rsidP="00BD0091">
      <w:pPr>
        <w:spacing w:line="360" w:lineRule="auto"/>
        <w:jc w:val="both"/>
      </w:pPr>
      <w:r>
        <w:rPr>
          <w:noProof/>
        </w:rPr>
        <w:drawing>
          <wp:inline distT="0" distB="0" distL="0" distR="0" wp14:anchorId="280EB172" wp14:editId="5B32CAC1">
            <wp:extent cx="5759450" cy="3510915"/>
            <wp:effectExtent l="0" t="0" r="12700" b="13335"/>
            <wp:docPr id="7" name="Graf 7">
              <a:extLst xmlns:a="http://schemas.openxmlformats.org/drawingml/2006/main">
                <a:ext uri="{FF2B5EF4-FFF2-40B4-BE49-F238E27FC236}">
                  <a16:creationId xmlns:a16="http://schemas.microsoft.com/office/drawing/2014/main" id="{51C0E209-9DC0-438F-8C5A-CFDF9657E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D08A7E" w14:textId="5FB4DDDF" w:rsidR="00CF67BB" w:rsidRPr="006E5806" w:rsidRDefault="006E5806" w:rsidP="006E5806">
      <w:pPr>
        <w:pStyle w:val="Titulek"/>
        <w:rPr>
          <w:sz w:val="20"/>
          <w:szCs w:val="20"/>
        </w:rPr>
      </w:pPr>
      <w:bookmarkStart w:id="40" w:name="_Toc46142581"/>
      <w:r w:rsidRPr="006E5806">
        <w:rPr>
          <w:sz w:val="20"/>
          <w:szCs w:val="20"/>
        </w:rPr>
        <w:t xml:space="preserve">Graf </w:t>
      </w:r>
      <w:r w:rsidRPr="006E5806">
        <w:rPr>
          <w:sz w:val="20"/>
          <w:szCs w:val="20"/>
        </w:rPr>
        <w:fldChar w:fldCharType="begin"/>
      </w:r>
      <w:r w:rsidRPr="006E5806">
        <w:rPr>
          <w:sz w:val="20"/>
          <w:szCs w:val="20"/>
        </w:rPr>
        <w:instrText xml:space="preserve"> SEQ Graf \* ARABIC </w:instrText>
      </w:r>
      <w:r w:rsidRPr="006E5806">
        <w:rPr>
          <w:sz w:val="20"/>
          <w:szCs w:val="20"/>
        </w:rPr>
        <w:fldChar w:fldCharType="separate"/>
      </w:r>
      <w:r w:rsidR="00414C4C">
        <w:rPr>
          <w:noProof/>
          <w:sz w:val="20"/>
          <w:szCs w:val="20"/>
        </w:rPr>
        <w:t>1</w:t>
      </w:r>
      <w:r w:rsidRPr="006E5806">
        <w:rPr>
          <w:sz w:val="20"/>
          <w:szCs w:val="20"/>
        </w:rPr>
        <w:fldChar w:fldCharType="end"/>
      </w:r>
      <w:r w:rsidRPr="006E5806">
        <w:rPr>
          <w:sz w:val="20"/>
          <w:szCs w:val="20"/>
        </w:rPr>
        <w:t xml:space="preserve"> - Vývoj nezaměstnanosti za období 2012-2019 (</w:t>
      </w:r>
      <w:proofErr w:type="spellStart"/>
      <w:r w:rsidRPr="006E5806">
        <w:rPr>
          <w:sz w:val="20"/>
          <w:szCs w:val="20"/>
        </w:rPr>
        <w:t>vl</w:t>
      </w:r>
      <w:proofErr w:type="spellEnd"/>
      <w:r w:rsidRPr="006E5806">
        <w:rPr>
          <w:sz w:val="20"/>
          <w:szCs w:val="20"/>
        </w:rPr>
        <w:t xml:space="preserve">. zpracování; </w:t>
      </w:r>
      <w:proofErr w:type="spellStart"/>
      <w:r w:rsidRPr="006E5806">
        <w:rPr>
          <w:sz w:val="20"/>
          <w:szCs w:val="20"/>
        </w:rPr>
        <w:t>Eurostat</w:t>
      </w:r>
      <w:proofErr w:type="spellEnd"/>
      <w:r w:rsidRPr="006E5806">
        <w:rPr>
          <w:sz w:val="20"/>
          <w:szCs w:val="20"/>
        </w:rPr>
        <w:t>, 2020)</w:t>
      </w:r>
      <w:bookmarkEnd w:id="40"/>
    </w:p>
    <w:p w14:paraId="4A67E302" w14:textId="77777777" w:rsidR="00166D6A" w:rsidRPr="00166D6A" w:rsidRDefault="00166D6A" w:rsidP="00432761">
      <w:pPr>
        <w:spacing w:line="360" w:lineRule="auto"/>
        <w:jc w:val="both"/>
      </w:pPr>
    </w:p>
    <w:p w14:paraId="3723657E" w14:textId="771A6F8F" w:rsidR="00CF67BB" w:rsidRDefault="002535C2" w:rsidP="002D5A94">
      <w:pPr>
        <w:spacing w:before="120" w:after="240" w:line="360" w:lineRule="auto"/>
        <w:ind w:firstLine="284"/>
        <w:jc w:val="both"/>
        <w:rPr>
          <w:szCs w:val="22"/>
        </w:rPr>
      </w:pPr>
      <w:r>
        <w:rPr>
          <w:szCs w:val="22"/>
        </w:rPr>
        <w:t>Ze všech sledovaných zemí má Česká republika historicky nejnižší míru nezaměstnanosti</w:t>
      </w:r>
      <w:r w:rsidR="0038367E">
        <w:rPr>
          <w:szCs w:val="22"/>
        </w:rPr>
        <w:t>, a</w:t>
      </w:r>
      <w:r w:rsidR="00E939B3">
        <w:rPr>
          <w:szCs w:val="22"/>
        </w:rPr>
        <w:t> </w:t>
      </w:r>
      <w:r w:rsidR="0038367E">
        <w:rPr>
          <w:szCs w:val="22"/>
        </w:rPr>
        <w:t>to</w:t>
      </w:r>
      <w:r w:rsidR="00E939B3">
        <w:rPr>
          <w:szCs w:val="22"/>
        </w:rPr>
        <w:t> </w:t>
      </w:r>
      <w:r w:rsidR="0038367E">
        <w:rPr>
          <w:szCs w:val="22"/>
        </w:rPr>
        <w:t>2 %</w:t>
      </w:r>
      <w:r>
        <w:rPr>
          <w:szCs w:val="22"/>
        </w:rPr>
        <w:t>. Česká republika si drží více</w:t>
      </w:r>
      <w:r w:rsidR="00C15BE3">
        <w:rPr>
          <w:szCs w:val="22"/>
        </w:rPr>
        <w:t>,</w:t>
      </w:r>
      <w:r>
        <w:rPr>
          <w:szCs w:val="22"/>
        </w:rPr>
        <w:t xml:space="preserve"> či méně konstantní vývoj, plus mínus se snižuje míra nezaměstnanosti o 1 %.</w:t>
      </w:r>
      <w:r w:rsidR="00E35A22">
        <w:rPr>
          <w:szCs w:val="22"/>
        </w:rPr>
        <w:t xml:space="preserve"> Za sledované období dochází u všech zemí od roku 2012 k neustálému </w:t>
      </w:r>
      <w:r w:rsidR="00E35A22">
        <w:rPr>
          <w:szCs w:val="22"/>
        </w:rPr>
        <w:lastRenderedPageBreak/>
        <w:t xml:space="preserve">poklesu míry nezaměstnanosti, kromě Rakouska, u kterého od roku 2013 do roku 2016 docházelo ke zvyšování míry nezaměstnanosti. </w:t>
      </w:r>
    </w:p>
    <w:p w14:paraId="36684806" w14:textId="69805F3A" w:rsidR="0038367E" w:rsidRDefault="0038367E" w:rsidP="002D5A94">
      <w:pPr>
        <w:spacing w:before="120" w:after="240" w:line="360" w:lineRule="auto"/>
        <w:ind w:firstLine="284"/>
        <w:jc w:val="both"/>
        <w:rPr>
          <w:szCs w:val="22"/>
        </w:rPr>
      </w:pPr>
      <w:r>
        <w:rPr>
          <w:szCs w:val="22"/>
        </w:rPr>
        <w:t xml:space="preserve">Pokud bychom chtěli vyhodnotit životní úroveň </w:t>
      </w:r>
      <w:r w:rsidR="00E939B3">
        <w:rPr>
          <w:szCs w:val="22"/>
        </w:rPr>
        <w:t xml:space="preserve">dle ukazatele nezaměstnanosti, pak bychom předpokládali, že čím </w:t>
      </w:r>
      <w:r w:rsidR="00C15BE3">
        <w:rPr>
          <w:szCs w:val="22"/>
        </w:rPr>
        <w:t xml:space="preserve">menší </w:t>
      </w:r>
      <w:r w:rsidR="00E939B3">
        <w:rPr>
          <w:szCs w:val="22"/>
        </w:rPr>
        <w:t>je nezaměstnanost v zemi, tím vyšší je</w:t>
      </w:r>
      <w:r w:rsidR="00C15BE3">
        <w:rPr>
          <w:szCs w:val="22"/>
        </w:rPr>
        <w:t xml:space="preserve"> v dané zemi</w:t>
      </w:r>
      <w:r w:rsidR="00E939B3">
        <w:rPr>
          <w:szCs w:val="22"/>
        </w:rPr>
        <w:t xml:space="preserve"> životní úroveň, </w:t>
      </w:r>
      <w:r w:rsidR="00C15BE3">
        <w:rPr>
          <w:szCs w:val="22"/>
        </w:rPr>
        <w:t>z toho tedy vyplývá</w:t>
      </w:r>
      <w:r w:rsidR="00E939B3">
        <w:rPr>
          <w:szCs w:val="22"/>
        </w:rPr>
        <w:t>. že pro rok 2019 by měla nejvyšší životní úroveň z vybraných zemí Česká republika, na druhém místě poté Německo, třetí místo by obsadilo Polsko, čtvrté Maďarsko</w:t>
      </w:r>
      <w:r w:rsidR="00C15BE3">
        <w:rPr>
          <w:szCs w:val="22"/>
        </w:rPr>
        <w:t>,</w:t>
      </w:r>
      <w:r w:rsidR="00E939B3">
        <w:rPr>
          <w:szCs w:val="22"/>
        </w:rPr>
        <w:t xml:space="preserve"> páté </w:t>
      </w:r>
      <w:r w:rsidR="00C15BE3">
        <w:rPr>
          <w:szCs w:val="22"/>
        </w:rPr>
        <w:t xml:space="preserve">Rakousko a na šestém místě by se umístilo Slovensko. </w:t>
      </w:r>
    </w:p>
    <w:p w14:paraId="45D76543" w14:textId="1B1A8E2E" w:rsidR="006D4A0B" w:rsidRDefault="006D4A0B" w:rsidP="002D5A94">
      <w:pPr>
        <w:spacing w:before="120" w:after="240" w:line="360" w:lineRule="auto"/>
        <w:ind w:firstLine="284"/>
        <w:jc w:val="both"/>
        <w:rPr>
          <w:szCs w:val="22"/>
        </w:rPr>
      </w:pPr>
      <w:r>
        <w:rPr>
          <w:szCs w:val="22"/>
        </w:rPr>
        <w:t>Co se týče průměrného růstu/poklesu míry nezaměstnanosti ve vybraných zemích, tak</w:t>
      </w:r>
      <w:r w:rsidR="002D5A94">
        <w:rPr>
          <w:szCs w:val="22"/>
        </w:rPr>
        <w:t> </w:t>
      </w:r>
      <w:r>
        <w:rPr>
          <w:szCs w:val="22"/>
        </w:rPr>
        <w:t>nejlépe je na tom Maďarsko s průměrným tempem poklesu míry nezaměstnanosti 1,7 % ročně</w:t>
      </w:r>
      <w:r w:rsidR="001D3CD2">
        <w:rPr>
          <w:szCs w:val="22"/>
        </w:rPr>
        <w:t xml:space="preserve"> a těsně za ním je Slovensko s 1,66 % ročně.</w:t>
      </w:r>
      <w:r>
        <w:rPr>
          <w:szCs w:val="22"/>
        </w:rPr>
        <w:t xml:space="preserve"> Nejnižší </w:t>
      </w:r>
      <w:r w:rsidR="001D3CD2">
        <w:rPr>
          <w:szCs w:val="22"/>
        </w:rPr>
        <w:t xml:space="preserve">průměrné tempo </w:t>
      </w:r>
      <w:r>
        <w:rPr>
          <w:szCs w:val="22"/>
        </w:rPr>
        <w:t>pokles</w:t>
      </w:r>
      <w:r w:rsidR="001D3CD2">
        <w:rPr>
          <w:szCs w:val="22"/>
        </w:rPr>
        <w:t>u, a</w:t>
      </w:r>
      <w:r w:rsidR="00BD0091">
        <w:rPr>
          <w:szCs w:val="22"/>
        </w:rPr>
        <w:t> </w:t>
      </w:r>
      <w:r w:rsidR="001D3CD2">
        <w:rPr>
          <w:szCs w:val="22"/>
        </w:rPr>
        <w:t>to</w:t>
      </w:r>
      <w:r w:rsidR="00BD0091">
        <w:rPr>
          <w:szCs w:val="22"/>
        </w:rPr>
        <w:t> </w:t>
      </w:r>
      <w:r w:rsidR="001D3CD2">
        <w:rPr>
          <w:szCs w:val="22"/>
        </w:rPr>
        <w:t>0,06</w:t>
      </w:r>
      <w:r w:rsidR="00BD0091">
        <w:rPr>
          <w:szCs w:val="22"/>
        </w:rPr>
        <w:t> </w:t>
      </w:r>
      <w:r w:rsidR="001D3CD2">
        <w:rPr>
          <w:szCs w:val="22"/>
        </w:rPr>
        <w:t xml:space="preserve">% ročně </w:t>
      </w:r>
      <w:r>
        <w:rPr>
          <w:szCs w:val="22"/>
        </w:rPr>
        <w:t xml:space="preserve">zaznamenává </w:t>
      </w:r>
      <w:r w:rsidR="001D3CD2">
        <w:rPr>
          <w:szCs w:val="22"/>
        </w:rPr>
        <w:t>Rakousko, což je zapříčiněno zvyšováním míry nezaměstnanosti do roku 2016. Česká republika vykazuje průměrné tempo poklesu 1,15 % ročně, Německo vykazuje 0,39 % a Polsko vykazuje 1,49 % ročně.</w:t>
      </w:r>
    </w:p>
    <w:p w14:paraId="5C79E840" w14:textId="5F74435A" w:rsidR="002E5C9D" w:rsidRDefault="001D3CD2" w:rsidP="002D5A94">
      <w:pPr>
        <w:spacing w:before="120" w:after="240" w:line="360" w:lineRule="auto"/>
        <w:ind w:firstLine="284"/>
        <w:jc w:val="both"/>
        <w:rPr>
          <w:szCs w:val="22"/>
        </w:rPr>
      </w:pPr>
      <w:r>
        <w:rPr>
          <w:szCs w:val="22"/>
        </w:rPr>
        <w:t>Průměrné tempo růstu/poklesu míry nezaměstnanosti pro vybrané země jsme vy</w:t>
      </w:r>
      <w:r w:rsidR="00192CE8">
        <w:rPr>
          <w:szCs w:val="22"/>
        </w:rPr>
        <w:t>počítali pomocí funkcí v </w:t>
      </w:r>
      <w:r w:rsidR="000E4EC7">
        <w:rPr>
          <w:szCs w:val="22"/>
        </w:rPr>
        <w:t>MS</w:t>
      </w:r>
      <w:r w:rsidR="00192CE8">
        <w:rPr>
          <w:szCs w:val="22"/>
        </w:rPr>
        <w:t xml:space="preserve">, na základě dat míry nezaměstnanosti </w:t>
      </w:r>
      <w:r w:rsidR="0036115E">
        <w:rPr>
          <w:szCs w:val="22"/>
        </w:rPr>
        <w:t>pro</w:t>
      </w:r>
      <w:r w:rsidR="000E4EC7">
        <w:rPr>
          <w:szCs w:val="22"/>
        </w:rPr>
        <w:t xml:space="preserve"> jednotlivé země </w:t>
      </w:r>
      <w:r w:rsidR="00192CE8">
        <w:rPr>
          <w:szCs w:val="22"/>
        </w:rPr>
        <w:t>získané na</w:t>
      </w:r>
      <w:r w:rsidR="002D5A94">
        <w:rPr>
          <w:szCs w:val="22"/>
        </w:rPr>
        <w:t> </w:t>
      </w:r>
      <w:proofErr w:type="spellStart"/>
      <w:r w:rsidR="00192CE8">
        <w:rPr>
          <w:szCs w:val="22"/>
        </w:rPr>
        <w:t>Eurostatu</w:t>
      </w:r>
      <w:proofErr w:type="spellEnd"/>
      <w:r w:rsidR="00192CE8">
        <w:rPr>
          <w:szCs w:val="22"/>
        </w:rPr>
        <w:t>.</w:t>
      </w:r>
      <w:r w:rsidR="002E5C9D">
        <w:rPr>
          <w:szCs w:val="22"/>
        </w:rPr>
        <w:t xml:space="preserve"> </w:t>
      </w:r>
    </w:p>
    <w:p w14:paraId="6FEE758E" w14:textId="79010130" w:rsidR="00CF67BB" w:rsidRDefault="00E939B3" w:rsidP="000A11C5">
      <w:pPr>
        <w:spacing w:before="120" w:after="240" w:line="360" w:lineRule="auto"/>
        <w:ind w:firstLine="284"/>
        <w:jc w:val="both"/>
        <w:rPr>
          <w:szCs w:val="22"/>
        </w:rPr>
      </w:pPr>
      <w:r>
        <w:rPr>
          <w:szCs w:val="22"/>
        </w:rPr>
        <w:t xml:space="preserve">V současnosti </w:t>
      </w:r>
      <w:r w:rsidR="00BD0091">
        <w:rPr>
          <w:szCs w:val="22"/>
        </w:rPr>
        <w:t>se můžeme pouze domnívat</w:t>
      </w:r>
      <w:r>
        <w:rPr>
          <w:szCs w:val="22"/>
        </w:rPr>
        <w:t>, jaký dopad bude mít COVID-19, jak</w:t>
      </w:r>
      <w:r w:rsidR="00BD0091">
        <w:rPr>
          <w:szCs w:val="22"/>
        </w:rPr>
        <w:t> </w:t>
      </w:r>
      <w:r>
        <w:rPr>
          <w:szCs w:val="22"/>
        </w:rPr>
        <w:t>na</w:t>
      </w:r>
      <w:r w:rsidR="00BD0091">
        <w:rPr>
          <w:szCs w:val="22"/>
        </w:rPr>
        <w:t> </w:t>
      </w:r>
      <w:r>
        <w:rPr>
          <w:szCs w:val="22"/>
        </w:rPr>
        <w:t>ekonomiku zemí, tak na vývoj míry nezaměstnanosti. Již teď země hlásí vysoký nárůst počtu nezaměstnaných. Do budoucna by nebylo na škodu, rozšířit tuto práci o následující roky, ve</w:t>
      </w:r>
      <w:r w:rsidR="002D5A94">
        <w:rPr>
          <w:szCs w:val="22"/>
        </w:rPr>
        <w:t> </w:t>
      </w:r>
      <w:r>
        <w:rPr>
          <w:szCs w:val="22"/>
        </w:rPr>
        <w:t xml:space="preserve">kterých se zajisté promítne tato současná krize.  </w:t>
      </w:r>
    </w:p>
    <w:p w14:paraId="7E061573" w14:textId="35CC40FA" w:rsidR="000607C5" w:rsidRPr="000607C5" w:rsidRDefault="0036115E" w:rsidP="000607C5">
      <w:pPr>
        <w:pStyle w:val="Nadpis3"/>
      </w:pPr>
      <w:bookmarkStart w:id="41" w:name="_Toc46142350"/>
      <w:r>
        <w:t>HDI</w:t>
      </w:r>
      <w:r w:rsidR="000607C5" w:rsidRPr="000607C5">
        <w:t xml:space="preserve"> </w:t>
      </w:r>
      <w:r w:rsidR="008D1974">
        <w:t xml:space="preserve">ve </w:t>
      </w:r>
      <w:r w:rsidR="000607C5" w:rsidRPr="000607C5">
        <w:t>vybraných zemích Evropské Unie</w:t>
      </w:r>
      <w:bookmarkEnd w:id="41"/>
      <w:r w:rsidR="000607C5" w:rsidRPr="000607C5">
        <w:t xml:space="preserve"> </w:t>
      </w:r>
    </w:p>
    <w:p w14:paraId="4A71DBC8" w14:textId="2970A71D" w:rsidR="000607C5" w:rsidRDefault="00166D6A" w:rsidP="002D5A94">
      <w:pPr>
        <w:spacing w:before="120" w:after="240" w:line="360" w:lineRule="auto"/>
        <w:ind w:firstLine="454"/>
        <w:jc w:val="both"/>
      </w:pPr>
      <w:r>
        <w:t>Index lidského rozvoje (</w:t>
      </w:r>
      <w:proofErr w:type="spellStart"/>
      <w:r>
        <w:t>Human</w:t>
      </w:r>
      <w:proofErr w:type="spellEnd"/>
      <w:r>
        <w:t xml:space="preserve"> development index) představuje jednoho z moderních ukazatelů, jimiž lze zjišťovat životní úroveň obyvatelstva. Podrobnou charakteristiku </w:t>
      </w:r>
      <w:r w:rsidR="00700AD5">
        <w:t>zmíněného</w:t>
      </w:r>
      <w:r>
        <w:t xml:space="preserve"> ukazatele nalezne</w:t>
      </w:r>
      <w:r w:rsidR="00700AD5">
        <w:t>me</w:t>
      </w:r>
      <w:r>
        <w:t xml:space="preserve"> v teoretické části této diplomové práce.</w:t>
      </w:r>
      <w:r w:rsidR="00700AD5">
        <w:t xml:space="preserve"> </w:t>
      </w:r>
      <w:r w:rsidR="001D5D03">
        <w:t>H</w:t>
      </w:r>
      <w:r w:rsidR="00700AD5">
        <w:t>odnoty pro rok 2019 nejsou ještě zveřejněny</w:t>
      </w:r>
      <w:r w:rsidR="001D5D03">
        <w:t xml:space="preserve">, z tohoto důvodu srovnání vývoje </w:t>
      </w:r>
      <w:r w:rsidR="00864356">
        <w:t>indexu lidského rozvoje</w:t>
      </w:r>
      <w:r w:rsidR="001D5D03">
        <w:t xml:space="preserve"> končí rokem 2018, a </w:t>
      </w:r>
      <w:r w:rsidR="000C21C4">
        <w:t xml:space="preserve">vycházíme z toho, že </w:t>
      </w:r>
      <w:r w:rsidR="001D5D03">
        <w:t xml:space="preserve">dostupné hodnoty uvedené pro tento rok </w:t>
      </w:r>
      <w:r w:rsidR="000C21C4">
        <w:t>jsou těmi</w:t>
      </w:r>
      <w:r w:rsidR="001D5D03">
        <w:t xml:space="preserve"> nejaktuálnější</w:t>
      </w:r>
      <w:r w:rsidR="000C21C4">
        <w:t>mi</w:t>
      </w:r>
      <w:r w:rsidR="001D5D03">
        <w:t>.</w:t>
      </w:r>
      <w:r w:rsidR="00400203">
        <w:t xml:space="preserve"> V následujícím vyhodnocení vycházíme z údajů získaných z oficiálních stránek </w:t>
      </w:r>
      <w:proofErr w:type="spellStart"/>
      <w:r w:rsidR="00400203">
        <w:t>Human</w:t>
      </w:r>
      <w:proofErr w:type="spellEnd"/>
      <w:r w:rsidR="00400203">
        <w:t xml:space="preserve"> Development </w:t>
      </w:r>
      <w:proofErr w:type="spellStart"/>
      <w:r w:rsidR="00400203">
        <w:t>Reports</w:t>
      </w:r>
      <w:proofErr w:type="spellEnd"/>
      <w:r w:rsidR="00400203">
        <w:t>.</w:t>
      </w:r>
    </w:p>
    <w:p w14:paraId="0595D44F" w14:textId="655A6F9A" w:rsidR="000760AD" w:rsidRDefault="001D5D03" w:rsidP="002D5A94">
      <w:pPr>
        <w:spacing w:before="120" w:after="240" w:line="360" w:lineRule="auto"/>
        <w:ind w:firstLine="454"/>
        <w:jc w:val="both"/>
        <w:rPr>
          <w:szCs w:val="22"/>
        </w:rPr>
      </w:pPr>
      <w:r>
        <w:t xml:space="preserve">Na základě nabytých hodnot </w:t>
      </w:r>
      <w:r w:rsidR="000760AD">
        <w:t>HDI</w:t>
      </w:r>
      <w:r>
        <w:t xml:space="preserve"> </w:t>
      </w:r>
      <w:r w:rsidR="000760AD">
        <w:t>rozlišujeme státy</w:t>
      </w:r>
      <w:r>
        <w:t xml:space="preserve"> do 4 skupin</w:t>
      </w:r>
      <w:r w:rsidR="000760AD">
        <w:t xml:space="preserve">. Tou první jsou země s velice vysokým HDI a mohou nabývat hodnot </w:t>
      </w:r>
      <w:r w:rsidR="000760AD" w:rsidRPr="007B5BD3">
        <w:rPr>
          <w:szCs w:val="22"/>
        </w:rPr>
        <w:t>0,75 a vyšší</w:t>
      </w:r>
      <w:r w:rsidR="000760AD">
        <w:rPr>
          <w:szCs w:val="22"/>
        </w:rPr>
        <w:t xml:space="preserve">. </w:t>
      </w:r>
      <w:r w:rsidR="000760AD">
        <w:t xml:space="preserve">Druhou skupinou jsou země </w:t>
      </w:r>
      <w:r w:rsidR="000760AD">
        <w:lastRenderedPageBreak/>
        <w:t>s</w:t>
      </w:r>
      <w:r w:rsidR="0076097F">
        <w:t> </w:t>
      </w:r>
      <w:r w:rsidR="000760AD">
        <w:t xml:space="preserve">vysokým HDI, které nabývají hodnot </w:t>
      </w:r>
      <w:r w:rsidR="000760AD" w:rsidRPr="007B5BD3">
        <w:rPr>
          <w:szCs w:val="22"/>
        </w:rPr>
        <w:t>od 0,51 do 0,75 vč.</w:t>
      </w:r>
      <w:r w:rsidR="000760AD">
        <w:rPr>
          <w:szCs w:val="22"/>
        </w:rPr>
        <w:t xml:space="preserve"> Třetí skupina představuje země se</w:t>
      </w:r>
      <w:r w:rsidR="001C5B4B">
        <w:rPr>
          <w:szCs w:val="22"/>
        </w:rPr>
        <w:t> </w:t>
      </w:r>
      <w:r w:rsidR="000760AD">
        <w:rPr>
          <w:szCs w:val="22"/>
        </w:rPr>
        <w:t>středním HDI a země v této skupině nabývají hodnot</w:t>
      </w:r>
      <w:r w:rsidR="000760AD" w:rsidRPr="000760AD">
        <w:rPr>
          <w:szCs w:val="22"/>
        </w:rPr>
        <w:t xml:space="preserve"> </w:t>
      </w:r>
      <w:r w:rsidR="000760AD" w:rsidRPr="007B5BD3">
        <w:rPr>
          <w:szCs w:val="22"/>
        </w:rPr>
        <w:t>od 0,50 do 0,26 vč</w:t>
      </w:r>
      <w:r w:rsidR="000760AD">
        <w:rPr>
          <w:szCs w:val="22"/>
        </w:rPr>
        <w:t xml:space="preserve">. Poslední skupina znázorňuje země s nízkým </w:t>
      </w:r>
      <w:r w:rsidR="00864356">
        <w:rPr>
          <w:szCs w:val="22"/>
        </w:rPr>
        <w:t>indexem lidského rozvoje, kde</w:t>
      </w:r>
      <w:r w:rsidR="000760AD">
        <w:rPr>
          <w:szCs w:val="22"/>
        </w:rPr>
        <w:t xml:space="preserve"> v této skupině země nabývají hodnot </w:t>
      </w:r>
      <w:r w:rsidR="000760AD" w:rsidRPr="007B5BD3">
        <w:rPr>
          <w:szCs w:val="22"/>
        </w:rPr>
        <w:t>0,25 a nižší</w:t>
      </w:r>
      <w:r w:rsidR="000760AD">
        <w:rPr>
          <w:szCs w:val="22"/>
        </w:rPr>
        <w:t>.</w:t>
      </w:r>
      <w:r w:rsidR="00E20D21">
        <w:rPr>
          <w:szCs w:val="22"/>
        </w:rPr>
        <w:t xml:space="preserve"> </w:t>
      </w:r>
    </w:p>
    <w:p w14:paraId="5EC15160" w14:textId="7BBD4392" w:rsidR="00E20D21" w:rsidRDefault="00E20D21" w:rsidP="002D5A94">
      <w:pPr>
        <w:spacing w:before="120" w:after="240" w:line="360" w:lineRule="auto"/>
        <w:ind w:firstLine="454"/>
        <w:jc w:val="both"/>
        <w:rPr>
          <w:szCs w:val="22"/>
        </w:rPr>
      </w:pPr>
      <w:r>
        <w:rPr>
          <w:szCs w:val="22"/>
        </w:rPr>
        <w:t>Obecně platí, že se pohybujeme v rozptylu od 0 do 1, přičemž čím blíže je daný stát k hodnotě 1, tím se stát považuje za více rozvinutější = stát s vyšší životní úro</w:t>
      </w:r>
      <w:r w:rsidR="00BB48D4">
        <w:rPr>
          <w:szCs w:val="22"/>
        </w:rPr>
        <w:t>v</w:t>
      </w:r>
      <w:r>
        <w:rPr>
          <w:szCs w:val="22"/>
        </w:rPr>
        <w:t>ní.</w:t>
      </w:r>
    </w:p>
    <w:p w14:paraId="1D77A405" w14:textId="77777777" w:rsidR="006E5806" w:rsidRDefault="002D5A94" w:rsidP="006E5806">
      <w:pPr>
        <w:keepNext/>
      </w:pPr>
      <w:r>
        <w:rPr>
          <w:noProof/>
        </w:rPr>
        <w:drawing>
          <wp:inline distT="0" distB="0" distL="0" distR="0" wp14:anchorId="3494C0DF" wp14:editId="2E6BCCD2">
            <wp:extent cx="5759450" cy="3498850"/>
            <wp:effectExtent l="0" t="0" r="6350" b="6350"/>
            <wp:docPr id="4" name="Graf 4">
              <a:extLst xmlns:a="http://schemas.openxmlformats.org/drawingml/2006/main">
                <a:ext uri="{FF2B5EF4-FFF2-40B4-BE49-F238E27FC236}">
                  <a16:creationId xmlns:a16="http://schemas.microsoft.com/office/drawing/2014/main" id="{A2B35429-0A95-4A5B-8392-BF3755185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4F53B7" w14:textId="1EAD8C70" w:rsidR="00432761" w:rsidRPr="001C5B4B" w:rsidRDefault="006E5806" w:rsidP="001C5B4B">
      <w:pPr>
        <w:pStyle w:val="Titulek"/>
        <w:jc w:val="left"/>
        <w:rPr>
          <w:sz w:val="20"/>
          <w:szCs w:val="20"/>
        </w:rPr>
      </w:pPr>
      <w:bookmarkStart w:id="42" w:name="_Toc46142582"/>
      <w:r w:rsidRPr="006E5806">
        <w:rPr>
          <w:sz w:val="20"/>
          <w:szCs w:val="20"/>
        </w:rPr>
        <w:t xml:space="preserve">Graf </w:t>
      </w:r>
      <w:r w:rsidRPr="006E5806">
        <w:rPr>
          <w:sz w:val="20"/>
          <w:szCs w:val="20"/>
        </w:rPr>
        <w:fldChar w:fldCharType="begin"/>
      </w:r>
      <w:r w:rsidRPr="006E5806">
        <w:rPr>
          <w:sz w:val="20"/>
          <w:szCs w:val="20"/>
        </w:rPr>
        <w:instrText xml:space="preserve"> SEQ Graf \* ARABIC </w:instrText>
      </w:r>
      <w:r w:rsidRPr="006E5806">
        <w:rPr>
          <w:sz w:val="20"/>
          <w:szCs w:val="20"/>
        </w:rPr>
        <w:fldChar w:fldCharType="separate"/>
      </w:r>
      <w:r w:rsidR="00414C4C">
        <w:rPr>
          <w:noProof/>
          <w:sz w:val="20"/>
          <w:szCs w:val="20"/>
        </w:rPr>
        <w:t>2</w:t>
      </w:r>
      <w:r w:rsidRPr="006E5806">
        <w:rPr>
          <w:sz w:val="20"/>
          <w:szCs w:val="20"/>
        </w:rPr>
        <w:fldChar w:fldCharType="end"/>
      </w:r>
      <w:r w:rsidRPr="006E5806">
        <w:rPr>
          <w:sz w:val="20"/>
          <w:szCs w:val="20"/>
        </w:rPr>
        <w:t xml:space="preserve"> - Vývoj HDI za období 2012-2018 (</w:t>
      </w:r>
      <w:proofErr w:type="spellStart"/>
      <w:r w:rsidRPr="006E5806">
        <w:rPr>
          <w:sz w:val="20"/>
          <w:szCs w:val="20"/>
        </w:rPr>
        <w:t>vl</w:t>
      </w:r>
      <w:proofErr w:type="spellEnd"/>
      <w:r w:rsidRPr="006E5806">
        <w:rPr>
          <w:sz w:val="20"/>
          <w:szCs w:val="20"/>
        </w:rPr>
        <w:t xml:space="preserve">. zpracování; </w:t>
      </w:r>
      <w:proofErr w:type="spellStart"/>
      <w:r w:rsidRPr="006E5806">
        <w:rPr>
          <w:sz w:val="20"/>
          <w:szCs w:val="20"/>
        </w:rPr>
        <w:t>Human</w:t>
      </w:r>
      <w:proofErr w:type="spellEnd"/>
      <w:r w:rsidRPr="006E5806">
        <w:rPr>
          <w:sz w:val="20"/>
          <w:szCs w:val="20"/>
        </w:rPr>
        <w:t xml:space="preserve"> Development </w:t>
      </w:r>
      <w:proofErr w:type="spellStart"/>
      <w:r w:rsidRPr="006E5806">
        <w:rPr>
          <w:sz w:val="20"/>
          <w:szCs w:val="20"/>
        </w:rPr>
        <w:t>Reports</w:t>
      </w:r>
      <w:proofErr w:type="spellEnd"/>
      <w:r w:rsidRPr="006E5806">
        <w:rPr>
          <w:sz w:val="20"/>
          <w:szCs w:val="20"/>
        </w:rPr>
        <w:t>, 2020)</w:t>
      </w:r>
      <w:bookmarkEnd w:id="42"/>
    </w:p>
    <w:p w14:paraId="20369AE2" w14:textId="091729E2" w:rsidR="000C21C4" w:rsidRDefault="00E20D21" w:rsidP="006E5806">
      <w:pPr>
        <w:spacing w:before="120" w:after="240" w:line="360" w:lineRule="auto"/>
        <w:ind w:firstLine="284"/>
        <w:jc w:val="both"/>
        <w:rPr>
          <w:szCs w:val="22"/>
        </w:rPr>
      </w:pPr>
      <w:r>
        <w:rPr>
          <w:szCs w:val="22"/>
        </w:rPr>
        <w:t xml:space="preserve">Na grafu </w:t>
      </w:r>
      <w:r w:rsidR="00432761">
        <w:rPr>
          <w:szCs w:val="22"/>
        </w:rPr>
        <w:t xml:space="preserve">2 </w:t>
      </w:r>
      <w:r>
        <w:rPr>
          <w:szCs w:val="22"/>
        </w:rPr>
        <w:t xml:space="preserve">můžeme vidět, že </w:t>
      </w:r>
      <w:r w:rsidR="006F26CB">
        <w:rPr>
          <w:szCs w:val="22"/>
        </w:rPr>
        <w:t>u námi</w:t>
      </w:r>
      <w:r>
        <w:rPr>
          <w:szCs w:val="22"/>
        </w:rPr>
        <w:t xml:space="preserve"> vybraných zemích, dochází u </w:t>
      </w:r>
      <w:r w:rsidR="00E9748C">
        <w:rPr>
          <w:szCs w:val="22"/>
        </w:rPr>
        <w:t>téměř u všech</w:t>
      </w:r>
      <w:r>
        <w:rPr>
          <w:szCs w:val="22"/>
        </w:rPr>
        <w:t xml:space="preserve"> zemí k postupnému </w:t>
      </w:r>
      <w:r w:rsidR="009534D1">
        <w:rPr>
          <w:szCs w:val="22"/>
        </w:rPr>
        <w:t>zvyšování hodnoty HDI</w:t>
      </w:r>
      <w:r w:rsidR="00E9748C">
        <w:rPr>
          <w:szCs w:val="22"/>
        </w:rPr>
        <w:t xml:space="preserve">. Jedinými případy snížení hodnoty HDI jsou Maďarsko, kdy hodnota v roce 2014 byla oproti roku 2013 nižší, a Rakousko, které zaznamenalo v roce 2013 </w:t>
      </w:r>
      <w:r w:rsidR="0028075D">
        <w:rPr>
          <w:szCs w:val="22"/>
        </w:rPr>
        <w:t xml:space="preserve">také </w:t>
      </w:r>
      <w:r w:rsidR="00E9748C">
        <w:rPr>
          <w:szCs w:val="22"/>
        </w:rPr>
        <w:t xml:space="preserve">pokles. Pouze v těchto zmíněných letech došlo ke snížení hodnoty HDI, </w:t>
      </w:r>
      <w:r w:rsidR="000C21C4">
        <w:rPr>
          <w:szCs w:val="22"/>
        </w:rPr>
        <w:t>a</w:t>
      </w:r>
      <w:r w:rsidR="006F26CB">
        <w:rPr>
          <w:szCs w:val="22"/>
        </w:rPr>
        <w:t> v </w:t>
      </w:r>
      <w:r w:rsidR="00E9748C">
        <w:rPr>
          <w:szCs w:val="22"/>
        </w:rPr>
        <w:t xml:space="preserve">následujících let </w:t>
      </w:r>
      <w:r w:rsidR="006F26CB">
        <w:rPr>
          <w:szCs w:val="22"/>
        </w:rPr>
        <w:t>tyto země</w:t>
      </w:r>
      <w:r w:rsidR="00E9748C">
        <w:rPr>
          <w:szCs w:val="22"/>
        </w:rPr>
        <w:t xml:space="preserve"> opět najely na stejný </w:t>
      </w:r>
      <w:r w:rsidR="009534D1">
        <w:rPr>
          <w:szCs w:val="22"/>
        </w:rPr>
        <w:t>tre</w:t>
      </w:r>
      <w:r w:rsidR="00E9748C">
        <w:rPr>
          <w:szCs w:val="22"/>
        </w:rPr>
        <w:t>n</w:t>
      </w:r>
      <w:r w:rsidR="009534D1">
        <w:rPr>
          <w:szCs w:val="22"/>
        </w:rPr>
        <w:t xml:space="preserve">d, tj. </w:t>
      </w:r>
      <w:r w:rsidR="0028075D">
        <w:rPr>
          <w:szCs w:val="22"/>
        </w:rPr>
        <w:t xml:space="preserve">na </w:t>
      </w:r>
      <w:r w:rsidR="00E9748C">
        <w:rPr>
          <w:szCs w:val="22"/>
        </w:rPr>
        <w:t xml:space="preserve">postupné </w:t>
      </w:r>
      <w:r w:rsidR="009534D1">
        <w:rPr>
          <w:szCs w:val="22"/>
        </w:rPr>
        <w:t>zvyšování hodnoty HDI</w:t>
      </w:r>
      <w:r w:rsidR="00E9748C">
        <w:rPr>
          <w:szCs w:val="22"/>
        </w:rPr>
        <w:t>.</w:t>
      </w:r>
      <w:r w:rsidR="000C21C4">
        <w:rPr>
          <w:szCs w:val="22"/>
        </w:rPr>
        <w:t xml:space="preserve"> </w:t>
      </w:r>
      <w:r w:rsidR="00E9748C">
        <w:rPr>
          <w:szCs w:val="22"/>
        </w:rPr>
        <w:t xml:space="preserve">Z grafu nám vyplývá, že všechny vybrané země spadají do kategorie zemí s velice vysokým HDI, neboť nabývají hodnot 0,75 a vyšší. </w:t>
      </w:r>
    </w:p>
    <w:p w14:paraId="4EFAD391" w14:textId="31AC8E05" w:rsidR="00400203" w:rsidRDefault="00400203" w:rsidP="002D5A94">
      <w:pPr>
        <w:spacing w:before="120" w:after="240" w:line="360" w:lineRule="auto"/>
        <w:ind w:firstLine="709"/>
        <w:jc w:val="both"/>
        <w:rPr>
          <w:szCs w:val="22"/>
        </w:rPr>
      </w:pPr>
      <w:r>
        <w:rPr>
          <w:szCs w:val="22"/>
        </w:rPr>
        <w:t>Musíme také zmínit, že ne vždy tyto vybrané země patřil</w:t>
      </w:r>
      <w:r w:rsidR="000C21C4">
        <w:rPr>
          <w:szCs w:val="22"/>
        </w:rPr>
        <w:t>y</w:t>
      </w:r>
      <w:r>
        <w:rPr>
          <w:szCs w:val="22"/>
        </w:rPr>
        <w:t xml:space="preserve"> mezi země s velice vysokým HDI. Co se týče České republiky a Slovenska, ti vstoupily mezi země s velice vysokým HDI v roce 1995, Polsko se zařadilo mezi tyto země v roce 1997</w:t>
      </w:r>
      <w:r w:rsidR="000C21C4">
        <w:rPr>
          <w:szCs w:val="22"/>
        </w:rPr>
        <w:t xml:space="preserve"> a </w:t>
      </w:r>
      <w:r>
        <w:rPr>
          <w:szCs w:val="22"/>
        </w:rPr>
        <w:t xml:space="preserve">Maďarsko o rok později, tj. 1998. </w:t>
      </w:r>
      <w:r>
        <w:rPr>
          <w:szCs w:val="22"/>
        </w:rPr>
        <w:lastRenderedPageBreak/>
        <w:t>Rakousko a Německo se řadilo mezi země s velice vysokým HDI hned od počátku zavedení tohoto indexu</w:t>
      </w:r>
      <w:r w:rsidR="000C21C4">
        <w:rPr>
          <w:szCs w:val="22"/>
        </w:rPr>
        <w:t>, tzn. od roku 1990.</w:t>
      </w:r>
    </w:p>
    <w:p w14:paraId="3ED3E942" w14:textId="2FDBC955" w:rsidR="003523E2" w:rsidRDefault="00E9748C" w:rsidP="003523E2">
      <w:pPr>
        <w:spacing w:before="120" w:after="240" w:line="360" w:lineRule="auto"/>
        <w:ind w:firstLine="709"/>
        <w:jc w:val="both"/>
        <w:rPr>
          <w:szCs w:val="22"/>
        </w:rPr>
      </w:pPr>
      <w:r>
        <w:rPr>
          <w:szCs w:val="22"/>
        </w:rPr>
        <w:t xml:space="preserve">Pokud budeme tyto zvolené země porovnávat pouze mezi sebou, pak by se na prvním místě s nevyšším </w:t>
      </w:r>
      <w:r w:rsidR="00864356">
        <w:rPr>
          <w:szCs w:val="22"/>
        </w:rPr>
        <w:t>indexem lidského rozvoje</w:t>
      </w:r>
      <w:r>
        <w:rPr>
          <w:szCs w:val="22"/>
        </w:rPr>
        <w:t xml:space="preserve"> umísti</w:t>
      </w:r>
      <w:r w:rsidR="0075034C">
        <w:rPr>
          <w:szCs w:val="22"/>
        </w:rPr>
        <w:t>lo Německo</w:t>
      </w:r>
      <w:r w:rsidR="003523E2">
        <w:rPr>
          <w:szCs w:val="22"/>
        </w:rPr>
        <w:t xml:space="preserve"> (ve světovém žebříčku obsadilo 4. místo)</w:t>
      </w:r>
      <w:r w:rsidR="0075034C">
        <w:rPr>
          <w:szCs w:val="22"/>
        </w:rPr>
        <w:t>, vzápětí Rakousko</w:t>
      </w:r>
      <w:r w:rsidR="003523E2">
        <w:rPr>
          <w:szCs w:val="22"/>
        </w:rPr>
        <w:t xml:space="preserve"> (ve světovém žebříčku obsadilo 20. místo)</w:t>
      </w:r>
      <w:r w:rsidR="0075034C">
        <w:rPr>
          <w:szCs w:val="22"/>
        </w:rPr>
        <w:t>, dále Česká republika</w:t>
      </w:r>
      <w:r w:rsidR="003523E2">
        <w:rPr>
          <w:szCs w:val="22"/>
        </w:rPr>
        <w:t xml:space="preserve"> (ve světovém žebříčku obsadilo 26. místo)</w:t>
      </w:r>
      <w:r w:rsidR="0075034C">
        <w:rPr>
          <w:szCs w:val="22"/>
        </w:rPr>
        <w:t>, čtvrté místo by</w:t>
      </w:r>
      <w:r w:rsidR="00400203">
        <w:rPr>
          <w:szCs w:val="22"/>
        </w:rPr>
        <w:t> </w:t>
      </w:r>
      <w:r w:rsidR="0075034C">
        <w:rPr>
          <w:szCs w:val="22"/>
        </w:rPr>
        <w:t>obsadilo Polsko</w:t>
      </w:r>
      <w:r w:rsidR="003523E2">
        <w:rPr>
          <w:szCs w:val="22"/>
        </w:rPr>
        <w:t xml:space="preserve"> (ve světovém žebříčku se umístilo na 32. místě)</w:t>
      </w:r>
      <w:r w:rsidR="0075034C">
        <w:rPr>
          <w:szCs w:val="22"/>
        </w:rPr>
        <w:t>, páté Slovensko</w:t>
      </w:r>
      <w:r w:rsidR="003523E2">
        <w:rPr>
          <w:szCs w:val="22"/>
        </w:rPr>
        <w:t xml:space="preserve"> (ve světovém žebříčku obsadilo 36. místo)</w:t>
      </w:r>
      <w:r w:rsidR="0075034C">
        <w:rPr>
          <w:szCs w:val="22"/>
        </w:rPr>
        <w:t xml:space="preserve"> a</w:t>
      </w:r>
      <w:r w:rsidR="00864356">
        <w:rPr>
          <w:szCs w:val="22"/>
        </w:rPr>
        <w:t> </w:t>
      </w:r>
      <w:r w:rsidR="0075034C">
        <w:rPr>
          <w:szCs w:val="22"/>
        </w:rPr>
        <w:t>na posledním místě by</w:t>
      </w:r>
      <w:r w:rsidR="00BB48D4">
        <w:rPr>
          <w:szCs w:val="22"/>
        </w:rPr>
        <w:t> </w:t>
      </w:r>
      <w:r w:rsidR="0075034C">
        <w:rPr>
          <w:szCs w:val="22"/>
        </w:rPr>
        <w:t>se umístilo Maďarsko</w:t>
      </w:r>
      <w:r w:rsidR="003523E2">
        <w:rPr>
          <w:szCs w:val="22"/>
        </w:rPr>
        <w:t xml:space="preserve"> (ve světovém žebříčku obsadilo 43. místo)</w:t>
      </w:r>
      <w:r w:rsidR="0075034C">
        <w:rPr>
          <w:szCs w:val="22"/>
        </w:rPr>
        <w:t xml:space="preserve">. Pokud </w:t>
      </w:r>
      <w:r w:rsidR="00D3285F">
        <w:rPr>
          <w:szCs w:val="22"/>
        </w:rPr>
        <w:t>vezmeme</w:t>
      </w:r>
      <w:r w:rsidR="0075034C">
        <w:rPr>
          <w:szCs w:val="22"/>
        </w:rPr>
        <w:t xml:space="preserve"> </w:t>
      </w:r>
      <w:r w:rsidR="003523E2">
        <w:rPr>
          <w:szCs w:val="22"/>
        </w:rPr>
        <w:t>index lidského rozvoje</w:t>
      </w:r>
      <w:r w:rsidR="0075034C">
        <w:rPr>
          <w:szCs w:val="22"/>
        </w:rPr>
        <w:t xml:space="preserve"> </w:t>
      </w:r>
      <w:r w:rsidR="0028075D">
        <w:rPr>
          <w:szCs w:val="22"/>
        </w:rPr>
        <w:t>v</w:t>
      </w:r>
      <w:r w:rsidR="001D214B">
        <w:rPr>
          <w:szCs w:val="22"/>
        </w:rPr>
        <w:t> celosvětov</w:t>
      </w:r>
      <w:r w:rsidR="0028075D">
        <w:rPr>
          <w:szCs w:val="22"/>
        </w:rPr>
        <w:t>ém</w:t>
      </w:r>
      <w:r w:rsidR="001D214B">
        <w:rPr>
          <w:szCs w:val="22"/>
        </w:rPr>
        <w:t xml:space="preserve"> </w:t>
      </w:r>
      <w:r w:rsidR="00D3285F">
        <w:rPr>
          <w:szCs w:val="22"/>
        </w:rPr>
        <w:t>měřítk</w:t>
      </w:r>
      <w:r w:rsidR="0028075D">
        <w:rPr>
          <w:szCs w:val="22"/>
        </w:rPr>
        <w:t>u</w:t>
      </w:r>
      <w:r w:rsidR="0075034C">
        <w:rPr>
          <w:szCs w:val="22"/>
        </w:rPr>
        <w:t xml:space="preserve">, pak na prvním místě ze všech </w:t>
      </w:r>
      <w:r w:rsidR="00BB48D4">
        <w:rPr>
          <w:szCs w:val="22"/>
        </w:rPr>
        <w:t>223</w:t>
      </w:r>
      <w:r w:rsidR="00D3285F">
        <w:rPr>
          <w:szCs w:val="22"/>
        </w:rPr>
        <w:t xml:space="preserve"> zemí</w:t>
      </w:r>
      <w:r w:rsidR="0075034C">
        <w:rPr>
          <w:szCs w:val="22"/>
        </w:rPr>
        <w:t>, u kterých bylo HDI zaznamenáno a uvedeno v </w:t>
      </w:r>
      <w:proofErr w:type="spellStart"/>
      <w:r w:rsidR="0075034C">
        <w:rPr>
          <w:szCs w:val="22"/>
        </w:rPr>
        <w:t>Human</w:t>
      </w:r>
      <w:proofErr w:type="spellEnd"/>
      <w:r w:rsidR="0075034C">
        <w:rPr>
          <w:szCs w:val="22"/>
        </w:rPr>
        <w:t xml:space="preserve"> </w:t>
      </w:r>
      <w:r w:rsidR="00D3285F">
        <w:rPr>
          <w:szCs w:val="22"/>
        </w:rPr>
        <w:t>D</w:t>
      </w:r>
      <w:r w:rsidR="0075034C">
        <w:rPr>
          <w:szCs w:val="22"/>
        </w:rPr>
        <w:t xml:space="preserve">evelopment </w:t>
      </w:r>
      <w:proofErr w:type="spellStart"/>
      <w:r w:rsidR="00D3285F">
        <w:rPr>
          <w:szCs w:val="22"/>
        </w:rPr>
        <w:t>R</w:t>
      </w:r>
      <w:r w:rsidR="0075034C">
        <w:rPr>
          <w:szCs w:val="22"/>
        </w:rPr>
        <w:t>eports</w:t>
      </w:r>
      <w:proofErr w:type="spellEnd"/>
      <w:r w:rsidR="000C21C4">
        <w:rPr>
          <w:szCs w:val="22"/>
        </w:rPr>
        <w:t>,</w:t>
      </w:r>
      <w:r w:rsidR="00D3285F">
        <w:rPr>
          <w:szCs w:val="22"/>
        </w:rPr>
        <w:t xml:space="preserve"> první místo získává Norsko s HDI za</w:t>
      </w:r>
      <w:r w:rsidR="003523E2">
        <w:rPr>
          <w:szCs w:val="22"/>
        </w:rPr>
        <w:t> </w:t>
      </w:r>
      <w:r w:rsidR="00D3285F">
        <w:rPr>
          <w:szCs w:val="22"/>
        </w:rPr>
        <w:t>rok 2018 0,954 a poslední místo s hodnotou 0,377 patří Nigérii.</w:t>
      </w:r>
      <w:r w:rsidR="0028075D">
        <w:rPr>
          <w:szCs w:val="22"/>
        </w:rPr>
        <w:t xml:space="preserve"> </w:t>
      </w:r>
      <w:r w:rsidR="00864356">
        <w:rPr>
          <w:szCs w:val="22"/>
        </w:rPr>
        <w:t>Index lidského rozvoje</w:t>
      </w:r>
      <w:r w:rsidR="00174B92">
        <w:rPr>
          <w:szCs w:val="22"/>
        </w:rPr>
        <w:t xml:space="preserve"> pro rok 2018 v celosvětovém měřítku nabývá hodnotu 0,731. </w:t>
      </w:r>
    </w:p>
    <w:p w14:paraId="6599D2F0" w14:textId="7D18E762" w:rsidR="000F4E44" w:rsidRPr="00E30E68" w:rsidRDefault="00174B92" w:rsidP="00E30E68">
      <w:pPr>
        <w:spacing w:before="120" w:after="240" w:line="360" w:lineRule="auto"/>
        <w:ind w:firstLine="709"/>
        <w:jc w:val="both"/>
        <w:rPr>
          <w:szCs w:val="22"/>
        </w:rPr>
      </w:pPr>
      <w:r>
        <w:rPr>
          <w:szCs w:val="22"/>
        </w:rPr>
        <w:t xml:space="preserve">Již jsme si uvedli, že ve zprávě </w:t>
      </w:r>
      <w:proofErr w:type="spellStart"/>
      <w:r>
        <w:rPr>
          <w:szCs w:val="22"/>
        </w:rPr>
        <w:t>Human</w:t>
      </w:r>
      <w:proofErr w:type="spellEnd"/>
      <w:r>
        <w:rPr>
          <w:szCs w:val="22"/>
        </w:rPr>
        <w:t xml:space="preserve"> Development </w:t>
      </w:r>
      <w:proofErr w:type="spellStart"/>
      <w:r>
        <w:rPr>
          <w:szCs w:val="22"/>
        </w:rPr>
        <w:t>Reports</w:t>
      </w:r>
      <w:proofErr w:type="spellEnd"/>
      <w:r>
        <w:rPr>
          <w:szCs w:val="22"/>
        </w:rPr>
        <w:t xml:space="preserve"> obsadila Nigérie poslední místo, jako</w:t>
      </w:r>
      <w:r w:rsidR="00864356">
        <w:rPr>
          <w:szCs w:val="22"/>
        </w:rPr>
        <w:t>žto</w:t>
      </w:r>
      <w:r>
        <w:rPr>
          <w:szCs w:val="22"/>
        </w:rPr>
        <w:t xml:space="preserve"> země s nejnižším </w:t>
      </w:r>
      <w:r w:rsidR="00864356">
        <w:rPr>
          <w:szCs w:val="22"/>
        </w:rPr>
        <w:t>indexem lidského rozvoje</w:t>
      </w:r>
      <w:r>
        <w:rPr>
          <w:szCs w:val="22"/>
        </w:rPr>
        <w:t>, avšak nejednalo se nikoli o 223. místo, ale umístila se na 189. místě. Důvod je jednoduchý, neboť HDI některých zemí nabývají stejné hodnoty, a tak se např. Česká republika dělí s Francií o 26. místo.</w:t>
      </w:r>
    </w:p>
    <w:p w14:paraId="45ABB74E" w14:textId="2F7527B5" w:rsidR="00F16027" w:rsidRDefault="000F4E44" w:rsidP="00F16027">
      <w:pPr>
        <w:pStyle w:val="Nadpis3"/>
        <w:rPr>
          <w:szCs w:val="22"/>
        </w:rPr>
      </w:pPr>
      <w:bookmarkStart w:id="43" w:name="_Toc46142351"/>
      <w:r>
        <w:t>HDP</w:t>
      </w:r>
      <w:r w:rsidRPr="000607C5">
        <w:t xml:space="preserve"> </w:t>
      </w:r>
      <w:r w:rsidR="008D1974">
        <w:t xml:space="preserve">ve </w:t>
      </w:r>
      <w:r w:rsidRPr="000607C5">
        <w:t>vybraných zemích Evropské Unie</w:t>
      </w:r>
      <w:bookmarkEnd w:id="43"/>
      <w:r w:rsidRPr="000607C5">
        <w:t xml:space="preserve"> </w:t>
      </w:r>
    </w:p>
    <w:p w14:paraId="1D1FAEB5" w14:textId="6948F8A0" w:rsidR="00D7020C" w:rsidRPr="00591414" w:rsidRDefault="00F16027" w:rsidP="00591414">
      <w:pPr>
        <w:spacing w:before="120" w:after="240" w:line="360" w:lineRule="auto"/>
        <w:ind w:firstLine="454"/>
        <w:jc w:val="both"/>
        <w:rPr>
          <w:szCs w:val="22"/>
        </w:rPr>
      </w:pPr>
      <w:r>
        <w:t>Hrubý domácí produkt představuje hodnotu veškerých statků a služeb, jež jsou sníženy o</w:t>
      </w:r>
      <w:r w:rsidR="00E11799">
        <w:t> </w:t>
      </w:r>
      <w:r>
        <w:t xml:space="preserve">hodnotu kteréhokoli statku, či služby které byly využity </w:t>
      </w:r>
      <w:r w:rsidR="00E11799">
        <w:t xml:space="preserve">právě </w:t>
      </w:r>
      <w:r>
        <w:t xml:space="preserve">pro jejich tvorbu. </w:t>
      </w:r>
      <w:r w:rsidR="00864356">
        <w:t>Hrubý domácí produkt</w:t>
      </w:r>
      <w:r>
        <w:t xml:space="preserve"> </w:t>
      </w:r>
      <w:r w:rsidR="00E11799">
        <w:t>přepočte</w:t>
      </w:r>
      <w:r w:rsidR="00864356">
        <w:t>ný</w:t>
      </w:r>
      <w:r w:rsidR="00E11799">
        <w:t xml:space="preserve"> na obyvatele </w:t>
      </w:r>
      <w:r>
        <w:t>v PPS (kupní síle) je vyjádřen vztahem k průměru Evropské Unie</w:t>
      </w:r>
      <w:r w:rsidR="00E11799">
        <w:t>, průměr EU</w:t>
      </w:r>
      <w:r>
        <w:t xml:space="preserve"> se rovná</w:t>
      </w:r>
      <w:r w:rsidR="00E11799">
        <w:t xml:space="preserve"> hodnotě</w:t>
      </w:r>
      <w:r>
        <w:t xml:space="preserve"> 100. </w:t>
      </w:r>
      <w:r w:rsidR="006E5ECF">
        <w:t>(</w:t>
      </w:r>
      <w:proofErr w:type="spellStart"/>
      <w:r w:rsidR="006E5ECF">
        <w:t>Eurostat</w:t>
      </w:r>
      <w:proofErr w:type="spellEnd"/>
      <w:r w:rsidR="006E5ECF">
        <w:t xml:space="preserve">, </w:t>
      </w:r>
      <w:r w:rsidR="006E5ECF" w:rsidRPr="00C60977">
        <w:rPr>
          <w:szCs w:val="22"/>
        </w:rPr>
        <w:t>20</w:t>
      </w:r>
      <w:r w:rsidR="006E5ECF">
        <w:rPr>
          <w:szCs w:val="22"/>
        </w:rPr>
        <w:t xml:space="preserve">20). </w:t>
      </w:r>
    </w:p>
    <w:p w14:paraId="6AF26990" w14:textId="43DD4E55" w:rsidR="00591414" w:rsidRDefault="00F16027" w:rsidP="001C5B4B">
      <w:pPr>
        <w:spacing w:before="120" w:after="240" w:line="360" w:lineRule="auto"/>
        <w:ind w:firstLine="454"/>
        <w:jc w:val="both"/>
      </w:pPr>
      <w:r>
        <w:t xml:space="preserve">Pokud je tedy hodnota </w:t>
      </w:r>
      <w:r w:rsidR="00864356">
        <w:t>hrubého domácího produktu</w:t>
      </w:r>
      <w:r>
        <w:t xml:space="preserve"> určité země vyšší než 100</w:t>
      </w:r>
      <w:r w:rsidR="00E11799">
        <w:t xml:space="preserve">, tak HDP přepočtený na obyvatele této země je vyšší nežli průměr samotné Evropské Unie. </w:t>
      </w:r>
    </w:p>
    <w:p w14:paraId="507469E6" w14:textId="3FEC8DDD" w:rsidR="000A11C5" w:rsidRDefault="000A11C5" w:rsidP="00864356">
      <w:pPr>
        <w:spacing w:line="360" w:lineRule="auto"/>
        <w:ind w:firstLine="284"/>
        <w:jc w:val="both"/>
      </w:pPr>
      <w:r>
        <w:t xml:space="preserve">Nejlépe z pohledu tohoto ukazatele vychází Rakousko, z průměrným </w:t>
      </w:r>
      <w:r w:rsidR="00864356">
        <w:t>hrubým domácím produktem</w:t>
      </w:r>
      <w:r>
        <w:t xml:space="preserve"> za dané období 130, druhé místo si s hodnotou 124 drží Německo, na třetím místě s průměrnou hodnotou </w:t>
      </w:r>
      <w:r w:rsidR="00A67F23">
        <w:t>hrubého domácího produktu</w:t>
      </w:r>
      <w:r>
        <w:t xml:space="preserve"> se umístila Česká republika, následně za ní </w:t>
      </w:r>
      <w:r w:rsidR="00A67F23">
        <w:t xml:space="preserve">se umístilo </w:t>
      </w:r>
      <w:r>
        <w:t>Slovensko s průměrnou hodnotou 75, na předposledním místě se umístilo Polsko s průměrnou hodnotou 70</w:t>
      </w:r>
      <w:r w:rsidR="00A67F23">
        <w:t>. P</w:t>
      </w:r>
      <w:r>
        <w:t>oslední místo obsadilo</w:t>
      </w:r>
      <w:r w:rsidR="00A67F23" w:rsidRPr="00A67F23">
        <w:t xml:space="preserve"> </w:t>
      </w:r>
      <w:r w:rsidR="00A67F23">
        <w:t>Maďarsko</w:t>
      </w:r>
      <w:r w:rsidR="00A67F23">
        <w:t>, a to s</w:t>
      </w:r>
      <w:r>
        <w:t xml:space="preserve"> průměrnou hodnotou 69. Tyto zmíněné průměrné hodnoty vycházejí ze skutečných hodnot </w:t>
      </w:r>
      <w:r w:rsidR="00864356">
        <w:t>hrubého domácího produktu</w:t>
      </w:r>
      <w:r>
        <w:t xml:space="preserve"> za období 2012-2019 uvedených níže v tabulce přímo pod grafem 3. </w:t>
      </w:r>
    </w:p>
    <w:p w14:paraId="11DEB729" w14:textId="77777777" w:rsidR="00432761" w:rsidRDefault="0052624F" w:rsidP="00432761">
      <w:pPr>
        <w:keepNext/>
        <w:spacing w:line="360" w:lineRule="auto"/>
        <w:jc w:val="center"/>
      </w:pPr>
      <w:r>
        <w:rPr>
          <w:noProof/>
        </w:rPr>
        <w:lastRenderedPageBreak/>
        <w:drawing>
          <wp:inline distT="0" distB="0" distL="0" distR="0" wp14:anchorId="19916D06" wp14:editId="322D45BD">
            <wp:extent cx="5759450" cy="3437255"/>
            <wp:effectExtent l="0" t="0" r="6350" b="17145"/>
            <wp:docPr id="16" name="Graf 16">
              <a:extLst xmlns:a="http://schemas.openxmlformats.org/drawingml/2006/main">
                <a:ext uri="{FF2B5EF4-FFF2-40B4-BE49-F238E27FC236}">
                  <a16:creationId xmlns:a16="http://schemas.microsoft.com/office/drawing/2014/main" id="{8BA7F432-77F1-464D-97BF-DB678E6CC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F1C1AE4" w14:textId="7C29AABC" w:rsidR="00D6268A" w:rsidRPr="00432761" w:rsidRDefault="00432761" w:rsidP="00432761">
      <w:pPr>
        <w:pStyle w:val="Titulek"/>
        <w:rPr>
          <w:sz w:val="20"/>
          <w:szCs w:val="20"/>
        </w:rPr>
      </w:pPr>
      <w:bookmarkStart w:id="44" w:name="_Toc46142583"/>
      <w:r w:rsidRPr="00432761">
        <w:rPr>
          <w:sz w:val="20"/>
          <w:szCs w:val="20"/>
        </w:rPr>
        <w:t xml:space="preserve">Graf </w:t>
      </w:r>
      <w:r w:rsidRPr="00432761">
        <w:rPr>
          <w:sz w:val="20"/>
          <w:szCs w:val="20"/>
        </w:rPr>
        <w:fldChar w:fldCharType="begin"/>
      </w:r>
      <w:r w:rsidRPr="00432761">
        <w:rPr>
          <w:sz w:val="20"/>
          <w:szCs w:val="20"/>
        </w:rPr>
        <w:instrText xml:space="preserve"> SEQ Graf \* ARABIC </w:instrText>
      </w:r>
      <w:r w:rsidRPr="00432761">
        <w:rPr>
          <w:sz w:val="20"/>
          <w:szCs w:val="20"/>
        </w:rPr>
        <w:fldChar w:fldCharType="separate"/>
      </w:r>
      <w:r w:rsidR="00414C4C">
        <w:rPr>
          <w:noProof/>
          <w:sz w:val="20"/>
          <w:szCs w:val="20"/>
        </w:rPr>
        <w:t>3</w:t>
      </w:r>
      <w:r w:rsidRPr="00432761">
        <w:rPr>
          <w:sz w:val="20"/>
          <w:szCs w:val="20"/>
        </w:rPr>
        <w:fldChar w:fldCharType="end"/>
      </w:r>
      <w:r w:rsidRPr="00432761">
        <w:rPr>
          <w:sz w:val="20"/>
          <w:szCs w:val="20"/>
        </w:rPr>
        <w:t xml:space="preserve"> - Vývoj HDP na obyvatele v PPS za období 2012-2019 (</w:t>
      </w:r>
      <w:proofErr w:type="spellStart"/>
      <w:r w:rsidRPr="00432761">
        <w:rPr>
          <w:sz w:val="20"/>
          <w:szCs w:val="20"/>
        </w:rPr>
        <w:t>vl</w:t>
      </w:r>
      <w:proofErr w:type="spellEnd"/>
      <w:r w:rsidRPr="00432761">
        <w:rPr>
          <w:sz w:val="20"/>
          <w:szCs w:val="20"/>
        </w:rPr>
        <w:t xml:space="preserve">. zpracování; </w:t>
      </w:r>
      <w:proofErr w:type="spellStart"/>
      <w:r w:rsidRPr="00432761">
        <w:rPr>
          <w:sz w:val="20"/>
          <w:szCs w:val="20"/>
        </w:rPr>
        <w:t>Eurostat</w:t>
      </w:r>
      <w:proofErr w:type="spellEnd"/>
      <w:r w:rsidRPr="00432761">
        <w:rPr>
          <w:sz w:val="20"/>
          <w:szCs w:val="20"/>
        </w:rPr>
        <w:t>, 2020)</w:t>
      </w:r>
      <w:bookmarkEnd w:id="44"/>
    </w:p>
    <w:p w14:paraId="60190275" w14:textId="142EE368" w:rsidR="00432761" w:rsidRDefault="00F8079D" w:rsidP="000A11C5">
      <w:pPr>
        <w:spacing w:before="120" w:after="240" w:line="360" w:lineRule="auto"/>
        <w:ind w:firstLine="284"/>
        <w:jc w:val="both"/>
      </w:pPr>
      <w:r>
        <w:t xml:space="preserve"> </w:t>
      </w:r>
      <w:r w:rsidR="000A11C5">
        <w:t xml:space="preserve">Graf 4 znázorňuje o kolik procent došlo k nárůstu, či poklesu reálného HDP ve vybraných zemích. Průměrně za období 2012-2019 vzrostlo reálné HDP cca o 3 </w:t>
      </w:r>
      <w:r w:rsidR="000A11C5" w:rsidRPr="00850D1B">
        <w:t xml:space="preserve">% </w:t>
      </w:r>
      <w:r w:rsidR="000A11C5">
        <w:t>jak v Maďarsku, tak v Polsku a na Slovensku. V Rakousku a Německu rostlo reálné HDP průměrně zhruba o 1 </w:t>
      </w:r>
      <w:r w:rsidR="000A11C5" w:rsidRPr="00850D1B">
        <w:t>%</w:t>
      </w:r>
      <w:r w:rsidR="000A11C5">
        <w:t xml:space="preserve"> a v České republiky rostlo reálné HDP průměrně o 2 </w:t>
      </w:r>
      <w:r w:rsidR="000A11C5" w:rsidRPr="00850D1B">
        <w:t>%</w:t>
      </w:r>
      <w:r w:rsidR="000A11C5">
        <w:t>.</w:t>
      </w:r>
    </w:p>
    <w:p w14:paraId="5F9EB7C6" w14:textId="4C27FD9D" w:rsidR="000C3D05" w:rsidRPr="000C3D05" w:rsidRDefault="00BD0091" w:rsidP="000C3D05">
      <w:r>
        <w:rPr>
          <w:noProof/>
        </w:rPr>
        <w:drawing>
          <wp:inline distT="0" distB="0" distL="0" distR="0" wp14:anchorId="353946F4" wp14:editId="14AF23FC">
            <wp:extent cx="5759450" cy="3329305"/>
            <wp:effectExtent l="0" t="0" r="12700" b="4445"/>
            <wp:docPr id="8" name="Graf 8">
              <a:extLst xmlns:a="http://schemas.openxmlformats.org/drawingml/2006/main">
                <a:ext uri="{FF2B5EF4-FFF2-40B4-BE49-F238E27FC236}">
                  <a16:creationId xmlns:a16="http://schemas.microsoft.com/office/drawing/2014/main" id="{5D7AD6BD-B825-7C47-9790-2E5B2EE74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A0C704" w14:textId="72298300" w:rsidR="003E5B64" w:rsidRPr="001C5B4B" w:rsidRDefault="00BD0091" w:rsidP="001C5B4B">
      <w:pPr>
        <w:pStyle w:val="Titulek"/>
        <w:rPr>
          <w:sz w:val="20"/>
          <w:szCs w:val="20"/>
        </w:rPr>
      </w:pPr>
      <w:bookmarkStart w:id="45" w:name="_Toc46142584"/>
      <w:r w:rsidRPr="00432761">
        <w:rPr>
          <w:sz w:val="20"/>
          <w:szCs w:val="20"/>
        </w:rPr>
        <w:t xml:space="preserve">Graf </w:t>
      </w:r>
      <w:r w:rsidRPr="00432761">
        <w:rPr>
          <w:sz w:val="20"/>
          <w:szCs w:val="20"/>
        </w:rPr>
        <w:fldChar w:fldCharType="begin"/>
      </w:r>
      <w:r w:rsidRPr="00432761">
        <w:rPr>
          <w:sz w:val="20"/>
          <w:szCs w:val="20"/>
        </w:rPr>
        <w:instrText xml:space="preserve"> SEQ Graf \* ARABIC </w:instrText>
      </w:r>
      <w:r w:rsidRPr="00432761">
        <w:rPr>
          <w:sz w:val="20"/>
          <w:szCs w:val="20"/>
        </w:rPr>
        <w:fldChar w:fldCharType="separate"/>
      </w:r>
      <w:r>
        <w:rPr>
          <w:noProof/>
          <w:sz w:val="20"/>
          <w:szCs w:val="20"/>
        </w:rPr>
        <w:t>4</w:t>
      </w:r>
      <w:r w:rsidRPr="00432761">
        <w:rPr>
          <w:sz w:val="20"/>
          <w:szCs w:val="20"/>
        </w:rPr>
        <w:fldChar w:fldCharType="end"/>
      </w:r>
      <w:r w:rsidRPr="00432761">
        <w:rPr>
          <w:sz w:val="20"/>
          <w:szCs w:val="20"/>
        </w:rPr>
        <w:t xml:space="preserve"> - Vývoj reálného HDP v procentech za období 2012-2019 (</w:t>
      </w:r>
      <w:proofErr w:type="spellStart"/>
      <w:r w:rsidRPr="00432761">
        <w:rPr>
          <w:sz w:val="20"/>
          <w:szCs w:val="20"/>
        </w:rPr>
        <w:t>vl</w:t>
      </w:r>
      <w:proofErr w:type="spellEnd"/>
      <w:r w:rsidRPr="00432761">
        <w:rPr>
          <w:sz w:val="20"/>
          <w:szCs w:val="20"/>
        </w:rPr>
        <w:t>. zpracování; Statista, 2020)</w:t>
      </w:r>
      <w:bookmarkEnd w:id="45"/>
    </w:p>
    <w:p w14:paraId="39A71902" w14:textId="613C49D3" w:rsidR="003F20EF" w:rsidRDefault="000C3D05" w:rsidP="003E5B64">
      <w:pPr>
        <w:spacing w:before="120" w:after="240" w:line="360" w:lineRule="auto"/>
        <w:ind w:firstLine="284"/>
        <w:jc w:val="both"/>
      </w:pPr>
      <w:r>
        <w:lastRenderedPageBreak/>
        <w:t>Závěr</w:t>
      </w:r>
      <w:r w:rsidR="00F8079D">
        <w:t xml:space="preserve"> tohoto ukazatele životní úrovně je t</w:t>
      </w:r>
      <w:r>
        <w:t>en</w:t>
      </w:r>
      <w:r w:rsidR="00F8079D">
        <w:t>, že za předpokladu čím vyšší je</w:t>
      </w:r>
      <w:r w:rsidR="003F20EF">
        <w:t> </w:t>
      </w:r>
      <w:r w:rsidR="00A67F23">
        <w:t>hrubý domácí produkt</w:t>
      </w:r>
      <w:r w:rsidR="00F8079D">
        <w:t xml:space="preserve"> v dané zemi, tím vyšší je v dané zemi životní úroveň</w:t>
      </w:r>
      <w:r w:rsidR="00CE29EF">
        <w:t>. Z</w:t>
      </w:r>
      <w:r w:rsidR="00E16454">
        <w:t> pohledu ukazatele hrubého domácího produktu</w:t>
      </w:r>
      <w:r w:rsidR="00CE29EF">
        <w:t xml:space="preserve">, </w:t>
      </w:r>
      <w:r w:rsidR="00E16454">
        <w:t xml:space="preserve">jakožto </w:t>
      </w:r>
      <w:r w:rsidR="00CE29EF">
        <w:t xml:space="preserve">jednoho z </w:t>
      </w:r>
      <w:r w:rsidR="00E16454">
        <w:t>ukazatel</w:t>
      </w:r>
      <w:r w:rsidR="00CE29EF">
        <w:t>ů</w:t>
      </w:r>
      <w:r w:rsidR="00E16454">
        <w:t xml:space="preserve"> životní úrovně</w:t>
      </w:r>
      <w:r w:rsidR="00CE29EF">
        <w:t xml:space="preserve"> lze prohlásit, že</w:t>
      </w:r>
      <w:r w:rsidR="00E16454">
        <w:t xml:space="preserve"> nejv</w:t>
      </w:r>
      <w:r w:rsidR="00CE29EF">
        <w:t>y</w:t>
      </w:r>
      <w:r w:rsidR="00E16454">
        <w:t xml:space="preserve">šší životní úroveň </w:t>
      </w:r>
      <w:r w:rsidR="00CE29EF">
        <w:t xml:space="preserve">je </w:t>
      </w:r>
      <w:r w:rsidR="00E16454">
        <w:t>právě v Rakousku.</w:t>
      </w:r>
    </w:p>
    <w:p w14:paraId="4B52ECD3" w14:textId="15AE5151" w:rsidR="00116272" w:rsidRPr="008D1974" w:rsidRDefault="00710AA6" w:rsidP="008D1974">
      <w:pPr>
        <w:spacing w:line="360" w:lineRule="auto"/>
        <w:jc w:val="both"/>
      </w:pPr>
      <w:r w:rsidRPr="00F16027">
        <w:br w:type="page"/>
      </w:r>
    </w:p>
    <w:p w14:paraId="0593CA42" w14:textId="286CE4CE" w:rsidR="002749D9" w:rsidRDefault="00C93518" w:rsidP="00CE29EF">
      <w:pPr>
        <w:pStyle w:val="Nadpis1"/>
        <w:numPr>
          <w:ilvl w:val="0"/>
          <w:numId w:val="0"/>
        </w:numPr>
        <w:ind w:left="432" w:hanging="432"/>
      </w:pPr>
      <w:bookmarkStart w:id="46" w:name="_Toc46142352"/>
      <w:r>
        <w:lastRenderedPageBreak/>
        <w:t>ZÁVĚR</w:t>
      </w:r>
      <w:bookmarkEnd w:id="46"/>
    </w:p>
    <w:p w14:paraId="757FCE58" w14:textId="29961A99" w:rsidR="00A43258" w:rsidRPr="004132FA" w:rsidRDefault="00A43258" w:rsidP="00A43258">
      <w:pPr>
        <w:spacing w:before="120" w:after="240" w:line="360" w:lineRule="auto"/>
        <w:ind w:firstLine="454"/>
        <w:jc w:val="both"/>
      </w:pPr>
      <w:r w:rsidRPr="004132FA">
        <w:t>Cílem každého státu je bezpochyby snaha o zvyšování životní úrovně svých obyvatel a samozřejmě také péče jak o jejich individuální, tak o obecné blaho. Výběr tohoto tématu, jenž se soustřeďuje na životní úroveň vybraných zemí Evropské unie, jeho aktuálnost a důležitost odrážející se v každodenním životě lidí je nepopíratelná, a právě z těchto důvodů jsem se</w:t>
      </w:r>
      <w:r w:rsidR="004132FA">
        <w:t> </w:t>
      </w:r>
      <w:r w:rsidRPr="004132FA">
        <w:t>rozhodla tomuto téma</w:t>
      </w:r>
      <w:r w:rsidR="00CE29EF">
        <w:t>tu</w:t>
      </w:r>
      <w:r w:rsidRPr="004132FA">
        <w:t xml:space="preserve"> věnovat.</w:t>
      </w:r>
    </w:p>
    <w:p w14:paraId="7BBE0D69" w14:textId="2D2C954E" w:rsidR="00BA6CC0" w:rsidRPr="004132FA" w:rsidRDefault="00BA6CC0" w:rsidP="008A7955">
      <w:pPr>
        <w:spacing w:before="120" w:after="240" w:line="360" w:lineRule="auto"/>
        <w:ind w:firstLine="454"/>
        <w:jc w:val="both"/>
      </w:pPr>
      <w:r w:rsidRPr="004132FA">
        <w:t xml:space="preserve">Tato diplomová práce </w:t>
      </w:r>
      <w:r w:rsidR="00CE29EF">
        <w:t>se zaobírala</w:t>
      </w:r>
      <w:r w:rsidRPr="004132FA">
        <w:t xml:space="preserve"> životní úrov</w:t>
      </w:r>
      <w:r w:rsidR="00CE29EF">
        <w:t>ní</w:t>
      </w:r>
      <w:r w:rsidRPr="004132FA">
        <w:t xml:space="preserve"> z objektivního hlediska, neboť na rozdíl od subjektivního, objektivní hledisko lze jednoduše vyčíslit. Proto jsem se rozhodla pojmou</w:t>
      </w:r>
      <w:r w:rsidR="00CE29EF">
        <w:t>t</w:t>
      </w:r>
      <w:r w:rsidRPr="004132FA">
        <w:t xml:space="preserve"> tuto práci z </w:t>
      </w:r>
      <w:r w:rsidR="00CE29EF">
        <w:t>ono</w:t>
      </w:r>
      <w:r w:rsidRPr="004132FA">
        <w:t xml:space="preserve">ho hlediska, i přestože v některých případech nemusí odpovídat životní úrovni, která je vnímána občany dané země. Na základě </w:t>
      </w:r>
      <w:r w:rsidR="008A7955">
        <w:t xml:space="preserve">onoho </w:t>
      </w:r>
      <w:r w:rsidRPr="004132FA">
        <w:t>zvoleného hlediska byly analýz</w:t>
      </w:r>
      <w:r w:rsidR="00CE29EF">
        <w:t xml:space="preserve">y </w:t>
      </w:r>
      <w:r w:rsidRPr="004132FA">
        <w:t>a</w:t>
      </w:r>
      <w:r w:rsidR="008A7955">
        <w:t> </w:t>
      </w:r>
      <w:r w:rsidRPr="004132FA">
        <w:t>srovnání podrobeny makroekonomické ukazatele životní úrovně ve vybraných zemích Evropské unie (Česká republika, Maďarsko, Německo, Polsko, Rakousko, Slovensko) za</w:t>
      </w:r>
      <w:r w:rsidR="008A7955">
        <w:t> </w:t>
      </w:r>
      <w:r w:rsidRPr="004132FA">
        <w:t>období 2012-2019. Toto období bylo zvoleno na</w:t>
      </w:r>
      <w:r w:rsidR="004132FA">
        <w:t> </w:t>
      </w:r>
      <w:r w:rsidRPr="004132FA">
        <w:t>základě údajů jednotlivých ukazatelů a</w:t>
      </w:r>
      <w:r w:rsidR="008A7955">
        <w:t> </w:t>
      </w:r>
      <w:r w:rsidRPr="004132FA">
        <w:t xml:space="preserve">jejich </w:t>
      </w:r>
      <w:r w:rsidR="00CE29EF">
        <w:t>dohledatelnosti</w:t>
      </w:r>
      <w:r w:rsidRPr="004132FA">
        <w:t xml:space="preserve">. </w:t>
      </w:r>
    </w:p>
    <w:p w14:paraId="0FE0C22A" w14:textId="3AD824DF" w:rsidR="0070616F" w:rsidRPr="008A7955" w:rsidRDefault="008A7955" w:rsidP="008A7955">
      <w:pPr>
        <w:spacing w:before="120" w:after="240" w:line="360" w:lineRule="auto"/>
        <w:ind w:firstLine="454"/>
        <w:jc w:val="both"/>
      </w:pPr>
      <w:r w:rsidRPr="004132FA">
        <w:t>Práce je soustředěna na srovnání životní úrovně ve vybraných zemích Evropské unie prostřednictvím několika vybraných makroekonomických ukazatelů. Celkem bylo vybráno pět indikátorů, zaměřující se na různé oblasti ekonomické a životní úrovně. Jedná se o hrubý domácí produkt, příjmy, nezaměstnanost, index lidského rozvoje a index chudoby.</w:t>
      </w:r>
      <w:r>
        <w:t xml:space="preserve"> V návaznosti na to spočívala p</w:t>
      </w:r>
      <w:r w:rsidR="0070616F" w:rsidRPr="004132FA">
        <w:t xml:space="preserve">řidaná hodnota této práce v selekci vzorku pouze na střední Evropu, resp. na sousedící státy České republiky a na Visegrádskou čtyřku.  Na základě tohoto zúžení, </w:t>
      </w:r>
      <w:r w:rsidR="00CE29EF">
        <w:t>mají</w:t>
      </w:r>
      <w:r w:rsidR="0070616F" w:rsidRPr="004132FA">
        <w:t xml:space="preserve"> výsledky větší vypovídající hodnotu a </w:t>
      </w:r>
      <w:r w:rsidR="00CE29EF">
        <w:t>mohli jsme tak</w:t>
      </w:r>
      <w:r w:rsidR="0070616F" w:rsidRPr="004132FA">
        <w:t xml:space="preserve"> u vybraných zemí spatřit </w:t>
      </w:r>
      <w:r w:rsidR="00CE29EF">
        <w:t xml:space="preserve">jisté </w:t>
      </w:r>
      <w:r w:rsidR="0070616F" w:rsidRPr="004132FA">
        <w:t>rozdíly.</w:t>
      </w:r>
    </w:p>
    <w:p w14:paraId="7A6CED33" w14:textId="3A4F7674" w:rsidR="00002DB5" w:rsidRDefault="00BC3181" w:rsidP="00002DB5">
      <w:pPr>
        <w:spacing w:before="120" w:after="240" w:line="360" w:lineRule="auto"/>
        <w:ind w:firstLine="454"/>
        <w:jc w:val="both"/>
      </w:pPr>
      <w:r w:rsidRPr="00BC3181">
        <w:t xml:space="preserve">Nejprve byl zhodnocen vývoj příjmů (průměrné a minimální mzdy a životního minima), provedena korelační analýza a komparace u vybraných zemí. Obecně platí, že čím jsou příjmy vyšší, tím je také životní úroveň v dané zemi vyšší. U vybraných států pouze Česká republika dosahuje nepřerušovaného růstu průměrných mezd. </w:t>
      </w:r>
      <w:r w:rsidR="004132FA">
        <w:t>Korelační analýzou jsme dospěli k výsledku, že nevyšší korelace se nachází mezi zeměmi Polskem a Českou republikou, a naopak nejnižší korelace mezi vývojem průměrných mezd se vyskytuje mezi Německem a Rakouskem. Pokud se zaměříme na minimální mzdy, pak je na tom nejlépe Německo, ve</w:t>
      </w:r>
      <w:r w:rsidR="00002DB5">
        <w:t> </w:t>
      </w:r>
      <w:r w:rsidR="004132FA">
        <w:t xml:space="preserve">kterém je oproti ostatním zemím výše minimální mzdy až třikrát vyšší. U ostatních zemí, vyjímaje Rakouska (kde minimální mzda jako taková není zavedena, existují zde pouze </w:t>
      </w:r>
      <w:r w:rsidR="004132FA">
        <w:lastRenderedPageBreak/>
        <w:t>kolektivní smlouvy) se výše minimální mzdy za poslední roky pochybuje kolem 500</w:t>
      </w:r>
      <w:r w:rsidR="00002DB5">
        <w:t> </w:t>
      </w:r>
      <w:r w:rsidR="004132FA">
        <w:t>eur</w:t>
      </w:r>
      <w:r w:rsidR="00002DB5">
        <w:t xml:space="preserve">/měsíčně. V neposlední řadě </w:t>
      </w:r>
      <w:r w:rsidR="00CE29EF">
        <w:t>je analyzováno</w:t>
      </w:r>
      <w:r w:rsidR="00002DB5">
        <w:t xml:space="preserve"> životní minimum, které je opět nejvyšší u Německa. V přepočtu na společnou měnu (euro) má Česká republika z vybraných zemí nejnižší životní minimum. Důležité je se také zmínit o tom, že Maďarsko se v roce 2018 usneslo na tom, že výše životního minima se bude rovnat výši minimální mzdy. Na základě takto získaných výsledků můžeme konstatovat, že vývoj veškerých námi uvedených příjmů v České republice je nejvíce podobný s vývojem v Polsku. Další řešenou oblastí, jež </w:t>
      </w:r>
      <w:r w:rsidR="006A4BEC">
        <w:t>byla zahrnuta</w:t>
      </w:r>
      <w:r w:rsidR="00002DB5">
        <w:t xml:space="preserve"> do</w:t>
      </w:r>
      <w:r w:rsidR="00AF21F8">
        <w:t> </w:t>
      </w:r>
      <w:r w:rsidR="006A4BEC">
        <w:t xml:space="preserve">sekce </w:t>
      </w:r>
      <w:r w:rsidR="00002DB5">
        <w:t>příjmů</w:t>
      </w:r>
      <w:r w:rsidR="006A4BEC">
        <w:t xml:space="preserve"> je chudoba, </w:t>
      </w:r>
      <w:r w:rsidR="00CE29EF">
        <w:t>v jejímž rámci je na tom nejlépe z vybraných zemí</w:t>
      </w:r>
      <w:r w:rsidR="006A4BEC">
        <w:t xml:space="preserve"> Polsko, kde pouze čtyřiadvacetina polské populace je ohrožena chudobou. </w:t>
      </w:r>
    </w:p>
    <w:p w14:paraId="0288CB87" w14:textId="15801902" w:rsidR="00BC3181" w:rsidRDefault="00AF21F8" w:rsidP="00AF21F8">
      <w:pPr>
        <w:spacing w:before="120" w:after="240" w:line="360" w:lineRule="auto"/>
        <w:ind w:firstLine="454"/>
        <w:jc w:val="both"/>
      </w:pPr>
      <w:r>
        <w:t>Dalším ukazatelem, který byl podroben zkoumání</w:t>
      </w:r>
      <w:r w:rsidR="00CE29EF">
        <w:t>,</w:t>
      </w:r>
      <w:r>
        <w:t xml:space="preserve"> je nezaměstnanost. Je samozřejmé, že zvyšování nezaměstnanosti výrazně ovlivňuje životní úroveň v dané zemi. Z vybraného vzorku zemí je na tom z pohledu míry nezaměstnanosti nejlépe Česká republika, která má historicky nejnižší míru a to 2 %, co se však týče průměrného růstu/poklesu míry nezaměstnanosti, tak nejlépe je na to Maďarsko s průměrným tempem poklesu 1,7 %.</w:t>
      </w:r>
    </w:p>
    <w:p w14:paraId="2D6E817A" w14:textId="1FA09BBE" w:rsidR="00AF21F8" w:rsidRPr="00E30E68" w:rsidRDefault="00BE35DF" w:rsidP="00AF21F8">
      <w:pPr>
        <w:spacing w:before="120" w:after="240" w:line="360" w:lineRule="auto"/>
        <w:ind w:firstLine="454"/>
        <w:jc w:val="both"/>
      </w:pPr>
      <w:r>
        <w:t>Hodnotíme-li životní úroveň prostřednictvím moderního ukazatele</w:t>
      </w:r>
      <w:r w:rsidR="008A7955">
        <w:t>, tj. indexu lidského rozvoje</w:t>
      </w:r>
      <w:r>
        <w:t xml:space="preserve">, pak </w:t>
      </w:r>
      <w:r w:rsidR="002D2A13">
        <w:t xml:space="preserve">z </w:t>
      </w:r>
      <w:r>
        <w:t>vybran</w:t>
      </w:r>
      <w:r w:rsidR="002D2A13">
        <w:t>ých</w:t>
      </w:r>
      <w:r>
        <w:t xml:space="preserve"> zem</w:t>
      </w:r>
      <w:r w:rsidR="002D2A13">
        <w:t>í</w:t>
      </w:r>
      <w:r>
        <w:t>, které byly srovnány</w:t>
      </w:r>
      <w:r w:rsidR="002D2A13">
        <w:t xml:space="preserve"> se na prvním místě umístilo Německo, na</w:t>
      </w:r>
      <w:r w:rsidR="008A7955">
        <w:t> </w:t>
      </w:r>
      <w:r w:rsidR="002D2A13">
        <w:t xml:space="preserve">druhém místě Rakousko, dále Česká republika, na čtvrtém místě Polsko, na předposledním Slovensko a na posledním </w:t>
      </w:r>
      <w:r w:rsidR="002D2A13" w:rsidRPr="00E30E68">
        <w:t xml:space="preserve">místě Maďarsko. </w:t>
      </w:r>
    </w:p>
    <w:p w14:paraId="54F4BA08" w14:textId="48A72A69" w:rsidR="00BC3181" w:rsidRDefault="00BC3181" w:rsidP="00BC3181">
      <w:pPr>
        <w:spacing w:before="120" w:after="240" w:line="360" w:lineRule="auto"/>
        <w:ind w:firstLine="454"/>
        <w:jc w:val="both"/>
      </w:pPr>
      <w:r w:rsidRPr="00E30E68">
        <w:t>Životní úroveň jednotlivých států bývá nejčastěji posuzována na základě ekonomického ukazatele HDP. Tento ukazatel je často kritizován pro svojí nevypovídající schopnost, avšak nemůžeme jej při hodnocení životní úrovně zcela vypustit, a to z toho důvodu, že pouze produkčně a ekonomicky silný stát může svým občanům zajistit kvalitní zázemí.</w:t>
      </w:r>
      <w:r w:rsidR="002D2A13" w:rsidRPr="00E30E68">
        <w:t xml:space="preserve"> Tento ukazatel je vyjádřen vztahem k průměru EU, což je roven hodnotě 100. Pokud některá země tuto hodnotu překročí, pak </w:t>
      </w:r>
      <w:r w:rsidR="008A7955">
        <w:t>hrubý domácí produkt</w:t>
      </w:r>
      <w:r w:rsidR="002D2A13" w:rsidRPr="00E30E68">
        <w:t xml:space="preserve"> této země je vyšší nežli samotný průměr Evropské unie. Nejlépe je na tom Rakousko, jehož průměrné HDP (za vybrané období) dosahuje hodnoty 130</w:t>
      </w:r>
      <w:r w:rsidR="00E30E68" w:rsidRPr="00E30E68">
        <w:t xml:space="preserve">. Nejhůře se umístilo Maďarsko, jehož průměrná hodnota </w:t>
      </w:r>
      <w:r w:rsidR="008A7955">
        <w:t>hrubého domácího produktu</w:t>
      </w:r>
      <w:r w:rsidR="00E30E68" w:rsidRPr="00E30E68">
        <w:t xml:space="preserve"> (69) nedosahuje ani průměru Evropské unie.</w:t>
      </w:r>
    </w:p>
    <w:p w14:paraId="4F98F7F2" w14:textId="78FA94C3" w:rsidR="008A7955" w:rsidRDefault="008A7955" w:rsidP="008A7955">
      <w:pPr>
        <w:spacing w:before="120" w:after="240" w:line="360" w:lineRule="auto"/>
        <w:ind w:firstLine="454"/>
        <w:jc w:val="both"/>
      </w:pPr>
      <w:r>
        <w:t xml:space="preserve">Primární myšlenkou této diplomové práce bylo vytyčit státy, které mají ať už podobné charakteristiky, kulturu, či ekonomické vazby, které sahají hluboko do historie a zároveň poukázat na jistou spojitost vývoje zvolených makroekonomických ukazatelů u vybraných států </w:t>
      </w:r>
      <w:r>
        <w:lastRenderedPageBreak/>
        <w:t xml:space="preserve">Evropské unie.  </w:t>
      </w:r>
      <w:r w:rsidR="00AE462B" w:rsidRPr="00E30E68">
        <w:t xml:space="preserve">Na závěr mohu jen konstatovat, že </w:t>
      </w:r>
      <w:r w:rsidR="00CE29EF">
        <w:t>vytyčené cíle</w:t>
      </w:r>
      <w:r w:rsidR="00AE462B" w:rsidRPr="00E30E68">
        <w:t xml:space="preserve"> vedoucí ke srovnání životní úrovně vybraných zemí </w:t>
      </w:r>
      <w:r>
        <w:t>Evropské unie</w:t>
      </w:r>
      <w:r w:rsidR="00AE462B" w:rsidRPr="00E30E68">
        <w:t xml:space="preserve"> byly naplněny</w:t>
      </w:r>
      <w:r w:rsidR="00E30E68">
        <w:t>.</w:t>
      </w:r>
    </w:p>
    <w:p w14:paraId="2F52C510" w14:textId="01431867" w:rsidR="0037149C" w:rsidRPr="00E30E68" w:rsidRDefault="008A7955" w:rsidP="008A7955">
      <w:r>
        <w:br w:type="page"/>
      </w:r>
    </w:p>
    <w:p w14:paraId="77D17898" w14:textId="50C0D5C9" w:rsidR="00E000A6" w:rsidRPr="00E000A6" w:rsidRDefault="0037149C" w:rsidP="00A554EA">
      <w:pPr>
        <w:pStyle w:val="Nadpis1"/>
        <w:numPr>
          <w:ilvl w:val="0"/>
          <w:numId w:val="0"/>
        </w:numPr>
        <w:ind w:left="431" w:hanging="431"/>
      </w:pPr>
      <w:bookmarkStart w:id="47" w:name="_Toc46142353"/>
      <w:r>
        <w:lastRenderedPageBreak/>
        <w:t>POUŽITÁ LITERATURA</w:t>
      </w:r>
      <w:bookmarkEnd w:id="47"/>
    </w:p>
    <w:p w14:paraId="2169B7C5" w14:textId="5F894FEE" w:rsidR="007961A9" w:rsidRPr="003E5B64" w:rsidRDefault="007961A9" w:rsidP="00BD0091">
      <w:pPr>
        <w:pStyle w:val="Bezmezer"/>
        <w:numPr>
          <w:ilvl w:val="0"/>
          <w:numId w:val="2"/>
        </w:numPr>
        <w:spacing w:before="120" w:after="240" w:line="360" w:lineRule="auto"/>
        <w:jc w:val="left"/>
        <w:rPr>
          <w:color w:val="000000" w:themeColor="text1"/>
          <w:sz w:val="24"/>
        </w:rPr>
      </w:pPr>
      <w:proofErr w:type="spellStart"/>
      <w:r w:rsidRPr="003E5B64">
        <w:rPr>
          <w:color w:val="000000" w:themeColor="text1"/>
          <w:sz w:val="24"/>
        </w:rPr>
        <w:t>About</w:t>
      </w:r>
      <w:proofErr w:type="spellEnd"/>
      <w:r w:rsidRPr="003E5B64">
        <w:rPr>
          <w:color w:val="000000" w:themeColor="text1"/>
          <w:sz w:val="24"/>
        </w:rPr>
        <w:t xml:space="preserve"> </w:t>
      </w:r>
      <w:proofErr w:type="spellStart"/>
      <w:r w:rsidRPr="003E5B64">
        <w:rPr>
          <w:color w:val="000000" w:themeColor="text1"/>
          <w:sz w:val="24"/>
        </w:rPr>
        <w:t>Hungary</w:t>
      </w:r>
      <w:proofErr w:type="spellEnd"/>
      <w:r w:rsidRPr="003E5B64">
        <w:rPr>
          <w:color w:val="000000" w:themeColor="text1"/>
          <w:sz w:val="24"/>
        </w:rPr>
        <w:t xml:space="preserve">. </w:t>
      </w:r>
      <w:proofErr w:type="spellStart"/>
      <w:r w:rsidRPr="003E5B64">
        <w:rPr>
          <w:i/>
          <w:iCs/>
          <w:color w:val="000000" w:themeColor="text1"/>
          <w:sz w:val="24"/>
        </w:rPr>
        <w:t>Hungary’s</w:t>
      </w:r>
      <w:proofErr w:type="spellEnd"/>
      <w:r w:rsidRPr="003E5B64">
        <w:rPr>
          <w:i/>
          <w:iCs/>
          <w:color w:val="000000" w:themeColor="text1"/>
          <w:sz w:val="24"/>
        </w:rPr>
        <w:t xml:space="preserve"> </w:t>
      </w:r>
      <w:proofErr w:type="spellStart"/>
      <w:r w:rsidRPr="003E5B64">
        <w:rPr>
          <w:i/>
          <w:iCs/>
          <w:color w:val="000000" w:themeColor="text1"/>
          <w:sz w:val="24"/>
        </w:rPr>
        <w:t>average</w:t>
      </w:r>
      <w:proofErr w:type="spellEnd"/>
      <w:r w:rsidRPr="003E5B64">
        <w:rPr>
          <w:i/>
          <w:iCs/>
          <w:color w:val="000000" w:themeColor="text1"/>
          <w:sz w:val="24"/>
        </w:rPr>
        <w:t xml:space="preserve"> gross </w:t>
      </w:r>
      <w:proofErr w:type="spellStart"/>
      <w:r w:rsidRPr="003E5B64">
        <w:rPr>
          <w:i/>
          <w:iCs/>
          <w:color w:val="000000" w:themeColor="text1"/>
          <w:sz w:val="24"/>
        </w:rPr>
        <w:t>wage</w:t>
      </w:r>
      <w:proofErr w:type="spellEnd"/>
      <w:r w:rsidRPr="003E5B64">
        <w:rPr>
          <w:i/>
          <w:iCs/>
          <w:color w:val="000000" w:themeColor="text1"/>
          <w:sz w:val="24"/>
        </w:rPr>
        <w:t xml:space="preserve"> </w:t>
      </w:r>
      <w:proofErr w:type="spellStart"/>
      <w:r w:rsidRPr="003E5B64">
        <w:rPr>
          <w:i/>
          <w:iCs/>
          <w:color w:val="000000" w:themeColor="text1"/>
          <w:sz w:val="24"/>
        </w:rPr>
        <w:t>grows</w:t>
      </w:r>
      <w:proofErr w:type="spellEnd"/>
      <w:r w:rsidRPr="003E5B64">
        <w:rPr>
          <w:i/>
          <w:iCs/>
          <w:color w:val="000000" w:themeColor="text1"/>
          <w:sz w:val="24"/>
        </w:rPr>
        <w:t xml:space="preserve"> by </w:t>
      </w:r>
      <w:proofErr w:type="spellStart"/>
      <w:r w:rsidRPr="003E5B64">
        <w:rPr>
          <w:i/>
          <w:iCs/>
          <w:color w:val="000000" w:themeColor="text1"/>
          <w:sz w:val="24"/>
        </w:rPr>
        <w:t>an</w:t>
      </w:r>
      <w:proofErr w:type="spellEnd"/>
      <w:r w:rsidRPr="003E5B64">
        <w:rPr>
          <w:i/>
          <w:iCs/>
          <w:color w:val="000000" w:themeColor="text1"/>
          <w:sz w:val="24"/>
        </w:rPr>
        <w:t xml:space="preserve"> </w:t>
      </w:r>
      <w:proofErr w:type="spellStart"/>
      <w:r w:rsidRPr="003E5B64">
        <w:rPr>
          <w:i/>
          <w:iCs/>
          <w:color w:val="000000" w:themeColor="text1"/>
          <w:sz w:val="24"/>
        </w:rPr>
        <w:t>annual</w:t>
      </w:r>
      <w:proofErr w:type="spellEnd"/>
      <w:r w:rsidRPr="003E5B64">
        <w:rPr>
          <w:i/>
          <w:iCs/>
          <w:color w:val="000000" w:themeColor="text1"/>
          <w:sz w:val="24"/>
        </w:rPr>
        <w:t xml:space="preserve"> 13.1 </w:t>
      </w:r>
      <w:proofErr w:type="spellStart"/>
      <w:r w:rsidRPr="003E5B64">
        <w:rPr>
          <w:i/>
          <w:iCs/>
          <w:color w:val="000000" w:themeColor="text1"/>
          <w:sz w:val="24"/>
        </w:rPr>
        <w:t>percent</w:t>
      </w:r>
      <w:proofErr w:type="spellEnd"/>
      <w:r w:rsidRPr="003E5B64">
        <w:rPr>
          <w:i/>
          <w:iCs/>
          <w:color w:val="000000" w:themeColor="text1"/>
          <w:sz w:val="24"/>
        </w:rPr>
        <w:t xml:space="preserve">. </w:t>
      </w:r>
      <w:r w:rsidRPr="003E5B64">
        <w:rPr>
          <w:color w:val="000000" w:themeColor="text1"/>
          <w:sz w:val="24"/>
        </w:rPr>
        <w:t>Abouthungary.hu [online]. 2020 [cit. 2020-06-21]. Dostupné z: http://abouthungary.hu/news-in-brief/hungarys-average-gross-wage-grows-by-an-annual-131-percent/.</w:t>
      </w:r>
    </w:p>
    <w:p w14:paraId="74CA2BC7" w14:textId="4B30924F" w:rsidR="00E000A6" w:rsidRPr="003E5B64" w:rsidRDefault="00E000A6" w:rsidP="00BD0091">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t xml:space="preserve">AMADEO, Kimberly. </w:t>
      </w:r>
      <w:r w:rsidRPr="003E5B64">
        <w:rPr>
          <w:i/>
          <w:iCs/>
          <w:color w:val="000000" w:themeColor="text1"/>
          <w:sz w:val="24"/>
        </w:rPr>
        <w:t xml:space="preserve">Standard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Living</w:t>
      </w:r>
      <w:proofErr w:type="spellEnd"/>
      <w:r w:rsidRPr="003E5B64">
        <w:rPr>
          <w:i/>
          <w:iCs/>
          <w:color w:val="000000" w:themeColor="text1"/>
          <w:sz w:val="24"/>
        </w:rPr>
        <w:t xml:space="preserve">: </w:t>
      </w:r>
      <w:proofErr w:type="spellStart"/>
      <w:r w:rsidRPr="003E5B64">
        <w:rPr>
          <w:i/>
          <w:iCs/>
          <w:color w:val="000000" w:themeColor="text1"/>
          <w:sz w:val="24"/>
        </w:rPr>
        <w:t>Where’s</w:t>
      </w:r>
      <w:proofErr w:type="spellEnd"/>
      <w:r w:rsidRPr="003E5B64">
        <w:rPr>
          <w:i/>
          <w:iCs/>
          <w:color w:val="000000" w:themeColor="text1"/>
          <w:sz w:val="24"/>
        </w:rPr>
        <w:t xml:space="preserve"> </w:t>
      </w:r>
      <w:proofErr w:type="spellStart"/>
      <w:r w:rsidRPr="003E5B64">
        <w:rPr>
          <w:i/>
          <w:iCs/>
          <w:color w:val="000000" w:themeColor="text1"/>
          <w:sz w:val="24"/>
        </w:rPr>
        <w:t>the</w:t>
      </w:r>
      <w:proofErr w:type="spellEnd"/>
      <w:r w:rsidRPr="003E5B64">
        <w:rPr>
          <w:i/>
          <w:iCs/>
          <w:color w:val="000000" w:themeColor="text1"/>
          <w:sz w:val="24"/>
        </w:rPr>
        <w:t xml:space="preserve"> Best </w:t>
      </w:r>
      <w:proofErr w:type="spellStart"/>
      <w:r w:rsidRPr="003E5B64">
        <w:rPr>
          <w:i/>
          <w:iCs/>
          <w:color w:val="000000" w:themeColor="text1"/>
          <w:sz w:val="24"/>
        </w:rPr>
        <w:t>Standar</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Living</w:t>
      </w:r>
      <w:proofErr w:type="spellEnd"/>
      <w:r w:rsidRPr="003E5B64">
        <w:rPr>
          <w:i/>
          <w:iCs/>
          <w:color w:val="000000" w:themeColor="text1"/>
          <w:sz w:val="24"/>
        </w:rPr>
        <w:t xml:space="preserve">? </w:t>
      </w:r>
      <w:proofErr w:type="spellStart"/>
      <w:r w:rsidRPr="003E5B64">
        <w:rPr>
          <w:i/>
          <w:iCs/>
          <w:color w:val="000000" w:themeColor="text1"/>
          <w:sz w:val="24"/>
        </w:rPr>
        <w:t>Depends</w:t>
      </w:r>
      <w:proofErr w:type="spellEnd"/>
      <w:r w:rsidRPr="003E5B64">
        <w:rPr>
          <w:i/>
          <w:iCs/>
          <w:color w:val="000000" w:themeColor="text1"/>
          <w:sz w:val="24"/>
        </w:rPr>
        <w:t xml:space="preserve"> </w:t>
      </w:r>
      <w:proofErr w:type="spellStart"/>
      <w:r w:rsidRPr="003E5B64">
        <w:rPr>
          <w:i/>
          <w:iCs/>
          <w:color w:val="000000" w:themeColor="text1"/>
          <w:sz w:val="24"/>
        </w:rPr>
        <w:t>Who</w:t>
      </w:r>
      <w:proofErr w:type="spellEnd"/>
      <w:r w:rsidRPr="003E5B64">
        <w:rPr>
          <w:i/>
          <w:iCs/>
          <w:color w:val="000000" w:themeColor="text1"/>
          <w:sz w:val="24"/>
        </w:rPr>
        <w:t xml:space="preserve"> </w:t>
      </w:r>
      <w:proofErr w:type="spellStart"/>
      <w:r w:rsidRPr="003E5B64">
        <w:rPr>
          <w:i/>
          <w:iCs/>
          <w:color w:val="000000" w:themeColor="text1"/>
          <w:sz w:val="24"/>
        </w:rPr>
        <w:t>You</w:t>
      </w:r>
      <w:proofErr w:type="spellEnd"/>
      <w:r w:rsidRPr="003E5B64">
        <w:rPr>
          <w:i/>
          <w:iCs/>
          <w:color w:val="000000" w:themeColor="text1"/>
          <w:sz w:val="24"/>
        </w:rPr>
        <w:t xml:space="preserve"> </w:t>
      </w:r>
      <w:proofErr w:type="spellStart"/>
      <w:r w:rsidRPr="003E5B64">
        <w:rPr>
          <w:i/>
          <w:iCs/>
          <w:color w:val="000000" w:themeColor="text1"/>
          <w:sz w:val="24"/>
        </w:rPr>
        <w:t>Ask</w:t>
      </w:r>
      <w:proofErr w:type="spellEnd"/>
      <w:r w:rsidRPr="003E5B64">
        <w:rPr>
          <w:i/>
          <w:iCs/>
          <w:color w:val="000000" w:themeColor="text1"/>
          <w:sz w:val="24"/>
        </w:rPr>
        <w:t xml:space="preserve">. </w:t>
      </w:r>
      <w:r w:rsidRPr="003E5B64">
        <w:rPr>
          <w:color w:val="000000" w:themeColor="text1"/>
          <w:sz w:val="24"/>
        </w:rPr>
        <w:t xml:space="preserve">Thebalance.com. [online]. 2020 [cit. 2020-01-21]. Dostupné z: </w:t>
      </w:r>
      <w:hyperlink r:id="rId17" w:history="1">
        <w:r w:rsidRPr="003E5B64">
          <w:rPr>
            <w:rStyle w:val="Hypertextovodkaz"/>
            <w:color w:val="000000" w:themeColor="text1"/>
            <w:sz w:val="24"/>
            <w:u w:val="none"/>
          </w:rPr>
          <w:t>https://thebalance.com/standard-of-living-3305758</w:t>
        </w:r>
      </w:hyperlink>
      <w:r w:rsidR="001C71C4" w:rsidRPr="003E5B64">
        <w:rPr>
          <w:rStyle w:val="Hypertextovodkaz"/>
          <w:color w:val="000000" w:themeColor="text1"/>
          <w:sz w:val="24"/>
          <w:u w:val="none"/>
        </w:rPr>
        <w:t>.</w:t>
      </w:r>
    </w:p>
    <w:p w14:paraId="0F6DAF52" w14:textId="3860525D" w:rsidR="00432761" w:rsidRPr="003E5B64" w:rsidRDefault="00E000A6" w:rsidP="00BD0091">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ArcGIS</w:t>
      </w:r>
      <w:proofErr w:type="spellEnd"/>
      <w:r w:rsidRPr="003E5B64">
        <w:rPr>
          <w:color w:val="000000" w:themeColor="text1"/>
          <w:sz w:val="24"/>
        </w:rPr>
        <w:t xml:space="preserve">. </w:t>
      </w:r>
      <w:proofErr w:type="spellStart"/>
      <w:r w:rsidRPr="003E5B64">
        <w:rPr>
          <w:i/>
          <w:iCs/>
          <w:color w:val="000000" w:themeColor="text1"/>
          <w:sz w:val="24"/>
        </w:rPr>
        <w:t>Human</w:t>
      </w:r>
      <w:proofErr w:type="spellEnd"/>
      <w:r w:rsidRPr="003E5B64">
        <w:rPr>
          <w:i/>
          <w:iCs/>
          <w:color w:val="000000" w:themeColor="text1"/>
          <w:sz w:val="24"/>
        </w:rPr>
        <w:t xml:space="preserve"> </w:t>
      </w:r>
      <w:proofErr w:type="spellStart"/>
      <w:r w:rsidRPr="003E5B64">
        <w:rPr>
          <w:i/>
          <w:iCs/>
          <w:color w:val="000000" w:themeColor="text1"/>
          <w:sz w:val="24"/>
        </w:rPr>
        <w:t>Poverty</w:t>
      </w:r>
      <w:proofErr w:type="spellEnd"/>
      <w:r w:rsidRPr="003E5B64">
        <w:rPr>
          <w:i/>
          <w:iCs/>
          <w:color w:val="000000" w:themeColor="text1"/>
          <w:sz w:val="24"/>
        </w:rPr>
        <w:t xml:space="preserve"> Index. </w:t>
      </w:r>
      <w:r w:rsidRPr="003E5B64">
        <w:rPr>
          <w:color w:val="000000" w:themeColor="text1"/>
          <w:sz w:val="24"/>
        </w:rPr>
        <w:t xml:space="preserve">Arcgis.com [online]. 2012 [cit. 2020-03-06]. Dostupné z: </w:t>
      </w:r>
      <w:hyperlink r:id="rId18" w:history="1">
        <w:r w:rsidRPr="003E5B64">
          <w:rPr>
            <w:rStyle w:val="Hypertextovodkaz"/>
            <w:color w:val="000000" w:themeColor="text1"/>
            <w:sz w:val="24"/>
            <w:u w:val="none"/>
          </w:rPr>
          <w:t>https://arcgis.com/home/item.html?id=d92b769b223c4eecb3b75b68c41780d6</w:t>
        </w:r>
      </w:hyperlink>
      <w:r w:rsidR="001C71C4" w:rsidRPr="003E5B64">
        <w:rPr>
          <w:rStyle w:val="Hypertextovodkaz"/>
          <w:color w:val="000000" w:themeColor="text1"/>
          <w:sz w:val="24"/>
          <w:u w:val="none"/>
        </w:rPr>
        <w:t>.</w:t>
      </w:r>
    </w:p>
    <w:p w14:paraId="4120CA1A" w14:textId="0B964822" w:rsidR="00432761" w:rsidRPr="003E5B64" w:rsidRDefault="00432761" w:rsidP="00432761">
      <w:pPr>
        <w:pStyle w:val="Bezmezer"/>
        <w:numPr>
          <w:ilvl w:val="0"/>
          <w:numId w:val="2"/>
        </w:numPr>
        <w:spacing w:before="120" w:after="240" w:line="360" w:lineRule="auto"/>
        <w:rPr>
          <w:color w:val="000000" w:themeColor="text1"/>
          <w:sz w:val="24"/>
        </w:rPr>
      </w:pPr>
      <w:r w:rsidRPr="003E5B64">
        <w:rPr>
          <w:rStyle w:val="Hypertextovodkaz"/>
          <w:color w:val="000000" w:themeColor="text1"/>
          <w:sz w:val="24"/>
          <w:u w:val="none"/>
        </w:rPr>
        <w:t xml:space="preserve">BAUER, Luboš a kol. </w:t>
      </w:r>
      <w:r w:rsidRPr="003E5B64">
        <w:rPr>
          <w:rStyle w:val="Hypertextovodkaz"/>
          <w:i/>
          <w:iCs/>
          <w:color w:val="000000" w:themeColor="text1"/>
          <w:sz w:val="24"/>
          <w:u w:val="none"/>
        </w:rPr>
        <w:t>Matematika v ekonomii a ekonomice.</w:t>
      </w:r>
      <w:r w:rsidRPr="003E5B64">
        <w:rPr>
          <w:i/>
          <w:iCs/>
          <w:color w:val="000000" w:themeColor="text1"/>
          <w:sz w:val="24"/>
        </w:rPr>
        <w:t xml:space="preserve"> </w:t>
      </w:r>
      <w:r w:rsidRPr="003E5B64">
        <w:rPr>
          <w:color w:val="000000" w:themeColor="text1"/>
          <w:sz w:val="24"/>
        </w:rPr>
        <w:t xml:space="preserve">Grada </w:t>
      </w:r>
      <w:proofErr w:type="spellStart"/>
      <w:r w:rsidRPr="003E5B64">
        <w:rPr>
          <w:color w:val="000000" w:themeColor="text1"/>
          <w:sz w:val="24"/>
        </w:rPr>
        <w:t>Publishing</w:t>
      </w:r>
      <w:proofErr w:type="spellEnd"/>
      <w:r w:rsidRPr="003E5B64">
        <w:rPr>
          <w:color w:val="000000" w:themeColor="text1"/>
          <w:sz w:val="24"/>
        </w:rPr>
        <w:t>,</w:t>
      </w:r>
      <w:r w:rsidR="00027BE6" w:rsidRPr="003E5B64">
        <w:rPr>
          <w:color w:val="000000" w:themeColor="text1"/>
          <w:sz w:val="24"/>
        </w:rPr>
        <w:t xml:space="preserve"> </w:t>
      </w:r>
      <w:r w:rsidRPr="003E5B64">
        <w:rPr>
          <w:color w:val="000000" w:themeColor="text1"/>
          <w:sz w:val="24"/>
        </w:rPr>
        <w:t>2015. 352 s. ISBN: 978-80-247-4419-3.</w:t>
      </w:r>
    </w:p>
    <w:p w14:paraId="7F7382E7" w14:textId="40594E6E" w:rsidR="00C03107" w:rsidRPr="003E5B64" w:rsidRDefault="00C03107" w:rsidP="00BD0091">
      <w:pPr>
        <w:pStyle w:val="Bezmezer"/>
        <w:numPr>
          <w:ilvl w:val="0"/>
          <w:numId w:val="2"/>
        </w:numPr>
        <w:spacing w:before="120" w:after="240" w:line="360" w:lineRule="auto"/>
        <w:jc w:val="left"/>
        <w:rPr>
          <w:color w:val="000000" w:themeColor="text1"/>
          <w:sz w:val="24"/>
        </w:rPr>
      </w:pPr>
      <w:r w:rsidRPr="003E5B64">
        <w:rPr>
          <w:color w:val="000000" w:themeColor="text1"/>
          <w:sz w:val="24"/>
        </w:rPr>
        <w:t xml:space="preserve">BÍLKOVÁ, Lucie. </w:t>
      </w:r>
      <w:r w:rsidRPr="003E5B64">
        <w:rPr>
          <w:i/>
          <w:iCs/>
          <w:color w:val="000000" w:themeColor="text1"/>
          <w:sz w:val="24"/>
        </w:rPr>
        <w:t xml:space="preserve">Faktory životní úrovně českých domácností. </w:t>
      </w:r>
      <w:r w:rsidRPr="003E5B64">
        <w:rPr>
          <w:color w:val="000000" w:themeColor="text1"/>
          <w:sz w:val="24"/>
        </w:rPr>
        <w:t>Is.mendelu.cz [online]. 2015 [cit. 2020-03-15]. Dostupné z:</w:t>
      </w:r>
      <w:r w:rsidR="00BD0091" w:rsidRPr="003E5B64">
        <w:rPr>
          <w:color w:val="000000" w:themeColor="text1"/>
          <w:sz w:val="24"/>
        </w:rPr>
        <w:t xml:space="preserve"> </w:t>
      </w:r>
      <w:hyperlink r:id="rId19" w:history="1">
        <w:r w:rsidR="00BD0091" w:rsidRPr="003E5B64">
          <w:rPr>
            <w:rStyle w:val="Hypertextovodkaz"/>
            <w:sz w:val="24"/>
            <w:u w:val="none"/>
          </w:rPr>
          <w:t>https://is.mendelu.cz/zp/portal_zp.pl?podrobnosti_zp=48514;lang=cz</w:t>
        </w:r>
      </w:hyperlink>
      <w:r w:rsidR="001C71C4" w:rsidRPr="003E5B64">
        <w:rPr>
          <w:rStyle w:val="Hypertextovodkaz"/>
          <w:color w:val="000000" w:themeColor="text1"/>
          <w:sz w:val="24"/>
          <w:u w:val="none"/>
        </w:rPr>
        <w:t>.</w:t>
      </w:r>
    </w:p>
    <w:p w14:paraId="5D2D13D7" w14:textId="05D3F478" w:rsidR="001B38D6" w:rsidRPr="003E5B64" w:rsidRDefault="00C03107" w:rsidP="001B38D6">
      <w:pPr>
        <w:pStyle w:val="Bezmezer"/>
        <w:numPr>
          <w:ilvl w:val="0"/>
          <w:numId w:val="2"/>
        </w:numPr>
        <w:spacing w:before="120" w:after="240" w:line="360" w:lineRule="auto"/>
        <w:ind w:left="641" w:hanging="357"/>
        <w:rPr>
          <w:sz w:val="24"/>
        </w:rPr>
      </w:pPr>
      <w:r w:rsidRPr="003E5B64">
        <w:rPr>
          <w:sz w:val="24"/>
        </w:rPr>
        <w:t xml:space="preserve">BOŠANSKÁ, Klára. </w:t>
      </w:r>
      <w:r w:rsidRPr="003E5B64">
        <w:rPr>
          <w:i/>
          <w:iCs/>
          <w:sz w:val="24"/>
        </w:rPr>
        <w:t xml:space="preserve">Hodnocení ukazatelů životní úrovně. </w:t>
      </w:r>
      <w:r w:rsidRPr="003E5B64">
        <w:rPr>
          <w:sz w:val="24"/>
        </w:rPr>
        <w:t>Is.mendelu.cz. [online]. 2013 [cit. 2020-02-05]. Dostupné z: Is.mendelu.cz</w:t>
      </w:r>
    </w:p>
    <w:p w14:paraId="112317FF" w14:textId="25A0673A" w:rsidR="001B38D6" w:rsidRPr="003E5B64" w:rsidRDefault="001B38D6"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Business </w:t>
      </w:r>
      <w:proofErr w:type="spellStart"/>
      <w:r w:rsidRPr="003E5B64">
        <w:rPr>
          <w:sz w:val="24"/>
        </w:rPr>
        <w:t>info</w:t>
      </w:r>
      <w:proofErr w:type="spellEnd"/>
      <w:r w:rsidRPr="003E5B64">
        <w:rPr>
          <w:sz w:val="24"/>
        </w:rPr>
        <w:t xml:space="preserve">. </w:t>
      </w:r>
      <w:r w:rsidRPr="003E5B64">
        <w:rPr>
          <w:i/>
          <w:iCs/>
          <w:sz w:val="24"/>
        </w:rPr>
        <w:t xml:space="preserve">Německo: Obchodní a ekonomická spolupráce s ČR. </w:t>
      </w:r>
      <w:r w:rsidRPr="003E5B64">
        <w:rPr>
          <w:sz w:val="24"/>
        </w:rPr>
        <w:t>Businessinfo.com. [online]. 2019 [</w:t>
      </w:r>
      <w:r w:rsidR="00C93B2B" w:rsidRPr="003E5B64">
        <w:rPr>
          <w:sz w:val="24"/>
        </w:rPr>
        <w:t>cit.</w:t>
      </w:r>
      <w:r w:rsidRPr="003E5B64">
        <w:rPr>
          <w:sz w:val="24"/>
        </w:rPr>
        <w:t xml:space="preserve"> 2020-01-21]. </w:t>
      </w:r>
      <w:r w:rsidR="00C93B2B" w:rsidRPr="003E5B64">
        <w:rPr>
          <w:sz w:val="24"/>
        </w:rPr>
        <w:t>Dostupné z</w:t>
      </w:r>
      <w:r w:rsidRPr="003E5B64">
        <w:rPr>
          <w:sz w:val="24"/>
        </w:rPr>
        <w:t xml:space="preserve">: </w:t>
      </w:r>
      <w:hyperlink r:id="rId20" w:history="1">
        <w:r w:rsidRPr="003E5B64">
          <w:rPr>
            <w:rStyle w:val="Hypertextovodkaz"/>
            <w:sz w:val="24"/>
            <w:u w:val="none"/>
          </w:rPr>
          <w:t>https://www.businessinfo.cz/navody/nemecko-obchodni-a-ekonomicka-spoluprace-s-cr/</w:t>
        </w:r>
      </w:hyperlink>
      <w:r w:rsidR="001C71C4" w:rsidRPr="003E5B64">
        <w:rPr>
          <w:rStyle w:val="Hypertextovodkaz"/>
          <w:sz w:val="24"/>
          <w:u w:val="none"/>
        </w:rPr>
        <w:t>.</w:t>
      </w:r>
    </w:p>
    <w:p w14:paraId="15A4E56E" w14:textId="6156AB17" w:rsidR="004C5FC9" w:rsidRPr="003E5B64" w:rsidRDefault="004C5FC9"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sz w:val="24"/>
          <w:u w:val="none"/>
        </w:rPr>
        <w:t xml:space="preserve">CEIC. </w:t>
      </w:r>
      <w:proofErr w:type="spellStart"/>
      <w:r w:rsidRPr="003E5B64">
        <w:rPr>
          <w:rStyle w:val="Hypertextovodkaz"/>
          <w:i/>
          <w:iCs/>
          <w:sz w:val="24"/>
          <w:u w:val="none"/>
        </w:rPr>
        <w:t>Hundary</w:t>
      </w:r>
      <w:proofErr w:type="spellEnd"/>
      <w:r w:rsidRPr="003E5B64">
        <w:rPr>
          <w:rStyle w:val="Hypertextovodkaz"/>
          <w:i/>
          <w:iCs/>
          <w:sz w:val="24"/>
          <w:u w:val="none"/>
        </w:rPr>
        <w:t xml:space="preserve"> </w:t>
      </w:r>
      <w:proofErr w:type="spellStart"/>
      <w:r w:rsidRPr="003E5B64">
        <w:rPr>
          <w:rStyle w:val="Hypertextovodkaz"/>
          <w:i/>
          <w:iCs/>
          <w:sz w:val="24"/>
          <w:u w:val="none"/>
        </w:rPr>
        <w:t>Household</w:t>
      </w:r>
      <w:proofErr w:type="spellEnd"/>
      <w:r w:rsidRPr="003E5B64">
        <w:rPr>
          <w:rStyle w:val="Hypertextovodkaz"/>
          <w:i/>
          <w:iCs/>
          <w:sz w:val="24"/>
          <w:u w:val="none"/>
        </w:rPr>
        <w:t xml:space="preserve"> </w:t>
      </w:r>
      <w:proofErr w:type="spellStart"/>
      <w:r w:rsidRPr="003E5B64">
        <w:rPr>
          <w:rStyle w:val="Hypertextovodkaz"/>
          <w:i/>
          <w:iCs/>
          <w:sz w:val="24"/>
          <w:u w:val="none"/>
        </w:rPr>
        <w:t>Income</w:t>
      </w:r>
      <w:proofErr w:type="spellEnd"/>
      <w:r w:rsidRPr="003E5B64">
        <w:rPr>
          <w:rStyle w:val="Hypertextovodkaz"/>
          <w:i/>
          <w:iCs/>
          <w:sz w:val="24"/>
          <w:u w:val="none"/>
        </w:rPr>
        <w:t xml:space="preserve"> per </w:t>
      </w:r>
      <w:proofErr w:type="spellStart"/>
      <w:r w:rsidRPr="003E5B64">
        <w:rPr>
          <w:rStyle w:val="Hypertextovodkaz"/>
          <w:i/>
          <w:iCs/>
          <w:sz w:val="24"/>
          <w:u w:val="none"/>
        </w:rPr>
        <w:t>Capacita</w:t>
      </w:r>
      <w:proofErr w:type="spellEnd"/>
      <w:r w:rsidRPr="003E5B64">
        <w:rPr>
          <w:rStyle w:val="Hypertextovodkaz"/>
          <w:i/>
          <w:iCs/>
          <w:sz w:val="24"/>
          <w:u w:val="none"/>
        </w:rPr>
        <w:t xml:space="preserve">. </w:t>
      </w:r>
      <w:r w:rsidRPr="003E5B64">
        <w:rPr>
          <w:rStyle w:val="Hypertextovodkaz"/>
          <w:sz w:val="24"/>
          <w:u w:val="none"/>
        </w:rPr>
        <w:t xml:space="preserve">Ceicdata.com </w:t>
      </w:r>
      <w:r w:rsidRPr="003E5B64">
        <w:rPr>
          <w:sz w:val="24"/>
        </w:rPr>
        <w:t>[online]. 2020</w:t>
      </w:r>
      <w:r w:rsidRPr="003E5B64">
        <w:rPr>
          <w:sz w:val="24"/>
        </w:rPr>
        <w:br/>
        <w:t xml:space="preserve"> [cit. 2020-06-21]. Dostupné z: https://www.ceicdata.com/en/indicator/hungary/annual-household-income-per-capita.</w:t>
      </w:r>
    </w:p>
    <w:p w14:paraId="1FDCB0BC" w14:textId="5356008F" w:rsidR="00867C9C" w:rsidRPr="003E5B64" w:rsidRDefault="00694AAC" w:rsidP="00BD0091">
      <w:pPr>
        <w:pStyle w:val="Bezmezer"/>
        <w:numPr>
          <w:ilvl w:val="0"/>
          <w:numId w:val="2"/>
        </w:numPr>
        <w:spacing w:before="120" w:after="240" w:line="360" w:lineRule="auto"/>
        <w:ind w:left="641" w:hanging="357"/>
        <w:jc w:val="left"/>
        <w:rPr>
          <w:sz w:val="24"/>
        </w:rPr>
      </w:pPr>
      <w:r w:rsidRPr="003E5B64">
        <w:rPr>
          <w:rStyle w:val="Hypertextovodkaz"/>
          <w:sz w:val="24"/>
          <w:u w:val="none"/>
        </w:rPr>
        <w:t xml:space="preserve">Country </w:t>
      </w:r>
      <w:proofErr w:type="spellStart"/>
      <w:r w:rsidRPr="003E5B64">
        <w:rPr>
          <w:rStyle w:val="Hypertextovodkaz"/>
          <w:sz w:val="24"/>
          <w:u w:val="none"/>
        </w:rPr>
        <w:t>economy</w:t>
      </w:r>
      <w:proofErr w:type="spellEnd"/>
      <w:r w:rsidRPr="003E5B64">
        <w:rPr>
          <w:rStyle w:val="Hypertextovodkaz"/>
          <w:sz w:val="24"/>
          <w:u w:val="none"/>
        </w:rPr>
        <w:t xml:space="preserve">. </w:t>
      </w:r>
      <w:r w:rsidR="00867C9C" w:rsidRPr="003E5B64">
        <w:rPr>
          <w:rStyle w:val="Hypertextovodkaz"/>
          <w:i/>
          <w:iCs/>
          <w:sz w:val="24"/>
          <w:u w:val="none"/>
        </w:rPr>
        <w:t xml:space="preserve">Germany – Minimum </w:t>
      </w:r>
      <w:proofErr w:type="spellStart"/>
      <w:r w:rsidR="00867C9C" w:rsidRPr="003E5B64">
        <w:rPr>
          <w:rStyle w:val="Hypertextovodkaz"/>
          <w:i/>
          <w:iCs/>
          <w:sz w:val="24"/>
          <w:u w:val="none"/>
        </w:rPr>
        <w:t>wages</w:t>
      </w:r>
      <w:proofErr w:type="spellEnd"/>
      <w:r w:rsidR="00867C9C" w:rsidRPr="003E5B64">
        <w:rPr>
          <w:rStyle w:val="Hypertextovodkaz"/>
          <w:i/>
          <w:iCs/>
          <w:sz w:val="24"/>
          <w:u w:val="none"/>
        </w:rPr>
        <w:t xml:space="preserve">. </w:t>
      </w:r>
      <w:r w:rsidR="00867C9C" w:rsidRPr="003E5B64">
        <w:rPr>
          <w:rStyle w:val="Hypertextovodkaz"/>
          <w:sz w:val="24"/>
          <w:u w:val="none"/>
        </w:rPr>
        <w:t xml:space="preserve">Countryeconomy.com </w:t>
      </w:r>
      <w:r w:rsidR="00867C9C" w:rsidRPr="003E5B64">
        <w:rPr>
          <w:sz w:val="24"/>
        </w:rPr>
        <w:t xml:space="preserve">[online]. 2020 [cit. 2020-01-21]. Dostupné z: </w:t>
      </w:r>
      <w:hyperlink r:id="rId21" w:history="1">
        <w:r w:rsidR="00867C9C" w:rsidRPr="003E5B64">
          <w:rPr>
            <w:rStyle w:val="Hypertextovodkaz"/>
            <w:sz w:val="24"/>
            <w:u w:val="none"/>
          </w:rPr>
          <w:t>https://countryeconomy.com/national-minimum-wage/germany</w:t>
        </w:r>
      </w:hyperlink>
      <w:r w:rsidR="001C71C4" w:rsidRPr="003E5B64">
        <w:rPr>
          <w:rStyle w:val="Hypertextovodkaz"/>
          <w:sz w:val="24"/>
          <w:u w:val="none"/>
        </w:rPr>
        <w:t>.</w:t>
      </w:r>
    </w:p>
    <w:p w14:paraId="04B2180A" w14:textId="7AEE5E31" w:rsidR="009C1C21" w:rsidRPr="003E5B64" w:rsidRDefault="00867C9C"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sz w:val="24"/>
          <w:u w:val="none"/>
        </w:rPr>
        <w:lastRenderedPageBreak/>
        <w:t xml:space="preserve">Country </w:t>
      </w:r>
      <w:proofErr w:type="spellStart"/>
      <w:r w:rsidRPr="003E5B64">
        <w:rPr>
          <w:rStyle w:val="Hypertextovodkaz"/>
          <w:sz w:val="24"/>
          <w:u w:val="none"/>
        </w:rPr>
        <w:t>economy</w:t>
      </w:r>
      <w:proofErr w:type="spellEnd"/>
      <w:r w:rsidRPr="003E5B64">
        <w:rPr>
          <w:rStyle w:val="Hypertextovodkaz"/>
          <w:sz w:val="24"/>
          <w:u w:val="none"/>
        </w:rPr>
        <w:t xml:space="preserve">. </w:t>
      </w:r>
      <w:proofErr w:type="spellStart"/>
      <w:r w:rsidRPr="003E5B64">
        <w:rPr>
          <w:rStyle w:val="Hypertextovodkaz"/>
          <w:i/>
          <w:iCs/>
          <w:sz w:val="24"/>
          <w:u w:val="none"/>
        </w:rPr>
        <w:t>Hungary</w:t>
      </w:r>
      <w:proofErr w:type="spellEnd"/>
      <w:r w:rsidRPr="003E5B64">
        <w:rPr>
          <w:rStyle w:val="Hypertextovodkaz"/>
          <w:i/>
          <w:iCs/>
          <w:sz w:val="24"/>
          <w:u w:val="none"/>
        </w:rPr>
        <w:t xml:space="preserve"> </w:t>
      </w:r>
      <w:proofErr w:type="spellStart"/>
      <w:r w:rsidRPr="003E5B64">
        <w:rPr>
          <w:rStyle w:val="Hypertextovodkaz"/>
          <w:i/>
          <w:iCs/>
          <w:sz w:val="24"/>
          <w:u w:val="none"/>
        </w:rPr>
        <w:t>National</w:t>
      </w:r>
      <w:proofErr w:type="spellEnd"/>
      <w:r w:rsidRPr="003E5B64">
        <w:rPr>
          <w:rStyle w:val="Hypertextovodkaz"/>
          <w:i/>
          <w:iCs/>
          <w:sz w:val="24"/>
          <w:u w:val="none"/>
        </w:rPr>
        <w:t xml:space="preserve"> Minimum </w:t>
      </w:r>
      <w:proofErr w:type="spellStart"/>
      <w:proofErr w:type="gramStart"/>
      <w:r w:rsidRPr="003E5B64">
        <w:rPr>
          <w:rStyle w:val="Hypertextovodkaz"/>
          <w:i/>
          <w:iCs/>
          <w:sz w:val="24"/>
          <w:u w:val="none"/>
        </w:rPr>
        <w:t>Wage</w:t>
      </w:r>
      <w:proofErr w:type="spellEnd"/>
      <w:r w:rsidRPr="003E5B64">
        <w:rPr>
          <w:rStyle w:val="Hypertextovodkaz"/>
          <w:i/>
          <w:iCs/>
          <w:sz w:val="24"/>
          <w:u w:val="none"/>
        </w:rPr>
        <w:t xml:space="preserve"> - NMW</w:t>
      </w:r>
      <w:proofErr w:type="gramEnd"/>
      <w:r w:rsidRPr="003E5B64">
        <w:rPr>
          <w:rStyle w:val="Hypertextovodkaz"/>
          <w:i/>
          <w:iCs/>
          <w:sz w:val="24"/>
          <w:u w:val="none"/>
        </w:rPr>
        <w:t xml:space="preserve">. </w:t>
      </w:r>
      <w:r w:rsidRPr="003E5B64">
        <w:rPr>
          <w:rStyle w:val="Hypertextovodkaz"/>
          <w:sz w:val="24"/>
          <w:u w:val="none"/>
        </w:rPr>
        <w:t xml:space="preserve">Countryeconomy.com </w:t>
      </w:r>
      <w:r w:rsidRPr="003E5B64">
        <w:rPr>
          <w:sz w:val="24"/>
        </w:rPr>
        <w:t xml:space="preserve">[online]. 2020 [cit. 2020-01-21]. Dostupné z: </w:t>
      </w:r>
      <w:hyperlink r:id="rId22" w:history="1">
        <w:r w:rsidRPr="003E5B64">
          <w:rPr>
            <w:rStyle w:val="Hypertextovodkaz"/>
            <w:sz w:val="24"/>
            <w:u w:val="none"/>
          </w:rPr>
          <w:t>https://countryeconomy.com/national-minimum-wage/hungary</w:t>
        </w:r>
      </w:hyperlink>
      <w:r w:rsidR="001C71C4" w:rsidRPr="003E5B64">
        <w:rPr>
          <w:rStyle w:val="Hypertextovodkaz"/>
          <w:sz w:val="24"/>
          <w:u w:val="none"/>
        </w:rPr>
        <w:t>.</w:t>
      </w:r>
    </w:p>
    <w:p w14:paraId="54BA1D6B" w14:textId="030AEEDB" w:rsidR="0037149C" w:rsidRPr="003E5B64" w:rsidRDefault="00463B9A"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color w:val="000000" w:themeColor="text1"/>
          <w:sz w:val="24"/>
          <w:shd w:val="clear" w:color="auto" w:fill="FFFFFF"/>
        </w:rPr>
        <w:t xml:space="preserve">ČERVENKA, Jan. </w:t>
      </w:r>
      <w:r w:rsidR="0037149C" w:rsidRPr="003E5B64">
        <w:rPr>
          <w:color w:val="000000" w:themeColor="text1"/>
          <w:sz w:val="24"/>
          <w:shd w:val="clear" w:color="auto" w:fill="FFFFFF"/>
        </w:rPr>
        <w:t>SOCIO web</w:t>
      </w:r>
      <w:r w:rsidR="0037149C" w:rsidRPr="003E5B64">
        <w:rPr>
          <w:i/>
          <w:iCs/>
          <w:color w:val="000000" w:themeColor="text1"/>
          <w:sz w:val="24"/>
          <w:shd w:val="clear" w:color="auto" w:fill="FFFFFF"/>
        </w:rPr>
        <w:t xml:space="preserve">. Webový magazín pro všechny se zájmem o společnosti, ve které žijeme </w:t>
      </w:r>
      <w:r w:rsidR="0037149C" w:rsidRPr="003E5B64">
        <w:rPr>
          <w:color w:val="000000" w:themeColor="text1"/>
          <w:sz w:val="24"/>
          <w:shd w:val="clear" w:color="auto" w:fill="FFFFFF"/>
        </w:rPr>
        <w:t>[online]. Praha: Sociologický ústav AV ČR, 2003.  [cit. 2020-01-21]. Dostupné z:</w:t>
      </w:r>
      <w:r w:rsidR="001C71C4" w:rsidRPr="003E5B64">
        <w:rPr>
          <w:color w:val="000000" w:themeColor="text1"/>
          <w:sz w:val="24"/>
          <w:shd w:val="clear" w:color="auto" w:fill="FFFFFF"/>
        </w:rPr>
        <w:t xml:space="preserve"> </w:t>
      </w:r>
      <w:hyperlink r:id="rId23" w:history="1">
        <w:r w:rsidR="001C71C4" w:rsidRPr="003E5B64">
          <w:rPr>
            <w:rStyle w:val="Hypertextovodkaz"/>
            <w:sz w:val="24"/>
            <w:u w:val="none"/>
            <w:shd w:val="clear" w:color="auto" w:fill="FFFFFF"/>
          </w:rPr>
          <w:t>http://www.socioweb.cz/upl/editorial/download/103_SOCIOweb_2_2003.pdf</w:t>
        </w:r>
      </w:hyperlink>
      <w:r w:rsidR="001C71C4" w:rsidRPr="003E5B64">
        <w:rPr>
          <w:rStyle w:val="Hypertextovodkaz"/>
          <w:sz w:val="24"/>
          <w:u w:val="none"/>
          <w:shd w:val="clear" w:color="auto" w:fill="FFFFFF"/>
        </w:rPr>
        <w:t>.</w:t>
      </w:r>
    </w:p>
    <w:p w14:paraId="05D19E46" w14:textId="6B57C3C9" w:rsidR="00C03107" w:rsidRPr="003E5B64" w:rsidRDefault="00C03107" w:rsidP="00BD0091">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t xml:space="preserve">Český statistický úřad. </w:t>
      </w:r>
      <w:r w:rsidRPr="003E5B64">
        <w:rPr>
          <w:i/>
          <w:iCs/>
          <w:color w:val="000000" w:themeColor="text1"/>
          <w:sz w:val="24"/>
        </w:rPr>
        <w:t xml:space="preserve">Hrubý domácí produkt (HDP) - Metodika. </w:t>
      </w:r>
      <w:r w:rsidRPr="003E5B64">
        <w:rPr>
          <w:color w:val="000000" w:themeColor="text1"/>
          <w:sz w:val="24"/>
        </w:rPr>
        <w:t xml:space="preserve">Czso.cz. [online]. 2010 [cit. 2020-01-22]. Dostupné z:  </w:t>
      </w:r>
      <w:hyperlink r:id="rId24" w:history="1">
        <w:r w:rsidRPr="003E5B64">
          <w:rPr>
            <w:rStyle w:val="Hypertextovodkaz"/>
            <w:color w:val="000000" w:themeColor="text1"/>
            <w:sz w:val="24"/>
            <w:u w:val="none"/>
          </w:rPr>
          <w:t>https://czso.cz/csu/czso/hruby_domaci_produkt_-hdp-</w:t>
        </w:r>
      </w:hyperlink>
      <w:r w:rsidR="001C71C4" w:rsidRPr="003E5B64">
        <w:rPr>
          <w:rStyle w:val="Hypertextovodkaz"/>
          <w:color w:val="000000" w:themeColor="text1"/>
          <w:sz w:val="24"/>
          <w:u w:val="none"/>
        </w:rPr>
        <w:t>.</w:t>
      </w:r>
    </w:p>
    <w:p w14:paraId="6FD6FED9" w14:textId="77777777" w:rsidR="00C3469D" w:rsidRPr="003E5B64" w:rsidRDefault="00C3469D"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2012</w:t>
      </w:r>
      <w:r w:rsidRPr="003E5B64">
        <w:rPr>
          <w:sz w:val="24"/>
        </w:rPr>
        <w:t xml:space="preserve">. Czso.cz [online]. 2013 </w:t>
      </w:r>
      <w:r w:rsidRPr="003E5B64">
        <w:rPr>
          <w:sz w:val="24"/>
        </w:rPr>
        <w:br/>
        <w:t xml:space="preserve">[cit. 2020-06-15]. Dostupné z: </w:t>
      </w:r>
      <w:hyperlink r:id="rId25" w:history="1">
        <w:r w:rsidRPr="003E5B64">
          <w:rPr>
            <w:rStyle w:val="Hypertextovodkaz"/>
            <w:sz w:val="24"/>
            <w:u w:val="none"/>
          </w:rPr>
          <w:t>https://www.czso.cz/csu/czso/cri/prumerne-mzdy-4-ctvrtleti-2012-xjxhpyztbz</w:t>
        </w:r>
      </w:hyperlink>
      <w:r w:rsidRPr="003E5B64">
        <w:rPr>
          <w:sz w:val="24"/>
        </w:rPr>
        <w:t>.</w:t>
      </w:r>
    </w:p>
    <w:p w14:paraId="13806EF7" w14:textId="56DC6E76" w:rsidR="00C03107" w:rsidRPr="003E5B64" w:rsidRDefault="00C03107" w:rsidP="00BD0091">
      <w:pPr>
        <w:pStyle w:val="Bezmezer"/>
        <w:numPr>
          <w:ilvl w:val="0"/>
          <w:numId w:val="2"/>
        </w:numPr>
        <w:spacing w:before="120" w:after="240" w:line="360" w:lineRule="auto"/>
        <w:jc w:val="left"/>
        <w:rPr>
          <w:color w:val="000000" w:themeColor="text1"/>
          <w:sz w:val="24"/>
        </w:rPr>
      </w:pPr>
      <w:r w:rsidRPr="003E5B64">
        <w:rPr>
          <w:color w:val="000000" w:themeColor="text1"/>
          <w:sz w:val="24"/>
        </w:rPr>
        <w:t xml:space="preserve">Český statistický úřad. </w:t>
      </w:r>
      <w:r w:rsidR="00C3469D" w:rsidRPr="003E5B64">
        <w:rPr>
          <w:i/>
          <w:iCs/>
          <w:color w:val="000000" w:themeColor="text1"/>
          <w:sz w:val="24"/>
        </w:rPr>
        <w:t>Přehled o vývoji částek minimální mzdy</w:t>
      </w:r>
      <w:r w:rsidRPr="003E5B64">
        <w:rPr>
          <w:i/>
          <w:iCs/>
          <w:color w:val="000000" w:themeColor="text1"/>
          <w:sz w:val="24"/>
        </w:rPr>
        <w:t xml:space="preserve"> </w:t>
      </w:r>
      <w:r w:rsidRPr="003E5B64">
        <w:rPr>
          <w:color w:val="000000" w:themeColor="text1"/>
          <w:sz w:val="24"/>
        </w:rPr>
        <w:t>Czso.cz [online]. 20</w:t>
      </w:r>
      <w:r w:rsidR="00C3469D" w:rsidRPr="003E5B64">
        <w:rPr>
          <w:color w:val="000000" w:themeColor="text1"/>
          <w:sz w:val="24"/>
        </w:rPr>
        <w:t>20</w:t>
      </w:r>
      <w:r w:rsidRPr="003E5B64">
        <w:rPr>
          <w:color w:val="000000" w:themeColor="text1"/>
          <w:sz w:val="24"/>
        </w:rPr>
        <w:t xml:space="preserve"> [cit. 2020-0</w:t>
      </w:r>
      <w:r w:rsidR="00C3469D" w:rsidRPr="003E5B64">
        <w:rPr>
          <w:color w:val="000000" w:themeColor="text1"/>
          <w:sz w:val="24"/>
        </w:rPr>
        <w:t>6</w:t>
      </w:r>
      <w:r w:rsidRPr="003E5B64">
        <w:rPr>
          <w:color w:val="000000" w:themeColor="text1"/>
          <w:sz w:val="24"/>
        </w:rPr>
        <w:t>-</w:t>
      </w:r>
      <w:r w:rsidR="00C3469D" w:rsidRPr="003E5B64">
        <w:rPr>
          <w:color w:val="000000" w:themeColor="text1"/>
          <w:sz w:val="24"/>
        </w:rPr>
        <w:t>21</w:t>
      </w:r>
      <w:r w:rsidRPr="003E5B64">
        <w:rPr>
          <w:color w:val="000000" w:themeColor="text1"/>
          <w:sz w:val="24"/>
        </w:rPr>
        <w:t xml:space="preserve">]. Dostupné z: </w:t>
      </w:r>
      <w:r w:rsidR="00C3469D" w:rsidRPr="003E5B64">
        <w:rPr>
          <w:sz w:val="24"/>
        </w:rPr>
        <w:t>https://www.mpsv.cz/prehled-o-vyvoji-castek-minimalni-mzdy.</w:t>
      </w:r>
    </w:p>
    <w:p w14:paraId="4775311F" w14:textId="27CFAE1C" w:rsidR="00C93B2B" w:rsidRPr="003E5B64" w:rsidRDefault="00C03107"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Český statistický úřad, Šárka Šustová. </w:t>
      </w:r>
      <w:r w:rsidRPr="003E5B64">
        <w:rPr>
          <w:i/>
          <w:iCs/>
          <w:sz w:val="24"/>
        </w:rPr>
        <w:t xml:space="preserve">Měření chudoby a příjmová chudoba v České republice. </w:t>
      </w:r>
      <w:r w:rsidRPr="003E5B64">
        <w:rPr>
          <w:sz w:val="24"/>
        </w:rPr>
        <w:t xml:space="preserve">Czso.cz [online]. 2020 [cit. 2020-06-15]. Dostupné z: </w:t>
      </w:r>
      <w:hyperlink r:id="rId26" w:history="1">
        <w:r w:rsidRPr="003E5B64">
          <w:rPr>
            <w:rStyle w:val="Hypertextovodkaz"/>
            <w:sz w:val="24"/>
            <w:u w:val="none"/>
          </w:rPr>
          <w:t>https://www.czechdemography.cz/res/archive/002/000220.pdf?seek=1468955282</w:t>
        </w:r>
      </w:hyperlink>
      <w:r w:rsidR="001C71C4" w:rsidRPr="003E5B64">
        <w:rPr>
          <w:rStyle w:val="Hypertextovodkaz"/>
          <w:sz w:val="24"/>
          <w:u w:val="none"/>
        </w:rPr>
        <w:t>.</w:t>
      </w:r>
    </w:p>
    <w:p w14:paraId="3651C40E" w14:textId="26AC4720" w:rsidR="007961A9" w:rsidRPr="003E5B64" w:rsidRDefault="00C93B2B"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 xml:space="preserve">Průměrné mzdy – </w:t>
      </w:r>
      <w:r w:rsidR="00B70353" w:rsidRPr="003E5B64">
        <w:rPr>
          <w:i/>
          <w:iCs/>
          <w:sz w:val="24"/>
        </w:rPr>
        <w:t>4</w:t>
      </w:r>
      <w:r w:rsidRPr="003E5B64">
        <w:rPr>
          <w:i/>
          <w:iCs/>
          <w:sz w:val="24"/>
        </w:rPr>
        <w:t>. čtvrtletí 201</w:t>
      </w:r>
      <w:r w:rsidR="00B70353" w:rsidRPr="003E5B64">
        <w:rPr>
          <w:i/>
          <w:iCs/>
          <w:sz w:val="24"/>
        </w:rPr>
        <w:t>2</w:t>
      </w:r>
      <w:r w:rsidRPr="003E5B64">
        <w:rPr>
          <w:sz w:val="24"/>
        </w:rPr>
        <w:t xml:space="preserve">. Czso.cz [online]. </w:t>
      </w:r>
      <w:r w:rsidR="007961A9" w:rsidRPr="003E5B64">
        <w:rPr>
          <w:sz w:val="24"/>
        </w:rPr>
        <w:t>2013</w:t>
      </w:r>
      <w:r w:rsidRPr="003E5B64">
        <w:rPr>
          <w:sz w:val="24"/>
        </w:rPr>
        <w:t xml:space="preserve"> </w:t>
      </w:r>
      <w:r w:rsidR="007961A9" w:rsidRPr="003E5B64">
        <w:rPr>
          <w:sz w:val="24"/>
        </w:rPr>
        <w:br/>
      </w:r>
      <w:r w:rsidRPr="003E5B64">
        <w:rPr>
          <w:sz w:val="24"/>
        </w:rPr>
        <w:t>[cit.</w:t>
      </w:r>
      <w:r w:rsidR="00027BE6" w:rsidRPr="003E5B64">
        <w:rPr>
          <w:sz w:val="24"/>
        </w:rPr>
        <w:t xml:space="preserve"> </w:t>
      </w:r>
      <w:r w:rsidRPr="003E5B64">
        <w:rPr>
          <w:sz w:val="24"/>
        </w:rPr>
        <w:t xml:space="preserve">2020-06-15]. Dostupné z: </w:t>
      </w:r>
      <w:hyperlink r:id="rId27" w:history="1">
        <w:r w:rsidR="007961A9" w:rsidRPr="003E5B64">
          <w:rPr>
            <w:rStyle w:val="Hypertextovodkaz"/>
            <w:sz w:val="24"/>
            <w:u w:val="none"/>
          </w:rPr>
          <w:t>https://www.czso.cz/csu/czso/cri/prumerne-mzdy-4-ctvrtleti-2012-xjxhpyztbz</w:t>
        </w:r>
      </w:hyperlink>
      <w:r w:rsidR="007961A9" w:rsidRPr="003E5B64">
        <w:rPr>
          <w:sz w:val="24"/>
        </w:rPr>
        <w:t>.</w:t>
      </w:r>
    </w:p>
    <w:p w14:paraId="49F16913" w14:textId="6B293392"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2013</w:t>
      </w:r>
      <w:r w:rsidRPr="003E5B64">
        <w:rPr>
          <w:sz w:val="24"/>
        </w:rPr>
        <w:t xml:space="preserve">. Czso.cz [online]. 2014 </w:t>
      </w:r>
      <w:r w:rsidRPr="003E5B64">
        <w:rPr>
          <w:sz w:val="24"/>
        </w:rPr>
        <w:br/>
        <w:t xml:space="preserve">[cit. 2020-06-15]. Dostupné z: </w:t>
      </w:r>
      <w:hyperlink r:id="rId28" w:history="1">
        <w:r w:rsidRPr="003E5B64">
          <w:rPr>
            <w:rStyle w:val="Hypertextovodkaz"/>
            <w:sz w:val="24"/>
            <w:u w:val="none"/>
          </w:rPr>
          <w:t>https://www.czso.cz/csu/czso/cri/prumerne-mzdy-4-ctvrtleti-2013-2w1wzcxx2x</w:t>
        </w:r>
      </w:hyperlink>
      <w:r w:rsidRPr="003E5B64">
        <w:rPr>
          <w:rStyle w:val="Hypertextovodkaz"/>
          <w:sz w:val="24"/>
          <w:u w:val="none"/>
        </w:rPr>
        <w:t>.</w:t>
      </w:r>
    </w:p>
    <w:p w14:paraId="455563E3" w14:textId="5E2414EF"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2014</w:t>
      </w:r>
      <w:r w:rsidRPr="003E5B64">
        <w:rPr>
          <w:sz w:val="24"/>
        </w:rPr>
        <w:t xml:space="preserve">. Czso.cz [online]. 2015 </w:t>
      </w:r>
      <w:r w:rsidRPr="003E5B64">
        <w:rPr>
          <w:sz w:val="24"/>
        </w:rPr>
        <w:br/>
        <w:t xml:space="preserve">[cit. 2020-06-15]. Dostupné z: </w:t>
      </w:r>
      <w:hyperlink r:id="rId29" w:history="1">
        <w:r w:rsidRPr="003E5B64">
          <w:rPr>
            <w:rStyle w:val="Hypertextovodkaz"/>
            <w:sz w:val="24"/>
            <w:u w:val="none"/>
          </w:rPr>
          <w:t>https://www.czso.cz/csu/czso/cri/prumerne-mzdy-4-ctvrtleti-2014-truea9fbwn</w:t>
        </w:r>
      </w:hyperlink>
      <w:r w:rsidRPr="003E5B64">
        <w:rPr>
          <w:rStyle w:val="Hypertextovodkaz"/>
          <w:sz w:val="24"/>
          <w:u w:val="none"/>
        </w:rPr>
        <w:t>.</w:t>
      </w:r>
    </w:p>
    <w:p w14:paraId="1439E69E" w14:textId="11203633"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lastRenderedPageBreak/>
        <w:t xml:space="preserve">Český statistický úřad. </w:t>
      </w:r>
      <w:r w:rsidRPr="003E5B64">
        <w:rPr>
          <w:i/>
          <w:iCs/>
          <w:sz w:val="24"/>
        </w:rPr>
        <w:t>Průměrné mzdy – 4. čtvrtletí 2015</w:t>
      </w:r>
      <w:r w:rsidRPr="003E5B64">
        <w:rPr>
          <w:sz w:val="24"/>
        </w:rPr>
        <w:t xml:space="preserve">. Czso.cz [online]. 2016 </w:t>
      </w:r>
      <w:r w:rsidRPr="003E5B64">
        <w:rPr>
          <w:sz w:val="24"/>
        </w:rPr>
        <w:br/>
        <w:t xml:space="preserve">[cit. 2020-06-15]. Dostupné z: </w:t>
      </w:r>
      <w:hyperlink r:id="rId30" w:history="1">
        <w:r w:rsidRPr="003E5B64">
          <w:rPr>
            <w:rStyle w:val="Hypertextovodkaz"/>
            <w:sz w:val="24"/>
            <w:u w:val="none"/>
          </w:rPr>
          <w:t>https://www.czso.cz/csu/czso/cri/prumerne-mzdy-4-ctvrtleti-2015</w:t>
        </w:r>
      </w:hyperlink>
      <w:r w:rsidRPr="003E5B64">
        <w:rPr>
          <w:rStyle w:val="Hypertextovodkaz"/>
          <w:sz w:val="24"/>
          <w:u w:val="none"/>
        </w:rPr>
        <w:t>.</w:t>
      </w:r>
    </w:p>
    <w:p w14:paraId="743A0DAF" w14:textId="1327A3DC"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2016</w:t>
      </w:r>
      <w:r w:rsidRPr="003E5B64">
        <w:rPr>
          <w:sz w:val="24"/>
        </w:rPr>
        <w:t xml:space="preserve">. Czso.cz [online]. 2017 </w:t>
      </w:r>
      <w:r w:rsidRPr="003E5B64">
        <w:rPr>
          <w:sz w:val="24"/>
        </w:rPr>
        <w:br/>
        <w:t xml:space="preserve">[cit. 2020-06-15]. Dostupné z: </w:t>
      </w:r>
      <w:hyperlink r:id="rId31" w:history="1">
        <w:r w:rsidRPr="003E5B64">
          <w:rPr>
            <w:rStyle w:val="Hypertextovodkaz"/>
            <w:sz w:val="24"/>
            <w:u w:val="none"/>
          </w:rPr>
          <w:t>https://www.czso.cz/csu/czso/cri/prumerne-mzdy-4-ctvrtleti-2017</w:t>
        </w:r>
      </w:hyperlink>
      <w:r w:rsidRPr="003E5B64">
        <w:rPr>
          <w:rStyle w:val="Hypertextovodkaz"/>
          <w:sz w:val="24"/>
          <w:u w:val="none"/>
        </w:rPr>
        <w:t>.</w:t>
      </w:r>
    </w:p>
    <w:p w14:paraId="51C737C6" w14:textId="7A49AE40"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2017</w:t>
      </w:r>
      <w:r w:rsidRPr="003E5B64">
        <w:rPr>
          <w:sz w:val="24"/>
        </w:rPr>
        <w:t xml:space="preserve">. Czso.cz [online]. 2018 </w:t>
      </w:r>
      <w:r w:rsidRPr="003E5B64">
        <w:rPr>
          <w:sz w:val="24"/>
        </w:rPr>
        <w:br/>
        <w:t xml:space="preserve">[cit. 2020-06-15]. Dostupné z: </w:t>
      </w:r>
      <w:hyperlink r:id="rId32" w:history="1">
        <w:r w:rsidRPr="003E5B64">
          <w:rPr>
            <w:rStyle w:val="Hypertextovodkaz"/>
            <w:sz w:val="24"/>
            <w:u w:val="none"/>
          </w:rPr>
          <w:t>https://www.czso.cz/csu/czso/cri/prumerne-mzdy-4-ctvrtleti-2018</w:t>
        </w:r>
      </w:hyperlink>
      <w:r w:rsidRPr="003E5B64">
        <w:rPr>
          <w:sz w:val="24"/>
        </w:rPr>
        <w:t>.</w:t>
      </w:r>
    </w:p>
    <w:p w14:paraId="013EF780" w14:textId="0AAA1C7C"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2018</w:t>
      </w:r>
      <w:r w:rsidRPr="003E5B64">
        <w:rPr>
          <w:sz w:val="24"/>
        </w:rPr>
        <w:t xml:space="preserve">. Czso.cz [online]. 2019 </w:t>
      </w:r>
      <w:r w:rsidRPr="003E5B64">
        <w:rPr>
          <w:sz w:val="24"/>
        </w:rPr>
        <w:br/>
        <w:t xml:space="preserve">[cit. 2020-06-15]. Dostupné z: </w:t>
      </w:r>
      <w:hyperlink r:id="rId33" w:history="1">
        <w:r w:rsidRPr="003E5B64">
          <w:rPr>
            <w:rStyle w:val="Hypertextovodkaz"/>
            <w:sz w:val="24"/>
            <w:u w:val="none"/>
          </w:rPr>
          <w:t>https://www.czso.cz/csu/czso/cri/prumerne-mzdy-4-ctvrtleti-2018</w:t>
        </w:r>
      </w:hyperlink>
      <w:r w:rsidRPr="003E5B64">
        <w:rPr>
          <w:sz w:val="24"/>
        </w:rPr>
        <w:t>.</w:t>
      </w:r>
    </w:p>
    <w:p w14:paraId="73C2FF0D" w14:textId="069E16C4" w:rsidR="007961A9" w:rsidRPr="003E5B64" w:rsidRDefault="007961A9" w:rsidP="00BD0091">
      <w:pPr>
        <w:pStyle w:val="Bezmezer"/>
        <w:numPr>
          <w:ilvl w:val="0"/>
          <w:numId w:val="2"/>
        </w:numPr>
        <w:spacing w:before="120" w:after="240" w:line="360" w:lineRule="auto"/>
        <w:ind w:left="641" w:hanging="357"/>
        <w:jc w:val="left"/>
        <w:rPr>
          <w:sz w:val="24"/>
        </w:rPr>
      </w:pPr>
      <w:r w:rsidRPr="003E5B64">
        <w:rPr>
          <w:sz w:val="24"/>
        </w:rPr>
        <w:t xml:space="preserve">Český statistický úřad. </w:t>
      </w:r>
      <w:r w:rsidRPr="003E5B64">
        <w:rPr>
          <w:i/>
          <w:iCs/>
          <w:sz w:val="24"/>
        </w:rPr>
        <w:t>Průměrné mzdy – 4. čtvrtletí 2019</w:t>
      </w:r>
      <w:r w:rsidRPr="003E5B64">
        <w:rPr>
          <w:sz w:val="24"/>
        </w:rPr>
        <w:t xml:space="preserve">. Czso.cz [online]. 2020 </w:t>
      </w:r>
      <w:r w:rsidRPr="003E5B64">
        <w:rPr>
          <w:sz w:val="24"/>
        </w:rPr>
        <w:br/>
        <w:t>[cit. 2020-06-15]. Dostupné z: https://www.czso.cz/csu/czso/cri/prumerne-mzdy-4-ctvrtleti-2019.</w:t>
      </w:r>
    </w:p>
    <w:p w14:paraId="69AA266B" w14:textId="6557338C" w:rsidR="00C03107" w:rsidRPr="003E5B64" w:rsidRDefault="00C03107" w:rsidP="00BD0091">
      <w:pPr>
        <w:pStyle w:val="Bezmezer"/>
        <w:numPr>
          <w:ilvl w:val="0"/>
          <w:numId w:val="2"/>
        </w:numPr>
        <w:spacing w:before="120" w:after="240" w:line="360" w:lineRule="auto"/>
        <w:ind w:left="641" w:hanging="357"/>
        <w:jc w:val="left"/>
        <w:rPr>
          <w:rStyle w:val="Hypertextovodkaz"/>
          <w:color w:val="auto"/>
          <w:sz w:val="24"/>
          <w:u w:val="none"/>
        </w:rPr>
      </w:pPr>
      <w:r w:rsidRPr="003E5B64">
        <w:rPr>
          <w:color w:val="000000" w:themeColor="text1"/>
          <w:sz w:val="24"/>
        </w:rPr>
        <w:t xml:space="preserve">Digital </w:t>
      </w:r>
      <w:proofErr w:type="spellStart"/>
      <w:r w:rsidRPr="003E5B64">
        <w:rPr>
          <w:color w:val="000000" w:themeColor="text1"/>
          <w:sz w:val="24"/>
        </w:rPr>
        <w:t>economist</w:t>
      </w:r>
      <w:proofErr w:type="spellEnd"/>
      <w:r w:rsidRPr="003E5B64">
        <w:rPr>
          <w:color w:val="000000" w:themeColor="text1"/>
          <w:sz w:val="24"/>
        </w:rPr>
        <w:t xml:space="preserve">. </w:t>
      </w:r>
      <w:proofErr w:type="spellStart"/>
      <w:r w:rsidRPr="003E5B64">
        <w:rPr>
          <w:i/>
          <w:iCs/>
          <w:color w:val="000000" w:themeColor="text1"/>
          <w:sz w:val="24"/>
        </w:rPr>
        <w:t>The</w:t>
      </w:r>
      <w:proofErr w:type="spellEnd"/>
      <w:r w:rsidRPr="003E5B64">
        <w:rPr>
          <w:i/>
          <w:iCs/>
          <w:color w:val="000000" w:themeColor="text1"/>
          <w:sz w:val="24"/>
        </w:rPr>
        <w:t xml:space="preserve"> Role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Relative</w:t>
      </w:r>
      <w:proofErr w:type="spellEnd"/>
      <w:r w:rsidRPr="003E5B64">
        <w:rPr>
          <w:i/>
          <w:iCs/>
          <w:color w:val="000000" w:themeColor="text1"/>
          <w:sz w:val="24"/>
        </w:rPr>
        <w:t xml:space="preserve"> </w:t>
      </w:r>
      <w:proofErr w:type="spellStart"/>
      <w:r w:rsidRPr="003E5B64">
        <w:rPr>
          <w:i/>
          <w:iCs/>
          <w:color w:val="000000" w:themeColor="text1"/>
          <w:sz w:val="24"/>
        </w:rPr>
        <w:t>Price</w:t>
      </w:r>
      <w:proofErr w:type="spellEnd"/>
      <w:r w:rsidRPr="003E5B64">
        <w:rPr>
          <w:i/>
          <w:iCs/>
          <w:color w:val="000000" w:themeColor="text1"/>
          <w:sz w:val="24"/>
        </w:rPr>
        <w:t xml:space="preserve"> in Market-</w:t>
      </w:r>
      <w:proofErr w:type="spellStart"/>
      <w:r w:rsidRPr="003E5B64">
        <w:rPr>
          <w:i/>
          <w:iCs/>
          <w:color w:val="000000" w:themeColor="text1"/>
          <w:sz w:val="24"/>
        </w:rPr>
        <w:t>based</w:t>
      </w:r>
      <w:proofErr w:type="spellEnd"/>
      <w:r w:rsidRPr="003E5B64">
        <w:rPr>
          <w:i/>
          <w:iCs/>
          <w:color w:val="000000" w:themeColor="text1"/>
          <w:sz w:val="24"/>
        </w:rPr>
        <w:t xml:space="preserve"> </w:t>
      </w:r>
      <w:proofErr w:type="spellStart"/>
      <w:r w:rsidRPr="003E5B64">
        <w:rPr>
          <w:i/>
          <w:iCs/>
          <w:color w:val="000000" w:themeColor="text1"/>
          <w:sz w:val="24"/>
        </w:rPr>
        <w:t>Economies</w:t>
      </w:r>
      <w:proofErr w:type="spellEnd"/>
      <w:r w:rsidRPr="003E5B64">
        <w:rPr>
          <w:i/>
          <w:iCs/>
          <w:color w:val="000000" w:themeColor="text1"/>
          <w:sz w:val="24"/>
        </w:rPr>
        <w:t xml:space="preserve">. </w:t>
      </w:r>
      <w:r w:rsidRPr="003E5B64">
        <w:rPr>
          <w:color w:val="000000" w:themeColor="text1"/>
          <w:sz w:val="24"/>
        </w:rPr>
        <w:t xml:space="preserve">Digitaleconomist.org. [online]. 1999-2003 [cit. 2020-01-22]. Dostupné z:  </w:t>
      </w:r>
      <w:hyperlink r:id="rId34" w:history="1">
        <w:r w:rsidRPr="003E5B64">
          <w:rPr>
            <w:rStyle w:val="Hypertextovodkaz"/>
            <w:color w:val="000000" w:themeColor="text1"/>
            <w:sz w:val="24"/>
            <w:u w:val="none"/>
          </w:rPr>
          <w:t>http://digitaleconomist.org/rp_4010.html</w:t>
        </w:r>
      </w:hyperlink>
      <w:r w:rsidR="001C71C4" w:rsidRPr="003E5B64">
        <w:rPr>
          <w:rStyle w:val="Hypertextovodkaz"/>
          <w:color w:val="000000" w:themeColor="text1"/>
          <w:sz w:val="24"/>
          <w:u w:val="none"/>
        </w:rPr>
        <w:t>.</w:t>
      </w:r>
    </w:p>
    <w:p w14:paraId="7E0D7FC8" w14:textId="179412A0" w:rsidR="00013C78" w:rsidRPr="003E5B64" w:rsidRDefault="00013C78" w:rsidP="00013C78">
      <w:pPr>
        <w:pStyle w:val="Bezmezer"/>
        <w:numPr>
          <w:ilvl w:val="0"/>
          <w:numId w:val="2"/>
        </w:numPr>
        <w:spacing w:before="120" w:after="240" w:line="360" w:lineRule="auto"/>
        <w:rPr>
          <w:color w:val="000000" w:themeColor="text1"/>
          <w:sz w:val="24"/>
        </w:rPr>
      </w:pPr>
      <w:r w:rsidRPr="003E5B64">
        <w:rPr>
          <w:sz w:val="24"/>
        </w:rPr>
        <w:t>DURDI</w:t>
      </w:r>
      <w:r w:rsidRPr="003E5B64">
        <w:rPr>
          <w:color w:val="000000" w:themeColor="text1"/>
          <w:sz w:val="24"/>
        </w:rPr>
        <w:t xml:space="preserve">SOVÁ, Jaroslava a kol. </w:t>
      </w:r>
      <w:r w:rsidRPr="003E5B64">
        <w:rPr>
          <w:i/>
          <w:iCs/>
          <w:color w:val="000000" w:themeColor="text1"/>
          <w:sz w:val="24"/>
        </w:rPr>
        <w:t xml:space="preserve">Sociální politika v ekonomické praxi (vybrané problémy). </w:t>
      </w:r>
      <w:r w:rsidRPr="003E5B64">
        <w:rPr>
          <w:color w:val="000000" w:themeColor="text1"/>
          <w:sz w:val="24"/>
        </w:rPr>
        <w:t xml:space="preserve">Praha: </w:t>
      </w:r>
      <w:proofErr w:type="spellStart"/>
      <w:r w:rsidRPr="003E5B64">
        <w:rPr>
          <w:color w:val="000000" w:themeColor="text1"/>
          <w:sz w:val="24"/>
        </w:rPr>
        <w:t>Oeconomica</w:t>
      </w:r>
      <w:proofErr w:type="spellEnd"/>
      <w:r w:rsidRPr="003E5B64">
        <w:rPr>
          <w:color w:val="000000" w:themeColor="text1"/>
          <w:sz w:val="24"/>
        </w:rPr>
        <w:t>, 2005. 246 s. ISBN:80-245-0850-8.</w:t>
      </w:r>
    </w:p>
    <w:p w14:paraId="0642E7E2" w14:textId="5D6177B8" w:rsidR="00A00660" w:rsidRPr="003E5B64" w:rsidRDefault="00A00660" w:rsidP="00BD0091">
      <w:pPr>
        <w:pStyle w:val="Bezmezer"/>
        <w:numPr>
          <w:ilvl w:val="0"/>
          <w:numId w:val="2"/>
        </w:numPr>
        <w:spacing w:before="120" w:after="240" w:line="360" w:lineRule="auto"/>
        <w:ind w:left="641" w:hanging="357"/>
        <w:jc w:val="left"/>
        <w:rPr>
          <w:color w:val="000000" w:themeColor="text1"/>
          <w:sz w:val="24"/>
        </w:rPr>
      </w:pPr>
      <w:r w:rsidRPr="003E5B64">
        <w:rPr>
          <w:color w:val="000000" w:themeColor="text1"/>
          <w:sz w:val="24"/>
        </w:rPr>
        <w:t xml:space="preserve">EKONOMIKON. </w:t>
      </w:r>
      <w:r w:rsidRPr="003E5B64">
        <w:rPr>
          <w:i/>
          <w:iCs/>
          <w:color w:val="000000" w:themeColor="text1"/>
          <w:sz w:val="24"/>
        </w:rPr>
        <w:t xml:space="preserve">Úvod do </w:t>
      </w:r>
      <w:proofErr w:type="gramStart"/>
      <w:r w:rsidRPr="003E5B64">
        <w:rPr>
          <w:i/>
          <w:iCs/>
          <w:color w:val="000000" w:themeColor="text1"/>
          <w:sz w:val="24"/>
        </w:rPr>
        <w:t>ekonomiky</w:t>
      </w:r>
      <w:r w:rsidR="00027BE6" w:rsidRPr="003E5B64">
        <w:rPr>
          <w:i/>
          <w:iCs/>
          <w:color w:val="000000" w:themeColor="text1"/>
          <w:sz w:val="24"/>
        </w:rPr>
        <w:t xml:space="preserve"> - </w:t>
      </w:r>
      <w:r w:rsidRPr="003E5B64">
        <w:rPr>
          <w:i/>
          <w:iCs/>
          <w:color w:val="000000" w:themeColor="text1"/>
          <w:sz w:val="24"/>
        </w:rPr>
        <w:t>základní</w:t>
      </w:r>
      <w:proofErr w:type="gramEnd"/>
      <w:r w:rsidRPr="003E5B64">
        <w:rPr>
          <w:i/>
          <w:iCs/>
          <w:color w:val="000000" w:themeColor="text1"/>
          <w:sz w:val="24"/>
        </w:rPr>
        <w:t xml:space="preserve"> pojmy. </w:t>
      </w:r>
      <w:r w:rsidRPr="003E5B64">
        <w:rPr>
          <w:color w:val="000000" w:themeColor="text1"/>
          <w:sz w:val="24"/>
        </w:rPr>
        <w:t xml:space="preserve">Ekonomikon.cz. [online]. 2020 [cit. 2020-05-22]. Dostupné z: </w:t>
      </w:r>
      <w:hyperlink r:id="rId35" w:history="1">
        <w:r w:rsidRPr="003E5B64">
          <w:rPr>
            <w:rStyle w:val="Hypertextovodkaz"/>
            <w:color w:val="000000" w:themeColor="text1"/>
            <w:sz w:val="24"/>
            <w:u w:val="none"/>
          </w:rPr>
          <w:t>https://www.ekonomikon.cz/ekonomika/uvod/</w:t>
        </w:r>
      </w:hyperlink>
      <w:r w:rsidR="001C71C4" w:rsidRPr="003E5B64">
        <w:rPr>
          <w:rStyle w:val="Hypertextovodkaz"/>
          <w:color w:val="000000" w:themeColor="text1"/>
          <w:sz w:val="24"/>
          <w:u w:val="none"/>
        </w:rPr>
        <w:t>.</w:t>
      </w:r>
    </w:p>
    <w:p w14:paraId="3376C56E" w14:textId="3F50F0CE" w:rsidR="00A00660" w:rsidRPr="003E5B64" w:rsidRDefault="00A00660" w:rsidP="00BD0091">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Encyclopaedia</w:t>
      </w:r>
      <w:proofErr w:type="spellEnd"/>
      <w:r w:rsidRPr="003E5B64">
        <w:rPr>
          <w:color w:val="000000" w:themeColor="text1"/>
          <w:sz w:val="24"/>
        </w:rPr>
        <w:t xml:space="preserve"> </w:t>
      </w:r>
      <w:proofErr w:type="spellStart"/>
      <w:r w:rsidRPr="003E5B64">
        <w:rPr>
          <w:color w:val="000000" w:themeColor="text1"/>
          <w:sz w:val="24"/>
        </w:rPr>
        <w:t>Britannica</w:t>
      </w:r>
      <w:proofErr w:type="spellEnd"/>
      <w:r w:rsidRPr="003E5B64">
        <w:rPr>
          <w:color w:val="000000" w:themeColor="text1"/>
          <w:sz w:val="24"/>
        </w:rPr>
        <w:t xml:space="preserve">. </w:t>
      </w:r>
      <w:r w:rsidRPr="003E5B64">
        <w:rPr>
          <w:i/>
          <w:iCs/>
          <w:color w:val="000000" w:themeColor="text1"/>
          <w:sz w:val="24"/>
        </w:rPr>
        <w:t xml:space="preserve">Standard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Living</w:t>
      </w:r>
      <w:proofErr w:type="spellEnd"/>
      <w:r w:rsidRPr="003E5B64">
        <w:rPr>
          <w:i/>
          <w:iCs/>
          <w:color w:val="000000" w:themeColor="text1"/>
          <w:sz w:val="24"/>
        </w:rPr>
        <w:t xml:space="preserve">. </w:t>
      </w:r>
      <w:r w:rsidRPr="003E5B64">
        <w:rPr>
          <w:color w:val="000000" w:themeColor="text1"/>
          <w:sz w:val="24"/>
        </w:rPr>
        <w:t xml:space="preserve">Britannica.com. [online]. 2020 </w:t>
      </w:r>
      <w:r w:rsidR="00D22FA9" w:rsidRPr="003E5B64">
        <w:rPr>
          <w:color w:val="000000" w:themeColor="text1"/>
          <w:sz w:val="24"/>
        </w:rPr>
        <w:br/>
      </w:r>
      <w:r w:rsidRPr="003E5B64">
        <w:rPr>
          <w:color w:val="000000" w:themeColor="text1"/>
          <w:sz w:val="24"/>
        </w:rPr>
        <w:t xml:space="preserve">[cit. 2020-01-21]. Dostupné z: </w:t>
      </w:r>
      <w:hyperlink r:id="rId36" w:history="1">
        <w:r w:rsidRPr="003E5B64">
          <w:rPr>
            <w:rStyle w:val="Hypertextovodkaz"/>
            <w:color w:val="000000" w:themeColor="text1"/>
            <w:sz w:val="24"/>
            <w:u w:val="none"/>
          </w:rPr>
          <w:t>https://britannica.com/topic/standard-of-living</w:t>
        </w:r>
      </w:hyperlink>
      <w:r w:rsidR="00D22FA9" w:rsidRPr="003E5B64">
        <w:rPr>
          <w:rStyle w:val="Hypertextovodkaz"/>
          <w:color w:val="000000" w:themeColor="text1"/>
          <w:sz w:val="24"/>
          <w:u w:val="none"/>
        </w:rPr>
        <w:t>.</w:t>
      </w:r>
    </w:p>
    <w:p w14:paraId="1F32D904" w14:textId="484B98E6" w:rsidR="009C1C21" w:rsidRPr="003E5B64" w:rsidRDefault="009C1C21" w:rsidP="00BD0091">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rStyle w:val="Hypertextovodkaz"/>
          <w:color w:val="000000" w:themeColor="text1"/>
          <w:sz w:val="24"/>
          <w:u w:val="none"/>
        </w:rPr>
        <w:t>Eurofound</w:t>
      </w:r>
      <w:proofErr w:type="spellEnd"/>
      <w:r w:rsidRPr="003E5B64">
        <w:rPr>
          <w:rStyle w:val="Hypertextovodkaz"/>
          <w:color w:val="000000" w:themeColor="text1"/>
          <w:sz w:val="24"/>
          <w:u w:val="none"/>
        </w:rPr>
        <w:t xml:space="preserve">. </w:t>
      </w:r>
      <w:proofErr w:type="spellStart"/>
      <w:r w:rsidRPr="003E5B64">
        <w:rPr>
          <w:rStyle w:val="Hypertextovodkaz"/>
          <w:i/>
          <w:iCs/>
          <w:color w:val="000000" w:themeColor="text1"/>
          <w:sz w:val="24"/>
          <w:u w:val="none"/>
        </w:rPr>
        <w:t>Hungary</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Working</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poor</w:t>
      </w:r>
      <w:proofErr w:type="spellEnd"/>
      <w:r w:rsidRPr="003E5B64">
        <w:rPr>
          <w:rStyle w:val="Hypertextovodkaz"/>
          <w:i/>
          <w:iCs/>
          <w:color w:val="000000" w:themeColor="text1"/>
          <w:sz w:val="24"/>
          <w:u w:val="none"/>
        </w:rPr>
        <w:t xml:space="preserve">, minimum </w:t>
      </w:r>
      <w:proofErr w:type="spellStart"/>
      <w:r w:rsidRPr="003E5B64">
        <w:rPr>
          <w:rStyle w:val="Hypertextovodkaz"/>
          <w:i/>
          <w:iCs/>
          <w:color w:val="000000" w:themeColor="text1"/>
          <w:sz w:val="24"/>
          <w:u w:val="none"/>
        </w:rPr>
        <w:t>wage</w:t>
      </w:r>
      <w:proofErr w:type="spellEnd"/>
      <w:r w:rsidRPr="003E5B64">
        <w:rPr>
          <w:rStyle w:val="Hypertextovodkaz"/>
          <w:i/>
          <w:iCs/>
          <w:color w:val="000000" w:themeColor="text1"/>
          <w:sz w:val="24"/>
          <w:u w:val="none"/>
        </w:rPr>
        <w:t xml:space="preserve"> and minimum </w:t>
      </w:r>
      <w:proofErr w:type="spellStart"/>
      <w:r w:rsidRPr="003E5B64">
        <w:rPr>
          <w:rStyle w:val="Hypertextovodkaz"/>
          <w:i/>
          <w:iCs/>
          <w:color w:val="000000" w:themeColor="text1"/>
          <w:sz w:val="24"/>
          <w:u w:val="none"/>
        </w:rPr>
        <w:t>income</w:t>
      </w:r>
      <w:proofErr w:type="spellEnd"/>
      <w:r w:rsidRPr="003E5B64">
        <w:rPr>
          <w:rStyle w:val="Hypertextovodkaz"/>
          <w:i/>
          <w:iCs/>
          <w:color w:val="000000" w:themeColor="text1"/>
          <w:sz w:val="24"/>
          <w:u w:val="none"/>
        </w:rPr>
        <w:t xml:space="preserve">. </w:t>
      </w:r>
      <w:r w:rsidRPr="003E5B64">
        <w:rPr>
          <w:rStyle w:val="Hypertextovodkaz"/>
          <w:color w:val="000000" w:themeColor="text1"/>
          <w:sz w:val="24"/>
          <w:u w:val="none"/>
        </w:rPr>
        <w:t xml:space="preserve">Eurofound.europa.eu </w:t>
      </w:r>
      <w:r w:rsidRPr="003E5B64">
        <w:rPr>
          <w:color w:val="000000" w:themeColor="text1"/>
          <w:sz w:val="24"/>
        </w:rPr>
        <w:t>[online]. 2015 [cit. 2020-06-07]. Dostupné z: https://www.eurofound.europa.eu/publications/article/2015/hungary-working-poor-minimum-wage-and-minimum-income.</w:t>
      </w:r>
    </w:p>
    <w:p w14:paraId="2591E420" w14:textId="2880075B" w:rsidR="00A00660" w:rsidRPr="003E5B64" w:rsidRDefault="00A00660" w:rsidP="00BD0091">
      <w:pPr>
        <w:pStyle w:val="Bezmezer"/>
        <w:numPr>
          <w:ilvl w:val="0"/>
          <w:numId w:val="2"/>
        </w:numPr>
        <w:spacing w:before="120" w:after="240" w:line="360" w:lineRule="auto"/>
        <w:ind w:left="641" w:hanging="357"/>
        <w:jc w:val="left"/>
        <w:rPr>
          <w:sz w:val="24"/>
        </w:rPr>
      </w:pPr>
      <w:proofErr w:type="spellStart"/>
      <w:r w:rsidRPr="003E5B64">
        <w:rPr>
          <w:sz w:val="24"/>
        </w:rPr>
        <w:lastRenderedPageBreak/>
        <w:t>Eurostat</w:t>
      </w:r>
      <w:proofErr w:type="spellEnd"/>
      <w:r w:rsidRPr="003E5B64">
        <w:rPr>
          <w:sz w:val="24"/>
        </w:rPr>
        <w:t xml:space="preserve">. </w:t>
      </w:r>
      <w:r w:rsidRPr="003E5B64">
        <w:rPr>
          <w:i/>
          <w:iCs/>
          <w:sz w:val="24"/>
        </w:rPr>
        <w:t xml:space="preserve">GDP per capita in PPS. </w:t>
      </w:r>
      <w:r w:rsidRPr="003E5B64">
        <w:rPr>
          <w:sz w:val="24"/>
        </w:rPr>
        <w:t>Ec.europa.eu. [online]. 2020 [cit. 2020-06-20]. Dostupné z: https://ec.europa.eu/eurostat/web/products-datasets/-/tec00114</w:t>
      </w:r>
      <w:r w:rsidR="00D22FA9" w:rsidRPr="003E5B64">
        <w:rPr>
          <w:sz w:val="24"/>
        </w:rPr>
        <w:t>.</w:t>
      </w:r>
    </w:p>
    <w:p w14:paraId="2ED5EE5B" w14:textId="52A6E953" w:rsidR="00A00660" w:rsidRPr="003E5B64" w:rsidRDefault="00A00660" w:rsidP="00BD0091">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t xml:space="preserve">Forbes. </w:t>
      </w:r>
      <w:proofErr w:type="spellStart"/>
      <w:r w:rsidRPr="003E5B64">
        <w:rPr>
          <w:i/>
          <w:iCs/>
          <w:color w:val="000000" w:themeColor="text1"/>
          <w:sz w:val="24"/>
        </w:rPr>
        <w:t>Quality</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Life</w:t>
      </w:r>
      <w:proofErr w:type="spellEnd"/>
      <w:r w:rsidRPr="003E5B64">
        <w:rPr>
          <w:i/>
          <w:iCs/>
          <w:color w:val="000000" w:themeColor="text1"/>
          <w:sz w:val="24"/>
        </w:rPr>
        <w:t xml:space="preserve">: </w:t>
      </w:r>
      <w:proofErr w:type="spellStart"/>
      <w:r w:rsidRPr="003E5B64">
        <w:rPr>
          <w:i/>
          <w:iCs/>
          <w:color w:val="000000" w:themeColor="text1"/>
          <w:sz w:val="24"/>
        </w:rPr>
        <w:t>Everyone</w:t>
      </w:r>
      <w:proofErr w:type="spellEnd"/>
      <w:r w:rsidRPr="003E5B64">
        <w:rPr>
          <w:i/>
          <w:iCs/>
          <w:color w:val="000000" w:themeColor="text1"/>
          <w:sz w:val="24"/>
        </w:rPr>
        <w:t xml:space="preserve"> </w:t>
      </w:r>
      <w:proofErr w:type="spellStart"/>
      <w:r w:rsidRPr="003E5B64">
        <w:rPr>
          <w:i/>
          <w:iCs/>
          <w:color w:val="000000" w:themeColor="text1"/>
          <w:sz w:val="24"/>
        </w:rPr>
        <w:t>Wants</w:t>
      </w:r>
      <w:proofErr w:type="spellEnd"/>
      <w:r w:rsidRPr="003E5B64">
        <w:rPr>
          <w:i/>
          <w:iCs/>
          <w:color w:val="000000" w:themeColor="text1"/>
          <w:sz w:val="24"/>
        </w:rPr>
        <w:t xml:space="preserve"> It, But </w:t>
      </w:r>
      <w:proofErr w:type="spellStart"/>
      <w:r w:rsidRPr="003E5B64">
        <w:rPr>
          <w:i/>
          <w:iCs/>
          <w:color w:val="000000" w:themeColor="text1"/>
          <w:sz w:val="24"/>
        </w:rPr>
        <w:t>What</w:t>
      </w:r>
      <w:proofErr w:type="spellEnd"/>
      <w:r w:rsidRPr="003E5B64">
        <w:rPr>
          <w:i/>
          <w:iCs/>
          <w:color w:val="000000" w:themeColor="text1"/>
          <w:sz w:val="24"/>
        </w:rPr>
        <w:t xml:space="preserve"> </w:t>
      </w:r>
      <w:proofErr w:type="spellStart"/>
      <w:r w:rsidRPr="003E5B64">
        <w:rPr>
          <w:i/>
          <w:iCs/>
          <w:color w:val="000000" w:themeColor="text1"/>
          <w:sz w:val="24"/>
        </w:rPr>
        <w:t>Is</w:t>
      </w:r>
      <w:proofErr w:type="spellEnd"/>
      <w:r w:rsidRPr="003E5B64">
        <w:rPr>
          <w:i/>
          <w:iCs/>
          <w:color w:val="000000" w:themeColor="text1"/>
          <w:sz w:val="24"/>
        </w:rPr>
        <w:t xml:space="preserve"> </w:t>
      </w:r>
      <w:proofErr w:type="gramStart"/>
      <w:r w:rsidRPr="003E5B64">
        <w:rPr>
          <w:i/>
          <w:iCs/>
          <w:color w:val="000000" w:themeColor="text1"/>
          <w:sz w:val="24"/>
        </w:rPr>
        <w:t>It?.</w:t>
      </w:r>
      <w:proofErr w:type="gramEnd"/>
      <w:r w:rsidRPr="003E5B64">
        <w:rPr>
          <w:i/>
          <w:iCs/>
          <w:color w:val="000000" w:themeColor="text1"/>
          <w:sz w:val="24"/>
        </w:rPr>
        <w:t xml:space="preserve"> </w:t>
      </w:r>
      <w:r w:rsidRPr="003E5B64">
        <w:rPr>
          <w:color w:val="000000" w:themeColor="text1"/>
          <w:sz w:val="24"/>
        </w:rPr>
        <w:t xml:space="preserve">Forbes.com. [online]. 2013 [cit. 2020-01-22]. Dostupné z:  </w:t>
      </w:r>
      <w:hyperlink r:id="rId37" w:anchor="6e3a4f91635d" w:history="1">
        <w:r w:rsidRPr="003E5B64">
          <w:rPr>
            <w:rStyle w:val="Hypertextovodkaz"/>
            <w:color w:val="000000" w:themeColor="text1"/>
            <w:sz w:val="24"/>
            <w:u w:val="none"/>
          </w:rPr>
          <w:t>https://forbes.com/sites/iese/2013/09/04/quality-of-life-everyone-wants-it-but-what-is-it/#6e3a4f91635d</w:t>
        </w:r>
      </w:hyperlink>
      <w:r w:rsidR="00D22FA9" w:rsidRPr="003E5B64">
        <w:rPr>
          <w:rStyle w:val="Hypertextovodkaz"/>
          <w:color w:val="000000" w:themeColor="text1"/>
          <w:sz w:val="24"/>
          <w:u w:val="none"/>
        </w:rPr>
        <w:t>.</w:t>
      </w:r>
    </w:p>
    <w:p w14:paraId="0408106E" w14:textId="77777777" w:rsidR="005E7ECF" w:rsidRPr="003E5B64" w:rsidRDefault="005E7ECF" w:rsidP="005E7ECF">
      <w:pPr>
        <w:pStyle w:val="Odstavecseseznamem"/>
        <w:widowControl w:val="0"/>
        <w:numPr>
          <w:ilvl w:val="0"/>
          <w:numId w:val="2"/>
        </w:numPr>
        <w:autoSpaceDE w:val="0"/>
        <w:autoSpaceDN w:val="0"/>
        <w:adjustRightInd w:val="0"/>
        <w:rPr>
          <w:noProof/>
          <w:sz w:val="24"/>
        </w:rPr>
      </w:pPr>
      <w:r w:rsidRPr="003E5B64">
        <w:rPr>
          <w:noProof/>
          <w:sz w:val="24"/>
        </w:rPr>
        <w:t>Gibbons, J.D. (1985). Nonparametric Statistical Inference. 2nd ed. M. Dekker.</w:t>
      </w:r>
    </w:p>
    <w:p w14:paraId="3E8BE07F" w14:textId="685208FD" w:rsidR="00F0429B" w:rsidRPr="003E5B64" w:rsidRDefault="00A00660" w:rsidP="00BD0091">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Global</w:t>
      </w:r>
      <w:proofErr w:type="spellEnd"/>
      <w:r w:rsidRPr="003E5B64">
        <w:rPr>
          <w:color w:val="000000" w:themeColor="text1"/>
          <w:sz w:val="24"/>
        </w:rPr>
        <w:t xml:space="preserve"> </w:t>
      </w:r>
      <w:proofErr w:type="spellStart"/>
      <w:r w:rsidRPr="003E5B64">
        <w:rPr>
          <w:color w:val="000000" w:themeColor="text1"/>
          <w:sz w:val="24"/>
        </w:rPr>
        <w:t>Footprint</w:t>
      </w:r>
      <w:proofErr w:type="spellEnd"/>
      <w:r w:rsidRPr="003E5B64">
        <w:rPr>
          <w:color w:val="000000" w:themeColor="text1"/>
          <w:sz w:val="24"/>
        </w:rPr>
        <w:t xml:space="preserve"> Network. </w:t>
      </w:r>
      <w:proofErr w:type="spellStart"/>
      <w:r w:rsidRPr="003E5B64">
        <w:rPr>
          <w:i/>
          <w:iCs/>
          <w:color w:val="000000" w:themeColor="text1"/>
          <w:sz w:val="24"/>
        </w:rPr>
        <w:t>Ecological</w:t>
      </w:r>
      <w:proofErr w:type="spellEnd"/>
      <w:r w:rsidRPr="003E5B64">
        <w:rPr>
          <w:i/>
          <w:iCs/>
          <w:color w:val="000000" w:themeColor="text1"/>
          <w:sz w:val="24"/>
        </w:rPr>
        <w:t xml:space="preserve"> </w:t>
      </w:r>
      <w:proofErr w:type="spellStart"/>
      <w:r w:rsidRPr="003E5B64">
        <w:rPr>
          <w:i/>
          <w:iCs/>
          <w:color w:val="000000" w:themeColor="text1"/>
          <w:sz w:val="24"/>
        </w:rPr>
        <w:t>Footprint</w:t>
      </w:r>
      <w:proofErr w:type="spellEnd"/>
      <w:r w:rsidRPr="003E5B64">
        <w:rPr>
          <w:i/>
          <w:iCs/>
          <w:color w:val="000000" w:themeColor="text1"/>
          <w:sz w:val="24"/>
        </w:rPr>
        <w:t xml:space="preserve">. </w:t>
      </w:r>
      <w:r w:rsidRPr="003E5B64">
        <w:rPr>
          <w:color w:val="000000" w:themeColor="text1"/>
          <w:sz w:val="24"/>
        </w:rPr>
        <w:t xml:space="preserve">Footprintnetwork.org [online]. 2020 [cit. 2020-04-01]. Dostupné z: </w:t>
      </w:r>
      <w:hyperlink r:id="rId38" w:history="1">
        <w:r w:rsidRPr="003E5B64">
          <w:rPr>
            <w:rStyle w:val="Hypertextovodkaz"/>
            <w:color w:val="000000" w:themeColor="text1"/>
            <w:sz w:val="24"/>
            <w:u w:val="none"/>
          </w:rPr>
          <w:t>https://footprintnetwork.org/our-work/ecological-footprint/</w:t>
        </w:r>
      </w:hyperlink>
      <w:r w:rsidR="00D22FA9" w:rsidRPr="003E5B64">
        <w:rPr>
          <w:rStyle w:val="Hypertextovodkaz"/>
          <w:color w:val="000000" w:themeColor="text1"/>
          <w:sz w:val="24"/>
          <w:u w:val="none"/>
        </w:rPr>
        <w:t>.</w:t>
      </w:r>
    </w:p>
    <w:p w14:paraId="405E9D6F" w14:textId="2E2FCB12" w:rsidR="00F0429B" w:rsidRPr="003E5B64" w:rsidRDefault="00F0429B" w:rsidP="00BD0091">
      <w:pPr>
        <w:pStyle w:val="Bezmezer"/>
        <w:numPr>
          <w:ilvl w:val="0"/>
          <w:numId w:val="2"/>
        </w:numPr>
        <w:spacing w:before="120" w:after="240" w:line="360" w:lineRule="auto"/>
        <w:jc w:val="left"/>
        <w:rPr>
          <w:color w:val="000000" w:themeColor="text1"/>
          <w:sz w:val="24"/>
        </w:rPr>
      </w:pPr>
      <w:proofErr w:type="spellStart"/>
      <w:r w:rsidRPr="003E5B64">
        <w:rPr>
          <w:rStyle w:val="Siln"/>
          <w:b w:val="0"/>
          <w:bCs w:val="0"/>
          <w:color w:val="222222"/>
          <w:sz w:val="24"/>
          <w:shd w:val="clear" w:color="auto" w:fill="FDFDFD"/>
        </w:rPr>
        <w:t>Główny</w:t>
      </w:r>
      <w:proofErr w:type="spellEnd"/>
      <w:r w:rsidRPr="003E5B64">
        <w:rPr>
          <w:rStyle w:val="Siln"/>
          <w:b w:val="0"/>
          <w:bCs w:val="0"/>
          <w:color w:val="222222"/>
          <w:sz w:val="24"/>
          <w:shd w:val="clear" w:color="auto" w:fill="FDFDFD"/>
        </w:rPr>
        <w:t xml:space="preserve"> </w:t>
      </w:r>
      <w:proofErr w:type="spellStart"/>
      <w:r w:rsidRPr="003E5B64">
        <w:rPr>
          <w:rStyle w:val="Siln"/>
          <w:b w:val="0"/>
          <w:bCs w:val="0"/>
          <w:color w:val="222222"/>
          <w:sz w:val="24"/>
          <w:shd w:val="clear" w:color="auto" w:fill="FDFDFD"/>
        </w:rPr>
        <w:t>Urząd</w:t>
      </w:r>
      <w:proofErr w:type="spellEnd"/>
      <w:r w:rsidRPr="003E5B64">
        <w:rPr>
          <w:rStyle w:val="Siln"/>
          <w:b w:val="0"/>
          <w:bCs w:val="0"/>
          <w:color w:val="222222"/>
          <w:sz w:val="24"/>
          <w:shd w:val="clear" w:color="auto" w:fill="FDFDFD"/>
        </w:rPr>
        <w:t xml:space="preserve"> </w:t>
      </w:r>
      <w:proofErr w:type="spellStart"/>
      <w:r w:rsidRPr="003E5B64">
        <w:rPr>
          <w:rStyle w:val="Siln"/>
          <w:b w:val="0"/>
          <w:bCs w:val="0"/>
          <w:color w:val="222222"/>
          <w:sz w:val="24"/>
          <w:shd w:val="clear" w:color="auto" w:fill="FDFDFD"/>
        </w:rPr>
        <w:t>Statystyczny</w:t>
      </w:r>
      <w:proofErr w:type="spellEnd"/>
      <w:r w:rsidRPr="003E5B64">
        <w:rPr>
          <w:color w:val="000000" w:themeColor="text1"/>
          <w:sz w:val="24"/>
        </w:rPr>
        <w:t>.</w:t>
      </w:r>
      <w:r w:rsidRPr="003E5B64">
        <w:rPr>
          <w:rStyle w:val="Hypertextovodkaz"/>
          <w:color w:val="000000" w:themeColor="text1"/>
          <w:sz w:val="24"/>
          <w:u w:val="none"/>
        </w:rPr>
        <w:t xml:space="preserve"> </w:t>
      </w:r>
      <w:proofErr w:type="spellStart"/>
      <w:r w:rsidRPr="003E5B64">
        <w:rPr>
          <w:rStyle w:val="Hypertextovodkaz"/>
          <w:i/>
          <w:iCs/>
          <w:color w:val="000000" w:themeColor="text1"/>
          <w:sz w:val="24"/>
          <w:u w:val="none"/>
        </w:rPr>
        <w:t>Zasięg</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ubóstwa</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ekonomicznego</w:t>
      </w:r>
      <w:proofErr w:type="spellEnd"/>
      <w:r w:rsidRPr="003E5B64">
        <w:rPr>
          <w:rStyle w:val="Hypertextovodkaz"/>
          <w:i/>
          <w:iCs/>
          <w:color w:val="000000" w:themeColor="text1"/>
          <w:sz w:val="24"/>
          <w:u w:val="none"/>
        </w:rPr>
        <w:t xml:space="preserve"> w </w:t>
      </w:r>
      <w:proofErr w:type="spellStart"/>
      <w:r w:rsidRPr="003E5B64">
        <w:rPr>
          <w:rStyle w:val="Hypertextovodkaz"/>
          <w:i/>
          <w:iCs/>
          <w:color w:val="000000" w:themeColor="text1"/>
          <w:sz w:val="24"/>
          <w:u w:val="none"/>
        </w:rPr>
        <w:t>Polsce</w:t>
      </w:r>
      <w:proofErr w:type="spellEnd"/>
      <w:r w:rsidRPr="003E5B64">
        <w:rPr>
          <w:rStyle w:val="Hypertextovodkaz"/>
          <w:i/>
          <w:iCs/>
          <w:color w:val="000000" w:themeColor="text1"/>
          <w:sz w:val="24"/>
          <w:u w:val="none"/>
        </w:rPr>
        <w:t xml:space="preserve"> w 2019 roku. Stat.gov.pl </w:t>
      </w:r>
      <w:r w:rsidRPr="003E5B64">
        <w:rPr>
          <w:color w:val="000000" w:themeColor="text1"/>
          <w:sz w:val="24"/>
        </w:rPr>
        <w:t xml:space="preserve">[online]. 2020 [cit. 2020-07-10]. Dostupné z: </w:t>
      </w:r>
      <w:hyperlink r:id="rId39" w:history="1">
        <w:r w:rsidRPr="003E5B64">
          <w:rPr>
            <w:rStyle w:val="Hypertextovodkaz"/>
            <w:color w:val="000000" w:themeColor="text1"/>
            <w:sz w:val="24"/>
            <w:u w:val="none"/>
          </w:rPr>
          <w:t>https://stat.gov.pl/obszary-tematyczne/warunki-zycia/ubostwo-pomoc-spoleczna/zasieg-ubostwa-ekonomicznego-w-polsce-w-2019-roku,14,7.html</w:t>
        </w:r>
      </w:hyperlink>
      <w:r w:rsidR="00D22FA9" w:rsidRPr="003E5B64">
        <w:rPr>
          <w:rStyle w:val="Hypertextovodkaz"/>
          <w:color w:val="000000" w:themeColor="text1"/>
          <w:sz w:val="24"/>
          <w:u w:val="none"/>
        </w:rPr>
        <w:t>.</w:t>
      </w:r>
    </w:p>
    <w:p w14:paraId="3DD38EFD" w14:textId="477AB322" w:rsidR="00013C78" w:rsidRPr="003E5B64" w:rsidRDefault="00013C78" w:rsidP="00F0429B">
      <w:pPr>
        <w:pStyle w:val="Bezmezer"/>
        <w:numPr>
          <w:ilvl w:val="0"/>
          <w:numId w:val="2"/>
        </w:numPr>
        <w:spacing w:before="120" w:after="240" w:line="360" w:lineRule="auto"/>
        <w:rPr>
          <w:color w:val="000000" w:themeColor="text1"/>
          <w:sz w:val="24"/>
        </w:rPr>
      </w:pPr>
      <w:r w:rsidRPr="003E5B64">
        <w:rPr>
          <w:color w:val="000000" w:themeColor="text1"/>
          <w:sz w:val="24"/>
        </w:rPr>
        <w:t xml:space="preserve">HAZUCHOVÁ, Naďa a Jana STÁVKOVÁ. </w:t>
      </w:r>
      <w:r w:rsidRPr="003E5B64">
        <w:rPr>
          <w:i/>
          <w:iCs/>
          <w:color w:val="000000" w:themeColor="text1"/>
          <w:sz w:val="24"/>
        </w:rPr>
        <w:t xml:space="preserve">A </w:t>
      </w:r>
      <w:proofErr w:type="spellStart"/>
      <w:r w:rsidRPr="003E5B64">
        <w:rPr>
          <w:i/>
          <w:iCs/>
          <w:color w:val="000000" w:themeColor="text1"/>
          <w:sz w:val="24"/>
        </w:rPr>
        <w:t>Comparison</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Living</w:t>
      </w:r>
      <w:proofErr w:type="spellEnd"/>
      <w:r w:rsidRPr="003E5B64">
        <w:rPr>
          <w:i/>
          <w:iCs/>
          <w:color w:val="000000" w:themeColor="text1"/>
          <w:sz w:val="24"/>
        </w:rPr>
        <w:t xml:space="preserve"> </w:t>
      </w:r>
      <w:proofErr w:type="spellStart"/>
      <w:r w:rsidRPr="003E5B64">
        <w:rPr>
          <w:i/>
          <w:iCs/>
          <w:color w:val="000000" w:themeColor="text1"/>
          <w:sz w:val="24"/>
        </w:rPr>
        <w:t>Standards</w:t>
      </w:r>
      <w:proofErr w:type="spellEnd"/>
      <w:r w:rsidRPr="003E5B64">
        <w:rPr>
          <w:color w:val="000000" w:themeColor="text1"/>
          <w:sz w:val="24"/>
        </w:rPr>
        <w:t xml:space="preserve"> </w:t>
      </w:r>
      <w:proofErr w:type="spellStart"/>
      <w:r w:rsidRPr="003E5B64">
        <w:rPr>
          <w:i/>
          <w:iCs/>
          <w:color w:val="000000" w:themeColor="text1"/>
          <w:sz w:val="24"/>
        </w:rPr>
        <w:t>Indicators</w:t>
      </w:r>
      <w:proofErr w:type="spellEnd"/>
      <w:r w:rsidRPr="003E5B64">
        <w:rPr>
          <w:color w:val="000000" w:themeColor="text1"/>
          <w:sz w:val="24"/>
        </w:rPr>
        <w:t xml:space="preserve">. </w:t>
      </w:r>
      <w:proofErr w:type="spellStart"/>
      <w:r w:rsidRPr="003E5B64">
        <w:rPr>
          <w:color w:val="000000" w:themeColor="text1"/>
          <w:sz w:val="24"/>
        </w:rPr>
        <w:t>European</w:t>
      </w:r>
      <w:proofErr w:type="spellEnd"/>
      <w:r w:rsidRPr="003E5B64">
        <w:rPr>
          <w:color w:val="000000" w:themeColor="text1"/>
          <w:sz w:val="24"/>
        </w:rPr>
        <w:t xml:space="preserve"> </w:t>
      </w:r>
      <w:proofErr w:type="spellStart"/>
      <w:r w:rsidRPr="003E5B64">
        <w:rPr>
          <w:color w:val="000000" w:themeColor="text1"/>
          <w:sz w:val="24"/>
        </w:rPr>
        <w:t>Journal</w:t>
      </w:r>
      <w:proofErr w:type="spellEnd"/>
      <w:r w:rsidRPr="003E5B64">
        <w:rPr>
          <w:color w:val="000000" w:themeColor="text1"/>
          <w:sz w:val="24"/>
        </w:rPr>
        <w:t xml:space="preserve"> </w:t>
      </w:r>
      <w:proofErr w:type="spellStart"/>
      <w:r w:rsidRPr="003E5B64">
        <w:rPr>
          <w:color w:val="000000" w:themeColor="text1"/>
          <w:sz w:val="24"/>
        </w:rPr>
        <w:t>of</w:t>
      </w:r>
      <w:proofErr w:type="spellEnd"/>
      <w:r w:rsidRPr="003E5B64">
        <w:rPr>
          <w:color w:val="000000" w:themeColor="text1"/>
          <w:sz w:val="24"/>
        </w:rPr>
        <w:t xml:space="preserve"> Business Science and Technology, 2017. 54–64 s. </w:t>
      </w:r>
      <w:r w:rsidR="00027BE6" w:rsidRPr="003E5B64">
        <w:rPr>
          <w:color w:val="000000" w:themeColor="text1"/>
          <w:sz w:val="24"/>
        </w:rPr>
        <w:br/>
      </w:r>
      <w:r w:rsidRPr="003E5B64">
        <w:rPr>
          <w:color w:val="000000" w:themeColor="text1"/>
          <w:sz w:val="24"/>
        </w:rPr>
        <w:t>ISSN 2336-6494</w:t>
      </w:r>
      <w:r w:rsidR="00027BE6" w:rsidRPr="003E5B64">
        <w:rPr>
          <w:color w:val="000000" w:themeColor="text1"/>
          <w:sz w:val="24"/>
        </w:rPr>
        <w:t>.</w:t>
      </w:r>
    </w:p>
    <w:p w14:paraId="325DB1B8" w14:textId="0D72B8F7" w:rsidR="00013C78" w:rsidRPr="003E5B64" w:rsidRDefault="00013C78" w:rsidP="00013C78">
      <w:pPr>
        <w:pStyle w:val="Bezmezer"/>
        <w:numPr>
          <w:ilvl w:val="0"/>
          <w:numId w:val="2"/>
        </w:numPr>
        <w:spacing w:before="120" w:after="240" w:line="360" w:lineRule="auto"/>
        <w:rPr>
          <w:color w:val="000000" w:themeColor="text1"/>
          <w:sz w:val="24"/>
        </w:rPr>
      </w:pPr>
      <w:r w:rsidRPr="003E5B64">
        <w:rPr>
          <w:sz w:val="24"/>
        </w:rPr>
        <w:t xml:space="preserve">HOLMAN, Robert. </w:t>
      </w:r>
      <w:r w:rsidRPr="003E5B64">
        <w:rPr>
          <w:i/>
          <w:iCs/>
          <w:sz w:val="24"/>
        </w:rPr>
        <w:t xml:space="preserve">Ekonomie. </w:t>
      </w:r>
      <w:r w:rsidRPr="003E5B64">
        <w:rPr>
          <w:sz w:val="24"/>
        </w:rPr>
        <w:t xml:space="preserve">5. vyd. Praha: C.H. Beck, 2011. 691 s. </w:t>
      </w:r>
      <w:r w:rsidR="00027BE6" w:rsidRPr="003E5B64">
        <w:rPr>
          <w:sz w:val="24"/>
        </w:rPr>
        <w:br/>
      </w:r>
      <w:r w:rsidRPr="003E5B64">
        <w:rPr>
          <w:sz w:val="24"/>
        </w:rPr>
        <w:t>ISBN: 978-80-7400-006-5</w:t>
      </w:r>
      <w:r w:rsidR="00027BE6" w:rsidRPr="003E5B64">
        <w:rPr>
          <w:sz w:val="24"/>
        </w:rPr>
        <w:t>.</w:t>
      </w:r>
    </w:p>
    <w:p w14:paraId="0787FD5A" w14:textId="36C554E3" w:rsidR="00C03107" w:rsidRPr="003E5B64" w:rsidRDefault="00013C78" w:rsidP="00BD0091">
      <w:pPr>
        <w:pStyle w:val="Bezmezer"/>
        <w:numPr>
          <w:ilvl w:val="0"/>
          <w:numId w:val="2"/>
        </w:numPr>
        <w:spacing w:before="120" w:after="240" w:line="360" w:lineRule="auto"/>
        <w:ind w:left="641" w:hanging="357"/>
        <w:jc w:val="left"/>
        <w:rPr>
          <w:rStyle w:val="Hypertextovodkaz"/>
          <w:color w:val="auto"/>
          <w:sz w:val="24"/>
          <w:u w:val="none"/>
        </w:rPr>
      </w:pPr>
      <w:proofErr w:type="spellStart"/>
      <w:r w:rsidRPr="003E5B64">
        <w:rPr>
          <w:sz w:val="24"/>
        </w:rPr>
        <w:t>Human</w:t>
      </w:r>
      <w:proofErr w:type="spellEnd"/>
      <w:r w:rsidRPr="003E5B64">
        <w:rPr>
          <w:sz w:val="24"/>
        </w:rPr>
        <w:t xml:space="preserve"> Development </w:t>
      </w:r>
      <w:proofErr w:type="spellStart"/>
      <w:r w:rsidRPr="003E5B64">
        <w:rPr>
          <w:sz w:val="24"/>
        </w:rPr>
        <w:t>Reports</w:t>
      </w:r>
      <w:proofErr w:type="spellEnd"/>
      <w:r w:rsidRPr="003E5B64">
        <w:rPr>
          <w:sz w:val="24"/>
        </w:rPr>
        <w:t xml:space="preserve">. </w:t>
      </w:r>
      <w:proofErr w:type="spellStart"/>
      <w:r w:rsidRPr="003E5B64">
        <w:rPr>
          <w:i/>
          <w:iCs/>
          <w:sz w:val="24"/>
        </w:rPr>
        <w:t>Human</w:t>
      </w:r>
      <w:proofErr w:type="spellEnd"/>
      <w:r w:rsidRPr="003E5B64">
        <w:rPr>
          <w:i/>
          <w:iCs/>
          <w:sz w:val="24"/>
        </w:rPr>
        <w:t xml:space="preserve"> Development Index (HDI). </w:t>
      </w:r>
      <w:r w:rsidRPr="003E5B64">
        <w:rPr>
          <w:sz w:val="24"/>
        </w:rPr>
        <w:t xml:space="preserve">Hdr.undp.org [online]. 2020 [cit. 2020-03-15]. Dostupné z: </w:t>
      </w:r>
      <w:hyperlink r:id="rId40" w:history="1">
        <w:r w:rsidRPr="003E5B64">
          <w:rPr>
            <w:rStyle w:val="Hypertextovodkaz"/>
            <w:sz w:val="24"/>
            <w:u w:val="none"/>
          </w:rPr>
          <w:t>http://hdr.undp.org/en/content/human-development-index-hdi</w:t>
        </w:r>
      </w:hyperlink>
      <w:r w:rsidR="00D22FA9" w:rsidRPr="003E5B64">
        <w:rPr>
          <w:rStyle w:val="Hypertextovodkaz"/>
          <w:sz w:val="24"/>
          <w:u w:val="none"/>
        </w:rPr>
        <w:t>.</w:t>
      </w:r>
    </w:p>
    <w:p w14:paraId="4B565AD0" w14:textId="75B37F8D" w:rsidR="004C5FC9" w:rsidRPr="003E5B64" w:rsidRDefault="004C5FC9" w:rsidP="00BD0091">
      <w:pPr>
        <w:pStyle w:val="Bezmezer"/>
        <w:numPr>
          <w:ilvl w:val="0"/>
          <w:numId w:val="2"/>
        </w:numPr>
        <w:spacing w:before="120" w:after="240" w:line="360" w:lineRule="auto"/>
        <w:ind w:left="641" w:hanging="357"/>
        <w:jc w:val="left"/>
        <w:rPr>
          <w:sz w:val="24"/>
        </w:rPr>
      </w:pPr>
      <w:proofErr w:type="spellStart"/>
      <w:r w:rsidRPr="003E5B64">
        <w:rPr>
          <w:sz w:val="24"/>
        </w:rPr>
        <w:t>Hun</w:t>
      </w:r>
      <w:r w:rsidR="005F0BD5" w:rsidRPr="003E5B64">
        <w:rPr>
          <w:sz w:val="24"/>
        </w:rPr>
        <w:t>g</w:t>
      </w:r>
      <w:r w:rsidRPr="003E5B64">
        <w:rPr>
          <w:sz w:val="24"/>
        </w:rPr>
        <w:t>arian</w:t>
      </w:r>
      <w:proofErr w:type="spellEnd"/>
      <w:r w:rsidRPr="003E5B64">
        <w:rPr>
          <w:sz w:val="24"/>
        </w:rPr>
        <w:t xml:space="preserve"> </w:t>
      </w:r>
      <w:proofErr w:type="spellStart"/>
      <w:r w:rsidR="005F0BD5" w:rsidRPr="003E5B64">
        <w:rPr>
          <w:sz w:val="24"/>
        </w:rPr>
        <w:t>C</w:t>
      </w:r>
      <w:r w:rsidRPr="003E5B64">
        <w:rPr>
          <w:sz w:val="24"/>
        </w:rPr>
        <w:t>entral</w:t>
      </w:r>
      <w:proofErr w:type="spellEnd"/>
      <w:r w:rsidRPr="003E5B64">
        <w:rPr>
          <w:sz w:val="24"/>
        </w:rPr>
        <w:t xml:space="preserve"> </w:t>
      </w:r>
      <w:proofErr w:type="spellStart"/>
      <w:r w:rsidR="005F0BD5" w:rsidRPr="003E5B64">
        <w:rPr>
          <w:sz w:val="24"/>
        </w:rPr>
        <w:t>S</w:t>
      </w:r>
      <w:r w:rsidRPr="003E5B64">
        <w:rPr>
          <w:sz w:val="24"/>
        </w:rPr>
        <w:t>tatistical</w:t>
      </w:r>
      <w:proofErr w:type="spellEnd"/>
      <w:r w:rsidRPr="003E5B64">
        <w:rPr>
          <w:sz w:val="24"/>
        </w:rPr>
        <w:t xml:space="preserve"> </w:t>
      </w:r>
      <w:r w:rsidR="005F0BD5" w:rsidRPr="003E5B64">
        <w:rPr>
          <w:sz w:val="24"/>
        </w:rPr>
        <w:t xml:space="preserve">Office. </w:t>
      </w:r>
      <w:r w:rsidR="005F0BD5" w:rsidRPr="003E5B64">
        <w:rPr>
          <w:i/>
          <w:iCs/>
          <w:sz w:val="24"/>
        </w:rPr>
        <w:t xml:space="preserve">Minimum </w:t>
      </w:r>
      <w:proofErr w:type="spellStart"/>
      <w:r w:rsidR="005F0BD5" w:rsidRPr="003E5B64">
        <w:rPr>
          <w:i/>
          <w:iCs/>
          <w:sz w:val="24"/>
        </w:rPr>
        <w:t>wages</w:t>
      </w:r>
      <w:proofErr w:type="spellEnd"/>
      <w:r w:rsidR="005F0BD5" w:rsidRPr="003E5B64">
        <w:rPr>
          <w:i/>
          <w:iCs/>
          <w:sz w:val="24"/>
        </w:rPr>
        <w:t xml:space="preserve"> (1992 -). </w:t>
      </w:r>
      <w:r w:rsidR="005F0BD5" w:rsidRPr="003E5B64">
        <w:rPr>
          <w:sz w:val="24"/>
        </w:rPr>
        <w:t>Ksh.hu [online]. 2020 [cit. 2020-06-15]. Dostupné z: https://www.ksh.hu/docs/eng/xstadat/xstadat_annual/i_qli041.html.</w:t>
      </w:r>
    </w:p>
    <w:p w14:paraId="306DC99D" w14:textId="3E480CEC" w:rsidR="00B35120" w:rsidRPr="003E5B64" w:rsidRDefault="0037149C" w:rsidP="00BD0091">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color w:val="000000" w:themeColor="text1"/>
          <w:sz w:val="24"/>
        </w:rPr>
        <w:t xml:space="preserve">CHAPPELOW, Jim. </w:t>
      </w:r>
      <w:r w:rsidRPr="003E5B64">
        <w:rPr>
          <w:i/>
          <w:iCs/>
          <w:color w:val="000000" w:themeColor="text1"/>
          <w:sz w:val="24"/>
        </w:rPr>
        <w:t xml:space="preserve">Standard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Living</w:t>
      </w:r>
      <w:proofErr w:type="spellEnd"/>
      <w:r w:rsidRPr="003E5B64">
        <w:rPr>
          <w:i/>
          <w:iCs/>
          <w:color w:val="000000" w:themeColor="text1"/>
          <w:sz w:val="24"/>
        </w:rPr>
        <w:t xml:space="preserve">. </w:t>
      </w:r>
      <w:r w:rsidRPr="003E5B64">
        <w:rPr>
          <w:color w:val="000000" w:themeColor="text1"/>
          <w:sz w:val="24"/>
        </w:rPr>
        <w:t xml:space="preserve">Investopedia.com. [online]. 2019 [cit. 2020-01-21]. Dostupné z:  </w:t>
      </w:r>
      <w:hyperlink r:id="rId41" w:history="1">
        <w:r w:rsidR="008133F6" w:rsidRPr="003E5B64">
          <w:rPr>
            <w:rStyle w:val="Hypertextovodkaz"/>
            <w:color w:val="000000" w:themeColor="text1"/>
            <w:sz w:val="24"/>
            <w:u w:val="none"/>
          </w:rPr>
          <w:t>https://www.investopedia.com/terms/s/standard-of-living.asp</w:t>
        </w:r>
      </w:hyperlink>
      <w:r w:rsidR="00D22FA9" w:rsidRPr="003E5B64">
        <w:rPr>
          <w:rStyle w:val="Hypertextovodkaz"/>
          <w:color w:val="000000" w:themeColor="text1"/>
          <w:sz w:val="24"/>
          <w:u w:val="none"/>
        </w:rPr>
        <w:t>.</w:t>
      </w:r>
    </w:p>
    <w:p w14:paraId="5A8A72B6" w14:textId="6D248B2E" w:rsidR="00B35120" w:rsidRPr="003E5B64" w:rsidRDefault="00B35120" w:rsidP="00BD0091">
      <w:pPr>
        <w:pStyle w:val="Bezmezer"/>
        <w:numPr>
          <w:ilvl w:val="0"/>
          <w:numId w:val="2"/>
        </w:numPr>
        <w:spacing w:before="120" w:after="240" w:line="360" w:lineRule="auto"/>
        <w:ind w:left="641" w:hanging="357"/>
        <w:jc w:val="left"/>
        <w:rPr>
          <w:rStyle w:val="Hypertextovodkaz"/>
          <w:color w:val="000000" w:themeColor="text1"/>
          <w:sz w:val="24"/>
          <w:u w:val="none"/>
        </w:rPr>
      </w:pPr>
      <w:proofErr w:type="spellStart"/>
      <w:r w:rsidRPr="003E5B64">
        <w:rPr>
          <w:sz w:val="24"/>
        </w:rPr>
        <w:t>Inštitút</w:t>
      </w:r>
      <w:proofErr w:type="spellEnd"/>
      <w:r w:rsidRPr="003E5B64">
        <w:rPr>
          <w:sz w:val="24"/>
        </w:rPr>
        <w:t xml:space="preserve"> </w:t>
      </w:r>
      <w:proofErr w:type="spellStart"/>
      <w:r w:rsidRPr="003E5B64">
        <w:rPr>
          <w:sz w:val="24"/>
        </w:rPr>
        <w:t>neza</w:t>
      </w:r>
      <w:r w:rsidR="00DB30BB" w:rsidRPr="003E5B64">
        <w:rPr>
          <w:sz w:val="24"/>
        </w:rPr>
        <w:t>mestnanosti</w:t>
      </w:r>
      <w:proofErr w:type="spellEnd"/>
      <w:r w:rsidRPr="003E5B64">
        <w:rPr>
          <w:sz w:val="24"/>
        </w:rPr>
        <w:t xml:space="preserve">. </w:t>
      </w:r>
      <w:r w:rsidRPr="003E5B64">
        <w:rPr>
          <w:rStyle w:val="Hypertextovodkaz"/>
          <w:i/>
          <w:iCs/>
          <w:noProof/>
          <w:sz w:val="24"/>
          <w:u w:val="none"/>
        </w:rPr>
        <w:t>Living and Subsistence Minimum</w:t>
      </w:r>
      <w:r w:rsidRPr="003E5B64">
        <w:rPr>
          <w:sz w:val="24"/>
        </w:rPr>
        <w:t>. Iz.sk [online].</w:t>
      </w:r>
      <w:r w:rsidR="00DB30BB" w:rsidRPr="003E5B64">
        <w:rPr>
          <w:sz w:val="24"/>
        </w:rPr>
        <w:t xml:space="preserve"> 2020</w:t>
      </w:r>
      <w:r w:rsidRPr="003E5B64">
        <w:rPr>
          <w:sz w:val="24"/>
        </w:rPr>
        <w:t xml:space="preserve"> [</w:t>
      </w:r>
      <w:r w:rsidR="00DB30BB" w:rsidRPr="003E5B64">
        <w:rPr>
          <w:sz w:val="24"/>
        </w:rPr>
        <w:t>cit.</w:t>
      </w:r>
      <w:r w:rsidRPr="003E5B64">
        <w:rPr>
          <w:sz w:val="24"/>
        </w:rPr>
        <w:t xml:space="preserve"> 2020-0</w:t>
      </w:r>
      <w:r w:rsidR="00DB30BB" w:rsidRPr="003E5B64">
        <w:rPr>
          <w:sz w:val="24"/>
        </w:rPr>
        <w:t>6</w:t>
      </w:r>
      <w:r w:rsidRPr="003E5B64">
        <w:rPr>
          <w:sz w:val="24"/>
        </w:rPr>
        <w:t xml:space="preserve">-23]. </w:t>
      </w:r>
      <w:r w:rsidR="00DB30BB" w:rsidRPr="003E5B64">
        <w:rPr>
          <w:sz w:val="24"/>
        </w:rPr>
        <w:t>Dostupné z</w:t>
      </w:r>
      <w:r w:rsidRPr="003E5B64">
        <w:rPr>
          <w:sz w:val="24"/>
        </w:rPr>
        <w:t xml:space="preserve">: </w:t>
      </w:r>
      <w:hyperlink r:id="rId42" w:history="1">
        <w:r w:rsidRPr="003E5B64">
          <w:rPr>
            <w:rStyle w:val="Hypertextovodkaz"/>
            <w:sz w:val="24"/>
            <w:u w:val="none"/>
          </w:rPr>
          <w:t>https://www.iz.sk/en/projects/data/living-miminum</w:t>
        </w:r>
      </w:hyperlink>
      <w:r w:rsidR="00D22FA9" w:rsidRPr="003E5B64">
        <w:rPr>
          <w:rStyle w:val="Hypertextovodkaz"/>
          <w:sz w:val="24"/>
          <w:u w:val="none"/>
        </w:rPr>
        <w:t>.</w:t>
      </w:r>
    </w:p>
    <w:p w14:paraId="400A5C63" w14:textId="435E9EB0" w:rsidR="00694AAC" w:rsidRPr="003E5B64" w:rsidRDefault="00DB30BB" w:rsidP="00BD0091">
      <w:pPr>
        <w:pStyle w:val="Bezmezer"/>
        <w:numPr>
          <w:ilvl w:val="0"/>
          <w:numId w:val="2"/>
        </w:numPr>
        <w:spacing w:before="120" w:after="240" w:line="360" w:lineRule="auto"/>
        <w:ind w:left="641" w:hanging="357"/>
        <w:jc w:val="left"/>
        <w:rPr>
          <w:rStyle w:val="Hypertextovodkaz"/>
          <w:color w:val="000000" w:themeColor="text1"/>
          <w:sz w:val="24"/>
          <w:u w:val="none"/>
        </w:rPr>
      </w:pPr>
      <w:proofErr w:type="spellStart"/>
      <w:r w:rsidRPr="003E5B64">
        <w:rPr>
          <w:sz w:val="24"/>
        </w:rPr>
        <w:lastRenderedPageBreak/>
        <w:t>Instytut</w:t>
      </w:r>
      <w:proofErr w:type="spellEnd"/>
      <w:r w:rsidRPr="003E5B64">
        <w:rPr>
          <w:sz w:val="24"/>
        </w:rPr>
        <w:t xml:space="preserve"> </w:t>
      </w:r>
      <w:proofErr w:type="spellStart"/>
      <w:r w:rsidRPr="003E5B64">
        <w:rPr>
          <w:sz w:val="24"/>
        </w:rPr>
        <w:t>Pracy</w:t>
      </w:r>
      <w:proofErr w:type="spellEnd"/>
      <w:r w:rsidRPr="003E5B64">
        <w:rPr>
          <w:sz w:val="24"/>
        </w:rPr>
        <w:t xml:space="preserve"> i </w:t>
      </w:r>
      <w:proofErr w:type="spellStart"/>
      <w:r w:rsidRPr="003E5B64">
        <w:rPr>
          <w:sz w:val="24"/>
        </w:rPr>
        <w:t>Spraw</w:t>
      </w:r>
      <w:proofErr w:type="spellEnd"/>
      <w:r w:rsidRPr="003E5B64">
        <w:rPr>
          <w:sz w:val="24"/>
        </w:rPr>
        <w:t xml:space="preserve"> </w:t>
      </w:r>
      <w:proofErr w:type="spellStart"/>
      <w:r w:rsidRPr="003E5B64">
        <w:rPr>
          <w:sz w:val="24"/>
        </w:rPr>
        <w:t>Socjalnych</w:t>
      </w:r>
      <w:proofErr w:type="spellEnd"/>
      <w:r w:rsidRPr="003E5B64">
        <w:rPr>
          <w:sz w:val="24"/>
        </w:rPr>
        <w:t>.</w:t>
      </w:r>
      <w:r w:rsidR="00694AAC" w:rsidRPr="003E5B64">
        <w:rPr>
          <w:sz w:val="24"/>
        </w:rPr>
        <w:t xml:space="preserve"> 2012-2019.</w:t>
      </w:r>
      <w:r w:rsidRPr="003E5B64">
        <w:rPr>
          <w:color w:val="000000" w:themeColor="text1"/>
          <w:sz w:val="24"/>
        </w:rPr>
        <w:t xml:space="preserve"> </w:t>
      </w:r>
      <w:r w:rsidRPr="003E5B64">
        <w:rPr>
          <w:i/>
          <w:iCs/>
          <w:color w:val="000000" w:themeColor="text1"/>
          <w:sz w:val="24"/>
        </w:rPr>
        <w:t xml:space="preserve">ARCHIVAL DATA (subsistence </w:t>
      </w:r>
      <w:proofErr w:type="gramStart"/>
      <w:r w:rsidRPr="003E5B64">
        <w:rPr>
          <w:i/>
          <w:iCs/>
          <w:color w:val="000000" w:themeColor="text1"/>
          <w:sz w:val="24"/>
        </w:rPr>
        <w:t xml:space="preserve">minimum - </w:t>
      </w:r>
      <w:proofErr w:type="spellStart"/>
      <w:r w:rsidRPr="003E5B64">
        <w:rPr>
          <w:i/>
          <w:iCs/>
          <w:color w:val="000000" w:themeColor="text1"/>
          <w:sz w:val="24"/>
        </w:rPr>
        <w:t>average</w:t>
      </w:r>
      <w:proofErr w:type="spellEnd"/>
      <w:proofErr w:type="gramEnd"/>
      <w:r w:rsidRPr="003E5B64">
        <w:rPr>
          <w:i/>
          <w:iCs/>
          <w:color w:val="000000" w:themeColor="text1"/>
          <w:sz w:val="24"/>
        </w:rPr>
        <w:t xml:space="preserve"> </w:t>
      </w:r>
      <w:proofErr w:type="spellStart"/>
      <w:r w:rsidRPr="003E5B64">
        <w:rPr>
          <w:i/>
          <w:iCs/>
          <w:color w:val="000000" w:themeColor="text1"/>
          <w:sz w:val="24"/>
        </w:rPr>
        <w:t>annual</w:t>
      </w:r>
      <w:proofErr w:type="spellEnd"/>
      <w:r w:rsidRPr="003E5B64">
        <w:rPr>
          <w:i/>
          <w:iCs/>
          <w:color w:val="000000" w:themeColor="text1"/>
          <w:sz w:val="24"/>
        </w:rPr>
        <w:t xml:space="preserve"> </w:t>
      </w:r>
      <w:proofErr w:type="spellStart"/>
      <w:r w:rsidRPr="003E5B64">
        <w:rPr>
          <w:i/>
          <w:iCs/>
          <w:color w:val="000000" w:themeColor="text1"/>
          <w:sz w:val="24"/>
        </w:rPr>
        <w:t>information</w:t>
      </w:r>
      <w:proofErr w:type="spellEnd"/>
      <w:r w:rsidRPr="003E5B64">
        <w:rPr>
          <w:i/>
          <w:iCs/>
          <w:color w:val="000000" w:themeColor="text1"/>
          <w:sz w:val="24"/>
        </w:rPr>
        <w:t>)</w:t>
      </w:r>
      <w:r w:rsidRPr="003E5B64">
        <w:rPr>
          <w:color w:val="000000" w:themeColor="text1"/>
          <w:sz w:val="24"/>
        </w:rPr>
        <w:t>. Ipiss.com.pl [online]. 2020 [cit. 2020-06-23].</w:t>
      </w:r>
      <w:r w:rsidR="00D22FA9" w:rsidRPr="003E5B64">
        <w:rPr>
          <w:color w:val="000000" w:themeColor="text1"/>
          <w:sz w:val="24"/>
        </w:rPr>
        <w:br/>
      </w:r>
      <w:r w:rsidRPr="003E5B64">
        <w:rPr>
          <w:color w:val="000000" w:themeColor="text1"/>
          <w:sz w:val="24"/>
        </w:rPr>
        <w:t xml:space="preserve"> Dostupné z: </w:t>
      </w:r>
      <w:hyperlink r:id="rId43" w:history="1">
        <w:r w:rsidR="00694AAC" w:rsidRPr="003E5B64">
          <w:rPr>
            <w:rStyle w:val="Hypertextovodkaz"/>
            <w:sz w:val="24"/>
            <w:u w:val="none"/>
          </w:rPr>
          <w:t>https://www.ipiss.com.pl/?zaklady=minimum-egzystencji-2</w:t>
        </w:r>
      </w:hyperlink>
      <w:r w:rsidR="00D22FA9" w:rsidRPr="003E5B64">
        <w:rPr>
          <w:rStyle w:val="Hypertextovodkaz"/>
          <w:sz w:val="24"/>
          <w:u w:val="none"/>
        </w:rPr>
        <w:t>.</w:t>
      </w:r>
    </w:p>
    <w:p w14:paraId="62BCCB1B" w14:textId="052E82F6" w:rsidR="00B90EFE" w:rsidRPr="003E5B64" w:rsidRDefault="00B90EFE" w:rsidP="00694AAC">
      <w:pPr>
        <w:pStyle w:val="Bezmezer"/>
        <w:numPr>
          <w:ilvl w:val="0"/>
          <w:numId w:val="2"/>
        </w:numPr>
        <w:spacing w:before="120" w:after="240" w:line="360" w:lineRule="auto"/>
        <w:ind w:left="641" w:hanging="357"/>
        <w:rPr>
          <w:color w:val="000000" w:themeColor="text1"/>
          <w:sz w:val="24"/>
        </w:rPr>
      </w:pPr>
      <w:r w:rsidRPr="003E5B64">
        <w:rPr>
          <w:sz w:val="24"/>
        </w:rPr>
        <w:t>JUREČKA, Václav a kol.</w:t>
      </w:r>
      <w:r w:rsidRPr="003E5B64">
        <w:rPr>
          <w:color w:val="000000" w:themeColor="text1"/>
          <w:sz w:val="24"/>
        </w:rPr>
        <w:t xml:space="preserve"> </w:t>
      </w:r>
      <w:r w:rsidRPr="003E5B64">
        <w:rPr>
          <w:i/>
          <w:iCs/>
          <w:color w:val="000000" w:themeColor="text1"/>
          <w:sz w:val="24"/>
        </w:rPr>
        <w:t xml:space="preserve">Mikroekonomie. </w:t>
      </w:r>
      <w:r w:rsidRPr="003E5B64">
        <w:rPr>
          <w:color w:val="000000" w:themeColor="text1"/>
          <w:sz w:val="24"/>
        </w:rPr>
        <w:t xml:space="preserve">Grada </w:t>
      </w:r>
      <w:proofErr w:type="spellStart"/>
      <w:r w:rsidRPr="003E5B64">
        <w:rPr>
          <w:color w:val="000000" w:themeColor="text1"/>
          <w:sz w:val="24"/>
        </w:rPr>
        <w:t>Publishing</w:t>
      </w:r>
      <w:proofErr w:type="spellEnd"/>
      <w:r w:rsidR="00027BE6" w:rsidRPr="003E5B64">
        <w:rPr>
          <w:color w:val="000000" w:themeColor="text1"/>
          <w:sz w:val="24"/>
        </w:rPr>
        <w:t>,</w:t>
      </w:r>
      <w:r w:rsidRPr="003E5B64">
        <w:rPr>
          <w:color w:val="000000" w:themeColor="text1"/>
          <w:sz w:val="24"/>
        </w:rPr>
        <w:t xml:space="preserve"> 3. vyd., 2018. 400 s. </w:t>
      </w:r>
      <w:r w:rsidR="00027BE6" w:rsidRPr="003E5B64">
        <w:rPr>
          <w:color w:val="000000" w:themeColor="text1"/>
          <w:sz w:val="24"/>
        </w:rPr>
        <w:br/>
      </w:r>
      <w:r w:rsidRPr="003E5B64">
        <w:rPr>
          <w:color w:val="000000" w:themeColor="text1"/>
          <w:sz w:val="24"/>
        </w:rPr>
        <w:t>ISBN: 978-80-271-0146-7.</w:t>
      </w:r>
    </w:p>
    <w:p w14:paraId="113C1ADB" w14:textId="1FFA9E81" w:rsidR="00013C78" w:rsidRPr="003E5B64" w:rsidRDefault="00013C78" w:rsidP="00DB30BB">
      <w:pPr>
        <w:pStyle w:val="Bezmezer"/>
        <w:numPr>
          <w:ilvl w:val="0"/>
          <w:numId w:val="2"/>
        </w:numPr>
        <w:spacing w:before="120" w:after="240" w:line="360" w:lineRule="auto"/>
        <w:ind w:left="641" w:hanging="357"/>
        <w:rPr>
          <w:rStyle w:val="Hypertextovodkaz"/>
          <w:color w:val="000000" w:themeColor="text1"/>
          <w:sz w:val="24"/>
          <w:u w:val="none"/>
        </w:rPr>
      </w:pPr>
      <w:r w:rsidRPr="003E5B64">
        <w:rPr>
          <w:color w:val="000000" w:themeColor="text1"/>
          <w:sz w:val="24"/>
        </w:rPr>
        <w:t xml:space="preserve">KADEŘÁBKOVÁ, Anna a Václav ŽĎÁREK. </w:t>
      </w:r>
      <w:r w:rsidRPr="003E5B64">
        <w:rPr>
          <w:i/>
          <w:iCs/>
          <w:color w:val="000000" w:themeColor="text1"/>
          <w:sz w:val="24"/>
        </w:rPr>
        <w:t xml:space="preserve">Makroekonomická analýza. </w:t>
      </w:r>
      <w:r w:rsidR="00D22FA9" w:rsidRPr="003E5B64">
        <w:rPr>
          <w:i/>
          <w:iCs/>
          <w:color w:val="000000" w:themeColor="text1"/>
          <w:sz w:val="24"/>
        </w:rPr>
        <w:br/>
      </w:r>
      <w:r w:rsidRPr="003E5B64">
        <w:rPr>
          <w:color w:val="000000" w:themeColor="text1"/>
          <w:sz w:val="24"/>
        </w:rPr>
        <w:t>Praha: V</w:t>
      </w:r>
      <w:r w:rsidR="00027BE6" w:rsidRPr="003E5B64">
        <w:rPr>
          <w:color w:val="000000" w:themeColor="text1"/>
          <w:sz w:val="24"/>
        </w:rPr>
        <w:t>Š</w:t>
      </w:r>
      <w:r w:rsidRPr="003E5B64">
        <w:rPr>
          <w:color w:val="000000" w:themeColor="text1"/>
          <w:sz w:val="24"/>
        </w:rPr>
        <w:t>EM, 2006. 293 s. ISBN: 978-80-86730-05-9.</w:t>
      </w:r>
    </w:p>
    <w:p w14:paraId="73F3ABBF" w14:textId="6C9F8929"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t xml:space="preserve">KAGAN, Julia. </w:t>
      </w:r>
      <w:proofErr w:type="spellStart"/>
      <w:r w:rsidRPr="003E5B64">
        <w:rPr>
          <w:i/>
          <w:iCs/>
          <w:color w:val="000000" w:themeColor="text1"/>
          <w:sz w:val="24"/>
        </w:rPr>
        <w:t>Quality</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Life</w:t>
      </w:r>
      <w:proofErr w:type="spellEnd"/>
      <w:r w:rsidRPr="003E5B64">
        <w:rPr>
          <w:i/>
          <w:iCs/>
          <w:color w:val="000000" w:themeColor="text1"/>
          <w:sz w:val="24"/>
        </w:rPr>
        <w:t xml:space="preserve">. </w:t>
      </w:r>
      <w:r w:rsidRPr="003E5B64">
        <w:rPr>
          <w:color w:val="000000" w:themeColor="text1"/>
          <w:sz w:val="24"/>
        </w:rPr>
        <w:t xml:space="preserve">Investopedia.com. [online]. 2019 [cit. 2020-01-22]. Dostupné z:  </w:t>
      </w:r>
      <w:hyperlink r:id="rId44" w:history="1">
        <w:r w:rsidRPr="003E5B64">
          <w:rPr>
            <w:rStyle w:val="Hypertextovodkaz"/>
            <w:color w:val="000000" w:themeColor="text1"/>
            <w:sz w:val="24"/>
            <w:u w:val="none"/>
          </w:rPr>
          <w:t>https://investopedia.com/terms/q/quality-of-life.asp</w:t>
        </w:r>
      </w:hyperlink>
      <w:r w:rsidR="00D22FA9" w:rsidRPr="003E5B64">
        <w:rPr>
          <w:rStyle w:val="Hypertextovodkaz"/>
          <w:color w:val="000000" w:themeColor="text1"/>
          <w:sz w:val="24"/>
          <w:u w:val="none"/>
        </w:rPr>
        <w:t>.</w:t>
      </w:r>
    </w:p>
    <w:p w14:paraId="3B507B46" w14:textId="3F5DE2FB"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Khan</w:t>
      </w:r>
      <w:proofErr w:type="spellEnd"/>
      <w:r w:rsidRPr="003E5B64">
        <w:rPr>
          <w:color w:val="000000" w:themeColor="text1"/>
          <w:sz w:val="24"/>
        </w:rPr>
        <w:t xml:space="preserve"> </w:t>
      </w:r>
      <w:proofErr w:type="spellStart"/>
      <w:r w:rsidRPr="003E5B64">
        <w:rPr>
          <w:color w:val="000000" w:themeColor="text1"/>
          <w:sz w:val="24"/>
        </w:rPr>
        <w:t>Academy</w:t>
      </w:r>
      <w:proofErr w:type="spellEnd"/>
      <w:r w:rsidRPr="003E5B64">
        <w:rPr>
          <w:color w:val="000000" w:themeColor="text1"/>
          <w:sz w:val="24"/>
        </w:rPr>
        <w:t xml:space="preserve">. </w:t>
      </w:r>
      <w:proofErr w:type="spellStart"/>
      <w:r w:rsidRPr="003E5B64">
        <w:rPr>
          <w:i/>
          <w:iCs/>
          <w:color w:val="000000" w:themeColor="text1"/>
          <w:sz w:val="24"/>
        </w:rPr>
        <w:t>How</w:t>
      </w:r>
      <w:proofErr w:type="spellEnd"/>
      <w:r w:rsidRPr="003E5B64">
        <w:rPr>
          <w:i/>
          <w:iCs/>
          <w:color w:val="000000" w:themeColor="text1"/>
          <w:sz w:val="24"/>
        </w:rPr>
        <w:t xml:space="preserve"> </w:t>
      </w:r>
      <w:proofErr w:type="spellStart"/>
      <w:r w:rsidRPr="003E5B64">
        <w:rPr>
          <w:i/>
          <w:iCs/>
          <w:color w:val="000000" w:themeColor="text1"/>
          <w:sz w:val="24"/>
        </w:rPr>
        <w:t>well</w:t>
      </w:r>
      <w:proofErr w:type="spellEnd"/>
      <w:r w:rsidRPr="003E5B64">
        <w:rPr>
          <w:i/>
          <w:iCs/>
          <w:color w:val="000000" w:themeColor="text1"/>
          <w:sz w:val="24"/>
        </w:rPr>
        <w:t xml:space="preserve"> GDP </w:t>
      </w:r>
      <w:proofErr w:type="spellStart"/>
      <w:r w:rsidRPr="003E5B64">
        <w:rPr>
          <w:i/>
          <w:iCs/>
          <w:color w:val="000000" w:themeColor="text1"/>
          <w:sz w:val="24"/>
        </w:rPr>
        <w:t>measures</w:t>
      </w:r>
      <w:proofErr w:type="spellEnd"/>
      <w:r w:rsidRPr="003E5B64">
        <w:rPr>
          <w:i/>
          <w:iCs/>
          <w:color w:val="000000" w:themeColor="text1"/>
          <w:sz w:val="24"/>
        </w:rPr>
        <w:t xml:space="preserve"> </w:t>
      </w:r>
      <w:proofErr w:type="spellStart"/>
      <w:r w:rsidRPr="003E5B64">
        <w:rPr>
          <w:i/>
          <w:iCs/>
          <w:color w:val="000000" w:themeColor="text1"/>
          <w:sz w:val="24"/>
        </w:rPr>
        <w:t>the</w:t>
      </w:r>
      <w:proofErr w:type="spellEnd"/>
      <w:r w:rsidRPr="003E5B64">
        <w:rPr>
          <w:i/>
          <w:iCs/>
          <w:color w:val="000000" w:themeColor="text1"/>
          <w:sz w:val="24"/>
        </w:rPr>
        <w:t xml:space="preserve"> </w:t>
      </w:r>
      <w:proofErr w:type="spellStart"/>
      <w:r w:rsidRPr="003E5B64">
        <w:rPr>
          <w:i/>
          <w:iCs/>
          <w:color w:val="000000" w:themeColor="text1"/>
          <w:sz w:val="24"/>
        </w:rPr>
        <w:t>well-being</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society. </w:t>
      </w:r>
      <w:r w:rsidRPr="003E5B64">
        <w:rPr>
          <w:color w:val="000000" w:themeColor="text1"/>
          <w:sz w:val="24"/>
        </w:rPr>
        <w:t xml:space="preserve">Khanacademy.org. [online]. 2020 [cit. 2020-01-24]. Dostupné z:  </w:t>
      </w:r>
      <w:hyperlink r:id="rId45" w:history="1">
        <w:r w:rsidRPr="003E5B64">
          <w:rPr>
            <w:rStyle w:val="Hypertextovodkaz"/>
            <w:color w:val="000000" w:themeColor="text1"/>
            <w:sz w:val="24"/>
            <w:u w:val="none"/>
          </w:rPr>
          <w:t>https://khanacademy.org/economics-finance-domain/macroeconomics/macro-economic-indicators-and-the-business-cycle/macro-limitations-of-gdp/a/how-well-gdp-measures-the-well-being-of-society-cnx</w:t>
        </w:r>
      </w:hyperlink>
      <w:r w:rsidR="00D22FA9" w:rsidRPr="003E5B64">
        <w:rPr>
          <w:rStyle w:val="Hypertextovodkaz"/>
          <w:color w:val="000000" w:themeColor="text1"/>
          <w:sz w:val="24"/>
          <w:u w:val="none"/>
        </w:rPr>
        <w:t>.</w:t>
      </w:r>
    </w:p>
    <w:p w14:paraId="46273450" w14:textId="5C4BC6EB" w:rsidR="00013C78" w:rsidRPr="003E5B64" w:rsidRDefault="00013C78" w:rsidP="00013C78">
      <w:pPr>
        <w:pStyle w:val="Bezmezer"/>
        <w:numPr>
          <w:ilvl w:val="0"/>
          <w:numId w:val="2"/>
        </w:numPr>
        <w:spacing w:before="120" w:after="240" w:line="360" w:lineRule="auto"/>
        <w:ind w:left="641" w:hanging="357"/>
        <w:rPr>
          <w:rStyle w:val="Hypertextovodkaz"/>
          <w:color w:val="auto"/>
          <w:sz w:val="24"/>
          <w:u w:val="none"/>
        </w:rPr>
      </w:pPr>
      <w:r w:rsidRPr="003E5B64">
        <w:rPr>
          <w:sz w:val="24"/>
        </w:rPr>
        <w:t xml:space="preserve">KLIKOVÁ, Christiana, Igor KOTLÁN a kol. </w:t>
      </w:r>
      <w:r w:rsidRPr="003E5B64">
        <w:rPr>
          <w:i/>
          <w:iCs/>
          <w:sz w:val="24"/>
        </w:rPr>
        <w:t xml:space="preserve">Hospodářská a sociální politika. </w:t>
      </w:r>
      <w:r w:rsidRPr="003E5B64">
        <w:rPr>
          <w:sz w:val="24"/>
        </w:rPr>
        <w:t>5. vyd. Ostrava: Vysoká škola sociálně správní, 2019. 388 s. ISBN: 978-80-87291-23-8.</w:t>
      </w:r>
    </w:p>
    <w:p w14:paraId="2A7BE2F6" w14:textId="01D3AA24" w:rsidR="00013C78" w:rsidRPr="003E5B64" w:rsidRDefault="00013C78" w:rsidP="00BF199E">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color w:val="000000" w:themeColor="text1"/>
          <w:sz w:val="24"/>
        </w:rPr>
        <w:t xml:space="preserve">KLUGMAN, </w:t>
      </w:r>
      <w:proofErr w:type="spellStart"/>
      <w:r w:rsidRPr="003E5B64">
        <w:rPr>
          <w:color w:val="000000" w:themeColor="text1"/>
          <w:sz w:val="24"/>
        </w:rPr>
        <w:t>Jeni</w:t>
      </w:r>
      <w:proofErr w:type="spellEnd"/>
      <w:r w:rsidRPr="003E5B64">
        <w:rPr>
          <w:color w:val="000000" w:themeColor="text1"/>
          <w:sz w:val="24"/>
        </w:rPr>
        <w:t xml:space="preserve"> a spol. </w:t>
      </w:r>
      <w:proofErr w:type="spellStart"/>
      <w:r w:rsidRPr="003E5B64">
        <w:rPr>
          <w:i/>
          <w:iCs/>
          <w:color w:val="000000" w:themeColor="text1"/>
          <w:sz w:val="24"/>
        </w:rPr>
        <w:t>The</w:t>
      </w:r>
      <w:proofErr w:type="spellEnd"/>
      <w:r w:rsidRPr="003E5B64">
        <w:rPr>
          <w:i/>
          <w:iCs/>
          <w:color w:val="000000" w:themeColor="text1"/>
          <w:sz w:val="24"/>
        </w:rPr>
        <w:t xml:space="preserve"> HDI 2010: New </w:t>
      </w:r>
      <w:proofErr w:type="spellStart"/>
      <w:r w:rsidRPr="003E5B64">
        <w:rPr>
          <w:i/>
          <w:iCs/>
          <w:color w:val="000000" w:themeColor="text1"/>
          <w:sz w:val="24"/>
        </w:rPr>
        <w:t>Controversies</w:t>
      </w:r>
      <w:proofErr w:type="spellEnd"/>
      <w:r w:rsidRPr="003E5B64">
        <w:rPr>
          <w:i/>
          <w:iCs/>
          <w:color w:val="000000" w:themeColor="text1"/>
          <w:sz w:val="24"/>
        </w:rPr>
        <w:t xml:space="preserve">, </w:t>
      </w:r>
      <w:proofErr w:type="spellStart"/>
      <w:r w:rsidRPr="003E5B64">
        <w:rPr>
          <w:i/>
          <w:iCs/>
          <w:color w:val="000000" w:themeColor="text1"/>
          <w:sz w:val="24"/>
        </w:rPr>
        <w:t>Old</w:t>
      </w:r>
      <w:proofErr w:type="spellEnd"/>
      <w:r w:rsidRPr="003E5B64">
        <w:rPr>
          <w:i/>
          <w:iCs/>
          <w:color w:val="000000" w:themeColor="text1"/>
          <w:sz w:val="24"/>
        </w:rPr>
        <w:t xml:space="preserve"> </w:t>
      </w:r>
      <w:proofErr w:type="spellStart"/>
      <w:r w:rsidRPr="003E5B64">
        <w:rPr>
          <w:i/>
          <w:iCs/>
          <w:color w:val="000000" w:themeColor="text1"/>
          <w:sz w:val="24"/>
        </w:rPr>
        <w:t>Critiques</w:t>
      </w:r>
      <w:proofErr w:type="spellEnd"/>
      <w:r w:rsidRPr="003E5B64">
        <w:rPr>
          <w:i/>
          <w:iCs/>
          <w:color w:val="000000" w:themeColor="text1"/>
          <w:sz w:val="24"/>
        </w:rPr>
        <w:t xml:space="preserve">. </w:t>
      </w:r>
      <w:r w:rsidRPr="003E5B64">
        <w:rPr>
          <w:color w:val="000000" w:themeColor="text1"/>
          <w:sz w:val="24"/>
        </w:rPr>
        <w:t>Hdr.undp.org. [online]. 2011 [cit. 2020-06-08]. Dostupné z:</w:t>
      </w:r>
      <w:r w:rsidR="00BF199E" w:rsidRPr="003E5B64">
        <w:rPr>
          <w:color w:val="000000" w:themeColor="text1"/>
          <w:sz w:val="24"/>
        </w:rPr>
        <w:t xml:space="preserve"> </w:t>
      </w:r>
      <w:hyperlink r:id="rId46" w:history="1">
        <w:r w:rsidR="00BF199E" w:rsidRPr="008A7955">
          <w:rPr>
            <w:rStyle w:val="Hypertextovodkaz"/>
            <w:sz w:val="24"/>
            <w:u w:val="none"/>
          </w:rPr>
          <w:t>http://hdr.undp.org/sites/default/files/hdrp_2011_01.pdf</w:t>
        </w:r>
      </w:hyperlink>
      <w:r w:rsidR="00D22FA9" w:rsidRPr="008A7955">
        <w:rPr>
          <w:rStyle w:val="Hypertextovodkaz"/>
          <w:color w:val="000000" w:themeColor="text1"/>
          <w:sz w:val="24"/>
          <w:u w:val="none"/>
        </w:rPr>
        <w:t>.</w:t>
      </w:r>
    </w:p>
    <w:p w14:paraId="2902F331" w14:textId="087CE604" w:rsidR="00013C78" w:rsidRPr="003E5B64" w:rsidRDefault="00013C78" w:rsidP="00013C78">
      <w:pPr>
        <w:pStyle w:val="Bezmezer"/>
        <w:numPr>
          <w:ilvl w:val="0"/>
          <w:numId w:val="2"/>
        </w:numPr>
        <w:spacing w:before="120" w:after="240" w:line="360" w:lineRule="auto"/>
        <w:rPr>
          <w:color w:val="000000" w:themeColor="text1"/>
          <w:sz w:val="24"/>
        </w:rPr>
      </w:pPr>
      <w:r w:rsidRPr="003E5B64">
        <w:rPr>
          <w:sz w:val="24"/>
        </w:rPr>
        <w:t xml:space="preserve">KREBS, Vojtěch a kol. </w:t>
      </w:r>
      <w:r w:rsidRPr="003E5B64">
        <w:rPr>
          <w:i/>
          <w:iCs/>
          <w:sz w:val="24"/>
        </w:rPr>
        <w:t>Sociální politika</w:t>
      </w:r>
      <w:r w:rsidRPr="003E5B64">
        <w:rPr>
          <w:sz w:val="24"/>
        </w:rPr>
        <w:t xml:space="preserve">. 6., přepracované a aktualizované </w:t>
      </w:r>
      <w:r w:rsidR="00D22FA9" w:rsidRPr="003E5B64">
        <w:rPr>
          <w:sz w:val="24"/>
        </w:rPr>
        <w:t>vyd</w:t>
      </w:r>
      <w:r w:rsidRPr="003E5B64">
        <w:rPr>
          <w:sz w:val="24"/>
        </w:rPr>
        <w:t xml:space="preserve">. </w:t>
      </w:r>
      <w:r w:rsidR="00D22FA9" w:rsidRPr="003E5B64">
        <w:rPr>
          <w:sz w:val="24"/>
        </w:rPr>
        <w:br/>
      </w:r>
      <w:r w:rsidRPr="003E5B64">
        <w:rPr>
          <w:sz w:val="24"/>
        </w:rPr>
        <w:t xml:space="preserve">Praha: </w:t>
      </w:r>
      <w:proofErr w:type="spellStart"/>
      <w:r w:rsidRPr="003E5B64">
        <w:rPr>
          <w:sz w:val="24"/>
        </w:rPr>
        <w:t>Wolters</w:t>
      </w:r>
      <w:proofErr w:type="spellEnd"/>
      <w:r w:rsidRPr="003E5B64">
        <w:rPr>
          <w:sz w:val="24"/>
        </w:rPr>
        <w:t xml:space="preserve"> </w:t>
      </w:r>
      <w:proofErr w:type="spellStart"/>
      <w:r w:rsidRPr="003E5B64">
        <w:rPr>
          <w:sz w:val="24"/>
        </w:rPr>
        <w:t>Kluwer</w:t>
      </w:r>
      <w:proofErr w:type="spellEnd"/>
      <w:r w:rsidRPr="003E5B64">
        <w:rPr>
          <w:sz w:val="24"/>
        </w:rPr>
        <w:t>, 2015. 568 s. ISSN 978-80-7478-921-2.</w:t>
      </w:r>
    </w:p>
    <w:p w14:paraId="42E85354" w14:textId="76E65507" w:rsidR="00013C78" w:rsidRPr="003E5B64" w:rsidRDefault="00013C78" w:rsidP="00013C78">
      <w:pPr>
        <w:pStyle w:val="Bezmezer"/>
        <w:numPr>
          <w:ilvl w:val="0"/>
          <w:numId w:val="2"/>
        </w:numPr>
        <w:spacing w:before="120" w:after="240" w:line="360" w:lineRule="auto"/>
        <w:rPr>
          <w:color w:val="000000" w:themeColor="text1"/>
          <w:sz w:val="24"/>
        </w:rPr>
      </w:pPr>
      <w:r w:rsidRPr="003E5B64">
        <w:rPr>
          <w:color w:val="000000" w:themeColor="text1"/>
          <w:sz w:val="24"/>
        </w:rPr>
        <w:t xml:space="preserve">KUBÁTOVÁ, Helena. </w:t>
      </w:r>
      <w:r w:rsidRPr="003E5B64">
        <w:rPr>
          <w:i/>
          <w:iCs/>
          <w:color w:val="000000" w:themeColor="text1"/>
          <w:sz w:val="24"/>
        </w:rPr>
        <w:t xml:space="preserve">Sociologie životního způsobu. </w:t>
      </w:r>
      <w:r w:rsidRPr="003E5B64">
        <w:rPr>
          <w:color w:val="000000" w:themeColor="text1"/>
          <w:sz w:val="24"/>
        </w:rPr>
        <w:t xml:space="preserve">Grada </w:t>
      </w:r>
      <w:proofErr w:type="spellStart"/>
      <w:r w:rsidRPr="003E5B64">
        <w:rPr>
          <w:color w:val="000000" w:themeColor="text1"/>
          <w:sz w:val="24"/>
        </w:rPr>
        <w:t>Publishing</w:t>
      </w:r>
      <w:proofErr w:type="spellEnd"/>
      <w:r w:rsidRPr="003E5B64">
        <w:rPr>
          <w:color w:val="000000" w:themeColor="text1"/>
          <w:sz w:val="24"/>
        </w:rPr>
        <w:t>,</w:t>
      </w:r>
      <w:r w:rsidR="00027BE6" w:rsidRPr="003E5B64">
        <w:rPr>
          <w:color w:val="000000" w:themeColor="text1"/>
          <w:sz w:val="24"/>
        </w:rPr>
        <w:t xml:space="preserve"> </w:t>
      </w:r>
      <w:r w:rsidRPr="003E5B64">
        <w:rPr>
          <w:color w:val="000000" w:themeColor="text1"/>
          <w:sz w:val="24"/>
        </w:rPr>
        <w:t>2010. 272 s. ISBN: 978-80-247-2456-0.</w:t>
      </w:r>
    </w:p>
    <w:p w14:paraId="3620DECA" w14:textId="37B0D68C" w:rsidR="00013C78" w:rsidRPr="003E5B64" w:rsidRDefault="00013C78" w:rsidP="00013C78">
      <w:pPr>
        <w:pStyle w:val="Bezmezer"/>
        <w:numPr>
          <w:ilvl w:val="0"/>
          <w:numId w:val="2"/>
        </w:numPr>
        <w:spacing w:before="120" w:after="240" w:line="360" w:lineRule="auto"/>
        <w:rPr>
          <w:color w:val="000000" w:themeColor="text1"/>
          <w:sz w:val="24"/>
        </w:rPr>
      </w:pPr>
      <w:r w:rsidRPr="003E5B64">
        <w:rPr>
          <w:sz w:val="24"/>
        </w:rPr>
        <w:t xml:space="preserve">LAMB, Charles W, Joseph F. HAIR a Carl D. MCDANIEL. </w:t>
      </w:r>
      <w:r w:rsidRPr="003E5B64">
        <w:rPr>
          <w:i/>
          <w:iCs/>
          <w:sz w:val="24"/>
        </w:rPr>
        <w:t xml:space="preserve">Essentials </w:t>
      </w:r>
      <w:proofErr w:type="spellStart"/>
      <w:r w:rsidRPr="003E5B64">
        <w:rPr>
          <w:i/>
          <w:iCs/>
          <w:sz w:val="24"/>
        </w:rPr>
        <w:t>of</w:t>
      </w:r>
      <w:proofErr w:type="spellEnd"/>
      <w:r w:rsidRPr="003E5B64">
        <w:rPr>
          <w:i/>
          <w:iCs/>
          <w:sz w:val="24"/>
        </w:rPr>
        <w:t xml:space="preserve"> marketing. </w:t>
      </w:r>
      <w:r w:rsidRPr="003E5B64">
        <w:rPr>
          <w:sz w:val="24"/>
        </w:rPr>
        <w:t>6. </w:t>
      </w:r>
      <w:r w:rsidR="00027BE6" w:rsidRPr="003E5B64">
        <w:rPr>
          <w:sz w:val="24"/>
        </w:rPr>
        <w:t>vyd</w:t>
      </w:r>
      <w:r w:rsidRPr="003E5B64">
        <w:rPr>
          <w:sz w:val="24"/>
        </w:rPr>
        <w:t xml:space="preserve">. </w:t>
      </w:r>
      <w:proofErr w:type="spellStart"/>
      <w:r w:rsidRPr="003E5B64">
        <w:rPr>
          <w:sz w:val="24"/>
        </w:rPr>
        <w:t>Cengage</w:t>
      </w:r>
      <w:proofErr w:type="spellEnd"/>
      <w:r w:rsidRPr="003E5B64">
        <w:rPr>
          <w:sz w:val="24"/>
        </w:rPr>
        <w:t xml:space="preserve"> Learning, 2009, 177 s. ISBN 0-324-65620-3.</w:t>
      </w:r>
    </w:p>
    <w:p w14:paraId="348856F4" w14:textId="3A90ECC3"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rPr>
      </w:pPr>
      <w:r w:rsidRPr="003E5B64">
        <w:rPr>
          <w:color w:val="000000" w:themeColor="text1"/>
          <w:sz w:val="24"/>
        </w:rPr>
        <w:t xml:space="preserve">MAJASKI, Christina. </w:t>
      </w:r>
      <w:proofErr w:type="spellStart"/>
      <w:r w:rsidRPr="003E5B64">
        <w:rPr>
          <w:i/>
          <w:iCs/>
          <w:color w:val="000000" w:themeColor="text1"/>
          <w:sz w:val="24"/>
        </w:rPr>
        <w:t>Developed</w:t>
      </w:r>
      <w:proofErr w:type="spellEnd"/>
      <w:r w:rsidRPr="003E5B64">
        <w:rPr>
          <w:i/>
          <w:iCs/>
          <w:color w:val="000000" w:themeColor="text1"/>
          <w:sz w:val="24"/>
        </w:rPr>
        <w:t xml:space="preserve"> </w:t>
      </w:r>
      <w:proofErr w:type="spellStart"/>
      <w:r w:rsidRPr="003E5B64">
        <w:rPr>
          <w:i/>
          <w:iCs/>
          <w:color w:val="000000" w:themeColor="text1"/>
          <w:sz w:val="24"/>
        </w:rPr>
        <w:t>Economy</w:t>
      </w:r>
      <w:proofErr w:type="spellEnd"/>
      <w:r w:rsidRPr="003E5B64">
        <w:rPr>
          <w:i/>
          <w:iCs/>
          <w:color w:val="000000" w:themeColor="text1"/>
          <w:sz w:val="24"/>
        </w:rPr>
        <w:t xml:space="preserve">. </w:t>
      </w:r>
      <w:r w:rsidRPr="003E5B64">
        <w:rPr>
          <w:color w:val="000000" w:themeColor="text1"/>
          <w:sz w:val="24"/>
        </w:rPr>
        <w:t xml:space="preserve">Investopedia.com. [online]. 2019 [cit. 2020-01-21]. Dostupné z:  </w:t>
      </w:r>
      <w:hyperlink r:id="rId47" w:history="1">
        <w:r w:rsidRPr="003E5B64">
          <w:rPr>
            <w:rStyle w:val="Hypertextovodkaz"/>
            <w:color w:val="000000" w:themeColor="text1"/>
            <w:sz w:val="24"/>
            <w:u w:val="none"/>
          </w:rPr>
          <w:t>https://investopedia.com/terms/d/developed-economy.asp</w:t>
        </w:r>
      </w:hyperlink>
      <w:r w:rsidR="00D22FA9" w:rsidRPr="003E5B64">
        <w:rPr>
          <w:rStyle w:val="Hypertextovodkaz"/>
          <w:color w:val="000000" w:themeColor="text1"/>
          <w:sz w:val="24"/>
          <w:u w:val="none"/>
        </w:rPr>
        <w:t>.</w:t>
      </w:r>
    </w:p>
    <w:p w14:paraId="33DCF7B2" w14:textId="009A7242" w:rsidR="00A83223" w:rsidRPr="003E5B64" w:rsidRDefault="00A83223" w:rsidP="00013C78">
      <w:pPr>
        <w:pStyle w:val="Bezmezer"/>
        <w:numPr>
          <w:ilvl w:val="0"/>
          <w:numId w:val="2"/>
        </w:numPr>
        <w:spacing w:before="120" w:after="240" w:line="360" w:lineRule="auto"/>
        <w:rPr>
          <w:color w:val="000000" w:themeColor="text1"/>
          <w:sz w:val="24"/>
          <w:u w:val="single"/>
        </w:rPr>
      </w:pPr>
      <w:r w:rsidRPr="003E5B64">
        <w:rPr>
          <w:color w:val="000000" w:themeColor="text1"/>
          <w:sz w:val="24"/>
        </w:rPr>
        <w:lastRenderedPageBreak/>
        <w:t xml:space="preserve">MALÁ, Zdeňka a Gabriela ČERVENÁ. </w:t>
      </w:r>
      <w:r w:rsidRPr="003E5B64">
        <w:rPr>
          <w:i/>
          <w:iCs/>
          <w:color w:val="000000" w:themeColor="text1"/>
          <w:sz w:val="24"/>
        </w:rPr>
        <w:t xml:space="preserve">Dekompoziční analýza příjmové nerovnosti v České republice. </w:t>
      </w:r>
      <w:r w:rsidRPr="003E5B64">
        <w:rPr>
          <w:color w:val="000000" w:themeColor="text1"/>
          <w:sz w:val="24"/>
        </w:rPr>
        <w:t>Ostrava: VŠB-TU, 2012</w:t>
      </w:r>
      <w:r w:rsidR="0067040D" w:rsidRPr="003E5B64">
        <w:rPr>
          <w:color w:val="000000" w:themeColor="text1"/>
          <w:sz w:val="24"/>
        </w:rPr>
        <w:t>. ISSN: 1212-3951.</w:t>
      </w:r>
    </w:p>
    <w:p w14:paraId="6EAE7683" w14:textId="64D7CF5A" w:rsidR="008C653E" w:rsidRPr="003E5B64" w:rsidRDefault="00013C78"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Mapa Evropy. </w:t>
      </w:r>
      <w:r w:rsidRPr="003E5B64">
        <w:rPr>
          <w:i/>
          <w:iCs/>
          <w:sz w:val="24"/>
        </w:rPr>
        <w:t xml:space="preserve">Mapa střední Evropy. </w:t>
      </w:r>
      <w:r w:rsidRPr="003E5B64">
        <w:rPr>
          <w:sz w:val="24"/>
        </w:rPr>
        <w:t xml:space="preserve">Mapaevropy.eu [online]. 2017 [cit. 2020-06-20]. Dostupné z: </w:t>
      </w:r>
      <w:hyperlink r:id="rId48" w:history="1">
        <w:r w:rsidRPr="003E5B64">
          <w:rPr>
            <w:rStyle w:val="Hypertextovodkaz"/>
            <w:sz w:val="24"/>
            <w:u w:val="none"/>
          </w:rPr>
          <w:t>https://mapaevropy.eu/mapa-stredni-evropy/</w:t>
        </w:r>
      </w:hyperlink>
      <w:r w:rsidR="00D22FA9" w:rsidRPr="003E5B64">
        <w:rPr>
          <w:rStyle w:val="Hypertextovodkaz"/>
          <w:sz w:val="24"/>
          <w:u w:val="none"/>
        </w:rPr>
        <w:t>.</w:t>
      </w:r>
    </w:p>
    <w:p w14:paraId="19FA87FF" w14:textId="271DF166" w:rsidR="008C653E" w:rsidRPr="003E5B64" w:rsidRDefault="008C653E" w:rsidP="00BF199E">
      <w:pPr>
        <w:pStyle w:val="Bezmezer"/>
        <w:numPr>
          <w:ilvl w:val="0"/>
          <w:numId w:val="2"/>
        </w:numPr>
        <w:spacing w:before="120" w:after="240" w:line="360" w:lineRule="auto"/>
        <w:ind w:left="641" w:hanging="357"/>
        <w:jc w:val="left"/>
        <w:rPr>
          <w:sz w:val="24"/>
        </w:rPr>
      </w:pPr>
      <w:r w:rsidRPr="003E5B64">
        <w:rPr>
          <w:noProof/>
          <w:sz w:val="24"/>
          <w:lang w:val="pl-PL"/>
        </w:rPr>
        <w:t xml:space="preserve">MAREK, Luboš. </w:t>
      </w:r>
      <w:r w:rsidRPr="003E5B64">
        <w:rPr>
          <w:i/>
          <w:iCs/>
          <w:noProof/>
          <w:sz w:val="24"/>
          <w:lang w:val="pl-PL"/>
        </w:rPr>
        <w:t>Analýza vývoje mezd v ČR v letech 1995–2008</w:t>
      </w:r>
      <w:r w:rsidRPr="003E5B64">
        <w:rPr>
          <w:noProof/>
          <w:sz w:val="24"/>
          <w:lang w:val="pl-PL"/>
        </w:rPr>
        <w:t xml:space="preserve">. Polek.vse.cz. </w:t>
      </w:r>
      <w:r w:rsidRPr="003E5B64">
        <w:rPr>
          <w:sz w:val="24"/>
        </w:rPr>
        <w:t xml:space="preserve">[online]. </w:t>
      </w:r>
      <w:r w:rsidRPr="003E5B64">
        <w:rPr>
          <w:noProof/>
          <w:sz w:val="24"/>
        </w:rPr>
        <w:t xml:space="preserve">2010. </w:t>
      </w:r>
      <w:r w:rsidRPr="003E5B64">
        <w:rPr>
          <w:sz w:val="24"/>
        </w:rPr>
        <w:t>[cit. 2020-06-20]. Dostupné z:</w:t>
      </w:r>
      <w:r w:rsidR="00BF199E" w:rsidRPr="003E5B64">
        <w:rPr>
          <w:sz w:val="24"/>
        </w:rPr>
        <w:t xml:space="preserve"> </w:t>
      </w:r>
      <w:hyperlink r:id="rId49" w:history="1">
        <w:r w:rsidR="00BF199E" w:rsidRPr="008A7955">
          <w:rPr>
            <w:rStyle w:val="Hypertextovodkaz"/>
            <w:sz w:val="24"/>
            <w:u w:val="none"/>
          </w:rPr>
          <w:t>https://polek.vse.cz/pdfs/pol/2010/02/03.pdf</w:t>
        </w:r>
      </w:hyperlink>
      <w:r w:rsidR="00D22FA9" w:rsidRPr="008A7955">
        <w:rPr>
          <w:rStyle w:val="Hypertextovodkaz"/>
          <w:sz w:val="24"/>
          <w:u w:val="none"/>
        </w:rPr>
        <w:t>.</w:t>
      </w:r>
    </w:p>
    <w:p w14:paraId="302977A9" w14:textId="31D4C216" w:rsidR="00791743" w:rsidRPr="003E5B64" w:rsidRDefault="00791743" w:rsidP="008C653E">
      <w:pPr>
        <w:pStyle w:val="Bezmezer"/>
        <w:numPr>
          <w:ilvl w:val="0"/>
          <w:numId w:val="2"/>
        </w:numPr>
        <w:spacing w:before="120" w:after="240" w:line="360" w:lineRule="auto"/>
        <w:ind w:left="641" w:hanging="357"/>
        <w:rPr>
          <w:sz w:val="24"/>
        </w:rPr>
      </w:pPr>
      <w:r w:rsidRPr="003E5B64">
        <w:rPr>
          <w:sz w:val="24"/>
        </w:rPr>
        <w:t xml:space="preserve">MAREŠ, Petr. </w:t>
      </w:r>
      <w:r w:rsidRPr="003E5B64">
        <w:rPr>
          <w:i/>
          <w:iCs/>
          <w:sz w:val="24"/>
        </w:rPr>
        <w:t>Sociologie nerovnosti a chudoby</w:t>
      </w:r>
      <w:r w:rsidRPr="003E5B64">
        <w:rPr>
          <w:sz w:val="24"/>
        </w:rPr>
        <w:t xml:space="preserve">. Praha: SLON, 1999. 248 s. </w:t>
      </w:r>
      <w:r w:rsidR="00CD4CBA" w:rsidRPr="003E5B64">
        <w:rPr>
          <w:sz w:val="24"/>
        </w:rPr>
        <w:br/>
      </w:r>
      <w:r w:rsidRPr="003E5B64">
        <w:rPr>
          <w:sz w:val="24"/>
        </w:rPr>
        <w:t xml:space="preserve">ISBN: 978-80-8585-061-1. </w:t>
      </w:r>
    </w:p>
    <w:p w14:paraId="5E3746D5" w14:textId="51280282" w:rsidR="00791743" w:rsidRPr="003E5B64" w:rsidRDefault="00791743"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MAREŠ, Petr a Ladislav RABUŠIC. </w:t>
      </w:r>
      <w:r w:rsidRPr="003E5B64">
        <w:rPr>
          <w:i/>
          <w:iCs/>
          <w:sz w:val="24"/>
        </w:rPr>
        <w:t xml:space="preserve">K měření subjektivní chudoby v české společnosti. </w:t>
      </w:r>
      <w:r w:rsidRPr="003E5B64">
        <w:rPr>
          <w:sz w:val="24"/>
        </w:rPr>
        <w:t xml:space="preserve">Sreview.soc.cas.cz [on-line]. 1996 [cit. 2020-06-20]. Dostupné z: </w:t>
      </w:r>
      <w:hyperlink r:id="rId50" w:history="1">
        <w:r w:rsidRPr="003E5B64">
          <w:rPr>
            <w:rStyle w:val="Hypertextovodkaz"/>
            <w:sz w:val="24"/>
            <w:u w:val="none"/>
          </w:rPr>
          <w:t>https://sreview.soc.cas.cz/pdfs/csr/1996/03/05.pdf</w:t>
        </w:r>
      </w:hyperlink>
      <w:r w:rsidR="00D22FA9" w:rsidRPr="003E5B64">
        <w:rPr>
          <w:rStyle w:val="Hypertextovodkaz"/>
          <w:sz w:val="24"/>
          <w:u w:val="none"/>
        </w:rPr>
        <w:t>.</w:t>
      </w:r>
    </w:p>
    <w:p w14:paraId="0906AAF1" w14:textId="06F506D4" w:rsidR="00791743" w:rsidRPr="003E5B64" w:rsidRDefault="00791743"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sz w:val="24"/>
        </w:rPr>
        <w:t>Mental</w:t>
      </w:r>
      <w:proofErr w:type="spellEnd"/>
      <w:r w:rsidRPr="003E5B64">
        <w:rPr>
          <w:sz w:val="24"/>
        </w:rPr>
        <w:t xml:space="preserve"> </w:t>
      </w:r>
      <w:proofErr w:type="spellStart"/>
      <w:r w:rsidRPr="003E5B64">
        <w:rPr>
          <w:sz w:val="24"/>
        </w:rPr>
        <w:t>Health</w:t>
      </w:r>
      <w:proofErr w:type="spellEnd"/>
      <w:r w:rsidRPr="003E5B64">
        <w:rPr>
          <w:sz w:val="24"/>
        </w:rPr>
        <w:t xml:space="preserve"> </w:t>
      </w:r>
      <w:proofErr w:type="spellStart"/>
      <w:r w:rsidRPr="003E5B64">
        <w:rPr>
          <w:sz w:val="24"/>
        </w:rPr>
        <w:t>Foundation</w:t>
      </w:r>
      <w:proofErr w:type="spellEnd"/>
      <w:r w:rsidRPr="003E5B64">
        <w:rPr>
          <w:sz w:val="24"/>
        </w:rPr>
        <w:t xml:space="preserve">. </w:t>
      </w:r>
      <w:proofErr w:type="spellStart"/>
      <w:r w:rsidRPr="003E5B64">
        <w:rPr>
          <w:i/>
          <w:iCs/>
          <w:sz w:val="24"/>
        </w:rPr>
        <w:t>What</w:t>
      </w:r>
      <w:proofErr w:type="spellEnd"/>
      <w:r w:rsidRPr="003E5B64">
        <w:rPr>
          <w:i/>
          <w:iCs/>
          <w:sz w:val="24"/>
        </w:rPr>
        <w:t xml:space="preserve"> </w:t>
      </w:r>
      <w:proofErr w:type="spellStart"/>
      <w:r w:rsidRPr="003E5B64">
        <w:rPr>
          <w:i/>
          <w:iCs/>
          <w:sz w:val="24"/>
        </w:rPr>
        <w:t>does</w:t>
      </w:r>
      <w:proofErr w:type="spellEnd"/>
      <w:r w:rsidRPr="003E5B64">
        <w:rPr>
          <w:i/>
          <w:iCs/>
          <w:sz w:val="24"/>
        </w:rPr>
        <w:t xml:space="preserve"> </w:t>
      </w:r>
      <w:proofErr w:type="spellStart"/>
      <w:r w:rsidRPr="003E5B64">
        <w:rPr>
          <w:i/>
          <w:iCs/>
          <w:color w:val="000000" w:themeColor="text1"/>
          <w:sz w:val="24"/>
        </w:rPr>
        <w:t>wellbeing</w:t>
      </w:r>
      <w:proofErr w:type="spellEnd"/>
      <w:r w:rsidRPr="003E5B64">
        <w:rPr>
          <w:i/>
          <w:iCs/>
          <w:color w:val="000000" w:themeColor="text1"/>
          <w:sz w:val="24"/>
        </w:rPr>
        <w:t xml:space="preserve"> </w:t>
      </w:r>
      <w:proofErr w:type="spellStart"/>
      <w:r w:rsidRPr="003E5B64">
        <w:rPr>
          <w:i/>
          <w:iCs/>
          <w:color w:val="000000" w:themeColor="text1"/>
          <w:sz w:val="24"/>
        </w:rPr>
        <w:t>actually</w:t>
      </w:r>
      <w:proofErr w:type="spellEnd"/>
      <w:r w:rsidRPr="003E5B64">
        <w:rPr>
          <w:i/>
          <w:iCs/>
          <w:color w:val="000000" w:themeColor="text1"/>
          <w:sz w:val="24"/>
        </w:rPr>
        <w:t xml:space="preserve"> </w:t>
      </w:r>
      <w:proofErr w:type="spellStart"/>
      <w:r w:rsidRPr="003E5B64">
        <w:rPr>
          <w:i/>
          <w:iCs/>
          <w:color w:val="000000" w:themeColor="text1"/>
          <w:sz w:val="24"/>
        </w:rPr>
        <w:t>mean</w:t>
      </w:r>
      <w:proofErr w:type="spellEnd"/>
      <w:r w:rsidRPr="003E5B64">
        <w:rPr>
          <w:i/>
          <w:iCs/>
          <w:color w:val="000000" w:themeColor="text1"/>
          <w:sz w:val="24"/>
        </w:rPr>
        <w:t>?</w:t>
      </w:r>
      <w:r w:rsidRPr="003E5B64">
        <w:rPr>
          <w:color w:val="000000" w:themeColor="text1"/>
          <w:sz w:val="24"/>
        </w:rPr>
        <w:t xml:space="preserve"> Wellbeingpeople.com [online]. 2018 [cit. 2020-02-22]. Dostupné z:</w:t>
      </w:r>
      <w:r w:rsidRPr="003E5B64">
        <w:rPr>
          <w:color w:val="000000" w:themeColor="text1"/>
          <w:sz w:val="24"/>
        </w:rPr>
        <w:br/>
        <w:t xml:space="preserve"> </w:t>
      </w:r>
      <w:hyperlink r:id="rId51" w:history="1">
        <w:r w:rsidRPr="003E5B64">
          <w:rPr>
            <w:rStyle w:val="Hypertextovodkaz"/>
            <w:color w:val="000000" w:themeColor="text1"/>
            <w:sz w:val="24"/>
            <w:u w:val="none"/>
          </w:rPr>
          <w:t>https://wellbeingpeople.com/2018/07/20/what-does-wellbeing-actually-mean/</w:t>
        </w:r>
      </w:hyperlink>
      <w:r w:rsidR="00D22FA9" w:rsidRPr="003E5B64">
        <w:rPr>
          <w:rStyle w:val="Hypertextovodkaz"/>
          <w:color w:val="000000" w:themeColor="text1"/>
          <w:sz w:val="24"/>
          <w:u w:val="none"/>
        </w:rPr>
        <w:t>.</w:t>
      </w:r>
    </w:p>
    <w:p w14:paraId="6BB4A297" w14:textId="42631F19" w:rsidR="00791743" w:rsidRPr="003E5B64" w:rsidRDefault="00791743"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sz w:val="24"/>
        </w:rPr>
        <w:t>Mental</w:t>
      </w:r>
      <w:proofErr w:type="spellEnd"/>
      <w:r w:rsidRPr="003E5B64">
        <w:rPr>
          <w:sz w:val="24"/>
        </w:rPr>
        <w:t xml:space="preserve"> </w:t>
      </w:r>
      <w:proofErr w:type="spellStart"/>
      <w:r w:rsidRPr="003E5B64">
        <w:rPr>
          <w:sz w:val="24"/>
        </w:rPr>
        <w:t>Health</w:t>
      </w:r>
      <w:proofErr w:type="spellEnd"/>
      <w:r w:rsidRPr="003E5B64">
        <w:rPr>
          <w:sz w:val="24"/>
        </w:rPr>
        <w:t xml:space="preserve"> </w:t>
      </w:r>
      <w:proofErr w:type="spellStart"/>
      <w:r w:rsidRPr="003E5B64">
        <w:rPr>
          <w:sz w:val="24"/>
        </w:rPr>
        <w:t>Foundation</w:t>
      </w:r>
      <w:proofErr w:type="spellEnd"/>
      <w:r w:rsidRPr="003E5B64">
        <w:rPr>
          <w:sz w:val="24"/>
        </w:rPr>
        <w:t xml:space="preserve">. </w:t>
      </w:r>
      <w:proofErr w:type="spellStart"/>
      <w:r w:rsidRPr="003E5B64">
        <w:rPr>
          <w:sz w:val="24"/>
        </w:rPr>
        <w:t>What</w:t>
      </w:r>
      <w:proofErr w:type="spellEnd"/>
      <w:r w:rsidRPr="003E5B64">
        <w:rPr>
          <w:sz w:val="24"/>
        </w:rPr>
        <w:t xml:space="preserve"> </w:t>
      </w:r>
      <w:proofErr w:type="spellStart"/>
      <w:r w:rsidRPr="003E5B64">
        <w:rPr>
          <w:sz w:val="24"/>
        </w:rPr>
        <w:t>is</w:t>
      </w:r>
      <w:proofErr w:type="spellEnd"/>
      <w:r w:rsidRPr="003E5B64">
        <w:rPr>
          <w:sz w:val="24"/>
        </w:rPr>
        <w:t xml:space="preserve"> </w:t>
      </w:r>
      <w:proofErr w:type="spellStart"/>
      <w:r w:rsidRPr="003E5B64">
        <w:rPr>
          <w:sz w:val="24"/>
        </w:rPr>
        <w:t>wellbeing</w:t>
      </w:r>
      <w:proofErr w:type="spellEnd"/>
      <w:r w:rsidRPr="003E5B64">
        <w:rPr>
          <w:sz w:val="24"/>
        </w:rPr>
        <w:t xml:space="preserve">, </w:t>
      </w:r>
      <w:proofErr w:type="spellStart"/>
      <w:r w:rsidRPr="003E5B64">
        <w:rPr>
          <w:sz w:val="24"/>
        </w:rPr>
        <w:t>how</w:t>
      </w:r>
      <w:proofErr w:type="spellEnd"/>
      <w:r w:rsidRPr="003E5B64">
        <w:rPr>
          <w:sz w:val="24"/>
        </w:rPr>
        <w:t xml:space="preserve"> </w:t>
      </w:r>
      <w:proofErr w:type="spellStart"/>
      <w:r w:rsidRPr="003E5B64">
        <w:rPr>
          <w:sz w:val="24"/>
        </w:rPr>
        <w:t>can</w:t>
      </w:r>
      <w:proofErr w:type="spellEnd"/>
      <w:r w:rsidRPr="003E5B64">
        <w:rPr>
          <w:sz w:val="24"/>
        </w:rPr>
        <w:t xml:space="preserve"> </w:t>
      </w:r>
      <w:proofErr w:type="spellStart"/>
      <w:r w:rsidRPr="003E5B64">
        <w:rPr>
          <w:sz w:val="24"/>
        </w:rPr>
        <w:t>we</w:t>
      </w:r>
      <w:proofErr w:type="spellEnd"/>
      <w:r w:rsidRPr="003E5B64">
        <w:rPr>
          <w:sz w:val="24"/>
        </w:rPr>
        <w:t xml:space="preserve"> </w:t>
      </w:r>
      <w:proofErr w:type="spellStart"/>
      <w:r w:rsidRPr="003E5B64">
        <w:rPr>
          <w:sz w:val="24"/>
        </w:rPr>
        <w:t>measure</w:t>
      </w:r>
      <w:proofErr w:type="spellEnd"/>
      <w:r w:rsidRPr="003E5B64">
        <w:rPr>
          <w:sz w:val="24"/>
        </w:rPr>
        <w:t xml:space="preserve"> </w:t>
      </w:r>
      <w:proofErr w:type="spellStart"/>
      <w:r w:rsidRPr="003E5B64">
        <w:rPr>
          <w:sz w:val="24"/>
        </w:rPr>
        <w:t>it</w:t>
      </w:r>
      <w:proofErr w:type="spellEnd"/>
      <w:r w:rsidRPr="003E5B64">
        <w:rPr>
          <w:sz w:val="24"/>
        </w:rPr>
        <w:t xml:space="preserve"> and </w:t>
      </w:r>
      <w:proofErr w:type="spellStart"/>
      <w:r w:rsidRPr="003E5B64">
        <w:rPr>
          <w:sz w:val="24"/>
        </w:rPr>
        <w:t>how</w:t>
      </w:r>
      <w:proofErr w:type="spellEnd"/>
      <w:r w:rsidRPr="003E5B64">
        <w:rPr>
          <w:sz w:val="24"/>
        </w:rPr>
        <w:t xml:space="preserve"> </w:t>
      </w:r>
      <w:proofErr w:type="spellStart"/>
      <w:r w:rsidRPr="003E5B64">
        <w:rPr>
          <w:sz w:val="24"/>
        </w:rPr>
        <w:t>can</w:t>
      </w:r>
      <w:proofErr w:type="spellEnd"/>
      <w:r w:rsidRPr="003E5B64">
        <w:rPr>
          <w:sz w:val="24"/>
        </w:rPr>
        <w:t xml:space="preserve"> </w:t>
      </w:r>
      <w:proofErr w:type="spellStart"/>
      <w:r w:rsidRPr="003E5B64">
        <w:rPr>
          <w:sz w:val="24"/>
        </w:rPr>
        <w:t>we</w:t>
      </w:r>
      <w:proofErr w:type="spellEnd"/>
      <w:r w:rsidRPr="003E5B64">
        <w:rPr>
          <w:sz w:val="24"/>
        </w:rPr>
        <w:t xml:space="preserve"> support </w:t>
      </w:r>
      <w:proofErr w:type="spellStart"/>
      <w:r w:rsidRPr="003E5B64">
        <w:rPr>
          <w:sz w:val="24"/>
        </w:rPr>
        <w:t>people</w:t>
      </w:r>
      <w:proofErr w:type="spellEnd"/>
      <w:r w:rsidRPr="003E5B64">
        <w:rPr>
          <w:sz w:val="24"/>
        </w:rPr>
        <w:t xml:space="preserve"> to</w:t>
      </w:r>
      <w:r w:rsidRPr="003E5B64">
        <w:rPr>
          <w:color w:val="000000" w:themeColor="text1"/>
          <w:sz w:val="24"/>
        </w:rPr>
        <w:t xml:space="preserve"> </w:t>
      </w:r>
      <w:proofErr w:type="spellStart"/>
      <w:r w:rsidRPr="003E5B64">
        <w:rPr>
          <w:color w:val="000000" w:themeColor="text1"/>
          <w:sz w:val="24"/>
        </w:rPr>
        <w:t>improve</w:t>
      </w:r>
      <w:proofErr w:type="spellEnd"/>
      <w:r w:rsidRPr="003E5B64">
        <w:rPr>
          <w:color w:val="000000" w:themeColor="text1"/>
          <w:sz w:val="24"/>
        </w:rPr>
        <w:t xml:space="preserve"> </w:t>
      </w:r>
      <w:proofErr w:type="spellStart"/>
      <w:r w:rsidRPr="003E5B64">
        <w:rPr>
          <w:color w:val="000000" w:themeColor="text1"/>
          <w:sz w:val="24"/>
        </w:rPr>
        <w:t>it</w:t>
      </w:r>
      <w:proofErr w:type="spellEnd"/>
      <w:r w:rsidRPr="003E5B64">
        <w:rPr>
          <w:color w:val="000000" w:themeColor="text1"/>
          <w:sz w:val="24"/>
        </w:rPr>
        <w:t xml:space="preserve">? Mentalhealth.org.uk [online]. 2015 [cit. 2020-02-22]. Dostupné z: </w:t>
      </w:r>
      <w:hyperlink r:id="rId52" w:history="1">
        <w:r w:rsidRPr="003E5B64">
          <w:rPr>
            <w:rStyle w:val="Hypertextovodkaz"/>
            <w:color w:val="000000" w:themeColor="text1"/>
            <w:sz w:val="24"/>
            <w:u w:val="none"/>
          </w:rPr>
          <w:t>https://mentalhealth.org.uk/blog/what-wellbeing-how-can-we-measure-it-and-how-can-we-support-people-improve-it</w:t>
        </w:r>
      </w:hyperlink>
      <w:r w:rsidR="00D22FA9" w:rsidRPr="003E5B64">
        <w:rPr>
          <w:rStyle w:val="Hypertextovodkaz"/>
          <w:color w:val="000000" w:themeColor="text1"/>
          <w:sz w:val="24"/>
          <w:u w:val="none"/>
        </w:rPr>
        <w:t>.</w:t>
      </w:r>
    </w:p>
    <w:p w14:paraId="6FACE49C" w14:textId="797C041A" w:rsidR="00C3469D" w:rsidRPr="003E5B64" w:rsidRDefault="00C3469D"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sz w:val="24"/>
        </w:rPr>
        <w:t>Minimálna</w:t>
      </w:r>
      <w:proofErr w:type="spellEnd"/>
      <w:r w:rsidRPr="003E5B64">
        <w:rPr>
          <w:sz w:val="24"/>
        </w:rPr>
        <w:t xml:space="preserve"> mzda SK. </w:t>
      </w:r>
      <w:proofErr w:type="spellStart"/>
      <w:r w:rsidRPr="003E5B64">
        <w:rPr>
          <w:i/>
          <w:iCs/>
          <w:sz w:val="24"/>
        </w:rPr>
        <w:t>Minimálna</w:t>
      </w:r>
      <w:proofErr w:type="spellEnd"/>
      <w:r w:rsidRPr="003E5B64">
        <w:rPr>
          <w:i/>
          <w:iCs/>
          <w:sz w:val="24"/>
        </w:rPr>
        <w:t xml:space="preserve"> mzda na Slovensku. </w:t>
      </w:r>
      <w:r w:rsidRPr="003E5B64">
        <w:rPr>
          <w:sz w:val="24"/>
        </w:rPr>
        <w:t>Minimalnamzda.sk [on-line]. 2020 [cit. 2020-06-20]. Dostupné z: https://www.minimalnamzda.sk/minimalna-mzda-historia.php.</w:t>
      </w:r>
    </w:p>
    <w:p w14:paraId="13FF5B3C" w14:textId="68CA6E3F" w:rsidR="00791743" w:rsidRPr="003E5B64" w:rsidRDefault="00791743" w:rsidP="00BF199E">
      <w:pPr>
        <w:pStyle w:val="Odstavecseseznamem"/>
        <w:numPr>
          <w:ilvl w:val="0"/>
          <w:numId w:val="2"/>
        </w:numPr>
        <w:spacing w:before="120" w:after="240"/>
        <w:ind w:left="641" w:hanging="357"/>
        <w:jc w:val="left"/>
        <w:rPr>
          <w:sz w:val="24"/>
        </w:rPr>
      </w:pPr>
      <w:r w:rsidRPr="003E5B64">
        <w:rPr>
          <w:sz w:val="24"/>
        </w:rPr>
        <w:t xml:space="preserve">Ministerstvo práce a sociálních věcí. </w:t>
      </w:r>
      <w:r w:rsidRPr="003E5B64">
        <w:rPr>
          <w:i/>
          <w:iCs/>
          <w:sz w:val="24"/>
        </w:rPr>
        <w:t xml:space="preserve">Informace o minimální mzdě od 1. ledna 2020. </w:t>
      </w:r>
      <w:r w:rsidRPr="003E5B64">
        <w:rPr>
          <w:sz w:val="24"/>
        </w:rPr>
        <w:t xml:space="preserve">Mpsv.cz [on-line]. 2020 [cit. 2020-06-20]. Dostupné z: </w:t>
      </w:r>
      <w:hyperlink r:id="rId53" w:history="1">
        <w:r w:rsidRPr="003E5B64">
          <w:rPr>
            <w:rStyle w:val="Hypertextovodkaz"/>
            <w:sz w:val="24"/>
            <w:u w:val="none"/>
          </w:rPr>
          <w:t>https://www.mpsv.cz/documents/20142/225504/Informace+o+MMe+od+1+ledna+2020+na+web+MPSV.pdf/51fb732f-1bcc-7947-b018-4346d1ca3631</w:t>
        </w:r>
      </w:hyperlink>
      <w:r w:rsidR="00D22FA9" w:rsidRPr="003E5B64">
        <w:rPr>
          <w:rStyle w:val="Hypertextovodkaz"/>
          <w:sz w:val="24"/>
          <w:u w:val="none"/>
        </w:rPr>
        <w:t>.</w:t>
      </w:r>
    </w:p>
    <w:p w14:paraId="08D0E521" w14:textId="38F458A1"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lastRenderedPageBreak/>
        <w:t xml:space="preserve">Ministerstvo práce a sociálních věcí. </w:t>
      </w:r>
      <w:r w:rsidRPr="003E5B64">
        <w:rPr>
          <w:i/>
          <w:iCs/>
          <w:color w:val="000000" w:themeColor="text1"/>
          <w:sz w:val="24"/>
        </w:rPr>
        <w:t xml:space="preserve">Vývoj vybraných ukazatelů životní úrovně v České republice. </w:t>
      </w:r>
      <w:r w:rsidRPr="003E5B64">
        <w:rPr>
          <w:color w:val="000000" w:themeColor="text1"/>
          <w:sz w:val="24"/>
        </w:rPr>
        <w:t xml:space="preserve">Mpsv.cz. [online]. 2019 [cit. 2020-06-07]. Dostupné z:  </w:t>
      </w:r>
      <w:hyperlink r:id="rId54" w:history="1">
        <w:r w:rsidRPr="003E5B64">
          <w:rPr>
            <w:rStyle w:val="Hypertextovodkaz"/>
            <w:color w:val="000000" w:themeColor="text1"/>
            <w:sz w:val="24"/>
            <w:u w:val="none"/>
          </w:rPr>
          <w:t>https://www.mpsv.cz/vyvoj-vybranych-ukazatelu-zivotni-urovne-v-ceske-republice</w:t>
        </w:r>
      </w:hyperlink>
      <w:r w:rsidR="00D22FA9" w:rsidRPr="003E5B64">
        <w:rPr>
          <w:rStyle w:val="Hypertextovodkaz"/>
          <w:color w:val="000000" w:themeColor="text1"/>
          <w:sz w:val="24"/>
          <w:u w:val="none"/>
        </w:rPr>
        <w:t>.</w:t>
      </w:r>
    </w:p>
    <w:p w14:paraId="53746EFD" w14:textId="10F8F374"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u w:val="none"/>
        </w:rPr>
      </w:pPr>
      <w:r w:rsidRPr="003E5B64">
        <w:rPr>
          <w:sz w:val="24"/>
        </w:rPr>
        <w:t xml:space="preserve">Ministerstvo práce a sociálních věcí. </w:t>
      </w:r>
      <w:r w:rsidRPr="003E5B64">
        <w:rPr>
          <w:i/>
          <w:iCs/>
          <w:sz w:val="24"/>
        </w:rPr>
        <w:t xml:space="preserve">Životní a existenční minimum od 1. dubna 2020. </w:t>
      </w:r>
      <w:r w:rsidRPr="003E5B64">
        <w:rPr>
          <w:sz w:val="24"/>
        </w:rPr>
        <w:t xml:space="preserve">Mpsv.cz. [online]. 2020 [cit. 2020-06-07]. Dostupné z: </w:t>
      </w:r>
      <w:hyperlink r:id="rId55" w:history="1">
        <w:r w:rsidRPr="003E5B64">
          <w:rPr>
            <w:rStyle w:val="Hypertextovodkaz"/>
            <w:sz w:val="24"/>
            <w:u w:val="none"/>
          </w:rPr>
          <w:t>https://www.mpsv.cz/web/cz/zivotni-a-existencni-minimum-od-1.-dubna-2020</w:t>
        </w:r>
      </w:hyperlink>
      <w:r w:rsidR="00D22FA9" w:rsidRPr="003E5B64">
        <w:rPr>
          <w:rStyle w:val="Hypertextovodkaz"/>
          <w:sz w:val="24"/>
          <w:u w:val="none"/>
        </w:rPr>
        <w:t>.</w:t>
      </w:r>
    </w:p>
    <w:p w14:paraId="60A5CC6D" w14:textId="39A07040" w:rsidR="00B35120" w:rsidRPr="003E5B64" w:rsidRDefault="00B35120" w:rsidP="00BF199E">
      <w:pPr>
        <w:pStyle w:val="Bezmezer"/>
        <w:numPr>
          <w:ilvl w:val="0"/>
          <w:numId w:val="2"/>
        </w:numPr>
        <w:spacing w:before="120" w:after="240" w:line="360" w:lineRule="auto"/>
        <w:jc w:val="left"/>
        <w:rPr>
          <w:color w:val="000000" w:themeColor="text1"/>
          <w:sz w:val="24"/>
        </w:rPr>
      </w:pPr>
      <w:r w:rsidRPr="003E5B64">
        <w:rPr>
          <w:sz w:val="24"/>
        </w:rPr>
        <w:t xml:space="preserve">Ministerstvo práce, </w:t>
      </w:r>
      <w:proofErr w:type="spellStart"/>
      <w:r w:rsidRPr="003E5B64">
        <w:rPr>
          <w:sz w:val="24"/>
        </w:rPr>
        <w:t>sociálnych</w:t>
      </w:r>
      <w:proofErr w:type="spellEnd"/>
      <w:r w:rsidRPr="003E5B64">
        <w:rPr>
          <w:sz w:val="24"/>
        </w:rPr>
        <w:t xml:space="preserve"> </w:t>
      </w:r>
      <w:proofErr w:type="spellStart"/>
      <w:r w:rsidRPr="003E5B64">
        <w:rPr>
          <w:sz w:val="24"/>
        </w:rPr>
        <w:t>vecí</w:t>
      </w:r>
      <w:proofErr w:type="spellEnd"/>
      <w:r w:rsidRPr="003E5B64">
        <w:rPr>
          <w:sz w:val="24"/>
        </w:rPr>
        <w:t xml:space="preserve"> a rodiny SR. (</w:t>
      </w:r>
      <w:r w:rsidR="00867C9C" w:rsidRPr="003E5B64">
        <w:rPr>
          <w:sz w:val="24"/>
        </w:rPr>
        <w:t>2012-2019</w:t>
      </w:r>
      <w:r w:rsidRPr="003E5B64">
        <w:rPr>
          <w:sz w:val="24"/>
        </w:rPr>
        <w:t xml:space="preserve">). </w:t>
      </w:r>
      <w:r w:rsidRPr="003E5B64">
        <w:rPr>
          <w:i/>
          <w:iCs/>
          <w:sz w:val="24"/>
        </w:rPr>
        <w:t>Životné minimum</w:t>
      </w:r>
      <w:r w:rsidRPr="003E5B64">
        <w:rPr>
          <w:sz w:val="24"/>
        </w:rPr>
        <w:t>.</w:t>
      </w:r>
      <w:r w:rsidRPr="003E5B64">
        <w:rPr>
          <w:rStyle w:val="Hypertextovodkaz"/>
          <w:i/>
          <w:iCs/>
          <w:noProof/>
          <w:sz w:val="24"/>
          <w:u w:val="none"/>
        </w:rPr>
        <w:t xml:space="preserve"> </w:t>
      </w:r>
      <w:r w:rsidRPr="003E5B64">
        <w:rPr>
          <w:rStyle w:val="Hypertextovodkaz"/>
          <w:i/>
          <w:iCs/>
          <w:noProof/>
          <w:color w:val="000000" w:themeColor="text1"/>
          <w:sz w:val="24"/>
          <w:u w:val="none"/>
        </w:rPr>
        <w:t>Employment</w:t>
      </w:r>
      <w:r w:rsidRPr="003E5B64">
        <w:rPr>
          <w:color w:val="000000" w:themeColor="text1"/>
          <w:sz w:val="24"/>
        </w:rPr>
        <w:t xml:space="preserve">.gov.sk </w:t>
      </w:r>
      <w:r w:rsidRPr="003E5B64">
        <w:rPr>
          <w:sz w:val="24"/>
        </w:rPr>
        <w:t xml:space="preserve">[online]. 2020 [cit. 2020-06-07]. Dostupné z: </w:t>
      </w:r>
      <w:hyperlink r:id="rId56" w:history="1">
        <w:r w:rsidRPr="003E5B64">
          <w:rPr>
            <w:rStyle w:val="Hypertextovodkaz"/>
            <w:sz w:val="24"/>
            <w:u w:val="none"/>
          </w:rPr>
          <w:t>https://www.employment.gov.sk/sk/rodina-socialna-pomoc/hmotna-nudza/zivotne-minimum/</w:t>
        </w:r>
      </w:hyperlink>
      <w:r w:rsidR="00D22FA9" w:rsidRPr="003E5B64">
        <w:rPr>
          <w:rStyle w:val="Hypertextovodkaz"/>
          <w:sz w:val="24"/>
          <w:u w:val="none"/>
        </w:rPr>
        <w:t>.</w:t>
      </w:r>
    </w:p>
    <w:p w14:paraId="0DAD5555" w14:textId="5AFF0930" w:rsidR="00013C78" w:rsidRPr="003E5B64" w:rsidRDefault="00013C78" w:rsidP="00BF199E">
      <w:pPr>
        <w:pStyle w:val="Bezmezer"/>
        <w:numPr>
          <w:ilvl w:val="0"/>
          <w:numId w:val="2"/>
        </w:numPr>
        <w:spacing w:before="120" w:after="240" w:line="360" w:lineRule="auto"/>
        <w:jc w:val="left"/>
        <w:rPr>
          <w:rStyle w:val="Hypertextovodkaz"/>
          <w:color w:val="000000" w:themeColor="text1"/>
          <w:sz w:val="24"/>
          <w:u w:val="none"/>
        </w:rPr>
      </w:pPr>
      <w:r w:rsidRPr="003E5B64">
        <w:rPr>
          <w:sz w:val="24"/>
        </w:rPr>
        <w:t xml:space="preserve">Ministerstvo vnitra České republiky. </w:t>
      </w:r>
      <w:r w:rsidRPr="003E5B64">
        <w:rPr>
          <w:i/>
          <w:iCs/>
          <w:sz w:val="24"/>
        </w:rPr>
        <w:t xml:space="preserve">Chudoba je problém bohatých. </w:t>
      </w:r>
      <w:r w:rsidRPr="003E5B64">
        <w:rPr>
          <w:sz w:val="24"/>
        </w:rPr>
        <w:t xml:space="preserve">Mvcr.cz. [online]. </w:t>
      </w:r>
      <w:r w:rsidRPr="003E5B64">
        <w:rPr>
          <w:color w:val="000000" w:themeColor="text1"/>
          <w:sz w:val="24"/>
        </w:rPr>
        <w:t xml:space="preserve">2013 [cit. 2020-06-07]. Dostupné z: </w:t>
      </w:r>
      <w:hyperlink r:id="rId57" w:history="1">
        <w:r w:rsidRPr="003E5B64">
          <w:rPr>
            <w:rStyle w:val="Hypertextovodkaz"/>
            <w:color w:val="000000" w:themeColor="text1"/>
            <w:sz w:val="24"/>
            <w:u w:val="none"/>
          </w:rPr>
          <w:t>https://www.mvcr.cz/clanek/chudoba-je-problem-bohatych.aspx</w:t>
        </w:r>
      </w:hyperlink>
      <w:r w:rsidR="00D22FA9" w:rsidRPr="003E5B64">
        <w:rPr>
          <w:rStyle w:val="Hypertextovodkaz"/>
          <w:color w:val="000000" w:themeColor="text1"/>
          <w:sz w:val="24"/>
          <w:u w:val="none"/>
        </w:rPr>
        <w:t>.</w:t>
      </w:r>
    </w:p>
    <w:p w14:paraId="0B775D8C" w14:textId="05104A49" w:rsidR="00013C78" w:rsidRPr="003E5B64" w:rsidRDefault="00013C78" w:rsidP="00BF199E">
      <w:pPr>
        <w:pStyle w:val="Bezmezer"/>
        <w:numPr>
          <w:ilvl w:val="0"/>
          <w:numId w:val="2"/>
        </w:numPr>
        <w:spacing w:before="120" w:after="240" w:line="360" w:lineRule="auto"/>
        <w:ind w:left="641" w:hanging="357"/>
        <w:jc w:val="left"/>
        <w:rPr>
          <w:sz w:val="24"/>
        </w:rPr>
      </w:pPr>
      <w:r w:rsidRPr="003E5B64">
        <w:rPr>
          <w:sz w:val="24"/>
        </w:rPr>
        <w:t xml:space="preserve">Ministerstvo vnitra České republiky. </w:t>
      </w:r>
      <w:r w:rsidRPr="003E5B64">
        <w:rPr>
          <w:i/>
          <w:iCs/>
          <w:sz w:val="24"/>
        </w:rPr>
        <w:t xml:space="preserve">Visegrádská čtyřka. </w:t>
      </w:r>
      <w:r w:rsidRPr="003E5B64">
        <w:rPr>
          <w:sz w:val="24"/>
        </w:rPr>
        <w:t xml:space="preserve">Mvcr.cz [online]. 2020 [cit. 2020-06-20]. Dostupné z: </w:t>
      </w:r>
      <w:hyperlink r:id="rId58" w:history="1">
        <w:r w:rsidRPr="003E5B64">
          <w:rPr>
            <w:rStyle w:val="Hypertextovodkaz"/>
            <w:sz w:val="24"/>
            <w:u w:val="none"/>
          </w:rPr>
          <w:t>https://www.mvcr.cz/clanek/mezinarodni-organizace-a-vs-visegradska-ctyrka.aspx</w:t>
        </w:r>
      </w:hyperlink>
      <w:r w:rsidR="00D22FA9" w:rsidRPr="003E5B64">
        <w:rPr>
          <w:rStyle w:val="Hypertextovodkaz"/>
          <w:sz w:val="24"/>
          <w:u w:val="none"/>
        </w:rPr>
        <w:t>.</w:t>
      </w:r>
    </w:p>
    <w:p w14:paraId="297E0ED9" w14:textId="5CFE8FCF" w:rsidR="00013C78" w:rsidRPr="003E5B64" w:rsidRDefault="00791743" w:rsidP="00BF199E">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sz w:val="24"/>
        </w:rPr>
        <w:t xml:space="preserve">Národní vzdělávací fond – Národní observatoř zaměstnanosti a vzdělávání. </w:t>
      </w:r>
      <w:proofErr w:type="spellStart"/>
      <w:r w:rsidRPr="003E5B64">
        <w:rPr>
          <w:i/>
          <w:iCs/>
          <w:sz w:val="24"/>
        </w:rPr>
        <w:t>Konkureční</w:t>
      </w:r>
      <w:proofErr w:type="spellEnd"/>
      <w:r w:rsidRPr="003E5B64">
        <w:rPr>
          <w:i/>
          <w:iCs/>
          <w:sz w:val="24"/>
        </w:rPr>
        <w:t xml:space="preserve"> schopnost České repu</w:t>
      </w:r>
      <w:r w:rsidRPr="003E5B64">
        <w:rPr>
          <w:i/>
          <w:iCs/>
          <w:color w:val="000000" w:themeColor="text1"/>
          <w:sz w:val="24"/>
        </w:rPr>
        <w:t xml:space="preserve">bliky – kvalita lidských zdrojů. </w:t>
      </w:r>
      <w:r w:rsidRPr="003E5B64">
        <w:rPr>
          <w:color w:val="000000" w:themeColor="text1"/>
          <w:sz w:val="24"/>
        </w:rPr>
        <w:t xml:space="preserve">Nvf.cz [online]. 2015 [cit. 2020-04-01]. Dostupné z: </w:t>
      </w:r>
      <w:hyperlink r:id="rId59" w:history="1">
        <w:r w:rsidRPr="003E5B64">
          <w:rPr>
            <w:rStyle w:val="Hypertextovodkaz"/>
            <w:color w:val="000000" w:themeColor="text1"/>
            <w:sz w:val="24"/>
            <w:u w:val="none"/>
          </w:rPr>
          <w:t>http://nvf.cz/konkurencni-schopnost-ceske-republiky-2015-vyvoj-hlavnich-indikatoru</w:t>
        </w:r>
      </w:hyperlink>
      <w:r w:rsidR="00D22FA9" w:rsidRPr="003E5B64">
        <w:rPr>
          <w:rStyle w:val="Hypertextovodkaz"/>
          <w:color w:val="000000" w:themeColor="text1"/>
          <w:sz w:val="24"/>
          <w:u w:val="none"/>
        </w:rPr>
        <w:t>.</w:t>
      </w:r>
    </w:p>
    <w:p w14:paraId="0F80049B" w14:textId="10021EEC" w:rsidR="00B37C79" w:rsidRPr="003E5B64" w:rsidRDefault="00B37C79" w:rsidP="00BF199E">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sz w:val="24"/>
        </w:rPr>
        <w:t>OECD.</w:t>
      </w:r>
      <w:r w:rsidRPr="003E5B64">
        <w:rPr>
          <w:color w:val="000000" w:themeColor="text1"/>
          <w:sz w:val="24"/>
        </w:rPr>
        <w:t xml:space="preserve"> </w:t>
      </w:r>
      <w:r w:rsidRPr="003E5B64">
        <w:rPr>
          <w:i/>
          <w:iCs/>
          <w:color w:val="000000" w:themeColor="text1"/>
          <w:sz w:val="24"/>
        </w:rPr>
        <w:t xml:space="preserve">Rozevření nůžek příjmové nerovnosti enormně narůstá. </w:t>
      </w:r>
      <w:r w:rsidRPr="003E5B64">
        <w:rPr>
          <w:color w:val="000000" w:themeColor="text1"/>
          <w:sz w:val="24"/>
        </w:rPr>
        <w:t xml:space="preserve">Patria.cz </w:t>
      </w:r>
      <w:r w:rsidRPr="003E5B64">
        <w:rPr>
          <w:sz w:val="24"/>
        </w:rPr>
        <w:t xml:space="preserve">[online]. 2014 [cit. 2020-06-20]. Dostupné z: </w:t>
      </w:r>
      <w:hyperlink r:id="rId60" w:history="1">
        <w:r w:rsidRPr="003E5B64">
          <w:rPr>
            <w:rStyle w:val="Hypertextovodkaz"/>
            <w:sz w:val="24"/>
            <w:u w:val="none"/>
          </w:rPr>
          <w:t>https://patria.cz/zpravodajstvi/2742691/oecd-rozevreni-nuzek-prijmove-nerovnosti-enormne-narusta.html</w:t>
        </w:r>
      </w:hyperlink>
      <w:r w:rsidR="00D22FA9" w:rsidRPr="003E5B64">
        <w:rPr>
          <w:rStyle w:val="Hypertextovodkaz"/>
          <w:sz w:val="24"/>
          <w:u w:val="none"/>
        </w:rPr>
        <w:t>.</w:t>
      </w:r>
    </w:p>
    <w:p w14:paraId="3C68EEE5" w14:textId="713033C7" w:rsidR="00B822BA" w:rsidRPr="00A67F23" w:rsidRDefault="00B822BA" w:rsidP="00BF199E">
      <w:pPr>
        <w:pStyle w:val="Bezmezer"/>
        <w:numPr>
          <w:ilvl w:val="0"/>
          <w:numId w:val="2"/>
        </w:numPr>
        <w:spacing w:before="120" w:after="240" w:line="360" w:lineRule="auto"/>
        <w:ind w:left="641" w:hanging="357"/>
        <w:jc w:val="left"/>
        <w:rPr>
          <w:color w:val="000000" w:themeColor="text1"/>
          <w:sz w:val="24"/>
        </w:rPr>
      </w:pPr>
      <w:r w:rsidRPr="003E5B64">
        <w:rPr>
          <w:sz w:val="24"/>
        </w:rPr>
        <w:t>OECD.</w:t>
      </w:r>
      <w:r w:rsidRPr="003E5B64">
        <w:rPr>
          <w:color w:val="000000" w:themeColor="text1"/>
          <w:sz w:val="24"/>
        </w:rPr>
        <w:t xml:space="preserve"> </w:t>
      </w:r>
      <w:proofErr w:type="spellStart"/>
      <w:r w:rsidRPr="003E5B64">
        <w:rPr>
          <w:i/>
          <w:iCs/>
          <w:color w:val="000000" w:themeColor="text1"/>
          <w:sz w:val="24"/>
        </w:rPr>
        <w:t>Average</w:t>
      </w:r>
      <w:proofErr w:type="spellEnd"/>
      <w:r w:rsidRPr="003E5B64">
        <w:rPr>
          <w:i/>
          <w:iCs/>
          <w:color w:val="000000" w:themeColor="text1"/>
          <w:sz w:val="24"/>
        </w:rPr>
        <w:t xml:space="preserve"> </w:t>
      </w:r>
      <w:proofErr w:type="spellStart"/>
      <w:r w:rsidRPr="003E5B64">
        <w:rPr>
          <w:i/>
          <w:iCs/>
          <w:color w:val="000000" w:themeColor="text1"/>
          <w:sz w:val="24"/>
        </w:rPr>
        <w:t>wages</w:t>
      </w:r>
      <w:proofErr w:type="spellEnd"/>
      <w:r w:rsidRPr="003E5B64">
        <w:rPr>
          <w:i/>
          <w:iCs/>
          <w:color w:val="000000" w:themeColor="text1"/>
          <w:sz w:val="24"/>
        </w:rPr>
        <w:t xml:space="preserve">. </w:t>
      </w:r>
      <w:r w:rsidRPr="003E5B64">
        <w:rPr>
          <w:color w:val="000000" w:themeColor="text1"/>
          <w:sz w:val="24"/>
        </w:rPr>
        <w:t xml:space="preserve">Data.oecd.org </w:t>
      </w:r>
      <w:r w:rsidRPr="003E5B64">
        <w:rPr>
          <w:sz w:val="24"/>
        </w:rPr>
        <w:t xml:space="preserve">[online]. 2020 [cit. 2020-06-20]. Dostupné z: </w:t>
      </w:r>
      <w:hyperlink r:id="rId61" w:history="1">
        <w:r w:rsidR="00A67F23" w:rsidRPr="00A67F23">
          <w:rPr>
            <w:rStyle w:val="Hypertextovodkaz"/>
            <w:sz w:val="24"/>
            <w:u w:val="none"/>
          </w:rPr>
          <w:t>https://data.oecd.org/earnwage/average-wages.htm</w:t>
        </w:r>
      </w:hyperlink>
      <w:r w:rsidRPr="00A67F23">
        <w:rPr>
          <w:sz w:val="24"/>
        </w:rPr>
        <w:t>.</w:t>
      </w:r>
    </w:p>
    <w:p w14:paraId="67D787F6" w14:textId="4B10E468" w:rsidR="00A67F23" w:rsidRPr="003E5B64" w:rsidRDefault="00A67F23" w:rsidP="00BF199E">
      <w:pPr>
        <w:pStyle w:val="Bezmezer"/>
        <w:numPr>
          <w:ilvl w:val="0"/>
          <w:numId w:val="2"/>
        </w:numPr>
        <w:spacing w:before="120" w:after="240" w:line="360" w:lineRule="auto"/>
        <w:ind w:left="641" w:hanging="357"/>
        <w:jc w:val="left"/>
        <w:rPr>
          <w:color w:val="000000" w:themeColor="text1"/>
          <w:sz w:val="24"/>
        </w:rPr>
      </w:pPr>
      <w:r>
        <w:rPr>
          <w:sz w:val="24"/>
        </w:rPr>
        <w:t xml:space="preserve">OSPZV-ASO ČR. </w:t>
      </w:r>
      <w:r>
        <w:rPr>
          <w:i/>
          <w:iCs/>
          <w:sz w:val="24"/>
        </w:rPr>
        <w:t xml:space="preserve">Zvýšení minimální a zaručené mzdy 2018. </w:t>
      </w:r>
      <w:r>
        <w:rPr>
          <w:sz w:val="24"/>
        </w:rPr>
        <w:t xml:space="preserve">Ospzv-aso.cz </w:t>
      </w:r>
      <w:r w:rsidRPr="003E5B64">
        <w:rPr>
          <w:sz w:val="24"/>
        </w:rPr>
        <w:t>[online]. 20</w:t>
      </w:r>
      <w:r>
        <w:rPr>
          <w:sz w:val="24"/>
        </w:rPr>
        <w:t>18</w:t>
      </w:r>
      <w:r w:rsidRPr="003E5B64">
        <w:rPr>
          <w:sz w:val="24"/>
        </w:rPr>
        <w:t xml:space="preserve"> [cit. 2020-06-20]. Dostupné z:</w:t>
      </w:r>
      <w:r>
        <w:rPr>
          <w:sz w:val="24"/>
        </w:rPr>
        <w:t xml:space="preserve"> </w:t>
      </w:r>
      <w:hyperlink r:id="rId62" w:history="1">
        <w:r w:rsidRPr="001C7D75">
          <w:rPr>
            <w:rStyle w:val="Hypertextovodkaz"/>
            <w:sz w:val="24"/>
            <w:szCs w:val="22"/>
            <w:u w:val="none"/>
          </w:rPr>
          <w:t>https://www.ospzv-aso.cz/obsah/71/zvyseni-minimalni-zarucene-mzdy-2018/20961</w:t>
        </w:r>
      </w:hyperlink>
      <w:r>
        <w:rPr>
          <w:rStyle w:val="Hypertextovodkaz"/>
          <w:sz w:val="24"/>
          <w:szCs w:val="22"/>
          <w:u w:val="none"/>
        </w:rPr>
        <w:t>.</w:t>
      </w:r>
    </w:p>
    <w:p w14:paraId="0E0C4DF4" w14:textId="24E234C4" w:rsidR="00791743" w:rsidRPr="003E5B64" w:rsidRDefault="00791743" w:rsidP="00BF199E">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sz w:val="24"/>
        </w:rPr>
        <w:lastRenderedPageBreak/>
        <w:t xml:space="preserve">Oxford </w:t>
      </w:r>
      <w:proofErr w:type="spellStart"/>
      <w:r w:rsidRPr="003E5B64">
        <w:rPr>
          <w:sz w:val="24"/>
        </w:rPr>
        <w:t>Poverty</w:t>
      </w:r>
      <w:proofErr w:type="spellEnd"/>
      <w:r w:rsidRPr="003E5B64">
        <w:rPr>
          <w:sz w:val="24"/>
        </w:rPr>
        <w:t xml:space="preserve"> and </w:t>
      </w:r>
      <w:proofErr w:type="spellStart"/>
      <w:r w:rsidRPr="003E5B64">
        <w:rPr>
          <w:sz w:val="24"/>
        </w:rPr>
        <w:t>Human</w:t>
      </w:r>
      <w:proofErr w:type="spellEnd"/>
      <w:r w:rsidRPr="003E5B64">
        <w:rPr>
          <w:sz w:val="24"/>
        </w:rPr>
        <w:t xml:space="preserve"> Development </w:t>
      </w:r>
      <w:proofErr w:type="spellStart"/>
      <w:r w:rsidRPr="003E5B64">
        <w:rPr>
          <w:sz w:val="24"/>
        </w:rPr>
        <w:t>Initiative</w:t>
      </w:r>
      <w:proofErr w:type="spellEnd"/>
      <w:r w:rsidRPr="003E5B64">
        <w:rPr>
          <w:sz w:val="24"/>
        </w:rPr>
        <w:t xml:space="preserve">. </w:t>
      </w:r>
      <w:proofErr w:type="spellStart"/>
      <w:r w:rsidRPr="003E5B64">
        <w:rPr>
          <w:i/>
          <w:iCs/>
          <w:sz w:val="24"/>
        </w:rPr>
        <w:t>Global</w:t>
      </w:r>
      <w:proofErr w:type="spellEnd"/>
      <w:r w:rsidRPr="003E5B64">
        <w:rPr>
          <w:i/>
          <w:iCs/>
          <w:sz w:val="24"/>
        </w:rPr>
        <w:t xml:space="preserve"> </w:t>
      </w:r>
      <w:proofErr w:type="spellStart"/>
      <w:r w:rsidRPr="003E5B64">
        <w:rPr>
          <w:i/>
          <w:iCs/>
          <w:sz w:val="24"/>
        </w:rPr>
        <w:t>Multidimensional</w:t>
      </w:r>
      <w:proofErr w:type="spellEnd"/>
      <w:r w:rsidRPr="003E5B64">
        <w:rPr>
          <w:i/>
          <w:iCs/>
          <w:sz w:val="24"/>
        </w:rPr>
        <w:t xml:space="preserve"> </w:t>
      </w:r>
      <w:proofErr w:type="spellStart"/>
      <w:r w:rsidRPr="003E5B64">
        <w:rPr>
          <w:i/>
          <w:iCs/>
          <w:sz w:val="24"/>
        </w:rPr>
        <w:t>Poverty</w:t>
      </w:r>
      <w:proofErr w:type="spellEnd"/>
      <w:r w:rsidRPr="003E5B64">
        <w:rPr>
          <w:i/>
          <w:iCs/>
          <w:sz w:val="24"/>
        </w:rPr>
        <w:t xml:space="preserve"> Index. </w:t>
      </w:r>
      <w:r w:rsidRPr="003E5B64">
        <w:rPr>
          <w:sz w:val="24"/>
        </w:rPr>
        <w:t xml:space="preserve">Ophi.org.uk [online]. 2020 [cit. 2020-06-10]. Dostupné z: </w:t>
      </w:r>
      <w:hyperlink r:id="rId63" w:history="1">
        <w:r w:rsidR="00B37C79" w:rsidRPr="003E5B64">
          <w:rPr>
            <w:rStyle w:val="Hypertextovodkaz"/>
            <w:sz w:val="24"/>
            <w:u w:val="none"/>
          </w:rPr>
          <w:t>https://ophi.org.uk/multidimensional-poverty-index/</w:t>
        </w:r>
      </w:hyperlink>
      <w:r w:rsidR="00D22FA9" w:rsidRPr="003E5B64">
        <w:rPr>
          <w:rStyle w:val="Hypertextovodkaz"/>
          <w:sz w:val="24"/>
          <w:u w:val="none"/>
        </w:rPr>
        <w:t>.</w:t>
      </w:r>
    </w:p>
    <w:p w14:paraId="3C15EBD0" w14:textId="162B39E4" w:rsidR="005632C6" w:rsidRDefault="005632C6"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Planning</w:t>
      </w:r>
      <w:proofErr w:type="spellEnd"/>
      <w:r w:rsidRPr="003E5B64">
        <w:rPr>
          <w:color w:val="000000" w:themeColor="text1"/>
          <w:sz w:val="24"/>
        </w:rPr>
        <w:t xml:space="preserve"> Tank. </w:t>
      </w:r>
      <w:proofErr w:type="spellStart"/>
      <w:r w:rsidRPr="003E5B64">
        <w:rPr>
          <w:i/>
          <w:iCs/>
          <w:color w:val="000000" w:themeColor="text1"/>
          <w:sz w:val="24"/>
        </w:rPr>
        <w:t>Human</w:t>
      </w:r>
      <w:proofErr w:type="spellEnd"/>
      <w:r w:rsidRPr="003E5B64">
        <w:rPr>
          <w:i/>
          <w:iCs/>
          <w:color w:val="000000" w:themeColor="text1"/>
          <w:sz w:val="24"/>
        </w:rPr>
        <w:t xml:space="preserve"> </w:t>
      </w:r>
      <w:proofErr w:type="spellStart"/>
      <w:r w:rsidRPr="003E5B64">
        <w:rPr>
          <w:i/>
          <w:iCs/>
          <w:color w:val="000000" w:themeColor="text1"/>
          <w:sz w:val="24"/>
        </w:rPr>
        <w:t>Poverty</w:t>
      </w:r>
      <w:proofErr w:type="spellEnd"/>
      <w:r w:rsidRPr="003E5B64">
        <w:rPr>
          <w:i/>
          <w:iCs/>
          <w:color w:val="000000" w:themeColor="text1"/>
          <w:sz w:val="24"/>
        </w:rPr>
        <w:t xml:space="preserve"> Index (HPI). </w:t>
      </w:r>
      <w:r w:rsidRPr="003E5B64">
        <w:rPr>
          <w:color w:val="000000" w:themeColor="text1"/>
          <w:sz w:val="24"/>
        </w:rPr>
        <w:t xml:space="preserve">Planningtank.com [online]. 2015 [cit. 2020-03-10]. Dostupné z: </w:t>
      </w:r>
      <w:hyperlink r:id="rId64" w:history="1">
        <w:r w:rsidRPr="003E5B64">
          <w:rPr>
            <w:rStyle w:val="Hypertextovodkaz"/>
            <w:color w:val="000000" w:themeColor="text1"/>
            <w:sz w:val="24"/>
            <w:u w:val="none"/>
          </w:rPr>
          <w:t>https://planningtank.com/development-planning/human-poverty-index</w:t>
        </w:r>
      </w:hyperlink>
      <w:r w:rsidR="00D22FA9" w:rsidRPr="003E5B64">
        <w:rPr>
          <w:rStyle w:val="Hypertextovodkaz"/>
          <w:color w:val="000000" w:themeColor="text1"/>
          <w:sz w:val="24"/>
          <w:u w:val="none"/>
        </w:rPr>
        <w:t>.</w:t>
      </w:r>
    </w:p>
    <w:p w14:paraId="4B81C1B1" w14:textId="77777777" w:rsidR="00A67F23" w:rsidRPr="003E5B64" w:rsidRDefault="00A67F23" w:rsidP="00A67F23">
      <w:pPr>
        <w:pStyle w:val="Bezmezer"/>
        <w:numPr>
          <w:ilvl w:val="0"/>
          <w:numId w:val="2"/>
        </w:numPr>
        <w:spacing w:before="120" w:after="240" w:line="360" w:lineRule="auto"/>
        <w:jc w:val="left"/>
        <w:rPr>
          <w:rStyle w:val="Hypertextovodkaz"/>
          <w:color w:val="000000" w:themeColor="text1"/>
          <w:sz w:val="24"/>
          <w:u w:val="none"/>
        </w:rPr>
      </w:pPr>
      <w:r>
        <w:rPr>
          <w:rStyle w:val="Hypertextovodkaz"/>
          <w:color w:val="000000" w:themeColor="text1"/>
          <w:sz w:val="24"/>
          <w:u w:val="none"/>
        </w:rPr>
        <w:t xml:space="preserve">Práce a mzda. </w:t>
      </w:r>
      <w:r>
        <w:rPr>
          <w:rStyle w:val="Hypertextovodkaz"/>
          <w:i/>
          <w:iCs/>
          <w:color w:val="000000" w:themeColor="text1"/>
          <w:sz w:val="24"/>
          <w:u w:val="none"/>
        </w:rPr>
        <w:t xml:space="preserve">Minimální a zaručená mzda dle zákoníku práce a prováděcích nařízení vlády od 1.1.2020. </w:t>
      </w:r>
      <w:r>
        <w:rPr>
          <w:rStyle w:val="Hypertextovodkaz"/>
          <w:color w:val="000000" w:themeColor="text1"/>
          <w:sz w:val="24"/>
          <w:u w:val="none"/>
        </w:rPr>
        <w:t xml:space="preserve">Praceamzda.cz </w:t>
      </w:r>
      <w:r w:rsidRPr="003E5B64">
        <w:rPr>
          <w:color w:val="000000" w:themeColor="text1"/>
          <w:sz w:val="24"/>
        </w:rPr>
        <w:t>[online]. 20</w:t>
      </w:r>
      <w:r>
        <w:rPr>
          <w:color w:val="000000" w:themeColor="text1"/>
          <w:sz w:val="24"/>
        </w:rPr>
        <w:t>19</w:t>
      </w:r>
      <w:r w:rsidRPr="003E5B64">
        <w:rPr>
          <w:color w:val="000000" w:themeColor="text1"/>
          <w:sz w:val="24"/>
        </w:rPr>
        <w:t xml:space="preserve"> [cit. 2020-03-10]. Dostupné z:</w:t>
      </w:r>
      <w:r>
        <w:rPr>
          <w:color w:val="000000" w:themeColor="text1"/>
          <w:sz w:val="24"/>
        </w:rPr>
        <w:t xml:space="preserve"> </w:t>
      </w:r>
      <w:r w:rsidRPr="001C7D75">
        <w:rPr>
          <w:color w:val="000000" w:themeColor="text1"/>
          <w:sz w:val="24"/>
        </w:rPr>
        <w:t>https://www.praceamzda.cz/clanky/minimalni-zarucena-mzda-dle-zakoniku-prace-provadecich-narizeni-vlady-od-1-1-2020</w:t>
      </w:r>
      <w:r>
        <w:rPr>
          <w:color w:val="000000" w:themeColor="text1"/>
          <w:sz w:val="24"/>
        </w:rPr>
        <w:t>.</w:t>
      </w:r>
    </w:p>
    <w:p w14:paraId="5BF6E9D2" w14:textId="7FB78237" w:rsidR="005632C6" w:rsidRPr="003E5B64" w:rsidRDefault="005632C6" w:rsidP="00BF199E">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rPr>
        <w:t xml:space="preserve">Psychology </w:t>
      </w:r>
      <w:proofErr w:type="spellStart"/>
      <w:r w:rsidRPr="003E5B64">
        <w:rPr>
          <w:color w:val="000000" w:themeColor="text1"/>
          <w:sz w:val="24"/>
        </w:rPr>
        <w:t>Today</w:t>
      </w:r>
      <w:proofErr w:type="spellEnd"/>
      <w:r w:rsidRPr="003E5B64">
        <w:rPr>
          <w:color w:val="000000" w:themeColor="text1"/>
          <w:sz w:val="24"/>
        </w:rPr>
        <w:t xml:space="preserve">. </w:t>
      </w:r>
      <w:proofErr w:type="spellStart"/>
      <w:r w:rsidRPr="003E5B64">
        <w:rPr>
          <w:i/>
          <w:iCs/>
          <w:color w:val="000000" w:themeColor="text1"/>
          <w:sz w:val="24"/>
        </w:rPr>
        <w:t>What</w:t>
      </w:r>
      <w:proofErr w:type="spellEnd"/>
      <w:r w:rsidRPr="003E5B64">
        <w:rPr>
          <w:i/>
          <w:iCs/>
          <w:color w:val="000000" w:themeColor="text1"/>
          <w:sz w:val="24"/>
        </w:rPr>
        <w:t xml:space="preserve"> </w:t>
      </w:r>
      <w:proofErr w:type="spellStart"/>
      <w:r w:rsidRPr="003E5B64">
        <w:rPr>
          <w:i/>
          <w:iCs/>
          <w:color w:val="000000" w:themeColor="text1"/>
          <w:sz w:val="24"/>
        </w:rPr>
        <w:t>is</w:t>
      </w:r>
      <w:proofErr w:type="spellEnd"/>
      <w:r w:rsidRPr="003E5B64">
        <w:rPr>
          <w:i/>
          <w:iCs/>
          <w:color w:val="000000" w:themeColor="text1"/>
          <w:sz w:val="24"/>
        </w:rPr>
        <w:t xml:space="preserve"> </w:t>
      </w:r>
      <w:proofErr w:type="spellStart"/>
      <w:r w:rsidRPr="003E5B64">
        <w:rPr>
          <w:i/>
          <w:iCs/>
          <w:color w:val="000000" w:themeColor="text1"/>
          <w:sz w:val="24"/>
        </w:rPr>
        <w:t>Well-Being</w:t>
      </w:r>
      <w:proofErr w:type="spellEnd"/>
      <w:r w:rsidRPr="003E5B64">
        <w:rPr>
          <w:i/>
          <w:iCs/>
          <w:color w:val="000000" w:themeColor="text1"/>
          <w:sz w:val="24"/>
        </w:rPr>
        <w:t xml:space="preserve">? </w:t>
      </w:r>
      <w:proofErr w:type="spellStart"/>
      <w:r w:rsidRPr="003E5B64">
        <w:rPr>
          <w:i/>
          <w:iCs/>
          <w:color w:val="000000" w:themeColor="text1"/>
          <w:sz w:val="24"/>
        </w:rPr>
        <w:t>Definition</w:t>
      </w:r>
      <w:proofErr w:type="spellEnd"/>
      <w:r w:rsidRPr="003E5B64">
        <w:rPr>
          <w:i/>
          <w:iCs/>
          <w:color w:val="000000" w:themeColor="text1"/>
          <w:sz w:val="24"/>
        </w:rPr>
        <w:t xml:space="preserve">, </w:t>
      </w:r>
      <w:proofErr w:type="spellStart"/>
      <w:r w:rsidRPr="003E5B64">
        <w:rPr>
          <w:i/>
          <w:iCs/>
          <w:color w:val="000000" w:themeColor="text1"/>
          <w:sz w:val="24"/>
        </w:rPr>
        <w:t>Types</w:t>
      </w:r>
      <w:proofErr w:type="spellEnd"/>
      <w:r w:rsidRPr="003E5B64">
        <w:rPr>
          <w:i/>
          <w:iCs/>
          <w:color w:val="000000" w:themeColor="text1"/>
          <w:sz w:val="24"/>
        </w:rPr>
        <w:t xml:space="preserve">, and </w:t>
      </w:r>
      <w:proofErr w:type="spellStart"/>
      <w:r w:rsidRPr="003E5B64">
        <w:rPr>
          <w:i/>
          <w:iCs/>
          <w:color w:val="000000" w:themeColor="text1"/>
          <w:sz w:val="24"/>
        </w:rPr>
        <w:t>Well-Being</w:t>
      </w:r>
      <w:proofErr w:type="spellEnd"/>
      <w:r w:rsidRPr="003E5B64">
        <w:rPr>
          <w:i/>
          <w:iCs/>
          <w:color w:val="000000" w:themeColor="text1"/>
          <w:sz w:val="24"/>
        </w:rPr>
        <w:t xml:space="preserve"> </w:t>
      </w:r>
      <w:proofErr w:type="spellStart"/>
      <w:r w:rsidRPr="003E5B64">
        <w:rPr>
          <w:i/>
          <w:iCs/>
          <w:color w:val="000000" w:themeColor="text1"/>
          <w:sz w:val="24"/>
        </w:rPr>
        <w:t>Skills</w:t>
      </w:r>
      <w:proofErr w:type="spellEnd"/>
      <w:r w:rsidRPr="003E5B64">
        <w:rPr>
          <w:i/>
          <w:iCs/>
          <w:color w:val="000000" w:themeColor="text1"/>
          <w:sz w:val="24"/>
        </w:rPr>
        <w:t>.</w:t>
      </w:r>
      <w:r w:rsidRPr="003E5B64">
        <w:rPr>
          <w:color w:val="000000" w:themeColor="text1"/>
          <w:sz w:val="24"/>
        </w:rPr>
        <w:t xml:space="preserve"> Psychologytoday.com [online]. 2019 [cit. 2020-02-22]. Dostupné z: </w:t>
      </w:r>
      <w:hyperlink r:id="rId65" w:history="1">
        <w:r w:rsidRPr="003E5B64">
          <w:rPr>
            <w:rStyle w:val="Hypertextovodkaz"/>
            <w:color w:val="000000" w:themeColor="text1"/>
            <w:sz w:val="24"/>
            <w:u w:val="none"/>
          </w:rPr>
          <w:t>https://psychologytoday.com/us/blog/click-here-happiness/201901/what-is-well-being-definition-types-and-well-being-skills</w:t>
        </w:r>
      </w:hyperlink>
      <w:r w:rsidR="00D22FA9" w:rsidRPr="003E5B64">
        <w:rPr>
          <w:rStyle w:val="Hypertextovodkaz"/>
          <w:color w:val="000000" w:themeColor="text1"/>
          <w:sz w:val="24"/>
          <w:u w:val="none"/>
        </w:rPr>
        <w:t>.</w:t>
      </w:r>
    </w:p>
    <w:p w14:paraId="51F1AA64" w14:textId="3E0B82D3" w:rsidR="005E7ECF" w:rsidRPr="003E5B64" w:rsidRDefault="005E7ECF"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rStyle w:val="Hypertextovodkaz"/>
          <w:color w:val="000000" w:themeColor="text1"/>
          <w:sz w:val="24"/>
          <w:u w:val="none"/>
        </w:rPr>
        <w:t>Reeves</w:t>
      </w:r>
      <w:proofErr w:type="spellEnd"/>
      <w:r w:rsidRPr="003E5B64">
        <w:rPr>
          <w:rStyle w:val="Hypertextovodkaz"/>
          <w:color w:val="000000" w:themeColor="text1"/>
          <w:sz w:val="24"/>
          <w:u w:val="none"/>
        </w:rPr>
        <w:t xml:space="preserve">, A., </w:t>
      </w:r>
      <w:proofErr w:type="spellStart"/>
      <w:r w:rsidRPr="003E5B64">
        <w:rPr>
          <w:rStyle w:val="Hypertextovodkaz"/>
          <w:color w:val="000000" w:themeColor="text1"/>
          <w:sz w:val="24"/>
          <w:u w:val="none"/>
        </w:rPr>
        <w:t>Loopstra</w:t>
      </w:r>
      <w:proofErr w:type="spellEnd"/>
      <w:r w:rsidRPr="003E5B64">
        <w:rPr>
          <w:rStyle w:val="Hypertextovodkaz"/>
          <w:color w:val="000000" w:themeColor="text1"/>
          <w:sz w:val="24"/>
          <w:u w:val="none"/>
        </w:rPr>
        <w:t xml:space="preserve">, R., &amp; </w:t>
      </w:r>
      <w:proofErr w:type="spellStart"/>
      <w:r w:rsidRPr="003E5B64">
        <w:rPr>
          <w:rStyle w:val="Hypertextovodkaz"/>
          <w:color w:val="000000" w:themeColor="text1"/>
          <w:sz w:val="24"/>
          <w:u w:val="none"/>
        </w:rPr>
        <w:t>Stuckler</w:t>
      </w:r>
      <w:proofErr w:type="spellEnd"/>
      <w:r w:rsidRPr="003E5B64">
        <w:rPr>
          <w:rStyle w:val="Hypertextovodkaz"/>
          <w:color w:val="000000" w:themeColor="text1"/>
          <w:sz w:val="24"/>
          <w:u w:val="none"/>
        </w:rPr>
        <w:t xml:space="preserve">, D. </w:t>
      </w:r>
      <w:proofErr w:type="spellStart"/>
      <w:r w:rsidRPr="003E5B64">
        <w:rPr>
          <w:rStyle w:val="Hypertextovodkaz"/>
          <w:i/>
          <w:iCs/>
          <w:color w:val="000000" w:themeColor="text1"/>
          <w:sz w:val="24"/>
          <w:u w:val="none"/>
        </w:rPr>
        <w:t>The</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growing</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disconnect</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between</w:t>
      </w:r>
      <w:proofErr w:type="spellEnd"/>
      <w:r w:rsidRPr="003E5B64">
        <w:rPr>
          <w:rStyle w:val="Hypertextovodkaz"/>
          <w:i/>
          <w:iCs/>
          <w:color w:val="000000" w:themeColor="text1"/>
          <w:sz w:val="24"/>
          <w:u w:val="none"/>
        </w:rPr>
        <w:t xml:space="preserve"> food </w:t>
      </w:r>
      <w:proofErr w:type="spellStart"/>
      <w:r w:rsidRPr="003E5B64">
        <w:rPr>
          <w:rStyle w:val="Hypertextovodkaz"/>
          <w:i/>
          <w:iCs/>
          <w:color w:val="000000" w:themeColor="text1"/>
          <w:sz w:val="24"/>
          <w:u w:val="none"/>
        </w:rPr>
        <w:t>prices</w:t>
      </w:r>
      <w:proofErr w:type="spellEnd"/>
      <w:r w:rsidRPr="003E5B64">
        <w:rPr>
          <w:rStyle w:val="Hypertextovodkaz"/>
          <w:i/>
          <w:iCs/>
          <w:color w:val="000000" w:themeColor="text1"/>
          <w:sz w:val="24"/>
          <w:u w:val="none"/>
        </w:rPr>
        <w:t xml:space="preserve"> and </w:t>
      </w:r>
      <w:proofErr w:type="spellStart"/>
      <w:r w:rsidRPr="003E5B64">
        <w:rPr>
          <w:rStyle w:val="Hypertextovodkaz"/>
          <w:i/>
          <w:iCs/>
          <w:color w:val="000000" w:themeColor="text1"/>
          <w:sz w:val="24"/>
          <w:u w:val="none"/>
        </w:rPr>
        <w:t>wages</w:t>
      </w:r>
      <w:proofErr w:type="spellEnd"/>
      <w:r w:rsidRPr="003E5B64">
        <w:rPr>
          <w:rStyle w:val="Hypertextovodkaz"/>
          <w:i/>
          <w:iCs/>
          <w:color w:val="000000" w:themeColor="text1"/>
          <w:sz w:val="24"/>
          <w:u w:val="none"/>
        </w:rPr>
        <w:t xml:space="preserve"> in </w:t>
      </w:r>
      <w:proofErr w:type="spellStart"/>
      <w:r w:rsidRPr="003E5B64">
        <w:rPr>
          <w:rStyle w:val="Hypertextovodkaz"/>
          <w:i/>
          <w:iCs/>
          <w:color w:val="000000" w:themeColor="text1"/>
          <w:sz w:val="24"/>
          <w:u w:val="none"/>
        </w:rPr>
        <w:t>Europe</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Cross-national</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analysis</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of</w:t>
      </w:r>
      <w:proofErr w:type="spellEnd"/>
      <w:r w:rsidRPr="003E5B64">
        <w:rPr>
          <w:rStyle w:val="Hypertextovodkaz"/>
          <w:i/>
          <w:iCs/>
          <w:color w:val="000000" w:themeColor="text1"/>
          <w:sz w:val="24"/>
          <w:u w:val="none"/>
        </w:rPr>
        <w:t xml:space="preserve"> food </w:t>
      </w:r>
      <w:proofErr w:type="spellStart"/>
      <w:r w:rsidRPr="003E5B64">
        <w:rPr>
          <w:rStyle w:val="Hypertextovodkaz"/>
          <w:i/>
          <w:iCs/>
          <w:color w:val="000000" w:themeColor="text1"/>
          <w:sz w:val="24"/>
          <w:u w:val="none"/>
        </w:rPr>
        <w:t>deprivation</w:t>
      </w:r>
      <w:proofErr w:type="spellEnd"/>
      <w:r w:rsidRPr="003E5B64">
        <w:rPr>
          <w:rStyle w:val="Hypertextovodkaz"/>
          <w:i/>
          <w:iCs/>
          <w:color w:val="000000" w:themeColor="text1"/>
          <w:sz w:val="24"/>
          <w:u w:val="none"/>
        </w:rPr>
        <w:t xml:space="preserve"> and </w:t>
      </w:r>
      <w:proofErr w:type="spellStart"/>
      <w:r w:rsidRPr="003E5B64">
        <w:rPr>
          <w:rStyle w:val="Hypertextovodkaz"/>
          <w:i/>
          <w:iCs/>
          <w:color w:val="000000" w:themeColor="text1"/>
          <w:sz w:val="24"/>
          <w:u w:val="none"/>
        </w:rPr>
        <w:t>welfare</w:t>
      </w:r>
      <w:proofErr w:type="spellEnd"/>
      <w:r w:rsidRPr="003E5B64">
        <w:rPr>
          <w:rStyle w:val="Hypertextovodkaz"/>
          <w:i/>
          <w:iCs/>
          <w:color w:val="000000" w:themeColor="text1"/>
          <w:sz w:val="24"/>
          <w:u w:val="none"/>
        </w:rPr>
        <w:t xml:space="preserve"> </w:t>
      </w:r>
      <w:proofErr w:type="spellStart"/>
      <w:r w:rsidRPr="003E5B64">
        <w:rPr>
          <w:rStyle w:val="Hypertextovodkaz"/>
          <w:i/>
          <w:iCs/>
          <w:color w:val="000000" w:themeColor="text1"/>
          <w:sz w:val="24"/>
          <w:u w:val="none"/>
        </w:rPr>
        <w:t>regimes</w:t>
      </w:r>
      <w:proofErr w:type="spellEnd"/>
      <w:r w:rsidRPr="003E5B64">
        <w:rPr>
          <w:rStyle w:val="Hypertextovodkaz"/>
          <w:i/>
          <w:iCs/>
          <w:color w:val="000000" w:themeColor="text1"/>
          <w:sz w:val="24"/>
          <w:u w:val="none"/>
        </w:rPr>
        <w:t xml:space="preserve"> in </w:t>
      </w:r>
      <w:proofErr w:type="spellStart"/>
      <w:r w:rsidRPr="003E5B64">
        <w:rPr>
          <w:rStyle w:val="Hypertextovodkaz"/>
          <w:i/>
          <w:iCs/>
          <w:color w:val="000000" w:themeColor="text1"/>
          <w:sz w:val="24"/>
          <w:u w:val="none"/>
        </w:rPr>
        <w:t>twenty-one</w:t>
      </w:r>
      <w:proofErr w:type="spellEnd"/>
      <w:r w:rsidRPr="003E5B64">
        <w:rPr>
          <w:rStyle w:val="Hypertextovodkaz"/>
          <w:i/>
          <w:iCs/>
          <w:color w:val="000000" w:themeColor="text1"/>
          <w:sz w:val="24"/>
          <w:u w:val="none"/>
        </w:rPr>
        <w:t xml:space="preserve"> EU </w:t>
      </w:r>
      <w:proofErr w:type="spellStart"/>
      <w:r w:rsidRPr="003E5B64">
        <w:rPr>
          <w:rStyle w:val="Hypertextovodkaz"/>
          <w:i/>
          <w:iCs/>
          <w:color w:val="000000" w:themeColor="text1"/>
          <w:sz w:val="24"/>
          <w:u w:val="none"/>
        </w:rPr>
        <w:t>countries</w:t>
      </w:r>
      <w:proofErr w:type="spellEnd"/>
      <w:r w:rsidRPr="003E5B64">
        <w:rPr>
          <w:rStyle w:val="Hypertextovodkaz"/>
          <w:i/>
          <w:iCs/>
          <w:color w:val="000000" w:themeColor="text1"/>
          <w:sz w:val="24"/>
          <w:u w:val="none"/>
        </w:rPr>
        <w:t>, 2004-2012</w:t>
      </w:r>
      <w:r w:rsidRPr="003E5B64">
        <w:rPr>
          <w:rStyle w:val="Hypertextovodkaz"/>
          <w:color w:val="000000" w:themeColor="text1"/>
          <w:sz w:val="24"/>
          <w:u w:val="none"/>
        </w:rPr>
        <w:t>. Cambridge.org.</w:t>
      </w:r>
      <w:r w:rsidRPr="003E5B64">
        <w:rPr>
          <w:color w:val="000000" w:themeColor="text1"/>
          <w:sz w:val="24"/>
        </w:rPr>
        <w:t xml:space="preserve"> [online]. 2017 </w:t>
      </w:r>
      <w:r w:rsidR="00CD4CBA" w:rsidRPr="003E5B64">
        <w:rPr>
          <w:color w:val="000000" w:themeColor="text1"/>
          <w:sz w:val="24"/>
        </w:rPr>
        <w:br/>
      </w:r>
      <w:r w:rsidRPr="003E5B64">
        <w:rPr>
          <w:color w:val="000000" w:themeColor="text1"/>
          <w:sz w:val="24"/>
        </w:rPr>
        <w:t xml:space="preserve">[cit. 2020-02-22]. Dostupné z: </w:t>
      </w:r>
      <w:hyperlink r:id="rId66" w:history="1">
        <w:r w:rsidRPr="003E5B64">
          <w:rPr>
            <w:rStyle w:val="Hypertextovodkaz"/>
            <w:sz w:val="24"/>
            <w:u w:val="none"/>
          </w:rPr>
          <w:t>https://doi.org/10.1017/S1368980017000167</w:t>
        </w:r>
      </w:hyperlink>
      <w:r w:rsidR="00D22FA9" w:rsidRPr="003E5B64">
        <w:rPr>
          <w:rStyle w:val="Hypertextovodkaz"/>
          <w:sz w:val="24"/>
          <w:u w:val="none"/>
        </w:rPr>
        <w:t>.</w:t>
      </w:r>
    </w:p>
    <w:p w14:paraId="1B0F266C" w14:textId="5DE973E0" w:rsidR="005632C6" w:rsidRPr="003E5B64" w:rsidRDefault="005632C6" w:rsidP="005E7ECF">
      <w:pPr>
        <w:pStyle w:val="Bezmezer"/>
        <w:numPr>
          <w:ilvl w:val="0"/>
          <w:numId w:val="2"/>
        </w:numPr>
        <w:spacing w:before="120" w:after="240" w:line="360" w:lineRule="auto"/>
        <w:rPr>
          <w:color w:val="000000" w:themeColor="text1"/>
          <w:sz w:val="24"/>
        </w:rPr>
      </w:pPr>
      <w:r w:rsidRPr="003E5B64">
        <w:rPr>
          <w:sz w:val="24"/>
        </w:rPr>
        <w:t xml:space="preserve">SAUNDERS, Peter. </w:t>
      </w:r>
      <w:proofErr w:type="spellStart"/>
      <w:r w:rsidRPr="003E5B64">
        <w:rPr>
          <w:i/>
          <w:iCs/>
          <w:sz w:val="24"/>
        </w:rPr>
        <w:t>The</w:t>
      </w:r>
      <w:proofErr w:type="spellEnd"/>
      <w:r w:rsidRPr="003E5B64">
        <w:rPr>
          <w:i/>
          <w:iCs/>
          <w:sz w:val="24"/>
        </w:rPr>
        <w:t xml:space="preserve"> </w:t>
      </w:r>
      <w:proofErr w:type="spellStart"/>
      <w:r w:rsidRPr="003E5B64">
        <w:rPr>
          <w:i/>
          <w:iCs/>
          <w:sz w:val="24"/>
        </w:rPr>
        <w:t>ends</w:t>
      </w:r>
      <w:proofErr w:type="spellEnd"/>
      <w:r w:rsidRPr="003E5B64">
        <w:rPr>
          <w:i/>
          <w:iCs/>
          <w:sz w:val="24"/>
        </w:rPr>
        <w:t xml:space="preserve"> and </w:t>
      </w:r>
      <w:proofErr w:type="spellStart"/>
      <w:r w:rsidRPr="003E5B64">
        <w:rPr>
          <w:i/>
          <w:iCs/>
          <w:sz w:val="24"/>
        </w:rPr>
        <w:t>means</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welfare</w:t>
      </w:r>
      <w:proofErr w:type="spellEnd"/>
      <w:r w:rsidRPr="003E5B64">
        <w:rPr>
          <w:i/>
          <w:iCs/>
          <w:sz w:val="24"/>
        </w:rPr>
        <w:t xml:space="preserve">: </w:t>
      </w:r>
      <w:proofErr w:type="spellStart"/>
      <w:r w:rsidRPr="003E5B64">
        <w:rPr>
          <w:i/>
          <w:iCs/>
          <w:sz w:val="24"/>
        </w:rPr>
        <w:t>coping</w:t>
      </w:r>
      <w:proofErr w:type="spellEnd"/>
      <w:r w:rsidRPr="003E5B64">
        <w:rPr>
          <w:i/>
          <w:iCs/>
          <w:sz w:val="24"/>
        </w:rPr>
        <w:t xml:space="preserve"> </w:t>
      </w:r>
      <w:proofErr w:type="spellStart"/>
      <w:r w:rsidRPr="003E5B64">
        <w:rPr>
          <w:i/>
          <w:iCs/>
          <w:sz w:val="24"/>
        </w:rPr>
        <w:t>with</w:t>
      </w:r>
      <w:proofErr w:type="spellEnd"/>
      <w:r w:rsidRPr="003E5B64">
        <w:rPr>
          <w:i/>
          <w:iCs/>
          <w:sz w:val="24"/>
        </w:rPr>
        <w:t xml:space="preserve"> </w:t>
      </w:r>
      <w:proofErr w:type="spellStart"/>
      <w:r w:rsidRPr="003E5B64">
        <w:rPr>
          <w:i/>
          <w:iCs/>
          <w:sz w:val="24"/>
        </w:rPr>
        <w:t>economic</w:t>
      </w:r>
      <w:proofErr w:type="spellEnd"/>
      <w:r w:rsidRPr="003E5B64">
        <w:rPr>
          <w:i/>
          <w:iCs/>
          <w:sz w:val="24"/>
        </w:rPr>
        <w:t xml:space="preserve"> and </w:t>
      </w:r>
      <w:proofErr w:type="spellStart"/>
      <w:r w:rsidRPr="003E5B64">
        <w:rPr>
          <w:i/>
          <w:iCs/>
          <w:sz w:val="24"/>
        </w:rPr>
        <w:t>social</w:t>
      </w:r>
      <w:proofErr w:type="spellEnd"/>
      <w:r w:rsidRPr="003E5B64">
        <w:rPr>
          <w:i/>
          <w:iCs/>
          <w:sz w:val="24"/>
        </w:rPr>
        <w:t xml:space="preserve"> </w:t>
      </w:r>
      <w:proofErr w:type="spellStart"/>
      <w:r w:rsidRPr="003E5B64">
        <w:rPr>
          <w:i/>
          <w:iCs/>
          <w:sz w:val="24"/>
        </w:rPr>
        <w:t>change</w:t>
      </w:r>
      <w:proofErr w:type="spellEnd"/>
      <w:r w:rsidRPr="003E5B64">
        <w:rPr>
          <w:i/>
          <w:iCs/>
          <w:sz w:val="24"/>
        </w:rPr>
        <w:t xml:space="preserve"> in </w:t>
      </w:r>
      <w:proofErr w:type="spellStart"/>
      <w:r w:rsidRPr="003E5B64">
        <w:rPr>
          <w:i/>
          <w:iCs/>
          <w:sz w:val="24"/>
        </w:rPr>
        <w:t>Australia</w:t>
      </w:r>
      <w:proofErr w:type="spellEnd"/>
      <w:r w:rsidRPr="003E5B64">
        <w:rPr>
          <w:sz w:val="24"/>
        </w:rPr>
        <w:t xml:space="preserve">. Cambridge: Cambridge University </w:t>
      </w:r>
      <w:proofErr w:type="spellStart"/>
      <w:r w:rsidRPr="003E5B64">
        <w:rPr>
          <w:sz w:val="24"/>
        </w:rPr>
        <w:t>Press</w:t>
      </w:r>
      <w:proofErr w:type="spellEnd"/>
      <w:r w:rsidRPr="003E5B64">
        <w:rPr>
          <w:sz w:val="24"/>
        </w:rPr>
        <w:t xml:space="preserve">, 2002, 304 s. </w:t>
      </w:r>
      <w:r w:rsidR="00CD4CBA" w:rsidRPr="003E5B64">
        <w:rPr>
          <w:sz w:val="24"/>
        </w:rPr>
        <w:br/>
      </w:r>
      <w:r w:rsidRPr="003E5B64">
        <w:rPr>
          <w:sz w:val="24"/>
        </w:rPr>
        <w:t>ISBN 05-215-2443-1.</w:t>
      </w:r>
    </w:p>
    <w:p w14:paraId="5EFD22D6" w14:textId="12C69079" w:rsidR="005632C6" w:rsidRPr="003E5B64" w:rsidRDefault="005632C6" w:rsidP="005632C6">
      <w:pPr>
        <w:pStyle w:val="Bezmezer"/>
        <w:numPr>
          <w:ilvl w:val="0"/>
          <w:numId w:val="2"/>
        </w:numPr>
        <w:spacing w:before="120" w:after="240" w:line="360" w:lineRule="auto"/>
        <w:ind w:left="641" w:hanging="357"/>
        <w:rPr>
          <w:color w:val="000000" w:themeColor="text1"/>
          <w:sz w:val="24"/>
        </w:rPr>
      </w:pPr>
      <w:r w:rsidRPr="003E5B64">
        <w:rPr>
          <w:color w:val="000000" w:themeColor="text1"/>
          <w:sz w:val="24"/>
        </w:rPr>
        <w:t xml:space="preserve">SCHILLER, R. </w:t>
      </w:r>
      <w:proofErr w:type="spellStart"/>
      <w:r w:rsidRPr="003E5B64">
        <w:rPr>
          <w:color w:val="000000" w:themeColor="text1"/>
          <w:sz w:val="24"/>
        </w:rPr>
        <w:t>Bradley</w:t>
      </w:r>
      <w:proofErr w:type="spellEnd"/>
      <w:r w:rsidRPr="003E5B64">
        <w:rPr>
          <w:color w:val="000000" w:themeColor="text1"/>
          <w:sz w:val="24"/>
        </w:rPr>
        <w:t xml:space="preserve">. </w:t>
      </w:r>
      <w:r w:rsidRPr="003E5B64">
        <w:rPr>
          <w:i/>
          <w:iCs/>
          <w:color w:val="000000" w:themeColor="text1"/>
          <w:sz w:val="24"/>
        </w:rPr>
        <w:t xml:space="preserve">Mikroekonomie. </w:t>
      </w:r>
      <w:proofErr w:type="spellStart"/>
      <w:r w:rsidRPr="003E5B64">
        <w:rPr>
          <w:color w:val="000000" w:themeColor="text1"/>
          <w:sz w:val="24"/>
        </w:rPr>
        <w:t>Computer</w:t>
      </w:r>
      <w:proofErr w:type="spellEnd"/>
      <w:r w:rsidRPr="003E5B64">
        <w:rPr>
          <w:color w:val="000000" w:themeColor="text1"/>
          <w:sz w:val="24"/>
        </w:rPr>
        <w:t xml:space="preserve"> </w:t>
      </w:r>
      <w:proofErr w:type="spellStart"/>
      <w:r w:rsidRPr="003E5B64">
        <w:rPr>
          <w:color w:val="000000" w:themeColor="text1"/>
          <w:sz w:val="24"/>
        </w:rPr>
        <w:t>Press</w:t>
      </w:r>
      <w:proofErr w:type="spellEnd"/>
      <w:r w:rsidRPr="003E5B64">
        <w:rPr>
          <w:color w:val="000000" w:themeColor="text1"/>
          <w:sz w:val="24"/>
        </w:rPr>
        <w:t xml:space="preserve">, 2004. 399 s. </w:t>
      </w:r>
      <w:r w:rsidR="00CD4CBA" w:rsidRPr="003E5B64">
        <w:rPr>
          <w:color w:val="000000" w:themeColor="text1"/>
          <w:sz w:val="24"/>
        </w:rPr>
        <w:br/>
      </w:r>
      <w:r w:rsidRPr="003E5B64">
        <w:rPr>
          <w:color w:val="000000" w:themeColor="text1"/>
          <w:sz w:val="24"/>
        </w:rPr>
        <w:t>ISBN: 80-251-0109-6.</w:t>
      </w:r>
    </w:p>
    <w:p w14:paraId="4E9BEB34" w14:textId="77777777" w:rsidR="004C5FC9" w:rsidRPr="003E5B64" w:rsidRDefault="004C5FC9" w:rsidP="00BF199E">
      <w:pPr>
        <w:pStyle w:val="Bezmezer"/>
        <w:numPr>
          <w:ilvl w:val="0"/>
          <w:numId w:val="2"/>
        </w:numPr>
        <w:spacing w:before="120" w:after="240" w:line="360" w:lineRule="auto"/>
        <w:ind w:left="641" w:hanging="357"/>
        <w:jc w:val="left"/>
        <w:rPr>
          <w:sz w:val="24"/>
        </w:rPr>
      </w:pPr>
      <w:proofErr w:type="spellStart"/>
      <w:r w:rsidRPr="003E5B64">
        <w:rPr>
          <w:sz w:val="24"/>
        </w:rPr>
        <w:t>Schleicher</w:t>
      </w:r>
      <w:proofErr w:type="spellEnd"/>
      <w:r w:rsidRPr="003E5B64">
        <w:rPr>
          <w:sz w:val="24"/>
        </w:rPr>
        <w:t xml:space="preserve">. </w:t>
      </w:r>
      <w:r w:rsidRPr="003E5B64">
        <w:rPr>
          <w:i/>
          <w:iCs/>
          <w:sz w:val="24"/>
        </w:rPr>
        <w:t xml:space="preserve">Minimum </w:t>
      </w:r>
      <w:proofErr w:type="spellStart"/>
      <w:r w:rsidRPr="003E5B64">
        <w:rPr>
          <w:i/>
          <w:iCs/>
          <w:sz w:val="24"/>
        </w:rPr>
        <w:t>income</w:t>
      </w:r>
      <w:proofErr w:type="spellEnd"/>
      <w:r w:rsidRPr="003E5B64">
        <w:rPr>
          <w:i/>
          <w:iCs/>
          <w:sz w:val="24"/>
        </w:rPr>
        <w:t xml:space="preserve"> level </w:t>
      </w:r>
      <w:proofErr w:type="spellStart"/>
      <w:r w:rsidRPr="003E5B64">
        <w:rPr>
          <w:i/>
          <w:iCs/>
          <w:sz w:val="24"/>
        </w:rPr>
        <w:t>remains</w:t>
      </w:r>
      <w:proofErr w:type="spellEnd"/>
      <w:r w:rsidRPr="003E5B64">
        <w:rPr>
          <w:i/>
          <w:iCs/>
          <w:sz w:val="24"/>
        </w:rPr>
        <w:t xml:space="preserve"> tax-free. </w:t>
      </w:r>
      <w:r w:rsidRPr="003E5B64">
        <w:rPr>
          <w:sz w:val="24"/>
        </w:rPr>
        <w:t xml:space="preserve">Brg-recht.de [online]. 2020 </w:t>
      </w:r>
      <w:r w:rsidRPr="003E5B64">
        <w:rPr>
          <w:sz w:val="24"/>
        </w:rPr>
        <w:br/>
        <w:t>[cit. 2020-07-05]. Dostupné z: https://brg-recht.de/en/news/Minimum%20subsistence%20tax%20free.html.</w:t>
      </w:r>
    </w:p>
    <w:p w14:paraId="312E0317" w14:textId="28647BCD" w:rsidR="009C1C21" w:rsidRPr="003E5B64" w:rsidRDefault="009C1C21" w:rsidP="00BF199E">
      <w:pPr>
        <w:pStyle w:val="Bezmezer"/>
        <w:numPr>
          <w:ilvl w:val="0"/>
          <w:numId w:val="2"/>
        </w:numPr>
        <w:spacing w:before="120" w:after="240" w:line="360" w:lineRule="auto"/>
        <w:ind w:left="641" w:hanging="357"/>
        <w:jc w:val="left"/>
        <w:rPr>
          <w:color w:val="000000" w:themeColor="text1"/>
          <w:sz w:val="24"/>
        </w:rPr>
      </w:pPr>
      <w:r w:rsidRPr="003E5B64">
        <w:rPr>
          <w:color w:val="000000" w:themeColor="text1"/>
          <w:sz w:val="24"/>
        </w:rPr>
        <w:t xml:space="preserve">Sociálna </w:t>
      </w:r>
      <w:proofErr w:type="spellStart"/>
      <w:r w:rsidRPr="003E5B64">
        <w:rPr>
          <w:color w:val="000000" w:themeColor="text1"/>
          <w:sz w:val="24"/>
        </w:rPr>
        <w:t>poisťovňa</w:t>
      </w:r>
      <w:proofErr w:type="spellEnd"/>
      <w:r w:rsidRPr="003E5B64">
        <w:rPr>
          <w:color w:val="000000" w:themeColor="text1"/>
          <w:sz w:val="24"/>
        </w:rPr>
        <w:t xml:space="preserve">. </w:t>
      </w:r>
      <w:r w:rsidRPr="003E5B64">
        <w:rPr>
          <w:i/>
          <w:iCs/>
          <w:color w:val="000000" w:themeColor="text1"/>
          <w:sz w:val="24"/>
        </w:rPr>
        <w:t xml:space="preserve">Životné minimum. </w:t>
      </w:r>
      <w:r w:rsidRPr="003E5B64">
        <w:rPr>
          <w:color w:val="000000" w:themeColor="text1"/>
          <w:sz w:val="24"/>
        </w:rPr>
        <w:t xml:space="preserve">Socpoist.sk [online]. 2016 </w:t>
      </w:r>
      <w:r w:rsidRPr="003E5B64">
        <w:rPr>
          <w:color w:val="000000" w:themeColor="text1"/>
          <w:sz w:val="24"/>
        </w:rPr>
        <w:br/>
        <w:t>[cit. 2020-06-10]. Dostupné z: https://www.socpoist.sk/aktuality-zivotne-minimum-sa-od-1-jula-2016-opat-nemeni/61733c.</w:t>
      </w:r>
    </w:p>
    <w:p w14:paraId="3C65151B" w14:textId="251471D9" w:rsidR="00BF199E" w:rsidRPr="00A67F23" w:rsidRDefault="005632C6" w:rsidP="00A67F23">
      <w:pPr>
        <w:pStyle w:val="Bezmezer"/>
        <w:numPr>
          <w:ilvl w:val="0"/>
          <w:numId w:val="2"/>
        </w:numPr>
        <w:spacing w:before="120" w:after="240" w:line="360" w:lineRule="auto"/>
        <w:jc w:val="left"/>
        <w:rPr>
          <w:rStyle w:val="Hypertextovodkaz"/>
          <w:color w:val="000000" w:themeColor="text1"/>
          <w:sz w:val="24"/>
          <w:u w:val="none"/>
        </w:rPr>
      </w:pPr>
      <w:r w:rsidRPr="003E5B64">
        <w:rPr>
          <w:color w:val="000000" w:themeColor="text1"/>
          <w:sz w:val="24"/>
          <w:shd w:val="clear" w:color="auto" w:fill="FFFFFF"/>
        </w:rPr>
        <w:lastRenderedPageBreak/>
        <w:t>Sociologický časopis</w:t>
      </w:r>
      <w:r w:rsidRPr="003E5B64">
        <w:rPr>
          <w:i/>
          <w:iCs/>
          <w:color w:val="000000" w:themeColor="text1"/>
          <w:sz w:val="24"/>
          <w:shd w:val="clear" w:color="auto" w:fill="FFFFFF"/>
        </w:rPr>
        <w:t xml:space="preserve">. Problém chudoby – několik doporučení k definici a měření </w:t>
      </w:r>
      <w:r w:rsidRPr="003E5B64">
        <w:rPr>
          <w:color w:val="000000" w:themeColor="text1"/>
          <w:sz w:val="24"/>
          <w:shd w:val="clear" w:color="auto" w:fill="FFFFFF"/>
        </w:rPr>
        <w:t xml:space="preserve">[online]. Praha: Sociologický ústav AV ČR, 2005.  [cit. 2020-02-14]. Dostupné z: </w:t>
      </w:r>
      <w:hyperlink r:id="rId67" w:history="1">
        <w:r w:rsidRPr="003E5B64">
          <w:rPr>
            <w:rStyle w:val="Hypertextovodkaz"/>
            <w:color w:val="000000" w:themeColor="text1"/>
            <w:sz w:val="24"/>
            <w:u w:val="none"/>
          </w:rPr>
          <w:t>http://sreview.soc.cas.cz/uploads/e16a3dcc9790e10418c053afaaf6f76485b29a39_545_16ringen16.pdf</w:t>
        </w:r>
      </w:hyperlink>
      <w:r w:rsidR="00D22FA9" w:rsidRPr="003E5B64">
        <w:rPr>
          <w:rStyle w:val="Hypertextovodkaz"/>
          <w:color w:val="000000" w:themeColor="text1"/>
          <w:sz w:val="24"/>
          <w:u w:val="none"/>
        </w:rPr>
        <w:t>.</w:t>
      </w:r>
    </w:p>
    <w:p w14:paraId="5D193FFB" w14:textId="45B3391F" w:rsidR="005632C6" w:rsidRPr="003E5B64" w:rsidRDefault="005632C6" w:rsidP="00BF199E">
      <w:pPr>
        <w:pStyle w:val="Bezmezer"/>
        <w:numPr>
          <w:ilvl w:val="0"/>
          <w:numId w:val="2"/>
        </w:numPr>
        <w:spacing w:before="120" w:after="240" w:line="360" w:lineRule="auto"/>
        <w:ind w:left="641" w:hanging="357"/>
        <w:jc w:val="left"/>
        <w:rPr>
          <w:sz w:val="24"/>
        </w:rPr>
      </w:pPr>
      <w:r w:rsidRPr="003E5B64">
        <w:rPr>
          <w:sz w:val="24"/>
        </w:rPr>
        <w:t xml:space="preserve">Statista. </w:t>
      </w:r>
      <w:r w:rsidRPr="003E5B64">
        <w:rPr>
          <w:i/>
          <w:iCs/>
          <w:sz w:val="24"/>
        </w:rPr>
        <w:t xml:space="preserve">Germany: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68" w:history="1">
        <w:r w:rsidRPr="003E5B64">
          <w:rPr>
            <w:rStyle w:val="Hypertextovodkaz"/>
            <w:sz w:val="24"/>
            <w:u w:val="none"/>
          </w:rPr>
          <w:t>https://www.statista.com/statistics/375203/gross-domestic-product-gdp-growth-rate-in-germany/</w:t>
        </w:r>
      </w:hyperlink>
      <w:r w:rsidR="00D22FA9" w:rsidRPr="003E5B64">
        <w:rPr>
          <w:rStyle w:val="Hypertextovodkaz"/>
          <w:sz w:val="24"/>
          <w:u w:val="none"/>
        </w:rPr>
        <w:t>.</w:t>
      </w:r>
    </w:p>
    <w:p w14:paraId="2CB87273" w14:textId="07A33335" w:rsidR="005632C6" w:rsidRPr="003E5B64" w:rsidRDefault="005632C6" w:rsidP="00BF199E">
      <w:pPr>
        <w:pStyle w:val="Bezmezer"/>
        <w:numPr>
          <w:ilvl w:val="0"/>
          <w:numId w:val="2"/>
        </w:numPr>
        <w:spacing w:before="120" w:after="240" w:line="360" w:lineRule="auto"/>
        <w:ind w:left="641" w:hanging="357"/>
        <w:jc w:val="left"/>
        <w:rPr>
          <w:sz w:val="24"/>
        </w:rPr>
      </w:pPr>
      <w:r w:rsidRPr="003E5B64">
        <w:rPr>
          <w:sz w:val="24"/>
        </w:rPr>
        <w:t xml:space="preserve">Statista. </w:t>
      </w:r>
      <w:proofErr w:type="spellStart"/>
      <w:r w:rsidRPr="003E5B64">
        <w:rPr>
          <w:i/>
          <w:iCs/>
          <w:sz w:val="24"/>
        </w:rPr>
        <w:t>Hungary</w:t>
      </w:r>
      <w:proofErr w:type="spellEnd"/>
      <w:r w:rsidRPr="003E5B64">
        <w:rPr>
          <w:i/>
          <w:iCs/>
          <w:sz w:val="24"/>
        </w:rPr>
        <w:t xml:space="preserve">: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69" w:history="1">
        <w:r w:rsidRPr="003E5B64">
          <w:rPr>
            <w:rStyle w:val="Hypertextovodkaz"/>
            <w:sz w:val="24"/>
            <w:u w:val="none"/>
          </w:rPr>
          <w:t>https://www.statista.com/statistics/339799/gross-domestic-product-gdp-growth-rate-in-hungary/</w:t>
        </w:r>
      </w:hyperlink>
      <w:r w:rsidR="00D22FA9" w:rsidRPr="003E5B64">
        <w:rPr>
          <w:rStyle w:val="Hypertextovodkaz"/>
          <w:sz w:val="24"/>
          <w:u w:val="none"/>
        </w:rPr>
        <w:t>.</w:t>
      </w:r>
    </w:p>
    <w:p w14:paraId="3B0B7FB1" w14:textId="1AF01CAC" w:rsidR="005632C6" w:rsidRPr="003E5B64" w:rsidRDefault="005632C6" w:rsidP="00BF199E">
      <w:pPr>
        <w:pStyle w:val="Bezmezer"/>
        <w:numPr>
          <w:ilvl w:val="0"/>
          <w:numId w:val="2"/>
        </w:numPr>
        <w:spacing w:before="120" w:after="240" w:line="360" w:lineRule="auto"/>
        <w:ind w:left="641" w:hanging="357"/>
        <w:jc w:val="left"/>
        <w:rPr>
          <w:sz w:val="24"/>
        </w:rPr>
      </w:pPr>
      <w:r w:rsidRPr="003E5B64">
        <w:rPr>
          <w:sz w:val="24"/>
        </w:rPr>
        <w:t xml:space="preserve">Statista. </w:t>
      </w:r>
      <w:r w:rsidRPr="003E5B64">
        <w:rPr>
          <w:i/>
          <w:iCs/>
          <w:sz w:val="24"/>
        </w:rPr>
        <w:t xml:space="preserve">Czech Republic: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70" w:history="1">
        <w:r w:rsidRPr="003E5B64">
          <w:rPr>
            <w:rStyle w:val="Hypertextovodkaz"/>
            <w:sz w:val="24"/>
            <w:u w:val="none"/>
          </w:rPr>
          <w:t>https://www.statista.com/statistics/369860/gross-domestic-product-gdp-growth-rate-in-czech-republic/</w:t>
        </w:r>
      </w:hyperlink>
      <w:r w:rsidR="00D22FA9" w:rsidRPr="003E5B64">
        <w:rPr>
          <w:rStyle w:val="Hypertextovodkaz"/>
          <w:sz w:val="24"/>
          <w:u w:val="none"/>
        </w:rPr>
        <w:t>.</w:t>
      </w:r>
    </w:p>
    <w:p w14:paraId="432E81F1" w14:textId="0888B09B" w:rsidR="005632C6" w:rsidRPr="003E5B64" w:rsidRDefault="005632C6" w:rsidP="00BF199E">
      <w:pPr>
        <w:pStyle w:val="Bezmezer"/>
        <w:numPr>
          <w:ilvl w:val="0"/>
          <w:numId w:val="2"/>
        </w:numPr>
        <w:spacing w:before="120" w:after="240" w:line="360" w:lineRule="auto"/>
        <w:ind w:left="641" w:hanging="357"/>
        <w:jc w:val="left"/>
        <w:rPr>
          <w:sz w:val="24"/>
        </w:rPr>
      </w:pPr>
      <w:r w:rsidRPr="003E5B64">
        <w:rPr>
          <w:sz w:val="24"/>
        </w:rPr>
        <w:t xml:space="preserve">Statista. </w:t>
      </w:r>
      <w:r w:rsidRPr="003E5B64">
        <w:rPr>
          <w:i/>
          <w:iCs/>
          <w:sz w:val="24"/>
        </w:rPr>
        <w:t xml:space="preserve">Slovakia: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71" w:history="1">
        <w:r w:rsidRPr="003E5B64">
          <w:rPr>
            <w:rStyle w:val="Hypertextovodkaz"/>
            <w:sz w:val="24"/>
            <w:u w:val="none"/>
          </w:rPr>
          <w:t>https://www.statista.com/statistics/375270/gross-domestic-product-gdp-growth-rate-in-slovakia/</w:t>
        </w:r>
      </w:hyperlink>
      <w:r w:rsidR="00D22FA9" w:rsidRPr="003E5B64">
        <w:rPr>
          <w:rStyle w:val="Hypertextovodkaz"/>
          <w:sz w:val="24"/>
          <w:u w:val="none"/>
        </w:rPr>
        <w:t>.</w:t>
      </w:r>
    </w:p>
    <w:p w14:paraId="6A3BCFD1" w14:textId="5981EF9C" w:rsidR="005632C6" w:rsidRPr="003E5B64" w:rsidRDefault="005632C6"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Statista. </w:t>
      </w:r>
      <w:proofErr w:type="spellStart"/>
      <w:r w:rsidRPr="003E5B64">
        <w:rPr>
          <w:i/>
          <w:iCs/>
          <w:sz w:val="24"/>
        </w:rPr>
        <w:t>Poland</w:t>
      </w:r>
      <w:proofErr w:type="spellEnd"/>
      <w:r w:rsidRPr="003E5B64">
        <w:rPr>
          <w:i/>
          <w:iCs/>
          <w:sz w:val="24"/>
        </w:rPr>
        <w:t xml:space="preserve">: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72" w:history="1">
        <w:r w:rsidRPr="003E5B64">
          <w:rPr>
            <w:rStyle w:val="Hypertextovodkaz"/>
            <w:sz w:val="24"/>
            <w:u w:val="none"/>
          </w:rPr>
          <w:t>https://www.statista.com/statistics/376377/gross-domestic-product-gdp-growth-rate-in-poland/</w:t>
        </w:r>
      </w:hyperlink>
      <w:r w:rsidR="00D22FA9" w:rsidRPr="003E5B64">
        <w:rPr>
          <w:rStyle w:val="Hypertextovodkaz"/>
          <w:sz w:val="24"/>
          <w:u w:val="none"/>
        </w:rPr>
        <w:t>.</w:t>
      </w:r>
    </w:p>
    <w:p w14:paraId="6100825C" w14:textId="07D32A78" w:rsidR="004C5FC9" w:rsidRDefault="004C5FC9" w:rsidP="00BF199E">
      <w:pPr>
        <w:pStyle w:val="Bezmezer"/>
        <w:numPr>
          <w:ilvl w:val="0"/>
          <w:numId w:val="2"/>
        </w:numPr>
        <w:spacing w:before="120" w:after="240" w:line="360" w:lineRule="auto"/>
        <w:ind w:left="641" w:hanging="357"/>
        <w:jc w:val="left"/>
        <w:rPr>
          <w:sz w:val="24"/>
        </w:rPr>
      </w:pPr>
      <w:r w:rsidRPr="003E5B64">
        <w:rPr>
          <w:sz w:val="24"/>
        </w:rPr>
        <w:t xml:space="preserve">Statista. </w:t>
      </w:r>
      <w:proofErr w:type="spellStart"/>
      <w:r w:rsidRPr="003E5B64">
        <w:rPr>
          <w:i/>
          <w:iCs/>
          <w:sz w:val="24"/>
        </w:rPr>
        <w:t>Average</w:t>
      </w:r>
      <w:proofErr w:type="spellEnd"/>
      <w:r w:rsidRPr="003E5B64">
        <w:rPr>
          <w:i/>
          <w:iCs/>
          <w:sz w:val="24"/>
        </w:rPr>
        <w:t xml:space="preserve"> </w:t>
      </w:r>
      <w:proofErr w:type="spellStart"/>
      <w:r w:rsidRPr="003E5B64">
        <w:rPr>
          <w:i/>
          <w:iCs/>
          <w:sz w:val="24"/>
        </w:rPr>
        <w:t>monthly</w:t>
      </w:r>
      <w:proofErr w:type="spellEnd"/>
      <w:r w:rsidRPr="003E5B64">
        <w:rPr>
          <w:i/>
          <w:iCs/>
          <w:sz w:val="24"/>
        </w:rPr>
        <w:t xml:space="preserve"> gross </w:t>
      </w:r>
      <w:proofErr w:type="spellStart"/>
      <w:r w:rsidRPr="003E5B64">
        <w:rPr>
          <w:i/>
          <w:iCs/>
          <w:sz w:val="24"/>
        </w:rPr>
        <w:t>wages</w:t>
      </w:r>
      <w:proofErr w:type="spellEnd"/>
      <w:r w:rsidRPr="003E5B64">
        <w:rPr>
          <w:i/>
          <w:iCs/>
          <w:sz w:val="24"/>
        </w:rPr>
        <w:t xml:space="preserve"> and </w:t>
      </w:r>
      <w:proofErr w:type="spellStart"/>
      <w:r w:rsidRPr="003E5B64">
        <w:rPr>
          <w:i/>
          <w:iCs/>
          <w:sz w:val="24"/>
        </w:rPr>
        <w:t>salaries</w:t>
      </w:r>
      <w:proofErr w:type="spellEnd"/>
      <w:r w:rsidRPr="003E5B64">
        <w:rPr>
          <w:i/>
          <w:iCs/>
          <w:sz w:val="24"/>
        </w:rPr>
        <w:t xml:space="preserve"> in </w:t>
      </w:r>
      <w:proofErr w:type="spellStart"/>
      <w:r w:rsidRPr="003E5B64">
        <w:rPr>
          <w:i/>
          <w:iCs/>
          <w:sz w:val="24"/>
        </w:rPr>
        <w:t>the</w:t>
      </w:r>
      <w:proofErr w:type="spellEnd"/>
      <w:r w:rsidRPr="003E5B64">
        <w:rPr>
          <w:i/>
          <w:iCs/>
          <w:sz w:val="24"/>
        </w:rPr>
        <w:t xml:space="preserve"> </w:t>
      </w:r>
      <w:proofErr w:type="spellStart"/>
      <w:r w:rsidRPr="003E5B64">
        <w:rPr>
          <w:i/>
          <w:iCs/>
          <w:sz w:val="24"/>
        </w:rPr>
        <w:t>national</w:t>
      </w:r>
      <w:proofErr w:type="spellEnd"/>
      <w:r w:rsidRPr="003E5B64">
        <w:rPr>
          <w:i/>
          <w:iCs/>
          <w:sz w:val="24"/>
        </w:rPr>
        <w:t xml:space="preserve"> </w:t>
      </w:r>
      <w:proofErr w:type="spellStart"/>
      <w:r w:rsidRPr="003E5B64">
        <w:rPr>
          <w:i/>
          <w:iCs/>
          <w:sz w:val="24"/>
        </w:rPr>
        <w:t>economy</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Poland</w:t>
      </w:r>
      <w:proofErr w:type="spellEnd"/>
      <w:r w:rsidRPr="003E5B64">
        <w:rPr>
          <w:i/>
          <w:iCs/>
          <w:sz w:val="24"/>
        </w:rPr>
        <w:t xml:space="preserve"> </w:t>
      </w:r>
      <w:proofErr w:type="spellStart"/>
      <w:r w:rsidRPr="003E5B64">
        <w:rPr>
          <w:i/>
          <w:iCs/>
          <w:sz w:val="24"/>
        </w:rPr>
        <w:t>from</w:t>
      </w:r>
      <w:proofErr w:type="spellEnd"/>
      <w:r w:rsidRPr="003E5B64">
        <w:rPr>
          <w:i/>
          <w:iCs/>
          <w:sz w:val="24"/>
        </w:rPr>
        <w:t xml:space="preserve"> 1995 to 2019*. </w:t>
      </w:r>
      <w:r w:rsidRPr="003E5B64">
        <w:rPr>
          <w:sz w:val="24"/>
        </w:rPr>
        <w:t xml:space="preserve">Statista.com. [online]. 2020 [cit. 2020-06-20]. Dostupné z: </w:t>
      </w:r>
      <w:hyperlink r:id="rId73" w:history="1">
        <w:r w:rsidR="00A67F23" w:rsidRPr="004308A8">
          <w:rPr>
            <w:rStyle w:val="Hypertextovodkaz"/>
            <w:sz w:val="24"/>
          </w:rPr>
          <w:t>https://www.statista.com/statistics/962795/poland-average-monthly-gross-wages/</w:t>
        </w:r>
      </w:hyperlink>
      <w:r w:rsidRPr="003E5B64">
        <w:rPr>
          <w:sz w:val="24"/>
        </w:rPr>
        <w:t>.</w:t>
      </w:r>
    </w:p>
    <w:p w14:paraId="68E8C2D0" w14:textId="77777777" w:rsidR="00A67F23" w:rsidRPr="003E5B64" w:rsidRDefault="00A67F23" w:rsidP="00A67F23">
      <w:pPr>
        <w:pStyle w:val="Bezmezer"/>
        <w:spacing w:before="120" w:after="240" w:line="360" w:lineRule="auto"/>
        <w:jc w:val="left"/>
        <w:rPr>
          <w:sz w:val="24"/>
        </w:rPr>
      </w:pPr>
    </w:p>
    <w:p w14:paraId="265F5FEC" w14:textId="2324F3F1" w:rsidR="00BF199E" w:rsidRPr="00A67F23" w:rsidRDefault="005632C6" w:rsidP="00A67F23">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lastRenderedPageBreak/>
        <w:t xml:space="preserve">Statista. </w:t>
      </w:r>
      <w:proofErr w:type="spellStart"/>
      <w:r w:rsidRPr="003E5B64">
        <w:rPr>
          <w:i/>
          <w:iCs/>
          <w:sz w:val="24"/>
        </w:rPr>
        <w:t>Austria</w:t>
      </w:r>
      <w:proofErr w:type="spellEnd"/>
      <w:r w:rsidRPr="003E5B64">
        <w:rPr>
          <w:i/>
          <w:iCs/>
          <w:sz w:val="24"/>
        </w:rPr>
        <w:t xml:space="preserve">: </w:t>
      </w:r>
      <w:proofErr w:type="spellStart"/>
      <w:r w:rsidRPr="003E5B64">
        <w:rPr>
          <w:i/>
          <w:iCs/>
          <w:sz w:val="24"/>
        </w:rPr>
        <w:t>Growth</w:t>
      </w:r>
      <w:proofErr w:type="spellEnd"/>
      <w:r w:rsidRPr="003E5B64">
        <w:rPr>
          <w:i/>
          <w:iCs/>
          <w:sz w:val="24"/>
        </w:rPr>
        <w:t xml:space="preserve"> </w:t>
      </w:r>
      <w:proofErr w:type="spellStart"/>
      <w:r w:rsidRPr="003E5B64">
        <w:rPr>
          <w:i/>
          <w:iCs/>
          <w:sz w:val="24"/>
        </w:rPr>
        <w:t>rate</w:t>
      </w:r>
      <w:proofErr w:type="spellEnd"/>
      <w:r w:rsidRPr="003E5B64">
        <w:rPr>
          <w:i/>
          <w:iCs/>
          <w:sz w:val="24"/>
        </w:rPr>
        <w:t xml:space="preserve"> </w:t>
      </w:r>
      <w:proofErr w:type="spellStart"/>
      <w:r w:rsidRPr="003E5B64">
        <w:rPr>
          <w:i/>
          <w:iCs/>
          <w:sz w:val="24"/>
        </w:rPr>
        <w:t>of</w:t>
      </w:r>
      <w:proofErr w:type="spellEnd"/>
      <w:r w:rsidRPr="003E5B64">
        <w:rPr>
          <w:i/>
          <w:iCs/>
          <w:sz w:val="24"/>
        </w:rPr>
        <w:t xml:space="preserve"> </w:t>
      </w:r>
      <w:proofErr w:type="spellStart"/>
      <w:r w:rsidRPr="003E5B64">
        <w:rPr>
          <w:i/>
          <w:iCs/>
          <w:sz w:val="24"/>
        </w:rPr>
        <w:t>the</w:t>
      </w:r>
      <w:proofErr w:type="spellEnd"/>
      <w:r w:rsidRPr="003E5B64">
        <w:rPr>
          <w:i/>
          <w:iCs/>
          <w:sz w:val="24"/>
        </w:rPr>
        <w:t xml:space="preserve"> </w:t>
      </w:r>
      <w:proofErr w:type="spellStart"/>
      <w:r w:rsidRPr="003E5B64">
        <w:rPr>
          <w:i/>
          <w:iCs/>
          <w:sz w:val="24"/>
        </w:rPr>
        <w:t>real</w:t>
      </w:r>
      <w:proofErr w:type="spellEnd"/>
      <w:r w:rsidRPr="003E5B64">
        <w:rPr>
          <w:i/>
          <w:iCs/>
          <w:sz w:val="24"/>
        </w:rPr>
        <w:t xml:space="preserve"> gross </w:t>
      </w:r>
      <w:proofErr w:type="spellStart"/>
      <w:r w:rsidRPr="003E5B64">
        <w:rPr>
          <w:i/>
          <w:iCs/>
          <w:sz w:val="24"/>
        </w:rPr>
        <w:t>domestic</w:t>
      </w:r>
      <w:proofErr w:type="spellEnd"/>
      <w:r w:rsidRPr="003E5B64">
        <w:rPr>
          <w:i/>
          <w:iCs/>
          <w:sz w:val="24"/>
        </w:rPr>
        <w:t xml:space="preserve"> </w:t>
      </w:r>
      <w:proofErr w:type="spellStart"/>
      <w:r w:rsidRPr="003E5B64">
        <w:rPr>
          <w:i/>
          <w:iCs/>
          <w:sz w:val="24"/>
        </w:rPr>
        <w:t>product</w:t>
      </w:r>
      <w:proofErr w:type="spellEnd"/>
      <w:r w:rsidRPr="003E5B64">
        <w:rPr>
          <w:i/>
          <w:iCs/>
          <w:sz w:val="24"/>
        </w:rPr>
        <w:t xml:space="preserve"> (GDP) </w:t>
      </w:r>
      <w:proofErr w:type="spellStart"/>
      <w:r w:rsidRPr="003E5B64">
        <w:rPr>
          <w:i/>
          <w:iCs/>
          <w:sz w:val="24"/>
        </w:rPr>
        <w:t>from</w:t>
      </w:r>
      <w:proofErr w:type="spellEnd"/>
      <w:r w:rsidRPr="003E5B64">
        <w:rPr>
          <w:i/>
          <w:iCs/>
          <w:sz w:val="24"/>
        </w:rPr>
        <w:t xml:space="preserve"> 2009 to 2021. </w:t>
      </w:r>
      <w:r w:rsidRPr="003E5B64">
        <w:rPr>
          <w:sz w:val="24"/>
        </w:rPr>
        <w:t xml:space="preserve">Statista.com. [online]. 2020 [cit. 2020-06-20]. Dostupné z: </w:t>
      </w:r>
      <w:hyperlink r:id="rId74" w:history="1">
        <w:r w:rsidRPr="003E5B64">
          <w:rPr>
            <w:rStyle w:val="Hypertextovodkaz"/>
            <w:sz w:val="24"/>
            <w:u w:val="none"/>
          </w:rPr>
          <w:t>https://www.statista.com/statistics/375293/gross-domestic-product-gdp-growth-rate-in-austria/</w:t>
        </w:r>
      </w:hyperlink>
      <w:r w:rsidR="00D22FA9" w:rsidRPr="003E5B64">
        <w:rPr>
          <w:rStyle w:val="Hypertextovodkaz"/>
          <w:sz w:val="24"/>
          <w:u w:val="none"/>
        </w:rPr>
        <w:t>.</w:t>
      </w:r>
    </w:p>
    <w:p w14:paraId="70A7C643" w14:textId="68972645" w:rsidR="00F0429B" w:rsidRPr="003E5B64" w:rsidRDefault="00C93B2B"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noProof/>
          <w:sz w:val="24"/>
          <w:u w:val="none"/>
        </w:rPr>
        <w:t xml:space="preserve">Statistics Poland. </w:t>
      </w:r>
      <w:r w:rsidRPr="003E5B64">
        <w:rPr>
          <w:rStyle w:val="Hypertextovodkaz"/>
          <w:i/>
          <w:iCs/>
          <w:noProof/>
          <w:sz w:val="24"/>
          <w:u w:val="none"/>
        </w:rPr>
        <w:t>Average wages gross wage and salary in national economy 1950-2017</w:t>
      </w:r>
      <w:r w:rsidRPr="003E5B64">
        <w:rPr>
          <w:sz w:val="24"/>
        </w:rPr>
        <w:t xml:space="preserve">. Stat.gov.pl [online]. 2018 [cit 2020-06-20]. Dostupné z: </w:t>
      </w:r>
      <w:hyperlink r:id="rId75" w:history="1">
        <w:r w:rsidRPr="003E5B64">
          <w:rPr>
            <w:rStyle w:val="Hypertextovodkaz"/>
            <w:sz w:val="24"/>
            <w:u w:val="none"/>
          </w:rPr>
          <w:t>https://stat.gov.pl/en/topics/labour-market/working-employed-wages-and-salaries-cost-of-labour/average-monthly-gross-wage-and-salary-in-national-economy-1950-2017,2,1.html</w:t>
        </w:r>
      </w:hyperlink>
      <w:r w:rsidR="00D22FA9" w:rsidRPr="003E5B64">
        <w:rPr>
          <w:rStyle w:val="Hypertextovodkaz"/>
          <w:sz w:val="24"/>
          <w:u w:val="none"/>
        </w:rPr>
        <w:t>.</w:t>
      </w:r>
    </w:p>
    <w:p w14:paraId="50F6DBA3" w14:textId="6C8CC828" w:rsidR="00F0429B" w:rsidRPr="003E5B64" w:rsidRDefault="00C93B2B"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noProof/>
          <w:color w:val="000000" w:themeColor="text1"/>
          <w:sz w:val="24"/>
          <w:u w:val="none"/>
        </w:rPr>
        <w:t xml:space="preserve">Statista. </w:t>
      </w:r>
      <w:r w:rsidRPr="003E5B64">
        <w:rPr>
          <w:rStyle w:val="Hypertextovodkaz"/>
          <w:i/>
          <w:iCs/>
          <w:noProof/>
          <w:color w:val="000000" w:themeColor="text1"/>
          <w:sz w:val="24"/>
          <w:u w:val="none"/>
        </w:rPr>
        <w:t>Average annual wages in Germany from 2000 to 2018</w:t>
      </w:r>
      <w:r w:rsidRPr="003E5B64">
        <w:rPr>
          <w:color w:val="000000" w:themeColor="text1"/>
          <w:sz w:val="24"/>
        </w:rPr>
        <w:t xml:space="preserve">. Statista.com [online]. 2020 [cit. </w:t>
      </w:r>
      <w:r w:rsidRPr="003E5B64">
        <w:rPr>
          <w:sz w:val="24"/>
        </w:rPr>
        <w:t xml:space="preserve">2020-06-20]. Dostupné z: </w:t>
      </w:r>
      <w:hyperlink r:id="rId76" w:history="1">
        <w:r w:rsidRPr="003E5B64">
          <w:rPr>
            <w:rStyle w:val="Hypertextovodkaz"/>
            <w:sz w:val="24"/>
            <w:u w:val="none"/>
          </w:rPr>
          <w:t>https://www.statista.com/statistics/416207/average-annual-wages-germany-y-on-y-in-euros/</w:t>
        </w:r>
      </w:hyperlink>
      <w:r w:rsidR="00D22FA9" w:rsidRPr="003E5B64">
        <w:rPr>
          <w:rStyle w:val="Hypertextovodkaz"/>
          <w:sz w:val="24"/>
          <w:u w:val="none"/>
        </w:rPr>
        <w:t>.</w:t>
      </w:r>
    </w:p>
    <w:p w14:paraId="6FE78BD5" w14:textId="115EC179" w:rsidR="004C5FC9" w:rsidRPr="003E5B64" w:rsidRDefault="004C5FC9"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noProof/>
          <w:color w:val="000000" w:themeColor="text1"/>
          <w:sz w:val="24"/>
          <w:u w:val="none"/>
        </w:rPr>
        <w:t xml:space="preserve">Statista. </w:t>
      </w:r>
      <w:r w:rsidRPr="003E5B64">
        <w:rPr>
          <w:rStyle w:val="Hypertextovodkaz"/>
          <w:i/>
          <w:iCs/>
          <w:noProof/>
          <w:color w:val="000000" w:themeColor="text1"/>
          <w:sz w:val="24"/>
          <w:u w:val="none"/>
        </w:rPr>
        <w:t>Average annual wages in Austria from 2000 to 2018</w:t>
      </w:r>
      <w:r w:rsidRPr="003E5B64">
        <w:rPr>
          <w:color w:val="000000" w:themeColor="text1"/>
          <w:sz w:val="24"/>
        </w:rPr>
        <w:t xml:space="preserve">. Statista.com [online]. 2020 [cit. </w:t>
      </w:r>
      <w:r w:rsidRPr="003E5B64">
        <w:rPr>
          <w:sz w:val="24"/>
        </w:rPr>
        <w:t>2020-06-20]. Dostupné z: https://www.statista.com/statistics/416192/average-annual-wages-austria-y-on-y-euros/.</w:t>
      </w:r>
    </w:p>
    <w:p w14:paraId="4DE6E6E5" w14:textId="31EE31E1" w:rsidR="00F0429B" w:rsidRPr="003E5B64" w:rsidRDefault="00F0429B"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noProof/>
          <w:color w:val="000000" w:themeColor="text1"/>
          <w:sz w:val="24"/>
          <w:u w:val="none"/>
        </w:rPr>
        <w:t xml:space="preserve">Statista. </w:t>
      </w:r>
      <w:r w:rsidRPr="003E5B64">
        <w:rPr>
          <w:rStyle w:val="Hypertextovodkaz"/>
          <w:i/>
          <w:iCs/>
          <w:noProof/>
          <w:color w:val="000000" w:themeColor="text1"/>
          <w:sz w:val="24"/>
          <w:u w:val="none"/>
        </w:rPr>
        <w:t>Share of people at risk of poverty or social exclusion in the total population of Hungary from 2007 to 2019</w:t>
      </w:r>
      <w:r w:rsidRPr="003E5B64">
        <w:rPr>
          <w:color w:val="000000" w:themeColor="text1"/>
          <w:sz w:val="24"/>
        </w:rPr>
        <w:t xml:space="preserve">. </w:t>
      </w:r>
      <w:r w:rsidRPr="003E5B64">
        <w:rPr>
          <w:sz w:val="24"/>
        </w:rPr>
        <w:t xml:space="preserve">Statista.com [online]. 2020 [cit. 2020-06-20]. Dostupné z: </w:t>
      </w:r>
      <w:hyperlink r:id="rId77" w:history="1">
        <w:r w:rsidRPr="003E5B64">
          <w:rPr>
            <w:rStyle w:val="Hypertextovodkaz"/>
            <w:sz w:val="24"/>
            <w:u w:val="none"/>
          </w:rPr>
          <w:t>https://www.statista.com/statistics/1012809/hungary-share-of-people-at-risk-of-poverty/</w:t>
        </w:r>
      </w:hyperlink>
      <w:r w:rsidR="00D22FA9" w:rsidRPr="003E5B64">
        <w:rPr>
          <w:rStyle w:val="Hypertextovodkaz"/>
          <w:sz w:val="24"/>
          <w:u w:val="none"/>
        </w:rPr>
        <w:t>.</w:t>
      </w:r>
    </w:p>
    <w:p w14:paraId="19FC4661" w14:textId="5EA34AE5" w:rsidR="009C1C21" w:rsidRPr="003E5B64" w:rsidRDefault="009C1C21"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rStyle w:val="Hypertextovodkaz"/>
          <w:noProof/>
          <w:color w:val="000000" w:themeColor="text1"/>
          <w:sz w:val="24"/>
          <w:u w:val="none"/>
        </w:rPr>
        <w:t>Stever-</w:t>
      </w:r>
      <w:proofErr w:type="spellStart"/>
      <w:r w:rsidRPr="003E5B64">
        <w:rPr>
          <w:rStyle w:val="Hypertextovodkaz"/>
          <w:color w:val="auto"/>
          <w:sz w:val="24"/>
          <w:u w:val="none"/>
        </w:rPr>
        <w:t>Schutzbrief</w:t>
      </w:r>
      <w:proofErr w:type="spellEnd"/>
      <w:r w:rsidRPr="003E5B64">
        <w:rPr>
          <w:rStyle w:val="Hypertextovodkaz"/>
          <w:color w:val="auto"/>
          <w:sz w:val="24"/>
          <w:u w:val="none"/>
        </w:rPr>
        <w:t xml:space="preserve">. </w:t>
      </w:r>
      <w:proofErr w:type="spellStart"/>
      <w:r w:rsidRPr="003E5B64">
        <w:rPr>
          <w:rStyle w:val="Hypertextovodkaz"/>
          <w:i/>
          <w:iCs/>
          <w:color w:val="auto"/>
          <w:sz w:val="24"/>
          <w:u w:val="none"/>
        </w:rPr>
        <w:t>Was</w:t>
      </w:r>
      <w:proofErr w:type="spellEnd"/>
      <w:r w:rsidRPr="003E5B64">
        <w:rPr>
          <w:rStyle w:val="Hypertextovodkaz"/>
          <w:i/>
          <w:iCs/>
          <w:color w:val="auto"/>
          <w:sz w:val="24"/>
          <w:u w:val="none"/>
        </w:rPr>
        <w:t xml:space="preserve"> </w:t>
      </w:r>
      <w:proofErr w:type="spellStart"/>
      <w:r w:rsidRPr="003E5B64">
        <w:rPr>
          <w:rStyle w:val="Hypertextovodkaz"/>
          <w:i/>
          <w:iCs/>
          <w:color w:val="auto"/>
          <w:sz w:val="24"/>
          <w:u w:val="none"/>
        </w:rPr>
        <w:t>und</w:t>
      </w:r>
      <w:proofErr w:type="spellEnd"/>
      <w:r w:rsidRPr="003E5B64">
        <w:rPr>
          <w:rStyle w:val="Hypertextovodkaz"/>
          <w:i/>
          <w:iCs/>
          <w:color w:val="auto"/>
          <w:sz w:val="24"/>
          <w:u w:val="none"/>
        </w:rPr>
        <w:t xml:space="preserve"> </w:t>
      </w:r>
      <w:proofErr w:type="spellStart"/>
      <w:r w:rsidRPr="003E5B64">
        <w:rPr>
          <w:rStyle w:val="Hypertextovodkaz"/>
          <w:i/>
          <w:iCs/>
          <w:color w:val="auto"/>
          <w:sz w:val="24"/>
          <w:u w:val="none"/>
        </w:rPr>
        <w:t>wie</w:t>
      </w:r>
      <w:proofErr w:type="spellEnd"/>
      <w:r w:rsidRPr="003E5B64">
        <w:rPr>
          <w:rStyle w:val="Hypertextovodkaz"/>
          <w:i/>
          <w:iCs/>
          <w:color w:val="auto"/>
          <w:sz w:val="24"/>
          <w:u w:val="none"/>
        </w:rPr>
        <w:t xml:space="preserve"> hoch </w:t>
      </w:r>
      <w:proofErr w:type="spellStart"/>
      <w:r w:rsidRPr="003E5B64">
        <w:rPr>
          <w:rStyle w:val="Hypertextovodkaz"/>
          <w:i/>
          <w:iCs/>
          <w:color w:val="auto"/>
          <w:sz w:val="24"/>
          <w:u w:val="none"/>
        </w:rPr>
        <w:t>ist</w:t>
      </w:r>
      <w:proofErr w:type="spellEnd"/>
      <w:r w:rsidRPr="003E5B64">
        <w:rPr>
          <w:rStyle w:val="Hypertextovodkaz"/>
          <w:i/>
          <w:iCs/>
          <w:color w:val="auto"/>
          <w:sz w:val="24"/>
          <w:u w:val="none"/>
        </w:rPr>
        <w:t xml:space="preserve"> der </w:t>
      </w:r>
      <w:proofErr w:type="spellStart"/>
      <w:r w:rsidRPr="003E5B64">
        <w:rPr>
          <w:rStyle w:val="Hypertextovodkaz"/>
          <w:i/>
          <w:iCs/>
          <w:color w:val="auto"/>
          <w:sz w:val="24"/>
          <w:u w:val="none"/>
        </w:rPr>
        <w:t>Grundfreibetrag</w:t>
      </w:r>
      <w:proofErr w:type="spellEnd"/>
      <w:r w:rsidRPr="003E5B64">
        <w:rPr>
          <w:rStyle w:val="Hypertextovodkaz"/>
          <w:i/>
          <w:iCs/>
          <w:color w:val="auto"/>
          <w:sz w:val="24"/>
          <w:u w:val="none"/>
        </w:rPr>
        <w:t xml:space="preserve">. </w:t>
      </w:r>
      <w:r w:rsidRPr="003E5B64">
        <w:rPr>
          <w:rStyle w:val="Hypertextovodkaz"/>
          <w:color w:val="auto"/>
          <w:sz w:val="24"/>
          <w:u w:val="none"/>
        </w:rPr>
        <w:t xml:space="preserve">Steuer-schutzbrief.de </w:t>
      </w:r>
      <w:r w:rsidRPr="003E5B64">
        <w:rPr>
          <w:sz w:val="24"/>
        </w:rPr>
        <w:t>[online]. 2020 [cit. 2020-06-20]. Dostupné z: https://www.steuer-schutzbrief.de/grundfreibetrag.html.</w:t>
      </w:r>
    </w:p>
    <w:p w14:paraId="5BF1A359" w14:textId="62174711" w:rsidR="00EF283D" w:rsidRPr="00A67F23" w:rsidRDefault="005632C6" w:rsidP="00BF199E">
      <w:pPr>
        <w:pStyle w:val="Bezmezer"/>
        <w:numPr>
          <w:ilvl w:val="0"/>
          <w:numId w:val="2"/>
        </w:numPr>
        <w:spacing w:before="120" w:after="240" w:line="360" w:lineRule="auto"/>
        <w:ind w:left="641" w:hanging="357"/>
        <w:jc w:val="left"/>
        <w:rPr>
          <w:rStyle w:val="Hypertextovodkaz"/>
          <w:color w:val="auto"/>
          <w:sz w:val="24"/>
          <w:u w:val="none"/>
        </w:rPr>
      </w:pPr>
      <w:r w:rsidRPr="003E5B64">
        <w:rPr>
          <w:sz w:val="24"/>
        </w:rPr>
        <w:t xml:space="preserve">SYROVÁTKA, Miroslav. </w:t>
      </w:r>
      <w:r w:rsidRPr="003E5B64">
        <w:rPr>
          <w:i/>
          <w:iCs/>
          <w:sz w:val="24"/>
        </w:rPr>
        <w:t xml:space="preserve">Jak (ne)měřit kvalitu života: Kritické pohledy na index lidského rozvoje. </w:t>
      </w:r>
      <w:r w:rsidRPr="003E5B64">
        <w:rPr>
          <w:sz w:val="24"/>
        </w:rPr>
        <w:t xml:space="preserve">Development.upol.cz. [online]. 2008 [cit. 2020-06-08]. Dostupné z: </w:t>
      </w:r>
      <w:hyperlink r:id="rId78" w:history="1">
        <w:r w:rsidRPr="003E5B64">
          <w:rPr>
            <w:rStyle w:val="Hypertextovodkaz"/>
            <w:sz w:val="24"/>
            <w:u w:val="none"/>
          </w:rPr>
          <w:t>https://www.development.upol.cz/uploads/dokumenty/Syrovatka_HDI.pdf</w:t>
        </w:r>
      </w:hyperlink>
      <w:r w:rsidR="00D22FA9" w:rsidRPr="003E5B64">
        <w:rPr>
          <w:rStyle w:val="Hypertextovodkaz"/>
          <w:sz w:val="24"/>
          <w:u w:val="none"/>
        </w:rPr>
        <w:t>.</w:t>
      </w:r>
    </w:p>
    <w:p w14:paraId="320E367C" w14:textId="77777777" w:rsidR="00A67F23" w:rsidRPr="003E5B64" w:rsidRDefault="00A67F23" w:rsidP="00A67F23">
      <w:pPr>
        <w:pStyle w:val="Bezmezer"/>
        <w:spacing w:before="120" w:after="240" w:line="360" w:lineRule="auto"/>
        <w:ind w:left="641" w:firstLine="0"/>
        <w:jc w:val="left"/>
        <w:rPr>
          <w:rStyle w:val="Hypertextovodkaz"/>
          <w:color w:val="auto"/>
          <w:sz w:val="24"/>
          <w:u w:val="none"/>
        </w:rPr>
      </w:pPr>
    </w:p>
    <w:p w14:paraId="643378DD" w14:textId="42AF7709" w:rsidR="00EF283D" w:rsidRPr="003E5B64" w:rsidRDefault="00EF283D" w:rsidP="00BF199E">
      <w:pPr>
        <w:pStyle w:val="Bezmezer"/>
        <w:numPr>
          <w:ilvl w:val="0"/>
          <w:numId w:val="2"/>
        </w:numPr>
        <w:spacing w:before="120" w:after="240" w:line="360" w:lineRule="auto"/>
        <w:ind w:left="641" w:hanging="357"/>
        <w:jc w:val="left"/>
        <w:rPr>
          <w:sz w:val="24"/>
        </w:rPr>
      </w:pPr>
      <w:proofErr w:type="spellStart"/>
      <w:r w:rsidRPr="003E5B64">
        <w:rPr>
          <w:sz w:val="24"/>
        </w:rPr>
        <w:lastRenderedPageBreak/>
        <w:t>Štatistický</w:t>
      </w:r>
      <w:proofErr w:type="spellEnd"/>
      <w:r w:rsidRPr="003E5B64">
        <w:rPr>
          <w:sz w:val="24"/>
        </w:rPr>
        <w:t xml:space="preserve"> </w:t>
      </w:r>
      <w:proofErr w:type="spellStart"/>
      <w:r w:rsidRPr="003E5B64">
        <w:rPr>
          <w:sz w:val="24"/>
        </w:rPr>
        <w:t>úrad</w:t>
      </w:r>
      <w:proofErr w:type="spellEnd"/>
      <w:r w:rsidRPr="003E5B64">
        <w:rPr>
          <w:sz w:val="24"/>
        </w:rPr>
        <w:t xml:space="preserve"> </w:t>
      </w:r>
      <w:proofErr w:type="spellStart"/>
      <w:r w:rsidRPr="003E5B64">
        <w:rPr>
          <w:sz w:val="24"/>
        </w:rPr>
        <w:t>Slovenskej</w:t>
      </w:r>
      <w:proofErr w:type="spellEnd"/>
      <w:r w:rsidRPr="003E5B64">
        <w:rPr>
          <w:sz w:val="24"/>
        </w:rPr>
        <w:t xml:space="preserve"> republiky. </w:t>
      </w:r>
      <w:r w:rsidRPr="003E5B64">
        <w:rPr>
          <w:i/>
          <w:iCs/>
          <w:sz w:val="24"/>
        </w:rPr>
        <w:t xml:space="preserve">V SR je každý </w:t>
      </w:r>
      <w:proofErr w:type="spellStart"/>
      <w:r w:rsidRPr="003E5B64">
        <w:rPr>
          <w:i/>
          <w:iCs/>
          <w:sz w:val="24"/>
        </w:rPr>
        <w:t>šiesty</w:t>
      </w:r>
      <w:proofErr w:type="spellEnd"/>
      <w:r w:rsidRPr="003E5B64">
        <w:rPr>
          <w:i/>
          <w:iCs/>
          <w:sz w:val="24"/>
        </w:rPr>
        <w:t xml:space="preserve"> obyvatel </w:t>
      </w:r>
      <w:proofErr w:type="spellStart"/>
      <w:r w:rsidRPr="003E5B64">
        <w:rPr>
          <w:i/>
          <w:iCs/>
          <w:sz w:val="24"/>
        </w:rPr>
        <w:t>ohrozený</w:t>
      </w:r>
      <w:proofErr w:type="spellEnd"/>
      <w:r w:rsidRPr="003E5B64">
        <w:rPr>
          <w:i/>
          <w:iCs/>
          <w:sz w:val="24"/>
        </w:rPr>
        <w:t xml:space="preserve"> chudobou, ale </w:t>
      </w:r>
      <w:proofErr w:type="spellStart"/>
      <w:r w:rsidRPr="003E5B64">
        <w:rPr>
          <w:i/>
          <w:iCs/>
          <w:sz w:val="24"/>
        </w:rPr>
        <w:t>situácia</w:t>
      </w:r>
      <w:proofErr w:type="spellEnd"/>
      <w:r w:rsidRPr="003E5B64">
        <w:rPr>
          <w:i/>
          <w:iCs/>
          <w:sz w:val="24"/>
        </w:rPr>
        <w:t xml:space="preserve"> </w:t>
      </w:r>
      <w:proofErr w:type="spellStart"/>
      <w:r w:rsidRPr="003E5B64">
        <w:rPr>
          <w:i/>
          <w:iCs/>
          <w:sz w:val="24"/>
        </w:rPr>
        <w:t>sa</w:t>
      </w:r>
      <w:proofErr w:type="spellEnd"/>
      <w:r w:rsidRPr="003E5B64">
        <w:rPr>
          <w:i/>
          <w:iCs/>
          <w:sz w:val="24"/>
        </w:rPr>
        <w:t xml:space="preserve"> za </w:t>
      </w:r>
      <w:proofErr w:type="spellStart"/>
      <w:r w:rsidRPr="003E5B64">
        <w:rPr>
          <w:i/>
          <w:iCs/>
          <w:sz w:val="24"/>
        </w:rPr>
        <w:t>desať</w:t>
      </w:r>
      <w:proofErr w:type="spellEnd"/>
      <w:r w:rsidRPr="003E5B64">
        <w:rPr>
          <w:i/>
          <w:iCs/>
          <w:sz w:val="24"/>
        </w:rPr>
        <w:t xml:space="preserve"> </w:t>
      </w:r>
      <w:proofErr w:type="spellStart"/>
      <w:r w:rsidRPr="003E5B64">
        <w:rPr>
          <w:i/>
          <w:iCs/>
          <w:sz w:val="24"/>
        </w:rPr>
        <w:t>rokov</w:t>
      </w:r>
      <w:proofErr w:type="spellEnd"/>
      <w:r w:rsidRPr="003E5B64">
        <w:rPr>
          <w:i/>
          <w:iCs/>
          <w:sz w:val="24"/>
        </w:rPr>
        <w:t xml:space="preserve"> </w:t>
      </w:r>
      <w:proofErr w:type="spellStart"/>
      <w:r w:rsidRPr="003E5B64">
        <w:rPr>
          <w:i/>
          <w:iCs/>
          <w:sz w:val="24"/>
        </w:rPr>
        <w:t>výrazne</w:t>
      </w:r>
      <w:proofErr w:type="spellEnd"/>
      <w:r w:rsidRPr="003E5B64">
        <w:rPr>
          <w:i/>
          <w:iCs/>
          <w:sz w:val="24"/>
        </w:rPr>
        <w:t xml:space="preserve"> zlepšila. Statistics.sk </w:t>
      </w:r>
      <w:r w:rsidRPr="003E5B64">
        <w:rPr>
          <w:sz w:val="24"/>
        </w:rPr>
        <w:t xml:space="preserve">[online]. 2020 </w:t>
      </w:r>
      <w:r w:rsidR="00CD4CBA" w:rsidRPr="003E5B64">
        <w:rPr>
          <w:sz w:val="24"/>
        </w:rPr>
        <w:br/>
      </w:r>
      <w:r w:rsidRPr="003E5B64">
        <w:rPr>
          <w:sz w:val="24"/>
        </w:rPr>
        <w:t xml:space="preserve">[cit. 2020-06-20]. Dostupné z: </w:t>
      </w:r>
      <w:hyperlink r:id="rId79" w:history="1">
        <w:r w:rsidR="001C71C4" w:rsidRPr="003E5B64">
          <w:rPr>
            <w:rStyle w:val="Hypertextovodkaz"/>
            <w:sz w:val="24"/>
            <w:u w:val="none"/>
          </w:rPr>
          <w:t>https://slovak.statistics.sk/wps/portal/ext/home/!ut/p/z1/04_Sj9CPykssy0xPLMnMz0MAfIjo8ziA809LZycDB0NLPyCXA08QxwD3IO8TAwNTEz1wwkpiAJKGAAjgZA_VFgJc7ujh4m5j4GBhY7qYGno4eoUGWgcbGBo7GUAV4zCjIjTDIdFRUBADse0bP/dz/d5/L2dBISEvZ0FBIS9nQSEh/</w:t>
        </w:r>
      </w:hyperlink>
      <w:r w:rsidR="00D22FA9" w:rsidRPr="003E5B64">
        <w:rPr>
          <w:sz w:val="24"/>
        </w:rPr>
        <w:t>.</w:t>
      </w:r>
    </w:p>
    <w:p w14:paraId="2F4D3CE5" w14:textId="60766E55" w:rsidR="005632C6" w:rsidRPr="003E5B64" w:rsidRDefault="005632C6" w:rsidP="00BF199E">
      <w:pPr>
        <w:pStyle w:val="Odstavecseseznamem"/>
        <w:numPr>
          <w:ilvl w:val="0"/>
          <w:numId w:val="2"/>
        </w:numPr>
        <w:jc w:val="left"/>
        <w:rPr>
          <w:rStyle w:val="Hypertextovodkaz"/>
          <w:color w:val="auto"/>
          <w:sz w:val="24"/>
          <w:u w:val="none"/>
        </w:rPr>
      </w:pPr>
      <w:r w:rsidRPr="003E5B64">
        <w:rPr>
          <w:sz w:val="24"/>
        </w:rPr>
        <w:t xml:space="preserve">ŠTĚPÁNKOVÁ, Martina. </w:t>
      </w:r>
      <w:r w:rsidRPr="003E5B64">
        <w:rPr>
          <w:i/>
          <w:iCs/>
          <w:sz w:val="24"/>
        </w:rPr>
        <w:t>Co je diskriminace?</w:t>
      </w:r>
      <w:r w:rsidRPr="003E5B64">
        <w:rPr>
          <w:sz w:val="24"/>
        </w:rPr>
        <w:t xml:space="preserve"> Is.muni.cz [online]. 2007 [cit. 2020-06-15]. Dostupné z: </w:t>
      </w:r>
      <w:hyperlink r:id="rId80" w:history="1">
        <w:r w:rsidRPr="003E5B64">
          <w:rPr>
            <w:rStyle w:val="Hypertextovodkaz"/>
            <w:sz w:val="24"/>
            <w:u w:val="none"/>
          </w:rPr>
          <w:t>https://is.muni.cz/el/1423/podzim2015/SPR505/um/60343043/Co_je_to_diskriminace.pdf</w:t>
        </w:r>
      </w:hyperlink>
      <w:r w:rsidR="00D22FA9" w:rsidRPr="003E5B64">
        <w:rPr>
          <w:rStyle w:val="Hypertextovodkaz"/>
          <w:sz w:val="24"/>
          <w:u w:val="none"/>
        </w:rPr>
        <w:t>.</w:t>
      </w:r>
    </w:p>
    <w:p w14:paraId="191A0591" w14:textId="75A33BAD" w:rsidR="005632C6" w:rsidRPr="003E5B64" w:rsidRDefault="005632C6" w:rsidP="005632C6">
      <w:pPr>
        <w:pStyle w:val="Bezmezer"/>
        <w:numPr>
          <w:ilvl w:val="0"/>
          <w:numId w:val="2"/>
        </w:numPr>
        <w:spacing w:before="120" w:after="240" w:line="360" w:lineRule="auto"/>
        <w:ind w:left="641" w:hanging="357"/>
        <w:rPr>
          <w:rStyle w:val="Hypertextovodkaz"/>
          <w:color w:val="auto"/>
          <w:sz w:val="24"/>
          <w:u w:val="none"/>
        </w:rPr>
      </w:pPr>
      <w:r w:rsidRPr="003E5B64">
        <w:rPr>
          <w:sz w:val="24"/>
        </w:rPr>
        <w:t xml:space="preserve">ŠMAJSOVÁ BUCHTOVÁ, Božena. </w:t>
      </w:r>
      <w:r w:rsidRPr="003E5B64">
        <w:rPr>
          <w:i/>
          <w:iCs/>
          <w:sz w:val="24"/>
        </w:rPr>
        <w:t xml:space="preserve">Nezaměstnanost: psychologický, ekonomický </w:t>
      </w:r>
      <w:r w:rsidR="001C71C4" w:rsidRPr="003E5B64">
        <w:rPr>
          <w:i/>
          <w:iCs/>
          <w:sz w:val="24"/>
        </w:rPr>
        <w:br/>
      </w:r>
      <w:r w:rsidRPr="003E5B64">
        <w:rPr>
          <w:i/>
          <w:iCs/>
          <w:sz w:val="24"/>
        </w:rPr>
        <w:t xml:space="preserve">a sociální problém. </w:t>
      </w:r>
      <w:r w:rsidRPr="003E5B64">
        <w:rPr>
          <w:sz w:val="24"/>
        </w:rPr>
        <w:t xml:space="preserve">Praha: Grada </w:t>
      </w:r>
      <w:proofErr w:type="spellStart"/>
      <w:r w:rsidRPr="003E5B64">
        <w:rPr>
          <w:sz w:val="24"/>
        </w:rPr>
        <w:t>Publishing</w:t>
      </w:r>
      <w:proofErr w:type="spellEnd"/>
      <w:r w:rsidRPr="003E5B64">
        <w:rPr>
          <w:sz w:val="24"/>
        </w:rPr>
        <w:t>, 2002. 236 s. ISBN: 80-247-9006-8.</w:t>
      </w:r>
    </w:p>
    <w:p w14:paraId="26DB7FB0" w14:textId="3A739975" w:rsidR="005632C6" w:rsidRPr="003E5B64" w:rsidRDefault="005632C6" w:rsidP="00BF199E">
      <w:pPr>
        <w:pStyle w:val="Bezmezer"/>
        <w:numPr>
          <w:ilvl w:val="0"/>
          <w:numId w:val="2"/>
        </w:numPr>
        <w:spacing w:before="120" w:after="240" w:line="360" w:lineRule="auto"/>
        <w:jc w:val="left"/>
        <w:rPr>
          <w:color w:val="000000" w:themeColor="text1"/>
          <w:sz w:val="24"/>
        </w:rPr>
      </w:pPr>
      <w:r w:rsidRPr="003E5B64">
        <w:rPr>
          <w:sz w:val="24"/>
        </w:rPr>
        <w:t xml:space="preserve">ŠTYCHOVÁ, Martina. </w:t>
      </w:r>
      <w:r w:rsidRPr="003E5B64">
        <w:rPr>
          <w:i/>
          <w:iCs/>
          <w:sz w:val="24"/>
        </w:rPr>
        <w:t xml:space="preserve">Srovnání životní úrovně v České republice vůči vybraným zemím v Evropské </w:t>
      </w:r>
      <w:r w:rsidRPr="003E5B64">
        <w:rPr>
          <w:i/>
          <w:iCs/>
          <w:color w:val="000000" w:themeColor="text1"/>
          <w:sz w:val="24"/>
        </w:rPr>
        <w:t xml:space="preserve">unii. </w:t>
      </w:r>
      <w:r w:rsidRPr="003E5B64">
        <w:rPr>
          <w:color w:val="000000" w:themeColor="text1"/>
          <w:sz w:val="24"/>
        </w:rPr>
        <w:t xml:space="preserve">Portal.zcu.cz [online]. 2016 [cit. 2020-03-15]. Dostupné z: </w:t>
      </w:r>
      <w:hyperlink r:id="rId81" w:history="1">
        <w:r w:rsidRPr="003E5B64">
          <w:rPr>
            <w:rStyle w:val="Hypertextovodkaz"/>
            <w:color w:val="000000" w:themeColor="text1"/>
            <w:sz w:val="24"/>
            <w:u w:val="none"/>
          </w:rPr>
          <w:t>https://portal.zcu.cz/portal/studium/prohlizeni.html</w:t>
        </w:r>
      </w:hyperlink>
      <w:r w:rsidR="00D22FA9" w:rsidRPr="003E5B64">
        <w:rPr>
          <w:rStyle w:val="Hypertextovodkaz"/>
          <w:color w:val="000000" w:themeColor="text1"/>
          <w:sz w:val="24"/>
          <w:u w:val="none"/>
        </w:rPr>
        <w:t>.</w:t>
      </w:r>
    </w:p>
    <w:p w14:paraId="566F0E12" w14:textId="7FD2EA87" w:rsidR="005632C6" w:rsidRPr="003E5B64" w:rsidRDefault="005632C6" w:rsidP="00BF199E">
      <w:pPr>
        <w:pStyle w:val="Bezmezer"/>
        <w:numPr>
          <w:ilvl w:val="0"/>
          <w:numId w:val="2"/>
        </w:numPr>
        <w:spacing w:before="120" w:after="240" w:line="360" w:lineRule="auto"/>
        <w:jc w:val="left"/>
        <w:rPr>
          <w:color w:val="000000" w:themeColor="text1"/>
          <w:sz w:val="24"/>
        </w:rPr>
      </w:pPr>
      <w:proofErr w:type="spellStart"/>
      <w:r w:rsidRPr="003E5B64">
        <w:rPr>
          <w:color w:val="000000" w:themeColor="text1"/>
          <w:sz w:val="24"/>
        </w:rPr>
        <w:t>The</w:t>
      </w:r>
      <w:proofErr w:type="spellEnd"/>
      <w:r w:rsidRPr="003E5B64">
        <w:rPr>
          <w:color w:val="000000" w:themeColor="text1"/>
          <w:sz w:val="24"/>
        </w:rPr>
        <w:t xml:space="preserve"> New </w:t>
      </w:r>
      <w:proofErr w:type="spellStart"/>
      <w:r w:rsidRPr="003E5B64">
        <w:rPr>
          <w:color w:val="000000" w:themeColor="text1"/>
          <w:sz w:val="24"/>
        </w:rPr>
        <w:t>Economics</w:t>
      </w:r>
      <w:proofErr w:type="spellEnd"/>
      <w:r w:rsidRPr="003E5B64">
        <w:rPr>
          <w:color w:val="000000" w:themeColor="text1"/>
          <w:sz w:val="24"/>
        </w:rPr>
        <w:t xml:space="preserve"> </w:t>
      </w:r>
      <w:proofErr w:type="spellStart"/>
      <w:r w:rsidRPr="003E5B64">
        <w:rPr>
          <w:color w:val="000000" w:themeColor="text1"/>
          <w:sz w:val="24"/>
        </w:rPr>
        <w:t>Foundation</w:t>
      </w:r>
      <w:proofErr w:type="spellEnd"/>
      <w:r w:rsidRPr="003E5B64">
        <w:rPr>
          <w:color w:val="000000" w:themeColor="text1"/>
          <w:sz w:val="24"/>
        </w:rPr>
        <w:t xml:space="preserve">. </w:t>
      </w:r>
      <w:proofErr w:type="spellStart"/>
      <w:r w:rsidRPr="003E5B64">
        <w:rPr>
          <w:i/>
          <w:iCs/>
          <w:color w:val="000000" w:themeColor="text1"/>
          <w:sz w:val="24"/>
        </w:rPr>
        <w:t>Measuring</w:t>
      </w:r>
      <w:proofErr w:type="spellEnd"/>
      <w:r w:rsidRPr="003E5B64">
        <w:rPr>
          <w:i/>
          <w:iCs/>
          <w:color w:val="000000" w:themeColor="text1"/>
          <w:sz w:val="24"/>
        </w:rPr>
        <w:t xml:space="preserve"> </w:t>
      </w:r>
      <w:proofErr w:type="spellStart"/>
      <w:r w:rsidRPr="003E5B64">
        <w:rPr>
          <w:i/>
          <w:iCs/>
          <w:color w:val="000000" w:themeColor="text1"/>
          <w:sz w:val="24"/>
        </w:rPr>
        <w:t>Well-being</w:t>
      </w:r>
      <w:proofErr w:type="spellEnd"/>
      <w:r w:rsidRPr="003E5B64">
        <w:rPr>
          <w:i/>
          <w:iCs/>
          <w:color w:val="000000" w:themeColor="text1"/>
          <w:sz w:val="24"/>
        </w:rPr>
        <w:t xml:space="preserve">. </w:t>
      </w:r>
      <w:r w:rsidRPr="003E5B64">
        <w:rPr>
          <w:color w:val="000000" w:themeColor="text1"/>
          <w:sz w:val="24"/>
        </w:rPr>
        <w:t xml:space="preserve">Neweconomics.org. [online]. 2012 [cit. 2020-06-07]. Dostupné z:  </w:t>
      </w:r>
      <w:hyperlink r:id="rId82" w:history="1">
        <w:r w:rsidRPr="003E5B64">
          <w:rPr>
            <w:rStyle w:val="Hypertextovodkaz"/>
            <w:color w:val="000000" w:themeColor="text1"/>
            <w:sz w:val="24"/>
            <w:u w:val="none"/>
          </w:rPr>
          <w:t>https://neweconomics.org/2012/07/measuring-wellbeing</w:t>
        </w:r>
      </w:hyperlink>
      <w:r w:rsidR="00D22FA9" w:rsidRPr="003E5B64">
        <w:rPr>
          <w:rStyle w:val="Hypertextovodkaz"/>
          <w:color w:val="000000" w:themeColor="text1"/>
          <w:sz w:val="24"/>
          <w:u w:val="none"/>
        </w:rPr>
        <w:t>.</w:t>
      </w:r>
    </w:p>
    <w:p w14:paraId="5ED0F70E" w14:textId="52D87E38" w:rsidR="005632C6" w:rsidRPr="003E5B64" w:rsidRDefault="005632C6" w:rsidP="005632C6">
      <w:pPr>
        <w:pStyle w:val="Bezmezer"/>
        <w:numPr>
          <w:ilvl w:val="0"/>
          <w:numId w:val="2"/>
        </w:numPr>
        <w:spacing w:before="120" w:after="240" w:line="360" w:lineRule="auto"/>
        <w:rPr>
          <w:color w:val="000000" w:themeColor="text1"/>
          <w:sz w:val="24"/>
        </w:rPr>
      </w:pPr>
      <w:r w:rsidRPr="003E5B64">
        <w:rPr>
          <w:sz w:val="24"/>
        </w:rPr>
        <w:t xml:space="preserve">TOMEŠ, Igor. </w:t>
      </w:r>
      <w:r w:rsidRPr="003E5B64">
        <w:rPr>
          <w:i/>
          <w:iCs/>
          <w:sz w:val="24"/>
        </w:rPr>
        <w:t xml:space="preserve">Sociální politika, teorie a mezinárodní zkušenost. </w:t>
      </w:r>
      <w:r w:rsidRPr="003E5B64">
        <w:rPr>
          <w:sz w:val="24"/>
        </w:rPr>
        <w:t xml:space="preserve">Praha: </w:t>
      </w:r>
      <w:proofErr w:type="spellStart"/>
      <w:r w:rsidRPr="003E5B64">
        <w:rPr>
          <w:sz w:val="24"/>
        </w:rPr>
        <w:t>Socioklub</w:t>
      </w:r>
      <w:proofErr w:type="spellEnd"/>
      <w:r w:rsidRPr="003E5B64">
        <w:rPr>
          <w:sz w:val="24"/>
        </w:rPr>
        <w:t>, 1996. 213 s. ISBN: 80-902260-0-0.</w:t>
      </w:r>
    </w:p>
    <w:p w14:paraId="08F87E2E" w14:textId="52538603" w:rsidR="00B35120" w:rsidRPr="003E5B64" w:rsidRDefault="005632C6" w:rsidP="00B35120">
      <w:pPr>
        <w:pStyle w:val="Bezmezer"/>
        <w:numPr>
          <w:ilvl w:val="0"/>
          <w:numId w:val="2"/>
        </w:numPr>
        <w:spacing w:before="120" w:after="240" w:line="360" w:lineRule="auto"/>
        <w:ind w:left="641" w:hanging="357"/>
        <w:rPr>
          <w:color w:val="000000" w:themeColor="text1"/>
          <w:sz w:val="24"/>
        </w:rPr>
      </w:pPr>
      <w:r w:rsidRPr="003E5B64">
        <w:rPr>
          <w:color w:val="000000" w:themeColor="text1"/>
          <w:sz w:val="24"/>
        </w:rPr>
        <w:t xml:space="preserve">TOMEŠ, Igor. </w:t>
      </w:r>
      <w:r w:rsidRPr="003E5B64">
        <w:rPr>
          <w:i/>
          <w:iCs/>
          <w:color w:val="000000" w:themeColor="text1"/>
          <w:sz w:val="24"/>
        </w:rPr>
        <w:t xml:space="preserve">Úvod do teorie a metodologie sociální politiky. </w:t>
      </w:r>
      <w:r w:rsidRPr="003E5B64">
        <w:rPr>
          <w:color w:val="000000" w:themeColor="text1"/>
          <w:sz w:val="24"/>
        </w:rPr>
        <w:t xml:space="preserve">Praha: Portál, 2010. </w:t>
      </w:r>
      <w:r w:rsidR="001C71C4" w:rsidRPr="003E5B64">
        <w:rPr>
          <w:color w:val="000000" w:themeColor="text1"/>
          <w:sz w:val="24"/>
        </w:rPr>
        <w:br/>
      </w:r>
      <w:r w:rsidRPr="003E5B64">
        <w:rPr>
          <w:color w:val="000000" w:themeColor="text1"/>
          <w:sz w:val="24"/>
        </w:rPr>
        <w:t>440 s. ISBN: 978-80-7367-680-3.</w:t>
      </w:r>
    </w:p>
    <w:p w14:paraId="7B297FB1" w14:textId="597C32C1" w:rsidR="00B35120" w:rsidRPr="003E5B64" w:rsidRDefault="00B35120" w:rsidP="00BF199E">
      <w:pPr>
        <w:pStyle w:val="Bezmezer"/>
        <w:numPr>
          <w:ilvl w:val="0"/>
          <w:numId w:val="2"/>
        </w:numPr>
        <w:spacing w:before="120" w:after="240" w:line="360" w:lineRule="auto"/>
        <w:ind w:left="641" w:hanging="357"/>
        <w:jc w:val="left"/>
        <w:rPr>
          <w:color w:val="000000" w:themeColor="text1"/>
          <w:sz w:val="24"/>
        </w:rPr>
      </w:pPr>
      <w:r w:rsidRPr="003E5B64">
        <w:rPr>
          <w:rStyle w:val="Hypertextovodkaz"/>
          <w:noProof/>
          <w:sz w:val="24"/>
          <w:u w:val="none"/>
        </w:rPr>
        <w:t xml:space="preserve">Trading Economics. </w:t>
      </w:r>
      <w:r w:rsidRPr="003E5B64">
        <w:rPr>
          <w:rStyle w:val="Hypertextovodkaz"/>
          <w:i/>
          <w:iCs/>
          <w:noProof/>
          <w:sz w:val="24"/>
          <w:u w:val="none"/>
        </w:rPr>
        <w:t>Minimum Wages - Europe</w:t>
      </w:r>
      <w:r w:rsidRPr="003E5B64">
        <w:rPr>
          <w:sz w:val="24"/>
        </w:rPr>
        <w:t xml:space="preserve">. Tradingeconomics.com [online]. 2020 [cit. 2020-06-17]. Dostupné z: </w:t>
      </w:r>
      <w:hyperlink r:id="rId83" w:history="1">
        <w:r w:rsidRPr="003E5B64">
          <w:rPr>
            <w:rStyle w:val="Hypertextovodkaz"/>
            <w:sz w:val="24"/>
            <w:u w:val="none"/>
          </w:rPr>
          <w:t>https://tradingeconomics.com/country-list/minimum-wages?continent=europe</w:t>
        </w:r>
      </w:hyperlink>
      <w:r w:rsidR="00D22FA9" w:rsidRPr="003E5B64">
        <w:rPr>
          <w:rStyle w:val="Hypertextovodkaz"/>
          <w:sz w:val="24"/>
          <w:u w:val="none"/>
        </w:rPr>
        <w:t>.</w:t>
      </w:r>
    </w:p>
    <w:p w14:paraId="741DB378" w14:textId="0CB3FDBE" w:rsidR="005632C6" w:rsidRPr="003E5B64" w:rsidRDefault="005632C6" w:rsidP="00BF199E">
      <w:pPr>
        <w:pStyle w:val="Bezmezer"/>
        <w:numPr>
          <w:ilvl w:val="0"/>
          <w:numId w:val="2"/>
        </w:numPr>
        <w:spacing w:before="120" w:after="240" w:line="360" w:lineRule="auto"/>
        <w:ind w:left="641" w:hanging="357"/>
        <w:jc w:val="left"/>
        <w:rPr>
          <w:rStyle w:val="Hypertextovodkaz"/>
          <w:color w:val="000000" w:themeColor="text1"/>
          <w:sz w:val="24"/>
          <w:u w:val="none"/>
        </w:rPr>
      </w:pPr>
      <w:r w:rsidRPr="003E5B64">
        <w:rPr>
          <w:sz w:val="24"/>
        </w:rPr>
        <w:t xml:space="preserve">UNDP a OPHI. </w:t>
      </w:r>
      <w:proofErr w:type="spellStart"/>
      <w:r w:rsidRPr="003E5B64">
        <w:rPr>
          <w:i/>
          <w:iCs/>
          <w:sz w:val="24"/>
        </w:rPr>
        <w:t>Global</w:t>
      </w:r>
      <w:proofErr w:type="spellEnd"/>
      <w:r w:rsidRPr="003E5B64">
        <w:rPr>
          <w:i/>
          <w:iCs/>
          <w:sz w:val="24"/>
        </w:rPr>
        <w:t xml:space="preserve"> </w:t>
      </w:r>
      <w:proofErr w:type="spellStart"/>
      <w:r w:rsidRPr="003E5B64">
        <w:rPr>
          <w:i/>
          <w:iCs/>
          <w:sz w:val="24"/>
        </w:rPr>
        <w:t>Multidimensional</w:t>
      </w:r>
      <w:proofErr w:type="spellEnd"/>
      <w:r w:rsidRPr="003E5B64">
        <w:rPr>
          <w:i/>
          <w:iCs/>
          <w:sz w:val="24"/>
        </w:rPr>
        <w:t xml:space="preserve"> </w:t>
      </w:r>
      <w:proofErr w:type="spellStart"/>
      <w:r w:rsidRPr="003E5B64">
        <w:rPr>
          <w:i/>
          <w:iCs/>
          <w:sz w:val="24"/>
        </w:rPr>
        <w:t>Poverty</w:t>
      </w:r>
      <w:proofErr w:type="spellEnd"/>
      <w:r w:rsidRPr="003E5B64">
        <w:rPr>
          <w:i/>
          <w:iCs/>
          <w:sz w:val="24"/>
        </w:rPr>
        <w:t xml:space="preserve"> Index 2019: </w:t>
      </w:r>
      <w:proofErr w:type="spellStart"/>
      <w:r w:rsidRPr="003E5B64">
        <w:rPr>
          <w:i/>
          <w:iCs/>
          <w:sz w:val="24"/>
        </w:rPr>
        <w:t>Illuminating</w:t>
      </w:r>
      <w:proofErr w:type="spellEnd"/>
      <w:r w:rsidRPr="003E5B64">
        <w:rPr>
          <w:i/>
          <w:iCs/>
          <w:sz w:val="24"/>
        </w:rPr>
        <w:t xml:space="preserve"> </w:t>
      </w:r>
      <w:proofErr w:type="spellStart"/>
      <w:r w:rsidRPr="003E5B64">
        <w:rPr>
          <w:i/>
          <w:iCs/>
          <w:sz w:val="24"/>
        </w:rPr>
        <w:t>Inequalities</w:t>
      </w:r>
      <w:proofErr w:type="spellEnd"/>
      <w:r w:rsidRPr="003E5B64">
        <w:rPr>
          <w:i/>
          <w:iCs/>
          <w:sz w:val="24"/>
        </w:rPr>
        <w:t xml:space="preserve">. </w:t>
      </w:r>
      <w:r w:rsidRPr="003E5B64">
        <w:rPr>
          <w:sz w:val="24"/>
        </w:rPr>
        <w:t xml:space="preserve">Hdr.undp.org. [online]. 2019 [cit. 2020-06-17]. Dostupné z: </w:t>
      </w:r>
      <w:hyperlink r:id="rId84" w:history="1">
        <w:r w:rsidRPr="003E5B64">
          <w:rPr>
            <w:rStyle w:val="Hypertextovodkaz"/>
            <w:sz w:val="24"/>
            <w:u w:val="none"/>
          </w:rPr>
          <w:t>http://hdr.undp.org/en/2019-MPI</w:t>
        </w:r>
      </w:hyperlink>
      <w:r w:rsidR="00D22FA9" w:rsidRPr="003E5B64">
        <w:rPr>
          <w:rStyle w:val="Hypertextovodkaz"/>
          <w:sz w:val="24"/>
          <w:u w:val="none"/>
        </w:rPr>
        <w:t>.</w:t>
      </w:r>
    </w:p>
    <w:p w14:paraId="0AADCFE7" w14:textId="319299D4" w:rsidR="00B35120" w:rsidRPr="003E5B64" w:rsidRDefault="005632C6" w:rsidP="00B35120">
      <w:pPr>
        <w:pStyle w:val="Bezmezer"/>
        <w:numPr>
          <w:ilvl w:val="0"/>
          <w:numId w:val="2"/>
        </w:numPr>
        <w:spacing w:before="120" w:after="240" w:line="360" w:lineRule="auto"/>
        <w:rPr>
          <w:color w:val="000000" w:themeColor="text1"/>
          <w:sz w:val="24"/>
        </w:rPr>
      </w:pPr>
      <w:r w:rsidRPr="003E5B64">
        <w:rPr>
          <w:color w:val="000000" w:themeColor="text1"/>
          <w:sz w:val="24"/>
        </w:rPr>
        <w:lastRenderedPageBreak/>
        <w:t xml:space="preserve">VAĎUROVÁ, Helena a Pavel MÜHLPACHR. </w:t>
      </w:r>
      <w:r w:rsidRPr="003E5B64">
        <w:rPr>
          <w:i/>
          <w:iCs/>
          <w:color w:val="000000" w:themeColor="text1"/>
          <w:sz w:val="24"/>
        </w:rPr>
        <w:t xml:space="preserve">Kvalita života: teoretická </w:t>
      </w:r>
      <w:r w:rsidR="001C71C4" w:rsidRPr="003E5B64">
        <w:rPr>
          <w:i/>
          <w:iCs/>
          <w:color w:val="000000" w:themeColor="text1"/>
          <w:sz w:val="24"/>
        </w:rPr>
        <w:br/>
      </w:r>
      <w:r w:rsidRPr="003E5B64">
        <w:rPr>
          <w:i/>
          <w:iCs/>
          <w:color w:val="000000" w:themeColor="text1"/>
          <w:sz w:val="24"/>
        </w:rPr>
        <w:t xml:space="preserve">a metodologická východiska. </w:t>
      </w:r>
      <w:r w:rsidRPr="003E5B64">
        <w:rPr>
          <w:color w:val="000000" w:themeColor="text1"/>
          <w:sz w:val="24"/>
        </w:rPr>
        <w:t xml:space="preserve">Brno: Masarykova Univerzita, 2005. 145 s. </w:t>
      </w:r>
      <w:r w:rsidR="001C71C4" w:rsidRPr="003E5B64">
        <w:rPr>
          <w:color w:val="000000" w:themeColor="text1"/>
          <w:sz w:val="24"/>
        </w:rPr>
        <w:br/>
      </w:r>
      <w:r w:rsidRPr="003E5B64">
        <w:rPr>
          <w:color w:val="000000" w:themeColor="text1"/>
          <w:sz w:val="24"/>
        </w:rPr>
        <w:t>ISBN: 80-210-3754-7.</w:t>
      </w:r>
    </w:p>
    <w:p w14:paraId="062747FB" w14:textId="6BEC8014" w:rsidR="00B35120" w:rsidRPr="003E5B64" w:rsidRDefault="00B35120"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sz w:val="24"/>
        </w:rPr>
        <w:t>Wage</w:t>
      </w:r>
      <w:proofErr w:type="spellEnd"/>
      <w:r w:rsidRPr="003E5B64">
        <w:rPr>
          <w:sz w:val="24"/>
        </w:rPr>
        <w:t xml:space="preserve"> </w:t>
      </w:r>
      <w:proofErr w:type="spellStart"/>
      <w:r w:rsidRPr="003E5B64">
        <w:rPr>
          <w:sz w:val="24"/>
        </w:rPr>
        <w:t>Indicator</w:t>
      </w:r>
      <w:proofErr w:type="spellEnd"/>
      <w:r w:rsidRPr="003E5B64">
        <w:rPr>
          <w:sz w:val="24"/>
        </w:rPr>
        <w:t xml:space="preserve">. </w:t>
      </w:r>
      <w:proofErr w:type="spellStart"/>
      <w:r w:rsidRPr="003E5B64">
        <w:rPr>
          <w:i/>
          <w:iCs/>
          <w:sz w:val="24"/>
        </w:rPr>
        <w:t>Hungary</w:t>
      </w:r>
      <w:proofErr w:type="spellEnd"/>
      <w:r w:rsidRPr="003E5B64">
        <w:rPr>
          <w:i/>
          <w:iCs/>
          <w:sz w:val="24"/>
        </w:rPr>
        <w:t xml:space="preserve">. </w:t>
      </w:r>
      <w:r w:rsidRPr="003E5B64">
        <w:rPr>
          <w:sz w:val="24"/>
        </w:rPr>
        <w:t xml:space="preserve">WageIndicator.com. [online]. 2020[cit. 2020-01-21]. Dostupné z: </w:t>
      </w:r>
      <w:hyperlink r:id="rId85" w:history="1">
        <w:r w:rsidRPr="003E5B64">
          <w:rPr>
            <w:rStyle w:val="Hypertextovodkaz"/>
            <w:sz w:val="24"/>
            <w:u w:val="none"/>
          </w:rPr>
          <w:t>https://wageindicator.org/salary/minimum-wage/hungary</w:t>
        </w:r>
      </w:hyperlink>
      <w:r w:rsidR="00D22FA9" w:rsidRPr="003E5B64">
        <w:rPr>
          <w:rStyle w:val="Hypertextovodkaz"/>
          <w:sz w:val="24"/>
          <w:u w:val="none"/>
        </w:rPr>
        <w:t>.</w:t>
      </w:r>
    </w:p>
    <w:p w14:paraId="247DAD00" w14:textId="68D09748" w:rsidR="004C5FC9" w:rsidRPr="003E5B64" w:rsidRDefault="004C5FC9" w:rsidP="00BF199E">
      <w:pPr>
        <w:pStyle w:val="Bezmezer"/>
        <w:numPr>
          <w:ilvl w:val="0"/>
          <w:numId w:val="2"/>
        </w:numPr>
        <w:spacing w:before="120" w:after="240" w:line="360" w:lineRule="auto"/>
        <w:jc w:val="left"/>
        <w:rPr>
          <w:color w:val="000000" w:themeColor="text1"/>
          <w:sz w:val="24"/>
        </w:rPr>
      </w:pPr>
      <w:proofErr w:type="spellStart"/>
      <w:r w:rsidRPr="003E5B64">
        <w:rPr>
          <w:sz w:val="24"/>
        </w:rPr>
        <w:t>Wage</w:t>
      </w:r>
      <w:proofErr w:type="spellEnd"/>
      <w:r w:rsidRPr="003E5B64">
        <w:rPr>
          <w:sz w:val="24"/>
        </w:rPr>
        <w:t xml:space="preserve"> </w:t>
      </w:r>
      <w:proofErr w:type="spellStart"/>
      <w:r w:rsidRPr="003E5B64">
        <w:rPr>
          <w:sz w:val="24"/>
        </w:rPr>
        <w:t>Indicator</w:t>
      </w:r>
      <w:proofErr w:type="spellEnd"/>
      <w:r w:rsidRPr="003E5B64">
        <w:rPr>
          <w:sz w:val="24"/>
        </w:rPr>
        <w:t xml:space="preserve">. </w:t>
      </w:r>
      <w:r w:rsidRPr="003E5B64">
        <w:rPr>
          <w:i/>
          <w:iCs/>
          <w:sz w:val="24"/>
        </w:rPr>
        <w:t xml:space="preserve">Minimum </w:t>
      </w:r>
      <w:proofErr w:type="spellStart"/>
      <w:r w:rsidRPr="003E5B64">
        <w:rPr>
          <w:i/>
          <w:iCs/>
          <w:sz w:val="24"/>
        </w:rPr>
        <w:t>Wage</w:t>
      </w:r>
      <w:proofErr w:type="spellEnd"/>
      <w:r w:rsidRPr="003E5B64">
        <w:rPr>
          <w:i/>
          <w:iCs/>
          <w:sz w:val="24"/>
        </w:rPr>
        <w:t xml:space="preserve"> in </w:t>
      </w:r>
      <w:proofErr w:type="spellStart"/>
      <w:r w:rsidRPr="003E5B64">
        <w:rPr>
          <w:i/>
          <w:iCs/>
          <w:sz w:val="24"/>
        </w:rPr>
        <w:t>Austria</w:t>
      </w:r>
      <w:proofErr w:type="spellEnd"/>
      <w:r w:rsidRPr="003E5B64">
        <w:rPr>
          <w:i/>
          <w:iCs/>
          <w:sz w:val="24"/>
        </w:rPr>
        <w:t xml:space="preserve">. </w:t>
      </w:r>
      <w:r w:rsidRPr="003E5B64">
        <w:rPr>
          <w:sz w:val="24"/>
        </w:rPr>
        <w:t>WageIndicator.com. [online]. 2020</w:t>
      </w:r>
      <w:r w:rsidRPr="003E5B64">
        <w:rPr>
          <w:sz w:val="24"/>
        </w:rPr>
        <w:br/>
        <w:t>[cit. 2020-06-21]. Dostupné z: https://wageindicator.org/salary/minimum-wage/austria/minimum-wage-in-austria.</w:t>
      </w:r>
    </w:p>
    <w:p w14:paraId="1F5CEA5B" w14:textId="34EB3356" w:rsidR="00013C78" w:rsidRPr="003E5B64" w:rsidRDefault="005632C6" w:rsidP="00BF199E">
      <w:pPr>
        <w:pStyle w:val="Bezmezer"/>
        <w:numPr>
          <w:ilvl w:val="0"/>
          <w:numId w:val="2"/>
        </w:numPr>
        <w:spacing w:before="120" w:after="240" w:line="360" w:lineRule="auto"/>
        <w:jc w:val="left"/>
        <w:rPr>
          <w:color w:val="000000" w:themeColor="text1"/>
          <w:sz w:val="24"/>
        </w:rPr>
      </w:pPr>
      <w:proofErr w:type="spellStart"/>
      <w:r w:rsidRPr="003E5B64">
        <w:rPr>
          <w:color w:val="000000" w:themeColor="text1"/>
          <w:sz w:val="24"/>
        </w:rPr>
        <w:t>Wellbeing</w:t>
      </w:r>
      <w:proofErr w:type="spellEnd"/>
      <w:r w:rsidRPr="003E5B64">
        <w:rPr>
          <w:color w:val="000000" w:themeColor="text1"/>
          <w:sz w:val="24"/>
        </w:rPr>
        <w:t xml:space="preserve"> </w:t>
      </w:r>
      <w:proofErr w:type="spellStart"/>
      <w:r w:rsidRPr="003E5B64">
        <w:rPr>
          <w:color w:val="000000" w:themeColor="text1"/>
          <w:sz w:val="24"/>
        </w:rPr>
        <w:t>People</w:t>
      </w:r>
      <w:proofErr w:type="spellEnd"/>
      <w:r w:rsidRPr="003E5B64">
        <w:rPr>
          <w:color w:val="000000" w:themeColor="text1"/>
          <w:sz w:val="24"/>
        </w:rPr>
        <w:t xml:space="preserve">. </w:t>
      </w:r>
      <w:proofErr w:type="spellStart"/>
      <w:r w:rsidRPr="003E5B64">
        <w:rPr>
          <w:i/>
          <w:iCs/>
          <w:color w:val="000000" w:themeColor="text1"/>
          <w:sz w:val="24"/>
        </w:rPr>
        <w:t>What</w:t>
      </w:r>
      <w:proofErr w:type="spellEnd"/>
      <w:r w:rsidRPr="003E5B64">
        <w:rPr>
          <w:i/>
          <w:iCs/>
          <w:color w:val="000000" w:themeColor="text1"/>
          <w:sz w:val="24"/>
        </w:rPr>
        <w:t xml:space="preserve"> </w:t>
      </w:r>
      <w:proofErr w:type="spellStart"/>
      <w:r w:rsidRPr="003E5B64">
        <w:rPr>
          <w:i/>
          <w:iCs/>
          <w:color w:val="000000" w:themeColor="text1"/>
          <w:sz w:val="24"/>
        </w:rPr>
        <w:t>does</w:t>
      </w:r>
      <w:proofErr w:type="spellEnd"/>
      <w:r w:rsidRPr="003E5B64">
        <w:rPr>
          <w:i/>
          <w:iCs/>
          <w:color w:val="000000" w:themeColor="text1"/>
          <w:sz w:val="24"/>
        </w:rPr>
        <w:t xml:space="preserve"> </w:t>
      </w:r>
      <w:proofErr w:type="spellStart"/>
      <w:r w:rsidRPr="003E5B64">
        <w:rPr>
          <w:i/>
          <w:iCs/>
          <w:color w:val="000000" w:themeColor="text1"/>
          <w:sz w:val="24"/>
        </w:rPr>
        <w:t>wellbeing</w:t>
      </w:r>
      <w:proofErr w:type="spellEnd"/>
      <w:r w:rsidRPr="003E5B64">
        <w:rPr>
          <w:i/>
          <w:iCs/>
          <w:color w:val="000000" w:themeColor="text1"/>
          <w:sz w:val="24"/>
        </w:rPr>
        <w:t xml:space="preserve"> </w:t>
      </w:r>
      <w:proofErr w:type="spellStart"/>
      <w:r w:rsidRPr="003E5B64">
        <w:rPr>
          <w:i/>
          <w:iCs/>
          <w:color w:val="000000" w:themeColor="text1"/>
          <w:sz w:val="24"/>
        </w:rPr>
        <w:t>actually</w:t>
      </w:r>
      <w:proofErr w:type="spellEnd"/>
      <w:r w:rsidRPr="003E5B64">
        <w:rPr>
          <w:i/>
          <w:iCs/>
          <w:color w:val="000000" w:themeColor="text1"/>
          <w:sz w:val="24"/>
        </w:rPr>
        <w:t xml:space="preserve"> </w:t>
      </w:r>
      <w:proofErr w:type="spellStart"/>
      <w:r w:rsidRPr="003E5B64">
        <w:rPr>
          <w:i/>
          <w:iCs/>
          <w:color w:val="000000" w:themeColor="text1"/>
          <w:sz w:val="24"/>
        </w:rPr>
        <w:t>mean</w:t>
      </w:r>
      <w:proofErr w:type="spellEnd"/>
      <w:r w:rsidRPr="003E5B64">
        <w:rPr>
          <w:i/>
          <w:iCs/>
          <w:color w:val="000000" w:themeColor="text1"/>
          <w:sz w:val="24"/>
        </w:rPr>
        <w:t>?</w:t>
      </w:r>
      <w:r w:rsidRPr="003E5B64">
        <w:rPr>
          <w:color w:val="000000" w:themeColor="text1"/>
          <w:sz w:val="24"/>
        </w:rPr>
        <w:t xml:space="preserve"> Wellbeingpeople.com [online]. 2018 [cit. 2020-03-15]. Dostupné z: </w:t>
      </w:r>
      <w:hyperlink r:id="rId86" w:history="1">
        <w:r w:rsidRPr="003E5B64">
          <w:rPr>
            <w:rStyle w:val="Hypertextovodkaz"/>
            <w:color w:val="000000" w:themeColor="text1"/>
            <w:sz w:val="24"/>
            <w:u w:val="none"/>
          </w:rPr>
          <w:t>https://wellbeingpeople.com/2018/07/20/what-does-wellbeing-actually-mean/</w:t>
        </w:r>
      </w:hyperlink>
      <w:r w:rsidR="00D22FA9" w:rsidRPr="003E5B64">
        <w:rPr>
          <w:rStyle w:val="Hypertextovodkaz"/>
          <w:color w:val="000000" w:themeColor="text1"/>
          <w:sz w:val="24"/>
          <w:u w:val="none"/>
        </w:rPr>
        <w:t>.</w:t>
      </w:r>
    </w:p>
    <w:p w14:paraId="073E0C5E" w14:textId="3E1D30C0" w:rsidR="0037149C" w:rsidRPr="003E5B64" w:rsidRDefault="0037149C" w:rsidP="00BF199E">
      <w:pPr>
        <w:pStyle w:val="Bezmezer"/>
        <w:numPr>
          <w:ilvl w:val="0"/>
          <w:numId w:val="2"/>
        </w:numPr>
        <w:spacing w:before="120" w:after="240" w:line="360" w:lineRule="auto"/>
        <w:jc w:val="left"/>
        <w:rPr>
          <w:rStyle w:val="Hypertextovodkaz"/>
          <w:color w:val="000000" w:themeColor="text1"/>
          <w:sz w:val="24"/>
          <w:u w:val="none"/>
        </w:rPr>
      </w:pPr>
      <w:proofErr w:type="spellStart"/>
      <w:r w:rsidRPr="003E5B64">
        <w:rPr>
          <w:color w:val="000000" w:themeColor="text1"/>
          <w:sz w:val="24"/>
        </w:rPr>
        <w:t>World</w:t>
      </w:r>
      <w:proofErr w:type="spellEnd"/>
      <w:r w:rsidRPr="003E5B64">
        <w:rPr>
          <w:color w:val="000000" w:themeColor="text1"/>
          <w:sz w:val="24"/>
        </w:rPr>
        <w:t xml:space="preserve"> </w:t>
      </w:r>
      <w:proofErr w:type="spellStart"/>
      <w:r w:rsidRPr="003E5B64">
        <w:rPr>
          <w:color w:val="000000" w:themeColor="text1"/>
          <w:sz w:val="24"/>
        </w:rPr>
        <w:t>Health</w:t>
      </w:r>
      <w:proofErr w:type="spellEnd"/>
      <w:r w:rsidRPr="003E5B64">
        <w:rPr>
          <w:color w:val="000000" w:themeColor="text1"/>
          <w:sz w:val="24"/>
        </w:rPr>
        <w:t xml:space="preserve"> </w:t>
      </w:r>
      <w:proofErr w:type="spellStart"/>
      <w:r w:rsidRPr="003E5B64">
        <w:rPr>
          <w:color w:val="000000" w:themeColor="text1"/>
          <w:sz w:val="24"/>
        </w:rPr>
        <w:t>Organization</w:t>
      </w:r>
      <w:proofErr w:type="spellEnd"/>
      <w:r w:rsidRPr="003E5B64">
        <w:rPr>
          <w:color w:val="000000" w:themeColor="text1"/>
          <w:sz w:val="24"/>
        </w:rPr>
        <w:t xml:space="preserve">. </w:t>
      </w:r>
      <w:r w:rsidRPr="003E5B64">
        <w:rPr>
          <w:i/>
          <w:iCs/>
          <w:color w:val="000000" w:themeColor="text1"/>
          <w:sz w:val="24"/>
        </w:rPr>
        <w:t xml:space="preserve">WHOQOL: </w:t>
      </w:r>
      <w:proofErr w:type="spellStart"/>
      <w:r w:rsidRPr="003E5B64">
        <w:rPr>
          <w:i/>
          <w:iCs/>
          <w:color w:val="000000" w:themeColor="text1"/>
          <w:sz w:val="24"/>
        </w:rPr>
        <w:t>Measuring</w:t>
      </w:r>
      <w:proofErr w:type="spellEnd"/>
      <w:r w:rsidRPr="003E5B64">
        <w:rPr>
          <w:i/>
          <w:iCs/>
          <w:color w:val="000000" w:themeColor="text1"/>
          <w:sz w:val="24"/>
        </w:rPr>
        <w:t xml:space="preserve"> </w:t>
      </w:r>
      <w:proofErr w:type="spellStart"/>
      <w:r w:rsidRPr="003E5B64">
        <w:rPr>
          <w:i/>
          <w:iCs/>
          <w:color w:val="000000" w:themeColor="text1"/>
          <w:sz w:val="24"/>
        </w:rPr>
        <w:t>Ouality</w:t>
      </w:r>
      <w:proofErr w:type="spellEnd"/>
      <w:r w:rsidRPr="003E5B64">
        <w:rPr>
          <w:i/>
          <w:iCs/>
          <w:color w:val="000000" w:themeColor="text1"/>
          <w:sz w:val="24"/>
        </w:rPr>
        <w:t xml:space="preserve"> </w:t>
      </w:r>
      <w:proofErr w:type="spellStart"/>
      <w:r w:rsidRPr="003E5B64">
        <w:rPr>
          <w:i/>
          <w:iCs/>
          <w:color w:val="000000" w:themeColor="text1"/>
          <w:sz w:val="24"/>
        </w:rPr>
        <w:t>of</w:t>
      </w:r>
      <w:proofErr w:type="spellEnd"/>
      <w:r w:rsidRPr="003E5B64">
        <w:rPr>
          <w:i/>
          <w:iCs/>
          <w:color w:val="000000" w:themeColor="text1"/>
          <w:sz w:val="24"/>
        </w:rPr>
        <w:t xml:space="preserve"> </w:t>
      </w:r>
      <w:proofErr w:type="spellStart"/>
      <w:r w:rsidRPr="003E5B64">
        <w:rPr>
          <w:i/>
          <w:iCs/>
          <w:color w:val="000000" w:themeColor="text1"/>
          <w:sz w:val="24"/>
        </w:rPr>
        <w:t>Life</w:t>
      </w:r>
      <w:proofErr w:type="spellEnd"/>
      <w:r w:rsidRPr="003E5B64">
        <w:rPr>
          <w:i/>
          <w:iCs/>
          <w:color w:val="000000" w:themeColor="text1"/>
          <w:sz w:val="24"/>
        </w:rPr>
        <w:t xml:space="preserve">. </w:t>
      </w:r>
      <w:r w:rsidRPr="003E5B64">
        <w:rPr>
          <w:color w:val="000000" w:themeColor="text1"/>
          <w:sz w:val="24"/>
        </w:rPr>
        <w:t xml:space="preserve">Who.int. [online]. 2020 [cit. 2020-06-07]. Dostupné z: </w:t>
      </w:r>
      <w:hyperlink r:id="rId87" w:history="1">
        <w:r w:rsidRPr="003E5B64">
          <w:rPr>
            <w:rStyle w:val="Hypertextovodkaz"/>
            <w:color w:val="000000" w:themeColor="text1"/>
            <w:sz w:val="24"/>
            <w:u w:val="none"/>
          </w:rPr>
          <w:t>https://www.who.int/healthinfo/survey/whoqol-qualityoflife/en/</w:t>
        </w:r>
      </w:hyperlink>
      <w:r w:rsidR="00D22FA9" w:rsidRPr="003E5B64">
        <w:rPr>
          <w:rStyle w:val="Hypertextovodkaz"/>
          <w:color w:val="000000" w:themeColor="text1"/>
          <w:sz w:val="24"/>
          <w:u w:val="none"/>
        </w:rPr>
        <w:t>.</w:t>
      </w:r>
    </w:p>
    <w:p w14:paraId="2846E74B" w14:textId="00E40CAC" w:rsidR="00F0429B" w:rsidRPr="003E5B64" w:rsidRDefault="00F0429B" w:rsidP="00BF199E">
      <w:pPr>
        <w:pStyle w:val="Bezmezer"/>
        <w:numPr>
          <w:ilvl w:val="0"/>
          <w:numId w:val="2"/>
        </w:numPr>
        <w:spacing w:before="120" w:after="240" w:line="360" w:lineRule="auto"/>
        <w:jc w:val="left"/>
        <w:rPr>
          <w:color w:val="000000" w:themeColor="text1"/>
          <w:sz w:val="24"/>
        </w:rPr>
      </w:pPr>
      <w:proofErr w:type="spellStart"/>
      <w:r w:rsidRPr="003E5B64">
        <w:rPr>
          <w:color w:val="000000" w:themeColor="text1"/>
          <w:sz w:val="24"/>
        </w:rPr>
        <w:t>World</w:t>
      </w:r>
      <w:proofErr w:type="spellEnd"/>
      <w:r w:rsidRPr="003E5B64">
        <w:rPr>
          <w:color w:val="000000" w:themeColor="text1"/>
          <w:sz w:val="24"/>
        </w:rPr>
        <w:t xml:space="preserve"> </w:t>
      </w:r>
      <w:proofErr w:type="spellStart"/>
      <w:r w:rsidRPr="003E5B64">
        <w:rPr>
          <w:color w:val="000000" w:themeColor="text1"/>
          <w:sz w:val="24"/>
        </w:rPr>
        <w:t>Socialist</w:t>
      </w:r>
      <w:proofErr w:type="spellEnd"/>
      <w:r w:rsidRPr="003E5B64">
        <w:rPr>
          <w:color w:val="000000" w:themeColor="text1"/>
          <w:sz w:val="24"/>
        </w:rPr>
        <w:t xml:space="preserve"> Web </w:t>
      </w:r>
      <w:proofErr w:type="spellStart"/>
      <w:r w:rsidRPr="003E5B64">
        <w:rPr>
          <w:color w:val="000000" w:themeColor="text1"/>
          <w:sz w:val="24"/>
        </w:rPr>
        <w:t>Site</w:t>
      </w:r>
      <w:proofErr w:type="spellEnd"/>
      <w:r w:rsidRPr="003E5B64">
        <w:rPr>
          <w:color w:val="000000" w:themeColor="text1"/>
          <w:sz w:val="24"/>
        </w:rPr>
        <w:t xml:space="preserve">. </w:t>
      </w:r>
      <w:proofErr w:type="spellStart"/>
      <w:r w:rsidRPr="003E5B64">
        <w:rPr>
          <w:i/>
          <w:iCs/>
          <w:color w:val="000000" w:themeColor="text1"/>
          <w:sz w:val="24"/>
        </w:rPr>
        <w:t>Poverty</w:t>
      </w:r>
      <w:proofErr w:type="spellEnd"/>
      <w:r w:rsidRPr="003E5B64">
        <w:rPr>
          <w:i/>
          <w:iCs/>
          <w:color w:val="000000" w:themeColor="text1"/>
          <w:sz w:val="24"/>
        </w:rPr>
        <w:t xml:space="preserve"> in Germany </w:t>
      </w:r>
      <w:proofErr w:type="spellStart"/>
      <w:r w:rsidRPr="003E5B64">
        <w:rPr>
          <w:i/>
          <w:iCs/>
          <w:color w:val="000000" w:themeColor="text1"/>
          <w:sz w:val="24"/>
        </w:rPr>
        <w:t>remains</w:t>
      </w:r>
      <w:proofErr w:type="spellEnd"/>
      <w:r w:rsidRPr="003E5B64">
        <w:rPr>
          <w:i/>
          <w:iCs/>
          <w:color w:val="000000" w:themeColor="text1"/>
          <w:sz w:val="24"/>
        </w:rPr>
        <w:t xml:space="preserve"> </w:t>
      </w:r>
      <w:proofErr w:type="spellStart"/>
      <w:r w:rsidRPr="003E5B64">
        <w:rPr>
          <w:i/>
          <w:iCs/>
          <w:color w:val="000000" w:themeColor="text1"/>
          <w:sz w:val="24"/>
        </w:rPr>
        <w:t>high</w:t>
      </w:r>
      <w:proofErr w:type="spellEnd"/>
      <w:r w:rsidRPr="003E5B64">
        <w:rPr>
          <w:i/>
          <w:iCs/>
          <w:color w:val="000000" w:themeColor="text1"/>
          <w:sz w:val="24"/>
        </w:rPr>
        <w:t xml:space="preserve">, 2019 report </w:t>
      </w:r>
      <w:proofErr w:type="spellStart"/>
      <w:r w:rsidRPr="003E5B64">
        <w:rPr>
          <w:i/>
          <w:iCs/>
          <w:color w:val="000000" w:themeColor="text1"/>
          <w:sz w:val="24"/>
        </w:rPr>
        <w:t>finds</w:t>
      </w:r>
      <w:proofErr w:type="spellEnd"/>
      <w:r w:rsidRPr="003E5B64">
        <w:rPr>
          <w:i/>
          <w:iCs/>
          <w:color w:val="000000" w:themeColor="text1"/>
          <w:sz w:val="24"/>
        </w:rPr>
        <w:t xml:space="preserve">. Wsws.org </w:t>
      </w:r>
      <w:r w:rsidRPr="003E5B64">
        <w:rPr>
          <w:color w:val="000000" w:themeColor="text1"/>
          <w:sz w:val="24"/>
        </w:rPr>
        <w:t xml:space="preserve">[online]. 2020 [cit. 2020-07-10]. Dostupné z: </w:t>
      </w:r>
      <w:hyperlink r:id="rId88" w:history="1">
        <w:r w:rsidRPr="003E5B64">
          <w:rPr>
            <w:rStyle w:val="Hypertextovodkaz"/>
            <w:color w:val="000000" w:themeColor="text1"/>
            <w:sz w:val="24"/>
            <w:u w:val="none"/>
          </w:rPr>
          <w:t>https://www.wsws.org/en/articles/2019/12/30/pove-d30.html</w:t>
        </w:r>
      </w:hyperlink>
      <w:r w:rsidR="00D22FA9" w:rsidRPr="003E5B64">
        <w:rPr>
          <w:rStyle w:val="Hypertextovodkaz"/>
          <w:color w:val="000000" w:themeColor="text1"/>
          <w:sz w:val="24"/>
          <w:u w:val="none"/>
        </w:rPr>
        <w:t>.</w:t>
      </w:r>
    </w:p>
    <w:p w14:paraId="049CA25A" w14:textId="37D6033C" w:rsidR="00CB1584" w:rsidRPr="003E5B64" w:rsidRDefault="0037149C" w:rsidP="00BF199E">
      <w:pPr>
        <w:pStyle w:val="Bezmezer"/>
        <w:numPr>
          <w:ilvl w:val="0"/>
          <w:numId w:val="2"/>
        </w:numPr>
        <w:spacing w:before="120" w:after="240" w:line="360" w:lineRule="auto"/>
        <w:rPr>
          <w:color w:val="000000" w:themeColor="text1"/>
          <w:sz w:val="24"/>
        </w:rPr>
      </w:pPr>
      <w:r w:rsidRPr="003E5B64">
        <w:rPr>
          <w:sz w:val="24"/>
        </w:rPr>
        <w:t>Zákon č. 110/2006 Sb., o životním a existenčním minimu. Sbírka zákonů. 31.03.2006.</w:t>
      </w:r>
    </w:p>
    <w:p w14:paraId="15B4B5D3" w14:textId="4134C1BD" w:rsidR="00500663" w:rsidRPr="003E5B64" w:rsidRDefault="0037149C" w:rsidP="00BF199E">
      <w:pPr>
        <w:pStyle w:val="Bezmezer"/>
        <w:numPr>
          <w:ilvl w:val="0"/>
          <w:numId w:val="2"/>
        </w:numPr>
        <w:spacing w:before="120" w:after="240" w:line="360" w:lineRule="auto"/>
        <w:rPr>
          <w:color w:val="000000" w:themeColor="text1"/>
          <w:sz w:val="24"/>
        </w:rPr>
      </w:pPr>
      <w:r w:rsidRPr="003E5B64">
        <w:rPr>
          <w:sz w:val="24"/>
        </w:rPr>
        <w:t xml:space="preserve">ŽÁK, Milan. </w:t>
      </w:r>
      <w:r w:rsidRPr="003E5B64">
        <w:rPr>
          <w:i/>
          <w:iCs/>
          <w:sz w:val="24"/>
        </w:rPr>
        <w:t>Hospodářská politika</w:t>
      </w:r>
      <w:r w:rsidRPr="003E5B64">
        <w:rPr>
          <w:sz w:val="24"/>
        </w:rPr>
        <w:t xml:space="preserve">. </w:t>
      </w:r>
      <w:r w:rsidR="001C71C4" w:rsidRPr="003E5B64">
        <w:rPr>
          <w:sz w:val="24"/>
        </w:rPr>
        <w:t>VŠEM</w:t>
      </w:r>
      <w:r w:rsidRPr="003E5B64">
        <w:rPr>
          <w:sz w:val="24"/>
        </w:rPr>
        <w:t>. Praha: Edice učebních textů ekonomie, 2007. 210 s. ISBN: 978-80-86730-04-2.</w:t>
      </w:r>
    </w:p>
    <w:p w14:paraId="08A2EC49" w14:textId="65A04014" w:rsidR="00B70353" w:rsidRPr="003E5B64" w:rsidRDefault="00B70353" w:rsidP="00A31F01">
      <w:pPr>
        <w:pStyle w:val="Bezmezer"/>
        <w:spacing w:line="360" w:lineRule="auto"/>
        <w:ind w:firstLine="0"/>
        <w:jc w:val="left"/>
        <w:rPr>
          <w:b/>
          <w:bCs/>
          <w:sz w:val="24"/>
        </w:rPr>
      </w:pPr>
    </w:p>
    <w:p w14:paraId="2CEF6544" w14:textId="7145528C" w:rsidR="002749D9" w:rsidRPr="003E5B64" w:rsidRDefault="00B70353" w:rsidP="00B70353">
      <w:pPr>
        <w:rPr>
          <w:b/>
          <w:bCs/>
        </w:rPr>
      </w:pPr>
      <w:r w:rsidRPr="003E5B64">
        <w:rPr>
          <w:b/>
          <w:bCs/>
        </w:rPr>
        <w:br w:type="page"/>
      </w:r>
    </w:p>
    <w:p w14:paraId="07F3DD8A" w14:textId="0F1DDE5A" w:rsidR="00D7020C" w:rsidRDefault="002749D9" w:rsidP="00A554EA">
      <w:pPr>
        <w:pStyle w:val="Nadpis1"/>
        <w:numPr>
          <w:ilvl w:val="0"/>
          <w:numId w:val="0"/>
        </w:numPr>
        <w:spacing w:before="120" w:after="240"/>
        <w:ind w:left="432" w:hanging="432"/>
      </w:pPr>
      <w:bookmarkStart w:id="48" w:name="_Toc46142354"/>
      <w:r>
        <w:lastRenderedPageBreak/>
        <w:t>SEZNAM OBRÁZKŮ</w:t>
      </w:r>
      <w:bookmarkEnd w:id="48"/>
    </w:p>
    <w:p w14:paraId="2B3B9E5E" w14:textId="18F2D0FE" w:rsidR="008A7955" w:rsidRPr="008A7955" w:rsidRDefault="0096346A"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r w:rsidRPr="008A7955">
        <w:fldChar w:fldCharType="begin"/>
      </w:r>
      <w:r w:rsidRPr="008A7955">
        <w:instrText xml:space="preserve"> TOC \h \z \c "Obrázek" </w:instrText>
      </w:r>
      <w:r w:rsidRPr="008A7955">
        <w:fldChar w:fldCharType="separate"/>
      </w:r>
      <w:hyperlink r:id="rId89" w:anchor="_Toc46142526" w:history="1">
        <w:r w:rsidR="008A7955" w:rsidRPr="008A7955">
          <w:rPr>
            <w:rStyle w:val="Hypertextovodkaz"/>
            <w:noProof/>
          </w:rPr>
          <w:t>Obrázek 1 - Lorenzova křivka, Giniho koeficient</w:t>
        </w:r>
        <w:r w:rsidR="008A7955" w:rsidRPr="008A7955">
          <w:rPr>
            <w:noProof/>
            <w:webHidden/>
          </w:rPr>
          <w:tab/>
        </w:r>
        <w:r w:rsidR="008A7955" w:rsidRPr="008A7955">
          <w:rPr>
            <w:noProof/>
            <w:webHidden/>
          </w:rPr>
          <w:fldChar w:fldCharType="begin"/>
        </w:r>
        <w:r w:rsidR="008A7955" w:rsidRPr="008A7955">
          <w:rPr>
            <w:noProof/>
            <w:webHidden/>
          </w:rPr>
          <w:instrText xml:space="preserve"> PAGEREF _Toc46142526 \h </w:instrText>
        </w:r>
        <w:r w:rsidR="008A7955" w:rsidRPr="008A7955">
          <w:rPr>
            <w:noProof/>
            <w:webHidden/>
          </w:rPr>
        </w:r>
        <w:r w:rsidR="008A7955" w:rsidRPr="008A7955">
          <w:rPr>
            <w:noProof/>
            <w:webHidden/>
          </w:rPr>
          <w:fldChar w:fldCharType="separate"/>
        </w:r>
        <w:r w:rsidR="008A7955" w:rsidRPr="008A7955">
          <w:rPr>
            <w:noProof/>
            <w:webHidden/>
          </w:rPr>
          <w:t>34</w:t>
        </w:r>
        <w:r w:rsidR="008A7955" w:rsidRPr="008A7955">
          <w:rPr>
            <w:noProof/>
            <w:webHidden/>
          </w:rPr>
          <w:fldChar w:fldCharType="end"/>
        </w:r>
      </w:hyperlink>
    </w:p>
    <w:p w14:paraId="2937480D" w14:textId="36485D57"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r:id="rId90" w:anchor="_Toc46142527" w:history="1">
        <w:r w:rsidRPr="008A7955">
          <w:rPr>
            <w:rStyle w:val="Hypertextovodkaz"/>
            <w:noProof/>
          </w:rPr>
          <w:t>Obrázek 2 - Index lidského rozvoje</w:t>
        </w:r>
        <w:r w:rsidRPr="008A7955">
          <w:rPr>
            <w:noProof/>
            <w:webHidden/>
          </w:rPr>
          <w:tab/>
        </w:r>
        <w:r w:rsidRPr="008A7955">
          <w:rPr>
            <w:noProof/>
            <w:webHidden/>
          </w:rPr>
          <w:fldChar w:fldCharType="begin"/>
        </w:r>
        <w:r w:rsidRPr="008A7955">
          <w:rPr>
            <w:noProof/>
            <w:webHidden/>
          </w:rPr>
          <w:instrText xml:space="preserve"> PAGEREF _Toc46142527 \h </w:instrText>
        </w:r>
        <w:r w:rsidRPr="008A7955">
          <w:rPr>
            <w:noProof/>
            <w:webHidden/>
          </w:rPr>
        </w:r>
        <w:r w:rsidRPr="008A7955">
          <w:rPr>
            <w:noProof/>
            <w:webHidden/>
          </w:rPr>
          <w:fldChar w:fldCharType="separate"/>
        </w:r>
        <w:r w:rsidRPr="008A7955">
          <w:rPr>
            <w:noProof/>
            <w:webHidden/>
          </w:rPr>
          <w:t>39</w:t>
        </w:r>
        <w:r w:rsidRPr="008A7955">
          <w:rPr>
            <w:noProof/>
            <w:webHidden/>
          </w:rPr>
          <w:fldChar w:fldCharType="end"/>
        </w:r>
      </w:hyperlink>
    </w:p>
    <w:p w14:paraId="48D3F4A3" w14:textId="146CF84F"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r:id="rId91" w:anchor="_Toc46142528" w:history="1">
        <w:r w:rsidRPr="008A7955">
          <w:rPr>
            <w:rStyle w:val="Hypertextovodkaz"/>
            <w:noProof/>
          </w:rPr>
          <w:t>Obrázek 3 - Mapa sousedů ČR a Visegrádské čtyřky</w:t>
        </w:r>
        <w:r w:rsidRPr="008A7955">
          <w:rPr>
            <w:noProof/>
            <w:webHidden/>
          </w:rPr>
          <w:tab/>
        </w:r>
        <w:r w:rsidRPr="008A7955">
          <w:rPr>
            <w:noProof/>
            <w:webHidden/>
          </w:rPr>
          <w:fldChar w:fldCharType="begin"/>
        </w:r>
        <w:r w:rsidRPr="008A7955">
          <w:rPr>
            <w:noProof/>
            <w:webHidden/>
          </w:rPr>
          <w:instrText xml:space="preserve"> PAGEREF _Toc46142528 \h </w:instrText>
        </w:r>
        <w:r w:rsidRPr="008A7955">
          <w:rPr>
            <w:noProof/>
            <w:webHidden/>
          </w:rPr>
        </w:r>
        <w:r w:rsidRPr="008A7955">
          <w:rPr>
            <w:noProof/>
            <w:webHidden/>
          </w:rPr>
          <w:fldChar w:fldCharType="separate"/>
        </w:r>
        <w:r w:rsidRPr="008A7955">
          <w:rPr>
            <w:noProof/>
            <w:webHidden/>
          </w:rPr>
          <w:t>46</w:t>
        </w:r>
        <w:r w:rsidRPr="008A7955">
          <w:rPr>
            <w:noProof/>
            <w:webHidden/>
          </w:rPr>
          <w:fldChar w:fldCharType="end"/>
        </w:r>
      </w:hyperlink>
    </w:p>
    <w:p w14:paraId="5520C738" w14:textId="48742852" w:rsidR="003E5B64" w:rsidRDefault="0096346A" w:rsidP="008A7955">
      <w:pPr>
        <w:pStyle w:val="Nadpis1"/>
        <w:numPr>
          <w:ilvl w:val="0"/>
          <w:numId w:val="0"/>
        </w:numPr>
        <w:spacing w:before="120" w:after="240"/>
        <w:jc w:val="both"/>
      </w:pPr>
      <w:r w:rsidRPr="008A7955">
        <w:rPr>
          <w:sz w:val="24"/>
        </w:rPr>
        <w:fldChar w:fldCharType="end"/>
      </w:r>
    </w:p>
    <w:p w14:paraId="1C62F117" w14:textId="2648BC24" w:rsidR="003E5B64" w:rsidRDefault="003E5B64">
      <w:pPr>
        <w:rPr>
          <w:b/>
          <w:color w:val="2F5496"/>
          <w:sz w:val="30"/>
        </w:rPr>
      </w:pPr>
      <w:r>
        <w:br w:type="page"/>
      </w:r>
    </w:p>
    <w:p w14:paraId="2AD71DA1" w14:textId="4A25B9C3" w:rsidR="001D62CA" w:rsidRDefault="002749D9" w:rsidP="00A554EA">
      <w:pPr>
        <w:pStyle w:val="Nadpis1"/>
        <w:numPr>
          <w:ilvl w:val="0"/>
          <w:numId w:val="0"/>
        </w:numPr>
        <w:spacing w:before="120" w:after="240"/>
        <w:ind w:left="432" w:hanging="432"/>
      </w:pPr>
      <w:bookmarkStart w:id="49" w:name="_Toc46142355"/>
      <w:r w:rsidRPr="00432761">
        <w:lastRenderedPageBreak/>
        <w:t>SEZNAM TABULEK</w:t>
      </w:r>
      <w:bookmarkEnd w:id="49"/>
    </w:p>
    <w:p w14:paraId="12BB4C35" w14:textId="0EB85419" w:rsidR="008A7955" w:rsidRPr="008A7955" w:rsidRDefault="006E5806"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r w:rsidRPr="008A7955">
        <w:fldChar w:fldCharType="begin"/>
      </w:r>
      <w:r w:rsidRPr="008A7955">
        <w:instrText xml:space="preserve"> TOC \h \z \c "Tabulka" </w:instrText>
      </w:r>
      <w:r w:rsidRPr="008A7955">
        <w:fldChar w:fldCharType="separate"/>
      </w:r>
      <w:hyperlink w:anchor="_Toc46142559" w:history="1">
        <w:r w:rsidR="008A7955" w:rsidRPr="008A7955">
          <w:rPr>
            <w:rStyle w:val="Hypertextovodkaz"/>
            <w:noProof/>
          </w:rPr>
          <w:t>Tabulka 1 - Měsíční průměrné mzdy pro vybrané země za období 2012-2019</w:t>
        </w:r>
        <w:r w:rsidR="008A7955" w:rsidRPr="008A7955">
          <w:rPr>
            <w:noProof/>
            <w:webHidden/>
          </w:rPr>
          <w:tab/>
        </w:r>
        <w:r w:rsidR="008A7955" w:rsidRPr="008A7955">
          <w:rPr>
            <w:noProof/>
            <w:webHidden/>
          </w:rPr>
          <w:fldChar w:fldCharType="begin"/>
        </w:r>
        <w:r w:rsidR="008A7955" w:rsidRPr="008A7955">
          <w:rPr>
            <w:noProof/>
            <w:webHidden/>
          </w:rPr>
          <w:instrText xml:space="preserve"> PAGEREF _Toc46142559 \h </w:instrText>
        </w:r>
        <w:r w:rsidR="008A7955" w:rsidRPr="008A7955">
          <w:rPr>
            <w:noProof/>
            <w:webHidden/>
          </w:rPr>
        </w:r>
        <w:r w:rsidR="008A7955" w:rsidRPr="008A7955">
          <w:rPr>
            <w:noProof/>
            <w:webHidden/>
          </w:rPr>
          <w:fldChar w:fldCharType="separate"/>
        </w:r>
        <w:r w:rsidR="008A7955" w:rsidRPr="008A7955">
          <w:rPr>
            <w:noProof/>
            <w:webHidden/>
          </w:rPr>
          <w:t>47</w:t>
        </w:r>
        <w:r w:rsidR="008A7955" w:rsidRPr="008A7955">
          <w:rPr>
            <w:noProof/>
            <w:webHidden/>
          </w:rPr>
          <w:fldChar w:fldCharType="end"/>
        </w:r>
      </w:hyperlink>
    </w:p>
    <w:p w14:paraId="36673E7C" w14:textId="4A2C7C6D"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w:anchor="_Toc46142560" w:history="1">
        <w:r w:rsidRPr="008A7955">
          <w:rPr>
            <w:rStyle w:val="Hypertextovodkaz"/>
            <w:noProof/>
          </w:rPr>
          <w:t>Tabulka 2 – Roční růst průměrné mzdy pro vybrané země za období 2012-2019</w:t>
        </w:r>
        <w:r w:rsidRPr="008A7955">
          <w:rPr>
            <w:noProof/>
            <w:webHidden/>
          </w:rPr>
          <w:tab/>
        </w:r>
        <w:r w:rsidRPr="008A7955">
          <w:rPr>
            <w:noProof/>
            <w:webHidden/>
          </w:rPr>
          <w:fldChar w:fldCharType="begin"/>
        </w:r>
        <w:r w:rsidRPr="008A7955">
          <w:rPr>
            <w:noProof/>
            <w:webHidden/>
          </w:rPr>
          <w:instrText xml:space="preserve"> PAGEREF _Toc46142560 \h </w:instrText>
        </w:r>
        <w:r w:rsidRPr="008A7955">
          <w:rPr>
            <w:noProof/>
            <w:webHidden/>
          </w:rPr>
        </w:r>
        <w:r w:rsidRPr="008A7955">
          <w:rPr>
            <w:noProof/>
            <w:webHidden/>
          </w:rPr>
          <w:fldChar w:fldCharType="separate"/>
        </w:r>
        <w:r w:rsidRPr="008A7955">
          <w:rPr>
            <w:noProof/>
            <w:webHidden/>
          </w:rPr>
          <w:t>49</w:t>
        </w:r>
        <w:r w:rsidRPr="008A7955">
          <w:rPr>
            <w:noProof/>
            <w:webHidden/>
          </w:rPr>
          <w:fldChar w:fldCharType="end"/>
        </w:r>
      </w:hyperlink>
    </w:p>
    <w:p w14:paraId="31D4DB7D" w14:textId="17D4A357"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w:anchor="_Toc46142561" w:history="1">
        <w:r w:rsidRPr="008A7955">
          <w:rPr>
            <w:rStyle w:val="Hypertextovodkaz"/>
            <w:noProof/>
          </w:rPr>
          <w:t>Tabulka 3 – Pořadí na základě ročního růstu průměrné mzdy</w:t>
        </w:r>
        <w:r w:rsidRPr="008A7955">
          <w:rPr>
            <w:noProof/>
            <w:webHidden/>
          </w:rPr>
          <w:tab/>
        </w:r>
        <w:r w:rsidRPr="008A7955">
          <w:rPr>
            <w:noProof/>
            <w:webHidden/>
          </w:rPr>
          <w:fldChar w:fldCharType="begin"/>
        </w:r>
        <w:r w:rsidRPr="008A7955">
          <w:rPr>
            <w:noProof/>
            <w:webHidden/>
          </w:rPr>
          <w:instrText xml:space="preserve"> PAGEREF _Toc46142561 \h </w:instrText>
        </w:r>
        <w:r w:rsidRPr="008A7955">
          <w:rPr>
            <w:noProof/>
            <w:webHidden/>
          </w:rPr>
        </w:r>
        <w:r w:rsidRPr="008A7955">
          <w:rPr>
            <w:noProof/>
            <w:webHidden/>
          </w:rPr>
          <w:fldChar w:fldCharType="separate"/>
        </w:r>
        <w:r w:rsidRPr="008A7955">
          <w:rPr>
            <w:noProof/>
            <w:webHidden/>
          </w:rPr>
          <w:t>50</w:t>
        </w:r>
        <w:r w:rsidRPr="008A7955">
          <w:rPr>
            <w:noProof/>
            <w:webHidden/>
          </w:rPr>
          <w:fldChar w:fldCharType="end"/>
        </w:r>
      </w:hyperlink>
    </w:p>
    <w:p w14:paraId="4DF505FA" w14:textId="05B4D2BE"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w:anchor="_Toc46142562" w:history="1">
        <w:r w:rsidRPr="008A7955">
          <w:rPr>
            <w:rStyle w:val="Hypertextovodkaz"/>
            <w:noProof/>
          </w:rPr>
          <w:t>Tabulka 4 - Měsíční minimální mzdy pro vybrané země za období 2012-2019</w:t>
        </w:r>
        <w:r w:rsidRPr="008A7955">
          <w:rPr>
            <w:noProof/>
            <w:webHidden/>
          </w:rPr>
          <w:tab/>
        </w:r>
        <w:r w:rsidRPr="008A7955">
          <w:rPr>
            <w:noProof/>
            <w:webHidden/>
          </w:rPr>
          <w:fldChar w:fldCharType="begin"/>
        </w:r>
        <w:r w:rsidRPr="008A7955">
          <w:rPr>
            <w:noProof/>
            <w:webHidden/>
          </w:rPr>
          <w:instrText xml:space="preserve"> PAGEREF _Toc46142562 \h </w:instrText>
        </w:r>
        <w:r w:rsidRPr="008A7955">
          <w:rPr>
            <w:noProof/>
            <w:webHidden/>
          </w:rPr>
        </w:r>
        <w:r w:rsidRPr="008A7955">
          <w:rPr>
            <w:noProof/>
            <w:webHidden/>
          </w:rPr>
          <w:fldChar w:fldCharType="separate"/>
        </w:r>
        <w:r w:rsidRPr="008A7955">
          <w:rPr>
            <w:noProof/>
            <w:webHidden/>
          </w:rPr>
          <w:t>51</w:t>
        </w:r>
        <w:r w:rsidRPr="008A7955">
          <w:rPr>
            <w:noProof/>
            <w:webHidden/>
          </w:rPr>
          <w:fldChar w:fldCharType="end"/>
        </w:r>
      </w:hyperlink>
    </w:p>
    <w:p w14:paraId="4BF3312B" w14:textId="7985F27A" w:rsidR="008A7955" w:rsidRP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rPr>
      </w:pPr>
      <w:hyperlink w:anchor="_Toc46142563" w:history="1">
        <w:r w:rsidRPr="008A7955">
          <w:rPr>
            <w:rStyle w:val="Hypertextovodkaz"/>
            <w:noProof/>
          </w:rPr>
          <w:t>Tabulka 5 – Životní minimum pro vybrané země za období 2012-2019</w:t>
        </w:r>
        <w:r w:rsidRPr="008A7955">
          <w:rPr>
            <w:noProof/>
            <w:webHidden/>
          </w:rPr>
          <w:tab/>
        </w:r>
        <w:r w:rsidRPr="008A7955">
          <w:rPr>
            <w:noProof/>
            <w:webHidden/>
          </w:rPr>
          <w:fldChar w:fldCharType="begin"/>
        </w:r>
        <w:r w:rsidRPr="008A7955">
          <w:rPr>
            <w:noProof/>
            <w:webHidden/>
          </w:rPr>
          <w:instrText xml:space="preserve"> PAGEREF _Toc46142563 \h </w:instrText>
        </w:r>
        <w:r w:rsidRPr="008A7955">
          <w:rPr>
            <w:noProof/>
            <w:webHidden/>
          </w:rPr>
        </w:r>
        <w:r w:rsidRPr="008A7955">
          <w:rPr>
            <w:noProof/>
            <w:webHidden/>
          </w:rPr>
          <w:fldChar w:fldCharType="separate"/>
        </w:r>
        <w:r w:rsidRPr="008A7955">
          <w:rPr>
            <w:noProof/>
            <w:webHidden/>
          </w:rPr>
          <w:t>52</w:t>
        </w:r>
        <w:r w:rsidRPr="008A7955">
          <w:rPr>
            <w:noProof/>
            <w:webHidden/>
          </w:rPr>
          <w:fldChar w:fldCharType="end"/>
        </w:r>
      </w:hyperlink>
    </w:p>
    <w:p w14:paraId="7DF89AF2" w14:textId="275C15C1" w:rsidR="003E5B64" w:rsidRPr="008A7955" w:rsidRDefault="006E5806" w:rsidP="008A7955">
      <w:pPr>
        <w:pStyle w:val="Nadpis1"/>
        <w:numPr>
          <w:ilvl w:val="0"/>
          <w:numId w:val="0"/>
        </w:numPr>
        <w:spacing w:before="120" w:after="240"/>
        <w:ind w:left="886"/>
        <w:jc w:val="both"/>
        <w:rPr>
          <w:sz w:val="24"/>
        </w:rPr>
      </w:pPr>
      <w:r w:rsidRPr="008A7955">
        <w:rPr>
          <w:sz w:val="24"/>
        </w:rPr>
        <w:fldChar w:fldCharType="end"/>
      </w:r>
    </w:p>
    <w:p w14:paraId="3D249965" w14:textId="2B793038" w:rsidR="003E5B64" w:rsidRPr="008A7955" w:rsidRDefault="003E5B64" w:rsidP="008A7955">
      <w:pPr>
        <w:spacing w:before="120" w:after="240" w:line="360" w:lineRule="auto"/>
        <w:jc w:val="both"/>
        <w:rPr>
          <w:b/>
          <w:color w:val="2F5496"/>
        </w:rPr>
      </w:pPr>
      <w:r w:rsidRPr="008A7955">
        <w:br w:type="page"/>
      </w:r>
    </w:p>
    <w:p w14:paraId="4F2F88C1" w14:textId="7FB19AA5" w:rsidR="00432761" w:rsidRDefault="00432761" w:rsidP="00A554EA">
      <w:pPr>
        <w:pStyle w:val="Nadpis1"/>
        <w:numPr>
          <w:ilvl w:val="0"/>
          <w:numId w:val="0"/>
        </w:numPr>
        <w:ind w:left="432" w:hanging="432"/>
      </w:pPr>
      <w:bookmarkStart w:id="50" w:name="_Toc46142356"/>
      <w:r>
        <w:lastRenderedPageBreak/>
        <w:t>SEZNAM GRAFŮ</w:t>
      </w:r>
      <w:bookmarkEnd w:id="50"/>
    </w:p>
    <w:p w14:paraId="113ED16B" w14:textId="52AFDCF6" w:rsidR="008A7955" w:rsidRDefault="00432761" w:rsidP="008A7955">
      <w:pPr>
        <w:pStyle w:val="Seznamobrzk"/>
        <w:tabs>
          <w:tab w:val="right" w:leader="dot" w:pos="9060"/>
        </w:tabs>
        <w:spacing w:before="120" w:after="240" w:line="360" w:lineRule="auto"/>
        <w:jc w:val="both"/>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46142581" w:history="1">
        <w:r w:rsidR="008A7955" w:rsidRPr="002377EE">
          <w:rPr>
            <w:rStyle w:val="Hypertextovodkaz"/>
            <w:noProof/>
          </w:rPr>
          <w:t>Graf 1 - Vývoj nezaměstnanosti za období 2012-2019</w:t>
        </w:r>
        <w:r w:rsidR="008A7955">
          <w:rPr>
            <w:noProof/>
            <w:webHidden/>
          </w:rPr>
          <w:tab/>
        </w:r>
        <w:r w:rsidR="008A7955">
          <w:rPr>
            <w:noProof/>
            <w:webHidden/>
          </w:rPr>
          <w:fldChar w:fldCharType="begin"/>
        </w:r>
        <w:r w:rsidR="008A7955">
          <w:rPr>
            <w:noProof/>
            <w:webHidden/>
          </w:rPr>
          <w:instrText xml:space="preserve"> PAGEREF _Toc46142581 \h </w:instrText>
        </w:r>
        <w:r w:rsidR="008A7955">
          <w:rPr>
            <w:noProof/>
            <w:webHidden/>
          </w:rPr>
        </w:r>
        <w:r w:rsidR="008A7955">
          <w:rPr>
            <w:noProof/>
            <w:webHidden/>
          </w:rPr>
          <w:fldChar w:fldCharType="separate"/>
        </w:r>
        <w:r w:rsidR="008A7955">
          <w:rPr>
            <w:noProof/>
            <w:webHidden/>
          </w:rPr>
          <w:t>54</w:t>
        </w:r>
        <w:r w:rsidR="008A7955">
          <w:rPr>
            <w:noProof/>
            <w:webHidden/>
          </w:rPr>
          <w:fldChar w:fldCharType="end"/>
        </w:r>
      </w:hyperlink>
    </w:p>
    <w:p w14:paraId="31F4A24E" w14:textId="3FBCA647" w:rsid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sz w:val="22"/>
          <w:szCs w:val="22"/>
        </w:rPr>
      </w:pPr>
      <w:hyperlink w:anchor="_Toc46142582" w:history="1">
        <w:r w:rsidRPr="002377EE">
          <w:rPr>
            <w:rStyle w:val="Hypertextovodkaz"/>
            <w:noProof/>
          </w:rPr>
          <w:t>Graf 2 - Vývoj HDI za období 2012-2018</w:t>
        </w:r>
        <w:r>
          <w:rPr>
            <w:noProof/>
            <w:webHidden/>
          </w:rPr>
          <w:tab/>
        </w:r>
        <w:r>
          <w:rPr>
            <w:noProof/>
            <w:webHidden/>
          </w:rPr>
          <w:fldChar w:fldCharType="begin"/>
        </w:r>
        <w:r>
          <w:rPr>
            <w:noProof/>
            <w:webHidden/>
          </w:rPr>
          <w:instrText xml:space="preserve"> PAGEREF _Toc46142582 \h </w:instrText>
        </w:r>
        <w:r>
          <w:rPr>
            <w:noProof/>
            <w:webHidden/>
          </w:rPr>
        </w:r>
        <w:r>
          <w:rPr>
            <w:noProof/>
            <w:webHidden/>
          </w:rPr>
          <w:fldChar w:fldCharType="separate"/>
        </w:r>
        <w:r>
          <w:rPr>
            <w:noProof/>
            <w:webHidden/>
          </w:rPr>
          <w:t>56</w:t>
        </w:r>
        <w:r>
          <w:rPr>
            <w:noProof/>
            <w:webHidden/>
          </w:rPr>
          <w:fldChar w:fldCharType="end"/>
        </w:r>
      </w:hyperlink>
    </w:p>
    <w:p w14:paraId="1103592A" w14:textId="4343D4A0" w:rsid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sz w:val="22"/>
          <w:szCs w:val="22"/>
        </w:rPr>
      </w:pPr>
      <w:hyperlink w:anchor="_Toc46142583" w:history="1">
        <w:r w:rsidRPr="002377EE">
          <w:rPr>
            <w:rStyle w:val="Hypertextovodkaz"/>
            <w:noProof/>
          </w:rPr>
          <w:t>Graf 3 - Vývoj HDP na obyvatele v PPS za období 2012-2019</w:t>
        </w:r>
        <w:r>
          <w:rPr>
            <w:noProof/>
            <w:webHidden/>
          </w:rPr>
          <w:tab/>
        </w:r>
        <w:r>
          <w:rPr>
            <w:noProof/>
            <w:webHidden/>
          </w:rPr>
          <w:fldChar w:fldCharType="begin"/>
        </w:r>
        <w:r>
          <w:rPr>
            <w:noProof/>
            <w:webHidden/>
          </w:rPr>
          <w:instrText xml:space="preserve"> PAGEREF _Toc46142583 \h </w:instrText>
        </w:r>
        <w:r>
          <w:rPr>
            <w:noProof/>
            <w:webHidden/>
          </w:rPr>
        </w:r>
        <w:r>
          <w:rPr>
            <w:noProof/>
            <w:webHidden/>
          </w:rPr>
          <w:fldChar w:fldCharType="separate"/>
        </w:r>
        <w:r>
          <w:rPr>
            <w:noProof/>
            <w:webHidden/>
          </w:rPr>
          <w:t>58</w:t>
        </w:r>
        <w:r>
          <w:rPr>
            <w:noProof/>
            <w:webHidden/>
          </w:rPr>
          <w:fldChar w:fldCharType="end"/>
        </w:r>
      </w:hyperlink>
    </w:p>
    <w:p w14:paraId="48805708" w14:textId="1C40C802" w:rsidR="008A7955" w:rsidRDefault="008A7955" w:rsidP="008A7955">
      <w:pPr>
        <w:pStyle w:val="Seznamobrzk"/>
        <w:tabs>
          <w:tab w:val="right" w:leader="dot" w:pos="9060"/>
        </w:tabs>
        <w:spacing w:before="120" w:after="240" w:line="360" w:lineRule="auto"/>
        <w:jc w:val="both"/>
        <w:rPr>
          <w:rFonts w:asciiTheme="minorHAnsi" w:eastAsiaTheme="minorEastAsia" w:hAnsiTheme="minorHAnsi" w:cstheme="minorBidi"/>
          <w:noProof/>
          <w:sz w:val="22"/>
          <w:szCs w:val="22"/>
        </w:rPr>
      </w:pPr>
      <w:hyperlink w:anchor="_Toc46142584" w:history="1">
        <w:r w:rsidRPr="002377EE">
          <w:rPr>
            <w:rStyle w:val="Hypertextovodkaz"/>
            <w:noProof/>
          </w:rPr>
          <w:t>Graf 4 - Vývoj reálného HDP v procentech za období 2012-2019</w:t>
        </w:r>
        <w:r>
          <w:rPr>
            <w:noProof/>
            <w:webHidden/>
          </w:rPr>
          <w:tab/>
        </w:r>
        <w:r>
          <w:rPr>
            <w:noProof/>
            <w:webHidden/>
          </w:rPr>
          <w:fldChar w:fldCharType="begin"/>
        </w:r>
        <w:r>
          <w:rPr>
            <w:noProof/>
            <w:webHidden/>
          </w:rPr>
          <w:instrText xml:space="preserve"> PAGEREF _Toc46142584 \h </w:instrText>
        </w:r>
        <w:r>
          <w:rPr>
            <w:noProof/>
            <w:webHidden/>
          </w:rPr>
        </w:r>
        <w:r>
          <w:rPr>
            <w:noProof/>
            <w:webHidden/>
          </w:rPr>
          <w:fldChar w:fldCharType="separate"/>
        </w:r>
        <w:r>
          <w:rPr>
            <w:noProof/>
            <w:webHidden/>
          </w:rPr>
          <w:t>58</w:t>
        </w:r>
        <w:r>
          <w:rPr>
            <w:noProof/>
            <w:webHidden/>
          </w:rPr>
          <w:fldChar w:fldCharType="end"/>
        </w:r>
      </w:hyperlink>
    </w:p>
    <w:p w14:paraId="6747FE50" w14:textId="1133F4B0" w:rsidR="00CF67BB" w:rsidRDefault="00432761" w:rsidP="008A7955">
      <w:pPr>
        <w:spacing w:before="120" w:after="240" w:line="360" w:lineRule="auto"/>
        <w:jc w:val="both"/>
      </w:pPr>
      <w:r>
        <w:fldChar w:fldCharType="end"/>
      </w:r>
      <w:r w:rsidR="00A02C73">
        <w:br w:type="page"/>
      </w:r>
    </w:p>
    <w:p w14:paraId="277B034F" w14:textId="77777777" w:rsidR="00C734D6" w:rsidRPr="00B24B82" w:rsidRDefault="00C734D6" w:rsidP="00C734D6">
      <w:pPr>
        <w:pStyle w:val="Bezmezer"/>
        <w:spacing w:before="120" w:after="240" w:line="360" w:lineRule="auto"/>
        <w:ind w:firstLine="0"/>
        <w:jc w:val="left"/>
        <w:rPr>
          <w:b/>
          <w:bCs/>
          <w:sz w:val="24"/>
          <w:szCs w:val="22"/>
        </w:rPr>
      </w:pPr>
      <w:r w:rsidRPr="00B24B82">
        <w:rPr>
          <w:b/>
          <w:bCs/>
          <w:sz w:val="24"/>
          <w:szCs w:val="22"/>
        </w:rPr>
        <w:lastRenderedPageBreak/>
        <w:t>ANOTACE</w:t>
      </w:r>
    </w:p>
    <w:p w14:paraId="353AC537" w14:textId="77777777" w:rsidR="00C734D6" w:rsidRPr="00B24B82" w:rsidRDefault="00C734D6" w:rsidP="00C734D6">
      <w:pPr>
        <w:pStyle w:val="Bezmezer"/>
        <w:spacing w:line="360" w:lineRule="auto"/>
        <w:ind w:firstLine="0"/>
        <w:jc w:val="left"/>
        <w:rPr>
          <w:sz w:val="24"/>
          <w:szCs w:val="22"/>
        </w:rPr>
      </w:pPr>
      <w:r w:rsidRPr="00B24B82">
        <w:rPr>
          <w:b/>
          <w:bCs/>
          <w:sz w:val="24"/>
          <w:szCs w:val="22"/>
        </w:rPr>
        <w:t>Bibliografický údaj:</w:t>
      </w:r>
      <w:r w:rsidRPr="00B24B82">
        <w:rPr>
          <w:sz w:val="24"/>
          <w:szCs w:val="22"/>
        </w:rPr>
        <w:t xml:space="preserve"> </w:t>
      </w:r>
    </w:p>
    <w:p w14:paraId="53D54580" w14:textId="6D5352FB" w:rsidR="00834664" w:rsidRDefault="00C734D6" w:rsidP="00C734D6">
      <w:pPr>
        <w:spacing w:before="120" w:after="240" w:line="360" w:lineRule="auto"/>
        <w:jc w:val="both"/>
        <w:rPr>
          <w:szCs w:val="22"/>
        </w:rPr>
      </w:pPr>
      <w:r w:rsidRPr="00B24B82">
        <w:rPr>
          <w:szCs w:val="22"/>
        </w:rPr>
        <w:t xml:space="preserve">Titzová, Štěpánka. </w:t>
      </w:r>
      <w:r w:rsidRPr="00B24B82">
        <w:rPr>
          <w:i/>
          <w:iCs/>
          <w:szCs w:val="22"/>
        </w:rPr>
        <w:t xml:space="preserve">Srovnání vybraných ukazatelů životní úrovně v České republice a v dalších zemích. </w:t>
      </w:r>
      <w:r w:rsidRPr="00B24B82">
        <w:rPr>
          <w:szCs w:val="22"/>
        </w:rPr>
        <w:t>Olomouc 2020. Diplomová práce. Moravská vysoká škola Olomouc. Vedoucí práce:</w:t>
      </w:r>
      <w:r>
        <w:rPr>
          <w:szCs w:val="22"/>
        </w:rPr>
        <w:t xml:space="preserve"> Ing. Eva Jílková, Ph.D.</w:t>
      </w:r>
    </w:p>
    <w:p w14:paraId="5F08D624" w14:textId="1B535E6F" w:rsidR="00C734D6" w:rsidRDefault="00C734D6" w:rsidP="00C734D6">
      <w:pPr>
        <w:pStyle w:val="Bezmezer"/>
        <w:spacing w:line="360" w:lineRule="auto"/>
        <w:ind w:left="1418" w:hanging="1418"/>
        <w:jc w:val="left"/>
        <w:rPr>
          <w:sz w:val="24"/>
          <w:szCs w:val="22"/>
        </w:rPr>
      </w:pPr>
      <w:r>
        <w:rPr>
          <w:b/>
          <w:bCs/>
          <w:sz w:val="24"/>
          <w:szCs w:val="22"/>
        </w:rPr>
        <w:t xml:space="preserve">Název </w:t>
      </w:r>
      <w:r w:rsidRPr="00B24B82">
        <w:rPr>
          <w:b/>
          <w:bCs/>
          <w:sz w:val="24"/>
          <w:szCs w:val="22"/>
        </w:rPr>
        <w:t>práce:</w:t>
      </w:r>
      <w:r w:rsidRPr="00B24B82">
        <w:rPr>
          <w:sz w:val="24"/>
          <w:szCs w:val="22"/>
        </w:rPr>
        <w:t xml:space="preserve"> </w:t>
      </w:r>
      <w:r w:rsidRPr="00B24B82">
        <w:rPr>
          <w:sz w:val="24"/>
          <w:szCs w:val="22"/>
        </w:rPr>
        <w:tab/>
      </w:r>
      <w:r w:rsidRPr="00B24B82">
        <w:rPr>
          <w:sz w:val="24"/>
          <w:szCs w:val="22"/>
        </w:rPr>
        <w:tab/>
        <w:t xml:space="preserve">Srovnání vybraných ukazatelů životní úrovně </w:t>
      </w:r>
      <w:r w:rsidRPr="00B24B82">
        <w:rPr>
          <w:sz w:val="24"/>
          <w:szCs w:val="22"/>
        </w:rPr>
        <w:br/>
        <w:t xml:space="preserve">            v České republice a v dalších zemích</w:t>
      </w:r>
    </w:p>
    <w:p w14:paraId="685A7EF2" w14:textId="28E44028" w:rsidR="00834664" w:rsidRPr="00B24B82" w:rsidRDefault="00834664" w:rsidP="00C734D6">
      <w:pPr>
        <w:pStyle w:val="Bezmezer"/>
        <w:spacing w:line="360" w:lineRule="auto"/>
        <w:ind w:left="1418" w:hanging="1418"/>
        <w:jc w:val="left"/>
        <w:rPr>
          <w:sz w:val="24"/>
          <w:szCs w:val="22"/>
        </w:rPr>
      </w:pPr>
      <w:r>
        <w:rPr>
          <w:b/>
          <w:bCs/>
          <w:sz w:val="24"/>
          <w:szCs w:val="22"/>
        </w:rPr>
        <w:t>Autor:</w:t>
      </w:r>
      <w:r>
        <w:rPr>
          <w:sz w:val="24"/>
          <w:szCs w:val="22"/>
        </w:rPr>
        <w:tab/>
      </w:r>
      <w:r>
        <w:rPr>
          <w:sz w:val="24"/>
          <w:szCs w:val="22"/>
        </w:rPr>
        <w:tab/>
        <w:t>Bc. Štěpánka Titzová</w:t>
      </w:r>
    </w:p>
    <w:p w14:paraId="710C168A" w14:textId="77777777" w:rsidR="00C734D6" w:rsidRPr="00B24B82" w:rsidRDefault="00C734D6" w:rsidP="00C734D6">
      <w:pPr>
        <w:pStyle w:val="Bezmezer"/>
        <w:spacing w:line="360" w:lineRule="auto"/>
        <w:ind w:left="1418" w:hanging="1418"/>
        <w:jc w:val="left"/>
        <w:rPr>
          <w:sz w:val="24"/>
          <w:szCs w:val="22"/>
        </w:rPr>
      </w:pPr>
      <w:r w:rsidRPr="00B24B82">
        <w:rPr>
          <w:b/>
          <w:bCs/>
          <w:sz w:val="24"/>
          <w:szCs w:val="22"/>
        </w:rPr>
        <w:t>Ústav:</w:t>
      </w:r>
      <w:r w:rsidRPr="00B24B82">
        <w:rPr>
          <w:sz w:val="24"/>
          <w:szCs w:val="22"/>
        </w:rPr>
        <w:t xml:space="preserve"> </w:t>
      </w:r>
      <w:r w:rsidRPr="00B24B82">
        <w:rPr>
          <w:sz w:val="24"/>
          <w:szCs w:val="22"/>
        </w:rPr>
        <w:tab/>
      </w:r>
      <w:r w:rsidRPr="00B24B82">
        <w:rPr>
          <w:sz w:val="24"/>
          <w:szCs w:val="22"/>
        </w:rPr>
        <w:tab/>
        <w:t>Ústav ekonomie</w:t>
      </w:r>
    </w:p>
    <w:p w14:paraId="77C9A8CF" w14:textId="77777777" w:rsidR="00C734D6" w:rsidRPr="00B24B82" w:rsidRDefault="00C734D6" w:rsidP="00C734D6">
      <w:pPr>
        <w:pStyle w:val="Bezmezer"/>
        <w:spacing w:line="360" w:lineRule="auto"/>
        <w:ind w:left="1418" w:hanging="1418"/>
        <w:jc w:val="left"/>
        <w:rPr>
          <w:sz w:val="24"/>
          <w:szCs w:val="22"/>
        </w:rPr>
      </w:pPr>
      <w:r w:rsidRPr="00B24B82">
        <w:rPr>
          <w:b/>
          <w:bCs/>
          <w:sz w:val="24"/>
          <w:szCs w:val="22"/>
        </w:rPr>
        <w:t>Vedoucí práce:</w:t>
      </w:r>
      <w:r w:rsidRPr="00B24B82">
        <w:rPr>
          <w:sz w:val="24"/>
          <w:szCs w:val="22"/>
        </w:rPr>
        <w:t xml:space="preserve"> </w:t>
      </w:r>
      <w:r w:rsidRPr="00B24B82">
        <w:rPr>
          <w:sz w:val="24"/>
          <w:szCs w:val="22"/>
        </w:rPr>
        <w:tab/>
        <w:t>Ing. Eva Jílková, Ph.D.</w:t>
      </w:r>
    </w:p>
    <w:p w14:paraId="0E5E16FF" w14:textId="77777777" w:rsidR="00C734D6" w:rsidRPr="00B24B82" w:rsidRDefault="00C734D6" w:rsidP="00C734D6">
      <w:pPr>
        <w:pStyle w:val="Bezmezer"/>
        <w:spacing w:line="360" w:lineRule="auto"/>
        <w:ind w:firstLine="0"/>
        <w:rPr>
          <w:sz w:val="24"/>
          <w:szCs w:val="22"/>
        </w:rPr>
      </w:pPr>
      <w:r w:rsidRPr="00B24B82">
        <w:rPr>
          <w:b/>
          <w:bCs/>
          <w:sz w:val="24"/>
          <w:szCs w:val="22"/>
        </w:rPr>
        <w:t>Abstrakt:</w:t>
      </w:r>
    </w:p>
    <w:p w14:paraId="1FF02A9F" w14:textId="3534D7CF" w:rsidR="00C734D6" w:rsidRPr="00B24B82" w:rsidRDefault="00C734D6" w:rsidP="006E1D56">
      <w:pPr>
        <w:pStyle w:val="Bezmezer"/>
        <w:spacing w:line="360" w:lineRule="auto"/>
        <w:ind w:firstLine="709"/>
        <w:rPr>
          <w:sz w:val="24"/>
          <w:szCs w:val="22"/>
        </w:rPr>
      </w:pPr>
      <w:r>
        <w:rPr>
          <w:sz w:val="24"/>
          <w:szCs w:val="22"/>
        </w:rPr>
        <w:t xml:space="preserve">Diplomová práce se zabývá srovnáním vybraných ukazatelů životní úrovně v České republice a v dalších zemích EU. Cílem práce je </w:t>
      </w:r>
      <w:r w:rsidR="009C1C21">
        <w:rPr>
          <w:sz w:val="24"/>
          <w:szCs w:val="22"/>
        </w:rPr>
        <w:t>analyzovat</w:t>
      </w:r>
      <w:r>
        <w:rPr>
          <w:sz w:val="24"/>
          <w:szCs w:val="22"/>
        </w:rPr>
        <w:t xml:space="preserve"> problematiku životní úrovně ČR a dalších zemí, a následně vyhodnotit životní úroveň těchto zemí z pohledu vybraných ekonomických ukazatelů životní úrovně. Cíl práce bude naplněn prostřednictvím korelační analýzy a komparace. </w:t>
      </w:r>
      <w:r w:rsidRPr="00B24B82">
        <w:rPr>
          <w:sz w:val="24"/>
          <w:szCs w:val="22"/>
        </w:rPr>
        <w:t>Práce je rozdělena na teoretickou a praktickou část. Teoretická část práce je soustředěna na vymezení základních indikátorů a ukazatelů životní úrovně. Praktická část práce je zpracována na základě teoretických poznatků a je zaměřena na</w:t>
      </w:r>
      <w:r>
        <w:rPr>
          <w:sz w:val="24"/>
          <w:szCs w:val="22"/>
        </w:rPr>
        <w:t> </w:t>
      </w:r>
      <w:r w:rsidRPr="00B24B82">
        <w:rPr>
          <w:sz w:val="24"/>
          <w:szCs w:val="22"/>
        </w:rPr>
        <w:t>podrobnou analýzu a komparaci vybraných ukazatelů u vybraných zemích. V závěru práce jsou uvedeny výsledky analýz a komparace.</w:t>
      </w:r>
    </w:p>
    <w:p w14:paraId="1F5CCD6B" w14:textId="7FFB67C6" w:rsidR="00C734D6" w:rsidRDefault="00C734D6" w:rsidP="00C734D6">
      <w:pPr>
        <w:spacing w:before="120" w:after="240" w:line="360" w:lineRule="auto"/>
        <w:jc w:val="both"/>
        <w:rPr>
          <w:szCs w:val="22"/>
        </w:rPr>
      </w:pPr>
      <w:r w:rsidRPr="00B24B82">
        <w:rPr>
          <w:b/>
          <w:bCs/>
          <w:szCs w:val="22"/>
        </w:rPr>
        <w:t>Klíčová slova:</w:t>
      </w:r>
      <w:r w:rsidRPr="00B24B82">
        <w:rPr>
          <w:szCs w:val="22"/>
        </w:rPr>
        <w:t xml:space="preserve"> životní úroveň, příjmová nerovnost, chudoba, HDP, HDI, HPI,</w:t>
      </w:r>
      <w:r>
        <w:rPr>
          <w:szCs w:val="22"/>
        </w:rPr>
        <w:t xml:space="preserve"> V4</w:t>
      </w:r>
    </w:p>
    <w:p w14:paraId="6AC923F1" w14:textId="4174CF0F" w:rsidR="006E1D56" w:rsidRDefault="006E1D56" w:rsidP="00C734D6">
      <w:pPr>
        <w:spacing w:before="120" w:after="240" w:line="360" w:lineRule="auto"/>
        <w:jc w:val="both"/>
        <w:rPr>
          <w:szCs w:val="22"/>
        </w:rPr>
      </w:pPr>
    </w:p>
    <w:p w14:paraId="39384BB1" w14:textId="3FBC8597" w:rsidR="006E1D56" w:rsidRDefault="006E1D56" w:rsidP="00C734D6">
      <w:pPr>
        <w:spacing w:before="120" w:after="240" w:line="360" w:lineRule="auto"/>
        <w:jc w:val="both"/>
        <w:rPr>
          <w:szCs w:val="22"/>
        </w:rPr>
      </w:pPr>
    </w:p>
    <w:p w14:paraId="3E5DC5DA" w14:textId="30A362AB" w:rsidR="006E1D56" w:rsidRDefault="006E1D56" w:rsidP="00C734D6">
      <w:pPr>
        <w:spacing w:before="120" w:after="240" w:line="360" w:lineRule="auto"/>
        <w:jc w:val="both"/>
        <w:rPr>
          <w:szCs w:val="22"/>
        </w:rPr>
      </w:pPr>
    </w:p>
    <w:p w14:paraId="070CFACA" w14:textId="77777777" w:rsidR="00834664" w:rsidRDefault="00834664" w:rsidP="00C734D6">
      <w:pPr>
        <w:spacing w:before="120" w:after="240" w:line="360" w:lineRule="auto"/>
        <w:jc w:val="both"/>
        <w:rPr>
          <w:szCs w:val="22"/>
        </w:rPr>
      </w:pPr>
    </w:p>
    <w:p w14:paraId="6735A228" w14:textId="13198CCC" w:rsidR="006E1D56" w:rsidRDefault="006E1D56" w:rsidP="00C734D6">
      <w:pPr>
        <w:spacing w:before="120" w:after="240" w:line="360" w:lineRule="auto"/>
        <w:jc w:val="both"/>
        <w:rPr>
          <w:szCs w:val="22"/>
        </w:rPr>
      </w:pPr>
    </w:p>
    <w:p w14:paraId="563B379D" w14:textId="77777777" w:rsidR="00834664" w:rsidRDefault="00834664" w:rsidP="00C734D6">
      <w:pPr>
        <w:spacing w:before="120" w:after="240" w:line="360" w:lineRule="auto"/>
        <w:jc w:val="both"/>
        <w:rPr>
          <w:szCs w:val="22"/>
        </w:rPr>
      </w:pPr>
    </w:p>
    <w:p w14:paraId="421A9A3D" w14:textId="119BDE18" w:rsidR="006E1D56" w:rsidRDefault="006E1D56" w:rsidP="00C734D6">
      <w:pPr>
        <w:spacing w:before="120" w:after="240" w:line="360" w:lineRule="auto"/>
        <w:jc w:val="both"/>
        <w:rPr>
          <w:szCs w:val="22"/>
        </w:rPr>
      </w:pPr>
    </w:p>
    <w:p w14:paraId="0B690783" w14:textId="621A2CE2" w:rsidR="00834664" w:rsidRPr="00B24B82" w:rsidRDefault="00834664" w:rsidP="00834664">
      <w:pPr>
        <w:pStyle w:val="Bezmezer"/>
        <w:spacing w:before="120" w:after="240" w:line="360" w:lineRule="auto"/>
        <w:ind w:firstLine="0"/>
        <w:jc w:val="left"/>
        <w:rPr>
          <w:b/>
          <w:bCs/>
          <w:sz w:val="24"/>
          <w:szCs w:val="22"/>
        </w:rPr>
      </w:pPr>
      <w:r>
        <w:rPr>
          <w:b/>
          <w:bCs/>
          <w:sz w:val="24"/>
          <w:szCs w:val="22"/>
        </w:rPr>
        <w:lastRenderedPageBreak/>
        <w:t>ANNOTATION</w:t>
      </w:r>
    </w:p>
    <w:p w14:paraId="7233A138" w14:textId="0703A8FD" w:rsidR="00834664" w:rsidRPr="00B24B82" w:rsidRDefault="00834664" w:rsidP="00834664">
      <w:pPr>
        <w:pStyle w:val="Bezmezer"/>
        <w:spacing w:line="360" w:lineRule="auto"/>
        <w:ind w:firstLine="0"/>
        <w:jc w:val="left"/>
        <w:rPr>
          <w:sz w:val="24"/>
          <w:szCs w:val="22"/>
        </w:rPr>
      </w:pPr>
      <w:proofErr w:type="spellStart"/>
      <w:r>
        <w:rPr>
          <w:b/>
          <w:bCs/>
          <w:sz w:val="24"/>
          <w:szCs w:val="22"/>
        </w:rPr>
        <w:t>Bibliographic</w:t>
      </w:r>
      <w:proofErr w:type="spellEnd"/>
      <w:r>
        <w:rPr>
          <w:b/>
          <w:bCs/>
          <w:sz w:val="24"/>
          <w:szCs w:val="22"/>
        </w:rPr>
        <w:t xml:space="preserve"> data:</w:t>
      </w:r>
    </w:p>
    <w:p w14:paraId="7B956AA4" w14:textId="5E152C5A" w:rsidR="00834664" w:rsidRPr="00834664" w:rsidRDefault="00834664" w:rsidP="00C734D6">
      <w:pPr>
        <w:spacing w:before="120" w:after="240" w:line="360" w:lineRule="auto"/>
        <w:jc w:val="both"/>
        <w:rPr>
          <w:szCs w:val="22"/>
        </w:rPr>
      </w:pPr>
      <w:r w:rsidRPr="00B24B82">
        <w:rPr>
          <w:szCs w:val="22"/>
        </w:rPr>
        <w:t xml:space="preserve">Titzová, Štěpánka. </w:t>
      </w:r>
      <w:proofErr w:type="spellStart"/>
      <w:r w:rsidRPr="00834664">
        <w:rPr>
          <w:i/>
          <w:iCs/>
          <w:szCs w:val="22"/>
        </w:rPr>
        <w:t>The</w:t>
      </w:r>
      <w:proofErr w:type="spellEnd"/>
      <w:r w:rsidRPr="00834664">
        <w:rPr>
          <w:i/>
          <w:iCs/>
          <w:szCs w:val="22"/>
        </w:rPr>
        <w:t xml:space="preserve"> </w:t>
      </w:r>
      <w:proofErr w:type="spellStart"/>
      <w:r w:rsidRPr="00834664">
        <w:rPr>
          <w:i/>
          <w:iCs/>
          <w:szCs w:val="22"/>
        </w:rPr>
        <w:t>Comparison</w:t>
      </w:r>
      <w:proofErr w:type="spellEnd"/>
      <w:r w:rsidRPr="00834664">
        <w:rPr>
          <w:i/>
          <w:iCs/>
          <w:szCs w:val="22"/>
        </w:rPr>
        <w:t xml:space="preserve"> </w:t>
      </w:r>
      <w:proofErr w:type="spellStart"/>
      <w:r w:rsidRPr="00834664">
        <w:rPr>
          <w:i/>
          <w:iCs/>
          <w:szCs w:val="22"/>
        </w:rPr>
        <w:t>of</w:t>
      </w:r>
      <w:proofErr w:type="spellEnd"/>
      <w:r w:rsidRPr="00834664">
        <w:rPr>
          <w:i/>
          <w:iCs/>
          <w:szCs w:val="22"/>
        </w:rPr>
        <w:t xml:space="preserve"> </w:t>
      </w:r>
      <w:proofErr w:type="spellStart"/>
      <w:r w:rsidRPr="00834664">
        <w:rPr>
          <w:i/>
          <w:iCs/>
          <w:szCs w:val="22"/>
        </w:rPr>
        <w:t>Selected</w:t>
      </w:r>
      <w:proofErr w:type="spellEnd"/>
      <w:r w:rsidRPr="00834664">
        <w:rPr>
          <w:i/>
          <w:iCs/>
          <w:szCs w:val="22"/>
        </w:rPr>
        <w:t xml:space="preserve"> </w:t>
      </w:r>
      <w:proofErr w:type="spellStart"/>
      <w:r w:rsidRPr="00834664">
        <w:rPr>
          <w:i/>
          <w:iCs/>
          <w:szCs w:val="22"/>
        </w:rPr>
        <w:t>Living</w:t>
      </w:r>
      <w:proofErr w:type="spellEnd"/>
      <w:r w:rsidRPr="00834664">
        <w:rPr>
          <w:i/>
          <w:iCs/>
          <w:szCs w:val="22"/>
        </w:rPr>
        <w:t xml:space="preserve"> </w:t>
      </w:r>
      <w:proofErr w:type="spellStart"/>
      <w:r w:rsidRPr="00834664">
        <w:rPr>
          <w:i/>
          <w:iCs/>
          <w:szCs w:val="22"/>
        </w:rPr>
        <w:t>Standards</w:t>
      </w:r>
      <w:proofErr w:type="spellEnd"/>
      <w:r w:rsidRPr="00834664">
        <w:rPr>
          <w:i/>
          <w:iCs/>
          <w:szCs w:val="22"/>
        </w:rPr>
        <w:t xml:space="preserve"> in </w:t>
      </w:r>
      <w:proofErr w:type="spellStart"/>
      <w:r w:rsidRPr="00834664">
        <w:rPr>
          <w:i/>
          <w:iCs/>
          <w:szCs w:val="22"/>
        </w:rPr>
        <w:t>the</w:t>
      </w:r>
      <w:proofErr w:type="spellEnd"/>
      <w:r w:rsidRPr="00834664">
        <w:rPr>
          <w:i/>
          <w:iCs/>
          <w:szCs w:val="22"/>
        </w:rPr>
        <w:t xml:space="preserve"> Czech Republic and </w:t>
      </w:r>
      <w:proofErr w:type="spellStart"/>
      <w:r w:rsidRPr="00834664">
        <w:rPr>
          <w:i/>
          <w:iCs/>
          <w:szCs w:val="22"/>
        </w:rPr>
        <w:t>Other</w:t>
      </w:r>
      <w:proofErr w:type="spellEnd"/>
      <w:r w:rsidRPr="00834664">
        <w:rPr>
          <w:i/>
          <w:iCs/>
          <w:szCs w:val="22"/>
        </w:rPr>
        <w:t xml:space="preserve"> </w:t>
      </w:r>
      <w:proofErr w:type="spellStart"/>
      <w:r w:rsidRPr="00834664">
        <w:rPr>
          <w:i/>
          <w:iCs/>
          <w:szCs w:val="22"/>
        </w:rPr>
        <w:t>Countries</w:t>
      </w:r>
      <w:proofErr w:type="spellEnd"/>
      <w:r w:rsidRPr="00B24B82">
        <w:rPr>
          <w:i/>
          <w:iCs/>
          <w:szCs w:val="22"/>
        </w:rPr>
        <w:t xml:space="preserve">. </w:t>
      </w:r>
      <w:r w:rsidRPr="00B24B82">
        <w:rPr>
          <w:szCs w:val="22"/>
        </w:rPr>
        <w:t xml:space="preserve">Olomouc 2020. </w:t>
      </w:r>
      <w:proofErr w:type="spellStart"/>
      <w:r>
        <w:rPr>
          <w:szCs w:val="22"/>
        </w:rPr>
        <w:t>Diploma</w:t>
      </w:r>
      <w:proofErr w:type="spellEnd"/>
      <w:r>
        <w:rPr>
          <w:szCs w:val="22"/>
        </w:rPr>
        <w:t xml:space="preserve"> thesis</w:t>
      </w:r>
      <w:r w:rsidRPr="00B24B82">
        <w:rPr>
          <w:szCs w:val="22"/>
        </w:rPr>
        <w:t xml:space="preserve">. Moravská vysoká škola Olomouc. </w:t>
      </w:r>
      <w:r>
        <w:rPr>
          <w:szCs w:val="22"/>
        </w:rPr>
        <w:t>Supervisor</w:t>
      </w:r>
      <w:r w:rsidRPr="00B24B82">
        <w:rPr>
          <w:szCs w:val="22"/>
        </w:rPr>
        <w:t>:</w:t>
      </w:r>
      <w:r>
        <w:rPr>
          <w:szCs w:val="22"/>
        </w:rPr>
        <w:t xml:space="preserve"> Ing. Eva Jílková, Ph.D.</w:t>
      </w:r>
    </w:p>
    <w:p w14:paraId="389A8389" w14:textId="77777777" w:rsidR="006E1D56" w:rsidRPr="00B24B82" w:rsidRDefault="006E1D56" w:rsidP="006E1D56">
      <w:pPr>
        <w:pStyle w:val="Bezmezer"/>
        <w:spacing w:line="360" w:lineRule="auto"/>
        <w:ind w:firstLine="0"/>
        <w:jc w:val="left"/>
        <w:rPr>
          <w:sz w:val="24"/>
        </w:rPr>
      </w:pPr>
      <w:proofErr w:type="spellStart"/>
      <w:r w:rsidRPr="00B24B82">
        <w:rPr>
          <w:b/>
          <w:bCs/>
          <w:sz w:val="24"/>
        </w:rPr>
        <w:t>Title</w:t>
      </w:r>
      <w:proofErr w:type="spellEnd"/>
      <w:r w:rsidRPr="00B24B82">
        <w:rPr>
          <w:sz w:val="24"/>
        </w:rPr>
        <w:t xml:space="preserve">: </w:t>
      </w:r>
      <w:r w:rsidRPr="00B24B82">
        <w:rPr>
          <w:sz w:val="24"/>
        </w:rPr>
        <w:tab/>
      </w:r>
      <w:r w:rsidRPr="00B24B82">
        <w:rPr>
          <w:sz w:val="24"/>
        </w:rPr>
        <w:tab/>
      </w:r>
      <w:r w:rsidRPr="00B24B82">
        <w:rPr>
          <w:sz w:val="24"/>
        </w:rPr>
        <w:tab/>
      </w:r>
      <w:proofErr w:type="spellStart"/>
      <w:r w:rsidRPr="00B24B82">
        <w:rPr>
          <w:sz w:val="24"/>
        </w:rPr>
        <w:t>The</w:t>
      </w:r>
      <w:proofErr w:type="spellEnd"/>
      <w:r w:rsidRPr="00B24B82">
        <w:rPr>
          <w:sz w:val="24"/>
        </w:rPr>
        <w:t xml:space="preserve"> </w:t>
      </w:r>
      <w:proofErr w:type="spellStart"/>
      <w:r w:rsidRPr="00B24B82">
        <w:rPr>
          <w:sz w:val="24"/>
        </w:rPr>
        <w:t>Comparison</w:t>
      </w:r>
      <w:proofErr w:type="spellEnd"/>
      <w:r w:rsidRPr="00B24B82">
        <w:rPr>
          <w:sz w:val="24"/>
        </w:rPr>
        <w:t xml:space="preserve"> </w:t>
      </w:r>
      <w:proofErr w:type="spellStart"/>
      <w:r w:rsidRPr="00B24B82">
        <w:rPr>
          <w:sz w:val="24"/>
        </w:rPr>
        <w:t>of</w:t>
      </w:r>
      <w:proofErr w:type="spellEnd"/>
      <w:r w:rsidRPr="00B24B82">
        <w:rPr>
          <w:sz w:val="24"/>
        </w:rPr>
        <w:t xml:space="preserve"> </w:t>
      </w:r>
      <w:proofErr w:type="spellStart"/>
      <w:r w:rsidRPr="00B24B82">
        <w:rPr>
          <w:sz w:val="24"/>
        </w:rPr>
        <w:t>Selected</w:t>
      </w:r>
      <w:proofErr w:type="spellEnd"/>
      <w:r w:rsidRPr="00B24B82">
        <w:rPr>
          <w:sz w:val="24"/>
        </w:rPr>
        <w:t xml:space="preserve"> </w:t>
      </w:r>
      <w:proofErr w:type="spellStart"/>
      <w:r w:rsidRPr="00B24B82">
        <w:rPr>
          <w:sz w:val="24"/>
        </w:rPr>
        <w:t>Living</w:t>
      </w:r>
      <w:proofErr w:type="spellEnd"/>
      <w:r w:rsidRPr="00B24B82">
        <w:rPr>
          <w:sz w:val="24"/>
        </w:rPr>
        <w:t xml:space="preserve"> </w:t>
      </w:r>
      <w:proofErr w:type="spellStart"/>
      <w:r w:rsidRPr="00B24B82">
        <w:rPr>
          <w:sz w:val="24"/>
        </w:rPr>
        <w:t>Standards</w:t>
      </w:r>
      <w:proofErr w:type="spellEnd"/>
      <w:r w:rsidRPr="00B24B82">
        <w:rPr>
          <w:sz w:val="24"/>
        </w:rPr>
        <w:t xml:space="preserve"> </w:t>
      </w:r>
    </w:p>
    <w:p w14:paraId="1AB4F22B" w14:textId="77777777" w:rsidR="006E1D56" w:rsidRPr="00B24B82" w:rsidRDefault="006E1D56" w:rsidP="006E1D56">
      <w:pPr>
        <w:pStyle w:val="Bezmezer"/>
        <w:spacing w:line="360" w:lineRule="auto"/>
        <w:ind w:left="1418" w:firstLine="709"/>
        <w:jc w:val="left"/>
        <w:rPr>
          <w:sz w:val="24"/>
        </w:rPr>
      </w:pPr>
      <w:r w:rsidRPr="00B24B82">
        <w:rPr>
          <w:sz w:val="24"/>
        </w:rPr>
        <w:t xml:space="preserve">in </w:t>
      </w:r>
      <w:proofErr w:type="spellStart"/>
      <w:r w:rsidRPr="00B24B82">
        <w:rPr>
          <w:sz w:val="24"/>
        </w:rPr>
        <w:t>the</w:t>
      </w:r>
      <w:proofErr w:type="spellEnd"/>
      <w:r w:rsidRPr="00B24B82">
        <w:rPr>
          <w:sz w:val="24"/>
        </w:rPr>
        <w:t xml:space="preserve"> Czech Republic and </w:t>
      </w:r>
      <w:proofErr w:type="spellStart"/>
      <w:r w:rsidRPr="00B24B82">
        <w:rPr>
          <w:sz w:val="24"/>
        </w:rPr>
        <w:t>Other</w:t>
      </w:r>
      <w:proofErr w:type="spellEnd"/>
      <w:r w:rsidRPr="00B24B82">
        <w:rPr>
          <w:sz w:val="24"/>
        </w:rPr>
        <w:t xml:space="preserve"> </w:t>
      </w:r>
      <w:proofErr w:type="spellStart"/>
      <w:r w:rsidRPr="00B24B82">
        <w:rPr>
          <w:sz w:val="24"/>
        </w:rPr>
        <w:t>Countries</w:t>
      </w:r>
      <w:proofErr w:type="spellEnd"/>
    </w:p>
    <w:p w14:paraId="2ABB1578" w14:textId="77777777" w:rsidR="006E1D56" w:rsidRPr="00B24B82" w:rsidRDefault="006E1D56" w:rsidP="006E1D56">
      <w:pPr>
        <w:pStyle w:val="Bezmezer"/>
        <w:spacing w:line="360" w:lineRule="auto"/>
        <w:ind w:firstLine="0"/>
        <w:jc w:val="left"/>
        <w:rPr>
          <w:sz w:val="24"/>
        </w:rPr>
      </w:pPr>
      <w:proofErr w:type="spellStart"/>
      <w:r w:rsidRPr="00B24B82">
        <w:rPr>
          <w:b/>
          <w:bCs/>
          <w:sz w:val="24"/>
        </w:rPr>
        <w:t>Author</w:t>
      </w:r>
      <w:proofErr w:type="spellEnd"/>
      <w:r w:rsidRPr="00B24B82">
        <w:rPr>
          <w:b/>
          <w:bCs/>
          <w:sz w:val="24"/>
        </w:rPr>
        <w:t>:</w:t>
      </w:r>
      <w:r w:rsidRPr="00B24B82">
        <w:rPr>
          <w:sz w:val="24"/>
        </w:rPr>
        <w:t xml:space="preserve"> </w:t>
      </w:r>
      <w:r w:rsidRPr="00B24B82">
        <w:rPr>
          <w:sz w:val="24"/>
        </w:rPr>
        <w:tab/>
      </w:r>
      <w:r w:rsidRPr="00B24B82">
        <w:rPr>
          <w:sz w:val="24"/>
        </w:rPr>
        <w:tab/>
        <w:t>Bc. Štěpánka Titzová</w:t>
      </w:r>
    </w:p>
    <w:p w14:paraId="663358C2" w14:textId="77777777" w:rsidR="006E1D56" w:rsidRPr="00B24B82" w:rsidRDefault="006E1D56" w:rsidP="006E1D56">
      <w:pPr>
        <w:pStyle w:val="Bezmezer"/>
        <w:spacing w:line="360" w:lineRule="auto"/>
        <w:ind w:firstLine="0"/>
        <w:jc w:val="left"/>
        <w:rPr>
          <w:sz w:val="24"/>
        </w:rPr>
      </w:pPr>
      <w:r w:rsidRPr="00B24B82">
        <w:rPr>
          <w:b/>
          <w:bCs/>
          <w:sz w:val="24"/>
        </w:rPr>
        <w:t>Department:</w:t>
      </w:r>
      <w:r w:rsidRPr="00B24B82">
        <w:rPr>
          <w:sz w:val="24"/>
        </w:rPr>
        <w:t xml:space="preserve"> </w:t>
      </w:r>
      <w:r w:rsidRPr="00B24B82">
        <w:rPr>
          <w:sz w:val="24"/>
        </w:rPr>
        <w:tab/>
      </w:r>
      <w:r w:rsidRPr="00B24B82">
        <w:rPr>
          <w:sz w:val="24"/>
        </w:rPr>
        <w:tab/>
        <w:t xml:space="preserve">Department </w:t>
      </w:r>
      <w:proofErr w:type="spellStart"/>
      <w:r w:rsidRPr="00B24B82">
        <w:rPr>
          <w:sz w:val="24"/>
        </w:rPr>
        <w:t>of</w:t>
      </w:r>
      <w:proofErr w:type="spellEnd"/>
      <w:r w:rsidRPr="00B24B82">
        <w:rPr>
          <w:sz w:val="24"/>
        </w:rPr>
        <w:t xml:space="preserve"> </w:t>
      </w:r>
      <w:proofErr w:type="spellStart"/>
      <w:r w:rsidRPr="00B24B82">
        <w:rPr>
          <w:sz w:val="24"/>
        </w:rPr>
        <w:t>Economics</w:t>
      </w:r>
      <w:proofErr w:type="spellEnd"/>
    </w:p>
    <w:p w14:paraId="5AE10535" w14:textId="77777777" w:rsidR="006E1D56" w:rsidRPr="00B24B82" w:rsidRDefault="006E1D56" w:rsidP="006E1D56">
      <w:pPr>
        <w:pStyle w:val="Bezmezer"/>
        <w:spacing w:line="360" w:lineRule="auto"/>
        <w:ind w:firstLine="0"/>
        <w:jc w:val="left"/>
        <w:rPr>
          <w:sz w:val="24"/>
        </w:rPr>
      </w:pPr>
      <w:r w:rsidRPr="00B24B82">
        <w:rPr>
          <w:b/>
          <w:bCs/>
          <w:sz w:val="24"/>
        </w:rPr>
        <w:t>Supervisor:</w:t>
      </w:r>
      <w:r w:rsidRPr="00B24B82">
        <w:rPr>
          <w:sz w:val="24"/>
        </w:rPr>
        <w:t xml:space="preserve"> </w:t>
      </w:r>
      <w:r w:rsidRPr="00B24B82">
        <w:rPr>
          <w:sz w:val="24"/>
        </w:rPr>
        <w:tab/>
      </w:r>
      <w:r w:rsidRPr="00B24B82">
        <w:rPr>
          <w:sz w:val="24"/>
        </w:rPr>
        <w:tab/>
        <w:t>Ing. Eva Jílková, Ph.D.</w:t>
      </w:r>
    </w:p>
    <w:p w14:paraId="0591B054" w14:textId="77777777" w:rsidR="006E1D56" w:rsidRPr="00B24B82" w:rsidRDefault="006E1D56" w:rsidP="006E1D56">
      <w:pPr>
        <w:pStyle w:val="Bezmezer"/>
        <w:spacing w:line="360" w:lineRule="auto"/>
        <w:ind w:firstLine="0"/>
        <w:rPr>
          <w:sz w:val="24"/>
        </w:rPr>
      </w:pPr>
      <w:proofErr w:type="spellStart"/>
      <w:r w:rsidRPr="00B24B82">
        <w:rPr>
          <w:b/>
          <w:bCs/>
          <w:sz w:val="24"/>
        </w:rPr>
        <w:t>Abstract</w:t>
      </w:r>
      <w:proofErr w:type="spellEnd"/>
      <w:r w:rsidRPr="00B24B82">
        <w:rPr>
          <w:b/>
          <w:bCs/>
          <w:sz w:val="24"/>
        </w:rPr>
        <w:t>:</w:t>
      </w:r>
      <w:r w:rsidRPr="00B24B82">
        <w:rPr>
          <w:sz w:val="24"/>
        </w:rPr>
        <w:t xml:space="preserve"> </w:t>
      </w:r>
    </w:p>
    <w:p w14:paraId="41263379" w14:textId="4165AAD1" w:rsidR="006E1D56" w:rsidRPr="00B24B82" w:rsidRDefault="006E1D56" w:rsidP="006E1D56">
      <w:pPr>
        <w:pStyle w:val="Bezmezer"/>
        <w:spacing w:before="120" w:after="240" w:line="360" w:lineRule="auto"/>
        <w:ind w:firstLine="709"/>
        <w:rPr>
          <w:sz w:val="24"/>
        </w:rPr>
      </w:pPr>
      <w:proofErr w:type="spellStart"/>
      <w:r w:rsidRPr="00B24B82">
        <w:rPr>
          <w:sz w:val="24"/>
        </w:rPr>
        <w:t>This</w:t>
      </w:r>
      <w:proofErr w:type="spellEnd"/>
      <w:r w:rsidRPr="00B24B82">
        <w:rPr>
          <w:sz w:val="24"/>
        </w:rPr>
        <w:t xml:space="preserve"> </w:t>
      </w:r>
      <w:proofErr w:type="spellStart"/>
      <w:r w:rsidRPr="00B24B82">
        <w:rPr>
          <w:sz w:val="24"/>
        </w:rPr>
        <w:t>diploma</w:t>
      </w:r>
      <w:proofErr w:type="spellEnd"/>
      <w:r w:rsidRPr="00B24B82">
        <w:rPr>
          <w:sz w:val="24"/>
        </w:rPr>
        <w:t xml:space="preserve"> thesis </w:t>
      </w:r>
      <w:proofErr w:type="spellStart"/>
      <w:r>
        <w:rPr>
          <w:sz w:val="24"/>
        </w:rPr>
        <w:t>is</w:t>
      </w:r>
      <w:proofErr w:type="spellEnd"/>
      <w:r>
        <w:rPr>
          <w:sz w:val="24"/>
        </w:rPr>
        <w:t xml:space="preserve"> </w:t>
      </w:r>
      <w:proofErr w:type="spellStart"/>
      <w:r>
        <w:rPr>
          <w:sz w:val="24"/>
        </w:rPr>
        <w:t>dedicated</w:t>
      </w:r>
      <w:proofErr w:type="spellEnd"/>
      <w:r>
        <w:rPr>
          <w:sz w:val="24"/>
        </w:rPr>
        <w:t xml:space="preserve"> to </w:t>
      </w:r>
      <w:proofErr w:type="spellStart"/>
      <w:r>
        <w:rPr>
          <w:sz w:val="24"/>
        </w:rPr>
        <w:t>comparison</w:t>
      </w:r>
      <w:proofErr w:type="spellEnd"/>
      <w:r>
        <w:rPr>
          <w:sz w:val="24"/>
        </w:rPr>
        <w:t xml:space="preserve"> </w:t>
      </w:r>
      <w:proofErr w:type="spellStart"/>
      <w:r>
        <w:rPr>
          <w:sz w:val="24"/>
        </w:rPr>
        <w:t>of</w:t>
      </w:r>
      <w:proofErr w:type="spellEnd"/>
      <w:r>
        <w:rPr>
          <w:sz w:val="24"/>
        </w:rPr>
        <w:t xml:space="preserve"> </w:t>
      </w:r>
      <w:proofErr w:type="spellStart"/>
      <w:r>
        <w:rPr>
          <w:sz w:val="24"/>
        </w:rPr>
        <w:t>selected</w:t>
      </w:r>
      <w:proofErr w:type="spellEnd"/>
      <w:r>
        <w:rPr>
          <w:sz w:val="24"/>
        </w:rPr>
        <w:t xml:space="preserve"> </w:t>
      </w:r>
      <w:proofErr w:type="spellStart"/>
      <w:r>
        <w:rPr>
          <w:sz w:val="24"/>
        </w:rPr>
        <w:t>indicators</w:t>
      </w:r>
      <w:proofErr w:type="spellEnd"/>
      <w:r>
        <w:rPr>
          <w:sz w:val="24"/>
        </w:rPr>
        <w:t xml:space="preserve"> </w:t>
      </w:r>
      <w:proofErr w:type="spellStart"/>
      <w:r>
        <w:rPr>
          <w:sz w:val="24"/>
        </w:rPr>
        <w:t>of</w:t>
      </w:r>
      <w:proofErr w:type="spellEnd"/>
      <w:r>
        <w:rPr>
          <w:sz w:val="24"/>
        </w:rPr>
        <w:t xml:space="preserve"> </w:t>
      </w:r>
      <w:proofErr w:type="spellStart"/>
      <w:r>
        <w:rPr>
          <w:sz w:val="24"/>
        </w:rPr>
        <w:t>living</w:t>
      </w:r>
      <w:proofErr w:type="spellEnd"/>
      <w:r>
        <w:rPr>
          <w:sz w:val="24"/>
        </w:rPr>
        <w:t xml:space="preserve"> </w:t>
      </w:r>
      <w:proofErr w:type="spellStart"/>
      <w:r>
        <w:rPr>
          <w:sz w:val="24"/>
        </w:rPr>
        <w:t>standards</w:t>
      </w:r>
      <w:proofErr w:type="spellEnd"/>
      <w:r>
        <w:rPr>
          <w:sz w:val="24"/>
        </w:rPr>
        <w:t xml:space="preserve"> in </w:t>
      </w:r>
      <w:proofErr w:type="spellStart"/>
      <w:r>
        <w:rPr>
          <w:sz w:val="24"/>
        </w:rPr>
        <w:t>the</w:t>
      </w:r>
      <w:proofErr w:type="spellEnd"/>
      <w:r>
        <w:rPr>
          <w:sz w:val="24"/>
        </w:rPr>
        <w:t xml:space="preserve"> Czech </w:t>
      </w:r>
      <w:proofErr w:type="spellStart"/>
      <w:r>
        <w:rPr>
          <w:sz w:val="24"/>
        </w:rPr>
        <w:t>republic</w:t>
      </w:r>
      <w:proofErr w:type="spellEnd"/>
      <w:r>
        <w:rPr>
          <w:sz w:val="24"/>
        </w:rPr>
        <w:t xml:space="preserve"> and </w:t>
      </w:r>
      <w:proofErr w:type="spellStart"/>
      <w:r>
        <w:rPr>
          <w:sz w:val="24"/>
        </w:rPr>
        <w:t>other</w:t>
      </w:r>
      <w:proofErr w:type="spellEnd"/>
      <w:r>
        <w:rPr>
          <w:sz w:val="24"/>
        </w:rPr>
        <w:t xml:space="preserve"> EU </w:t>
      </w:r>
      <w:proofErr w:type="spellStart"/>
      <w:r>
        <w:rPr>
          <w:sz w:val="24"/>
        </w:rPr>
        <w:t>countries</w:t>
      </w:r>
      <w:proofErr w:type="spellEnd"/>
      <w:r>
        <w:rPr>
          <w:sz w:val="24"/>
        </w:rPr>
        <w:t xml:space="preserve">. </w:t>
      </w:r>
      <w:proofErr w:type="spellStart"/>
      <w:r>
        <w:rPr>
          <w:sz w:val="24"/>
        </w:rPr>
        <w:t>The</w:t>
      </w:r>
      <w:proofErr w:type="spellEnd"/>
      <w:r>
        <w:rPr>
          <w:sz w:val="24"/>
        </w:rPr>
        <w:t xml:space="preserve"> </w:t>
      </w:r>
      <w:proofErr w:type="spellStart"/>
      <w:r>
        <w:rPr>
          <w:sz w:val="24"/>
        </w:rPr>
        <w:t>aim</w:t>
      </w:r>
      <w:proofErr w:type="spellEnd"/>
      <w:r>
        <w:rPr>
          <w:sz w:val="24"/>
        </w:rPr>
        <w:t xml:space="preserve"> </w:t>
      </w:r>
      <w:proofErr w:type="spellStart"/>
      <w:r>
        <w:rPr>
          <w:sz w:val="24"/>
        </w:rPr>
        <w:t>of</w:t>
      </w:r>
      <w:proofErr w:type="spellEnd"/>
      <w:r>
        <w:rPr>
          <w:sz w:val="24"/>
        </w:rPr>
        <w:t xml:space="preserve"> </w:t>
      </w:r>
      <w:proofErr w:type="spellStart"/>
      <w:r>
        <w:rPr>
          <w:sz w:val="24"/>
        </w:rPr>
        <w:t>the</w:t>
      </w:r>
      <w:proofErr w:type="spellEnd"/>
      <w:r>
        <w:rPr>
          <w:sz w:val="24"/>
        </w:rPr>
        <w:t xml:space="preserve"> </w:t>
      </w:r>
      <w:proofErr w:type="spellStart"/>
      <w:r>
        <w:rPr>
          <w:sz w:val="24"/>
        </w:rPr>
        <w:t>work</w:t>
      </w:r>
      <w:proofErr w:type="spellEnd"/>
      <w:r>
        <w:rPr>
          <w:sz w:val="24"/>
        </w:rPr>
        <w:t xml:space="preserve"> </w:t>
      </w:r>
      <w:proofErr w:type="spellStart"/>
      <w:r>
        <w:rPr>
          <w:sz w:val="24"/>
        </w:rPr>
        <w:t>is</w:t>
      </w:r>
      <w:proofErr w:type="spellEnd"/>
      <w:r>
        <w:rPr>
          <w:sz w:val="24"/>
        </w:rPr>
        <w:t xml:space="preserve"> to </w:t>
      </w:r>
      <w:proofErr w:type="spellStart"/>
      <w:r>
        <w:rPr>
          <w:sz w:val="24"/>
        </w:rPr>
        <w:t>analyze</w:t>
      </w:r>
      <w:proofErr w:type="spellEnd"/>
      <w:r>
        <w:rPr>
          <w:sz w:val="24"/>
        </w:rPr>
        <w:t xml:space="preserve"> </w:t>
      </w:r>
      <w:proofErr w:type="spellStart"/>
      <w:r>
        <w:rPr>
          <w:sz w:val="24"/>
        </w:rPr>
        <w:t>the</w:t>
      </w:r>
      <w:proofErr w:type="spellEnd"/>
      <w:r>
        <w:rPr>
          <w:sz w:val="24"/>
        </w:rPr>
        <w:t xml:space="preserve"> </w:t>
      </w:r>
      <w:proofErr w:type="spellStart"/>
      <w:r>
        <w:rPr>
          <w:sz w:val="24"/>
        </w:rPr>
        <w:t>issue</w:t>
      </w:r>
      <w:proofErr w:type="spellEnd"/>
      <w:r>
        <w:rPr>
          <w:sz w:val="24"/>
        </w:rPr>
        <w:t xml:space="preserve"> </w:t>
      </w:r>
      <w:proofErr w:type="spellStart"/>
      <w:r>
        <w:rPr>
          <w:sz w:val="24"/>
        </w:rPr>
        <w:t>of</w:t>
      </w:r>
      <w:proofErr w:type="spellEnd"/>
      <w:r w:rsidR="00834664">
        <w:rPr>
          <w:sz w:val="24"/>
        </w:rPr>
        <w:t> </w:t>
      </w:r>
      <w:proofErr w:type="spellStart"/>
      <w:r>
        <w:rPr>
          <w:sz w:val="24"/>
        </w:rPr>
        <w:t>living</w:t>
      </w:r>
      <w:proofErr w:type="spellEnd"/>
      <w:r>
        <w:rPr>
          <w:sz w:val="24"/>
        </w:rPr>
        <w:t xml:space="preserve"> </w:t>
      </w:r>
      <w:proofErr w:type="spellStart"/>
      <w:r>
        <w:rPr>
          <w:sz w:val="24"/>
        </w:rPr>
        <w:t>standards</w:t>
      </w:r>
      <w:proofErr w:type="spellEnd"/>
      <w:r>
        <w:rPr>
          <w:sz w:val="24"/>
        </w:rPr>
        <w:t xml:space="preserve"> </w:t>
      </w:r>
      <w:proofErr w:type="spellStart"/>
      <w:r>
        <w:rPr>
          <w:sz w:val="24"/>
        </w:rPr>
        <w:t>of</w:t>
      </w:r>
      <w:proofErr w:type="spellEnd"/>
      <w:r>
        <w:rPr>
          <w:sz w:val="24"/>
        </w:rPr>
        <w:t xml:space="preserve"> Czech </w:t>
      </w:r>
      <w:proofErr w:type="spellStart"/>
      <w:r>
        <w:rPr>
          <w:sz w:val="24"/>
        </w:rPr>
        <w:t>republic</w:t>
      </w:r>
      <w:proofErr w:type="spellEnd"/>
      <w:r>
        <w:rPr>
          <w:sz w:val="24"/>
        </w:rPr>
        <w:t xml:space="preserve"> and </w:t>
      </w:r>
      <w:proofErr w:type="spellStart"/>
      <w:r>
        <w:rPr>
          <w:sz w:val="24"/>
        </w:rPr>
        <w:t>other</w:t>
      </w:r>
      <w:proofErr w:type="spellEnd"/>
      <w:r>
        <w:rPr>
          <w:sz w:val="24"/>
        </w:rPr>
        <w:t xml:space="preserve"> </w:t>
      </w:r>
      <w:proofErr w:type="spellStart"/>
      <w:r>
        <w:rPr>
          <w:sz w:val="24"/>
        </w:rPr>
        <w:t>countries</w:t>
      </w:r>
      <w:proofErr w:type="spellEnd"/>
      <w:r>
        <w:rPr>
          <w:sz w:val="24"/>
        </w:rPr>
        <w:t xml:space="preserve">, and </w:t>
      </w:r>
      <w:proofErr w:type="spellStart"/>
      <w:r>
        <w:rPr>
          <w:sz w:val="24"/>
        </w:rPr>
        <w:t>also</w:t>
      </w:r>
      <w:proofErr w:type="spellEnd"/>
      <w:r>
        <w:rPr>
          <w:sz w:val="24"/>
        </w:rPr>
        <w:t xml:space="preserve"> to </w:t>
      </w:r>
      <w:proofErr w:type="spellStart"/>
      <w:r>
        <w:rPr>
          <w:sz w:val="24"/>
        </w:rPr>
        <w:t>evaluate</w:t>
      </w:r>
      <w:proofErr w:type="spellEnd"/>
      <w:r>
        <w:rPr>
          <w:sz w:val="24"/>
        </w:rPr>
        <w:t xml:space="preserve"> </w:t>
      </w:r>
      <w:proofErr w:type="spellStart"/>
      <w:r>
        <w:rPr>
          <w:sz w:val="24"/>
        </w:rPr>
        <w:t>the</w:t>
      </w:r>
      <w:proofErr w:type="spellEnd"/>
      <w:r>
        <w:rPr>
          <w:sz w:val="24"/>
        </w:rPr>
        <w:t xml:space="preserve"> </w:t>
      </w:r>
      <w:proofErr w:type="spellStart"/>
      <w:r>
        <w:rPr>
          <w:sz w:val="24"/>
        </w:rPr>
        <w:t>living</w:t>
      </w:r>
      <w:proofErr w:type="spellEnd"/>
      <w:r>
        <w:rPr>
          <w:sz w:val="24"/>
        </w:rPr>
        <w:t xml:space="preserve"> standard </w:t>
      </w:r>
      <w:proofErr w:type="spellStart"/>
      <w:r>
        <w:rPr>
          <w:sz w:val="24"/>
        </w:rPr>
        <w:t>of</w:t>
      </w:r>
      <w:proofErr w:type="spellEnd"/>
      <w:r>
        <w:rPr>
          <w:sz w:val="24"/>
        </w:rPr>
        <w:t xml:space="preserve"> these </w:t>
      </w:r>
      <w:proofErr w:type="spellStart"/>
      <w:r>
        <w:rPr>
          <w:sz w:val="24"/>
        </w:rPr>
        <w:t>countriesin</w:t>
      </w:r>
      <w:proofErr w:type="spellEnd"/>
      <w:r>
        <w:rPr>
          <w:sz w:val="24"/>
        </w:rPr>
        <w:t xml:space="preserve"> </w:t>
      </w:r>
      <w:proofErr w:type="spellStart"/>
      <w:r>
        <w:rPr>
          <w:sz w:val="24"/>
        </w:rPr>
        <w:t>terms</w:t>
      </w:r>
      <w:proofErr w:type="spellEnd"/>
      <w:r>
        <w:rPr>
          <w:sz w:val="24"/>
        </w:rPr>
        <w:t xml:space="preserve"> </w:t>
      </w:r>
      <w:proofErr w:type="spellStart"/>
      <w:r>
        <w:rPr>
          <w:sz w:val="24"/>
        </w:rPr>
        <w:t>of</w:t>
      </w:r>
      <w:proofErr w:type="spellEnd"/>
      <w:r>
        <w:rPr>
          <w:sz w:val="24"/>
        </w:rPr>
        <w:t xml:space="preserve"> </w:t>
      </w:r>
      <w:proofErr w:type="spellStart"/>
      <w:r>
        <w:rPr>
          <w:sz w:val="24"/>
        </w:rPr>
        <w:t>selected</w:t>
      </w:r>
      <w:proofErr w:type="spellEnd"/>
      <w:r>
        <w:rPr>
          <w:sz w:val="24"/>
        </w:rPr>
        <w:t xml:space="preserve"> </w:t>
      </w:r>
      <w:proofErr w:type="spellStart"/>
      <w:r>
        <w:rPr>
          <w:sz w:val="24"/>
        </w:rPr>
        <w:t>economic</w:t>
      </w:r>
      <w:proofErr w:type="spellEnd"/>
      <w:r>
        <w:rPr>
          <w:sz w:val="24"/>
        </w:rPr>
        <w:t xml:space="preserve"> </w:t>
      </w:r>
      <w:proofErr w:type="spellStart"/>
      <w:r>
        <w:rPr>
          <w:sz w:val="24"/>
        </w:rPr>
        <w:t>indicators</w:t>
      </w:r>
      <w:proofErr w:type="spellEnd"/>
      <w:r>
        <w:rPr>
          <w:sz w:val="24"/>
        </w:rPr>
        <w:t xml:space="preserve"> </w:t>
      </w:r>
      <w:proofErr w:type="spellStart"/>
      <w:r>
        <w:rPr>
          <w:sz w:val="24"/>
        </w:rPr>
        <w:t>of</w:t>
      </w:r>
      <w:proofErr w:type="spellEnd"/>
      <w:r>
        <w:rPr>
          <w:sz w:val="24"/>
        </w:rPr>
        <w:t xml:space="preserve"> </w:t>
      </w:r>
      <w:proofErr w:type="spellStart"/>
      <w:r>
        <w:rPr>
          <w:sz w:val="24"/>
        </w:rPr>
        <w:t>living</w:t>
      </w:r>
      <w:proofErr w:type="spellEnd"/>
      <w:r>
        <w:rPr>
          <w:sz w:val="24"/>
        </w:rPr>
        <w:t xml:space="preserve"> </w:t>
      </w:r>
      <w:proofErr w:type="spellStart"/>
      <w:r>
        <w:rPr>
          <w:sz w:val="24"/>
        </w:rPr>
        <w:t>standards</w:t>
      </w:r>
      <w:proofErr w:type="spellEnd"/>
      <w:r>
        <w:rPr>
          <w:sz w:val="24"/>
        </w:rPr>
        <w:t>.</w:t>
      </w:r>
      <w:r w:rsidR="00D559F1">
        <w:rPr>
          <w:sz w:val="24"/>
        </w:rPr>
        <w:t xml:space="preserve"> </w:t>
      </w:r>
      <w:proofErr w:type="spellStart"/>
      <w:r w:rsidR="00D559F1">
        <w:rPr>
          <w:sz w:val="24"/>
        </w:rPr>
        <w:t>The</w:t>
      </w:r>
      <w:proofErr w:type="spellEnd"/>
      <w:r w:rsidR="00D559F1">
        <w:rPr>
          <w:sz w:val="24"/>
        </w:rPr>
        <w:t xml:space="preserve"> </w:t>
      </w:r>
      <w:proofErr w:type="spellStart"/>
      <w:r w:rsidR="00D559F1">
        <w:rPr>
          <w:sz w:val="24"/>
        </w:rPr>
        <w:t>aim</w:t>
      </w:r>
      <w:proofErr w:type="spellEnd"/>
      <w:r w:rsidR="00D559F1">
        <w:rPr>
          <w:sz w:val="24"/>
        </w:rPr>
        <w:t xml:space="preserve"> </w:t>
      </w:r>
      <w:proofErr w:type="spellStart"/>
      <w:r w:rsidR="00D559F1">
        <w:rPr>
          <w:sz w:val="24"/>
        </w:rPr>
        <w:t>of</w:t>
      </w:r>
      <w:proofErr w:type="spellEnd"/>
      <w:r w:rsidR="00D559F1">
        <w:rPr>
          <w:sz w:val="24"/>
        </w:rPr>
        <w:t xml:space="preserve"> </w:t>
      </w:r>
      <w:proofErr w:type="spellStart"/>
      <w:r w:rsidR="00D559F1">
        <w:rPr>
          <w:sz w:val="24"/>
        </w:rPr>
        <w:t>the</w:t>
      </w:r>
      <w:proofErr w:type="spellEnd"/>
      <w:r w:rsidR="00D559F1">
        <w:rPr>
          <w:sz w:val="24"/>
        </w:rPr>
        <w:t xml:space="preserve"> </w:t>
      </w:r>
      <w:proofErr w:type="spellStart"/>
      <w:r w:rsidR="00D559F1">
        <w:rPr>
          <w:sz w:val="24"/>
        </w:rPr>
        <w:t>work</w:t>
      </w:r>
      <w:proofErr w:type="spellEnd"/>
      <w:r w:rsidR="00D559F1">
        <w:rPr>
          <w:sz w:val="24"/>
        </w:rPr>
        <w:t xml:space="preserve"> </w:t>
      </w:r>
      <w:proofErr w:type="spellStart"/>
      <w:r w:rsidR="00D559F1">
        <w:rPr>
          <w:sz w:val="24"/>
        </w:rPr>
        <w:t>will</w:t>
      </w:r>
      <w:proofErr w:type="spellEnd"/>
      <w:r w:rsidR="00D559F1">
        <w:rPr>
          <w:sz w:val="24"/>
        </w:rPr>
        <w:t xml:space="preserve"> </w:t>
      </w:r>
      <w:proofErr w:type="spellStart"/>
      <w:r w:rsidR="00D559F1">
        <w:rPr>
          <w:sz w:val="24"/>
        </w:rPr>
        <w:t>be</w:t>
      </w:r>
      <w:proofErr w:type="spellEnd"/>
      <w:r w:rsidR="00D559F1">
        <w:rPr>
          <w:sz w:val="24"/>
        </w:rPr>
        <w:t xml:space="preserve"> </w:t>
      </w:r>
      <w:proofErr w:type="spellStart"/>
      <w:r w:rsidR="00D559F1">
        <w:rPr>
          <w:sz w:val="24"/>
        </w:rPr>
        <w:t>fulfilled</w:t>
      </w:r>
      <w:proofErr w:type="spellEnd"/>
      <w:r w:rsidR="00D559F1">
        <w:rPr>
          <w:sz w:val="24"/>
        </w:rPr>
        <w:t xml:space="preserve"> </w:t>
      </w:r>
      <w:proofErr w:type="spellStart"/>
      <w:r w:rsidR="00D559F1">
        <w:rPr>
          <w:sz w:val="24"/>
        </w:rPr>
        <w:t>through</w:t>
      </w:r>
      <w:proofErr w:type="spellEnd"/>
      <w:r w:rsidR="00D559F1">
        <w:rPr>
          <w:sz w:val="24"/>
        </w:rPr>
        <w:t xml:space="preserve"> </w:t>
      </w:r>
      <w:proofErr w:type="spellStart"/>
      <w:r w:rsidR="00D559F1">
        <w:rPr>
          <w:sz w:val="24"/>
        </w:rPr>
        <w:t>correlation</w:t>
      </w:r>
      <w:proofErr w:type="spellEnd"/>
      <w:r w:rsidR="00D559F1">
        <w:rPr>
          <w:sz w:val="24"/>
        </w:rPr>
        <w:t xml:space="preserve"> </w:t>
      </w:r>
      <w:proofErr w:type="spellStart"/>
      <w:r w:rsidR="00D559F1">
        <w:rPr>
          <w:sz w:val="24"/>
        </w:rPr>
        <w:t>analysis</w:t>
      </w:r>
      <w:proofErr w:type="spellEnd"/>
      <w:r w:rsidR="00D559F1">
        <w:rPr>
          <w:sz w:val="24"/>
        </w:rPr>
        <w:t xml:space="preserve"> and </w:t>
      </w:r>
      <w:proofErr w:type="spellStart"/>
      <w:r w:rsidR="00D559F1">
        <w:rPr>
          <w:sz w:val="24"/>
        </w:rPr>
        <w:t>comparison</w:t>
      </w:r>
      <w:proofErr w:type="spellEnd"/>
      <w:r w:rsidR="00D559F1">
        <w:rPr>
          <w:sz w:val="24"/>
        </w:rPr>
        <w:t xml:space="preserve">. </w:t>
      </w:r>
      <w:proofErr w:type="spellStart"/>
      <w:r w:rsidR="00D559F1">
        <w:rPr>
          <w:sz w:val="24"/>
        </w:rPr>
        <w:t>The</w:t>
      </w:r>
      <w:proofErr w:type="spellEnd"/>
      <w:r w:rsidR="00D559F1">
        <w:rPr>
          <w:sz w:val="24"/>
        </w:rPr>
        <w:t xml:space="preserve"> </w:t>
      </w:r>
      <w:proofErr w:type="spellStart"/>
      <w:r w:rsidR="00D559F1">
        <w:rPr>
          <w:sz w:val="24"/>
        </w:rPr>
        <w:t>diploma</w:t>
      </w:r>
      <w:proofErr w:type="spellEnd"/>
      <w:r w:rsidR="00D559F1">
        <w:rPr>
          <w:sz w:val="24"/>
        </w:rPr>
        <w:t xml:space="preserve"> thesis</w:t>
      </w:r>
      <w:r>
        <w:rPr>
          <w:sz w:val="24"/>
        </w:rPr>
        <w:t xml:space="preserve"> </w:t>
      </w:r>
      <w:proofErr w:type="spellStart"/>
      <w:r>
        <w:rPr>
          <w:sz w:val="24"/>
        </w:rPr>
        <w:t>i</w:t>
      </w:r>
      <w:r w:rsidR="00D559F1">
        <w:rPr>
          <w:sz w:val="24"/>
        </w:rPr>
        <w:t>s</w:t>
      </w:r>
      <w:proofErr w:type="spellEnd"/>
      <w:r w:rsidRPr="00B24B82">
        <w:rPr>
          <w:sz w:val="24"/>
        </w:rPr>
        <w:t xml:space="preserve"> </w:t>
      </w:r>
      <w:proofErr w:type="spellStart"/>
      <w:r w:rsidRPr="00B24B82">
        <w:rPr>
          <w:sz w:val="24"/>
        </w:rPr>
        <w:t>divided</w:t>
      </w:r>
      <w:proofErr w:type="spellEnd"/>
      <w:r w:rsidRPr="00B24B82">
        <w:rPr>
          <w:sz w:val="24"/>
        </w:rPr>
        <w:t xml:space="preserve"> </w:t>
      </w:r>
      <w:proofErr w:type="spellStart"/>
      <w:r w:rsidRPr="00B24B82">
        <w:rPr>
          <w:sz w:val="24"/>
        </w:rPr>
        <w:t>into</w:t>
      </w:r>
      <w:proofErr w:type="spellEnd"/>
      <w:r w:rsidRPr="00B24B82">
        <w:rPr>
          <w:sz w:val="24"/>
        </w:rPr>
        <w:t xml:space="preserve"> </w:t>
      </w:r>
      <w:proofErr w:type="spellStart"/>
      <w:r w:rsidRPr="00B24B82">
        <w:rPr>
          <w:sz w:val="24"/>
        </w:rPr>
        <w:t>theoretical</w:t>
      </w:r>
      <w:proofErr w:type="spellEnd"/>
      <w:r w:rsidRPr="00B24B82">
        <w:rPr>
          <w:sz w:val="24"/>
        </w:rPr>
        <w:t xml:space="preserve"> and </w:t>
      </w:r>
      <w:proofErr w:type="spellStart"/>
      <w:r w:rsidRPr="00B24B82">
        <w:rPr>
          <w:sz w:val="24"/>
        </w:rPr>
        <w:t>practical</w:t>
      </w:r>
      <w:proofErr w:type="spellEnd"/>
      <w:r w:rsidRPr="00B24B82">
        <w:rPr>
          <w:sz w:val="24"/>
        </w:rPr>
        <w:t xml:space="preserve"> part. </w:t>
      </w:r>
      <w:proofErr w:type="spellStart"/>
      <w:r w:rsidRPr="00B24B82">
        <w:rPr>
          <w:sz w:val="24"/>
        </w:rPr>
        <w:t>The</w:t>
      </w:r>
      <w:proofErr w:type="spellEnd"/>
      <w:r w:rsidRPr="00B24B82">
        <w:rPr>
          <w:sz w:val="24"/>
        </w:rPr>
        <w:t xml:space="preserve"> </w:t>
      </w:r>
      <w:proofErr w:type="spellStart"/>
      <w:r w:rsidRPr="00B24B82">
        <w:rPr>
          <w:sz w:val="24"/>
        </w:rPr>
        <w:t>theoretical</w:t>
      </w:r>
      <w:proofErr w:type="spellEnd"/>
      <w:r w:rsidRPr="00B24B82">
        <w:rPr>
          <w:sz w:val="24"/>
        </w:rPr>
        <w:t xml:space="preserve"> part </w:t>
      </w:r>
      <w:proofErr w:type="spellStart"/>
      <w:r w:rsidRPr="00B24B82">
        <w:rPr>
          <w:sz w:val="24"/>
        </w:rPr>
        <w:t>is</w:t>
      </w:r>
      <w:proofErr w:type="spellEnd"/>
      <w:r w:rsidRPr="00B24B82">
        <w:rPr>
          <w:sz w:val="24"/>
        </w:rPr>
        <w:t> </w:t>
      </w:r>
      <w:proofErr w:type="spellStart"/>
      <w:r w:rsidRPr="00B24B82">
        <w:rPr>
          <w:sz w:val="24"/>
        </w:rPr>
        <w:t>focused</w:t>
      </w:r>
      <w:proofErr w:type="spellEnd"/>
      <w:r w:rsidRPr="00B24B82">
        <w:rPr>
          <w:sz w:val="24"/>
        </w:rPr>
        <w:t xml:space="preserve"> on </w:t>
      </w:r>
      <w:proofErr w:type="spellStart"/>
      <w:r w:rsidRPr="00B24B82">
        <w:rPr>
          <w:sz w:val="24"/>
        </w:rPr>
        <w:t>defining</w:t>
      </w:r>
      <w:proofErr w:type="spellEnd"/>
      <w:r w:rsidRPr="00B24B82">
        <w:rPr>
          <w:sz w:val="24"/>
        </w:rPr>
        <w:t xml:space="preserve"> basic </w:t>
      </w:r>
      <w:proofErr w:type="spellStart"/>
      <w:r w:rsidRPr="00B24B82">
        <w:rPr>
          <w:sz w:val="24"/>
        </w:rPr>
        <w:t>indicators</w:t>
      </w:r>
      <w:proofErr w:type="spellEnd"/>
      <w:r w:rsidRPr="00B24B82">
        <w:rPr>
          <w:sz w:val="24"/>
        </w:rPr>
        <w:t xml:space="preserve"> </w:t>
      </w:r>
      <w:proofErr w:type="spellStart"/>
      <w:r w:rsidRPr="00B24B82">
        <w:rPr>
          <w:sz w:val="24"/>
        </w:rPr>
        <w:t>of</w:t>
      </w:r>
      <w:proofErr w:type="spellEnd"/>
      <w:r w:rsidRPr="00B24B82">
        <w:rPr>
          <w:sz w:val="24"/>
        </w:rPr>
        <w:t xml:space="preserve"> </w:t>
      </w:r>
      <w:proofErr w:type="spellStart"/>
      <w:r w:rsidRPr="00B24B82">
        <w:rPr>
          <w:sz w:val="24"/>
        </w:rPr>
        <w:t>living</w:t>
      </w:r>
      <w:proofErr w:type="spellEnd"/>
      <w:r w:rsidRPr="00B24B82">
        <w:rPr>
          <w:sz w:val="24"/>
        </w:rPr>
        <w:t xml:space="preserve"> </w:t>
      </w:r>
      <w:proofErr w:type="spellStart"/>
      <w:r w:rsidRPr="00B24B82">
        <w:rPr>
          <w:sz w:val="24"/>
        </w:rPr>
        <w:t>standars</w:t>
      </w:r>
      <w:proofErr w:type="spellEnd"/>
      <w:r w:rsidRPr="00B24B82">
        <w:rPr>
          <w:sz w:val="24"/>
        </w:rPr>
        <w:t xml:space="preserve">. </w:t>
      </w:r>
      <w:proofErr w:type="spellStart"/>
      <w:r w:rsidRPr="00B24B82">
        <w:rPr>
          <w:sz w:val="24"/>
        </w:rPr>
        <w:t>The</w:t>
      </w:r>
      <w:proofErr w:type="spellEnd"/>
      <w:r w:rsidRPr="00B24B82">
        <w:rPr>
          <w:sz w:val="24"/>
        </w:rPr>
        <w:t xml:space="preserve"> </w:t>
      </w:r>
      <w:proofErr w:type="spellStart"/>
      <w:r w:rsidRPr="00B24B82">
        <w:rPr>
          <w:sz w:val="24"/>
        </w:rPr>
        <w:t>practical</w:t>
      </w:r>
      <w:proofErr w:type="spellEnd"/>
      <w:r w:rsidRPr="00B24B82">
        <w:rPr>
          <w:sz w:val="24"/>
        </w:rPr>
        <w:t xml:space="preserve"> part </w:t>
      </w:r>
      <w:proofErr w:type="spellStart"/>
      <w:r w:rsidRPr="00B24B82">
        <w:rPr>
          <w:sz w:val="24"/>
        </w:rPr>
        <w:t>is</w:t>
      </w:r>
      <w:proofErr w:type="spellEnd"/>
      <w:r w:rsidRPr="00B24B82">
        <w:rPr>
          <w:sz w:val="24"/>
        </w:rPr>
        <w:t xml:space="preserve"> </w:t>
      </w:r>
      <w:proofErr w:type="spellStart"/>
      <w:r w:rsidRPr="00B24B82">
        <w:rPr>
          <w:sz w:val="24"/>
        </w:rPr>
        <w:t>based</w:t>
      </w:r>
      <w:proofErr w:type="spellEnd"/>
      <w:r w:rsidRPr="00B24B82">
        <w:rPr>
          <w:sz w:val="24"/>
        </w:rPr>
        <w:t xml:space="preserve"> on </w:t>
      </w:r>
      <w:proofErr w:type="spellStart"/>
      <w:r w:rsidRPr="00B24B82">
        <w:rPr>
          <w:sz w:val="24"/>
        </w:rPr>
        <w:t>the</w:t>
      </w:r>
      <w:proofErr w:type="spellEnd"/>
      <w:r w:rsidRPr="00B24B82">
        <w:rPr>
          <w:sz w:val="24"/>
        </w:rPr>
        <w:t> </w:t>
      </w:r>
      <w:proofErr w:type="spellStart"/>
      <w:r w:rsidRPr="00B24B82">
        <w:rPr>
          <w:sz w:val="24"/>
        </w:rPr>
        <w:t>theoretical</w:t>
      </w:r>
      <w:proofErr w:type="spellEnd"/>
      <w:r w:rsidRPr="00B24B82">
        <w:rPr>
          <w:sz w:val="24"/>
        </w:rPr>
        <w:t xml:space="preserve"> </w:t>
      </w:r>
      <w:proofErr w:type="spellStart"/>
      <w:r w:rsidRPr="00B24B82">
        <w:rPr>
          <w:sz w:val="24"/>
        </w:rPr>
        <w:t>knowledge</w:t>
      </w:r>
      <w:proofErr w:type="spellEnd"/>
      <w:r w:rsidRPr="00B24B82">
        <w:rPr>
          <w:sz w:val="24"/>
        </w:rPr>
        <w:t xml:space="preserve"> and</w:t>
      </w:r>
      <w:r w:rsidR="00834664">
        <w:rPr>
          <w:sz w:val="24"/>
        </w:rPr>
        <w:t> </w:t>
      </w:r>
      <w:proofErr w:type="spellStart"/>
      <w:r w:rsidRPr="00B24B82">
        <w:rPr>
          <w:sz w:val="24"/>
        </w:rPr>
        <w:t>it</w:t>
      </w:r>
      <w:proofErr w:type="spellEnd"/>
      <w:r w:rsidR="00834664">
        <w:rPr>
          <w:sz w:val="24"/>
        </w:rPr>
        <w:t> </w:t>
      </w:r>
      <w:proofErr w:type="spellStart"/>
      <w:r w:rsidRPr="00B24B82">
        <w:rPr>
          <w:sz w:val="24"/>
        </w:rPr>
        <w:t>is</w:t>
      </w:r>
      <w:proofErr w:type="spellEnd"/>
      <w:r w:rsidR="00834664">
        <w:rPr>
          <w:sz w:val="24"/>
        </w:rPr>
        <w:t> </w:t>
      </w:r>
      <w:proofErr w:type="spellStart"/>
      <w:r w:rsidRPr="00B24B82">
        <w:rPr>
          <w:sz w:val="24"/>
        </w:rPr>
        <w:t>focused</w:t>
      </w:r>
      <w:proofErr w:type="spellEnd"/>
      <w:r w:rsidRPr="00B24B82">
        <w:rPr>
          <w:sz w:val="24"/>
        </w:rPr>
        <w:t xml:space="preserve"> on a </w:t>
      </w:r>
      <w:proofErr w:type="spellStart"/>
      <w:r w:rsidRPr="00B24B82">
        <w:rPr>
          <w:sz w:val="24"/>
        </w:rPr>
        <w:t>detailed</w:t>
      </w:r>
      <w:proofErr w:type="spellEnd"/>
      <w:r w:rsidRPr="00B24B82">
        <w:rPr>
          <w:sz w:val="24"/>
        </w:rPr>
        <w:t xml:space="preserve"> </w:t>
      </w:r>
      <w:proofErr w:type="spellStart"/>
      <w:r w:rsidRPr="00B24B82">
        <w:rPr>
          <w:sz w:val="24"/>
        </w:rPr>
        <w:t>analysis</w:t>
      </w:r>
      <w:proofErr w:type="spellEnd"/>
      <w:r w:rsidRPr="00B24B82">
        <w:rPr>
          <w:sz w:val="24"/>
        </w:rPr>
        <w:t xml:space="preserve"> and </w:t>
      </w:r>
      <w:proofErr w:type="spellStart"/>
      <w:r w:rsidRPr="00B24B82">
        <w:rPr>
          <w:sz w:val="24"/>
        </w:rPr>
        <w:t>comparison</w:t>
      </w:r>
      <w:proofErr w:type="spellEnd"/>
      <w:r w:rsidRPr="00B24B82">
        <w:rPr>
          <w:sz w:val="24"/>
        </w:rPr>
        <w:t xml:space="preserve"> </w:t>
      </w:r>
      <w:proofErr w:type="spellStart"/>
      <w:r w:rsidRPr="00B24B82">
        <w:rPr>
          <w:sz w:val="24"/>
        </w:rPr>
        <w:t>of</w:t>
      </w:r>
      <w:proofErr w:type="spellEnd"/>
      <w:r w:rsidRPr="00B24B82">
        <w:rPr>
          <w:sz w:val="24"/>
        </w:rPr>
        <w:t xml:space="preserve"> </w:t>
      </w:r>
      <w:proofErr w:type="spellStart"/>
      <w:r w:rsidRPr="00B24B82">
        <w:rPr>
          <w:sz w:val="24"/>
        </w:rPr>
        <w:t>selected</w:t>
      </w:r>
      <w:proofErr w:type="spellEnd"/>
      <w:r w:rsidRPr="00B24B82">
        <w:rPr>
          <w:sz w:val="24"/>
        </w:rPr>
        <w:t xml:space="preserve"> </w:t>
      </w:r>
      <w:proofErr w:type="spellStart"/>
      <w:r w:rsidRPr="00B24B82">
        <w:rPr>
          <w:sz w:val="24"/>
        </w:rPr>
        <w:t>indicators</w:t>
      </w:r>
      <w:proofErr w:type="spellEnd"/>
      <w:r w:rsidRPr="00B24B82">
        <w:rPr>
          <w:sz w:val="24"/>
        </w:rPr>
        <w:t xml:space="preserve"> </w:t>
      </w:r>
      <w:proofErr w:type="spellStart"/>
      <w:r w:rsidRPr="00B24B82">
        <w:rPr>
          <w:sz w:val="24"/>
        </w:rPr>
        <w:t>for</w:t>
      </w:r>
      <w:proofErr w:type="spellEnd"/>
      <w:r w:rsidRPr="00B24B82">
        <w:rPr>
          <w:sz w:val="24"/>
        </w:rPr>
        <w:t xml:space="preserve"> </w:t>
      </w:r>
      <w:proofErr w:type="spellStart"/>
      <w:r w:rsidRPr="00B24B82">
        <w:rPr>
          <w:sz w:val="24"/>
        </w:rPr>
        <w:t>selected</w:t>
      </w:r>
      <w:proofErr w:type="spellEnd"/>
      <w:r w:rsidRPr="00B24B82">
        <w:rPr>
          <w:sz w:val="24"/>
        </w:rPr>
        <w:t xml:space="preserve"> </w:t>
      </w:r>
      <w:proofErr w:type="spellStart"/>
      <w:proofErr w:type="gramStart"/>
      <w:r w:rsidRPr="00B24B82">
        <w:rPr>
          <w:sz w:val="24"/>
        </w:rPr>
        <w:t>countries.The</w:t>
      </w:r>
      <w:proofErr w:type="spellEnd"/>
      <w:proofErr w:type="gramEnd"/>
      <w:r w:rsidRPr="00B24B82">
        <w:rPr>
          <w:sz w:val="24"/>
        </w:rPr>
        <w:t xml:space="preserve"> </w:t>
      </w:r>
      <w:proofErr w:type="spellStart"/>
      <w:r w:rsidRPr="00B24B82">
        <w:rPr>
          <w:sz w:val="24"/>
        </w:rPr>
        <w:t>results</w:t>
      </w:r>
      <w:proofErr w:type="spellEnd"/>
      <w:r w:rsidRPr="00B24B82">
        <w:rPr>
          <w:sz w:val="24"/>
        </w:rPr>
        <w:t xml:space="preserve"> </w:t>
      </w:r>
      <w:proofErr w:type="spellStart"/>
      <w:r w:rsidRPr="00B24B82">
        <w:rPr>
          <w:sz w:val="24"/>
        </w:rPr>
        <w:t>of</w:t>
      </w:r>
      <w:proofErr w:type="spellEnd"/>
      <w:r w:rsidRPr="00B24B82">
        <w:rPr>
          <w:sz w:val="24"/>
        </w:rPr>
        <w:t xml:space="preserve">  </w:t>
      </w:r>
      <w:proofErr w:type="spellStart"/>
      <w:r w:rsidRPr="00B24B82">
        <w:rPr>
          <w:sz w:val="24"/>
        </w:rPr>
        <w:t>the</w:t>
      </w:r>
      <w:proofErr w:type="spellEnd"/>
      <w:r w:rsidRPr="00B24B82">
        <w:rPr>
          <w:sz w:val="24"/>
        </w:rPr>
        <w:t xml:space="preserve"> </w:t>
      </w:r>
      <w:proofErr w:type="spellStart"/>
      <w:r w:rsidRPr="00B24B82">
        <w:rPr>
          <w:sz w:val="24"/>
        </w:rPr>
        <w:t>analysis</w:t>
      </w:r>
      <w:proofErr w:type="spellEnd"/>
      <w:r w:rsidRPr="00B24B82">
        <w:rPr>
          <w:sz w:val="24"/>
        </w:rPr>
        <w:t xml:space="preserve"> and </w:t>
      </w:r>
      <w:proofErr w:type="spellStart"/>
      <w:r w:rsidRPr="00B24B82">
        <w:rPr>
          <w:sz w:val="24"/>
        </w:rPr>
        <w:t>comparison</w:t>
      </w:r>
      <w:proofErr w:type="spellEnd"/>
      <w:r w:rsidRPr="00B24B82">
        <w:rPr>
          <w:sz w:val="24"/>
        </w:rPr>
        <w:t xml:space="preserve"> are </w:t>
      </w:r>
      <w:proofErr w:type="spellStart"/>
      <w:r w:rsidRPr="00B24B82">
        <w:rPr>
          <w:sz w:val="24"/>
        </w:rPr>
        <w:t>listed</w:t>
      </w:r>
      <w:proofErr w:type="spellEnd"/>
      <w:r w:rsidRPr="00B24B82">
        <w:rPr>
          <w:sz w:val="24"/>
        </w:rPr>
        <w:t xml:space="preserve"> </w:t>
      </w:r>
      <w:proofErr w:type="spellStart"/>
      <w:r w:rsidRPr="00B24B82">
        <w:rPr>
          <w:sz w:val="24"/>
        </w:rPr>
        <w:t>at</w:t>
      </w:r>
      <w:proofErr w:type="spellEnd"/>
      <w:r w:rsidRPr="00B24B82">
        <w:rPr>
          <w:sz w:val="24"/>
        </w:rPr>
        <w:t xml:space="preserve"> </w:t>
      </w:r>
      <w:proofErr w:type="spellStart"/>
      <w:r w:rsidRPr="00B24B82">
        <w:rPr>
          <w:sz w:val="24"/>
        </w:rPr>
        <w:t>the</w:t>
      </w:r>
      <w:proofErr w:type="spellEnd"/>
      <w:r w:rsidRPr="00B24B82">
        <w:rPr>
          <w:sz w:val="24"/>
        </w:rPr>
        <w:t xml:space="preserve"> end </w:t>
      </w:r>
      <w:proofErr w:type="spellStart"/>
      <w:r w:rsidRPr="00B24B82">
        <w:rPr>
          <w:sz w:val="24"/>
        </w:rPr>
        <w:t>of</w:t>
      </w:r>
      <w:proofErr w:type="spellEnd"/>
      <w:r w:rsidRPr="00B24B82">
        <w:rPr>
          <w:sz w:val="24"/>
        </w:rPr>
        <w:t xml:space="preserve"> </w:t>
      </w:r>
      <w:proofErr w:type="spellStart"/>
      <w:r w:rsidRPr="00B24B82">
        <w:rPr>
          <w:sz w:val="24"/>
        </w:rPr>
        <w:t>this</w:t>
      </w:r>
      <w:proofErr w:type="spellEnd"/>
      <w:r w:rsidRPr="00B24B82">
        <w:rPr>
          <w:sz w:val="24"/>
        </w:rPr>
        <w:t xml:space="preserve"> </w:t>
      </w:r>
      <w:proofErr w:type="spellStart"/>
      <w:r w:rsidRPr="00B24B82">
        <w:rPr>
          <w:sz w:val="24"/>
        </w:rPr>
        <w:t>work</w:t>
      </w:r>
      <w:proofErr w:type="spellEnd"/>
      <w:r w:rsidRPr="00B24B82">
        <w:rPr>
          <w:sz w:val="24"/>
        </w:rPr>
        <w:t xml:space="preserve"> </w:t>
      </w:r>
    </w:p>
    <w:p w14:paraId="71918232" w14:textId="77777777" w:rsidR="006E1D56" w:rsidRPr="00B24B82" w:rsidRDefault="006E1D56" w:rsidP="006E1D56">
      <w:pPr>
        <w:pStyle w:val="Bezmezer"/>
        <w:spacing w:before="120" w:after="240" w:line="360" w:lineRule="auto"/>
        <w:ind w:firstLine="0"/>
        <w:rPr>
          <w:sz w:val="24"/>
        </w:rPr>
      </w:pPr>
      <w:proofErr w:type="spellStart"/>
      <w:r w:rsidRPr="00B24B82">
        <w:rPr>
          <w:b/>
          <w:bCs/>
          <w:sz w:val="24"/>
        </w:rPr>
        <w:t>Keywords</w:t>
      </w:r>
      <w:proofErr w:type="spellEnd"/>
      <w:r w:rsidRPr="00B24B82">
        <w:rPr>
          <w:b/>
          <w:bCs/>
          <w:sz w:val="24"/>
        </w:rPr>
        <w:t>:</w:t>
      </w:r>
      <w:r w:rsidRPr="00B24B82">
        <w:rPr>
          <w:sz w:val="24"/>
        </w:rPr>
        <w:t xml:space="preserve"> standard </w:t>
      </w:r>
      <w:proofErr w:type="spellStart"/>
      <w:r w:rsidRPr="00B24B82">
        <w:rPr>
          <w:sz w:val="24"/>
        </w:rPr>
        <w:t>of</w:t>
      </w:r>
      <w:proofErr w:type="spellEnd"/>
      <w:r w:rsidRPr="00B24B82">
        <w:rPr>
          <w:sz w:val="24"/>
        </w:rPr>
        <w:t xml:space="preserve"> </w:t>
      </w:r>
      <w:proofErr w:type="spellStart"/>
      <w:r w:rsidRPr="00B24B82">
        <w:rPr>
          <w:sz w:val="24"/>
        </w:rPr>
        <w:t>living</w:t>
      </w:r>
      <w:proofErr w:type="spellEnd"/>
      <w:r w:rsidRPr="00B24B82">
        <w:rPr>
          <w:sz w:val="24"/>
        </w:rPr>
        <w:t xml:space="preserve">, </w:t>
      </w:r>
      <w:proofErr w:type="spellStart"/>
      <w:r w:rsidRPr="00B24B82">
        <w:rPr>
          <w:sz w:val="24"/>
        </w:rPr>
        <w:t>income</w:t>
      </w:r>
      <w:proofErr w:type="spellEnd"/>
      <w:r w:rsidRPr="00B24B82">
        <w:rPr>
          <w:sz w:val="24"/>
        </w:rPr>
        <w:t xml:space="preserve"> </w:t>
      </w:r>
      <w:proofErr w:type="spellStart"/>
      <w:r w:rsidRPr="00B24B82">
        <w:rPr>
          <w:sz w:val="24"/>
        </w:rPr>
        <w:t>inequality</w:t>
      </w:r>
      <w:proofErr w:type="spellEnd"/>
      <w:r w:rsidRPr="00B24B82">
        <w:rPr>
          <w:sz w:val="24"/>
        </w:rPr>
        <w:t xml:space="preserve">, </w:t>
      </w:r>
      <w:proofErr w:type="spellStart"/>
      <w:r w:rsidRPr="00B24B82">
        <w:rPr>
          <w:sz w:val="24"/>
        </w:rPr>
        <w:t>poverty</w:t>
      </w:r>
      <w:proofErr w:type="spellEnd"/>
      <w:r w:rsidRPr="00B24B82">
        <w:rPr>
          <w:sz w:val="24"/>
        </w:rPr>
        <w:t xml:space="preserve">, GDP, HDI, HPI, V4. </w:t>
      </w:r>
    </w:p>
    <w:p w14:paraId="2AFB6E46" w14:textId="7A47127F" w:rsidR="00A31F01" w:rsidRPr="00B24B82" w:rsidRDefault="00EE1AFA" w:rsidP="00D559F1">
      <w:r w:rsidRPr="00B24B82">
        <w:t xml:space="preserve"> </w:t>
      </w:r>
    </w:p>
    <w:sectPr w:rsidR="00A31F01" w:rsidRPr="00B24B82" w:rsidSect="00AD70DB">
      <w:footerReference w:type="default" r:id="rId92"/>
      <w:pgSz w:w="11906" w:h="16838"/>
      <w:pgMar w:top="1418" w:right="851" w:bottom="1418" w:left="1985"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672B" w14:textId="77777777" w:rsidR="008A7955" w:rsidRDefault="008A7955">
      <w:r>
        <w:separator/>
      </w:r>
    </w:p>
  </w:endnote>
  <w:endnote w:type="continuationSeparator" w:id="0">
    <w:p w14:paraId="550115BE" w14:textId="77777777" w:rsidR="008A7955" w:rsidRDefault="008A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3304482"/>
      <w:docPartObj>
        <w:docPartGallery w:val="Page Numbers (Bottom of Page)"/>
        <w:docPartUnique/>
      </w:docPartObj>
    </w:sdtPr>
    <w:sdtContent>
      <w:p w14:paraId="6147D1C7" w14:textId="25125BCB" w:rsidR="008A7955" w:rsidRDefault="008A795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5AC59" w14:textId="77777777" w:rsidR="008A7955" w:rsidRDefault="008A7955">
      <w:r>
        <w:separator/>
      </w:r>
    </w:p>
  </w:footnote>
  <w:footnote w:type="continuationSeparator" w:id="0">
    <w:p w14:paraId="2FF57085" w14:textId="77777777" w:rsidR="008A7955" w:rsidRDefault="008A7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2CD"/>
    <w:multiLevelType w:val="hybridMultilevel"/>
    <w:tmpl w:val="511ABA8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6B42D6"/>
    <w:multiLevelType w:val="hybridMultilevel"/>
    <w:tmpl w:val="8EBEA6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A3758B"/>
    <w:multiLevelType w:val="hybridMultilevel"/>
    <w:tmpl w:val="5D2E1AC4"/>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 w15:restartNumberingAfterBreak="0">
    <w:nsid w:val="060F2E27"/>
    <w:multiLevelType w:val="hybridMultilevel"/>
    <w:tmpl w:val="99CCA1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E2017"/>
    <w:multiLevelType w:val="hybridMultilevel"/>
    <w:tmpl w:val="9E48AD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A111A6"/>
    <w:multiLevelType w:val="hybridMultilevel"/>
    <w:tmpl w:val="7E1092B2"/>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14081CA7"/>
    <w:multiLevelType w:val="hybridMultilevel"/>
    <w:tmpl w:val="BBBEFA3C"/>
    <w:lvl w:ilvl="0" w:tplc="04050003">
      <w:start w:val="1"/>
      <w:numFmt w:val="bullet"/>
      <w:lvlText w:val="o"/>
      <w:lvlJc w:val="left"/>
      <w:pPr>
        <w:ind w:left="1077" w:hanging="360"/>
      </w:pPr>
      <w:rPr>
        <w:rFonts w:ascii="Courier New" w:hAnsi="Courier New" w:cs="Courier New"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142D2642"/>
    <w:multiLevelType w:val="hybridMultilevel"/>
    <w:tmpl w:val="01545CE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724036D"/>
    <w:multiLevelType w:val="hybridMultilevel"/>
    <w:tmpl w:val="1F00AA56"/>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9" w15:restartNumberingAfterBreak="0">
    <w:nsid w:val="18662395"/>
    <w:multiLevelType w:val="hybridMultilevel"/>
    <w:tmpl w:val="A53A296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676083"/>
    <w:multiLevelType w:val="hybridMultilevel"/>
    <w:tmpl w:val="8B90A9D4"/>
    <w:lvl w:ilvl="0" w:tplc="04050003">
      <w:start w:val="1"/>
      <w:numFmt w:val="bullet"/>
      <w:lvlText w:val="o"/>
      <w:lvlJc w:val="left"/>
      <w:pPr>
        <w:ind w:left="1066" w:hanging="360"/>
      </w:pPr>
      <w:rPr>
        <w:rFonts w:ascii="Courier New" w:hAnsi="Courier New" w:cs="Courier New"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1" w15:restartNumberingAfterBreak="0">
    <w:nsid w:val="1CD133C7"/>
    <w:multiLevelType w:val="hybridMultilevel"/>
    <w:tmpl w:val="20F4906A"/>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cs="Wingdings" w:hint="default"/>
      </w:rPr>
    </w:lvl>
    <w:lvl w:ilvl="3" w:tplc="04050001" w:tentative="1">
      <w:start w:val="1"/>
      <w:numFmt w:val="bullet"/>
      <w:lvlText w:val=""/>
      <w:lvlJc w:val="left"/>
      <w:pPr>
        <w:ind w:left="3334" w:hanging="360"/>
      </w:pPr>
      <w:rPr>
        <w:rFonts w:ascii="Symbol" w:hAnsi="Symbol" w:cs="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cs="Wingdings" w:hint="default"/>
      </w:rPr>
    </w:lvl>
    <w:lvl w:ilvl="6" w:tplc="04050001" w:tentative="1">
      <w:start w:val="1"/>
      <w:numFmt w:val="bullet"/>
      <w:lvlText w:val=""/>
      <w:lvlJc w:val="left"/>
      <w:pPr>
        <w:ind w:left="5494" w:hanging="360"/>
      </w:pPr>
      <w:rPr>
        <w:rFonts w:ascii="Symbol" w:hAnsi="Symbol" w:cs="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cs="Wingdings" w:hint="default"/>
      </w:rPr>
    </w:lvl>
  </w:abstractNum>
  <w:abstractNum w:abstractNumId="12" w15:restartNumberingAfterBreak="0">
    <w:nsid w:val="20D24D9D"/>
    <w:multiLevelType w:val="hybridMultilevel"/>
    <w:tmpl w:val="7D302E30"/>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3" w15:restartNumberingAfterBreak="0">
    <w:nsid w:val="227179C9"/>
    <w:multiLevelType w:val="multilevel"/>
    <w:tmpl w:val="F40ADE02"/>
    <w:lvl w:ilvl="0">
      <w:start w:val="1"/>
      <w:numFmt w:val="decimal"/>
      <w:pStyle w:val="Nadpis1"/>
      <w:lvlText w:val="%1"/>
      <w:lvlJc w:val="left"/>
      <w:pPr>
        <w:tabs>
          <w:tab w:val="num" w:pos="886"/>
        </w:tabs>
        <w:ind w:left="886" w:hanging="432"/>
      </w:pPr>
    </w:lvl>
    <w:lvl w:ilvl="1">
      <w:start w:val="1"/>
      <w:numFmt w:val="decimal"/>
      <w:pStyle w:val="Nadpis2"/>
      <w:lvlText w:val="%1.%2"/>
      <w:lvlJc w:val="left"/>
      <w:pPr>
        <w:tabs>
          <w:tab w:val="num" w:pos="1030"/>
        </w:tabs>
        <w:ind w:left="1030"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318"/>
        </w:tabs>
        <w:ind w:left="1318" w:hanging="864"/>
      </w:pPr>
    </w:lvl>
    <w:lvl w:ilvl="4">
      <w:start w:val="1"/>
      <w:numFmt w:val="decimal"/>
      <w:pStyle w:val="Nadpis5"/>
      <w:lvlText w:val="%1.%2.%3.%4.%5"/>
      <w:lvlJc w:val="left"/>
      <w:pPr>
        <w:tabs>
          <w:tab w:val="num" w:pos="1462"/>
        </w:tabs>
        <w:ind w:left="1462" w:hanging="1008"/>
      </w:pPr>
    </w:lvl>
    <w:lvl w:ilvl="5">
      <w:start w:val="1"/>
      <w:numFmt w:val="decimal"/>
      <w:pStyle w:val="Nadpis6"/>
      <w:lvlText w:val="%1.%2.%3.%4.%5.%6"/>
      <w:lvlJc w:val="left"/>
      <w:pPr>
        <w:tabs>
          <w:tab w:val="num" w:pos="1606"/>
        </w:tabs>
        <w:ind w:left="1606" w:hanging="1152"/>
      </w:pPr>
    </w:lvl>
    <w:lvl w:ilvl="6">
      <w:start w:val="1"/>
      <w:numFmt w:val="decimal"/>
      <w:pStyle w:val="Nadpis7"/>
      <w:lvlText w:val="%1.%2.%3.%4.%5.%6.%7"/>
      <w:lvlJc w:val="left"/>
      <w:pPr>
        <w:tabs>
          <w:tab w:val="num" w:pos="1750"/>
        </w:tabs>
        <w:ind w:left="1750" w:hanging="1296"/>
      </w:pPr>
    </w:lvl>
    <w:lvl w:ilvl="7">
      <w:start w:val="1"/>
      <w:numFmt w:val="decimal"/>
      <w:pStyle w:val="Nadpis8"/>
      <w:lvlText w:val="%1.%2.%3.%4.%5.%6.%7.%8"/>
      <w:lvlJc w:val="left"/>
      <w:pPr>
        <w:tabs>
          <w:tab w:val="num" w:pos="1894"/>
        </w:tabs>
        <w:ind w:left="1894" w:hanging="1440"/>
      </w:pPr>
    </w:lvl>
    <w:lvl w:ilvl="8">
      <w:start w:val="1"/>
      <w:numFmt w:val="decimal"/>
      <w:pStyle w:val="Nadpis9"/>
      <w:lvlText w:val="%1.%2.%3.%4.%5.%6.%7.%8.%9"/>
      <w:lvlJc w:val="left"/>
      <w:pPr>
        <w:tabs>
          <w:tab w:val="num" w:pos="2038"/>
        </w:tabs>
        <w:ind w:left="2038" w:hanging="1584"/>
      </w:pPr>
    </w:lvl>
  </w:abstractNum>
  <w:abstractNum w:abstractNumId="14" w15:restartNumberingAfterBreak="0">
    <w:nsid w:val="3AE05E9B"/>
    <w:multiLevelType w:val="hybridMultilevel"/>
    <w:tmpl w:val="458A18EE"/>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cs="Wingdings" w:hint="default"/>
      </w:rPr>
    </w:lvl>
    <w:lvl w:ilvl="3" w:tplc="04050001" w:tentative="1">
      <w:start w:val="1"/>
      <w:numFmt w:val="bullet"/>
      <w:lvlText w:val=""/>
      <w:lvlJc w:val="left"/>
      <w:pPr>
        <w:ind w:left="3334" w:hanging="360"/>
      </w:pPr>
      <w:rPr>
        <w:rFonts w:ascii="Symbol" w:hAnsi="Symbol" w:cs="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cs="Wingdings" w:hint="default"/>
      </w:rPr>
    </w:lvl>
    <w:lvl w:ilvl="6" w:tplc="04050001" w:tentative="1">
      <w:start w:val="1"/>
      <w:numFmt w:val="bullet"/>
      <w:lvlText w:val=""/>
      <w:lvlJc w:val="left"/>
      <w:pPr>
        <w:ind w:left="5494" w:hanging="360"/>
      </w:pPr>
      <w:rPr>
        <w:rFonts w:ascii="Symbol" w:hAnsi="Symbol" w:cs="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cs="Wingdings" w:hint="default"/>
      </w:rPr>
    </w:lvl>
  </w:abstractNum>
  <w:abstractNum w:abstractNumId="15" w15:restartNumberingAfterBreak="0">
    <w:nsid w:val="40194817"/>
    <w:multiLevelType w:val="hybridMultilevel"/>
    <w:tmpl w:val="C3122C62"/>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6" w15:restartNumberingAfterBreak="0">
    <w:nsid w:val="460E4FC9"/>
    <w:multiLevelType w:val="hybridMultilevel"/>
    <w:tmpl w:val="31F6392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C272C7E"/>
    <w:multiLevelType w:val="hybridMultilevel"/>
    <w:tmpl w:val="1B5C0D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5930EB"/>
    <w:multiLevelType w:val="hybridMultilevel"/>
    <w:tmpl w:val="CEDA2574"/>
    <w:lvl w:ilvl="0" w:tplc="04050003">
      <w:start w:val="1"/>
      <w:numFmt w:val="bullet"/>
      <w:lvlText w:val="o"/>
      <w:lvlJc w:val="left"/>
      <w:pPr>
        <w:ind w:left="1174" w:hanging="360"/>
      </w:pPr>
      <w:rPr>
        <w:rFonts w:ascii="Courier New" w:hAnsi="Courier New" w:cs="Courier New"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9" w15:restartNumberingAfterBreak="0">
    <w:nsid w:val="65D329FE"/>
    <w:multiLevelType w:val="hybridMultilevel"/>
    <w:tmpl w:val="5E88EEF4"/>
    <w:lvl w:ilvl="0" w:tplc="04050003">
      <w:start w:val="1"/>
      <w:numFmt w:val="bullet"/>
      <w:lvlText w:val="o"/>
      <w:lvlJc w:val="left"/>
      <w:pPr>
        <w:ind w:left="778" w:hanging="360"/>
      </w:pPr>
      <w:rPr>
        <w:rFonts w:ascii="Courier New" w:hAnsi="Courier New" w:cs="Courier New"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cs="Wingdings" w:hint="default"/>
      </w:rPr>
    </w:lvl>
    <w:lvl w:ilvl="3" w:tplc="04050001" w:tentative="1">
      <w:start w:val="1"/>
      <w:numFmt w:val="bullet"/>
      <w:lvlText w:val=""/>
      <w:lvlJc w:val="left"/>
      <w:pPr>
        <w:ind w:left="2938" w:hanging="360"/>
      </w:pPr>
      <w:rPr>
        <w:rFonts w:ascii="Symbol" w:hAnsi="Symbol" w:cs="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cs="Wingdings" w:hint="default"/>
      </w:rPr>
    </w:lvl>
    <w:lvl w:ilvl="6" w:tplc="04050001" w:tentative="1">
      <w:start w:val="1"/>
      <w:numFmt w:val="bullet"/>
      <w:lvlText w:val=""/>
      <w:lvlJc w:val="left"/>
      <w:pPr>
        <w:ind w:left="5098" w:hanging="360"/>
      </w:pPr>
      <w:rPr>
        <w:rFonts w:ascii="Symbol" w:hAnsi="Symbol" w:cs="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cs="Wingdings" w:hint="default"/>
      </w:rPr>
    </w:lvl>
  </w:abstractNum>
  <w:abstractNum w:abstractNumId="20" w15:restartNumberingAfterBreak="0">
    <w:nsid w:val="66BE438E"/>
    <w:multiLevelType w:val="hybridMultilevel"/>
    <w:tmpl w:val="5C90774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BFB4080"/>
    <w:multiLevelType w:val="hybridMultilevel"/>
    <w:tmpl w:val="5E0690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C13A2"/>
    <w:multiLevelType w:val="hybridMultilevel"/>
    <w:tmpl w:val="3AEA894A"/>
    <w:lvl w:ilvl="0" w:tplc="692C34F6">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70D44A55"/>
    <w:multiLevelType w:val="hybridMultilevel"/>
    <w:tmpl w:val="EA82263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0DC0309"/>
    <w:multiLevelType w:val="hybridMultilevel"/>
    <w:tmpl w:val="642E98A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EA0074"/>
    <w:multiLevelType w:val="hybridMultilevel"/>
    <w:tmpl w:val="9B8A8ED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7DB278AB"/>
    <w:multiLevelType w:val="hybridMultilevel"/>
    <w:tmpl w:val="1618E1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3"/>
  </w:num>
  <w:num w:numId="2">
    <w:abstractNumId w:val="22"/>
  </w:num>
  <w:num w:numId="3">
    <w:abstractNumId w:val="17"/>
  </w:num>
  <w:num w:numId="4">
    <w:abstractNumId w:val="9"/>
  </w:num>
  <w:num w:numId="5">
    <w:abstractNumId w:val="21"/>
  </w:num>
  <w:num w:numId="6">
    <w:abstractNumId w:val="24"/>
  </w:num>
  <w:num w:numId="7">
    <w:abstractNumId w:val="10"/>
  </w:num>
  <w:num w:numId="8">
    <w:abstractNumId w:val="4"/>
  </w:num>
  <w:num w:numId="9">
    <w:abstractNumId w:val="3"/>
  </w:num>
  <w:num w:numId="10">
    <w:abstractNumId w:val="19"/>
  </w:num>
  <w:num w:numId="11">
    <w:abstractNumId w:val="0"/>
  </w:num>
  <w:num w:numId="12">
    <w:abstractNumId w:val="26"/>
  </w:num>
  <w:num w:numId="13">
    <w:abstractNumId w:val="16"/>
  </w:num>
  <w:num w:numId="14">
    <w:abstractNumId w:val="20"/>
  </w:num>
  <w:num w:numId="15">
    <w:abstractNumId w:val="14"/>
  </w:num>
  <w:num w:numId="16">
    <w:abstractNumId w:val="11"/>
  </w:num>
  <w:num w:numId="17">
    <w:abstractNumId w:val="1"/>
  </w:num>
  <w:num w:numId="18">
    <w:abstractNumId w:val="7"/>
  </w:num>
  <w:num w:numId="19">
    <w:abstractNumId w:val="5"/>
  </w:num>
  <w:num w:numId="20">
    <w:abstractNumId w:val="6"/>
  </w:num>
  <w:num w:numId="21">
    <w:abstractNumId w:val="12"/>
  </w:num>
  <w:num w:numId="22">
    <w:abstractNumId w:val="2"/>
  </w:num>
  <w:num w:numId="23">
    <w:abstractNumId w:val="18"/>
  </w:num>
  <w:num w:numId="24">
    <w:abstractNumId w:val="8"/>
  </w:num>
  <w:num w:numId="25">
    <w:abstractNumId w:val="23"/>
  </w:num>
  <w:num w:numId="26">
    <w:abstractNumId w:val="25"/>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33"/>
    <w:rsid w:val="0000087D"/>
    <w:rsid w:val="000014AB"/>
    <w:rsid w:val="00002DB5"/>
    <w:rsid w:val="00003342"/>
    <w:rsid w:val="000056F0"/>
    <w:rsid w:val="00010421"/>
    <w:rsid w:val="00013C78"/>
    <w:rsid w:val="00013F9F"/>
    <w:rsid w:val="00015C75"/>
    <w:rsid w:val="00016B22"/>
    <w:rsid w:val="0001798F"/>
    <w:rsid w:val="0002089E"/>
    <w:rsid w:val="000253F4"/>
    <w:rsid w:val="00025B33"/>
    <w:rsid w:val="000263E8"/>
    <w:rsid w:val="00027093"/>
    <w:rsid w:val="00027BE6"/>
    <w:rsid w:val="0003347E"/>
    <w:rsid w:val="000412D1"/>
    <w:rsid w:val="000506AA"/>
    <w:rsid w:val="000522AA"/>
    <w:rsid w:val="000607C5"/>
    <w:rsid w:val="000626A0"/>
    <w:rsid w:val="0006303B"/>
    <w:rsid w:val="00070771"/>
    <w:rsid w:val="00074503"/>
    <w:rsid w:val="000760AD"/>
    <w:rsid w:val="00082BC2"/>
    <w:rsid w:val="000838F8"/>
    <w:rsid w:val="000847AD"/>
    <w:rsid w:val="00087A4E"/>
    <w:rsid w:val="00090922"/>
    <w:rsid w:val="000A11C5"/>
    <w:rsid w:val="000A5A54"/>
    <w:rsid w:val="000B27AD"/>
    <w:rsid w:val="000B7DE5"/>
    <w:rsid w:val="000C21C4"/>
    <w:rsid w:val="000C3D05"/>
    <w:rsid w:val="000C69BD"/>
    <w:rsid w:val="000D452C"/>
    <w:rsid w:val="000D49F6"/>
    <w:rsid w:val="000D5651"/>
    <w:rsid w:val="000D5D68"/>
    <w:rsid w:val="000D6E26"/>
    <w:rsid w:val="000E3F45"/>
    <w:rsid w:val="000E4EC7"/>
    <w:rsid w:val="000E69AE"/>
    <w:rsid w:val="000E7863"/>
    <w:rsid w:val="000F20AF"/>
    <w:rsid w:val="000F4E44"/>
    <w:rsid w:val="000F53CC"/>
    <w:rsid w:val="000F5E8E"/>
    <w:rsid w:val="0010097E"/>
    <w:rsid w:val="00101E64"/>
    <w:rsid w:val="0010478D"/>
    <w:rsid w:val="00106336"/>
    <w:rsid w:val="00111468"/>
    <w:rsid w:val="00113F9C"/>
    <w:rsid w:val="0011408C"/>
    <w:rsid w:val="00115A55"/>
    <w:rsid w:val="00116272"/>
    <w:rsid w:val="00116876"/>
    <w:rsid w:val="00116CF8"/>
    <w:rsid w:val="00117377"/>
    <w:rsid w:val="001229F0"/>
    <w:rsid w:val="001253EF"/>
    <w:rsid w:val="00126FD0"/>
    <w:rsid w:val="001275CB"/>
    <w:rsid w:val="00130954"/>
    <w:rsid w:val="001316BB"/>
    <w:rsid w:val="00131927"/>
    <w:rsid w:val="001325DB"/>
    <w:rsid w:val="00134346"/>
    <w:rsid w:val="0013679A"/>
    <w:rsid w:val="001370A6"/>
    <w:rsid w:val="0014001E"/>
    <w:rsid w:val="00147253"/>
    <w:rsid w:val="00153392"/>
    <w:rsid w:val="00154175"/>
    <w:rsid w:val="00156A81"/>
    <w:rsid w:val="00160E5B"/>
    <w:rsid w:val="00161A58"/>
    <w:rsid w:val="00166D6A"/>
    <w:rsid w:val="00170F16"/>
    <w:rsid w:val="001723E0"/>
    <w:rsid w:val="00174B92"/>
    <w:rsid w:val="00174D02"/>
    <w:rsid w:val="00175332"/>
    <w:rsid w:val="00181621"/>
    <w:rsid w:val="00184672"/>
    <w:rsid w:val="00186D74"/>
    <w:rsid w:val="001922B2"/>
    <w:rsid w:val="00192CE8"/>
    <w:rsid w:val="00196987"/>
    <w:rsid w:val="00197ADA"/>
    <w:rsid w:val="001A071D"/>
    <w:rsid w:val="001A1519"/>
    <w:rsid w:val="001A17A6"/>
    <w:rsid w:val="001A2ED5"/>
    <w:rsid w:val="001A6AC7"/>
    <w:rsid w:val="001B1B4D"/>
    <w:rsid w:val="001B25B0"/>
    <w:rsid w:val="001B38D6"/>
    <w:rsid w:val="001B3BA6"/>
    <w:rsid w:val="001C090E"/>
    <w:rsid w:val="001C16C8"/>
    <w:rsid w:val="001C4437"/>
    <w:rsid w:val="001C4982"/>
    <w:rsid w:val="001C5B4B"/>
    <w:rsid w:val="001C71C4"/>
    <w:rsid w:val="001D060A"/>
    <w:rsid w:val="001D214B"/>
    <w:rsid w:val="001D313D"/>
    <w:rsid w:val="001D3233"/>
    <w:rsid w:val="001D3CD2"/>
    <w:rsid w:val="001D5D03"/>
    <w:rsid w:val="001D62CA"/>
    <w:rsid w:val="001D7C6C"/>
    <w:rsid w:val="001E0729"/>
    <w:rsid w:val="001E09F3"/>
    <w:rsid w:val="001E3C2C"/>
    <w:rsid w:val="001E412C"/>
    <w:rsid w:val="001E52FD"/>
    <w:rsid w:val="001E7D38"/>
    <w:rsid w:val="001F556B"/>
    <w:rsid w:val="001F5B7F"/>
    <w:rsid w:val="001F6521"/>
    <w:rsid w:val="001F6DDB"/>
    <w:rsid w:val="001F7EF2"/>
    <w:rsid w:val="002032B6"/>
    <w:rsid w:val="002037C5"/>
    <w:rsid w:val="00205A53"/>
    <w:rsid w:val="0021018E"/>
    <w:rsid w:val="00210EE3"/>
    <w:rsid w:val="00215067"/>
    <w:rsid w:val="00216BFA"/>
    <w:rsid w:val="00217B3A"/>
    <w:rsid w:val="00217D62"/>
    <w:rsid w:val="00221BD8"/>
    <w:rsid w:val="00221D1E"/>
    <w:rsid w:val="00226F45"/>
    <w:rsid w:val="002273E0"/>
    <w:rsid w:val="00230E3C"/>
    <w:rsid w:val="00234F28"/>
    <w:rsid w:val="00235A11"/>
    <w:rsid w:val="00235EB1"/>
    <w:rsid w:val="00240E9B"/>
    <w:rsid w:val="00240F3A"/>
    <w:rsid w:val="0024138B"/>
    <w:rsid w:val="00241D9C"/>
    <w:rsid w:val="00244DFD"/>
    <w:rsid w:val="0024506B"/>
    <w:rsid w:val="00246FDC"/>
    <w:rsid w:val="00247334"/>
    <w:rsid w:val="00250B3E"/>
    <w:rsid w:val="002521DD"/>
    <w:rsid w:val="0025302C"/>
    <w:rsid w:val="002533B0"/>
    <w:rsid w:val="002535C2"/>
    <w:rsid w:val="00253736"/>
    <w:rsid w:val="00255121"/>
    <w:rsid w:val="002576B3"/>
    <w:rsid w:val="00261B50"/>
    <w:rsid w:val="00262F0E"/>
    <w:rsid w:val="00264D02"/>
    <w:rsid w:val="00265C41"/>
    <w:rsid w:val="00270539"/>
    <w:rsid w:val="00271684"/>
    <w:rsid w:val="00271B45"/>
    <w:rsid w:val="0027371E"/>
    <w:rsid w:val="0027433D"/>
    <w:rsid w:val="002749D8"/>
    <w:rsid w:val="002749D9"/>
    <w:rsid w:val="002759DF"/>
    <w:rsid w:val="0028075D"/>
    <w:rsid w:val="00285E74"/>
    <w:rsid w:val="00286C22"/>
    <w:rsid w:val="00286E8B"/>
    <w:rsid w:val="002921CD"/>
    <w:rsid w:val="002957F7"/>
    <w:rsid w:val="0029653A"/>
    <w:rsid w:val="00297148"/>
    <w:rsid w:val="002A0B7E"/>
    <w:rsid w:val="002A1B61"/>
    <w:rsid w:val="002A469D"/>
    <w:rsid w:val="002A65EB"/>
    <w:rsid w:val="002B41A9"/>
    <w:rsid w:val="002C030D"/>
    <w:rsid w:val="002C03F7"/>
    <w:rsid w:val="002C2421"/>
    <w:rsid w:val="002C2E87"/>
    <w:rsid w:val="002C7D95"/>
    <w:rsid w:val="002D1991"/>
    <w:rsid w:val="002D2A13"/>
    <w:rsid w:val="002D5A94"/>
    <w:rsid w:val="002E021F"/>
    <w:rsid w:val="002E08FD"/>
    <w:rsid w:val="002E0C2A"/>
    <w:rsid w:val="002E5C9D"/>
    <w:rsid w:val="002E73F9"/>
    <w:rsid w:val="002F26CB"/>
    <w:rsid w:val="002F3694"/>
    <w:rsid w:val="002F4ADF"/>
    <w:rsid w:val="002F562B"/>
    <w:rsid w:val="002F72CB"/>
    <w:rsid w:val="002F7FCC"/>
    <w:rsid w:val="00300709"/>
    <w:rsid w:val="00300D0F"/>
    <w:rsid w:val="0030164A"/>
    <w:rsid w:val="00301F2E"/>
    <w:rsid w:val="00304FC2"/>
    <w:rsid w:val="00307FE6"/>
    <w:rsid w:val="00310749"/>
    <w:rsid w:val="00310FF4"/>
    <w:rsid w:val="00312B47"/>
    <w:rsid w:val="00320755"/>
    <w:rsid w:val="003213A2"/>
    <w:rsid w:val="0032211A"/>
    <w:rsid w:val="00323D32"/>
    <w:rsid w:val="003278F0"/>
    <w:rsid w:val="0033083B"/>
    <w:rsid w:val="0033232A"/>
    <w:rsid w:val="00345718"/>
    <w:rsid w:val="0035074B"/>
    <w:rsid w:val="00352389"/>
    <w:rsid w:val="003523E2"/>
    <w:rsid w:val="00354849"/>
    <w:rsid w:val="00356103"/>
    <w:rsid w:val="00357C6F"/>
    <w:rsid w:val="00360048"/>
    <w:rsid w:val="0036115E"/>
    <w:rsid w:val="003631F7"/>
    <w:rsid w:val="0036534A"/>
    <w:rsid w:val="0036548A"/>
    <w:rsid w:val="003665ED"/>
    <w:rsid w:val="0037149C"/>
    <w:rsid w:val="0037171B"/>
    <w:rsid w:val="003731DF"/>
    <w:rsid w:val="003747B5"/>
    <w:rsid w:val="003749F2"/>
    <w:rsid w:val="00375576"/>
    <w:rsid w:val="00376ECB"/>
    <w:rsid w:val="003770BC"/>
    <w:rsid w:val="00377897"/>
    <w:rsid w:val="0038229A"/>
    <w:rsid w:val="0038367E"/>
    <w:rsid w:val="00383B2E"/>
    <w:rsid w:val="003861CC"/>
    <w:rsid w:val="00386F21"/>
    <w:rsid w:val="00387C70"/>
    <w:rsid w:val="003907A3"/>
    <w:rsid w:val="00390FD2"/>
    <w:rsid w:val="00391660"/>
    <w:rsid w:val="00392FC2"/>
    <w:rsid w:val="0039575E"/>
    <w:rsid w:val="003A0C96"/>
    <w:rsid w:val="003A169F"/>
    <w:rsid w:val="003A3AF8"/>
    <w:rsid w:val="003A62A9"/>
    <w:rsid w:val="003A6572"/>
    <w:rsid w:val="003A6B21"/>
    <w:rsid w:val="003A6C0B"/>
    <w:rsid w:val="003B2793"/>
    <w:rsid w:val="003B484B"/>
    <w:rsid w:val="003B6E7A"/>
    <w:rsid w:val="003B6F4A"/>
    <w:rsid w:val="003C0AD1"/>
    <w:rsid w:val="003C5855"/>
    <w:rsid w:val="003C7FEE"/>
    <w:rsid w:val="003D1A5E"/>
    <w:rsid w:val="003D6BAE"/>
    <w:rsid w:val="003E1D68"/>
    <w:rsid w:val="003E5B64"/>
    <w:rsid w:val="003E642B"/>
    <w:rsid w:val="003E6717"/>
    <w:rsid w:val="003F20EF"/>
    <w:rsid w:val="003F47D3"/>
    <w:rsid w:val="00400203"/>
    <w:rsid w:val="00403179"/>
    <w:rsid w:val="0040475B"/>
    <w:rsid w:val="00404D98"/>
    <w:rsid w:val="00410C02"/>
    <w:rsid w:val="00411B64"/>
    <w:rsid w:val="004128B1"/>
    <w:rsid w:val="004132FA"/>
    <w:rsid w:val="00414B22"/>
    <w:rsid w:val="00414C4C"/>
    <w:rsid w:val="00417D4E"/>
    <w:rsid w:val="00420CDC"/>
    <w:rsid w:val="00421ACC"/>
    <w:rsid w:val="00422CA5"/>
    <w:rsid w:val="004254C4"/>
    <w:rsid w:val="00430476"/>
    <w:rsid w:val="00432182"/>
    <w:rsid w:val="00432761"/>
    <w:rsid w:val="004366CC"/>
    <w:rsid w:val="004400D5"/>
    <w:rsid w:val="00443C4D"/>
    <w:rsid w:val="00444BCC"/>
    <w:rsid w:val="00446FEF"/>
    <w:rsid w:val="00447F37"/>
    <w:rsid w:val="004500E8"/>
    <w:rsid w:val="00450B9D"/>
    <w:rsid w:val="0045381F"/>
    <w:rsid w:val="0045441E"/>
    <w:rsid w:val="00455F68"/>
    <w:rsid w:val="004562AC"/>
    <w:rsid w:val="00457A2D"/>
    <w:rsid w:val="00457C54"/>
    <w:rsid w:val="00461970"/>
    <w:rsid w:val="004621B6"/>
    <w:rsid w:val="00463B9A"/>
    <w:rsid w:val="00464D59"/>
    <w:rsid w:val="00467511"/>
    <w:rsid w:val="00473915"/>
    <w:rsid w:val="00474164"/>
    <w:rsid w:val="00475E70"/>
    <w:rsid w:val="004765EE"/>
    <w:rsid w:val="00476751"/>
    <w:rsid w:val="004773DA"/>
    <w:rsid w:val="00477F4D"/>
    <w:rsid w:val="00481890"/>
    <w:rsid w:val="004833B8"/>
    <w:rsid w:val="004837B7"/>
    <w:rsid w:val="00484F29"/>
    <w:rsid w:val="00487D71"/>
    <w:rsid w:val="004934C1"/>
    <w:rsid w:val="004952D0"/>
    <w:rsid w:val="00495456"/>
    <w:rsid w:val="004A2852"/>
    <w:rsid w:val="004A2BD6"/>
    <w:rsid w:val="004A4990"/>
    <w:rsid w:val="004A5C7B"/>
    <w:rsid w:val="004A623B"/>
    <w:rsid w:val="004B5CD9"/>
    <w:rsid w:val="004C1324"/>
    <w:rsid w:val="004C1BC0"/>
    <w:rsid w:val="004C414F"/>
    <w:rsid w:val="004C4A04"/>
    <w:rsid w:val="004C5FC9"/>
    <w:rsid w:val="004D1430"/>
    <w:rsid w:val="004D50FE"/>
    <w:rsid w:val="004D57DE"/>
    <w:rsid w:val="004D6F57"/>
    <w:rsid w:val="004E05B9"/>
    <w:rsid w:val="004E2F78"/>
    <w:rsid w:val="004E327F"/>
    <w:rsid w:val="004E5F1D"/>
    <w:rsid w:val="004E6272"/>
    <w:rsid w:val="004E74A2"/>
    <w:rsid w:val="004F091D"/>
    <w:rsid w:val="004F1CD6"/>
    <w:rsid w:val="004F2330"/>
    <w:rsid w:val="004F2B17"/>
    <w:rsid w:val="004F2D96"/>
    <w:rsid w:val="004F3EFA"/>
    <w:rsid w:val="004F683F"/>
    <w:rsid w:val="004F7BC4"/>
    <w:rsid w:val="00500663"/>
    <w:rsid w:val="0050606B"/>
    <w:rsid w:val="005070FD"/>
    <w:rsid w:val="0051007A"/>
    <w:rsid w:val="00511E3B"/>
    <w:rsid w:val="00512153"/>
    <w:rsid w:val="00512A71"/>
    <w:rsid w:val="005143E7"/>
    <w:rsid w:val="00515783"/>
    <w:rsid w:val="0052349C"/>
    <w:rsid w:val="0052492D"/>
    <w:rsid w:val="00526180"/>
    <w:rsid w:val="0052624F"/>
    <w:rsid w:val="00531BEA"/>
    <w:rsid w:val="005357E9"/>
    <w:rsid w:val="005402A3"/>
    <w:rsid w:val="00542E03"/>
    <w:rsid w:val="0054429D"/>
    <w:rsid w:val="00551206"/>
    <w:rsid w:val="005563F0"/>
    <w:rsid w:val="005632C6"/>
    <w:rsid w:val="00567A3C"/>
    <w:rsid w:val="0057377B"/>
    <w:rsid w:val="00573840"/>
    <w:rsid w:val="005802D0"/>
    <w:rsid w:val="00580E6A"/>
    <w:rsid w:val="0058478E"/>
    <w:rsid w:val="0058596D"/>
    <w:rsid w:val="00586D6E"/>
    <w:rsid w:val="00591414"/>
    <w:rsid w:val="00591C34"/>
    <w:rsid w:val="005962F1"/>
    <w:rsid w:val="005964F3"/>
    <w:rsid w:val="00597266"/>
    <w:rsid w:val="005A05F0"/>
    <w:rsid w:val="005A2356"/>
    <w:rsid w:val="005A3377"/>
    <w:rsid w:val="005A33A0"/>
    <w:rsid w:val="005B392E"/>
    <w:rsid w:val="005B5AED"/>
    <w:rsid w:val="005C0498"/>
    <w:rsid w:val="005C56D7"/>
    <w:rsid w:val="005D1623"/>
    <w:rsid w:val="005D39A1"/>
    <w:rsid w:val="005D4152"/>
    <w:rsid w:val="005E03D9"/>
    <w:rsid w:val="005E20C3"/>
    <w:rsid w:val="005E45AB"/>
    <w:rsid w:val="005E7ECF"/>
    <w:rsid w:val="005F0BD5"/>
    <w:rsid w:val="005F382D"/>
    <w:rsid w:val="005F3921"/>
    <w:rsid w:val="005F6936"/>
    <w:rsid w:val="00602A93"/>
    <w:rsid w:val="006103CA"/>
    <w:rsid w:val="0061607C"/>
    <w:rsid w:val="0062577D"/>
    <w:rsid w:val="006260E4"/>
    <w:rsid w:val="0062632E"/>
    <w:rsid w:val="00632B81"/>
    <w:rsid w:val="00633352"/>
    <w:rsid w:val="006341C8"/>
    <w:rsid w:val="006402A8"/>
    <w:rsid w:val="00641938"/>
    <w:rsid w:val="0064415F"/>
    <w:rsid w:val="00645F48"/>
    <w:rsid w:val="006528A2"/>
    <w:rsid w:val="0065773D"/>
    <w:rsid w:val="00660A51"/>
    <w:rsid w:val="00661589"/>
    <w:rsid w:val="00661616"/>
    <w:rsid w:val="00663340"/>
    <w:rsid w:val="006642C4"/>
    <w:rsid w:val="00664E2F"/>
    <w:rsid w:val="00666343"/>
    <w:rsid w:val="006674B9"/>
    <w:rsid w:val="0067040D"/>
    <w:rsid w:val="00671053"/>
    <w:rsid w:val="00671B4D"/>
    <w:rsid w:val="00671BC0"/>
    <w:rsid w:val="00680AE6"/>
    <w:rsid w:val="00680D0F"/>
    <w:rsid w:val="006834BF"/>
    <w:rsid w:val="0068795A"/>
    <w:rsid w:val="00692C07"/>
    <w:rsid w:val="0069432E"/>
    <w:rsid w:val="00694AAC"/>
    <w:rsid w:val="00697EC0"/>
    <w:rsid w:val="006A1669"/>
    <w:rsid w:val="006A4BEC"/>
    <w:rsid w:val="006A50D5"/>
    <w:rsid w:val="006A53A1"/>
    <w:rsid w:val="006A63DD"/>
    <w:rsid w:val="006A7798"/>
    <w:rsid w:val="006B2E9B"/>
    <w:rsid w:val="006B3171"/>
    <w:rsid w:val="006B3849"/>
    <w:rsid w:val="006B5635"/>
    <w:rsid w:val="006B6D44"/>
    <w:rsid w:val="006B70DA"/>
    <w:rsid w:val="006C08F7"/>
    <w:rsid w:val="006C4960"/>
    <w:rsid w:val="006C5A96"/>
    <w:rsid w:val="006D4A0B"/>
    <w:rsid w:val="006E1AF9"/>
    <w:rsid w:val="006E1D56"/>
    <w:rsid w:val="006E2CD7"/>
    <w:rsid w:val="006E47E6"/>
    <w:rsid w:val="006E5806"/>
    <w:rsid w:val="006E59D3"/>
    <w:rsid w:val="006E5ECF"/>
    <w:rsid w:val="006F26CB"/>
    <w:rsid w:val="006F2DEE"/>
    <w:rsid w:val="006F3674"/>
    <w:rsid w:val="006F4AD5"/>
    <w:rsid w:val="00700AD5"/>
    <w:rsid w:val="007037DC"/>
    <w:rsid w:val="007042BB"/>
    <w:rsid w:val="00705443"/>
    <w:rsid w:val="00706127"/>
    <w:rsid w:val="0070616F"/>
    <w:rsid w:val="00706A1F"/>
    <w:rsid w:val="00706FDA"/>
    <w:rsid w:val="00710AA6"/>
    <w:rsid w:val="0071112A"/>
    <w:rsid w:val="00723FA2"/>
    <w:rsid w:val="0072488C"/>
    <w:rsid w:val="00726782"/>
    <w:rsid w:val="00726796"/>
    <w:rsid w:val="007331C7"/>
    <w:rsid w:val="0073346E"/>
    <w:rsid w:val="00734488"/>
    <w:rsid w:val="00737220"/>
    <w:rsid w:val="00742DF5"/>
    <w:rsid w:val="0075034C"/>
    <w:rsid w:val="007603DE"/>
    <w:rsid w:val="0076097F"/>
    <w:rsid w:val="00763901"/>
    <w:rsid w:val="00764E9D"/>
    <w:rsid w:val="00766A22"/>
    <w:rsid w:val="0077195D"/>
    <w:rsid w:val="00772054"/>
    <w:rsid w:val="00772A37"/>
    <w:rsid w:val="00773661"/>
    <w:rsid w:val="007748E4"/>
    <w:rsid w:val="00775F02"/>
    <w:rsid w:val="007774B3"/>
    <w:rsid w:val="00780B66"/>
    <w:rsid w:val="00780EC0"/>
    <w:rsid w:val="007832CC"/>
    <w:rsid w:val="007850BC"/>
    <w:rsid w:val="007900C6"/>
    <w:rsid w:val="00791743"/>
    <w:rsid w:val="00791923"/>
    <w:rsid w:val="00791DB8"/>
    <w:rsid w:val="00794948"/>
    <w:rsid w:val="0079530E"/>
    <w:rsid w:val="007958D6"/>
    <w:rsid w:val="007961A9"/>
    <w:rsid w:val="00796DBB"/>
    <w:rsid w:val="007A5E97"/>
    <w:rsid w:val="007A6DD7"/>
    <w:rsid w:val="007A71BC"/>
    <w:rsid w:val="007B546B"/>
    <w:rsid w:val="007B5BD3"/>
    <w:rsid w:val="007C0728"/>
    <w:rsid w:val="007C1BC5"/>
    <w:rsid w:val="007C2620"/>
    <w:rsid w:val="007C32EE"/>
    <w:rsid w:val="007C481A"/>
    <w:rsid w:val="007C57E5"/>
    <w:rsid w:val="007C7619"/>
    <w:rsid w:val="007E19EE"/>
    <w:rsid w:val="007E4A5F"/>
    <w:rsid w:val="007E521F"/>
    <w:rsid w:val="007E7635"/>
    <w:rsid w:val="007F25B0"/>
    <w:rsid w:val="007F347A"/>
    <w:rsid w:val="007F5BAA"/>
    <w:rsid w:val="007F6CC1"/>
    <w:rsid w:val="007F7979"/>
    <w:rsid w:val="00804741"/>
    <w:rsid w:val="008048AC"/>
    <w:rsid w:val="00805B68"/>
    <w:rsid w:val="00810EC5"/>
    <w:rsid w:val="008133F6"/>
    <w:rsid w:val="00823779"/>
    <w:rsid w:val="00823A25"/>
    <w:rsid w:val="00825084"/>
    <w:rsid w:val="008314EE"/>
    <w:rsid w:val="008335D1"/>
    <w:rsid w:val="00834664"/>
    <w:rsid w:val="00834F86"/>
    <w:rsid w:val="0084284B"/>
    <w:rsid w:val="008428BB"/>
    <w:rsid w:val="00850D1B"/>
    <w:rsid w:val="008559F9"/>
    <w:rsid w:val="008566EE"/>
    <w:rsid w:val="00861DA5"/>
    <w:rsid w:val="00864356"/>
    <w:rsid w:val="00864673"/>
    <w:rsid w:val="00865613"/>
    <w:rsid w:val="00867C9C"/>
    <w:rsid w:val="00872A25"/>
    <w:rsid w:val="008739A8"/>
    <w:rsid w:val="00874F8E"/>
    <w:rsid w:val="00875069"/>
    <w:rsid w:val="00875540"/>
    <w:rsid w:val="00876CE5"/>
    <w:rsid w:val="00880BCB"/>
    <w:rsid w:val="00882D84"/>
    <w:rsid w:val="008918E0"/>
    <w:rsid w:val="008953D0"/>
    <w:rsid w:val="0089637C"/>
    <w:rsid w:val="00897864"/>
    <w:rsid w:val="008A2FB2"/>
    <w:rsid w:val="008A30FF"/>
    <w:rsid w:val="008A4C2F"/>
    <w:rsid w:val="008A7955"/>
    <w:rsid w:val="008B2A46"/>
    <w:rsid w:val="008B3BDB"/>
    <w:rsid w:val="008C2F22"/>
    <w:rsid w:val="008C48FF"/>
    <w:rsid w:val="008C5886"/>
    <w:rsid w:val="008C5B1C"/>
    <w:rsid w:val="008C5EB3"/>
    <w:rsid w:val="008C653E"/>
    <w:rsid w:val="008C736B"/>
    <w:rsid w:val="008D027A"/>
    <w:rsid w:val="008D152E"/>
    <w:rsid w:val="008D1974"/>
    <w:rsid w:val="008D1B95"/>
    <w:rsid w:val="008D2EE5"/>
    <w:rsid w:val="008D3557"/>
    <w:rsid w:val="008D4F32"/>
    <w:rsid w:val="008D626B"/>
    <w:rsid w:val="008D67AC"/>
    <w:rsid w:val="008D7C44"/>
    <w:rsid w:val="008E1157"/>
    <w:rsid w:val="008E3E48"/>
    <w:rsid w:val="008E47B6"/>
    <w:rsid w:val="008E5B59"/>
    <w:rsid w:val="008F00AD"/>
    <w:rsid w:val="008F0B45"/>
    <w:rsid w:val="008F0EB3"/>
    <w:rsid w:val="008F1E22"/>
    <w:rsid w:val="008F3357"/>
    <w:rsid w:val="008F52FA"/>
    <w:rsid w:val="008F6B14"/>
    <w:rsid w:val="0090004D"/>
    <w:rsid w:val="00902501"/>
    <w:rsid w:val="009036EF"/>
    <w:rsid w:val="009062FE"/>
    <w:rsid w:val="00907C21"/>
    <w:rsid w:val="009100A6"/>
    <w:rsid w:val="00912741"/>
    <w:rsid w:val="00914D19"/>
    <w:rsid w:val="00922B47"/>
    <w:rsid w:val="00923CCA"/>
    <w:rsid w:val="00925448"/>
    <w:rsid w:val="009261D4"/>
    <w:rsid w:val="009264AC"/>
    <w:rsid w:val="00934070"/>
    <w:rsid w:val="00937211"/>
    <w:rsid w:val="00944120"/>
    <w:rsid w:val="00951C87"/>
    <w:rsid w:val="009534D1"/>
    <w:rsid w:val="00953A75"/>
    <w:rsid w:val="00955C25"/>
    <w:rsid w:val="00956A39"/>
    <w:rsid w:val="0095743A"/>
    <w:rsid w:val="00957D01"/>
    <w:rsid w:val="0096346A"/>
    <w:rsid w:val="009638F9"/>
    <w:rsid w:val="009657AB"/>
    <w:rsid w:val="009717A3"/>
    <w:rsid w:val="00975BFF"/>
    <w:rsid w:val="00976805"/>
    <w:rsid w:val="00981016"/>
    <w:rsid w:val="00981C17"/>
    <w:rsid w:val="009821E8"/>
    <w:rsid w:val="009854C9"/>
    <w:rsid w:val="00985A35"/>
    <w:rsid w:val="0098745A"/>
    <w:rsid w:val="009914AE"/>
    <w:rsid w:val="009916D6"/>
    <w:rsid w:val="00991C96"/>
    <w:rsid w:val="00995F7D"/>
    <w:rsid w:val="00996C9E"/>
    <w:rsid w:val="00997CFC"/>
    <w:rsid w:val="009A10DD"/>
    <w:rsid w:val="009A3040"/>
    <w:rsid w:val="009B262C"/>
    <w:rsid w:val="009B5545"/>
    <w:rsid w:val="009C1642"/>
    <w:rsid w:val="009C1C21"/>
    <w:rsid w:val="009C64F0"/>
    <w:rsid w:val="009D0488"/>
    <w:rsid w:val="009D1345"/>
    <w:rsid w:val="009D179C"/>
    <w:rsid w:val="009D54A6"/>
    <w:rsid w:val="009D573E"/>
    <w:rsid w:val="009D7DFD"/>
    <w:rsid w:val="009E1580"/>
    <w:rsid w:val="009E2626"/>
    <w:rsid w:val="009E758D"/>
    <w:rsid w:val="009F42B2"/>
    <w:rsid w:val="00A00660"/>
    <w:rsid w:val="00A00D30"/>
    <w:rsid w:val="00A022A4"/>
    <w:rsid w:val="00A02C73"/>
    <w:rsid w:val="00A07AFB"/>
    <w:rsid w:val="00A111EB"/>
    <w:rsid w:val="00A11329"/>
    <w:rsid w:val="00A1177A"/>
    <w:rsid w:val="00A124B3"/>
    <w:rsid w:val="00A17F41"/>
    <w:rsid w:val="00A201E0"/>
    <w:rsid w:val="00A20EDB"/>
    <w:rsid w:val="00A2222A"/>
    <w:rsid w:val="00A23AEB"/>
    <w:rsid w:val="00A31F01"/>
    <w:rsid w:val="00A3371B"/>
    <w:rsid w:val="00A33F79"/>
    <w:rsid w:val="00A36F25"/>
    <w:rsid w:val="00A41545"/>
    <w:rsid w:val="00A41FE6"/>
    <w:rsid w:val="00A43258"/>
    <w:rsid w:val="00A45ADF"/>
    <w:rsid w:val="00A47D96"/>
    <w:rsid w:val="00A554EA"/>
    <w:rsid w:val="00A556BC"/>
    <w:rsid w:val="00A569E2"/>
    <w:rsid w:val="00A575D7"/>
    <w:rsid w:val="00A60D62"/>
    <w:rsid w:val="00A67F23"/>
    <w:rsid w:val="00A704A5"/>
    <w:rsid w:val="00A70E66"/>
    <w:rsid w:val="00A74AF4"/>
    <w:rsid w:val="00A75553"/>
    <w:rsid w:val="00A77725"/>
    <w:rsid w:val="00A83223"/>
    <w:rsid w:val="00A846CC"/>
    <w:rsid w:val="00A84D41"/>
    <w:rsid w:val="00A859A2"/>
    <w:rsid w:val="00A86153"/>
    <w:rsid w:val="00A90FA2"/>
    <w:rsid w:val="00A92FAF"/>
    <w:rsid w:val="00A940A9"/>
    <w:rsid w:val="00AA0B9B"/>
    <w:rsid w:val="00AA0F92"/>
    <w:rsid w:val="00AA28DF"/>
    <w:rsid w:val="00AA5473"/>
    <w:rsid w:val="00AB3C6D"/>
    <w:rsid w:val="00AB5FBD"/>
    <w:rsid w:val="00AB6902"/>
    <w:rsid w:val="00AB6C8B"/>
    <w:rsid w:val="00AC3F23"/>
    <w:rsid w:val="00AC6CB7"/>
    <w:rsid w:val="00AC7760"/>
    <w:rsid w:val="00AD3FD5"/>
    <w:rsid w:val="00AD53F8"/>
    <w:rsid w:val="00AD70DB"/>
    <w:rsid w:val="00AE3F0E"/>
    <w:rsid w:val="00AE462B"/>
    <w:rsid w:val="00AE6496"/>
    <w:rsid w:val="00AE679D"/>
    <w:rsid w:val="00AE6B07"/>
    <w:rsid w:val="00AF0709"/>
    <w:rsid w:val="00AF21F8"/>
    <w:rsid w:val="00AF4F25"/>
    <w:rsid w:val="00AF75DA"/>
    <w:rsid w:val="00B04874"/>
    <w:rsid w:val="00B051CD"/>
    <w:rsid w:val="00B0543E"/>
    <w:rsid w:val="00B06305"/>
    <w:rsid w:val="00B106E9"/>
    <w:rsid w:val="00B121EF"/>
    <w:rsid w:val="00B1652D"/>
    <w:rsid w:val="00B23167"/>
    <w:rsid w:val="00B23709"/>
    <w:rsid w:val="00B24B82"/>
    <w:rsid w:val="00B262DC"/>
    <w:rsid w:val="00B278F2"/>
    <w:rsid w:val="00B31297"/>
    <w:rsid w:val="00B31597"/>
    <w:rsid w:val="00B31689"/>
    <w:rsid w:val="00B339AE"/>
    <w:rsid w:val="00B34459"/>
    <w:rsid w:val="00B35120"/>
    <w:rsid w:val="00B37C79"/>
    <w:rsid w:val="00B4282F"/>
    <w:rsid w:val="00B44B6D"/>
    <w:rsid w:val="00B45AD6"/>
    <w:rsid w:val="00B465A8"/>
    <w:rsid w:val="00B512B8"/>
    <w:rsid w:val="00B51D6B"/>
    <w:rsid w:val="00B52F46"/>
    <w:rsid w:val="00B53594"/>
    <w:rsid w:val="00B53A34"/>
    <w:rsid w:val="00B5403A"/>
    <w:rsid w:val="00B55FF1"/>
    <w:rsid w:val="00B62085"/>
    <w:rsid w:val="00B62202"/>
    <w:rsid w:val="00B6281D"/>
    <w:rsid w:val="00B62BE9"/>
    <w:rsid w:val="00B63B5D"/>
    <w:rsid w:val="00B65165"/>
    <w:rsid w:val="00B66325"/>
    <w:rsid w:val="00B67A2B"/>
    <w:rsid w:val="00B70353"/>
    <w:rsid w:val="00B71629"/>
    <w:rsid w:val="00B77E0C"/>
    <w:rsid w:val="00B80615"/>
    <w:rsid w:val="00B816E9"/>
    <w:rsid w:val="00B822BA"/>
    <w:rsid w:val="00B83D90"/>
    <w:rsid w:val="00B84D6B"/>
    <w:rsid w:val="00B868E5"/>
    <w:rsid w:val="00B86B8D"/>
    <w:rsid w:val="00B90EFE"/>
    <w:rsid w:val="00B91640"/>
    <w:rsid w:val="00B921F7"/>
    <w:rsid w:val="00BA2535"/>
    <w:rsid w:val="00BA27DF"/>
    <w:rsid w:val="00BA472B"/>
    <w:rsid w:val="00BA4735"/>
    <w:rsid w:val="00BA5B01"/>
    <w:rsid w:val="00BA5B3C"/>
    <w:rsid w:val="00BA6BFE"/>
    <w:rsid w:val="00BA6CC0"/>
    <w:rsid w:val="00BA6EA4"/>
    <w:rsid w:val="00BA6FB4"/>
    <w:rsid w:val="00BB48D4"/>
    <w:rsid w:val="00BB56C5"/>
    <w:rsid w:val="00BB7805"/>
    <w:rsid w:val="00BC121E"/>
    <w:rsid w:val="00BC1E5D"/>
    <w:rsid w:val="00BC3181"/>
    <w:rsid w:val="00BC62BE"/>
    <w:rsid w:val="00BD0091"/>
    <w:rsid w:val="00BD05B6"/>
    <w:rsid w:val="00BD0944"/>
    <w:rsid w:val="00BD2D5B"/>
    <w:rsid w:val="00BE0D07"/>
    <w:rsid w:val="00BE35DF"/>
    <w:rsid w:val="00BE3B54"/>
    <w:rsid w:val="00BE7C3E"/>
    <w:rsid w:val="00BF199E"/>
    <w:rsid w:val="00BF6C3B"/>
    <w:rsid w:val="00BF7A58"/>
    <w:rsid w:val="00C01878"/>
    <w:rsid w:val="00C03107"/>
    <w:rsid w:val="00C04328"/>
    <w:rsid w:val="00C07993"/>
    <w:rsid w:val="00C1442B"/>
    <w:rsid w:val="00C14E24"/>
    <w:rsid w:val="00C15BE3"/>
    <w:rsid w:val="00C17633"/>
    <w:rsid w:val="00C20629"/>
    <w:rsid w:val="00C2690F"/>
    <w:rsid w:val="00C27042"/>
    <w:rsid w:val="00C3469D"/>
    <w:rsid w:val="00C35A66"/>
    <w:rsid w:val="00C37674"/>
    <w:rsid w:val="00C4059D"/>
    <w:rsid w:val="00C424F2"/>
    <w:rsid w:val="00C42554"/>
    <w:rsid w:val="00C43372"/>
    <w:rsid w:val="00C44FFD"/>
    <w:rsid w:val="00C514B5"/>
    <w:rsid w:val="00C533FD"/>
    <w:rsid w:val="00C53E1B"/>
    <w:rsid w:val="00C55F6A"/>
    <w:rsid w:val="00C5675A"/>
    <w:rsid w:val="00C56A06"/>
    <w:rsid w:val="00C60977"/>
    <w:rsid w:val="00C60DE7"/>
    <w:rsid w:val="00C64514"/>
    <w:rsid w:val="00C670C7"/>
    <w:rsid w:val="00C671FF"/>
    <w:rsid w:val="00C70BF3"/>
    <w:rsid w:val="00C7303E"/>
    <w:rsid w:val="00C734D6"/>
    <w:rsid w:val="00C74C15"/>
    <w:rsid w:val="00C77C61"/>
    <w:rsid w:val="00C913F8"/>
    <w:rsid w:val="00C915D2"/>
    <w:rsid w:val="00C91FA9"/>
    <w:rsid w:val="00C92270"/>
    <w:rsid w:val="00C93518"/>
    <w:rsid w:val="00C93B2B"/>
    <w:rsid w:val="00C95763"/>
    <w:rsid w:val="00C97BE4"/>
    <w:rsid w:val="00CA0A7C"/>
    <w:rsid w:val="00CA1B7F"/>
    <w:rsid w:val="00CA1DEA"/>
    <w:rsid w:val="00CA5D51"/>
    <w:rsid w:val="00CA5F48"/>
    <w:rsid w:val="00CA6F6F"/>
    <w:rsid w:val="00CB1584"/>
    <w:rsid w:val="00CB23E0"/>
    <w:rsid w:val="00CB2811"/>
    <w:rsid w:val="00CB32A9"/>
    <w:rsid w:val="00CB4C47"/>
    <w:rsid w:val="00CB6F23"/>
    <w:rsid w:val="00CC3F23"/>
    <w:rsid w:val="00CC4A3A"/>
    <w:rsid w:val="00CC5948"/>
    <w:rsid w:val="00CD335B"/>
    <w:rsid w:val="00CD3E20"/>
    <w:rsid w:val="00CD4CBA"/>
    <w:rsid w:val="00CD5A5C"/>
    <w:rsid w:val="00CE03CB"/>
    <w:rsid w:val="00CE1A4B"/>
    <w:rsid w:val="00CE29EF"/>
    <w:rsid w:val="00CE2DF9"/>
    <w:rsid w:val="00CE3E9B"/>
    <w:rsid w:val="00CF67BB"/>
    <w:rsid w:val="00CF6AD6"/>
    <w:rsid w:val="00CF70B7"/>
    <w:rsid w:val="00CF794E"/>
    <w:rsid w:val="00D01A74"/>
    <w:rsid w:val="00D04163"/>
    <w:rsid w:val="00D04FAE"/>
    <w:rsid w:val="00D129A5"/>
    <w:rsid w:val="00D12E34"/>
    <w:rsid w:val="00D15503"/>
    <w:rsid w:val="00D16F24"/>
    <w:rsid w:val="00D21485"/>
    <w:rsid w:val="00D22A91"/>
    <w:rsid w:val="00D22FA9"/>
    <w:rsid w:val="00D23366"/>
    <w:rsid w:val="00D23E05"/>
    <w:rsid w:val="00D25266"/>
    <w:rsid w:val="00D25CB6"/>
    <w:rsid w:val="00D2697B"/>
    <w:rsid w:val="00D3285F"/>
    <w:rsid w:val="00D32E4E"/>
    <w:rsid w:val="00D336FC"/>
    <w:rsid w:val="00D357BA"/>
    <w:rsid w:val="00D372B9"/>
    <w:rsid w:val="00D435AE"/>
    <w:rsid w:val="00D46685"/>
    <w:rsid w:val="00D46797"/>
    <w:rsid w:val="00D47373"/>
    <w:rsid w:val="00D510E3"/>
    <w:rsid w:val="00D552A1"/>
    <w:rsid w:val="00D559F1"/>
    <w:rsid w:val="00D563D2"/>
    <w:rsid w:val="00D61A1D"/>
    <w:rsid w:val="00D61E23"/>
    <w:rsid w:val="00D6268A"/>
    <w:rsid w:val="00D63963"/>
    <w:rsid w:val="00D651EF"/>
    <w:rsid w:val="00D65A05"/>
    <w:rsid w:val="00D66872"/>
    <w:rsid w:val="00D7020C"/>
    <w:rsid w:val="00D707EA"/>
    <w:rsid w:val="00D71978"/>
    <w:rsid w:val="00D72946"/>
    <w:rsid w:val="00D73869"/>
    <w:rsid w:val="00D74816"/>
    <w:rsid w:val="00D7707C"/>
    <w:rsid w:val="00D8032C"/>
    <w:rsid w:val="00D82B99"/>
    <w:rsid w:val="00D84ABB"/>
    <w:rsid w:val="00D854A1"/>
    <w:rsid w:val="00D96A6F"/>
    <w:rsid w:val="00D96C05"/>
    <w:rsid w:val="00D96CDA"/>
    <w:rsid w:val="00D97AB7"/>
    <w:rsid w:val="00DA08DA"/>
    <w:rsid w:val="00DA2173"/>
    <w:rsid w:val="00DA7F1E"/>
    <w:rsid w:val="00DB30BB"/>
    <w:rsid w:val="00DB30E8"/>
    <w:rsid w:val="00DB6B2C"/>
    <w:rsid w:val="00DC12FB"/>
    <w:rsid w:val="00DC7BFB"/>
    <w:rsid w:val="00DD19E7"/>
    <w:rsid w:val="00DD4764"/>
    <w:rsid w:val="00DD4EC6"/>
    <w:rsid w:val="00DD52F7"/>
    <w:rsid w:val="00DD5F39"/>
    <w:rsid w:val="00DE1F81"/>
    <w:rsid w:val="00DE4BC1"/>
    <w:rsid w:val="00DE6560"/>
    <w:rsid w:val="00DF09F1"/>
    <w:rsid w:val="00DF1457"/>
    <w:rsid w:val="00DF1C5C"/>
    <w:rsid w:val="00DF2934"/>
    <w:rsid w:val="00DF5AF6"/>
    <w:rsid w:val="00DF6E95"/>
    <w:rsid w:val="00E000A6"/>
    <w:rsid w:val="00E000C7"/>
    <w:rsid w:val="00E05D5E"/>
    <w:rsid w:val="00E10D63"/>
    <w:rsid w:val="00E11799"/>
    <w:rsid w:val="00E11D9E"/>
    <w:rsid w:val="00E12F5E"/>
    <w:rsid w:val="00E13F04"/>
    <w:rsid w:val="00E140AE"/>
    <w:rsid w:val="00E16454"/>
    <w:rsid w:val="00E17D95"/>
    <w:rsid w:val="00E17FF5"/>
    <w:rsid w:val="00E2083E"/>
    <w:rsid w:val="00E20D21"/>
    <w:rsid w:val="00E21036"/>
    <w:rsid w:val="00E22BBA"/>
    <w:rsid w:val="00E2549E"/>
    <w:rsid w:val="00E26DC1"/>
    <w:rsid w:val="00E30E68"/>
    <w:rsid w:val="00E35A22"/>
    <w:rsid w:val="00E36302"/>
    <w:rsid w:val="00E36730"/>
    <w:rsid w:val="00E44912"/>
    <w:rsid w:val="00E454FA"/>
    <w:rsid w:val="00E547E4"/>
    <w:rsid w:val="00E55A00"/>
    <w:rsid w:val="00E567F9"/>
    <w:rsid w:val="00E5755B"/>
    <w:rsid w:val="00E57A6C"/>
    <w:rsid w:val="00E70005"/>
    <w:rsid w:val="00E7554A"/>
    <w:rsid w:val="00E76F59"/>
    <w:rsid w:val="00E8032C"/>
    <w:rsid w:val="00E868B1"/>
    <w:rsid w:val="00E87322"/>
    <w:rsid w:val="00E908AF"/>
    <w:rsid w:val="00E93778"/>
    <w:rsid w:val="00E939B3"/>
    <w:rsid w:val="00E96432"/>
    <w:rsid w:val="00E9748C"/>
    <w:rsid w:val="00E97DB6"/>
    <w:rsid w:val="00EA0B6C"/>
    <w:rsid w:val="00EA133B"/>
    <w:rsid w:val="00EA5F6A"/>
    <w:rsid w:val="00EA7C9A"/>
    <w:rsid w:val="00EB1285"/>
    <w:rsid w:val="00EB1710"/>
    <w:rsid w:val="00EB2C18"/>
    <w:rsid w:val="00EB7375"/>
    <w:rsid w:val="00EC102C"/>
    <w:rsid w:val="00EC215B"/>
    <w:rsid w:val="00EC28FF"/>
    <w:rsid w:val="00EC29EC"/>
    <w:rsid w:val="00ED2B8E"/>
    <w:rsid w:val="00ED38BF"/>
    <w:rsid w:val="00ED4F16"/>
    <w:rsid w:val="00EE1AFA"/>
    <w:rsid w:val="00EE4FA3"/>
    <w:rsid w:val="00EF1E44"/>
    <w:rsid w:val="00EF2635"/>
    <w:rsid w:val="00EF283D"/>
    <w:rsid w:val="00EF2DCE"/>
    <w:rsid w:val="00EF3FE1"/>
    <w:rsid w:val="00F03E26"/>
    <w:rsid w:val="00F0429B"/>
    <w:rsid w:val="00F05EC5"/>
    <w:rsid w:val="00F068FB"/>
    <w:rsid w:val="00F0785F"/>
    <w:rsid w:val="00F15296"/>
    <w:rsid w:val="00F1563A"/>
    <w:rsid w:val="00F16027"/>
    <w:rsid w:val="00F16F17"/>
    <w:rsid w:val="00F22CBC"/>
    <w:rsid w:val="00F24C63"/>
    <w:rsid w:val="00F2798D"/>
    <w:rsid w:val="00F31F4B"/>
    <w:rsid w:val="00F375E2"/>
    <w:rsid w:val="00F407DA"/>
    <w:rsid w:val="00F41E05"/>
    <w:rsid w:val="00F47C26"/>
    <w:rsid w:val="00F5312A"/>
    <w:rsid w:val="00F539F8"/>
    <w:rsid w:val="00F55BC9"/>
    <w:rsid w:val="00F56BB7"/>
    <w:rsid w:val="00F56DE3"/>
    <w:rsid w:val="00F60F5F"/>
    <w:rsid w:val="00F61D87"/>
    <w:rsid w:val="00F63174"/>
    <w:rsid w:val="00F635D8"/>
    <w:rsid w:val="00F63B7F"/>
    <w:rsid w:val="00F645E3"/>
    <w:rsid w:val="00F65718"/>
    <w:rsid w:val="00F744D5"/>
    <w:rsid w:val="00F7684E"/>
    <w:rsid w:val="00F8079D"/>
    <w:rsid w:val="00F81CDB"/>
    <w:rsid w:val="00F83012"/>
    <w:rsid w:val="00F846E6"/>
    <w:rsid w:val="00F8496C"/>
    <w:rsid w:val="00F8552F"/>
    <w:rsid w:val="00F86471"/>
    <w:rsid w:val="00F87F45"/>
    <w:rsid w:val="00F91128"/>
    <w:rsid w:val="00F911D4"/>
    <w:rsid w:val="00F92B06"/>
    <w:rsid w:val="00F955C5"/>
    <w:rsid w:val="00FA4284"/>
    <w:rsid w:val="00FA584C"/>
    <w:rsid w:val="00FA6055"/>
    <w:rsid w:val="00FA7225"/>
    <w:rsid w:val="00FB1BC2"/>
    <w:rsid w:val="00FB3E91"/>
    <w:rsid w:val="00FB452A"/>
    <w:rsid w:val="00FB57E6"/>
    <w:rsid w:val="00FB7B56"/>
    <w:rsid w:val="00FC302F"/>
    <w:rsid w:val="00FC39BC"/>
    <w:rsid w:val="00FD128E"/>
    <w:rsid w:val="00FD13A8"/>
    <w:rsid w:val="00FD2E25"/>
    <w:rsid w:val="00FD4778"/>
    <w:rsid w:val="00FD70BE"/>
    <w:rsid w:val="00FD72D3"/>
    <w:rsid w:val="00FE2574"/>
    <w:rsid w:val="00FE519C"/>
    <w:rsid w:val="00FE74E6"/>
    <w:rsid w:val="00FE7C7D"/>
    <w:rsid w:val="00FE7D1B"/>
    <w:rsid w:val="00FF08CB"/>
    <w:rsid w:val="00FF0BDB"/>
    <w:rsid w:val="00FF0CCC"/>
    <w:rsid w:val="00FF7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0EECD"/>
  <w15:chartTrackingRefBased/>
  <w15:docId w15:val="{F7D55B63-3CC5-E341-A7A8-BA5711D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F283D"/>
    <w:rPr>
      <w:rFonts w:ascii="Times New Roman" w:eastAsia="Times New Roman" w:hAnsi="Times New Roman"/>
      <w:sz w:val="24"/>
      <w:szCs w:val="24"/>
    </w:rPr>
  </w:style>
  <w:style w:type="paragraph" w:styleId="Nadpis1">
    <w:name w:val="heading 1"/>
    <w:basedOn w:val="Normln"/>
    <w:next w:val="Nadpis2"/>
    <w:link w:val="Nadpis1Char"/>
    <w:uiPriority w:val="9"/>
    <w:qFormat/>
    <w:rsid w:val="00A554EA"/>
    <w:pPr>
      <w:keepNext/>
      <w:numPr>
        <w:numId w:val="1"/>
      </w:numPr>
      <w:spacing w:line="360" w:lineRule="auto"/>
      <w:ind w:left="432"/>
      <w:outlineLvl w:val="0"/>
    </w:pPr>
    <w:rPr>
      <w:b/>
      <w:color w:val="2F5496"/>
      <w:sz w:val="30"/>
    </w:rPr>
  </w:style>
  <w:style w:type="paragraph" w:styleId="Nadpis2">
    <w:name w:val="heading 2"/>
    <w:basedOn w:val="Normln"/>
    <w:next w:val="Normln"/>
    <w:link w:val="Nadpis2Char"/>
    <w:qFormat/>
    <w:rsid w:val="000263E8"/>
    <w:pPr>
      <w:keepNext/>
      <w:numPr>
        <w:ilvl w:val="1"/>
        <w:numId w:val="1"/>
      </w:numPr>
      <w:spacing w:line="360" w:lineRule="auto"/>
      <w:ind w:left="576"/>
      <w:jc w:val="both"/>
      <w:outlineLvl w:val="1"/>
    </w:pPr>
    <w:rPr>
      <w:b/>
      <w:color w:val="0070C0"/>
      <w:sz w:val="26"/>
    </w:rPr>
  </w:style>
  <w:style w:type="paragraph" w:styleId="Nadpis3">
    <w:name w:val="heading 3"/>
    <w:basedOn w:val="Normln"/>
    <w:next w:val="Normln"/>
    <w:link w:val="Nadpis3Char"/>
    <w:qFormat/>
    <w:rsid w:val="000263E8"/>
    <w:pPr>
      <w:keepNext/>
      <w:numPr>
        <w:ilvl w:val="2"/>
        <w:numId w:val="1"/>
      </w:numPr>
      <w:tabs>
        <w:tab w:val="clear" w:pos="720"/>
        <w:tab w:val="num" w:pos="1174"/>
      </w:tabs>
      <w:spacing w:line="360" w:lineRule="auto"/>
      <w:jc w:val="both"/>
      <w:outlineLvl w:val="2"/>
    </w:pPr>
    <w:rPr>
      <w:b/>
      <w:color w:val="3893E9"/>
    </w:rPr>
  </w:style>
  <w:style w:type="paragraph" w:styleId="Nadpis4">
    <w:name w:val="heading 4"/>
    <w:basedOn w:val="Normln"/>
    <w:next w:val="Normln"/>
    <w:link w:val="Nadpis4Char"/>
    <w:qFormat/>
    <w:rsid w:val="003C5855"/>
    <w:pPr>
      <w:keepNext/>
      <w:numPr>
        <w:ilvl w:val="3"/>
        <w:numId w:val="1"/>
      </w:numPr>
      <w:spacing w:before="240" w:after="60" w:line="360" w:lineRule="auto"/>
      <w:jc w:val="both"/>
      <w:outlineLvl w:val="3"/>
    </w:pPr>
    <w:rPr>
      <w:b/>
      <w:bCs/>
      <w:color w:val="829CC7"/>
      <w:szCs w:val="28"/>
    </w:rPr>
  </w:style>
  <w:style w:type="paragraph" w:styleId="Nadpis5">
    <w:name w:val="heading 5"/>
    <w:basedOn w:val="Normln"/>
    <w:next w:val="Normln"/>
    <w:link w:val="Nadpis5Char"/>
    <w:qFormat/>
    <w:rsid w:val="001D3233"/>
    <w:pPr>
      <w:numPr>
        <w:ilvl w:val="4"/>
        <w:numId w:val="1"/>
      </w:numPr>
      <w:spacing w:before="240" w:after="60" w:line="360" w:lineRule="auto"/>
      <w:jc w:val="both"/>
      <w:outlineLvl w:val="4"/>
    </w:pPr>
    <w:rPr>
      <w:b/>
      <w:bCs/>
      <w:i/>
      <w:iCs/>
      <w:sz w:val="26"/>
      <w:szCs w:val="26"/>
    </w:rPr>
  </w:style>
  <w:style w:type="paragraph" w:styleId="Nadpis6">
    <w:name w:val="heading 6"/>
    <w:basedOn w:val="Normln"/>
    <w:next w:val="Normln"/>
    <w:link w:val="Nadpis6Char"/>
    <w:qFormat/>
    <w:rsid w:val="001D3233"/>
    <w:pPr>
      <w:numPr>
        <w:ilvl w:val="5"/>
        <w:numId w:val="1"/>
      </w:numPr>
      <w:spacing w:before="240" w:after="60" w:line="360" w:lineRule="auto"/>
      <w:jc w:val="both"/>
      <w:outlineLvl w:val="5"/>
    </w:pPr>
    <w:rPr>
      <w:b/>
      <w:bCs/>
      <w:sz w:val="22"/>
      <w:szCs w:val="22"/>
    </w:rPr>
  </w:style>
  <w:style w:type="paragraph" w:styleId="Nadpis7">
    <w:name w:val="heading 7"/>
    <w:basedOn w:val="Normln"/>
    <w:next w:val="Normln"/>
    <w:link w:val="Nadpis7Char"/>
    <w:qFormat/>
    <w:rsid w:val="001D3233"/>
    <w:pPr>
      <w:numPr>
        <w:ilvl w:val="6"/>
        <w:numId w:val="1"/>
      </w:numPr>
      <w:spacing w:before="240" w:after="60" w:line="360" w:lineRule="auto"/>
      <w:jc w:val="both"/>
      <w:outlineLvl w:val="6"/>
    </w:pPr>
  </w:style>
  <w:style w:type="paragraph" w:styleId="Nadpis8">
    <w:name w:val="heading 8"/>
    <w:basedOn w:val="Normln"/>
    <w:next w:val="Normln"/>
    <w:link w:val="Nadpis8Char"/>
    <w:qFormat/>
    <w:rsid w:val="001D3233"/>
    <w:pPr>
      <w:numPr>
        <w:ilvl w:val="7"/>
        <w:numId w:val="1"/>
      </w:numPr>
      <w:spacing w:before="240" w:after="60" w:line="360" w:lineRule="auto"/>
      <w:jc w:val="both"/>
      <w:outlineLvl w:val="7"/>
    </w:pPr>
    <w:rPr>
      <w:i/>
      <w:iCs/>
    </w:rPr>
  </w:style>
  <w:style w:type="paragraph" w:styleId="Nadpis9">
    <w:name w:val="heading 9"/>
    <w:basedOn w:val="Normln"/>
    <w:next w:val="Normln"/>
    <w:link w:val="Nadpis9Char"/>
    <w:qFormat/>
    <w:rsid w:val="001D3233"/>
    <w:pPr>
      <w:numPr>
        <w:ilvl w:val="8"/>
        <w:numId w:val="1"/>
      </w:numPr>
      <w:spacing w:before="240" w:after="60" w:line="360" w:lineRule="auto"/>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A554EA"/>
    <w:rPr>
      <w:rFonts w:ascii="Times New Roman" w:eastAsia="Times New Roman" w:hAnsi="Times New Roman"/>
      <w:b/>
      <w:color w:val="2F5496"/>
      <w:sz w:val="30"/>
      <w:szCs w:val="24"/>
    </w:rPr>
  </w:style>
  <w:style w:type="character" w:customStyle="1" w:styleId="Nadpis2Char">
    <w:name w:val="Nadpis 2 Char"/>
    <w:link w:val="Nadpis2"/>
    <w:rsid w:val="000263E8"/>
    <w:rPr>
      <w:rFonts w:ascii="Times New Roman" w:eastAsia="Times New Roman" w:hAnsi="Times New Roman"/>
      <w:b/>
      <w:color w:val="0070C0"/>
      <w:sz w:val="26"/>
      <w:szCs w:val="24"/>
    </w:rPr>
  </w:style>
  <w:style w:type="character" w:customStyle="1" w:styleId="Nadpis3Char">
    <w:name w:val="Nadpis 3 Char"/>
    <w:link w:val="Nadpis3"/>
    <w:rsid w:val="000263E8"/>
    <w:rPr>
      <w:rFonts w:ascii="Times New Roman" w:eastAsia="Times New Roman" w:hAnsi="Times New Roman"/>
      <w:b/>
      <w:color w:val="3893E9"/>
      <w:sz w:val="24"/>
      <w:szCs w:val="24"/>
    </w:rPr>
  </w:style>
  <w:style w:type="character" w:customStyle="1" w:styleId="Nadpis4Char">
    <w:name w:val="Nadpis 4 Char"/>
    <w:link w:val="Nadpis4"/>
    <w:rsid w:val="003C5855"/>
    <w:rPr>
      <w:rFonts w:ascii="Times New Roman" w:eastAsia="Times New Roman" w:hAnsi="Times New Roman"/>
      <w:b/>
      <w:bCs/>
      <w:color w:val="829CC7"/>
      <w:sz w:val="24"/>
      <w:szCs w:val="28"/>
    </w:rPr>
  </w:style>
  <w:style w:type="character" w:customStyle="1" w:styleId="Nadpis5Char">
    <w:name w:val="Nadpis 5 Char"/>
    <w:link w:val="Nadpis5"/>
    <w:rsid w:val="001D3233"/>
    <w:rPr>
      <w:rFonts w:ascii="Times New Roman" w:eastAsia="Times New Roman" w:hAnsi="Times New Roman"/>
      <w:b/>
      <w:bCs/>
      <w:i/>
      <w:iCs/>
      <w:sz w:val="26"/>
      <w:szCs w:val="26"/>
    </w:rPr>
  </w:style>
  <w:style w:type="character" w:customStyle="1" w:styleId="Nadpis6Char">
    <w:name w:val="Nadpis 6 Char"/>
    <w:link w:val="Nadpis6"/>
    <w:rsid w:val="001D3233"/>
    <w:rPr>
      <w:rFonts w:ascii="Times New Roman" w:eastAsia="Times New Roman" w:hAnsi="Times New Roman"/>
      <w:b/>
      <w:bCs/>
      <w:sz w:val="22"/>
      <w:szCs w:val="22"/>
    </w:rPr>
  </w:style>
  <w:style w:type="character" w:customStyle="1" w:styleId="Nadpis7Char">
    <w:name w:val="Nadpis 7 Char"/>
    <w:link w:val="Nadpis7"/>
    <w:rsid w:val="001D3233"/>
    <w:rPr>
      <w:rFonts w:ascii="Times New Roman" w:eastAsia="Times New Roman" w:hAnsi="Times New Roman"/>
      <w:sz w:val="24"/>
      <w:szCs w:val="24"/>
    </w:rPr>
  </w:style>
  <w:style w:type="character" w:customStyle="1" w:styleId="Nadpis8Char">
    <w:name w:val="Nadpis 8 Char"/>
    <w:link w:val="Nadpis8"/>
    <w:rsid w:val="001D3233"/>
    <w:rPr>
      <w:rFonts w:ascii="Times New Roman" w:eastAsia="Times New Roman" w:hAnsi="Times New Roman"/>
      <w:i/>
      <w:iCs/>
      <w:sz w:val="24"/>
      <w:szCs w:val="24"/>
    </w:rPr>
  </w:style>
  <w:style w:type="character" w:customStyle="1" w:styleId="Nadpis9Char">
    <w:name w:val="Nadpis 9 Char"/>
    <w:link w:val="Nadpis9"/>
    <w:rsid w:val="001D3233"/>
    <w:rPr>
      <w:rFonts w:ascii="Arial" w:eastAsia="Times New Roman" w:hAnsi="Arial" w:cs="Arial"/>
      <w:sz w:val="22"/>
      <w:szCs w:val="22"/>
    </w:rPr>
  </w:style>
  <w:style w:type="paragraph" w:styleId="Titulek">
    <w:name w:val="caption"/>
    <w:basedOn w:val="Normln"/>
    <w:next w:val="Normln"/>
    <w:qFormat/>
    <w:rsid w:val="001D3233"/>
    <w:pPr>
      <w:spacing w:line="360" w:lineRule="auto"/>
      <w:ind w:firstLine="284"/>
      <w:jc w:val="center"/>
    </w:pPr>
    <w:rPr>
      <w:b/>
      <w:bCs/>
      <w:sz w:val="36"/>
    </w:rPr>
  </w:style>
  <w:style w:type="character" w:styleId="Hypertextovodkaz">
    <w:name w:val="Hyperlink"/>
    <w:uiPriority w:val="99"/>
    <w:rsid w:val="001D3233"/>
    <w:rPr>
      <w:color w:val="333333"/>
      <w:u w:val="single"/>
    </w:rPr>
  </w:style>
  <w:style w:type="paragraph" w:styleId="Nzev">
    <w:name w:val="Title"/>
    <w:basedOn w:val="Normln"/>
    <w:link w:val="NzevChar"/>
    <w:qFormat/>
    <w:rsid w:val="001D3233"/>
    <w:pPr>
      <w:spacing w:line="360" w:lineRule="auto"/>
      <w:ind w:firstLine="284"/>
      <w:jc w:val="center"/>
    </w:pPr>
    <w:rPr>
      <w:sz w:val="48"/>
    </w:rPr>
  </w:style>
  <w:style w:type="character" w:customStyle="1" w:styleId="NzevChar">
    <w:name w:val="Název Char"/>
    <w:link w:val="Nzev"/>
    <w:rsid w:val="001D3233"/>
    <w:rPr>
      <w:rFonts w:ascii="Times New Roman" w:eastAsia="Times New Roman" w:hAnsi="Times New Roman" w:cs="Times New Roman"/>
      <w:sz w:val="48"/>
      <w:szCs w:val="24"/>
      <w:lang w:eastAsia="cs-CZ"/>
    </w:rPr>
  </w:style>
  <w:style w:type="paragraph" w:styleId="Obsah1">
    <w:name w:val="toc 1"/>
    <w:basedOn w:val="Normln"/>
    <w:next w:val="Normln"/>
    <w:autoRedefine/>
    <w:uiPriority w:val="39"/>
    <w:rsid w:val="00A554EA"/>
    <w:pPr>
      <w:tabs>
        <w:tab w:val="right" w:leader="dot" w:pos="9060"/>
      </w:tabs>
      <w:spacing w:before="240" w:after="120" w:line="360" w:lineRule="auto"/>
      <w:ind w:firstLine="284"/>
    </w:pPr>
    <w:rPr>
      <w:rFonts w:ascii="Calibri" w:hAnsi="Calibri" w:cs="Calibri"/>
      <w:b/>
      <w:bCs/>
      <w:sz w:val="20"/>
      <w:szCs w:val="20"/>
    </w:rPr>
  </w:style>
  <w:style w:type="paragraph" w:styleId="Obsah2">
    <w:name w:val="toc 2"/>
    <w:basedOn w:val="Normln"/>
    <w:next w:val="Normln"/>
    <w:autoRedefine/>
    <w:uiPriority w:val="39"/>
    <w:rsid w:val="006C5A96"/>
    <w:pPr>
      <w:spacing w:before="120" w:line="360" w:lineRule="auto"/>
      <w:ind w:left="260" w:firstLine="284"/>
    </w:pPr>
    <w:rPr>
      <w:rFonts w:ascii="Calibri" w:hAnsi="Calibri" w:cs="Calibri"/>
      <w:i/>
      <w:iCs/>
      <w:sz w:val="20"/>
      <w:szCs w:val="20"/>
    </w:rPr>
  </w:style>
  <w:style w:type="paragraph" w:styleId="Textbubliny">
    <w:name w:val="Balloon Text"/>
    <w:basedOn w:val="Normln"/>
    <w:link w:val="TextbublinyChar"/>
    <w:uiPriority w:val="99"/>
    <w:semiHidden/>
    <w:unhideWhenUsed/>
    <w:rsid w:val="001D3233"/>
    <w:pPr>
      <w:ind w:firstLine="284"/>
      <w:jc w:val="both"/>
    </w:pPr>
    <w:rPr>
      <w:rFonts w:ascii="Tahoma" w:hAnsi="Tahoma" w:cs="Tahoma"/>
      <w:sz w:val="16"/>
      <w:szCs w:val="16"/>
    </w:rPr>
  </w:style>
  <w:style w:type="character" w:customStyle="1" w:styleId="TextbublinyChar">
    <w:name w:val="Text bubliny Char"/>
    <w:link w:val="Textbubliny"/>
    <w:uiPriority w:val="99"/>
    <w:semiHidden/>
    <w:rsid w:val="001D3233"/>
    <w:rPr>
      <w:rFonts w:ascii="Tahoma" w:eastAsia="Times New Roman" w:hAnsi="Tahoma" w:cs="Tahoma"/>
      <w:sz w:val="16"/>
      <w:szCs w:val="16"/>
      <w:lang w:eastAsia="cs-CZ"/>
    </w:rPr>
  </w:style>
  <w:style w:type="paragraph" w:styleId="Odstavecseseznamem">
    <w:name w:val="List Paragraph"/>
    <w:basedOn w:val="Normln"/>
    <w:uiPriority w:val="34"/>
    <w:qFormat/>
    <w:rsid w:val="001D3233"/>
    <w:pPr>
      <w:spacing w:line="360" w:lineRule="auto"/>
      <w:ind w:left="720" w:firstLine="284"/>
      <w:contextualSpacing/>
      <w:jc w:val="both"/>
    </w:pPr>
    <w:rPr>
      <w:sz w:val="26"/>
    </w:rPr>
  </w:style>
  <w:style w:type="paragraph" w:styleId="Zhlav">
    <w:name w:val="header"/>
    <w:basedOn w:val="Normln"/>
    <w:rsid w:val="00A20EDB"/>
    <w:pPr>
      <w:tabs>
        <w:tab w:val="center" w:pos="4536"/>
        <w:tab w:val="right" w:pos="9072"/>
      </w:tabs>
      <w:spacing w:line="360" w:lineRule="auto"/>
      <w:ind w:firstLine="284"/>
      <w:jc w:val="both"/>
    </w:pPr>
    <w:rPr>
      <w:sz w:val="26"/>
    </w:rPr>
  </w:style>
  <w:style w:type="paragraph" w:styleId="Zpat">
    <w:name w:val="footer"/>
    <w:basedOn w:val="Normln"/>
    <w:link w:val="ZpatChar"/>
    <w:uiPriority w:val="99"/>
    <w:rsid w:val="00A20EDB"/>
    <w:pPr>
      <w:tabs>
        <w:tab w:val="center" w:pos="4536"/>
        <w:tab w:val="right" w:pos="9072"/>
      </w:tabs>
      <w:spacing w:line="360" w:lineRule="auto"/>
      <w:ind w:firstLine="284"/>
      <w:jc w:val="both"/>
    </w:pPr>
    <w:rPr>
      <w:sz w:val="26"/>
    </w:rPr>
  </w:style>
  <w:style w:type="table" w:styleId="Mkatabulky">
    <w:name w:val="Table Grid"/>
    <w:basedOn w:val="Normlntabulka"/>
    <w:rsid w:val="003D1A5E"/>
    <w:pPr>
      <w:spacing w:line="36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61589"/>
  </w:style>
  <w:style w:type="paragraph" w:styleId="Obsah3">
    <w:name w:val="toc 3"/>
    <w:basedOn w:val="Normln"/>
    <w:next w:val="Normln"/>
    <w:autoRedefine/>
    <w:uiPriority w:val="39"/>
    <w:rsid w:val="00B63B5D"/>
    <w:pPr>
      <w:spacing w:line="360" w:lineRule="auto"/>
      <w:ind w:left="520" w:firstLine="284"/>
    </w:pPr>
    <w:rPr>
      <w:rFonts w:ascii="Calibri" w:hAnsi="Calibri" w:cs="Calibri"/>
      <w:sz w:val="20"/>
      <w:szCs w:val="20"/>
    </w:rPr>
  </w:style>
  <w:style w:type="paragraph" w:styleId="Obsah4">
    <w:name w:val="toc 4"/>
    <w:basedOn w:val="Normln"/>
    <w:next w:val="Normln"/>
    <w:autoRedefine/>
    <w:uiPriority w:val="39"/>
    <w:rsid w:val="00B63B5D"/>
    <w:pPr>
      <w:spacing w:line="360" w:lineRule="auto"/>
      <w:ind w:left="780" w:firstLine="284"/>
    </w:pPr>
    <w:rPr>
      <w:rFonts w:ascii="Calibri" w:hAnsi="Calibri" w:cs="Calibri"/>
      <w:sz w:val="20"/>
      <w:szCs w:val="20"/>
    </w:rPr>
  </w:style>
  <w:style w:type="character" w:styleId="Sledovanodkaz">
    <w:name w:val="FollowedHyperlink"/>
    <w:rsid w:val="00B63B5D"/>
    <w:rPr>
      <w:color w:val="606420"/>
      <w:u w:val="single"/>
    </w:rPr>
  </w:style>
  <w:style w:type="paragraph" w:styleId="Rejstk1">
    <w:name w:val="index 1"/>
    <w:basedOn w:val="Normln"/>
    <w:next w:val="Normln"/>
    <w:autoRedefine/>
    <w:semiHidden/>
    <w:rsid w:val="00B63B5D"/>
    <w:pPr>
      <w:spacing w:line="360" w:lineRule="auto"/>
      <w:ind w:left="260" w:hanging="260"/>
    </w:pPr>
    <w:rPr>
      <w:sz w:val="20"/>
      <w:szCs w:val="20"/>
    </w:rPr>
  </w:style>
  <w:style w:type="paragraph" w:styleId="Rejstk2">
    <w:name w:val="index 2"/>
    <w:basedOn w:val="Normln"/>
    <w:next w:val="Normln"/>
    <w:autoRedefine/>
    <w:semiHidden/>
    <w:rsid w:val="00B63B5D"/>
    <w:pPr>
      <w:spacing w:line="360" w:lineRule="auto"/>
      <w:ind w:left="520" w:hanging="260"/>
    </w:pPr>
    <w:rPr>
      <w:sz w:val="20"/>
      <w:szCs w:val="20"/>
    </w:rPr>
  </w:style>
  <w:style w:type="paragraph" w:styleId="Rejstk3">
    <w:name w:val="index 3"/>
    <w:basedOn w:val="Normln"/>
    <w:next w:val="Normln"/>
    <w:autoRedefine/>
    <w:semiHidden/>
    <w:rsid w:val="00B63B5D"/>
    <w:pPr>
      <w:spacing w:line="360" w:lineRule="auto"/>
      <w:ind w:left="780" w:hanging="260"/>
    </w:pPr>
    <w:rPr>
      <w:sz w:val="20"/>
      <w:szCs w:val="20"/>
    </w:rPr>
  </w:style>
  <w:style w:type="paragraph" w:styleId="Rejstk4">
    <w:name w:val="index 4"/>
    <w:basedOn w:val="Normln"/>
    <w:next w:val="Normln"/>
    <w:autoRedefine/>
    <w:semiHidden/>
    <w:rsid w:val="00B63B5D"/>
    <w:pPr>
      <w:spacing w:line="360" w:lineRule="auto"/>
      <w:ind w:left="1040" w:hanging="260"/>
    </w:pPr>
    <w:rPr>
      <w:sz w:val="20"/>
      <w:szCs w:val="20"/>
    </w:rPr>
  </w:style>
  <w:style w:type="paragraph" w:styleId="Rejstk5">
    <w:name w:val="index 5"/>
    <w:basedOn w:val="Normln"/>
    <w:next w:val="Normln"/>
    <w:autoRedefine/>
    <w:semiHidden/>
    <w:rsid w:val="00B63B5D"/>
    <w:pPr>
      <w:spacing w:line="360" w:lineRule="auto"/>
      <w:ind w:left="1300" w:hanging="260"/>
    </w:pPr>
    <w:rPr>
      <w:sz w:val="20"/>
      <w:szCs w:val="20"/>
    </w:rPr>
  </w:style>
  <w:style w:type="paragraph" w:styleId="Rejstk6">
    <w:name w:val="index 6"/>
    <w:basedOn w:val="Normln"/>
    <w:next w:val="Normln"/>
    <w:autoRedefine/>
    <w:semiHidden/>
    <w:rsid w:val="00B63B5D"/>
    <w:pPr>
      <w:spacing w:line="360" w:lineRule="auto"/>
      <w:ind w:left="1560" w:hanging="260"/>
    </w:pPr>
    <w:rPr>
      <w:sz w:val="20"/>
      <w:szCs w:val="20"/>
    </w:rPr>
  </w:style>
  <w:style w:type="paragraph" w:styleId="Rejstk7">
    <w:name w:val="index 7"/>
    <w:basedOn w:val="Normln"/>
    <w:next w:val="Normln"/>
    <w:autoRedefine/>
    <w:semiHidden/>
    <w:rsid w:val="00B63B5D"/>
    <w:pPr>
      <w:spacing w:line="360" w:lineRule="auto"/>
      <w:ind w:left="1820" w:hanging="260"/>
    </w:pPr>
    <w:rPr>
      <w:sz w:val="20"/>
      <w:szCs w:val="20"/>
    </w:rPr>
  </w:style>
  <w:style w:type="paragraph" w:styleId="Rejstk8">
    <w:name w:val="index 8"/>
    <w:basedOn w:val="Normln"/>
    <w:next w:val="Normln"/>
    <w:autoRedefine/>
    <w:semiHidden/>
    <w:rsid w:val="00B63B5D"/>
    <w:pPr>
      <w:spacing w:line="360" w:lineRule="auto"/>
      <w:ind w:left="2080" w:hanging="260"/>
    </w:pPr>
    <w:rPr>
      <w:sz w:val="20"/>
      <w:szCs w:val="20"/>
    </w:rPr>
  </w:style>
  <w:style w:type="paragraph" w:styleId="Rejstk9">
    <w:name w:val="index 9"/>
    <w:basedOn w:val="Normln"/>
    <w:next w:val="Normln"/>
    <w:autoRedefine/>
    <w:semiHidden/>
    <w:rsid w:val="00B63B5D"/>
    <w:pPr>
      <w:spacing w:line="360" w:lineRule="auto"/>
      <w:ind w:left="2340" w:hanging="260"/>
    </w:pPr>
    <w:rPr>
      <w:sz w:val="20"/>
      <w:szCs w:val="20"/>
    </w:rPr>
  </w:style>
  <w:style w:type="paragraph" w:styleId="Hlavikarejstku">
    <w:name w:val="index heading"/>
    <w:basedOn w:val="Normln"/>
    <w:next w:val="Rejstk1"/>
    <w:semiHidden/>
    <w:rsid w:val="00B63B5D"/>
    <w:pPr>
      <w:spacing w:before="120" w:after="120" w:line="360" w:lineRule="auto"/>
      <w:ind w:firstLine="284"/>
    </w:pPr>
    <w:rPr>
      <w:b/>
      <w:bCs/>
      <w:i/>
      <w:iCs/>
      <w:sz w:val="20"/>
      <w:szCs w:val="20"/>
    </w:rPr>
  </w:style>
  <w:style w:type="paragraph" w:styleId="Normlnweb">
    <w:name w:val="Normal (Web)"/>
    <w:basedOn w:val="Normln"/>
    <w:link w:val="NormlnwebChar"/>
    <w:uiPriority w:val="99"/>
    <w:rsid w:val="006C5A96"/>
    <w:pPr>
      <w:spacing w:line="360" w:lineRule="auto"/>
      <w:ind w:firstLine="284"/>
      <w:jc w:val="both"/>
    </w:pPr>
  </w:style>
  <w:style w:type="paragraph" w:customStyle="1" w:styleId="Nadpis15">
    <w:name w:val="Nadpis15"/>
    <w:basedOn w:val="Normln"/>
    <w:link w:val="Nadpis15Char"/>
    <w:rsid w:val="006C5A96"/>
    <w:pPr>
      <w:spacing w:line="360" w:lineRule="auto"/>
      <w:jc w:val="both"/>
    </w:pPr>
  </w:style>
  <w:style w:type="character" w:customStyle="1" w:styleId="NormlnwebChar">
    <w:name w:val="Normální (web) Char"/>
    <w:link w:val="Normlnweb"/>
    <w:rsid w:val="006C5A96"/>
    <w:rPr>
      <w:sz w:val="24"/>
      <w:szCs w:val="24"/>
      <w:lang w:val="cs-CZ" w:eastAsia="cs-CZ" w:bidi="ar-SA"/>
    </w:rPr>
  </w:style>
  <w:style w:type="character" w:customStyle="1" w:styleId="Nadpis15Char">
    <w:name w:val="Nadpis15 Char"/>
    <w:link w:val="Nadpis15"/>
    <w:rsid w:val="006C5A96"/>
    <w:rPr>
      <w:sz w:val="24"/>
      <w:szCs w:val="24"/>
      <w:lang w:val="cs-CZ" w:eastAsia="cs-CZ" w:bidi="ar-SA"/>
    </w:rPr>
  </w:style>
  <w:style w:type="character" w:customStyle="1" w:styleId="ZpatChar">
    <w:name w:val="Zápatí Char"/>
    <w:link w:val="Zpat"/>
    <w:uiPriority w:val="99"/>
    <w:rsid w:val="008314EE"/>
    <w:rPr>
      <w:rFonts w:ascii="Times New Roman" w:eastAsia="Times New Roman" w:hAnsi="Times New Roman"/>
      <w:sz w:val="26"/>
      <w:szCs w:val="24"/>
    </w:rPr>
  </w:style>
  <w:style w:type="paragraph" w:styleId="Zkladntextodsazen">
    <w:name w:val="Body Text Indent"/>
    <w:basedOn w:val="Normln"/>
    <w:link w:val="ZkladntextodsazenChar"/>
    <w:semiHidden/>
    <w:rsid w:val="00D510E3"/>
    <w:pPr>
      <w:ind w:left="900" w:hanging="900"/>
    </w:pPr>
  </w:style>
  <w:style w:type="character" w:customStyle="1" w:styleId="ZkladntextodsazenChar">
    <w:name w:val="Základní text odsazený Char"/>
    <w:link w:val="Zkladntextodsazen"/>
    <w:semiHidden/>
    <w:rsid w:val="00D510E3"/>
    <w:rPr>
      <w:rFonts w:ascii="Times New Roman" w:eastAsia="Times New Roman" w:hAnsi="Times New Roman"/>
      <w:sz w:val="24"/>
      <w:szCs w:val="24"/>
    </w:rPr>
  </w:style>
  <w:style w:type="paragraph" w:styleId="Nadpisobsahu">
    <w:name w:val="TOC Heading"/>
    <w:basedOn w:val="Nadpis1"/>
    <w:next w:val="Normln"/>
    <w:uiPriority w:val="39"/>
    <w:unhideWhenUsed/>
    <w:qFormat/>
    <w:rsid w:val="00D2697B"/>
    <w:pPr>
      <w:keepLines/>
      <w:numPr>
        <w:numId w:val="0"/>
      </w:numPr>
      <w:spacing w:before="240" w:line="259" w:lineRule="auto"/>
      <w:outlineLvl w:val="9"/>
    </w:pPr>
    <w:rPr>
      <w:rFonts w:ascii="Calibri Light" w:hAnsi="Calibri Light"/>
      <w:b w:val="0"/>
      <w:szCs w:val="32"/>
    </w:rPr>
  </w:style>
  <w:style w:type="character" w:customStyle="1" w:styleId="Nevyeenzmnka1">
    <w:name w:val="Nevyřešená zmínka1"/>
    <w:uiPriority w:val="99"/>
    <w:semiHidden/>
    <w:unhideWhenUsed/>
    <w:rsid w:val="00D73869"/>
    <w:rPr>
      <w:color w:val="605E5C"/>
      <w:shd w:val="clear" w:color="auto" w:fill="E1DFDD"/>
    </w:rPr>
  </w:style>
  <w:style w:type="paragraph" w:styleId="Bezmezer">
    <w:name w:val="No Spacing"/>
    <w:uiPriority w:val="1"/>
    <w:qFormat/>
    <w:rsid w:val="00B5403A"/>
    <w:pPr>
      <w:ind w:firstLine="284"/>
      <w:jc w:val="both"/>
    </w:pPr>
    <w:rPr>
      <w:rFonts w:ascii="Times New Roman" w:eastAsia="Times New Roman" w:hAnsi="Times New Roman"/>
      <w:sz w:val="26"/>
      <w:szCs w:val="24"/>
    </w:rPr>
  </w:style>
  <w:style w:type="paragraph" w:styleId="Obsah5">
    <w:name w:val="toc 5"/>
    <w:basedOn w:val="Normln"/>
    <w:next w:val="Normln"/>
    <w:autoRedefine/>
    <w:uiPriority w:val="39"/>
    <w:semiHidden/>
    <w:unhideWhenUsed/>
    <w:rsid w:val="005F6936"/>
    <w:pPr>
      <w:spacing w:line="360" w:lineRule="auto"/>
      <w:ind w:left="1040" w:firstLine="284"/>
    </w:pPr>
    <w:rPr>
      <w:rFonts w:ascii="Calibri" w:hAnsi="Calibri" w:cs="Calibri"/>
      <w:sz w:val="20"/>
      <w:szCs w:val="20"/>
    </w:rPr>
  </w:style>
  <w:style w:type="paragraph" w:styleId="Obsah6">
    <w:name w:val="toc 6"/>
    <w:basedOn w:val="Normln"/>
    <w:next w:val="Normln"/>
    <w:autoRedefine/>
    <w:uiPriority w:val="39"/>
    <w:semiHidden/>
    <w:unhideWhenUsed/>
    <w:rsid w:val="005F6936"/>
    <w:pPr>
      <w:spacing w:line="360" w:lineRule="auto"/>
      <w:ind w:left="1300" w:firstLine="284"/>
    </w:pPr>
    <w:rPr>
      <w:rFonts w:ascii="Calibri" w:hAnsi="Calibri" w:cs="Calibri"/>
      <w:sz w:val="20"/>
      <w:szCs w:val="20"/>
    </w:rPr>
  </w:style>
  <w:style w:type="paragraph" w:styleId="Obsah7">
    <w:name w:val="toc 7"/>
    <w:basedOn w:val="Normln"/>
    <w:next w:val="Normln"/>
    <w:autoRedefine/>
    <w:uiPriority w:val="39"/>
    <w:semiHidden/>
    <w:unhideWhenUsed/>
    <w:rsid w:val="005F6936"/>
    <w:pPr>
      <w:spacing w:line="360" w:lineRule="auto"/>
      <w:ind w:left="1560" w:firstLine="284"/>
    </w:pPr>
    <w:rPr>
      <w:rFonts w:ascii="Calibri" w:hAnsi="Calibri" w:cs="Calibri"/>
      <w:sz w:val="20"/>
      <w:szCs w:val="20"/>
    </w:rPr>
  </w:style>
  <w:style w:type="paragraph" w:styleId="Obsah8">
    <w:name w:val="toc 8"/>
    <w:basedOn w:val="Normln"/>
    <w:next w:val="Normln"/>
    <w:autoRedefine/>
    <w:uiPriority w:val="39"/>
    <w:semiHidden/>
    <w:unhideWhenUsed/>
    <w:rsid w:val="005F6936"/>
    <w:pPr>
      <w:spacing w:line="360" w:lineRule="auto"/>
      <w:ind w:left="1820" w:firstLine="284"/>
    </w:pPr>
    <w:rPr>
      <w:rFonts w:ascii="Calibri" w:hAnsi="Calibri" w:cs="Calibri"/>
      <w:sz w:val="20"/>
      <w:szCs w:val="20"/>
    </w:rPr>
  </w:style>
  <w:style w:type="paragraph" w:styleId="Obsah9">
    <w:name w:val="toc 9"/>
    <w:basedOn w:val="Normln"/>
    <w:next w:val="Normln"/>
    <w:autoRedefine/>
    <w:uiPriority w:val="39"/>
    <w:semiHidden/>
    <w:unhideWhenUsed/>
    <w:rsid w:val="005F6936"/>
    <w:pPr>
      <w:spacing w:line="360" w:lineRule="auto"/>
      <w:ind w:left="2080" w:firstLine="284"/>
    </w:pPr>
    <w:rPr>
      <w:rFonts w:ascii="Calibri" w:hAnsi="Calibri" w:cs="Calibri"/>
      <w:sz w:val="20"/>
      <w:szCs w:val="20"/>
    </w:rPr>
  </w:style>
  <w:style w:type="table" w:styleId="Svtlmkatabulky">
    <w:name w:val="Grid Table Light"/>
    <w:basedOn w:val="Normlntabulka"/>
    <w:uiPriority w:val="40"/>
    <w:rsid w:val="004B5C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4B5C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1">
    <w:name w:val="Grid Table 1 Light Accent 1"/>
    <w:basedOn w:val="Normlntabulka"/>
    <w:uiPriority w:val="46"/>
    <w:rsid w:val="004B5CD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4B5CD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lkasmkou2zvraznn1">
    <w:name w:val="Grid Table 2 Accent 1"/>
    <w:basedOn w:val="Normlntabulka"/>
    <w:uiPriority w:val="47"/>
    <w:rsid w:val="004B5CD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ulkasmkou2zvraznn3">
    <w:name w:val="Grid Table 2 Accent 3"/>
    <w:basedOn w:val="Normlntabulka"/>
    <w:uiPriority w:val="47"/>
    <w:rsid w:val="004B5CD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lkasmkou2zvraznn5">
    <w:name w:val="Grid Table 2 Accent 5"/>
    <w:basedOn w:val="Normlntabulka"/>
    <w:uiPriority w:val="47"/>
    <w:rsid w:val="004B5CD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Barevntabulkasmkou6zvraznn1">
    <w:name w:val="Grid Table 6 Colorful Accent 1"/>
    <w:basedOn w:val="Normlntabulka"/>
    <w:uiPriority w:val="51"/>
    <w:rsid w:val="004B5CD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Barevntabulkasmkou6zvraznn3">
    <w:name w:val="Grid Table 6 Colorful Accent 3"/>
    <w:basedOn w:val="Normlntabulka"/>
    <w:uiPriority w:val="51"/>
    <w:rsid w:val="004B5CD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revntabulkasmkou6zvraznn5">
    <w:name w:val="Grid Table 6 Colorful Accent 5"/>
    <w:basedOn w:val="Normlntabulka"/>
    <w:uiPriority w:val="51"/>
    <w:rsid w:val="004B5CD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ulkaseznamu2zvraznn3">
    <w:name w:val="List Table 2 Accent 3"/>
    <w:basedOn w:val="Normlntabulka"/>
    <w:uiPriority w:val="47"/>
    <w:rsid w:val="004B5CD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ibliografie">
    <w:name w:val="Bibliography"/>
    <w:basedOn w:val="Normln"/>
    <w:next w:val="Normln"/>
    <w:uiPriority w:val="37"/>
    <w:unhideWhenUsed/>
    <w:rsid w:val="00C93518"/>
  </w:style>
  <w:style w:type="paragraph" w:styleId="Seznamobrzk">
    <w:name w:val="table of figures"/>
    <w:basedOn w:val="Normln"/>
    <w:next w:val="Normln"/>
    <w:uiPriority w:val="99"/>
    <w:unhideWhenUsed/>
    <w:rsid w:val="007042BB"/>
  </w:style>
  <w:style w:type="character" w:styleId="Odkaznakoment">
    <w:name w:val="annotation reference"/>
    <w:basedOn w:val="Standardnpsmoodstavce"/>
    <w:uiPriority w:val="99"/>
    <w:semiHidden/>
    <w:unhideWhenUsed/>
    <w:rsid w:val="004934C1"/>
    <w:rPr>
      <w:sz w:val="16"/>
      <w:szCs w:val="16"/>
    </w:rPr>
  </w:style>
  <w:style w:type="paragraph" w:styleId="Textkomente">
    <w:name w:val="annotation text"/>
    <w:basedOn w:val="Normln"/>
    <w:link w:val="TextkomenteChar"/>
    <w:uiPriority w:val="99"/>
    <w:semiHidden/>
    <w:unhideWhenUsed/>
    <w:rsid w:val="004934C1"/>
    <w:rPr>
      <w:sz w:val="20"/>
      <w:szCs w:val="20"/>
    </w:rPr>
  </w:style>
  <w:style w:type="character" w:customStyle="1" w:styleId="TextkomenteChar">
    <w:name w:val="Text komentáře Char"/>
    <w:basedOn w:val="Standardnpsmoodstavce"/>
    <w:link w:val="Textkomente"/>
    <w:uiPriority w:val="99"/>
    <w:semiHidden/>
    <w:rsid w:val="004934C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4934C1"/>
    <w:rPr>
      <w:b/>
      <w:bCs/>
    </w:rPr>
  </w:style>
  <w:style w:type="character" w:customStyle="1" w:styleId="PedmtkomenteChar">
    <w:name w:val="Předmět komentáře Char"/>
    <w:basedOn w:val="TextkomenteChar"/>
    <w:link w:val="Pedmtkomente"/>
    <w:uiPriority w:val="99"/>
    <w:semiHidden/>
    <w:rsid w:val="004934C1"/>
    <w:rPr>
      <w:rFonts w:ascii="Times New Roman" w:eastAsia="Times New Roman" w:hAnsi="Times New Roman"/>
      <w:b/>
      <w:bCs/>
    </w:rPr>
  </w:style>
  <w:style w:type="character" w:styleId="Nevyeenzmnka">
    <w:name w:val="Unresolved Mention"/>
    <w:basedOn w:val="Standardnpsmoodstavce"/>
    <w:uiPriority w:val="99"/>
    <w:semiHidden/>
    <w:unhideWhenUsed/>
    <w:rsid w:val="00481890"/>
    <w:rPr>
      <w:color w:val="605E5C"/>
      <w:shd w:val="clear" w:color="auto" w:fill="E1DFDD"/>
    </w:rPr>
  </w:style>
  <w:style w:type="character" w:styleId="Siln">
    <w:name w:val="Strong"/>
    <w:basedOn w:val="Standardnpsmoodstavce"/>
    <w:uiPriority w:val="22"/>
    <w:qFormat/>
    <w:rsid w:val="00F0429B"/>
    <w:rPr>
      <w:b/>
      <w:bCs/>
    </w:rPr>
  </w:style>
  <w:style w:type="character" w:styleId="Zstupntext">
    <w:name w:val="Placeholder Text"/>
    <w:basedOn w:val="Standardnpsmoodstavce"/>
    <w:uiPriority w:val="99"/>
    <w:semiHidden/>
    <w:rsid w:val="002E7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9101">
      <w:bodyDiv w:val="1"/>
      <w:marLeft w:val="0"/>
      <w:marRight w:val="0"/>
      <w:marTop w:val="0"/>
      <w:marBottom w:val="0"/>
      <w:divBdr>
        <w:top w:val="none" w:sz="0" w:space="0" w:color="auto"/>
        <w:left w:val="none" w:sz="0" w:space="0" w:color="auto"/>
        <w:bottom w:val="none" w:sz="0" w:space="0" w:color="auto"/>
        <w:right w:val="none" w:sz="0" w:space="0" w:color="auto"/>
      </w:divBdr>
    </w:div>
    <w:div w:id="8528018">
      <w:bodyDiv w:val="1"/>
      <w:marLeft w:val="0"/>
      <w:marRight w:val="0"/>
      <w:marTop w:val="0"/>
      <w:marBottom w:val="0"/>
      <w:divBdr>
        <w:top w:val="none" w:sz="0" w:space="0" w:color="auto"/>
        <w:left w:val="none" w:sz="0" w:space="0" w:color="auto"/>
        <w:bottom w:val="none" w:sz="0" w:space="0" w:color="auto"/>
        <w:right w:val="none" w:sz="0" w:space="0" w:color="auto"/>
      </w:divBdr>
    </w:div>
    <w:div w:id="16809034">
      <w:bodyDiv w:val="1"/>
      <w:marLeft w:val="0"/>
      <w:marRight w:val="0"/>
      <w:marTop w:val="0"/>
      <w:marBottom w:val="0"/>
      <w:divBdr>
        <w:top w:val="none" w:sz="0" w:space="0" w:color="auto"/>
        <w:left w:val="none" w:sz="0" w:space="0" w:color="auto"/>
        <w:bottom w:val="none" w:sz="0" w:space="0" w:color="auto"/>
        <w:right w:val="none" w:sz="0" w:space="0" w:color="auto"/>
      </w:divBdr>
    </w:div>
    <w:div w:id="22244058">
      <w:bodyDiv w:val="1"/>
      <w:marLeft w:val="0"/>
      <w:marRight w:val="0"/>
      <w:marTop w:val="0"/>
      <w:marBottom w:val="0"/>
      <w:divBdr>
        <w:top w:val="none" w:sz="0" w:space="0" w:color="auto"/>
        <w:left w:val="none" w:sz="0" w:space="0" w:color="auto"/>
        <w:bottom w:val="none" w:sz="0" w:space="0" w:color="auto"/>
        <w:right w:val="none" w:sz="0" w:space="0" w:color="auto"/>
      </w:divBdr>
    </w:div>
    <w:div w:id="33579828">
      <w:bodyDiv w:val="1"/>
      <w:marLeft w:val="0"/>
      <w:marRight w:val="0"/>
      <w:marTop w:val="0"/>
      <w:marBottom w:val="0"/>
      <w:divBdr>
        <w:top w:val="none" w:sz="0" w:space="0" w:color="auto"/>
        <w:left w:val="none" w:sz="0" w:space="0" w:color="auto"/>
        <w:bottom w:val="none" w:sz="0" w:space="0" w:color="auto"/>
        <w:right w:val="none" w:sz="0" w:space="0" w:color="auto"/>
      </w:divBdr>
    </w:div>
    <w:div w:id="83113763">
      <w:bodyDiv w:val="1"/>
      <w:marLeft w:val="0"/>
      <w:marRight w:val="0"/>
      <w:marTop w:val="0"/>
      <w:marBottom w:val="0"/>
      <w:divBdr>
        <w:top w:val="none" w:sz="0" w:space="0" w:color="auto"/>
        <w:left w:val="none" w:sz="0" w:space="0" w:color="auto"/>
        <w:bottom w:val="none" w:sz="0" w:space="0" w:color="auto"/>
        <w:right w:val="none" w:sz="0" w:space="0" w:color="auto"/>
      </w:divBdr>
    </w:div>
    <w:div w:id="84425333">
      <w:bodyDiv w:val="1"/>
      <w:marLeft w:val="0"/>
      <w:marRight w:val="0"/>
      <w:marTop w:val="0"/>
      <w:marBottom w:val="0"/>
      <w:divBdr>
        <w:top w:val="none" w:sz="0" w:space="0" w:color="auto"/>
        <w:left w:val="none" w:sz="0" w:space="0" w:color="auto"/>
        <w:bottom w:val="none" w:sz="0" w:space="0" w:color="auto"/>
        <w:right w:val="none" w:sz="0" w:space="0" w:color="auto"/>
      </w:divBdr>
    </w:div>
    <w:div w:id="96297035">
      <w:bodyDiv w:val="1"/>
      <w:marLeft w:val="0"/>
      <w:marRight w:val="0"/>
      <w:marTop w:val="0"/>
      <w:marBottom w:val="0"/>
      <w:divBdr>
        <w:top w:val="none" w:sz="0" w:space="0" w:color="auto"/>
        <w:left w:val="none" w:sz="0" w:space="0" w:color="auto"/>
        <w:bottom w:val="none" w:sz="0" w:space="0" w:color="auto"/>
        <w:right w:val="none" w:sz="0" w:space="0" w:color="auto"/>
      </w:divBdr>
    </w:div>
    <w:div w:id="113837538">
      <w:bodyDiv w:val="1"/>
      <w:marLeft w:val="0"/>
      <w:marRight w:val="0"/>
      <w:marTop w:val="0"/>
      <w:marBottom w:val="0"/>
      <w:divBdr>
        <w:top w:val="none" w:sz="0" w:space="0" w:color="auto"/>
        <w:left w:val="none" w:sz="0" w:space="0" w:color="auto"/>
        <w:bottom w:val="none" w:sz="0" w:space="0" w:color="auto"/>
        <w:right w:val="none" w:sz="0" w:space="0" w:color="auto"/>
      </w:divBdr>
    </w:div>
    <w:div w:id="114520612">
      <w:bodyDiv w:val="1"/>
      <w:marLeft w:val="0"/>
      <w:marRight w:val="0"/>
      <w:marTop w:val="0"/>
      <w:marBottom w:val="0"/>
      <w:divBdr>
        <w:top w:val="none" w:sz="0" w:space="0" w:color="auto"/>
        <w:left w:val="none" w:sz="0" w:space="0" w:color="auto"/>
        <w:bottom w:val="none" w:sz="0" w:space="0" w:color="auto"/>
        <w:right w:val="none" w:sz="0" w:space="0" w:color="auto"/>
      </w:divBdr>
    </w:div>
    <w:div w:id="150289968">
      <w:bodyDiv w:val="1"/>
      <w:marLeft w:val="0"/>
      <w:marRight w:val="0"/>
      <w:marTop w:val="0"/>
      <w:marBottom w:val="0"/>
      <w:divBdr>
        <w:top w:val="none" w:sz="0" w:space="0" w:color="auto"/>
        <w:left w:val="none" w:sz="0" w:space="0" w:color="auto"/>
        <w:bottom w:val="none" w:sz="0" w:space="0" w:color="auto"/>
        <w:right w:val="none" w:sz="0" w:space="0" w:color="auto"/>
      </w:divBdr>
    </w:div>
    <w:div w:id="161626850">
      <w:bodyDiv w:val="1"/>
      <w:marLeft w:val="0"/>
      <w:marRight w:val="0"/>
      <w:marTop w:val="0"/>
      <w:marBottom w:val="0"/>
      <w:divBdr>
        <w:top w:val="none" w:sz="0" w:space="0" w:color="auto"/>
        <w:left w:val="none" w:sz="0" w:space="0" w:color="auto"/>
        <w:bottom w:val="none" w:sz="0" w:space="0" w:color="auto"/>
        <w:right w:val="none" w:sz="0" w:space="0" w:color="auto"/>
      </w:divBdr>
    </w:div>
    <w:div w:id="204368792">
      <w:bodyDiv w:val="1"/>
      <w:marLeft w:val="0"/>
      <w:marRight w:val="0"/>
      <w:marTop w:val="0"/>
      <w:marBottom w:val="0"/>
      <w:divBdr>
        <w:top w:val="none" w:sz="0" w:space="0" w:color="auto"/>
        <w:left w:val="none" w:sz="0" w:space="0" w:color="auto"/>
        <w:bottom w:val="none" w:sz="0" w:space="0" w:color="auto"/>
        <w:right w:val="none" w:sz="0" w:space="0" w:color="auto"/>
      </w:divBdr>
    </w:div>
    <w:div w:id="204875313">
      <w:bodyDiv w:val="1"/>
      <w:marLeft w:val="0"/>
      <w:marRight w:val="0"/>
      <w:marTop w:val="0"/>
      <w:marBottom w:val="0"/>
      <w:divBdr>
        <w:top w:val="none" w:sz="0" w:space="0" w:color="auto"/>
        <w:left w:val="none" w:sz="0" w:space="0" w:color="auto"/>
        <w:bottom w:val="none" w:sz="0" w:space="0" w:color="auto"/>
        <w:right w:val="none" w:sz="0" w:space="0" w:color="auto"/>
      </w:divBdr>
    </w:div>
    <w:div w:id="217866638">
      <w:bodyDiv w:val="1"/>
      <w:marLeft w:val="0"/>
      <w:marRight w:val="0"/>
      <w:marTop w:val="0"/>
      <w:marBottom w:val="0"/>
      <w:divBdr>
        <w:top w:val="none" w:sz="0" w:space="0" w:color="auto"/>
        <w:left w:val="none" w:sz="0" w:space="0" w:color="auto"/>
        <w:bottom w:val="none" w:sz="0" w:space="0" w:color="auto"/>
        <w:right w:val="none" w:sz="0" w:space="0" w:color="auto"/>
      </w:divBdr>
    </w:div>
    <w:div w:id="221067006">
      <w:bodyDiv w:val="1"/>
      <w:marLeft w:val="0"/>
      <w:marRight w:val="0"/>
      <w:marTop w:val="0"/>
      <w:marBottom w:val="0"/>
      <w:divBdr>
        <w:top w:val="none" w:sz="0" w:space="0" w:color="auto"/>
        <w:left w:val="none" w:sz="0" w:space="0" w:color="auto"/>
        <w:bottom w:val="none" w:sz="0" w:space="0" w:color="auto"/>
        <w:right w:val="none" w:sz="0" w:space="0" w:color="auto"/>
      </w:divBdr>
    </w:div>
    <w:div w:id="230121195">
      <w:bodyDiv w:val="1"/>
      <w:marLeft w:val="0"/>
      <w:marRight w:val="0"/>
      <w:marTop w:val="0"/>
      <w:marBottom w:val="0"/>
      <w:divBdr>
        <w:top w:val="none" w:sz="0" w:space="0" w:color="auto"/>
        <w:left w:val="none" w:sz="0" w:space="0" w:color="auto"/>
        <w:bottom w:val="none" w:sz="0" w:space="0" w:color="auto"/>
        <w:right w:val="none" w:sz="0" w:space="0" w:color="auto"/>
      </w:divBdr>
    </w:div>
    <w:div w:id="242228061">
      <w:bodyDiv w:val="1"/>
      <w:marLeft w:val="0"/>
      <w:marRight w:val="0"/>
      <w:marTop w:val="0"/>
      <w:marBottom w:val="0"/>
      <w:divBdr>
        <w:top w:val="none" w:sz="0" w:space="0" w:color="auto"/>
        <w:left w:val="none" w:sz="0" w:space="0" w:color="auto"/>
        <w:bottom w:val="none" w:sz="0" w:space="0" w:color="auto"/>
        <w:right w:val="none" w:sz="0" w:space="0" w:color="auto"/>
      </w:divBdr>
    </w:div>
    <w:div w:id="244800715">
      <w:bodyDiv w:val="1"/>
      <w:marLeft w:val="0"/>
      <w:marRight w:val="0"/>
      <w:marTop w:val="0"/>
      <w:marBottom w:val="0"/>
      <w:divBdr>
        <w:top w:val="none" w:sz="0" w:space="0" w:color="auto"/>
        <w:left w:val="none" w:sz="0" w:space="0" w:color="auto"/>
        <w:bottom w:val="none" w:sz="0" w:space="0" w:color="auto"/>
        <w:right w:val="none" w:sz="0" w:space="0" w:color="auto"/>
      </w:divBdr>
    </w:div>
    <w:div w:id="254367754">
      <w:bodyDiv w:val="1"/>
      <w:marLeft w:val="0"/>
      <w:marRight w:val="0"/>
      <w:marTop w:val="0"/>
      <w:marBottom w:val="0"/>
      <w:divBdr>
        <w:top w:val="none" w:sz="0" w:space="0" w:color="auto"/>
        <w:left w:val="none" w:sz="0" w:space="0" w:color="auto"/>
        <w:bottom w:val="none" w:sz="0" w:space="0" w:color="auto"/>
        <w:right w:val="none" w:sz="0" w:space="0" w:color="auto"/>
      </w:divBdr>
    </w:div>
    <w:div w:id="256016317">
      <w:bodyDiv w:val="1"/>
      <w:marLeft w:val="0"/>
      <w:marRight w:val="0"/>
      <w:marTop w:val="0"/>
      <w:marBottom w:val="0"/>
      <w:divBdr>
        <w:top w:val="none" w:sz="0" w:space="0" w:color="auto"/>
        <w:left w:val="none" w:sz="0" w:space="0" w:color="auto"/>
        <w:bottom w:val="none" w:sz="0" w:space="0" w:color="auto"/>
        <w:right w:val="none" w:sz="0" w:space="0" w:color="auto"/>
      </w:divBdr>
    </w:div>
    <w:div w:id="263653267">
      <w:bodyDiv w:val="1"/>
      <w:marLeft w:val="0"/>
      <w:marRight w:val="0"/>
      <w:marTop w:val="0"/>
      <w:marBottom w:val="0"/>
      <w:divBdr>
        <w:top w:val="none" w:sz="0" w:space="0" w:color="auto"/>
        <w:left w:val="none" w:sz="0" w:space="0" w:color="auto"/>
        <w:bottom w:val="none" w:sz="0" w:space="0" w:color="auto"/>
        <w:right w:val="none" w:sz="0" w:space="0" w:color="auto"/>
      </w:divBdr>
    </w:div>
    <w:div w:id="287591421">
      <w:bodyDiv w:val="1"/>
      <w:marLeft w:val="0"/>
      <w:marRight w:val="0"/>
      <w:marTop w:val="0"/>
      <w:marBottom w:val="0"/>
      <w:divBdr>
        <w:top w:val="none" w:sz="0" w:space="0" w:color="auto"/>
        <w:left w:val="none" w:sz="0" w:space="0" w:color="auto"/>
        <w:bottom w:val="none" w:sz="0" w:space="0" w:color="auto"/>
        <w:right w:val="none" w:sz="0" w:space="0" w:color="auto"/>
      </w:divBdr>
    </w:div>
    <w:div w:id="289283415">
      <w:bodyDiv w:val="1"/>
      <w:marLeft w:val="0"/>
      <w:marRight w:val="0"/>
      <w:marTop w:val="0"/>
      <w:marBottom w:val="0"/>
      <w:divBdr>
        <w:top w:val="none" w:sz="0" w:space="0" w:color="auto"/>
        <w:left w:val="none" w:sz="0" w:space="0" w:color="auto"/>
        <w:bottom w:val="none" w:sz="0" w:space="0" w:color="auto"/>
        <w:right w:val="none" w:sz="0" w:space="0" w:color="auto"/>
      </w:divBdr>
    </w:div>
    <w:div w:id="343091766">
      <w:bodyDiv w:val="1"/>
      <w:marLeft w:val="0"/>
      <w:marRight w:val="0"/>
      <w:marTop w:val="0"/>
      <w:marBottom w:val="0"/>
      <w:divBdr>
        <w:top w:val="none" w:sz="0" w:space="0" w:color="auto"/>
        <w:left w:val="none" w:sz="0" w:space="0" w:color="auto"/>
        <w:bottom w:val="none" w:sz="0" w:space="0" w:color="auto"/>
        <w:right w:val="none" w:sz="0" w:space="0" w:color="auto"/>
      </w:divBdr>
    </w:div>
    <w:div w:id="344135133">
      <w:bodyDiv w:val="1"/>
      <w:marLeft w:val="0"/>
      <w:marRight w:val="0"/>
      <w:marTop w:val="0"/>
      <w:marBottom w:val="0"/>
      <w:divBdr>
        <w:top w:val="none" w:sz="0" w:space="0" w:color="auto"/>
        <w:left w:val="none" w:sz="0" w:space="0" w:color="auto"/>
        <w:bottom w:val="none" w:sz="0" w:space="0" w:color="auto"/>
        <w:right w:val="none" w:sz="0" w:space="0" w:color="auto"/>
      </w:divBdr>
    </w:div>
    <w:div w:id="389424498">
      <w:bodyDiv w:val="1"/>
      <w:marLeft w:val="0"/>
      <w:marRight w:val="0"/>
      <w:marTop w:val="0"/>
      <w:marBottom w:val="0"/>
      <w:divBdr>
        <w:top w:val="none" w:sz="0" w:space="0" w:color="auto"/>
        <w:left w:val="none" w:sz="0" w:space="0" w:color="auto"/>
        <w:bottom w:val="none" w:sz="0" w:space="0" w:color="auto"/>
        <w:right w:val="none" w:sz="0" w:space="0" w:color="auto"/>
      </w:divBdr>
    </w:div>
    <w:div w:id="429206013">
      <w:bodyDiv w:val="1"/>
      <w:marLeft w:val="0"/>
      <w:marRight w:val="0"/>
      <w:marTop w:val="0"/>
      <w:marBottom w:val="0"/>
      <w:divBdr>
        <w:top w:val="none" w:sz="0" w:space="0" w:color="auto"/>
        <w:left w:val="none" w:sz="0" w:space="0" w:color="auto"/>
        <w:bottom w:val="none" w:sz="0" w:space="0" w:color="auto"/>
        <w:right w:val="none" w:sz="0" w:space="0" w:color="auto"/>
      </w:divBdr>
    </w:div>
    <w:div w:id="462307818">
      <w:bodyDiv w:val="1"/>
      <w:marLeft w:val="0"/>
      <w:marRight w:val="0"/>
      <w:marTop w:val="0"/>
      <w:marBottom w:val="0"/>
      <w:divBdr>
        <w:top w:val="none" w:sz="0" w:space="0" w:color="auto"/>
        <w:left w:val="none" w:sz="0" w:space="0" w:color="auto"/>
        <w:bottom w:val="none" w:sz="0" w:space="0" w:color="auto"/>
        <w:right w:val="none" w:sz="0" w:space="0" w:color="auto"/>
      </w:divBdr>
    </w:div>
    <w:div w:id="539170001">
      <w:bodyDiv w:val="1"/>
      <w:marLeft w:val="0"/>
      <w:marRight w:val="0"/>
      <w:marTop w:val="0"/>
      <w:marBottom w:val="0"/>
      <w:divBdr>
        <w:top w:val="none" w:sz="0" w:space="0" w:color="auto"/>
        <w:left w:val="none" w:sz="0" w:space="0" w:color="auto"/>
        <w:bottom w:val="none" w:sz="0" w:space="0" w:color="auto"/>
        <w:right w:val="none" w:sz="0" w:space="0" w:color="auto"/>
      </w:divBdr>
    </w:div>
    <w:div w:id="565722189">
      <w:bodyDiv w:val="1"/>
      <w:marLeft w:val="0"/>
      <w:marRight w:val="0"/>
      <w:marTop w:val="0"/>
      <w:marBottom w:val="0"/>
      <w:divBdr>
        <w:top w:val="none" w:sz="0" w:space="0" w:color="auto"/>
        <w:left w:val="none" w:sz="0" w:space="0" w:color="auto"/>
        <w:bottom w:val="none" w:sz="0" w:space="0" w:color="auto"/>
        <w:right w:val="none" w:sz="0" w:space="0" w:color="auto"/>
      </w:divBdr>
    </w:div>
    <w:div w:id="631136402">
      <w:bodyDiv w:val="1"/>
      <w:marLeft w:val="0"/>
      <w:marRight w:val="0"/>
      <w:marTop w:val="0"/>
      <w:marBottom w:val="0"/>
      <w:divBdr>
        <w:top w:val="none" w:sz="0" w:space="0" w:color="auto"/>
        <w:left w:val="none" w:sz="0" w:space="0" w:color="auto"/>
        <w:bottom w:val="none" w:sz="0" w:space="0" w:color="auto"/>
        <w:right w:val="none" w:sz="0" w:space="0" w:color="auto"/>
      </w:divBdr>
    </w:div>
    <w:div w:id="631787615">
      <w:bodyDiv w:val="1"/>
      <w:marLeft w:val="0"/>
      <w:marRight w:val="0"/>
      <w:marTop w:val="0"/>
      <w:marBottom w:val="0"/>
      <w:divBdr>
        <w:top w:val="none" w:sz="0" w:space="0" w:color="auto"/>
        <w:left w:val="none" w:sz="0" w:space="0" w:color="auto"/>
        <w:bottom w:val="none" w:sz="0" w:space="0" w:color="auto"/>
        <w:right w:val="none" w:sz="0" w:space="0" w:color="auto"/>
      </w:divBdr>
    </w:div>
    <w:div w:id="639649719">
      <w:bodyDiv w:val="1"/>
      <w:marLeft w:val="0"/>
      <w:marRight w:val="0"/>
      <w:marTop w:val="0"/>
      <w:marBottom w:val="0"/>
      <w:divBdr>
        <w:top w:val="none" w:sz="0" w:space="0" w:color="auto"/>
        <w:left w:val="none" w:sz="0" w:space="0" w:color="auto"/>
        <w:bottom w:val="none" w:sz="0" w:space="0" w:color="auto"/>
        <w:right w:val="none" w:sz="0" w:space="0" w:color="auto"/>
      </w:divBdr>
    </w:div>
    <w:div w:id="649865477">
      <w:bodyDiv w:val="1"/>
      <w:marLeft w:val="0"/>
      <w:marRight w:val="0"/>
      <w:marTop w:val="0"/>
      <w:marBottom w:val="0"/>
      <w:divBdr>
        <w:top w:val="none" w:sz="0" w:space="0" w:color="auto"/>
        <w:left w:val="none" w:sz="0" w:space="0" w:color="auto"/>
        <w:bottom w:val="none" w:sz="0" w:space="0" w:color="auto"/>
        <w:right w:val="none" w:sz="0" w:space="0" w:color="auto"/>
      </w:divBdr>
    </w:div>
    <w:div w:id="689834980">
      <w:bodyDiv w:val="1"/>
      <w:marLeft w:val="0"/>
      <w:marRight w:val="0"/>
      <w:marTop w:val="0"/>
      <w:marBottom w:val="0"/>
      <w:divBdr>
        <w:top w:val="none" w:sz="0" w:space="0" w:color="auto"/>
        <w:left w:val="none" w:sz="0" w:space="0" w:color="auto"/>
        <w:bottom w:val="none" w:sz="0" w:space="0" w:color="auto"/>
        <w:right w:val="none" w:sz="0" w:space="0" w:color="auto"/>
      </w:divBdr>
    </w:div>
    <w:div w:id="693459884">
      <w:bodyDiv w:val="1"/>
      <w:marLeft w:val="0"/>
      <w:marRight w:val="0"/>
      <w:marTop w:val="0"/>
      <w:marBottom w:val="0"/>
      <w:divBdr>
        <w:top w:val="none" w:sz="0" w:space="0" w:color="auto"/>
        <w:left w:val="none" w:sz="0" w:space="0" w:color="auto"/>
        <w:bottom w:val="none" w:sz="0" w:space="0" w:color="auto"/>
        <w:right w:val="none" w:sz="0" w:space="0" w:color="auto"/>
      </w:divBdr>
    </w:div>
    <w:div w:id="694889662">
      <w:bodyDiv w:val="1"/>
      <w:marLeft w:val="0"/>
      <w:marRight w:val="0"/>
      <w:marTop w:val="0"/>
      <w:marBottom w:val="0"/>
      <w:divBdr>
        <w:top w:val="none" w:sz="0" w:space="0" w:color="auto"/>
        <w:left w:val="none" w:sz="0" w:space="0" w:color="auto"/>
        <w:bottom w:val="none" w:sz="0" w:space="0" w:color="auto"/>
        <w:right w:val="none" w:sz="0" w:space="0" w:color="auto"/>
      </w:divBdr>
    </w:div>
    <w:div w:id="767122427">
      <w:bodyDiv w:val="1"/>
      <w:marLeft w:val="0"/>
      <w:marRight w:val="0"/>
      <w:marTop w:val="0"/>
      <w:marBottom w:val="0"/>
      <w:divBdr>
        <w:top w:val="none" w:sz="0" w:space="0" w:color="auto"/>
        <w:left w:val="none" w:sz="0" w:space="0" w:color="auto"/>
        <w:bottom w:val="none" w:sz="0" w:space="0" w:color="auto"/>
        <w:right w:val="none" w:sz="0" w:space="0" w:color="auto"/>
      </w:divBdr>
      <w:divsChild>
        <w:div w:id="1577470605">
          <w:marLeft w:val="0"/>
          <w:marRight w:val="0"/>
          <w:marTop w:val="0"/>
          <w:marBottom w:val="0"/>
          <w:divBdr>
            <w:top w:val="none" w:sz="0" w:space="0" w:color="auto"/>
            <w:left w:val="none" w:sz="0" w:space="0" w:color="auto"/>
            <w:bottom w:val="none" w:sz="0" w:space="0" w:color="auto"/>
            <w:right w:val="none" w:sz="0" w:space="0" w:color="auto"/>
          </w:divBdr>
          <w:divsChild>
            <w:div w:id="1133791106">
              <w:marLeft w:val="0"/>
              <w:marRight w:val="0"/>
              <w:marTop w:val="0"/>
              <w:marBottom w:val="0"/>
              <w:divBdr>
                <w:top w:val="none" w:sz="0" w:space="0" w:color="auto"/>
                <w:left w:val="none" w:sz="0" w:space="0" w:color="auto"/>
                <w:bottom w:val="none" w:sz="0" w:space="0" w:color="auto"/>
                <w:right w:val="none" w:sz="0" w:space="0" w:color="auto"/>
              </w:divBdr>
              <w:divsChild>
                <w:div w:id="131093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37710">
      <w:bodyDiv w:val="1"/>
      <w:marLeft w:val="0"/>
      <w:marRight w:val="0"/>
      <w:marTop w:val="0"/>
      <w:marBottom w:val="0"/>
      <w:divBdr>
        <w:top w:val="none" w:sz="0" w:space="0" w:color="auto"/>
        <w:left w:val="none" w:sz="0" w:space="0" w:color="auto"/>
        <w:bottom w:val="none" w:sz="0" w:space="0" w:color="auto"/>
        <w:right w:val="none" w:sz="0" w:space="0" w:color="auto"/>
      </w:divBdr>
    </w:div>
    <w:div w:id="806319891">
      <w:bodyDiv w:val="1"/>
      <w:marLeft w:val="0"/>
      <w:marRight w:val="0"/>
      <w:marTop w:val="0"/>
      <w:marBottom w:val="0"/>
      <w:divBdr>
        <w:top w:val="none" w:sz="0" w:space="0" w:color="auto"/>
        <w:left w:val="none" w:sz="0" w:space="0" w:color="auto"/>
        <w:bottom w:val="none" w:sz="0" w:space="0" w:color="auto"/>
        <w:right w:val="none" w:sz="0" w:space="0" w:color="auto"/>
      </w:divBdr>
    </w:div>
    <w:div w:id="837038856">
      <w:bodyDiv w:val="1"/>
      <w:marLeft w:val="0"/>
      <w:marRight w:val="0"/>
      <w:marTop w:val="0"/>
      <w:marBottom w:val="0"/>
      <w:divBdr>
        <w:top w:val="none" w:sz="0" w:space="0" w:color="auto"/>
        <w:left w:val="none" w:sz="0" w:space="0" w:color="auto"/>
        <w:bottom w:val="none" w:sz="0" w:space="0" w:color="auto"/>
        <w:right w:val="none" w:sz="0" w:space="0" w:color="auto"/>
      </w:divBdr>
    </w:div>
    <w:div w:id="849635838">
      <w:bodyDiv w:val="1"/>
      <w:marLeft w:val="0"/>
      <w:marRight w:val="0"/>
      <w:marTop w:val="0"/>
      <w:marBottom w:val="0"/>
      <w:divBdr>
        <w:top w:val="none" w:sz="0" w:space="0" w:color="auto"/>
        <w:left w:val="none" w:sz="0" w:space="0" w:color="auto"/>
        <w:bottom w:val="none" w:sz="0" w:space="0" w:color="auto"/>
        <w:right w:val="none" w:sz="0" w:space="0" w:color="auto"/>
      </w:divBdr>
    </w:div>
    <w:div w:id="910693621">
      <w:bodyDiv w:val="1"/>
      <w:marLeft w:val="0"/>
      <w:marRight w:val="0"/>
      <w:marTop w:val="0"/>
      <w:marBottom w:val="0"/>
      <w:divBdr>
        <w:top w:val="none" w:sz="0" w:space="0" w:color="auto"/>
        <w:left w:val="none" w:sz="0" w:space="0" w:color="auto"/>
        <w:bottom w:val="none" w:sz="0" w:space="0" w:color="auto"/>
        <w:right w:val="none" w:sz="0" w:space="0" w:color="auto"/>
      </w:divBdr>
    </w:div>
    <w:div w:id="967051633">
      <w:bodyDiv w:val="1"/>
      <w:marLeft w:val="0"/>
      <w:marRight w:val="0"/>
      <w:marTop w:val="0"/>
      <w:marBottom w:val="0"/>
      <w:divBdr>
        <w:top w:val="none" w:sz="0" w:space="0" w:color="auto"/>
        <w:left w:val="none" w:sz="0" w:space="0" w:color="auto"/>
        <w:bottom w:val="none" w:sz="0" w:space="0" w:color="auto"/>
        <w:right w:val="none" w:sz="0" w:space="0" w:color="auto"/>
      </w:divBdr>
    </w:div>
    <w:div w:id="986318660">
      <w:bodyDiv w:val="1"/>
      <w:marLeft w:val="0"/>
      <w:marRight w:val="0"/>
      <w:marTop w:val="0"/>
      <w:marBottom w:val="0"/>
      <w:divBdr>
        <w:top w:val="none" w:sz="0" w:space="0" w:color="auto"/>
        <w:left w:val="none" w:sz="0" w:space="0" w:color="auto"/>
        <w:bottom w:val="none" w:sz="0" w:space="0" w:color="auto"/>
        <w:right w:val="none" w:sz="0" w:space="0" w:color="auto"/>
      </w:divBdr>
    </w:div>
    <w:div w:id="998969072">
      <w:bodyDiv w:val="1"/>
      <w:marLeft w:val="0"/>
      <w:marRight w:val="0"/>
      <w:marTop w:val="0"/>
      <w:marBottom w:val="0"/>
      <w:divBdr>
        <w:top w:val="none" w:sz="0" w:space="0" w:color="auto"/>
        <w:left w:val="none" w:sz="0" w:space="0" w:color="auto"/>
        <w:bottom w:val="none" w:sz="0" w:space="0" w:color="auto"/>
        <w:right w:val="none" w:sz="0" w:space="0" w:color="auto"/>
      </w:divBdr>
    </w:div>
    <w:div w:id="1007249338">
      <w:bodyDiv w:val="1"/>
      <w:marLeft w:val="0"/>
      <w:marRight w:val="0"/>
      <w:marTop w:val="0"/>
      <w:marBottom w:val="0"/>
      <w:divBdr>
        <w:top w:val="none" w:sz="0" w:space="0" w:color="auto"/>
        <w:left w:val="none" w:sz="0" w:space="0" w:color="auto"/>
        <w:bottom w:val="none" w:sz="0" w:space="0" w:color="auto"/>
        <w:right w:val="none" w:sz="0" w:space="0" w:color="auto"/>
      </w:divBdr>
    </w:div>
    <w:div w:id="1036736870">
      <w:bodyDiv w:val="1"/>
      <w:marLeft w:val="0"/>
      <w:marRight w:val="0"/>
      <w:marTop w:val="0"/>
      <w:marBottom w:val="0"/>
      <w:divBdr>
        <w:top w:val="none" w:sz="0" w:space="0" w:color="auto"/>
        <w:left w:val="none" w:sz="0" w:space="0" w:color="auto"/>
        <w:bottom w:val="none" w:sz="0" w:space="0" w:color="auto"/>
        <w:right w:val="none" w:sz="0" w:space="0" w:color="auto"/>
      </w:divBdr>
    </w:div>
    <w:div w:id="1049765654">
      <w:bodyDiv w:val="1"/>
      <w:marLeft w:val="0"/>
      <w:marRight w:val="0"/>
      <w:marTop w:val="0"/>
      <w:marBottom w:val="0"/>
      <w:divBdr>
        <w:top w:val="none" w:sz="0" w:space="0" w:color="auto"/>
        <w:left w:val="none" w:sz="0" w:space="0" w:color="auto"/>
        <w:bottom w:val="none" w:sz="0" w:space="0" w:color="auto"/>
        <w:right w:val="none" w:sz="0" w:space="0" w:color="auto"/>
      </w:divBdr>
    </w:div>
    <w:div w:id="1054814874">
      <w:bodyDiv w:val="1"/>
      <w:marLeft w:val="0"/>
      <w:marRight w:val="0"/>
      <w:marTop w:val="0"/>
      <w:marBottom w:val="0"/>
      <w:divBdr>
        <w:top w:val="none" w:sz="0" w:space="0" w:color="auto"/>
        <w:left w:val="none" w:sz="0" w:space="0" w:color="auto"/>
        <w:bottom w:val="none" w:sz="0" w:space="0" w:color="auto"/>
        <w:right w:val="none" w:sz="0" w:space="0" w:color="auto"/>
      </w:divBdr>
    </w:div>
    <w:div w:id="1067920343">
      <w:bodyDiv w:val="1"/>
      <w:marLeft w:val="0"/>
      <w:marRight w:val="0"/>
      <w:marTop w:val="0"/>
      <w:marBottom w:val="0"/>
      <w:divBdr>
        <w:top w:val="none" w:sz="0" w:space="0" w:color="auto"/>
        <w:left w:val="none" w:sz="0" w:space="0" w:color="auto"/>
        <w:bottom w:val="none" w:sz="0" w:space="0" w:color="auto"/>
        <w:right w:val="none" w:sz="0" w:space="0" w:color="auto"/>
      </w:divBdr>
    </w:div>
    <w:div w:id="1083137947">
      <w:bodyDiv w:val="1"/>
      <w:marLeft w:val="0"/>
      <w:marRight w:val="0"/>
      <w:marTop w:val="0"/>
      <w:marBottom w:val="0"/>
      <w:divBdr>
        <w:top w:val="none" w:sz="0" w:space="0" w:color="auto"/>
        <w:left w:val="none" w:sz="0" w:space="0" w:color="auto"/>
        <w:bottom w:val="none" w:sz="0" w:space="0" w:color="auto"/>
        <w:right w:val="none" w:sz="0" w:space="0" w:color="auto"/>
      </w:divBdr>
    </w:div>
    <w:div w:id="1090008787">
      <w:bodyDiv w:val="1"/>
      <w:marLeft w:val="0"/>
      <w:marRight w:val="0"/>
      <w:marTop w:val="0"/>
      <w:marBottom w:val="0"/>
      <w:divBdr>
        <w:top w:val="none" w:sz="0" w:space="0" w:color="auto"/>
        <w:left w:val="none" w:sz="0" w:space="0" w:color="auto"/>
        <w:bottom w:val="none" w:sz="0" w:space="0" w:color="auto"/>
        <w:right w:val="none" w:sz="0" w:space="0" w:color="auto"/>
      </w:divBdr>
    </w:div>
    <w:div w:id="1105423171">
      <w:bodyDiv w:val="1"/>
      <w:marLeft w:val="0"/>
      <w:marRight w:val="0"/>
      <w:marTop w:val="0"/>
      <w:marBottom w:val="0"/>
      <w:divBdr>
        <w:top w:val="none" w:sz="0" w:space="0" w:color="auto"/>
        <w:left w:val="none" w:sz="0" w:space="0" w:color="auto"/>
        <w:bottom w:val="none" w:sz="0" w:space="0" w:color="auto"/>
        <w:right w:val="none" w:sz="0" w:space="0" w:color="auto"/>
      </w:divBdr>
    </w:div>
    <w:div w:id="1118915882">
      <w:bodyDiv w:val="1"/>
      <w:marLeft w:val="0"/>
      <w:marRight w:val="0"/>
      <w:marTop w:val="0"/>
      <w:marBottom w:val="0"/>
      <w:divBdr>
        <w:top w:val="none" w:sz="0" w:space="0" w:color="auto"/>
        <w:left w:val="none" w:sz="0" w:space="0" w:color="auto"/>
        <w:bottom w:val="none" w:sz="0" w:space="0" w:color="auto"/>
        <w:right w:val="none" w:sz="0" w:space="0" w:color="auto"/>
      </w:divBdr>
    </w:div>
    <w:div w:id="1127747731">
      <w:bodyDiv w:val="1"/>
      <w:marLeft w:val="0"/>
      <w:marRight w:val="0"/>
      <w:marTop w:val="0"/>
      <w:marBottom w:val="0"/>
      <w:divBdr>
        <w:top w:val="none" w:sz="0" w:space="0" w:color="auto"/>
        <w:left w:val="none" w:sz="0" w:space="0" w:color="auto"/>
        <w:bottom w:val="none" w:sz="0" w:space="0" w:color="auto"/>
        <w:right w:val="none" w:sz="0" w:space="0" w:color="auto"/>
      </w:divBdr>
    </w:div>
    <w:div w:id="1131165389">
      <w:bodyDiv w:val="1"/>
      <w:marLeft w:val="0"/>
      <w:marRight w:val="0"/>
      <w:marTop w:val="0"/>
      <w:marBottom w:val="0"/>
      <w:divBdr>
        <w:top w:val="none" w:sz="0" w:space="0" w:color="auto"/>
        <w:left w:val="none" w:sz="0" w:space="0" w:color="auto"/>
        <w:bottom w:val="none" w:sz="0" w:space="0" w:color="auto"/>
        <w:right w:val="none" w:sz="0" w:space="0" w:color="auto"/>
      </w:divBdr>
    </w:div>
    <w:div w:id="1149635076">
      <w:bodyDiv w:val="1"/>
      <w:marLeft w:val="0"/>
      <w:marRight w:val="0"/>
      <w:marTop w:val="0"/>
      <w:marBottom w:val="0"/>
      <w:divBdr>
        <w:top w:val="none" w:sz="0" w:space="0" w:color="auto"/>
        <w:left w:val="none" w:sz="0" w:space="0" w:color="auto"/>
        <w:bottom w:val="none" w:sz="0" w:space="0" w:color="auto"/>
        <w:right w:val="none" w:sz="0" w:space="0" w:color="auto"/>
      </w:divBdr>
    </w:div>
    <w:div w:id="1175459029">
      <w:bodyDiv w:val="1"/>
      <w:marLeft w:val="0"/>
      <w:marRight w:val="0"/>
      <w:marTop w:val="0"/>
      <w:marBottom w:val="0"/>
      <w:divBdr>
        <w:top w:val="none" w:sz="0" w:space="0" w:color="auto"/>
        <w:left w:val="none" w:sz="0" w:space="0" w:color="auto"/>
        <w:bottom w:val="none" w:sz="0" w:space="0" w:color="auto"/>
        <w:right w:val="none" w:sz="0" w:space="0" w:color="auto"/>
      </w:divBdr>
    </w:div>
    <w:div w:id="1226603252">
      <w:bodyDiv w:val="1"/>
      <w:marLeft w:val="0"/>
      <w:marRight w:val="0"/>
      <w:marTop w:val="0"/>
      <w:marBottom w:val="0"/>
      <w:divBdr>
        <w:top w:val="none" w:sz="0" w:space="0" w:color="auto"/>
        <w:left w:val="none" w:sz="0" w:space="0" w:color="auto"/>
        <w:bottom w:val="none" w:sz="0" w:space="0" w:color="auto"/>
        <w:right w:val="none" w:sz="0" w:space="0" w:color="auto"/>
      </w:divBdr>
    </w:div>
    <w:div w:id="1253320495">
      <w:bodyDiv w:val="1"/>
      <w:marLeft w:val="0"/>
      <w:marRight w:val="0"/>
      <w:marTop w:val="0"/>
      <w:marBottom w:val="0"/>
      <w:divBdr>
        <w:top w:val="none" w:sz="0" w:space="0" w:color="auto"/>
        <w:left w:val="none" w:sz="0" w:space="0" w:color="auto"/>
        <w:bottom w:val="none" w:sz="0" w:space="0" w:color="auto"/>
        <w:right w:val="none" w:sz="0" w:space="0" w:color="auto"/>
      </w:divBdr>
    </w:div>
    <w:div w:id="1259094251">
      <w:bodyDiv w:val="1"/>
      <w:marLeft w:val="0"/>
      <w:marRight w:val="0"/>
      <w:marTop w:val="0"/>
      <w:marBottom w:val="0"/>
      <w:divBdr>
        <w:top w:val="none" w:sz="0" w:space="0" w:color="auto"/>
        <w:left w:val="none" w:sz="0" w:space="0" w:color="auto"/>
        <w:bottom w:val="none" w:sz="0" w:space="0" w:color="auto"/>
        <w:right w:val="none" w:sz="0" w:space="0" w:color="auto"/>
      </w:divBdr>
    </w:div>
    <w:div w:id="1293824247">
      <w:bodyDiv w:val="1"/>
      <w:marLeft w:val="0"/>
      <w:marRight w:val="0"/>
      <w:marTop w:val="0"/>
      <w:marBottom w:val="0"/>
      <w:divBdr>
        <w:top w:val="none" w:sz="0" w:space="0" w:color="auto"/>
        <w:left w:val="none" w:sz="0" w:space="0" w:color="auto"/>
        <w:bottom w:val="none" w:sz="0" w:space="0" w:color="auto"/>
        <w:right w:val="none" w:sz="0" w:space="0" w:color="auto"/>
      </w:divBdr>
    </w:div>
    <w:div w:id="1306277747">
      <w:bodyDiv w:val="1"/>
      <w:marLeft w:val="0"/>
      <w:marRight w:val="0"/>
      <w:marTop w:val="0"/>
      <w:marBottom w:val="0"/>
      <w:divBdr>
        <w:top w:val="none" w:sz="0" w:space="0" w:color="auto"/>
        <w:left w:val="none" w:sz="0" w:space="0" w:color="auto"/>
        <w:bottom w:val="none" w:sz="0" w:space="0" w:color="auto"/>
        <w:right w:val="none" w:sz="0" w:space="0" w:color="auto"/>
      </w:divBdr>
    </w:div>
    <w:div w:id="1320501168">
      <w:bodyDiv w:val="1"/>
      <w:marLeft w:val="0"/>
      <w:marRight w:val="0"/>
      <w:marTop w:val="0"/>
      <w:marBottom w:val="0"/>
      <w:divBdr>
        <w:top w:val="none" w:sz="0" w:space="0" w:color="auto"/>
        <w:left w:val="none" w:sz="0" w:space="0" w:color="auto"/>
        <w:bottom w:val="none" w:sz="0" w:space="0" w:color="auto"/>
        <w:right w:val="none" w:sz="0" w:space="0" w:color="auto"/>
      </w:divBdr>
    </w:div>
    <w:div w:id="1335499562">
      <w:bodyDiv w:val="1"/>
      <w:marLeft w:val="0"/>
      <w:marRight w:val="0"/>
      <w:marTop w:val="0"/>
      <w:marBottom w:val="0"/>
      <w:divBdr>
        <w:top w:val="none" w:sz="0" w:space="0" w:color="auto"/>
        <w:left w:val="none" w:sz="0" w:space="0" w:color="auto"/>
        <w:bottom w:val="none" w:sz="0" w:space="0" w:color="auto"/>
        <w:right w:val="none" w:sz="0" w:space="0" w:color="auto"/>
      </w:divBdr>
    </w:div>
    <w:div w:id="1460999556">
      <w:bodyDiv w:val="1"/>
      <w:marLeft w:val="0"/>
      <w:marRight w:val="0"/>
      <w:marTop w:val="0"/>
      <w:marBottom w:val="0"/>
      <w:divBdr>
        <w:top w:val="none" w:sz="0" w:space="0" w:color="auto"/>
        <w:left w:val="none" w:sz="0" w:space="0" w:color="auto"/>
        <w:bottom w:val="none" w:sz="0" w:space="0" w:color="auto"/>
        <w:right w:val="none" w:sz="0" w:space="0" w:color="auto"/>
      </w:divBdr>
    </w:div>
    <w:div w:id="1495300089">
      <w:bodyDiv w:val="1"/>
      <w:marLeft w:val="0"/>
      <w:marRight w:val="0"/>
      <w:marTop w:val="0"/>
      <w:marBottom w:val="0"/>
      <w:divBdr>
        <w:top w:val="none" w:sz="0" w:space="0" w:color="auto"/>
        <w:left w:val="none" w:sz="0" w:space="0" w:color="auto"/>
        <w:bottom w:val="none" w:sz="0" w:space="0" w:color="auto"/>
        <w:right w:val="none" w:sz="0" w:space="0" w:color="auto"/>
      </w:divBdr>
    </w:div>
    <w:div w:id="1508401889">
      <w:bodyDiv w:val="1"/>
      <w:marLeft w:val="0"/>
      <w:marRight w:val="0"/>
      <w:marTop w:val="0"/>
      <w:marBottom w:val="0"/>
      <w:divBdr>
        <w:top w:val="none" w:sz="0" w:space="0" w:color="auto"/>
        <w:left w:val="none" w:sz="0" w:space="0" w:color="auto"/>
        <w:bottom w:val="none" w:sz="0" w:space="0" w:color="auto"/>
        <w:right w:val="none" w:sz="0" w:space="0" w:color="auto"/>
      </w:divBdr>
    </w:div>
    <w:div w:id="1529759926">
      <w:bodyDiv w:val="1"/>
      <w:marLeft w:val="0"/>
      <w:marRight w:val="0"/>
      <w:marTop w:val="0"/>
      <w:marBottom w:val="0"/>
      <w:divBdr>
        <w:top w:val="none" w:sz="0" w:space="0" w:color="auto"/>
        <w:left w:val="none" w:sz="0" w:space="0" w:color="auto"/>
        <w:bottom w:val="none" w:sz="0" w:space="0" w:color="auto"/>
        <w:right w:val="none" w:sz="0" w:space="0" w:color="auto"/>
      </w:divBdr>
    </w:div>
    <w:div w:id="1536695361">
      <w:bodyDiv w:val="1"/>
      <w:marLeft w:val="0"/>
      <w:marRight w:val="0"/>
      <w:marTop w:val="0"/>
      <w:marBottom w:val="0"/>
      <w:divBdr>
        <w:top w:val="none" w:sz="0" w:space="0" w:color="auto"/>
        <w:left w:val="none" w:sz="0" w:space="0" w:color="auto"/>
        <w:bottom w:val="none" w:sz="0" w:space="0" w:color="auto"/>
        <w:right w:val="none" w:sz="0" w:space="0" w:color="auto"/>
      </w:divBdr>
    </w:div>
    <w:div w:id="1544706736">
      <w:bodyDiv w:val="1"/>
      <w:marLeft w:val="0"/>
      <w:marRight w:val="0"/>
      <w:marTop w:val="0"/>
      <w:marBottom w:val="0"/>
      <w:divBdr>
        <w:top w:val="none" w:sz="0" w:space="0" w:color="auto"/>
        <w:left w:val="none" w:sz="0" w:space="0" w:color="auto"/>
        <w:bottom w:val="none" w:sz="0" w:space="0" w:color="auto"/>
        <w:right w:val="none" w:sz="0" w:space="0" w:color="auto"/>
      </w:divBdr>
    </w:div>
    <w:div w:id="1555965731">
      <w:bodyDiv w:val="1"/>
      <w:marLeft w:val="0"/>
      <w:marRight w:val="0"/>
      <w:marTop w:val="0"/>
      <w:marBottom w:val="0"/>
      <w:divBdr>
        <w:top w:val="none" w:sz="0" w:space="0" w:color="auto"/>
        <w:left w:val="none" w:sz="0" w:space="0" w:color="auto"/>
        <w:bottom w:val="none" w:sz="0" w:space="0" w:color="auto"/>
        <w:right w:val="none" w:sz="0" w:space="0" w:color="auto"/>
      </w:divBdr>
    </w:div>
    <w:div w:id="1564556765">
      <w:bodyDiv w:val="1"/>
      <w:marLeft w:val="0"/>
      <w:marRight w:val="0"/>
      <w:marTop w:val="0"/>
      <w:marBottom w:val="0"/>
      <w:divBdr>
        <w:top w:val="none" w:sz="0" w:space="0" w:color="auto"/>
        <w:left w:val="none" w:sz="0" w:space="0" w:color="auto"/>
        <w:bottom w:val="none" w:sz="0" w:space="0" w:color="auto"/>
        <w:right w:val="none" w:sz="0" w:space="0" w:color="auto"/>
      </w:divBdr>
    </w:div>
    <w:div w:id="1646086182">
      <w:bodyDiv w:val="1"/>
      <w:marLeft w:val="0"/>
      <w:marRight w:val="0"/>
      <w:marTop w:val="0"/>
      <w:marBottom w:val="0"/>
      <w:divBdr>
        <w:top w:val="none" w:sz="0" w:space="0" w:color="auto"/>
        <w:left w:val="none" w:sz="0" w:space="0" w:color="auto"/>
        <w:bottom w:val="none" w:sz="0" w:space="0" w:color="auto"/>
        <w:right w:val="none" w:sz="0" w:space="0" w:color="auto"/>
      </w:divBdr>
    </w:div>
    <w:div w:id="1648851926">
      <w:bodyDiv w:val="1"/>
      <w:marLeft w:val="0"/>
      <w:marRight w:val="0"/>
      <w:marTop w:val="0"/>
      <w:marBottom w:val="0"/>
      <w:divBdr>
        <w:top w:val="none" w:sz="0" w:space="0" w:color="auto"/>
        <w:left w:val="none" w:sz="0" w:space="0" w:color="auto"/>
        <w:bottom w:val="none" w:sz="0" w:space="0" w:color="auto"/>
        <w:right w:val="none" w:sz="0" w:space="0" w:color="auto"/>
      </w:divBdr>
    </w:div>
    <w:div w:id="1669865507">
      <w:bodyDiv w:val="1"/>
      <w:marLeft w:val="0"/>
      <w:marRight w:val="0"/>
      <w:marTop w:val="0"/>
      <w:marBottom w:val="0"/>
      <w:divBdr>
        <w:top w:val="none" w:sz="0" w:space="0" w:color="auto"/>
        <w:left w:val="none" w:sz="0" w:space="0" w:color="auto"/>
        <w:bottom w:val="none" w:sz="0" w:space="0" w:color="auto"/>
        <w:right w:val="none" w:sz="0" w:space="0" w:color="auto"/>
      </w:divBdr>
    </w:div>
    <w:div w:id="1694648003">
      <w:bodyDiv w:val="1"/>
      <w:marLeft w:val="0"/>
      <w:marRight w:val="0"/>
      <w:marTop w:val="0"/>
      <w:marBottom w:val="0"/>
      <w:divBdr>
        <w:top w:val="none" w:sz="0" w:space="0" w:color="auto"/>
        <w:left w:val="none" w:sz="0" w:space="0" w:color="auto"/>
        <w:bottom w:val="none" w:sz="0" w:space="0" w:color="auto"/>
        <w:right w:val="none" w:sz="0" w:space="0" w:color="auto"/>
      </w:divBdr>
      <w:divsChild>
        <w:div w:id="2116173844">
          <w:marLeft w:val="0"/>
          <w:marRight w:val="0"/>
          <w:marTop w:val="0"/>
          <w:marBottom w:val="0"/>
          <w:divBdr>
            <w:top w:val="none" w:sz="0" w:space="0" w:color="auto"/>
            <w:left w:val="none" w:sz="0" w:space="0" w:color="auto"/>
            <w:bottom w:val="none" w:sz="0" w:space="0" w:color="auto"/>
            <w:right w:val="none" w:sz="0" w:space="0" w:color="auto"/>
          </w:divBdr>
          <w:divsChild>
            <w:div w:id="755594478">
              <w:marLeft w:val="0"/>
              <w:marRight w:val="0"/>
              <w:marTop w:val="0"/>
              <w:marBottom w:val="0"/>
              <w:divBdr>
                <w:top w:val="none" w:sz="0" w:space="0" w:color="auto"/>
                <w:left w:val="none" w:sz="0" w:space="0" w:color="auto"/>
                <w:bottom w:val="none" w:sz="0" w:space="0" w:color="auto"/>
                <w:right w:val="none" w:sz="0" w:space="0" w:color="auto"/>
              </w:divBdr>
              <w:divsChild>
                <w:div w:id="805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07626">
      <w:bodyDiv w:val="1"/>
      <w:marLeft w:val="0"/>
      <w:marRight w:val="0"/>
      <w:marTop w:val="0"/>
      <w:marBottom w:val="0"/>
      <w:divBdr>
        <w:top w:val="none" w:sz="0" w:space="0" w:color="auto"/>
        <w:left w:val="none" w:sz="0" w:space="0" w:color="auto"/>
        <w:bottom w:val="none" w:sz="0" w:space="0" w:color="auto"/>
        <w:right w:val="none" w:sz="0" w:space="0" w:color="auto"/>
      </w:divBdr>
    </w:div>
    <w:div w:id="1729188356">
      <w:bodyDiv w:val="1"/>
      <w:marLeft w:val="0"/>
      <w:marRight w:val="0"/>
      <w:marTop w:val="0"/>
      <w:marBottom w:val="0"/>
      <w:divBdr>
        <w:top w:val="none" w:sz="0" w:space="0" w:color="auto"/>
        <w:left w:val="none" w:sz="0" w:space="0" w:color="auto"/>
        <w:bottom w:val="none" w:sz="0" w:space="0" w:color="auto"/>
        <w:right w:val="none" w:sz="0" w:space="0" w:color="auto"/>
      </w:divBdr>
    </w:div>
    <w:div w:id="1742866524">
      <w:bodyDiv w:val="1"/>
      <w:marLeft w:val="0"/>
      <w:marRight w:val="0"/>
      <w:marTop w:val="0"/>
      <w:marBottom w:val="0"/>
      <w:divBdr>
        <w:top w:val="none" w:sz="0" w:space="0" w:color="auto"/>
        <w:left w:val="none" w:sz="0" w:space="0" w:color="auto"/>
        <w:bottom w:val="none" w:sz="0" w:space="0" w:color="auto"/>
        <w:right w:val="none" w:sz="0" w:space="0" w:color="auto"/>
      </w:divBdr>
    </w:div>
    <w:div w:id="1764644610">
      <w:bodyDiv w:val="1"/>
      <w:marLeft w:val="0"/>
      <w:marRight w:val="0"/>
      <w:marTop w:val="0"/>
      <w:marBottom w:val="0"/>
      <w:divBdr>
        <w:top w:val="none" w:sz="0" w:space="0" w:color="auto"/>
        <w:left w:val="none" w:sz="0" w:space="0" w:color="auto"/>
        <w:bottom w:val="none" w:sz="0" w:space="0" w:color="auto"/>
        <w:right w:val="none" w:sz="0" w:space="0" w:color="auto"/>
      </w:divBdr>
    </w:div>
    <w:div w:id="1855144762">
      <w:bodyDiv w:val="1"/>
      <w:marLeft w:val="0"/>
      <w:marRight w:val="0"/>
      <w:marTop w:val="0"/>
      <w:marBottom w:val="0"/>
      <w:divBdr>
        <w:top w:val="none" w:sz="0" w:space="0" w:color="auto"/>
        <w:left w:val="none" w:sz="0" w:space="0" w:color="auto"/>
        <w:bottom w:val="none" w:sz="0" w:space="0" w:color="auto"/>
        <w:right w:val="none" w:sz="0" w:space="0" w:color="auto"/>
      </w:divBdr>
    </w:div>
    <w:div w:id="1896350383">
      <w:bodyDiv w:val="1"/>
      <w:marLeft w:val="0"/>
      <w:marRight w:val="0"/>
      <w:marTop w:val="0"/>
      <w:marBottom w:val="0"/>
      <w:divBdr>
        <w:top w:val="none" w:sz="0" w:space="0" w:color="auto"/>
        <w:left w:val="none" w:sz="0" w:space="0" w:color="auto"/>
        <w:bottom w:val="none" w:sz="0" w:space="0" w:color="auto"/>
        <w:right w:val="none" w:sz="0" w:space="0" w:color="auto"/>
      </w:divBdr>
    </w:div>
    <w:div w:id="1909068821">
      <w:bodyDiv w:val="1"/>
      <w:marLeft w:val="0"/>
      <w:marRight w:val="0"/>
      <w:marTop w:val="0"/>
      <w:marBottom w:val="0"/>
      <w:divBdr>
        <w:top w:val="none" w:sz="0" w:space="0" w:color="auto"/>
        <w:left w:val="none" w:sz="0" w:space="0" w:color="auto"/>
        <w:bottom w:val="none" w:sz="0" w:space="0" w:color="auto"/>
        <w:right w:val="none" w:sz="0" w:space="0" w:color="auto"/>
      </w:divBdr>
    </w:div>
    <w:div w:id="1942684984">
      <w:bodyDiv w:val="1"/>
      <w:marLeft w:val="0"/>
      <w:marRight w:val="0"/>
      <w:marTop w:val="0"/>
      <w:marBottom w:val="0"/>
      <w:divBdr>
        <w:top w:val="none" w:sz="0" w:space="0" w:color="auto"/>
        <w:left w:val="none" w:sz="0" w:space="0" w:color="auto"/>
        <w:bottom w:val="none" w:sz="0" w:space="0" w:color="auto"/>
        <w:right w:val="none" w:sz="0" w:space="0" w:color="auto"/>
      </w:divBdr>
    </w:div>
    <w:div w:id="1963799500">
      <w:bodyDiv w:val="1"/>
      <w:marLeft w:val="0"/>
      <w:marRight w:val="0"/>
      <w:marTop w:val="0"/>
      <w:marBottom w:val="0"/>
      <w:divBdr>
        <w:top w:val="none" w:sz="0" w:space="0" w:color="auto"/>
        <w:left w:val="none" w:sz="0" w:space="0" w:color="auto"/>
        <w:bottom w:val="none" w:sz="0" w:space="0" w:color="auto"/>
        <w:right w:val="none" w:sz="0" w:space="0" w:color="auto"/>
      </w:divBdr>
    </w:div>
    <w:div w:id="1988630807">
      <w:bodyDiv w:val="1"/>
      <w:marLeft w:val="0"/>
      <w:marRight w:val="0"/>
      <w:marTop w:val="0"/>
      <w:marBottom w:val="0"/>
      <w:divBdr>
        <w:top w:val="none" w:sz="0" w:space="0" w:color="auto"/>
        <w:left w:val="none" w:sz="0" w:space="0" w:color="auto"/>
        <w:bottom w:val="none" w:sz="0" w:space="0" w:color="auto"/>
        <w:right w:val="none" w:sz="0" w:space="0" w:color="auto"/>
      </w:divBdr>
    </w:div>
    <w:div w:id="2027363179">
      <w:bodyDiv w:val="1"/>
      <w:marLeft w:val="0"/>
      <w:marRight w:val="0"/>
      <w:marTop w:val="0"/>
      <w:marBottom w:val="0"/>
      <w:divBdr>
        <w:top w:val="none" w:sz="0" w:space="0" w:color="auto"/>
        <w:left w:val="none" w:sz="0" w:space="0" w:color="auto"/>
        <w:bottom w:val="none" w:sz="0" w:space="0" w:color="auto"/>
        <w:right w:val="none" w:sz="0" w:space="0" w:color="auto"/>
      </w:divBdr>
    </w:div>
    <w:div w:id="2063364659">
      <w:bodyDiv w:val="1"/>
      <w:marLeft w:val="0"/>
      <w:marRight w:val="0"/>
      <w:marTop w:val="0"/>
      <w:marBottom w:val="0"/>
      <w:divBdr>
        <w:top w:val="none" w:sz="0" w:space="0" w:color="auto"/>
        <w:left w:val="none" w:sz="0" w:space="0" w:color="auto"/>
        <w:bottom w:val="none" w:sz="0" w:space="0" w:color="auto"/>
        <w:right w:val="none" w:sz="0" w:space="0" w:color="auto"/>
      </w:divBdr>
    </w:div>
    <w:div w:id="2097440559">
      <w:bodyDiv w:val="1"/>
      <w:marLeft w:val="0"/>
      <w:marRight w:val="0"/>
      <w:marTop w:val="0"/>
      <w:marBottom w:val="0"/>
      <w:divBdr>
        <w:top w:val="none" w:sz="0" w:space="0" w:color="auto"/>
        <w:left w:val="none" w:sz="0" w:space="0" w:color="auto"/>
        <w:bottom w:val="none" w:sz="0" w:space="0" w:color="auto"/>
        <w:right w:val="none" w:sz="0" w:space="0" w:color="auto"/>
      </w:divBdr>
    </w:div>
    <w:div w:id="2114743396">
      <w:bodyDiv w:val="1"/>
      <w:marLeft w:val="0"/>
      <w:marRight w:val="0"/>
      <w:marTop w:val="0"/>
      <w:marBottom w:val="0"/>
      <w:divBdr>
        <w:top w:val="none" w:sz="0" w:space="0" w:color="auto"/>
        <w:left w:val="none" w:sz="0" w:space="0" w:color="auto"/>
        <w:bottom w:val="none" w:sz="0" w:space="0" w:color="auto"/>
        <w:right w:val="none" w:sz="0" w:space="0" w:color="auto"/>
      </w:divBdr>
    </w:div>
    <w:div w:id="2116439837">
      <w:bodyDiv w:val="1"/>
      <w:marLeft w:val="0"/>
      <w:marRight w:val="0"/>
      <w:marTop w:val="0"/>
      <w:marBottom w:val="0"/>
      <w:divBdr>
        <w:top w:val="none" w:sz="0" w:space="0" w:color="auto"/>
        <w:left w:val="none" w:sz="0" w:space="0" w:color="auto"/>
        <w:bottom w:val="none" w:sz="0" w:space="0" w:color="auto"/>
        <w:right w:val="none" w:sz="0" w:space="0" w:color="auto"/>
      </w:divBdr>
    </w:div>
    <w:div w:id="214318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zechdemography.cz/res/archive/002/000220.pdf?seek=1468955282" TargetMode="External"/><Relationship Id="rId21" Type="http://schemas.openxmlformats.org/officeDocument/2006/relationships/hyperlink" Target="https://countryeconomy.com/national-minimum-wage/germany" TargetMode="External"/><Relationship Id="rId42" Type="http://schemas.openxmlformats.org/officeDocument/2006/relationships/hyperlink" Target="https://www.iz.sk/en/projects/data/living-miminum" TargetMode="External"/><Relationship Id="rId47" Type="http://schemas.openxmlformats.org/officeDocument/2006/relationships/hyperlink" Target="https://investopedia.com/terms/d/developed-economy.asp" TargetMode="External"/><Relationship Id="rId63" Type="http://schemas.openxmlformats.org/officeDocument/2006/relationships/hyperlink" Target="https://ophi.org.uk/multidimensional-poverty-index/" TargetMode="External"/><Relationship Id="rId68" Type="http://schemas.openxmlformats.org/officeDocument/2006/relationships/hyperlink" Target="https://www.statista.com/statistics/375203/gross-domestic-product-gdp-growth-rate-in-germany/" TargetMode="External"/><Relationship Id="rId84" Type="http://schemas.openxmlformats.org/officeDocument/2006/relationships/hyperlink" Target="http://hdr.undp.org/en/2019-MPI" TargetMode="External"/><Relationship Id="rId89" Type="http://schemas.openxmlformats.org/officeDocument/2006/relationships/hyperlink" Target="file:///\\iis.loc\shares\mvso\users\TitzovaS\Plocha\Diplomova&#769;%20pra&#769;ce%20-20-07-2020.docx" TargetMode="External"/><Relationship Id="rId16" Type="http://schemas.openxmlformats.org/officeDocument/2006/relationships/chart" Target="charts/chart4.xml"/><Relationship Id="rId11" Type="http://schemas.openxmlformats.org/officeDocument/2006/relationships/image" Target="media/image2.jpg"/><Relationship Id="rId32" Type="http://schemas.openxmlformats.org/officeDocument/2006/relationships/hyperlink" Target="https://www.czso.cz/csu/czso/cri/prumerne-mzdy-4-ctvrtleti-2018" TargetMode="External"/><Relationship Id="rId37" Type="http://schemas.openxmlformats.org/officeDocument/2006/relationships/hyperlink" Target="https://forbes.com/sites/iese/2013/09/04/quality-of-life-everyone-wants-it-but-what-is-it/" TargetMode="External"/><Relationship Id="rId53" Type="http://schemas.openxmlformats.org/officeDocument/2006/relationships/hyperlink" Target="https://www.mpsv.cz/documents/20142/225504/Informace+o+MMe+od+1+ledna+2020+na+web+MPSV.pdf/51fb732f-1bcc-7947-b018-4346d1ca3631" TargetMode="External"/><Relationship Id="rId58" Type="http://schemas.openxmlformats.org/officeDocument/2006/relationships/hyperlink" Target="https://www.mvcr.cz/clanek/mezinarodni-organizace-a-vs-visegradska-ctyrka.aspx" TargetMode="External"/><Relationship Id="rId74" Type="http://schemas.openxmlformats.org/officeDocument/2006/relationships/hyperlink" Target="https://www.statista.com/statistics/375293/gross-domestic-product-gdp-growth-rate-in-austria/" TargetMode="External"/><Relationship Id="rId79" Type="http://schemas.openxmlformats.org/officeDocument/2006/relationships/hyperlink" Target="https://slovak.statistics.sk/wps/portal/ext/home/!ut/p/z1/04_Sj9CPykssy0xPLMnMz0MAfIjo8ziA809LZycDB0NLPyCXA08QxwD3IO8TAwNTEz1wwkpiAJKGAAjgZA_VFgJc7ujh4m5j4GBhY7qYGno4eoUGWgcbGBo7GUAV4zCjIjTDIdFRUBADse0bP/dz/d5/L2dBISEvZ0FBIS9nQSEh/" TargetMode="External"/><Relationship Id="rId5" Type="http://schemas.openxmlformats.org/officeDocument/2006/relationships/styles" Target="styles.xml"/><Relationship Id="rId90" Type="http://schemas.openxmlformats.org/officeDocument/2006/relationships/hyperlink" Target="file:///\\iis.loc\shares\mvso\users\TitzovaS\Plocha\Diplomova&#769;%20pra&#769;ce%20-20-07-2020.docx" TargetMode="External"/><Relationship Id="rId22" Type="http://schemas.openxmlformats.org/officeDocument/2006/relationships/hyperlink" Target="https://countryeconomy.com/national-minimum-wage/hungary" TargetMode="External"/><Relationship Id="rId27" Type="http://schemas.openxmlformats.org/officeDocument/2006/relationships/hyperlink" Target="https://www.czso.cz/csu/czso/cri/prumerne-mzdy-4-ctvrtleti-2012-xjxhpyztbz" TargetMode="External"/><Relationship Id="rId43" Type="http://schemas.openxmlformats.org/officeDocument/2006/relationships/hyperlink" Target="https://www.ipiss.com.pl/?zaklady=minimum-egzystencji-2" TargetMode="External"/><Relationship Id="rId48" Type="http://schemas.openxmlformats.org/officeDocument/2006/relationships/hyperlink" Target="https://mapaevropy.eu/mapa-stredni-evropy/" TargetMode="External"/><Relationship Id="rId64" Type="http://schemas.openxmlformats.org/officeDocument/2006/relationships/hyperlink" Target="https://planningtank.com/development-planning/human-poverty-index" TargetMode="External"/><Relationship Id="rId69" Type="http://schemas.openxmlformats.org/officeDocument/2006/relationships/hyperlink" Target="https://www.statista.com/statistics/339799/gross-domestic-product-gdp-growth-rate-in-hungary/" TargetMode="External"/><Relationship Id="rId8" Type="http://schemas.openxmlformats.org/officeDocument/2006/relationships/footnotes" Target="footnotes.xml"/><Relationship Id="rId51" Type="http://schemas.openxmlformats.org/officeDocument/2006/relationships/hyperlink" Target="https://wellbeingpeople.com/2018/07/20/what-does-wellbeing-actually-mean/" TargetMode="External"/><Relationship Id="rId72" Type="http://schemas.openxmlformats.org/officeDocument/2006/relationships/hyperlink" Target="https://www.statista.com/statistics/376377/gross-domestic-product-gdp-growth-rate-in-poland/" TargetMode="External"/><Relationship Id="rId80" Type="http://schemas.openxmlformats.org/officeDocument/2006/relationships/hyperlink" Target="https://is.muni.cz/el/1423/podzim2015/SPR505/um/60343043/Co_je_to_diskriminace.pdf" TargetMode="External"/><Relationship Id="rId85" Type="http://schemas.openxmlformats.org/officeDocument/2006/relationships/hyperlink" Target="https://wageindicator.org/salary/minimum-wage/hungary"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hyperlink" Target="https://thebalance.com/standard-of-living-3305758" TargetMode="External"/><Relationship Id="rId25" Type="http://schemas.openxmlformats.org/officeDocument/2006/relationships/hyperlink" Target="https://www.czso.cz/csu/czso/cri/prumerne-mzdy-4-ctvrtleti-2012-xjxhpyztbz" TargetMode="External"/><Relationship Id="rId33" Type="http://schemas.openxmlformats.org/officeDocument/2006/relationships/hyperlink" Target="https://www.czso.cz/csu/czso/cri/prumerne-mzdy-4-ctvrtleti-2018" TargetMode="External"/><Relationship Id="rId38" Type="http://schemas.openxmlformats.org/officeDocument/2006/relationships/hyperlink" Target="https://footprintnetwork.org/our-work/ecological-footprint/" TargetMode="External"/><Relationship Id="rId46" Type="http://schemas.openxmlformats.org/officeDocument/2006/relationships/hyperlink" Target="http://hdr.undp.org/sites/default/files/hdrp_2011_01.pdf" TargetMode="External"/><Relationship Id="rId59" Type="http://schemas.openxmlformats.org/officeDocument/2006/relationships/hyperlink" Target="http://nvf.cz/konkurencni-schopnost-ceske-republiky-2015-vyvoj-hlavnich-indikatoru" TargetMode="External"/><Relationship Id="rId67" Type="http://schemas.openxmlformats.org/officeDocument/2006/relationships/hyperlink" Target="http://sreview.soc.cas.cz/uploads/e16a3dcc9790e10418c053afaaf6f76485b29a39_545_16ringen16.pdf" TargetMode="External"/><Relationship Id="rId20" Type="http://schemas.openxmlformats.org/officeDocument/2006/relationships/hyperlink" Target="https://www.businessinfo.cz/navody/nemecko-obchodni-a-ekonomicka-spoluprace-s-cr/" TargetMode="External"/><Relationship Id="rId41" Type="http://schemas.openxmlformats.org/officeDocument/2006/relationships/hyperlink" Target="https://www.investopedia.com/terms/s/standard-of-living.asp" TargetMode="External"/><Relationship Id="rId54" Type="http://schemas.openxmlformats.org/officeDocument/2006/relationships/hyperlink" Target="https://www.mpsv.cz/vyvoj-vybranych-ukazatelu-zivotni-urovne-v-ceske-republice" TargetMode="External"/><Relationship Id="rId62" Type="http://schemas.openxmlformats.org/officeDocument/2006/relationships/hyperlink" Target="https://www.ospzv-aso.cz/obsah/71/zvyseni-minimalni-zarucene-mzdy-2018/20961" TargetMode="External"/><Relationship Id="rId70" Type="http://schemas.openxmlformats.org/officeDocument/2006/relationships/hyperlink" Target="https://www.statista.com/statistics/369860/gross-domestic-product-gdp-growth-rate-in-czech-republic/" TargetMode="External"/><Relationship Id="rId75" Type="http://schemas.openxmlformats.org/officeDocument/2006/relationships/hyperlink" Target="https://stat.gov.pl/en/topics/labour-market/working-employed-wages-and-salaries-cost-of-labour/average-monthly-gross-wage-and-salary-in-national-economy-1950-2017,2,1.html" TargetMode="External"/><Relationship Id="rId83" Type="http://schemas.openxmlformats.org/officeDocument/2006/relationships/hyperlink" Target="https://tradingeconomics.com/country-list/minimum-wages?continent=europe" TargetMode="External"/><Relationship Id="rId88" Type="http://schemas.openxmlformats.org/officeDocument/2006/relationships/hyperlink" Target="https://www.wsws.org/en/articles/2019/12/30/pove-d30.html" TargetMode="External"/><Relationship Id="rId91" Type="http://schemas.openxmlformats.org/officeDocument/2006/relationships/hyperlink" Target="file:///\\iis.loc\shares\mvso\users\TitzovaS\Plocha\Diplomova&#769;%20pra&#769;ce%20-20-07-2020.doc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socioweb.cz/upl/editorial/download/103_SOCIOweb_2_2003.pdf" TargetMode="External"/><Relationship Id="rId28" Type="http://schemas.openxmlformats.org/officeDocument/2006/relationships/hyperlink" Target="https://www.czso.cz/csu/czso/cri/prumerne-mzdy-4-ctvrtleti-2013-2w1wzcxx2x" TargetMode="External"/><Relationship Id="rId36" Type="http://schemas.openxmlformats.org/officeDocument/2006/relationships/hyperlink" Target="https://britannica.com/topic/standard-of-living" TargetMode="External"/><Relationship Id="rId49" Type="http://schemas.openxmlformats.org/officeDocument/2006/relationships/hyperlink" Target="https://polek.vse.cz/pdfs/pol/2010/02/03.pdf" TargetMode="External"/><Relationship Id="rId57" Type="http://schemas.openxmlformats.org/officeDocument/2006/relationships/hyperlink" Target="https://www.mvcr.cz/clanek/chudoba-je-problem-bohatych.aspx" TargetMode="External"/><Relationship Id="rId10" Type="http://schemas.openxmlformats.org/officeDocument/2006/relationships/image" Target="media/image1.jpg"/><Relationship Id="rId31" Type="http://schemas.openxmlformats.org/officeDocument/2006/relationships/hyperlink" Target="https://www.czso.cz/csu/czso/cri/prumerne-mzdy-4-ctvrtleti-2017" TargetMode="External"/><Relationship Id="rId44" Type="http://schemas.openxmlformats.org/officeDocument/2006/relationships/hyperlink" Target="https://investopedia.com/terms/q/quality-of-life.asp" TargetMode="External"/><Relationship Id="rId52" Type="http://schemas.openxmlformats.org/officeDocument/2006/relationships/hyperlink" Target="https://mentalhealth.org.uk/blog/what-wellbeing-how-can-we-measure-it-and-how-can-we-support-people-improve-it" TargetMode="External"/><Relationship Id="rId60" Type="http://schemas.openxmlformats.org/officeDocument/2006/relationships/hyperlink" Target="https://patria.cz/zpravodajstvi/2742691/oecd-rozevreni-nuzek-prijmove-nerovnosti-enormne-narusta.html" TargetMode="External"/><Relationship Id="rId65" Type="http://schemas.openxmlformats.org/officeDocument/2006/relationships/hyperlink" Target="https://psychologytoday.com/us/blog/click-here-happiness/201901/what-is-well-being-definition-types-and-well-being-skills" TargetMode="External"/><Relationship Id="rId73" Type="http://schemas.openxmlformats.org/officeDocument/2006/relationships/hyperlink" Target="https://www.statista.com/statistics/962795/poland-average-monthly-gross-wages/" TargetMode="External"/><Relationship Id="rId78" Type="http://schemas.openxmlformats.org/officeDocument/2006/relationships/hyperlink" Target="https://www.development.upol.cz/uploads/dokumenty/Syrovatka_HDI.pdf" TargetMode="External"/><Relationship Id="rId81" Type="http://schemas.openxmlformats.org/officeDocument/2006/relationships/hyperlink" Target="https://portal.zcu.cz/portal/studium/prohlizeni.html" TargetMode="External"/><Relationship Id="rId86" Type="http://schemas.openxmlformats.org/officeDocument/2006/relationships/hyperlink" Target="https://wellbeingpeople.com/2018/07/20/what-does-wellbeing-actually-mean/" TargetMode="Externa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arcgis.com/home/item.html?id=d92b769b223c4eecb3b75b68c41780d6" TargetMode="External"/><Relationship Id="rId39" Type="http://schemas.openxmlformats.org/officeDocument/2006/relationships/hyperlink" Target="https://stat.gov.pl/obszary-tematyczne/warunki-zycia/ubostwo-pomoc-spoleczna/zasieg-ubostwa-ekonomicznego-w-polsce-w-2019-roku,14,7.html" TargetMode="External"/><Relationship Id="rId34" Type="http://schemas.openxmlformats.org/officeDocument/2006/relationships/hyperlink" Target="http://digitaleconomist.org/rp_4010.html" TargetMode="External"/><Relationship Id="rId50" Type="http://schemas.openxmlformats.org/officeDocument/2006/relationships/hyperlink" Target="https://sreview.soc.cas.cz/pdfs/csr/1996/03/05.pdf" TargetMode="External"/><Relationship Id="rId55" Type="http://schemas.openxmlformats.org/officeDocument/2006/relationships/hyperlink" Target="https://www.mpsv.cz/web/cz/zivotni-a-existencni-minimum-od-1.-dubna-2020" TargetMode="External"/><Relationship Id="rId76" Type="http://schemas.openxmlformats.org/officeDocument/2006/relationships/hyperlink" Target="https://www.statista.com/statistics/416207/average-annual-wages-germany-y-on-y-in-euros/" TargetMode="External"/><Relationship Id="rId7" Type="http://schemas.openxmlformats.org/officeDocument/2006/relationships/webSettings" Target="webSettings.xml"/><Relationship Id="rId71" Type="http://schemas.openxmlformats.org/officeDocument/2006/relationships/hyperlink" Target="https://www.statista.com/statistics/375270/gross-domestic-product-gdp-growth-rate-in-slovakia/"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czso.cz/csu/czso/cri/prumerne-mzdy-4-ctvrtleti-2014-truea9fbwn" TargetMode="External"/><Relationship Id="rId24" Type="http://schemas.openxmlformats.org/officeDocument/2006/relationships/hyperlink" Target="https://czso.cz/csu/czso/hruby_domaci_produkt_-hdp-" TargetMode="External"/><Relationship Id="rId40" Type="http://schemas.openxmlformats.org/officeDocument/2006/relationships/hyperlink" Target="http://hdr.undp.org/en/content/human-development-index-hdi" TargetMode="External"/><Relationship Id="rId45" Type="http://schemas.openxmlformats.org/officeDocument/2006/relationships/hyperlink" Target="https://khanacademy.org/economics-finance-domain/macroeconomics/macro-economic-indicators-and-the-business-cycle/macro-limitations-of-gdp/a/how-well-gdp-measures-the-well-being-of-society-cnx" TargetMode="External"/><Relationship Id="rId66" Type="http://schemas.openxmlformats.org/officeDocument/2006/relationships/hyperlink" Target="https://doi.org/10.1017/S1368980017000167" TargetMode="External"/><Relationship Id="rId87" Type="http://schemas.openxmlformats.org/officeDocument/2006/relationships/hyperlink" Target="https://www.who.int/healthinfo/survey/whoqol-qualityoflife/en/" TargetMode="External"/><Relationship Id="rId61" Type="http://schemas.openxmlformats.org/officeDocument/2006/relationships/hyperlink" Target="https://data.oecd.org/earnwage/average-wages.htm" TargetMode="External"/><Relationship Id="rId82" Type="http://schemas.openxmlformats.org/officeDocument/2006/relationships/hyperlink" Target="https://neweconomics.org/2012/07/measuring-wellbeing" TargetMode="External"/><Relationship Id="rId19" Type="http://schemas.openxmlformats.org/officeDocument/2006/relationships/hyperlink" Target="https://is.mendelu.cz/zp/portal_zp.pl?podrobnosti_zp=48514;lang=cz" TargetMode="External"/><Relationship Id="rId14" Type="http://schemas.openxmlformats.org/officeDocument/2006/relationships/chart" Target="charts/chart2.xml"/><Relationship Id="rId30" Type="http://schemas.openxmlformats.org/officeDocument/2006/relationships/hyperlink" Target="https://www.czso.cz/csu/czso/cri/prumerne-mzdy-4-ctvrtleti-2015" TargetMode="External"/><Relationship Id="rId35" Type="http://schemas.openxmlformats.org/officeDocument/2006/relationships/hyperlink" Target="https://www.ekonomikon.cz/ekonomika/uvod/" TargetMode="External"/><Relationship Id="rId56" Type="http://schemas.openxmlformats.org/officeDocument/2006/relationships/hyperlink" Target="https://www.employment.gov.sk/sk/rodina-socialna-pomoc/hmotna-nudza/zivotne-minimum/" TargetMode="External"/><Relationship Id="rId77" Type="http://schemas.openxmlformats.org/officeDocument/2006/relationships/hyperlink" Target="https://www.statista.com/statistics/1012809/hungary-share-of-people-at-risk-of-povert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is.loc\shares\mvso\users\TitzovaS\Plocha\Data%20%2019-06-2020%20&#8211;%20diplom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is.loc\shares\mvso\users\TitzovaS\Plocha\Data%20%2017-06-2020%20&#8211;%20diplom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stepankatitzova\Downloads\Data%20%2019-06-2020%20&#8211;%20diplom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iis.loc\shares\mvso\users\TitzovaS\Plocha\Data%20%2019-06-2020%20&#8211;%20diplomk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Nezaměstnanost!$C$9</c:f>
              <c:strCache>
                <c:ptCount val="1"/>
                <c:pt idx="0">
                  <c:v>Česká republika</c:v>
                </c:pt>
              </c:strCache>
            </c:strRef>
          </c:tx>
          <c:spPr>
            <a:solidFill>
              <a:schemeClr val="accent1">
                <a:shade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Nezaměstnanost!$D$9:$K$9</c:f>
              <c:numCache>
                <c:formatCode>#,##0.0</c:formatCode>
                <c:ptCount val="8"/>
                <c:pt idx="0">
                  <c:v>7</c:v>
                </c:pt>
                <c:pt idx="1">
                  <c:v>7</c:v>
                </c:pt>
                <c:pt idx="2">
                  <c:v>6.1</c:v>
                </c:pt>
                <c:pt idx="3">
                  <c:v>5.0999999999999996</c:v>
                </c:pt>
                <c:pt idx="4">
                  <c:v>4</c:v>
                </c:pt>
                <c:pt idx="5">
                  <c:v>2.9</c:v>
                </c:pt>
                <c:pt idx="6">
                  <c:v>2.2000000000000002</c:v>
                </c:pt>
                <c:pt idx="7">
                  <c:v>2</c:v>
                </c:pt>
              </c:numCache>
            </c:numRef>
          </c:val>
          <c:extLst>
            <c:ext xmlns:c16="http://schemas.microsoft.com/office/drawing/2014/chart" uri="{C3380CC4-5D6E-409C-BE32-E72D297353CC}">
              <c16:uniqueId val="{00000000-EA53-452C-8144-A8DA9C73CDAE}"/>
            </c:ext>
          </c:extLst>
        </c:ser>
        <c:ser>
          <c:idx val="2"/>
          <c:order val="2"/>
          <c:tx>
            <c:strRef>
              <c:f>Nezaměstnanost!$C$11</c:f>
              <c:strCache>
                <c:ptCount val="1"/>
                <c:pt idx="0">
                  <c:v>Maďarsko</c:v>
                </c:pt>
              </c:strCache>
            </c:strRef>
          </c:tx>
          <c:spPr>
            <a:solidFill>
              <a:schemeClr val="accent1">
                <a:shade val="6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Nezaměstnanost!$D$11:$K$11</c:f>
              <c:numCache>
                <c:formatCode>#,##0.0</c:formatCode>
                <c:ptCount val="8"/>
                <c:pt idx="0">
                  <c:v>11</c:v>
                </c:pt>
                <c:pt idx="1">
                  <c:v>10.199999999999999</c:v>
                </c:pt>
                <c:pt idx="2">
                  <c:v>7.7</c:v>
                </c:pt>
                <c:pt idx="3">
                  <c:v>6.8</c:v>
                </c:pt>
                <c:pt idx="4">
                  <c:v>5.0999999999999996</c:v>
                </c:pt>
                <c:pt idx="5">
                  <c:v>4.2</c:v>
                </c:pt>
                <c:pt idx="6">
                  <c:v>3.7</c:v>
                </c:pt>
                <c:pt idx="7">
                  <c:v>3.4</c:v>
                </c:pt>
              </c:numCache>
            </c:numRef>
          </c:val>
          <c:extLst>
            <c:ext xmlns:c16="http://schemas.microsoft.com/office/drawing/2014/chart" uri="{C3380CC4-5D6E-409C-BE32-E72D297353CC}">
              <c16:uniqueId val="{00000001-EA53-452C-8144-A8DA9C73CDAE}"/>
            </c:ext>
          </c:extLst>
        </c:ser>
        <c:ser>
          <c:idx val="4"/>
          <c:order val="4"/>
          <c:tx>
            <c:strRef>
              <c:f>Nezaměstnanost!$C$13</c:f>
              <c:strCache>
                <c:ptCount val="1"/>
                <c:pt idx="0">
                  <c:v>Německo</c:v>
                </c:pt>
              </c:strCache>
            </c:strRef>
          </c:tx>
          <c:spPr>
            <a:solidFill>
              <a:schemeClr val="accent1">
                <a:shade val="8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Nezaměstnanost!$D$13:$K$13</c:f>
              <c:numCache>
                <c:formatCode>#,##0.0</c:formatCode>
                <c:ptCount val="8"/>
                <c:pt idx="0">
                  <c:v>5.4</c:v>
                </c:pt>
                <c:pt idx="1">
                  <c:v>5.2</c:v>
                </c:pt>
                <c:pt idx="2">
                  <c:v>5</c:v>
                </c:pt>
                <c:pt idx="3">
                  <c:v>4.5999999999999996</c:v>
                </c:pt>
                <c:pt idx="4">
                  <c:v>4.0999999999999996</c:v>
                </c:pt>
                <c:pt idx="5">
                  <c:v>3.8</c:v>
                </c:pt>
                <c:pt idx="6">
                  <c:v>3.4</c:v>
                </c:pt>
                <c:pt idx="7">
                  <c:v>3.2</c:v>
                </c:pt>
              </c:numCache>
            </c:numRef>
          </c:val>
          <c:extLst>
            <c:ext xmlns:c16="http://schemas.microsoft.com/office/drawing/2014/chart" uri="{C3380CC4-5D6E-409C-BE32-E72D297353CC}">
              <c16:uniqueId val="{00000002-EA53-452C-8144-A8DA9C73CDAE}"/>
            </c:ext>
          </c:extLst>
        </c:ser>
        <c:ser>
          <c:idx val="6"/>
          <c:order val="6"/>
          <c:tx>
            <c:strRef>
              <c:f>Nezaměstnanost!$C$15</c:f>
              <c:strCache>
                <c:ptCount val="1"/>
                <c:pt idx="0">
                  <c:v>Polsko</c:v>
                </c:pt>
              </c:strCache>
            </c:strRef>
          </c:tx>
          <c:spPr>
            <a:solidFill>
              <a:schemeClr val="accent1">
                <a:tint val="9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Nezaměstnanost!$D$15:$K$15</c:f>
              <c:numCache>
                <c:formatCode>#,##0.0</c:formatCode>
                <c:ptCount val="8"/>
                <c:pt idx="0">
                  <c:v>10.1</c:v>
                </c:pt>
                <c:pt idx="1">
                  <c:v>10.3</c:v>
                </c:pt>
                <c:pt idx="2">
                  <c:v>9</c:v>
                </c:pt>
                <c:pt idx="3">
                  <c:v>7.5</c:v>
                </c:pt>
                <c:pt idx="4">
                  <c:v>6.2</c:v>
                </c:pt>
                <c:pt idx="5">
                  <c:v>4.9000000000000004</c:v>
                </c:pt>
                <c:pt idx="6">
                  <c:v>3.9</c:v>
                </c:pt>
                <c:pt idx="7">
                  <c:v>3.3</c:v>
                </c:pt>
              </c:numCache>
            </c:numRef>
          </c:val>
          <c:extLst>
            <c:ext xmlns:c16="http://schemas.microsoft.com/office/drawing/2014/chart" uri="{C3380CC4-5D6E-409C-BE32-E72D297353CC}">
              <c16:uniqueId val="{00000003-EA53-452C-8144-A8DA9C73CDAE}"/>
            </c:ext>
          </c:extLst>
        </c:ser>
        <c:ser>
          <c:idx val="8"/>
          <c:order val="8"/>
          <c:tx>
            <c:strRef>
              <c:f>Nezaměstnanost!$C$17</c:f>
              <c:strCache>
                <c:ptCount val="1"/>
                <c:pt idx="0">
                  <c:v>Rakousko</c:v>
                </c:pt>
              </c:strCache>
            </c:strRef>
          </c:tx>
          <c:spPr>
            <a:solidFill>
              <a:schemeClr val="accent1">
                <a:tint val="7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Nezaměstnanost!$D$17:$K$17</c:f>
              <c:numCache>
                <c:formatCode>#,##0.0</c:formatCode>
                <c:ptCount val="8"/>
                <c:pt idx="0">
                  <c:v>4.9000000000000004</c:v>
                </c:pt>
                <c:pt idx="1">
                  <c:v>5.4</c:v>
                </c:pt>
                <c:pt idx="2">
                  <c:v>5.6</c:v>
                </c:pt>
                <c:pt idx="3">
                  <c:v>5.7</c:v>
                </c:pt>
                <c:pt idx="4">
                  <c:v>6</c:v>
                </c:pt>
                <c:pt idx="5">
                  <c:v>5.5</c:v>
                </c:pt>
                <c:pt idx="6">
                  <c:v>4.9000000000000004</c:v>
                </c:pt>
                <c:pt idx="7">
                  <c:v>4.5</c:v>
                </c:pt>
              </c:numCache>
            </c:numRef>
          </c:val>
          <c:extLst>
            <c:ext xmlns:c16="http://schemas.microsoft.com/office/drawing/2014/chart" uri="{C3380CC4-5D6E-409C-BE32-E72D297353CC}">
              <c16:uniqueId val="{00000004-EA53-452C-8144-A8DA9C73CDAE}"/>
            </c:ext>
          </c:extLst>
        </c:ser>
        <c:ser>
          <c:idx val="10"/>
          <c:order val="10"/>
          <c:tx>
            <c:strRef>
              <c:f>Nezaměstnanost!$C$19</c:f>
              <c:strCache>
                <c:ptCount val="1"/>
                <c:pt idx="0">
                  <c:v>Slovensko</c:v>
                </c:pt>
              </c:strCache>
            </c:strRef>
          </c:tx>
          <c:spPr>
            <a:solidFill>
              <a:schemeClr val="accent1">
                <a:tint val="5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Nezaměstnanost!$D$7:$K$8</c:f>
              <c:strCache>
                <c:ptCount val="8"/>
                <c:pt idx="0">
                  <c:v>2012</c:v>
                </c:pt>
                <c:pt idx="1">
                  <c:v>2013</c:v>
                </c:pt>
                <c:pt idx="2">
                  <c:v>2014</c:v>
                </c:pt>
                <c:pt idx="3">
                  <c:v>2015</c:v>
                </c:pt>
                <c:pt idx="4">
                  <c:v>2016</c:v>
                </c:pt>
                <c:pt idx="5">
                  <c:v>2017</c:v>
                </c:pt>
                <c:pt idx="6">
                  <c:v>2018</c:v>
                </c:pt>
                <c:pt idx="7">
                  <c:v>2019</c:v>
                </c:pt>
              </c:strCache>
            </c:strRef>
          </c:cat>
          <c:val>
            <c:numRef>
              <c:f>Nezaměstnanost!$D$19:$K$19</c:f>
              <c:numCache>
                <c:formatCode>#,##0.0</c:formatCode>
                <c:ptCount val="8"/>
                <c:pt idx="0">
                  <c:v>14</c:v>
                </c:pt>
                <c:pt idx="1">
                  <c:v>14.2</c:v>
                </c:pt>
                <c:pt idx="2">
                  <c:v>13.2</c:v>
                </c:pt>
                <c:pt idx="3">
                  <c:v>11.5</c:v>
                </c:pt>
                <c:pt idx="4">
                  <c:v>9.6999999999999993</c:v>
                </c:pt>
                <c:pt idx="5">
                  <c:v>8.1</c:v>
                </c:pt>
                <c:pt idx="6">
                  <c:v>6.5</c:v>
                </c:pt>
                <c:pt idx="7">
                  <c:v>5.8</c:v>
                </c:pt>
              </c:numCache>
            </c:numRef>
          </c:val>
          <c:extLst>
            <c:ext xmlns:c16="http://schemas.microsoft.com/office/drawing/2014/chart" uri="{C3380CC4-5D6E-409C-BE32-E72D297353CC}">
              <c16:uniqueId val="{00000005-EA53-452C-8144-A8DA9C73CDAE}"/>
            </c:ext>
          </c:extLst>
        </c:ser>
        <c:dLbls>
          <c:dLblPos val="outEnd"/>
          <c:showLegendKey val="0"/>
          <c:showVal val="1"/>
          <c:showCatName val="0"/>
          <c:showSerName val="0"/>
          <c:showPercent val="0"/>
          <c:showBubbleSize val="0"/>
        </c:dLbls>
        <c:gapWidth val="444"/>
        <c:overlap val="-90"/>
        <c:axId val="1953375231"/>
        <c:axId val="2089203519"/>
        <c:extLst>
          <c:ext xmlns:c15="http://schemas.microsoft.com/office/drawing/2012/chart" uri="{02D57815-91ED-43cb-92C2-25804820EDAC}">
            <c15:filteredBarSeries>
              <c15:ser>
                <c:idx val="1"/>
                <c:order val="1"/>
                <c:tx>
                  <c:strRef>
                    <c:extLst>
                      <c:ext uri="{02D57815-91ED-43cb-92C2-25804820EDAC}">
                        <c15:formulaRef>
                          <c15:sqref>Nezaměstnanost!$C$10</c15:sqref>
                        </c15:formulaRef>
                      </c:ext>
                    </c:extLst>
                    <c:strCache>
                      <c:ptCount val="1"/>
                    </c:strCache>
                  </c:strRef>
                </c:tx>
                <c:spPr>
                  <a:solidFill>
                    <a:schemeClr val="accent1">
                      <a:shade val="5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c:ext uri="{02D57815-91ED-43cb-92C2-25804820EDAC}">
                        <c15:formulaRef>
                          <c15:sqref>Nezaměstnanost!$D$10:$K$10</c15:sqref>
                        </c15:formulaRef>
                      </c:ext>
                    </c:extLst>
                    <c:numCache>
                      <c:formatCode>General</c:formatCode>
                      <c:ptCount val="8"/>
                    </c:numCache>
                  </c:numRef>
                </c:val>
                <c:extLst>
                  <c:ext xmlns:c16="http://schemas.microsoft.com/office/drawing/2014/chart" uri="{C3380CC4-5D6E-409C-BE32-E72D297353CC}">
                    <c16:uniqueId val="{00000006-EA53-452C-8144-A8DA9C73CDA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Nezaměstnanost!$C$12</c15:sqref>
                        </c15:formulaRef>
                      </c:ext>
                    </c:extLst>
                    <c:strCache>
                      <c:ptCount val="1"/>
                    </c:strCache>
                  </c:strRef>
                </c:tx>
                <c:spPr>
                  <a:solidFill>
                    <a:schemeClr val="accent1">
                      <a:shade val="7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Nezaměstnanost!$D$12:$K$12</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EA53-452C-8144-A8DA9C73CDA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Nezaměstnanost!$C$14</c15:sqref>
                        </c15:formulaRef>
                      </c:ext>
                    </c:extLst>
                    <c:strCache>
                      <c:ptCount val="1"/>
                    </c:strCache>
                  </c:strRef>
                </c:tx>
                <c:spPr>
                  <a:solidFill>
                    <a:schemeClr val="accent1">
                      <a:shade val="9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Nezaměstnanost!$D$14:$K$14</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EA53-452C-8144-A8DA9C73CDAE}"/>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Nezaměstnanost!$C$16</c15:sqref>
                        </c15:formulaRef>
                      </c:ext>
                    </c:extLst>
                    <c:strCache>
                      <c:ptCount val="1"/>
                    </c:strCache>
                  </c:strRef>
                </c:tx>
                <c:spPr>
                  <a:solidFill>
                    <a:schemeClr val="accent1">
                      <a:tint val="8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Nezaměstnanost!$D$16:$K$16</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EA53-452C-8144-A8DA9C73CDAE}"/>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Nezaměstnanost!$C$18</c15:sqref>
                        </c15:formulaRef>
                      </c:ext>
                    </c:extLst>
                    <c:strCache>
                      <c:ptCount val="1"/>
                    </c:strCache>
                  </c:strRef>
                </c:tx>
                <c:spPr>
                  <a:solidFill>
                    <a:schemeClr val="accent1">
                      <a:tint val="6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Nezaměstnanost!$D$18:$K$18</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A-EA53-452C-8144-A8DA9C73CDAE}"/>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Nezaměstnanost!$C$20</c15:sqref>
                        </c15:formulaRef>
                      </c:ext>
                    </c:extLst>
                    <c:strCache>
                      <c:ptCount val="1"/>
                    </c:strCache>
                  </c:strRef>
                </c:tx>
                <c:spPr>
                  <a:solidFill>
                    <a:schemeClr val="accent1">
                      <a:tint val="4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Nezaměstnanost!$D$7:$K$8</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Nezaměstnanost!$D$20:$K$20</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B-EA53-452C-8144-A8DA9C73CDAE}"/>
                  </c:ext>
                </c:extLst>
              </c15:ser>
            </c15:filteredBarSeries>
          </c:ext>
        </c:extLst>
      </c:barChart>
      <c:catAx>
        <c:axId val="1953375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089203519"/>
        <c:crosses val="autoZero"/>
        <c:auto val="1"/>
        <c:lblAlgn val="ctr"/>
        <c:lblOffset val="100"/>
        <c:noMultiLvlLbl val="0"/>
      </c:catAx>
      <c:valAx>
        <c:axId val="2089203519"/>
        <c:scaling>
          <c:orientation val="minMax"/>
        </c:scaling>
        <c:delete val="1"/>
        <c:axPos val="l"/>
        <c:numFmt formatCode="#,##0.0" sourceLinked="1"/>
        <c:majorTickMark val="none"/>
        <c:minorTickMark val="none"/>
        <c:tickLblPos val="nextTo"/>
        <c:crossAx val="195337523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HDI!$C$5</c:f>
              <c:strCache>
                <c:ptCount val="1"/>
                <c:pt idx="0">
                  <c:v>Česká republika</c:v>
                </c:pt>
              </c:strCache>
            </c:strRef>
          </c:tx>
          <c:spPr>
            <a:solidFill>
              <a:schemeClr val="accent1">
                <a:shade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HDI!$D$5:$J$5</c:f>
              <c:numCache>
                <c:formatCode>General</c:formatCode>
                <c:ptCount val="7"/>
                <c:pt idx="0">
                  <c:v>0.86499999999999999</c:v>
                </c:pt>
                <c:pt idx="1">
                  <c:v>0.874</c:v>
                </c:pt>
                <c:pt idx="2">
                  <c:v>0.879</c:v>
                </c:pt>
                <c:pt idx="3">
                  <c:v>0.88200000000000001</c:v>
                </c:pt>
                <c:pt idx="4">
                  <c:v>0.88500000000000001</c:v>
                </c:pt>
                <c:pt idx="5">
                  <c:v>0.88800000000000001</c:v>
                </c:pt>
                <c:pt idx="6">
                  <c:v>0.89100000000000001</c:v>
                </c:pt>
              </c:numCache>
            </c:numRef>
          </c:val>
          <c:extLst>
            <c:ext xmlns:c16="http://schemas.microsoft.com/office/drawing/2014/chart" uri="{C3380CC4-5D6E-409C-BE32-E72D297353CC}">
              <c16:uniqueId val="{00000000-F7DE-E444-9C36-B7ED8967CA70}"/>
            </c:ext>
          </c:extLst>
        </c:ser>
        <c:ser>
          <c:idx val="2"/>
          <c:order val="2"/>
          <c:tx>
            <c:strRef>
              <c:f>HDI!$C$7</c:f>
              <c:strCache>
                <c:ptCount val="1"/>
                <c:pt idx="0">
                  <c:v>Maďarsko</c:v>
                </c:pt>
              </c:strCache>
            </c:strRef>
          </c:tx>
          <c:spPr>
            <a:solidFill>
              <a:schemeClr val="accent1">
                <a:shade val="6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HDI!$D$7:$J$7</c:f>
              <c:numCache>
                <c:formatCode>General</c:formatCode>
                <c:ptCount val="7"/>
                <c:pt idx="0">
                  <c:v>0.82599999999999996</c:v>
                </c:pt>
                <c:pt idx="1">
                  <c:v>0.83499999999999996</c:v>
                </c:pt>
                <c:pt idx="2">
                  <c:v>0.83299999999999996</c:v>
                </c:pt>
                <c:pt idx="3">
                  <c:v>0.83499999999999996</c:v>
                </c:pt>
                <c:pt idx="4">
                  <c:v>0.83799999999999997</c:v>
                </c:pt>
                <c:pt idx="5">
                  <c:v>0.84099999999999997</c:v>
                </c:pt>
                <c:pt idx="6">
                  <c:v>0.84499999999999997</c:v>
                </c:pt>
              </c:numCache>
            </c:numRef>
          </c:val>
          <c:extLst>
            <c:ext xmlns:c16="http://schemas.microsoft.com/office/drawing/2014/chart" uri="{C3380CC4-5D6E-409C-BE32-E72D297353CC}">
              <c16:uniqueId val="{00000001-F7DE-E444-9C36-B7ED8967CA70}"/>
            </c:ext>
          </c:extLst>
        </c:ser>
        <c:ser>
          <c:idx val="4"/>
          <c:order val="4"/>
          <c:tx>
            <c:strRef>
              <c:f>HDI!$C$9</c:f>
              <c:strCache>
                <c:ptCount val="1"/>
                <c:pt idx="0">
                  <c:v>Německo</c:v>
                </c:pt>
              </c:strCache>
            </c:strRef>
          </c:tx>
          <c:spPr>
            <a:solidFill>
              <a:schemeClr val="accent1">
                <a:shade val="8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HDI!$D$9:$J$9</c:f>
              <c:numCache>
                <c:formatCode>General</c:formatCode>
                <c:ptCount val="7"/>
                <c:pt idx="0">
                  <c:v>0.92700000000000005</c:v>
                </c:pt>
                <c:pt idx="1">
                  <c:v>0.92700000000000005</c:v>
                </c:pt>
                <c:pt idx="2" formatCode="0.000">
                  <c:v>0.93</c:v>
                </c:pt>
                <c:pt idx="3">
                  <c:v>0.93300000000000005</c:v>
                </c:pt>
                <c:pt idx="4">
                  <c:v>0.93600000000000005</c:v>
                </c:pt>
                <c:pt idx="5">
                  <c:v>0.93799999999999994</c:v>
                </c:pt>
                <c:pt idx="6">
                  <c:v>0.93899999999999995</c:v>
                </c:pt>
              </c:numCache>
            </c:numRef>
          </c:val>
          <c:extLst>
            <c:ext xmlns:c16="http://schemas.microsoft.com/office/drawing/2014/chart" uri="{C3380CC4-5D6E-409C-BE32-E72D297353CC}">
              <c16:uniqueId val="{00000002-F7DE-E444-9C36-B7ED8967CA70}"/>
            </c:ext>
          </c:extLst>
        </c:ser>
        <c:ser>
          <c:idx val="6"/>
          <c:order val="6"/>
          <c:tx>
            <c:strRef>
              <c:f>HDI!$C$11</c:f>
              <c:strCache>
                <c:ptCount val="1"/>
                <c:pt idx="0">
                  <c:v>Polsko</c:v>
                </c:pt>
              </c:strCache>
            </c:strRef>
          </c:tx>
          <c:spPr>
            <a:solidFill>
              <a:schemeClr val="accent1">
                <a:tint val="9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HDI!$D$11:$J$11</c:f>
              <c:numCache>
                <c:formatCode>General</c:formatCode>
                <c:ptCount val="7"/>
                <c:pt idx="0">
                  <c:v>0.83599999999999997</c:v>
                </c:pt>
                <c:pt idx="1">
                  <c:v>0.85099999999999998</c:v>
                </c:pt>
                <c:pt idx="2">
                  <c:v>0.85299999999999998</c:v>
                </c:pt>
                <c:pt idx="3">
                  <c:v>0.85799999999999998</c:v>
                </c:pt>
                <c:pt idx="4">
                  <c:v>0.86399999999999999</c:v>
                </c:pt>
                <c:pt idx="5">
                  <c:v>0.86799999999999999</c:v>
                </c:pt>
                <c:pt idx="6">
                  <c:v>0.872</c:v>
                </c:pt>
              </c:numCache>
            </c:numRef>
          </c:val>
          <c:extLst>
            <c:ext xmlns:c16="http://schemas.microsoft.com/office/drawing/2014/chart" uri="{C3380CC4-5D6E-409C-BE32-E72D297353CC}">
              <c16:uniqueId val="{00000003-F7DE-E444-9C36-B7ED8967CA70}"/>
            </c:ext>
          </c:extLst>
        </c:ser>
        <c:ser>
          <c:idx val="8"/>
          <c:order val="8"/>
          <c:tx>
            <c:strRef>
              <c:f>HDI!$C$13</c:f>
              <c:strCache>
                <c:ptCount val="1"/>
                <c:pt idx="0">
                  <c:v>Rakousko</c:v>
                </c:pt>
              </c:strCache>
            </c:strRef>
          </c:tx>
          <c:spPr>
            <a:solidFill>
              <a:schemeClr val="accent1">
                <a:tint val="7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HDI!$D$13:$J$13</c:f>
              <c:numCache>
                <c:formatCode>General</c:formatCode>
                <c:ptCount val="7"/>
                <c:pt idx="0">
                  <c:v>0.89900000000000002</c:v>
                </c:pt>
                <c:pt idx="1">
                  <c:v>0.89600000000000002</c:v>
                </c:pt>
                <c:pt idx="2">
                  <c:v>0.90400000000000003</c:v>
                </c:pt>
                <c:pt idx="3">
                  <c:v>0.90600000000000003</c:v>
                </c:pt>
                <c:pt idx="4">
                  <c:v>0.90900000000000003</c:v>
                </c:pt>
                <c:pt idx="5">
                  <c:v>0.91200000000000003</c:v>
                </c:pt>
                <c:pt idx="6">
                  <c:v>0.91400000000000003</c:v>
                </c:pt>
              </c:numCache>
            </c:numRef>
          </c:val>
          <c:extLst>
            <c:ext xmlns:c16="http://schemas.microsoft.com/office/drawing/2014/chart" uri="{C3380CC4-5D6E-409C-BE32-E72D297353CC}">
              <c16:uniqueId val="{00000004-F7DE-E444-9C36-B7ED8967CA70}"/>
            </c:ext>
          </c:extLst>
        </c:ser>
        <c:ser>
          <c:idx val="10"/>
          <c:order val="10"/>
          <c:tx>
            <c:strRef>
              <c:f>HDI!$C$15</c:f>
              <c:strCache>
                <c:ptCount val="1"/>
                <c:pt idx="0">
                  <c:v>Slovensko</c:v>
                </c:pt>
              </c:strCache>
            </c:strRef>
          </c:tx>
          <c:spPr>
            <a:solidFill>
              <a:schemeClr val="accent1">
                <a:tint val="5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HDI!$D$3:$J$4</c:f>
              <c:strCache>
                <c:ptCount val="7"/>
                <c:pt idx="0">
                  <c:v>2012</c:v>
                </c:pt>
                <c:pt idx="1">
                  <c:v>2013</c:v>
                </c:pt>
                <c:pt idx="2">
                  <c:v>2014</c:v>
                </c:pt>
                <c:pt idx="3">
                  <c:v>2015</c:v>
                </c:pt>
                <c:pt idx="4">
                  <c:v>2016</c:v>
                </c:pt>
                <c:pt idx="5">
                  <c:v>2017</c:v>
                </c:pt>
                <c:pt idx="6">
                  <c:v>2018</c:v>
                </c:pt>
              </c:strCache>
            </c:strRef>
          </c:cat>
          <c:val>
            <c:numRef>
              <c:f>HDI!$D$15:$J$15</c:f>
              <c:numCache>
                <c:formatCode>General</c:formatCode>
                <c:ptCount val="7"/>
                <c:pt idx="0">
                  <c:v>0.84099999999999997</c:v>
                </c:pt>
                <c:pt idx="1">
                  <c:v>0.84399999999999997</c:v>
                </c:pt>
                <c:pt idx="2">
                  <c:v>0.84499999999999997</c:v>
                </c:pt>
                <c:pt idx="3">
                  <c:v>0.84899999999999998</c:v>
                </c:pt>
                <c:pt idx="4">
                  <c:v>0.85099999999999998</c:v>
                </c:pt>
                <c:pt idx="5">
                  <c:v>0.85399999999999998</c:v>
                </c:pt>
                <c:pt idx="6">
                  <c:v>0.85699999999999998</c:v>
                </c:pt>
              </c:numCache>
            </c:numRef>
          </c:val>
          <c:extLst>
            <c:ext xmlns:c16="http://schemas.microsoft.com/office/drawing/2014/chart" uri="{C3380CC4-5D6E-409C-BE32-E72D297353CC}">
              <c16:uniqueId val="{00000005-F7DE-E444-9C36-B7ED8967CA70}"/>
            </c:ext>
          </c:extLst>
        </c:ser>
        <c:dLbls>
          <c:dLblPos val="outEnd"/>
          <c:showLegendKey val="0"/>
          <c:showVal val="1"/>
          <c:showCatName val="0"/>
          <c:showSerName val="0"/>
          <c:showPercent val="0"/>
          <c:showBubbleSize val="0"/>
        </c:dLbls>
        <c:gapWidth val="444"/>
        <c:overlap val="-90"/>
        <c:axId val="885313839"/>
        <c:axId val="532885343"/>
        <c:extLst>
          <c:ext xmlns:c15="http://schemas.microsoft.com/office/drawing/2012/chart" uri="{02D57815-91ED-43cb-92C2-25804820EDAC}">
            <c15:filteredBarSeries>
              <c15:ser>
                <c:idx val="1"/>
                <c:order val="1"/>
                <c:tx>
                  <c:strRef>
                    <c:extLst>
                      <c:ext uri="{02D57815-91ED-43cb-92C2-25804820EDAC}">
                        <c15:formulaRef>
                          <c15:sqref>HDI!$C$6</c15:sqref>
                        </c15:formulaRef>
                      </c:ext>
                    </c:extLst>
                    <c:strCache>
                      <c:ptCount val="1"/>
                    </c:strCache>
                  </c:strRef>
                </c:tx>
                <c:spPr>
                  <a:solidFill>
                    <a:schemeClr val="accent1">
                      <a:shade val="5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c:ext uri="{02D57815-91ED-43cb-92C2-25804820EDAC}">
                        <c15:formulaRef>
                          <c15:sqref>HDI!$D$6:$J$6</c15:sqref>
                        </c15:formulaRef>
                      </c:ext>
                    </c:extLst>
                    <c:numCache>
                      <c:formatCode>General</c:formatCode>
                      <c:ptCount val="7"/>
                    </c:numCache>
                  </c:numRef>
                </c:val>
                <c:extLst>
                  <c:ext xmlns:c16="http://schemas.microsoft.com/office/drawing/2014/chart" uri="{C3380CC4-5D6E-409C-BE32-E72D297353CC}">
                    <c16:uniqueId val="{00000006-F7DE-E444-9C36-B7ED8967CA7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HDI!$C$8</c15:sqref>
                        </c15:formulaRef>
                      </c:ext>
                    </c:extLst>
                    <c:strCache>
                      <c:ptCount val="1"/>
                    </c:strCache>
                  </c:strRef>
                </c:tx>
                <c:spPr>
                  <a:solidFill>
                    <a:schemeClr val="accent1">
                      <a:shade val="7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xmlns:c15="http://schemas.microsoft.com/office/drawing/2012/chart">
                      <c:ext xmlns:c15="http://schemas.microsoft.com/office/drawing/2012/chart" uri="{02D57815-91ED-43cb-92C2-25804820EDAC}">
                        <c15:formulaRef>
                          <c15:sqref>HDI!$D$8:$J$8</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7-F7DE-E444-9C36-B7ED8967CA7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HDI!$C$10</c15:sqref>
                        </c15:formulaRef>
                      </c:ext>
                    </c:extLst>
                    <c:strCache>
                      <c:ptCount val="1"/>
                    </c:strCache>
                  </c:strRef>
                </c:tx>
                <c:spPr>
                  <a:solidFill>
                    <a:schemeClr val="accent1">
                      <a:shade val="9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xmlns:c15="http://schemas.microsoft.com/office/drawing/2012/chart">
                      <c:ext xmlns:c15="http://schemas.microsoft.com/office/drawing/2012/chart" uri="{02D57815-91ED-43cb-92C2-25804820EDAC}">
                        <c15:formulaRef>
                          <c15:sqref>HDI!$D$10:$J$10</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8-F7DE-E444-9C36-B7ED8967CA7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HDI!$C$12</c15:sqref>
                        </c15:formulaRef>
                      </c:ext>
                    </c:extLst>
                    <c:strCache>
                      <c:ptCount val="1"/>
                    </c:strCache>
                  </c:strRef>
                </c:tx>
                <c:spPr>
                  <a:solidFill>
                    <a:schemeClr val="accent1">
                      <a:tint val="8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xmlns:c15="http://schemas.microsoft.com/office/drawing/2012/chart">
                      <c:ext xmlns:c15="http://schemas.microsoft.com/office/drawing/2012/chart" uri="{02D57815-91ED-43cb-92C2-25804820EDAC}">
                        <c15:formulaRef>
                          <c15:sqref>HDI!$D$12:$J$12</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9-F7DE-E444-9C36-B7ED8967CA7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HDI!$C$14</c15:sqref>
                        </c15:formulaRef>
                      </c:ext>
                    </c:extLst>
                    <c:strCache>
                      <c:ptCount val="1"/>
                    </c:strCache>
                  </c:strRef>
                </c:tx>
                <c:spPr>
                  <a:solidFill>
                    <a:schemeClr val="accent1">
                      <a:tint val="6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xmlns:c15="http://schemas.microsoft.com/office/drawing/2012/chart">
                      <c:ext xmlns:c15="http://schemas.microsoft.com/office/drawing/2012/chart" uri="{02D57815-91ED-43cb-92C2-25804820EDAC}">
                        <c15:formulaRef>
                          <c15:sqref>HDI!$D$14:$J$14</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A-F7DE-E444-9C36-B7ED8967CA70}"/>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HDI!$C$16</c15:sqref>
                        </c15:formulaRef>
                      </c:ext>
                    </c:extLst>
                    <c:strCache>
                      <c:ptCount val="1"/>
                    </c:strCache>
                  </c:strRef>
                </c:tx>
                <c:spPr>
                  <a:solidFill>
                    <a:schemeClr val="accent1">
                      <a:tint val="4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HDI!$D$3:$J$4</c15:sqref>
                        </c15:formulaRef>
                      </c:ext>
                    </c:extLst>
                    <c:strCache>
                      <c:ptCount val="7"/>
                      <c:pt idx="0">
                        <c:v>2012</c:v>
                      </c:pt>
                      <c:pt idx="1">
                        <c:v>2013</c:v>
                      </c:pt>
                      <c:pt idx="2">
                        <c:v>2014</c:v>
                      </c:pt>
                      <c:pt idx="3">
                        <c:v>2015</c:v>
                      </c:pt>
                      <c:pt idx="4">
                        <c:v>2016</c:v>
                      </c:pt>
                      <c:pt idx="5">
                        <c:v>2017</c:v>
                      </c:pt>
                      <c:pt idx="6">
                        <c:v>2018</c:v>
                      </c:pt>
                    </c:strCache>
                  </c:strRef>
                </c:cat>
                <c:val>
                  <c:numRef>
                    <c:extLst xmlns:c15="http://schemas.microsoft.com/office/drawing/2012/chart">
                      <c:ext xmlns:c15="http://schemas.microsoft.com/office/drawing/2012/chart" uri="{02D57815-91ED-43cb-92C2-25804820EDAC}">
                        <c15:formulaRef>
                          <c15:sqref>HDI!$D$16:$J$16</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B-F7DE-E444-9C36-B7ED8967CA70}"/>
                  </c:ext>
                </c:extLst>
              </c15:ser>
            </c15:filteredBarSeries>
          </c:ext>
        </c:extLst>
      </c:barChart>
      <c:catAx>
        <c:axId val="8853138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32885343"/>
        <c:crosses val="autoZero"/>
        <c:auto val="1"/>
        <c:lblAlgn val="ctr"/>
        <c:lblOffset val="100"/>
        <c:noMultiLvlLbl val="0"/>
      </c:catAx>
      <c:valAx>
        <c:axId val="532885343"/>
        <c:scaling>
          <c:orientation val="minMax"/>
        </c:scaling>
        <c:delete val="1"/>
        <c:axPos val="l"/>
        <c:numFmt formatCode="General" sourceLinked="1"/>
        <c:majorTickMark val="none"/>
        <c:minorTickMark val="none"/>
        <c:tickLblPos val="nextTo"/>
        <c:crossAx val="88531383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'HDP '!$B$5</c:f>
              <c:strCache>
                <c:ptCount val="1"/>
                <c:pt idx="0">
                  <c:v>Česká republika</c:v>
                </c:pt>
              </c:strCache>
            </c:strRef>
          </c:tx>
          <c:spPr>
            <a:solidFill>
              <a:schemeClr val="accent1">
                <a:shade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'!$C$5:$J$5</c:f>
              <c:numCache>
                <c:formatCode>General</c:formatCode>
                <c:ptCount val="8"/>
                <c:pt idx="0">
                  <c:v>83</c:v>
                </c:pt>
                <c:pt idx="1">
                  <c:v>85</c:v>
                </c:pt>
                <c:pt idx="2">
                  <c:v>87</c:v>
                </c:pt>
                <c:pt idx="3">
                  <c:v>88</c:v>
                </c:pt>
                <c:pt idx="4">
                  <c:v>88</c:v>
                </c:pt>
                <c:pt idx="5">
                  <c:v>90</c:v>
                </c:pt>
                <c:pt idx="6">
                  <c:v>91</c:v>
                </c:pt>
                <c:pt idx="7">
                  <c:v>92</c:v>
                </c:pt>
              </c:numCache>
            </c:numRef>
          </c:val>
          <c:extLst>
            <c:ext xmlns:c16="http://schemas.microsoft.com/office/drawing/2014/chart" uri="{C3380CC4-5D6E-409C-BE32-E72D297353CC}">
              <c16:uniqueId val="{00000000-37D0-9E45-9D34-7CD756742689}"/>
            </c:ext>
          </c:extLst>
        </c:ser>
        <c:ser>
          <c:idx val="2"/>
          <c:order val="2"/>
          <c:tx>
            <c:strRef>
              <c:f>'HDP '!$B$7</c:f>
              <c:strCache>
                <c:ptCount val="1"/>
                <c:pt idx="0">
                  <c:v>Maďarsko</c:v>
                </c:pt>
              </c:strCache>
            </c:strRef>
          </c:tx>
          <c:spPr>
            <a:solidFill>
              <a:schemeClr val="accent1">
                <a:shade val="6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'!$C$7:$J$7</c:f>
              <c:numCache>
                <c:formatCode>General</c:formatCode>
                <c:ptCount val="8"/>
                <c:pt idx="0">
                  <c:v>66</c:v>
                </c:pt>
                <c:pt idx="1">
                  <c:v>68</c:v>
                </c:pt>
                <c:pt idx="2">
                  <c:v>69</c:v>
                </c:pt>
                <c:pt idx="3">
                  <c:v>70</c:v>
                </c:pt>
                <c:pt idx="4">
                  <c:v>68</c:v>
                </c:pt>
                <c:pt idx="5">
                  <c:v>69</c:v>
                </c:pt>
                <c:pt idx="6">
                  <c:v>71</c:v>
                </c:pt>
                <c:pt idx="7">
                  <c:v>73</c:v>
                </c:pt>
              </c:numCache>
            </c:numRef>
          </c:val>
          <c:extLst>
            <c:ext xmlns:c16="http://schemas.microsoft.com/office/drawing/2014/chart" uri="{C3380CC4-5D6E-409C-BE32-E72D297353CC}">
              <c16:uniqueId val="{00000001-37D0-9E45-9D34-7CD756742689}"/>
            </c:ext>
          </c:extLst>
        </c:ser>
        <c:ser>
          <c:idx val="4"/>
          <c:order val="4"/>
          <c:tx>
            <c:strRef>
              <c:f>'HDP '!$B$9</c:f>
              <c:strCache>
                <c:ptCount val="1"/>
                <c:pt idx="0">
                  <c:v>Německo</c:v>
                </c:pt>
              </c:strCache>
            </c:strRef>
          </c:tx>
          <c:spPr>
            <a:solidFill>
              <a:schemeClr val="accent1">
                <a:shade val="8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'!$C$9:$J$9</c:f>
              <c:numCache>
                <c:formatCode>General</c:formatCode>
                <c:ptCount val="8"/>
                <c:pt idx="0">
                  <c:v>124</c:v>
                </c:pt>
                <c:pt idx="1">
                  <c:v>125</c:v>
                </c:pt>
                <c:pt idx="2">
                  <c:v>127</c:v>
                </c:pt>
                <c:pt idx="3">
                  <c:v>125</c:v>
                </c:pt>
                <c:pt idx="4">
                  <c:v>125</c:v>
                </c:pt>
                <c:pt idx="5">
                  <c:v>124</c:v>
                </c:pt>
                <c:pt idx="6">
                  <c:v>123</c:v>
                </c:pt>
                <c:pt idx="7">
                  <c:v>121</c:v>
                </c:pt>
              </c:numCache>
            </c:numRef>
          </c:val>
          <c:extLst>
            <c:ext xmlns:c16="http://schemas.microsoft.com/office/drawing/2014/chart" uri="{C3380CC4-5D6E-409C-BE32-E72D297353CC}">
              <c16:uniqueId val="{00000002-37D0-9E45-9D34-7CD756742689}"/>
            </c:ext>
          </c:extLst>
        </c:ser>
        <c:ser>
          <c:idx val="6"/>
          <c:order val="6"/>
          <c:tx>
            <c:strRef>
              <c:f>'HDP '!$B$11</c:f>
              <c:strCache>
                <c:ptCount val="1"/>
                <c:pt idx="0">
                  <c:v>Polsko</c:v>
                </c:pt>
              </c:strCache>
            </c:strRef>
          </c:tx>
          <c:spPr>
            <a:solidFill>
              <a:schemeClr val="accent1">
                <a:tint val="9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'!$C$11:$J$11</c:f>
              <c:numCache>
                <c:formatCode>General</c:formatCode>
                <c:ptCount val="8"/>
                <c:pt idx="0">
                  <c:v>68</c:v>
                </c:pt>
                <c:pt idx="1">
                  <c:v>68</c:v>
                </c:pt>
                <c:pt idx="2">
                  <c:v>68</c:v>
                </c:pt>
                <c:pt idx="3">
                  <c:v>69</c:v>
                </c:pt>
                <c:pt idx="4">
                  <c:v>69</c:v>
                </c:pt>
                <c:pt idx="5">
                  <c:v>70</c:v>
                </c:pt>
                <c:pt idx="6">
                  <c:v>71</c:v>
                </c:pt>
                <c:pt idx="7">
                  <c:v>73</c:v>
                </c:pt>
              </c:numCache>
            </c:numRef>
          </c:val>
          <c:extLst>
            <c:ext xmlns:c16="http://schemas.microsoft.com/office/drawing/2014/chart" uri="{C3380CC4-5D6E-409C-BE32-E72D297353CC}">
              <c16:uniqueId val="{00000003-37D0-9E45-9D34-7CD756742689}"/>
            </c:ext>
          </c:extLst>
        </c:ser>
        <c:ser>
          <c:idx val="8"/>
          <c:order val="8"/>
          <c:tx>
            <c:strRef>
              <c:f>'HDP '!$B$13</c:f>
              <c:strCache>
                <c:ptCount val="1"/>
                <c:pt idx="0">
                  <c:v>Rakousko</c:v>
                </c:pt>
              </c:strCache>
            </c:strRef>
          </c:tx>
          <c:spPr>
            <a:solidFill>
              <a:schemeClr val="accent1">
                <a:tint val="7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'!$C$13:$J$13</c:f>
              <c:numCache>
                <c:formatCode>General</c:formatCode>
                <c:ptCount val="8"/>
                <c:pt idx="0">
                  <c:v>133</c:v>
                </c:pt>
                <c:pt idx="1">
                  <c:v>133</c:v>
                </c:pt>
                <c:pt idx="2">
                  <c:v>132</c:v>
                </c:pt>
                <c:pt idx="3">
                  <c:v>131</c:v>
                </c:pt>
                <c:pt idx="4">
                  <c:v>130</c:v>
                </c:pt>
                <c:pt idx="5">
                  <c:v>128</c:v>
                </c:pt>
                <c:pt idx="6">
                  <c:v>128</c:v>
                </c:pt>
                <c:pt idx="7">
                  <c:v>127</c:v>
                </c:pt>
              </c:numCache>
            </c:numRef>
          </c:val>
          <c:extLst>
            <c:ext xmlns:c16="http://schemas.microsoft.com/office/drawing/2014/chart" uri="{C3380CC4-5D6E-409C-BE32-E72D297353CC}">
              <c16:uniqueId val="{00000004-37D0-9E45-9D34-7CD756742689}"/>
            </c:ext>
          </c:extLst>
        </c:ser>
        <c:ser>
          <c:idx val="10"/>
          <c:order val="10"/>
          <c:tx>
            <c:strRef>
              <c:f>'HDP '!$B$15</c:f>
              <c:strCache>
                <c:ptCount val="1"/>
                <c:pt idx="0">
                  <c:v>Slovensko</c:v>
                </c:pt>
              </c:strCache>
            </c:strRef>
          </c:tx>
          <c:spPr>
            <a:solidFill>
              <a:schemeClr val="accent1">
                <a:tint val="52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'HDP '!$C$3:$J$4</c:f>
              <c:strCache>
                <c:ptCount val="8"/>
                <c:pt idx="0">
                  <c:v>2012</c:v>
                </c:pt>
                <c:pt idx="1">
                  <c:v>2013</c:v>
                </c:pt>
                <c:pt idx="2">
                  <c:v>2014</c:v>
                </c:pt>
                <c:pt idx="3">
                  <c:v>2015</c:v>
                </c:pt>
                <c:pt idx="4">
                  <c:v>2016</c:v>
                </c:pt>
                <c:pt idx="5">
                  <c:v>2017</c:v>
                </c:pt>
                <c:pt idx="6">
                  <c:v>2018</c:v>
                </c:pt>
                <c:pt idx="7">
                  <c:v>2019</c:v>
                </c:pt>
              </c:strCache>
            </c:strRef>
          </c:cat>
          <c:val>
            <c:numRef>
              <c:f>'HDP '!$C$15:$J$15</c:f>
              <c:numCache>
                <c:formatCode>General</c:formatCode>
                <c:ptCount val="8"/>
                <c:pt idx="0">
                  <c:v>77</c:v>
                </c:pt>
                <c:pt idx="1">
                  <c:v>78</c:v>
                </c:pt>
                <c:pt idx="2">
                  <c:v>78</c:v>
                </c:pt>
                <c:pt idx="3">
                  <c:v>78</c:v>
                </c:pt>
                <c:pt idx="4">
                  <c:v>73</c:v>
                </c:pt>
                <c:pt idx="5">
                  <c:v>72</c:v>
                </c:pt>
                <c:pt idx="6">
                  <c:v>73</c:v>
                </c:pt>
                <c:pt idx="7">
                  <c:v>74</c:v>
                </c:pt>
              </c:numCache>
            </c:numRef>
          </c:val>
          <c:extLst>
            <c:ext xmlns:c16="http://schemas.microsoft.com/office/drawing/2014/chart" uri="{C3380CC4-5D6E-409C-BE32-E72D297353CC}">
              <c16:uniqueId val="{00000005-37D0-9E45-9D34-7CD756742689}"/>
            </c:ext>
          </c:extLst>
        </c:ser>
        <c:dLbls>
          <c:dLblPos val="outEnd"/>
          <c:showLegendKey val="0"/>
          <c:showVal val="1"/>
          <c:showCatName val="0"/>
          <c:showSerName val="0"/>
          <c:showPercent val="0"/>
          <c:showBubbleSize val="0"/>
        </c:dLbls>
        <c:gapWidth val="444"/>
        <c:overlap val="-90"/>
        <c:axId val="537443488"/>
        <c:axId val="537342544"/>
        <c:extLst>
          <c:ext xmlns:c15="http://schemas.microsoft.com/office/drawing/2012/chart" uri="{02D57815-91ED-43cb-92C2-25804820EDAC}">
            <c15:filteredBarSeries>
              <c15:ser>
                <c:idx val="1"/>
                <c:order val="1"/>
                <c:tx>
                  <c:strRef>
                    <c:extLst>
                      <c:ext uri="{02D57815-91ED-43cb-92C2-25804820EDAC}">
                        <c15:formulaRef>
                          <c15:sqref>'HDP '!$B$6</c15:sqref>
                        </c15:formulaRef>
                      </c:ext>
                    </c:extLst>
                    <c:strCache>
                      <c:ptCount val="1"/>
                    </c:strCache>
                  </c:strRef>
                </c:tx>
                <c:spPr>
                  <a:solidFill>
                    <a:schemeClr val="accent1">
                      <a:shade val="5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c:ext uri="{02D57815-91ED-43cb-92C2-25804820EDAC}">
                        <c15:formulaRef>
                          <c15:sqref>'HDP '!$C$6:$J$6</c15:sqref>
                        </c15:formulaRef>
                      </c:ext>
                    </c:extLst>
                    <c:numCache>
                      <c:formatCode>General</c:formatCode>
                      <c:ptCount val="8"/>
                    </c:numCache>
                  </c:numRef>
                </c:val>
                <c:extLst>
                  <c:ext xmlns:c16="http://schemas.microsoft.com/office/drawing/2014/chart" uri="{C3380CC4-5D6E-409C-BE32-E72D297353CC}">
                    <c16:uniqueId val="{00000006-37D0-9E45-9D34-7CD75674268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'HDP '!$B$8</c15:sqref>
                        </c15:formulaRef>
                      </c:ext>
                    </c:extLst>
                    <c:strCache>
                      <c:ptCount val="1"/>
                    </c:strCache>
                  </c:strRef>
                </c:tx>
                <c:spPr>
                  <a:solidFill>
                    <a:schemeClr val="accent1">
                      <a:shade val="7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'!$C$8:$J$8</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7-37D0-9E45-9D34-7CD756742689}"/>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'HDP '!$B$10</c15:sqref>
                        </c15:formulaRef>
                      </c:ext>
                    </c:extLst>
                    <c:strCache>
                      <c:ptCount val="1"/>
                    </c:strCache>
                  </c:strRef>
                </c:tx>
                <c:spPr>
                  <a:solidFill>
                    <a:schemeClr val="accent1">
                      <a:shade val="9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'!$C$10:$J$10</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8-37D0-9E45-9D34-7CD756742689}"/>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'HDP '!$B$12</c15:sqref>
                        </c15:formulaRef>
                      </c:ext>
                    </c:extLst>
                    <c:strCache>
                      <c:ptCount val="1"/>
                    </c:strCache>
                  </c:strRef>
                </c:tx>
                <c:spPr>
                  <a:solidFill>
                    <a:schemeClr val="accent1">
                      <a:tint val="84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'!$C$12:$J$12</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9-37D0-9E45-9D34-7CD756742689}"/>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'HDP '!$B$14</c15:sqref>
                        </c15:formulaRef>
                      </c:ext>
                    </c:extLst>
                    <c:strCache>
                      <c:ptCount val="1"/>
                    </c:strCache>
                  </c:strRef>
                </c:tx>
                <c:spPr>
                  <a:solidFill>
                    <a:schemeClr val="accent1">
                      <a:tint val="63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'!$C$14:$J$14</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A-37D0-9E45-9D34-7CD756742689}"/>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'HDP '!$B$16</c15:sqref>
                        </c15:formulaRef>
                      </c:ext>
                    </c:extLst>
                    <c:strCache>
                      <c:ptCount val="1"/>
                    </c:strCache>
                  </c:strRef>
                </c:tx>
                <c:spPr>
                  <a:solidFill>
                    <a:schemeClr val="accent1">
                      <a:tint val="41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'HDP '!$C$3:$J$4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'!$C$16:$J$16</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B-37D0-9E45-9D34-7CD756742689}"/>
                  </c:ext>
                </c:extLst>
              </c15:ser>
            </c15:filteredBarSeries>
          </c:ext>
        </c:extLst>
      </c:barChart>
      <c:catAx>
        <c:axId val="537443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537342544"/>
        <c:crosses val="autoZero"/>
        <c:auto val="1"/>
        <c:lblAlgn val="ctr"/>
        <c:lblOffset val="100"/>
        <c:noMultiLvlLbl val="0"/>
      </c:catAx>
      <c:valAx>
        <c:axId val="537342544"/>
        <c:scaling>
          <c:orientation val="minMax"/>
        </c:scaling>
        <c:delete val="1"/>
        <c:axPos val="l"/>
        <c:numFmt formatCode="General" sourceLinked="1"/>
        <c:majorTickMark val="none"/>
        <c:minorTickMark val="none"/>
        <c:tickLblPos val="nextTo"/>
        <c:crossAx val="53744348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'HDP '!$M$5</c:f>
              <c:strCache>
                <c:ptCount val="1"/>
                <c:pt idx="0">
                  <c:v>Česká republika</c:v>
                </c:pt>
              </c:strCache>
            </c:strRef>
          </c:tx>
          <c:spPr>
            <a:ln w="28575" cap="rnd">
              <a:solidFill>
                <a:schemeClr val="accent1"/>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'!$N$5:$U$5</c:f>
              <c:numCache>
                <c:formatCode>#,##0.00</c:formatCode>
                <c:ptCount val="8"/>
                <c:pt idx="0">
                  <c:v>-0.8</c:v>
                </c:pt>
                <c:pt idx="1">
                  <c:v>-0.48</c:v>
                </c:pt>
                <c:pt idx="2">
                  <c:v>2.72</c:v>
                </c:pt>
                <c:pt idx="3">
                  <c:v>5.31</c:v>
                </c:pt>
                <c:pt idx="4">
                  <c:v>2.4500000000000002</c:v>
                </c:pt>
                <c:pt idx="5">
                  <c:v>4.3499999999999996</c:v>
                </c:pt>
                <c:pt idx="6">
                  <c:v>2.85</c:v>
                </c:pt>
                <c:pt idx="7">
                  <c:v>2.57</c:v>
                </c:pt>
              </c:numCache>
            </c:numRef>
          </c:val>
          <c:smooth val="0"/>
          <c:extLst>
            <c:ext xmlns:c16="http://schemas.microsoft.com/office/drawing/2014/chart" uri="{C3380CC4-5D6E-409C-BE32-E72D297353CC}">
              <c16:uniqueId val="{00000000-4F4A-486C-A0EF-7F5618D7C767}"/>
            </c:ext>
          </c:extLst>
        </c:ser>
        <c:ser>
          <c:idx val="2"/>
          <c:order val="2"/>
          <c:tx>
            <c:strRef>
              <c:f>'HDP '!$M$7</c:f>
              <c:strCache>
                <c:ptCount val="1"/>
                <c:pt idx="0">
                  <c:v>Maďarsko</c:v>
                </c:pt>
              </c:strCache>
            </c:strRef>
          </c:tx>
          <c:spPr>
            <a:ln w="28575" cap="rnd">
              <a:solidFill>
                <a:schemeClr val="accent3"/>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'!$N$7:$U$7</c:f>
              <c:numCache>
                <c:formatCode>#,##0.00</c:formatCode>
                <c:ptCount val="8"/>
                <c:pt idx="0">
                  <c:v>-1.47</c:v>
                </c:pt>
                <c:pt idx="1">
                  <c:v>1.96</c:v>
                </c:pt>
                <c:pt idx="2">
                  <c:v>4.2</c:v>
                </c:pt>
                <c:pt idx="3">
                  <c:v>3.85</c:v>
                </c:pt>
                <c:pt idx="4">
                  <c:v>2.2000000000000002</c:v>
                </c:pt>
                <c:pt idx="5">
                  <c:v>4.32</c:v>
                </c:pt>
                <c:pt idx="6">
                  <c:v>5.09</c:v>
                </c:pt>
                <c:pt idx="7">
                  <c:v>4.93</c:v>
                </c:pt>
              </c:numCache>
            </c:numRef>
          </c:val>
          <c:smooth val="0"/>
          <c:extLst>
            <c:ext xmlns:c16="http://schemas.microsoft.com/office/drawing/2014/chart" uri="{C3380CC4-5D6E-409C-BE32-E72D297353CC}">
              <c16:uniqueId val="{00000001-4F4A-486C-A0EF-7F5618D7C767}"/>
            </c:ext>
          </c:extLst>
        </c:ser>
        <c:ser>
          <c:idx val="4"/>
          <c:order val="4"/>
          <c:tx>
            <c:strRef>
              <c:f>'HDP '!$M$9</c:f>
              <c:strCache>
                <c:ptCount val="1"/>
                <c:pt idx="0">
                  <c:v>Německo</c:v>
                </c:pt>
              </c:strCache>
            </c:strRef>
          </c:tx>
          <c:spPr>
            <a:ln w="28575" cap="rnd">
              <a:solidFill>
                <a:schemeClr val="accent5"/>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'!$N$9:$U$9</c:f>
              <c:numCache>
                <c:formatCode>#,##0.00</c:formatCode>
                <c:ptCount val="8"/>
                <c:pt idx="0">
                  <c:v>0.43</c:v>
                </c:pt>
                <c:pt idx="1">
                  <c:v>0.43</c:v>
                </c:pt>
                <c:pt idx="2">
                  <c:v>2.2200000000000002</c:v>
                </c:pt>
                <c:pt idx="3">
                  <c:v>1.74</c:v>
                </c:pt>
                <c:pt idx="4">
                  <c:v>2.23</c:v>
                </c:pt>
                <c:pt idx="5">
                  <c:v>2.4700000000000002</c:v>
                </c:pt>
                <c:pt idx="6">
                  <c:v>1.52</c:v>
                </c:pt>
                <c:pt idx="7">
                  <c:v>0.56999999999999995</c:v>
                </c:pt>
              </c:numCache>
            </c:numRef>
          </c:val>
          <c:smooth val="0"/>
          <c:extLst>
            <c:ext xmlns:c16="http://schemas.microsoft.com/office/drawing/2014/chart" uri="{C3380CC4-5D6E-409C-BE32-E72D297353CC}">
              <c16:uniqueId val="{00000002-4F4A-486C-A0EF-7F5618D7C767}"/>
            </c:ext>
          </c:extLst>
        </c:ser>
        <c:ser>
          <c:idx val="6"/>
          <c:order val="6"/>
          <c:tx>
            <c:strRef>
              <c:f>'HDP '!$M$11</c:f>
              <c:strCache>
                <c:ptCount val="1"/>
                <c:pt idx="0">
                  <c:v>Polsko</c:v>
                </c:pt>
              </c:strCache>
            </c:strRef>
          </c:tx>
          <c:spPr>
            <a:ln w="28575" cap="rnd">
              <a:solidFill>
                <a:schemeClr val="accent1">
                  <a:lumMod val="60000"/>
                </a:schemeClr>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'!$N$11:$U$11</c:f>
              <c:numCache>
                <c:formatCode>#,##0.00</c:formatCode>
                <c:ptCount val="8"/>
                <c:pt idx="0">
                  <c:v>1.61</c:v>
                </c:pt>
                <c:pt idx="1">
                  <c:v>1.39</c:v>
                </c:pt>
                <c:pt idx="2">
                  <c:v>3.32</c:v>
                </c:pt>
                <c:pt idx="3">
                  <c:v>3.84</c:v>
                </c:pt>
                <c:pt idx="4">
                  <c:v>3.06</c:v>
                </c:pt>
                <c:pt idx="5">
                  <c:v>4.9400000000000004</c:v>
                </c:pt>
                <c:pt idx="6">
                  <c:v>5.15</c:v>
                </c:pt>
                <c:pt idx="7">
                  <c:v>4.0999999999999996</c:v>
                </c:pt>
              </c:numCache>
            </c:numRef>
          </c:val>
          <c:smooth val="0"/>
          <c:extLst>
            <c:ext xmlns:c16="http://schemas.microsoft.com/office/drawing/2014/chart" uri="{C3380CC4-5D6E-409C-BE32-E72D297353CC}">
              <c16:uniqueId val="{00000003-4F4A-486C-A0EF-7F5618D7C767}"/>
            </c:ext>
          </c:extLst>
        </c:ser>
        <c:ser>
          <c:idx val="8"/>
          <c:order val="8"/>
          <c:tx>
            <c:strRef>
              <c:f>'HDP '!$M$13</c:f>
              <c:strCache>
                <c:ptCount val="1"/>
                <c:pt idx="0">
                  <c:v>Rakousko</c:v>
                </c:pt>
              </c:strCache>
            </c:strRef>
          </c:tx>
          <c:spPr>
            <a:ln w="28575" cap="rnd">
              <a:solidFill>
                <a:schemeClr val="accent3">
                  <a:lumMod val="60000"/>
                </a:schemeClr>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'!$N$13:$U$13</c:f>
              <c:numCache>
                <c:formatCode>#,##0.00</c:formatCode>
                <c:ptCount val="8"/>
                <c:pt idx="0">
                  <c:v>0.68</c:v>
                </c:pt>
                <c:pt idx="1">
                  <c:v>0.03</c:v>
                </c:pt>
                <c:pt idx="2">
                  <c:v>0.66</c:v>
                </c:pt>
                <c:pt idx="3">
                  <c:v>1.02</c:v>
                </c:pt>
                <c:pt idx="4">
                  <c:v>2.08</c:v>
                </c:pt>
                <c:pt idx="5">
                  <c:v>2.48</c:v>
                </c:pt>
                <c:pt idx="6">
                  <c:v>2.42</c:v>
                </c:pt>
                <c:pt idx="7">
                  <c:v>1.59</c:v>
                </c:pt>
              </c:numCache>
            </c:numRef>
          </c:val>
          <c:smooth val="0"/>
          <c:extLst>
            <c:ext xmlns:c16="http://schemas.microsoft.com/office/drawing/2014/chart" uri="{C3380CC4-5D6E-409C-BE32-E72D297353CC}">
              <c16:uniqueId val="{00000004-4F4A-486C-A0EF-7F5618D7C767}"/>
            </c:ext>
          </c:extLst>
        </c:ser>
        <c:ser>
          <c:idx val="10"/>
          <c:order val="10"/>
          <c:tx>
            <c:strRef>
              <c:f>'HDP '!$M$15</c:f>
              <c:strCache>
                <c:ptCount val="1"/>
                <c:pt idx="0">
                  <c:v>Slovensko</c:v>
                </c:pt>
              </c:strCache>
            </c:strRef>
          </c:tx>
          <c:spPr>
            <a:ln w="28575" cap="rnd">
              <a:solidFill>
                <a:schemeClr val="accent5">
                  <a:lumMod val="60000"/>
                </a:schemeClr>
              </a:solidFill>
              <a:round/>
            </a:ln>
            <a:effectLst/>
          </c:spPr>
          <c:marker>
            <c:symbol val="none"/>
          </c:marker>
          <c:cat>
            <c:strRef>
              <c:f>'HDP '!$N$3:$U$4</c:f>
              <c:strCache>
                <c:ptCount val="8"/>
                <c:pt idx="0">
                  <c:v>2012</c:v>
                </c:pt>
                <c:pt idx="1">
                  <c:v>2013</c:v>
                </c:pt>
                <c:pt idx="2">
                  <c:v>2014</c:v>
                </c:pt>
                <c:pt idx="3">
                  <c:v>2015</c:v>
                </c:pt>
                <c:pt idx="4">
                  <c:v>2016</c:v>
                </c:pt>
                <c:pt idx="5">
                  <c:v>2017</c:v>
                </c:pt>
                <c:pt idx="6">
                  <c:v>2018</c:v>
                </c:pt>
                <c:pt idx="7">
                  <c:v>2019</c:v>
                </c:pt>
              </c:strCache>
            </c:strRef>
          </c:cat>
          <c:val>
            <c:numRef>
              <c:f>'HDP '!$N$15:$U$15</c:f>
              <c:numCache>
                <c:formatCode>#,##0.00</c:formatCode>
                <c:ptCount val="8"/>
                <c:pt idx="0">
                  <c:v>1.9</c:v>
                </c:pt>
                <c:pt idx="1">
                  <c:v>0.67</c:v>
                </c:pt>
                <c:pt idx="2">
                  <c:v>2.75</c:v>
                </c:pt>
                <c:pt idx="3">
                  <c:v>4.82</c:v>
                </c:pt>
                <c:pt idx="4">
                  <c:v>2.12</c:v>
                </c:pt>
                <c:pt idx="5">
                  <c:v>3.04</c:v>
                </c:pt>
                <c:pt idx="6">
                  <c:v>4.03</c:v>
                </c:pt>
                <c:pt idx="7">
                  <c:v>2.2799999999999998</c:v>
                </c:pt>
              </c:numCache>
            </c:numRef>
          </c:val>
          <c:smooth val="0"/>
          <c:extLst>
            <c:ext xmlns:c16="http://schemas.microsoft.com/office/drawing/2014/chart" uri="{C3380CC4-5D6E-409C-BE32-E72D297353CC}">
              <c16:uniqueId val="{00000005-4F4A-486C-A0EF-7F5618D7C767}"/>
            </c:ext>
          </c:extLst>
        </c:ser>
        <c:dLbls>
          <c:showLegendKey val="0"/>
          <c:showVal val="0"/>
          <c:showCatName val="0"/>
          <c:showSerName val="0"/>
          <c:showPercent val="0"/>
          <c:showBubbleSize val="0"/>
        </c:dLbls>
        <c:smooth val="0"/>
        <c:axId val="459268912"/>
        <c:axId val="505965632"/>
        <c:extLst>
          <c:ext xmlns:c15="http://schemas.microsoft.com/office/drawing/2012/chart" uri="{02D57815-91ED-43cb-92C2-25804820EDAC}">
            <c15:filteredLineSeries>
              <c15:ser>
                <c:idx val="1"/>
                <c:order val="1"/>
                <c:tx>
                  <c:strRef>
                    <c:extLst>
                      <c:ext uri="{02D57815-91ED-43cb-92C2-25804820EDAC}">
                        <c15:formulaRef>
                          <c15:sqref>'HDP '!$M$6</c15:sqref>
                        </c15:formulaRef>
                      </c:ext>
                    </c:extLst>
                    <c:strCache>
                      <c:ptCount val="1"/>
                    </c:strCache>
                  </c:strRef>
                </c:tx>
                <c:spPr>
                  <a:ln w="28575" cap="rnd">
                    <a:solidFill>
                      <a:schemeClr val="accent2"/>
                    </a:solidFill>
                    <a:round/>
                  </a:ln>
                  <a:effectLst/>
                </c:spPr>
                <c:marker>
                  <c:symbol val="none"/>
                </c:marker>
                <c:cat>
                  <c:strRef>
                    <c:extLst>
                      <c:ex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c:ext uri="{02D57815-91ED-43cb-92C2-25804820EDAC}">
                        <c15:formulaRef>
                          <c15:sqref>'HDP '!$N$6:$U$6</c15:sqref>
                        </c15:formulaRef>
                      </c:ext>
                    </c:extLst>
                    <c:numCache>
                      <c:formatCode>General</c:formatCode>
                      <c:ptCount val="8"/>
                    </c:numCache>
                  </c:numRef>
                </c:val>
                <c:smooth val="0"/>
                <c:extLst>
                  <c:ext xmlns:c16="http://schemas.microsoft.com/office/drawing/2014/chart" uri="{C3380CC4-5D6E-409C-BE32-E72D297353CC}">
                    <c16:uniqueId val="{00000006-4F4A-486C-A0EF-7F5618D7C767}"/>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'HDP '!$M$8</c15:sqref>
                        </c15:formulaRef>
                      </c:ext>
                    </c:extLst>
                    <c:strCache>
                      <c:ptCount val="1"/>
                    </c:strCache>
                  </c:strRef>
                </c:tx>
                <c:spPr>
                  <a:ln w="28575" cap="rnd">
                    <a:solidFill>
                      <a:schemeClr val="accent4"/>
                    </a:solidFill>
                    <a:round/>
                  </a:ln>
                  <a:effectLst/>
                </c:spPr>
                <c:marker>
                  <c:symbol val="none"/>
                </c:marker>
                <c:cat>
                  <c:strRef>
                    <c:extLst xmlns:c15="http://schemas.microsoft.com/office/drawing/2012/chart">
                      <c:ext xmlns:c15="http://schemas.microsoft.com/office/drawing/2012/char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'!$N$8:$U$8</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7-4F4A-486C-A0EF-7F5618D7C767}"/>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'HDP '!$M$10</c15:sqref>
                        </c15:formulaRef>
                      </c:ext>
                    </c:extLst>
                    <c:strCache>
                      <c:ptCount val="1"/>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'!$N$10:$U$10</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8-4F4A-486C-A0EF-7F5618D7C767}"/>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'HDP '!$M$12</c15:sqref>
                        </c15:formulaRef>
                      </c:ext>
                    </c:extLst>
                    <c:strCache>
                      <c:ptCount val="1"/>
                    </c:strCache>
                  </c:strRef>
                </c:tx>
                <c:spPr>
                  <a:ln w="28575" cap="rnd">
                    <a:solidFill>
                      <a:schemeClr val="accent2">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'!$N$12:$U$12</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9-4F4A-486C-A0EF-7F5618D7C767}"/>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'HDP '!$M$14</c15:sqref>
                        </c15:formulaRef>
                      </c:ext>
                    </c:extLst>
                    <c:strCache>
                      <c:ptCount val="1"/>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'!$N$14:$U$14</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A-4F4A-486C-A0EF-7F5618D7C767}"/>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'HDP '!$M$16</c15:sqref>
                        </c15:formulaRef>
                      </c:ext>
                    </c:extLst>
                    <c:strCache>
                      <c:ptCount val="1"/>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'HDP '!$N$3:$U$4</c15:sqref>
                        </c15:formulaRef>
                      </c:ext>
                    </c:extLst>
                    <c:strCache>
                      <c:ptCount val="8"/>
                      <c:pt idx="0">
                        <c:v>2012</c:v>
                      </c:pt>
                      <c:pt idx="1">
                        <c:v>2013</c:v>
                      </c:pt>
                      <c:pt idx="2">
                        <c:v>2014</c:v>
                      </c:pt>
                      <c:pt idx="3">
                        <c:v>2015</c:v>
                      </c:pt>
                      <c:pt idx="4">
                        <c:v>2016</c:v>
                      </c:pt>
                      <c:pt idx="5">
                        <c:v>2017</c:v>
                      </c:pt>
                      <c:pt idx="6">
                        <c:v>2018</c:v>
                      </c:pt>
                      <c:pt idx="7">
                        <c:v>2019</c:v>
                      </c:pt>
                    </c:strCache>
                  </c:strRef>
                </c:cat>
                <c:val>
                  <c:numRef>
                    <c:extLst xmlns:c15="http://schemas.microsoft.com/office/drawing/2012/chart">
                      <c:ext xmlns:c15="http://schemas.microsoft.com/office/drawing/2012/chart" uri="{02D57815-91ED-43cb-92C2-25804820EDAC}">
                        <c15:formulaRef>
                          <c15:sqref>'HDP '!$N$16:$U$16</c15:sqref>
                        </c15:formulaRef>
                      </c:ext>
                    </c:extLst>
                    <c:numCache>
                      <c:formatCode>General</c:formatCode>
                      <c:ptCount val="8"/>
                    </c:numCache>
                  </c:numRef>
                </c:val>
                <c:smooth val="0"/>
                <c:extLst xmlns:c15="http://schemas.microsoft.com/office/drawing/2012/chart">
                  <c:ext xmlns:c16="http://schemas.microsoft.com/office/drawing/2014/chart" uri="{C3380CC4-5D6E-409C-BE32-E72D297353CC}">
                    <c16:uniqueId val="{0000000B-4F4A-486C-A0EF-7F5618D7C767}"/>
                  </c:ext>
                </c:extLst>
              </c15:ser>
            </c15:filteredLineSeries>
          </c:ext>
        </c:extLst>
      </c:lineChart>
      <c:catAx>
        <c:axId val="459268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05965632"/>
        <c:crosses val="autoZero"/>
        <c:auto val="1"/>
        <c:lblAlgn val="ctr"/>
        <c:lblOffset val="100"/>
        <c:noMultiLvlLbl val="0"/>
      </c:catAx>
      <c:valAx>
        <c:axId val="505965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92689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E3DCFD5F21B041B3AE0717B9A9367B" ma:contentTypeVersion="5" ma:contentTypeDescription="Vytvoří nový dokument" ma:contentTypeScope="" ma:versionID="fa98f832b06c0b41336d53d00f999667">
  <xsd:schema xmlns:xsd="http://www.w3.org/2001/XMLSchema" xmlns:xs="http://www.w3.org/2001/XMLSchema" xmlns:p="http://schemas.microsoft.com/office/2006/metadata/properties" xmlns:ns2="e5af2723-ed53-4308-af2e-df55c807cb65" targetNamespace="http://schemas.microsoft.com/office/2006/metadata/properties" ma:root="true" ma:fieldsID="4f1c8585042da2b3acd7b027efef8c34" ns2:_="">
    <xsd:import namespace="e5af2723-ed53-4308-af2e-df55c807cb65"/>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f2723-ed53-4308-af2e-df55c807cb6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Čer03</b:Tag>
    <b:SourceType>InternetSite</b:SourceType>
    <b:Guid>{ED5EEE6C-89A4-4AFF-94E6-D6BF2F428AFB}</b:Guid>
    <b:Author>
      <b:Author>
        <b:NameList>
          <b:Person>
            <b:Last>Červenka</b:Last>
            <b:First>Jan</b:First>
          </b:Person>
        </b:NameList>
      </b:Author>
    </b:Author>
    <b:Title>SOCIO web</b:Title>
    <b:Year>2003</b:Year>
    <b:YearAccessed>2020</b:YearAccessed>
    <b:MonthAccessed>01</b:MonthAccessed>
    <b:DayAccessed>21</b:DayAccessed>
    <b:URL>http://www.socioweb.cz/upl/editorial/download/103_SOCIOweb_2_2003.pdf</b:URL>
    <b:RefOrder>1</b:RefOrder>
  </b:Source>
</b:Sources>
</file>

<file path=customXml/itemProps1.xml><?xml version="1.0" encoding="utf-8"?>
<ds:datastoreItem xmlns:ds="http://schemas.openxmlformats.org/officeDocument/2006/customXml" ds:itemID="{DAEC75BD-923F-49D0-8090-3C57F3A47590}">
  <ds:schemaRefs>
    <ds:schemaRef ds:uri="http://schemas.microsoft.com/sharepoint/v3/contenttype/forms"/>
  </ds:schemaRefs>
</ds:datastoreItem>
</file>

<file path=customXml/itemProps2.xml><?xml version="1.0" encoding="utf-8"?>
<ds:datastoreItem xmlns:ds="http://schemas.openxmlformats.org/officeDocument/2006/customXml" ds:itemID="{4AF18EDF-B16F-42F0-B652-091A2CAC8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f2723-ed53-4308-af2e-df55c807c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D7554-4203-4FDE-8165-677487B9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21330</Words>
  <Characters>125848</Characters>
  <Application>Microsoft Office Word</Application>
  <DocSecurity>0</DocSecurity>
  <Lines>1048</Lines>
  <Paragraphs>293</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146885</CharactersWithSpaces>
  <SharedDoc>false</SharedDoc>
  <HLinks>
    <vt:vector size="126" baseType="variant">
      <vt:variant>
        <vt:i4>589883</vt:i4>
      </vt:variant>
      <vt:variant>
        <vt:i4>99</vt:i4>
      </vt:variant>
      <vt:variant>
        <vt:i4>0</vt:i4>
      </vt:variant>
      <vt:variant>
        <vt:i4>5</vt:i4>
      </vt:variant>
      <vt:variant>
        <vt:lpwstr>http://www.ceed.cz/makroekonomie/65_cile_a_nastroje_zahr_politiky.htm</vt:lpwstr>
      </vt:variant>
      <vt:variant>
        <vt:lpwstr/>
      </vt:variant>
      <vt:variant>
        <vt:i4>6750314</vt:i4>
      </vt:variant>
      <vt:variant>
        <vt:i4>96</vt:i4>
      </vt:variant>
      <vt:variant>
        <vt:i4>0</vt:i4>
      </vt:variant>
      <vt:variant>
        <vt:i4>5</vt:i4>
      </vt:variant>
      <vt:variant>
        <vt:lpwstr>http://www.ceed.cz/makroekonomie/52-0_duchodova_a_cenova_politika.htm</vt:lpwstr>
      </vt:variant>
      <vt:variant>
        <vt:lpwstr/>
      </vt:variant>
      <vt:variant>
        <vt:i4>2949173</vt:i4>
      </vt:variant>
      <vt:variant>
        <vt:i4>93</vt:i4>
      </vt:variant>
      <vt:variant>
        <vt:i4>0</vt:i4>
      </vt:variant>
      <vt:variant>
        <vt:i4>5</vt:i4>
      </vt:variant>
      <vt:variant>
        <vt:lpwstr>http://www.ceed.cz/makroekonomie/16_monet_politika.htm</vt:lpwstr>
      </vt:variant>
      <vt:variant>
        <vt:lpwstr/>
      </vt:variant>
      <vt:variant>
        <vt:i4>3080253</vt:i4>
      </vt:variant>
      <vt:variant>
        <vt:i4>90</vt:i4>
      </vt:variant>
      <vt:variant>
        <vt:i4>0</vt:i4>
      </vt:variant>
      <vt:variant>
        <vt:i4>5</vt:i4>
      </vt:variant>
      <vt:variant>
        <vt:lpwstr>http://www.ceed.cz/makroekonomie/33_fiskalni_politika.htm</vt:lpwstr>
      </vt:variant>
      <vt:variant>
        <vt:lpwstr/>
      </vt:variant>
      <vt:variant>
        <vt:i4>3145787</vt:i4>
      </vt:variant>
      <vt:variant>
        <vt:i4>87</vt:i4>
      </vt:variant>
      <vt:variant>
        <vt:i4>0</vt:i4>
      </vt:variant>
      <vt:variant>
        <vt:i4>5</vt:i4>
      </vt:variant>
      <vt:variant>
        <vt:lpwstr>http://www.ceed.cz/makroekonomie/04_cile_a_nastroje_HP.htm</vt:lpwstr>
      </vt:variant>
      <vt:variant>
        <vt:lpwstr/>
      </vt:variant>
      <vt:variant>
        <vt:i4>262158</vt:i4>
      </vt:variant>
      <vt:variant>
        <vt:i4>84</vt:i4>
      </vt:variant>
      <vt:variant>
        <vt:i4>0</vt:i4>
      </vt:variant>
      <vt:variant>
        <vt:i4>5</vt:i4>
      </vt:variant>
      <vt:variant>
        <vt:lpwstr>https://www.fce.vutbr.cz/ekr/asp/aktualitypredmety/ekonomie/prednes09.pdf</vt:lpwstr>
      </vt:variant>
      <vt:variant>
        <vt:lpwstr/>
      </vt:variant>
      <vt:variant>
        <vt:i4>8060983</vt:i4>
      </vt:variant>
      <vt:variant>
        <vt:i4>81</vt:i4>
      </vt:variant>
      <vt:variant>
        <vt:i4>0</vt:i4>
      </vt:variant>
      <vt:variant>
        <vt:i4>5</vt:i4>
      </vt:variant>
      <vt:variant>
        <vt:lpwstr>https://www.vysokeskoly.cz/maturitniotazky/hotelnictvi/hospodarska-politika-statu-a-jeji-vliv-na-podnikani-v-cr</vt:lpwstr>
      </vt:variant>
      <vt:variant>
        <vt:lpwstr/>
      </vt:variant>
      <vt:variant>
        <vt:i4>4784136</vt:i4>
      </vt:variant>
      <vt:variant>
        <vt:i4>78</vt:i4>
      </vt:variant>
      <vt:variant>
        <vt:i4>0</vt:i4>
      </vt:variant>
      <vt:variant>
        <vt:i4>5</vt:i4>
      </vt:variant>
      <vt:variant>
        <vt:lpwstr>https://studijni-svet.cz/hospodarska-politika-statu-ekonomie/</vt:lpwstr>
      </vt:variant>
      <vt:variant>
        <vt:lpwstr/>
      </vt:variant>
      <vt:variant>
        <vt:i4>2031700</vt:i4>
      </vt:variant>
      <vt:variant>
        <vt:i4>75</vt:i4>
      </vt:variant>
      <vt:variant>
        <vt:i4>0</vt:i4>
      </vt:variant>
      <vt:variant>
        <vt:i4>5</vt:i4>
      </vt:variant>
      <vt:variant>
        <vt:lpwstr>http://www.univerzita-online.cz/pek/ekonomika/hospodarska-politika-statu/</vt:lpwstr>
      </vt:variant>
      <vt:variant>
        <vt:lpwstr/>
      </vt:variant>
      <vt:variant>
        <vt:i4>1048628</vt:i4>
      </vt:variant>
      <vt:variant>
        <vt:i4>68</vt:i4>
      </vt:variant>
      <vt:variant>
        <vt:i4>0</vt:i4>
      </vt:variant>
      <vt:variant>
        <vt:i4>5</vt:i4>
      </vt:variant>
      <vt:variant>
        <vt:lpwstr/>
      </vt:variant>
      <vt:variant>
        <vt:lpwstr>_Toc30335216</vt:lpwstr>
      </vt:variant>
      <vt:variant>
        <vt:i4>1245236</vt:i4>
      </vt:variant>
      <vt:variant>
        <vt:i4>62</vt:i4>
      </vt:variant>
      <vt:variant>
        <vt:i4>0</vt:i4>
      </vt:variant>
      <vt:variant>
        <vt:i4>5</vt:i4>
      </vt:variant>
      <vt:variant>
        <vt:lpwstr/>
      </vt:variant>
      <vt:variant>
        <vt:lpwstr>_Toc30335215</vt:lpwstr>
      </vt:variant>
      <vt:variant>
        <vt:i4>1179700</vt:i4>
      </vt:variant>
      <vt:variant>
        <vt:i4>56</vt:i4>
      </vt:variant>
      <vt:variant>
        <vt:i4>0</vt:i4>
      </vt:variant>
      <vt:variant>
        <vt:i4>5</vt:i4>
      </vt:variant>
      <vt:variant>
        <vt:lpwstr/>
      </vt:variant>
      <vt:variant>
        <vt:lpwstr>_Toc30335214</vt:lpwstr>
      </vt:variant>
      <vt:variant>
        <vt:i4>1376308</vt:i4>
      </vt:variant>
      <vt:variant>
        <vt:i4>50</vt:i4>
      </vt:variant>
      <vt:variant>
        <vt:i4>0</vt:i4>
      </vt:variant>
      <vt:variant>
        <vt:i4>5</vt:i4>
      </vt:variant>
      <vt:variant>
        <vt:lpwstr/>
      </vt:variant>
      <vt:variant>
        <vt:lpwstr>_Toc30335213</vt:lpwstr>
      </vt:variant>
      <vt:variant>
        <vt:i4>1310772</vt:i4>
      </vt:variant>
      <vt:variant>
        <vt:i4>44</vt:i4>
      </vt:variant>
      <vt:variant>
        <vt:i4>0</vt:i4>
      </vt:variant>
      <vt:variant>
        <vt:i4>5</vt:i4>
      </vt:variant>
      <vt:variant>
        <vt:lpwstr/>
      </vt:variant>
      <vt:variant>
        <vt:lpwstr>_Toc30335212</vt:lpwstr>
      </vt:variant>
      <vt:variant>
        <vt:i4>1507380</vt:i4>
      </vt:variant>
      <vt:variant>
        <vt:i4>38</vt:i4>
      </vt:variant>
      <vt:variant>
        <vt:i4>0</vt:i4>
      </vt:variant>
      <vt:variant>
        <vt:i4>5</vt:i4>
      </vt:variant>
      <vt:variant>
        <vt:lpwstr/>
      </vt:variant>
      <vt:variant>
        <vt:lpwstr>_Toc30335211</vt:lpwstr>
      </vt:variant>
      <vt:variant>
        <vt:i4>1441844</vt:i4>
      </vt:variant>
      <vt:variant>
        <vt:i4>32</vt:i4>
      </vt:variant>
      <vt:variant>
        <vt:i4>0</vt:i4>
      </vt:variant>
      <vt:variant>
        <vt:i4>5</vt:i4>
      </vt:variant>
      <vt:variant>
        <vt:lpwstr/>
      </vt:variant>
      <vt:variant>
        <vt:lpwstr>_Toc30335210</vt:lpwstr>
      </vt:variant>
      <vt:variant>
        <vt:i4>2031669</vt:i4>
      </vt:variant>
      <vt:variant>
        <vt:i4>26</vt:i4>
      </vt:variant>
      <vt:variant>
        <vt:i4>0</vt:i4>
      </vt:variant>
      <vt:variant>
        <vt:i4>5</vt:i4>
      </vt:variant>
      <vt:variant>
        <vt:lpwstr/>
      </vt:variant>
      <vt:variant>
        <vt:lpwstr>_Toc30335209</vt:lpwstr>
      </vt:variant>
      <vt:variant>
        <vt:i4>1966133</vt:i4>
      </vt:variant>
      <vt:variant>
        <vt:i4>20</vt:i4>
      </vt:variant>
      <vt:variant>
        <vt:i4>0</vt:i4>
      </vt:variant>
      <vt:variant>
        <vt:i4>5</vt:i4>
      </vt:variant>
      <vt:variant>
        <vt:lpwstr/>
      </vt:variant>
      <vt:variant>
        <vt:lpwstr>_Toc30335208</vt:lpwstr>
      </vt:variant>
      <vt:variant>
        <vt:i4>1114165</vt:i4>
      </vt:variant>
      <vt:variant>
        <vt:i4>14</vt:i4>
      </vt:variant>
      <vt:variant>
        <vt:i4>0</vt:i4>
      </vt:variant>
      <vt:variant>
        <vt:i4>5</vt:i4>
      </vt:variant>
      <vt:variant>
        <vt:lpwstr/>
      </vt:variant>
      <vt:variant>
        <vt:lpwstr>_Toc30335207</vt:lpwstr>
      </vt:variant>
      <vt:variant>
        <vt:i4>1048629</vt:i4>
      </vt:variant>
      <vt:variant>
        <vt:i4>8</vt:i4>
      </vt:variant>
      <vt:variant>
        <vt:i4>0</vt:i4>
      </vt:variant>
      <vt:variant>
        <vt:i4>5</vt:i4>
      </vt:variant>
      <vt:variant>
        <vt:lpwstr/>
      </vt:variant>
      <vt:variant>
        <vt:lpwstr>_Toc30335206</vt:lpwstr>
      </vt:variant>
      <vt:variant>
        <vt:i4>1245237</vt:i4>
      </vt:variant>
      <vt:variant>
        <vt:i4>2</vt:i4>
      </vt:variant>
      <vt:variant>
        <vt:i4>0</vt:i4>
      </vt:variant>
      <vt:variant>
        <vt:i4>5</vt:i4>
      </vt:variant>
      <vt:variant>
        <vt:lpwstr/>
      </vt:variant>
      <vt:variant>
        <vt:lpwstr>_Toc30335205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dc:creator>
  <cp:keywords/>
  <cp:lastModifiedBy>Titzová Štěpánka</cp:lastModifiedBy>
  <cp:revision>2</cp:revision>
  <cp:lastPrinted>2020-07-14T07:08:00Z</cp:lastPrinted>
  <dcterms:created xsi:type="dcterms:W3CDTF">2020-07-20T11:12:00Z</dcterms:created>
  <dcterms:modified xsi:type="dcterms:W3CDTF">2020-07-20T11:12:00Z</dcterms:modified>
</cp:coreProperties>
</file>