
<file path=[Content_Types].xml><?xml version="1.0" encoding="utf-8"?>
<Types xmlns="http://schemas.openxmlformats.org/package/2006/content-types">
  <Override PartName="/word/footnotes.xml" ContentType="application/vnd.openxmlformats-officedocument.wordprocessingml.footnotes+xml"/>
  <Override PartName="/word/theme/themeOverride5.xml" ContentType="application/vnd.openxmlformats-officedocument.themeOverride+xml"/>
  <Override PartName="/word/charts/chart10.xml" ContentType="application/vnd.openxmlformats-officedocument.drawingml.chart+xml"/>
  <Override PartName="/word/theme/themeOverride15.xml" ContentType="application/vnd.openxmlformats-officedocument.themeOverride+xml"/>
  <Override PartName="/customXml/itemProps1.xml" ContentType="application/vnd.openxmlformats-officedocument.customXmlProperties+xml"/>
  <Override PartName="/word/theme/themeOverride3.xml" ContentType="application/vnd.openxmlformats-officedocument.themeOverride+xml"/>
  <Override PartName="/word/theme/themeOverride13.xml" ContentType="application/vnd.openxmlformats-officedocument.themeOverride+xml"/>
  <Override PartName="/word/theme/themeOverride1.xml" ContentType="application/vnd.openxmlformats-officedocument.themeOverride+xml"/>
  <Override PartName="/word/theme/themeOverride11.xml" ContentType="application/vnd.openxmlformats-officedocument.themeOverride+xml"/>
  <Override PartName="/word/theme/themeOverride20.xml" ContentType="application/vnd.openxmlformats-officedocument.themeOverride+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footer5.xml" ContentType="application/vnd.openxmlformats-officedocument.wordprocessingml.footer+xml"/>
  <Override PartName="/word/charts/chart9.xml" ContentType="application/vnd.openxmlformats-officedocument.drawingml.chart+xml"/>
  <Override PartName="/word/charts/chart19.xml" ContentType="application/vnd.openxmlformats-officedocument.drawingml.chart+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charts/chart6.xml" ContentType="application/vnd.openxmlformats-officedocument.drawingml.chart+xml"/>
  <Override PartName="/word/charts/chart7.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glossary/document.xml" ContentType="application/vnd.openxmlformats-officedocument.wordprocessingml.document.glossary+xml"/>
  <Override PartName="/word/footer1.xml" ContentType="application/vnd.openxmlformats-officedocument.wordprocessingml.footer+xml"/>
  <Override PartName="/word/header4.xml" ContentType="application/vnd.openxmlformats-officedocument.wordprocessingml.header+xml"/>
  <Override PartName="/word/charts/chart4.xml" ContentType="application/vnd.openxmlformats-officedocument.drawingml.chart+xml"/>
  <Override PartName="/word/charts/chart5.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charts/chart2.xml" ContentType="application/vnd.openxmlformats-officedocument.drawingml.chart+xml"/>
  <Override PartName="/word/charts/chart3.xml" ContentType="application/vnd.openxmlformats-officedocument.drawingml.chart+xml"/>
  <Override PartName="/word/theme/themeOverride8.xml" ContentType="application/vnd.openxmlformats-officedocument.themeOverride+xml"/>
  <Override PartName="/word/theme/themeOverride9.xml" ContentType="application/vnd.openxmlformats-officedocument.themeOverride+xml"/>
  <Override PartName="/word/charts/chart13.xml" ContentType="application/vnd.openxmlformats-officedocument.drawingml.chart+xml"/>
  <Override PartName="/word/charts/chart14.xml" ContentType="application/vnd.openxmlformats-officedocument.drawingml.chart+xml"/>
  <Override PartName="/word/theme/themeOverride19.xml" ContentType="application/vnd.openxmlformats-officedocument.themeOverrid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word/charts/chart1.xml" ContentType="application/vnd.openxmlformats-officedocument.drawingml.chart+xml"/>
  <Override PartName="/word/theme/themeOverride6.xml" ContentType="application/vnd.openxmlformats-officedocument.themeOverride+xml"/>
  <Override PartName="/word/theme/themeOverride7.xml" ContentType="application/vnd.openxmlformats-officedocument.themeOverride+xml"/>
  <Override PartName="/word/charts/chart11.xml" ContentType="application/vnd.openxmlformats-officedocument.drawingml.chart+xml"/>
  <Override PartName="/word/charts/chart12.xml" ContentType="application/vnd.openxmlformats-officedocument.drawingml.chart+xml"/>
  <Override PartName="/word/theme/themeOverride17.xml" ContentType="application/vnd.openxmlformats-officedocument.themeOverride+xml"/>
  <Override PartName="/word/theme/themeOverride18.xml" ContentType="application/vnd.openxmlformats-officedocument.themeOverride+xml"/>
  <Override PartName="/word/charts/chart20.xml" ContentType="application/vnd.openxmlformats-officedocument.drawingml.chart+xml"/>
  <Override PartName="/docProps/core.xml" ContentType="application/vnd.openxmlformats-package.core-properties+xml"/>
  <Override PartName="/word/theme/themeOverride4.xml" ContentType="application/vnd.openxmlformats-officedocument.themeOverride+xml"/>
  <Override PartName="/word/theme/themeOverride16.xml" ContentType="application/vnd.openxmlformats-officedocument.themeOverride+xml"/>
  <Override PartName="/word/theme/themeOverride2.xml" ContentType="application/vnd.openxmlformats-officedocument.themeOverride+xml"/>
  <Override PartName="/word/theme/themeOverride14.xml" ContentType="application/vnd.openxmlformats-officedocument.themeOverride+xml"/>
  <Override PartName="/word/footer6.xml" ContentType="application/vnd.openxmlformats-officedocument.wordprocessingml.footer+xml"/>
  <Override PartName="/word/theme/themeOverride12.xml" ContentType="application/vnd.openxmlformats-officedocument.themeOverride+xml"/>
  <Override PartName="/word/glossary/fontTable.xml" ContentType="application/vnd.openxmlformats-officedocument.wordprocessingml.fontTable+xml"/>
  <Override PartName="/word/numbering.xml" ContentType="application/vnd.openxmlformats-officedocument.wordprocessingml.numbering+xml"/>
  <Override PartName="/word/endnotes.xml" ContentType="application/vnd.openxmlformats-officedocument.wordprocessingml.endnotes+xml"/>
  <Override PartName="/word/footer4.xml" ContentType="application/vnd.openxmlformats-officedocument.wordprocessingml.footer+xml"/>
  <Override PartName="/word/charts/chart8.xml" ContentType="application/vnd.openxmlformats-officedocument.drawingml.chart+xml"/>
  <Override PartName="/word/theme/themeOverride10.xml" ContentType="application/vnd.openxmlformats-officedocument.themeOverride+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2406" w:rsidRDefault="009E2406">
      <w:pPr>
        <w:spacing w:after="0"/>
        <w:jc w:val="left"/>
        <w:rPr>
          <w:rFonts w:ascii="Verdana" w:hAnsi="Verdana" w:cs="Verdana"/>
          <w:b/>
          <w:bCs/>
          <w:color w:val="000000"/>
          <w:sz w:val="32"/>
          <w:szCs w:val="32"/>
        </w:rPr>
      </w:pPr>
      <w:r w:rsidRPr="009E2406">
        <w:rPr>
          <w:rFonts w:ascii="Verdana" w:hAnsi="Verdana" w:cs="Verdana"/>
          <w:b/>
          <w:bCs/>
          <w:color w:val="000000"/>
          <w:sz w:val="32"/>
          <w:szCs w:val="32"/>
        </w:rPr>
        <w:t>VYSOKÁ ŠKOLA EKONOMIE A MANAGEMENTU</w:t>
      </w: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rFonts w:ascii="Verdana" w:hAnsi="Verdana" w:cs="Verdana"/>
          <w:b/>
          <w:bCs/>
          <w:color w:val="000000"/>
          <w:sz w:val="32"/>
          <w:szCs w:val="32"/>
        </w:rPr>
      </w:pPr>
    </w:p>
    <w:p w:rsidR="009E2406" w:rsidRDefault="009E2406">
      <w:pPr>
        <w:spacing w:after="0"/>
        <w:jc w:val="left"/>
        <w:rPr>
          <w:b/>
          <w:sz w:val="32"/>
          <w:szCs w:val="32"/>
        </w:rPr>
      </w:pPr>
    </w:p>
    <w:p w:rsidR="00320E0F" w:rsidRPr="0026039B" w:rsidRDefault="0026039B" w:rsidP="009E2406">
      <w:pPr>
        <w:spacing w:after="0"/>
        <w:jc w:val="center"/>
        <w:rPr>
          <w:rFonts w:ascii="Verdana" w:hAnsi="Verdana"/>
          <w:b/>
          <w:sz w:val="56"/>
          <w:szCs w:val="56"/>
        </w:rPr>
      </w:pPr>
      <w:r w:rsidRPr="0026039B">
        <w:rPr>
          <w:rFonts w:ascii="Verdana" w:hAnsi="Verdana"/>
          <w:b/>
          <w:sz w:val="56"/>
          <w:szCs w:val="56"/>
        </w:rPr>
        <w:t>BAKALÁŘSKÁ PRÁCE</w:t>
      </w:r>
    </w:p>
    <w:p w:rsidR="00320E0F" w:rsidRPr="00320E0F" w:rsidRDefault="00320E0F" w:rsidP="00320E0F">
      <w:pPr>
        <w:rPr>
          <w:sz w:val="32"/>
          <w:szCs w:val="32"/>
        </w:rPr>
      </w:pPr>
    </w:p>
    <w:p w:rsidR="00320E0F" w:rsidRDefault="00320E0F" w:rsidP="00320E0F">
      <w:pPr>
        <w:rPr>
          <w:sz w:val="32"/>
          <w:szCs w:val="32"/>
        </w:rPr>
      </w:pPr>
    </w:p>
    <w:p w:rsidR="00320E0F" w:rsidRPr="00320E0F" w:rsidRDefault="00320E0F" w:rsidP="00320E0F">
      <w:pPr>
        <w:rPr>
          <w:sz w:val="32"/>
          <w:szCs w:val="32"/>
        </w:rPr>
      </w:pPr>
    </w:p>
    <w:p w:rsidR="00320E0F" w:rsidRDefault="00320E0F" w:rsidP="00320E0F">
      <w:pPr>
        <w:rPr>
          <w:sz w:val="32"/>
          <w:szCs w:val="32"/>
        </w:rPr>
      </w:pPr>
    </w:p>
    <w:p w:rsidR="00320E0F" w:rsidRDefault="00320E0F" w:rsidP="00320E0F">
      <w:pPr>
        <w:tabs>
          <w:tab w:val="left" w:pos="3600"/>
        </w:tabs>
        <w:rPr>
          <w:sz w:val="32"/>
          <w:szCs w:val="32"/>
        </w:rPr>
      </w:pPr>
      <w:r>
        <w:rPr>
          <w:sz w:val="32"/>
          <w:szCs w:val="32"/>
        </w:rPr>
        <w:tab/>
      </w:r>
    </w:p>
    <w:p w:rsidR="00320E0F" w:rsidRDefault="00320E0F" w:rsidP="00320E0F">
      <w:pPr>
        <w:tabs>
          <w:tab w:val="left" w:pos="3600"/>
        </w:tabs>
        <w:rPr>
          <w:sz w:val="32"/>
          <w:szCs w:val="32"/>
        </w:rPr>
      </w:pPr>
    </w:p>
    <w:p w:rsidR="00320E0F" w:rsidRDefault="00F95F06" w:rsidP="00320E0F">
      <w:pPr>
        <w:tabs>
          <w:tab w:val="left" w:pos="3600"/>
        </w:tabs>
        <w:rPr>
          <w:sz w:val="32"/>
          <w:szCs w:val="32"/>
        </w:rPr>
      </w:pPr>
      <w:r>
        <w:rPr>
          <w:noProof/>
          <w:sz w:val="32"/>
          <w:szCs w:val="32"/>
          <w:lang w:eastAsia="en-US"/>
        </w:rPr>
        <w:pict>
          <v:shapetype id="_x0000_t202" coordsize="21600,21600" o:spt="202" path="m,l,21600r21600,l21600,xe">
            <v:stroke joinstyle="miter"/>
            <v:path gradientshapeok="t" o:connecttype="rect"/>
          </v:shapetype>
          <v:shape id="_x0000_s1027" type="#_x0000_t202" style="position:absolute;left:0;text-align:left;margin-left:112.35pt;margin-top:32.35pt;width:312.75pt;height:30.75pt;z-index:251660288;mso-width-relative:margin;mso-height-relative:margin" strokecolor="white">
            <v:textbox>
              <w:txbxContent>
                <w:sdt>
                  <w:sdtPr>
                    <w:id w:val="528793311"/>
                    <w:placeholder>
                      <w:docPart w:val="DefaultPlaceholder_22675703"/>
                    </w:placeholder>
                  </w:sdtPr>
                  <w:sdtContent>
                    <w:p w:rsidR="002364FE" w:rsidRPr="00320E0F" w:rsidRDefault="002364FE" w:rsidP="00320E0F">
                      <w:pPr>
                        <w:jc w:val="right"/>
                      </w:pPr>
                      <w:r>
                        <w:rPr>
                          <w:rFonts w:ascii="Verdana" w:hAnsi="Verdana"/>
                          <w:b/>
                          <w:caps/>
                          <w:sz w:val="32"/>
                        </w:rPr>
                        <w:t>Vojtěch Fryč</w:t>
                      </w:r>
                    </w:p>
                  </w:sdtContent>
                </w:sdt>
              </w:txbxContent>
            </v:textbox>
          </v:shape>
        </w:pict>
      </w:r>
    </w:p>
    <w:sdt>
      <w:sdtPr>
        <w:rPr>
          <w:rFonts w:ascii="Verdana" w:hAnsi="Verdana"/>
          <w:b/>
          <w:sz w:val="32"/>
          <w:szCs w:val="32"/>
        </w:rPr>
        <w:alias w:val="ROK"/>
        <w:tag w:val="ROK"/>
        <w:id w:val="528793251"/>
        <w:placeholder>
          <w:docPart w:val="D24EC7613F5C4889A5E79406FAFA9FCD"/>
        </w:placeholder>
        <w:comboBox>
          <w:listItem w:value="Zvolte položku."/>
          <w:listItem w:displayText="2010" w:value="2010"/>
          <w:listItem w:displayText="2011" w:value="2011"/>
          <w:listItem w:displayText="2012" w:value="2012"/>
          <w:listItem w:displayText="2013" w:value="2013"/>
          <w:listItem w:displayText="2014" w:value="2014"/>
        </w:comboBox>
      </w:sdtPr>
      <w:sdtContent>
        <w:p w:rsidR="00320E0F" w:rsidRDefault="00341D50" w:rsidP="00320E0F">
          <w:pPr>
            <w:tabs>
              <w:tab w:val="left" w:pos="1785"/>
            </w:tabs>
            <w:jc w:val="left"/>
            <w:rPr>
              <w:sz w:val="32"/>
              <w:szCs w:val="32"/>
            </w:rPr>
          </w:pPr>
          <w:r>
            <w:rPr>
              <w:rFonts w:ascii="Verdana" w:hAnsi="Verdana"/>
              <w:b/>
              <w:sz w:val="32"/>
              <w:szCs w:val="32"/>
            </w:rPr>
            <w:t>2011</w:t>
          </w:r>
          <w:r w:rsidR="00320E0F">
            <w:rPr>
              <w:rFonts w:ascii="Verdana" w:hAnsi="Verdana"/>
              <w:b/>
              <w:sz w:val="32"/>
              <w:szCs w:val="32"/>
            </w:rPr>
            <w:tab/>
          </w:r>
        </w:p>
      </w:sdtContent>
    </w:sdt>
    <w:p w:rsidR="00D57FD4" w:rsidRDefault="00D57FD4">
      <w:pPr>
        <w:spacing w:after="0" w:line="240" w:lineRule="auto"/>
        <w:jc w:val="left"/>
        <w:rPr>
          <w:b/>
          <w:sz w:val="32"/>
          <w:szCs w:val="32"/>
        </w:rPr>
        <w:sectPr w:rsidR="00D57FD4" w:rsidSect="00990CF5">
          <w:footerReference w:type="even" r:id="rId8"/>
          <w:footerReference w:type="default" r:id="rId9"/>
          <w:headerReference w:type="first" r:id="rId10"/>
          <w:footerReference w:type="first" r:id="rId11"/>
          <w:pgSz w:w="11906" w:h="16838" w:code="9"/>
          <w:pgMar w:top="1418" w:right="1134" w:bottom="1418" w:left="2268" w:header="709" w:footer="709" w:gutter="0"/>
          <w:cols w:space="708"/>
          <w:docGrid w:linePitch="326"/>
        </w:sectPr>
      </w:pPr>
    </w:p>
    <w:p w:rsidR="0032047F" w:rsidRPr="00FC17B7" w:rsidRDefault="0032047F" w:rsidP="0032047F">
      <w:pPr>
        <w:pStyle w:val="Nzev"/>
        <w:rPr>
          <w:rFonts w:ascii="Verdana" w:hAnsi="Verdana"/>
          <w:b w:val="0"/>
          <w:sz w:val="28"/>
          <w:szCs w:val="28"/>
        </w:rPr>
      </w:pPr>
    </w:p>
    <w:p w:rsidR="0032047F" w:rsidRDefault="0032047F"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B408CB" w:rsidRDefault="00B408CB" w:rsidP="0032047F">
      <w:pPr>
        <w:pStyle w:val="Nzev"/>
        <w:rPr>
          <w:rFonts w:ascii="Verdana" w:hAnsi="Verdana"/>
          <w:sz w:val="56"/>
          <w:szCs w:val="56"/>
        </w:rPr>
      </w:pPr>
    </w:p>
    <w:p w:rsidR="0032047F" w:rsidRDefault="0032047F" w:rsidP="0032047F">
      <w:pPr>
        <w:pStyle w:val="Nzev"/>
        <w:rPr>
          <w:rFonts w:ascii="Verdana" w:hAnsi="Verdana"/>
          <w:sz w:val="56"/>
          <w:szCs w:val="56"/>
        </w:rPr>
      </w:pPr>
    </w:p>
    <w:p w:rsidR="0032047F" w:rsidRDefault="0026039B" w:rsidP="0032047F">
      <w:pPr>
        <w:spacing w:after="0"/>
        <w:jc w:val="center"/>
        <w:rPr>
          <w:rFonts w:ascii="Verdana" w:hAnsi="Verdana"/>
          <w:b/>
          <w:caps/>
          <w:sz w:val="56"/>
          <w:szCs w:val="56"/>
        </w:rPr>
      </w:pPr>
      <w:r>
        <w:rPr>
          <w:rFonts w:ascii="Verdana" w:hAnsi="Verdana"/>
          <w:b/>
          <w:caps/>
          <w:sz w:val="56"/>
          <w:szCs w:val="56"/>
        </w:rPr>
        <w:t>bakalářská práce</w:t>
      </w: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Pr="00FC17B7" w:rsidRDefault="0032047F" w:rsidP="0032047F">
      <w:pPr>
        <w:pStyle w:val="Nzev"/>
        <w:rPr>
          <w:rFonts w:ascii="Verdana" w:hAnsi="Verdana"/>
          <w:sz w:val="28"/>
          <w:szCs w:val="28"/>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p w:rsidR="0032047F" w:rsidRDefault="0032047F" w:rsidP="0032047F">
      <w:pPr>
        <w:pStyle w:val="Nzev"/>
        <w:rPr>
          <w:rFonts w:ascii="Verdana" w:hAnsi="Verdana"/>
          <w:sz w:val="36"/>
          <w:szCs w:val="36"/>
        </w:rPr>
      </w:pPr>
    </w:p>
    <w:sdt>
      <w:sdtPr>
        <w:rPr>
          <w:rFonts w:ascii="Verdana" w:hAnsi="Verdana"/>
          <w:sz w:val="36"/>
          <w:szCs w:val="36"/>
        </w:rPr>
        <w:id w:val="4309169"/>
        <w:placeholder>
          <w:docPart w:val="B748D979AEAE4A25B5117D7B3C70EEED"/>
        </w:placeholder>
        <w:comboBox>
          <w:listItem w:value="Zvolte položku."/>
          <w:listItem w:displayText="PODNIKOVÁ EKONOMIKA" w:value="PODNIKOVÁ EKONOMIKA"/>
          <w:listItem w:displayText="KOMUNIKACE A LIDSKÉ ZDROJE" w:value="KOMUNIKACE A LIDSKÉ ZDROJE"/>
          <w:listItem w:displayText="MARKETING" w:value="MARKETING"/>
        </w:comboBox>
      </w:sdtPr>
      <w:sdtContent>
        <w:p w:rsidR="00674498" w:rsidRDefault="00D0659E" w:rsidP="00674498">
          <w:pPr>
            <w:pStyle w:val="Nzev"/>
            <w:rPr>
              <w:rFonts w:ascii="Verdana" w:hAnsi="Verdana"/>
              <w:sz w:val="36"/>
              <w:szCs w:val="36"/>
            </w:rPr>
          </w:pPr>
          <w:r w:rsidRPr="00D0659E">
            <w:rPr>
              <w:rFonts w:ascii="Verdana" w:hAnsi="Verdana"/>
              <w:sz w:val="36"/>
              <w:szCs w:val="36"/>
            </w:rPr>
            <w:t>Podniková ekonomika</w:t>
          </w:r>
        </w:p>
      </w:sdtContent>
    </w:sdt>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32047F" w:rsidRPr="00FC17B7" w:rsidRDefault="0032047F" w:rsidP="0032047F">
      <w:pPr>
        <w:pStyle w:val="Nzev"/>
        <w:rPr>
          <w:rFonts w:ascii="Verdana" w:hAnsi="Verdana"/>
          <w:b w:val="0"/>
          <w:sz w:val="28"/>
          <w:szCs w:val="28"/>
        </w:rPr>
      </w:pPr>
    </w:p>
    <w:p w:rsidR="00B55AB9" w:rsidRDefault="00B55AB9" w:rsidP="00B55AB9">
      <w:pPr>
        <w:pStyle w:val="Nzev"/>
        <w:rPr>
          <w:rFonts w:ascii="Verdana" w:hAnsi="Verdana"/>
          <w:b w:val="0"/>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B55AB9" w:rsidRDefault="00B55AB9" w:rsidP="006F1C24">
            <w:pPr>
              <w:pStyle w:val="Formul"/>
            </w:pPr>
            <w:r w:rsidRPr="00B55AB9">
              <w:lastRenderedPageBreak/>
              <w:t xml:space="preserve">Název </w:t>
            </w:r>
            <w:r w:rsidR="006F1C24">
              <w:t>BAKALÁŘSKÉ</w:t>
            </w:r>
            <w:r w:rsidRPr="00B55AB9">
              <w:t xml:space="preserve"> 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2"/>
              <w:placeholder>
                <w:docPart w:val="6B2CEC3688A743C2A84428C59BBC7235"/>
              </w:placeholder>
              <w:text/>
            </w:sdtPr>
            <w:sdtContent>
              <w:p w:rsidR="00B55AB9" w:rsidRDefault="00341D50" w:rsidP="00B408CB">
                <w:pPr>
                  <w:spacing w:after="0" w:line="240" w:lineRule="auto"/>
                  <w:jc w:val="left"/>
                  <w:rPr>
                    <w:rFonts w:ascii="Verdana" w:hAnsi="Verdana"/>
                  </w:rPr>
                </w:pPr>
                <w:r w:rsidRPr="00341D50">
                  <w:rPr>
                    <w:rFonts w:ascii="Verdana" w:hAnsi="Verdana"/>
                  </w:rPr>
                  <w:t>Pojištění v České republice: nové produkty v pojiš</w:t>
                </w:r>
                <w:r w:rsidR="00862303">
                  <w:rPr>
                    <w:rFonts w:ascii="Verdana" w:hAnsi="Verdana"/>
                  </w:rPr>
                  <w:t xml:space="preserve">ťovnictví v ČR </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472479">
            <w:pPr>
              <w:pStyle w:val="Formul"/>
            </w:pPr>
            <w:r>
              <w:t>TERMÍN UKONČENÍ STUDIA A OBHAJOBA (MĚSÍC/ROK)</w:t>
            </w:r>
          </w:p>
        </w:tc>
      </w:tr>
      <w:tr w:rsidR="00B55AB9" w:rsidRPr="004D09F5" w:rsidTr="00DB47B9">
        <w:tc>
          <w:tcPr>
            <w:tcW w:w="9212" w:type="dxa"/>
          </w:tcPr>
          <w:p w:rsidR="00B408CB" w:rsidRDefault="00B408CB" w:rsidP="00205ECD">
            <w:pPr>
              <w:spacing w:after="0" w:line="240" w:lineRule="auto"/>
              <w:jc w:val="left"/>
              <w:rPr>
                <w:rFonts w:ascii="Verdana" w:hAnsi="Verdana"/>
              </w:rPr>
            </w:pPr>
          </w:p>
          <w:sdt>
            <w:sdtPr>
              <w:rPr>
                <w:rFonts w:ascii="Verdana" w:hAnsi="Verdana"/>
              </w:rPr>
              <w:id w:val="528793341"/>
              <w:placeholder>
                <w:docPart w:val="A445062028944384986715B165E51251"/>
              </w:placeholder>
              <w:text/>
            </w:sdtPr>
            <w:sdtContent>
              <w:p w:rsidR="00B55AB9" w:rsidRDefault="00341D50" w:rsidP="00B408CB">
                <w:pPr>
                  <w:spacing w:after="0" w:line="240" w:lineRule="auto"/>
                  <w:jc w:val="left"/>
                  <w:rPr>
                    <w:rFonts w:ascii="Verdana" w:hAnsi="Verdana"/>
                  </w:rPr>
                </w:pPr>
                <w:r w:rsidRPr="00C749E5">
                  <w:rPr>
                    <w:rFonts w:ascii="Verdana" w:hAnsi="Verdana"/>
                  </w:rPr>
                  <w:t>01/2012</w:t>
                </w:r>
              </w:p>
            </w:sdtContent>
          </w:sdt>
          <w:p w:rsidR="00B408CB" w:rsidRPr="004D09F5" w:rsidRDefault="00B408CB" w:rsidP="00B408CB">
            <w:pPr>
              <w:spacing w:after="0" w:line="240" w:lineRule="auto"/>
              <w:jc w:val="left"/>
              <w:rPr>
                <w:rFonts w:ascii="Verdana" w:hAnsi="Verdana"/>
              </w:rPr>
            </w:pP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384C28">
            <w:pPr>
              <w:pStyle w:val="Formul"/>
            </w:pPr>
            <w:r w:rsidRPr="004D09F5">
              <w:t xml:space="preserve">jméno </w:t>
            </w:r>
            <w:r>
              <w:t>a příjmení</w:t>
            </w:r>
            <w:r w:rsidRPr="004D09F5">
              <w:t xml:space="preserve"> / studijní skupina</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408CB" w:rsidRDefault="00F95F06" w:rsidP="00B408CB">
            <w:pPr>
              <w:spacing w:after="0" w:line="240" w:lineRule="auto"/>
              <w:jc w:val="left"/>
              <w:rPr>
                <w:rFonts w:ascii="Verdana" w:hAnsi="Verdana"/>
              </w:rPr>
            </w:pPr>
            <w:sdt>
              <w:sdtPr>
                <w:rPr>
                  <w:rFonts w:ascii="Verdana" w:hAnsi="Verdana"/>
                </w:rPr>
                <w:id w:val="528793340"/>
                <w:placeholder>
                  <w:docPart w:val="C840E045410F4AC99C6C23D0C68FBB3A"/>
                </w:placeholder>
                <w:text/>
              </w:sdtPr>
              <w:sdtContent>
                <w:r w:rsidR="00341D50" w:rsidRPr="008521D3">
                  <w:rPr>
                    <w:rFonts w:ascii="Verdana" w:hAnsi="Verdana"/>
                  </w:rPr>
                  <w:t>Vojtěch Fryč / PE 22</w:t>
                </w:r>
              </w:sdtContent>
            </w:sdt>
          </w:p>
          <w:p w:rsidR="00B55AB9" w:rsidRPr="004D09F5" w:rsidRDefault="00205ECD" w:rsidP="00B408CB">
            <w:pPr>
              <w:spacing w:after="0" w:line="240" w:lineRule="auto"/>
              <w:jc w:val="left"/>
              <w:rPr>
                <w:rFonts w:ascii="Verdana" w:hAnsi="Verdana"/>
              </w:rPr>
            </w:pPr>
            <w:r w:rsidRPr="004D09F5">
              <w:rPr>
                <w:rFonts w:ascii="Verdana" w:hAnsi="Verdana"/>
              </w:rPr>
              <w:t xml:space="preserve"> </w:t>
            </w: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B55AB9" w:rsidP="006F1C24">
            <w:pPr>
              <w:pStyle w:val="Formul"/>
            </w:pPr>
            <w:r w:rsidRPr="004D09F5">
              <w:t xml:space="preserve">jméno vedoucího </w:t>
            </w:r>
            <w:r w:rsidR="006F1C24">
              <w:t>BAKALÁŘSKÉ</w:t>
            </w:r>
            <w:r w:rsidR="00384C28">
              <w:t xml:space="preserve"> </w:t>
            </w:r>
            <w:r>
              <w:t>PRÁCE</w:t>
            </w:r>
          </w:p>
        </w:tc>
      </w:tr>
      <w:tr w:rsidR="00B55AB9" w:rsidRPr="004D09F5" w:rsidTr="00DB47B9">
        <w:tc>
          <w:tcPr>
            <w:tcW w:w="9212" w:type="dxa"/>
          </w:tcPr>
          <w:p w:rsidR="00B408CB" w:rsidRDefault="00B408CB" w:rsidP="00205ECD">
            <w:pPr>
              <w:spacing w:after="0" w:line="240" w:lineRule="auto"/>
              <w:jc w:val="left"/>
              <w:rPr>
                <w:rFonts w:ascii="Verdana" w:hAnsi="Verdana"/>
              </w:rPr>
            </w:pPr>
          </w:p>
          <w:p w:rsidR="00B55AB9" w:rsidRDefault="00D0659E" w:rsidP="00B408CB">
            <w:pPr>
              <w:spacing w:after="0" w:line="240" w:lineRule="auto"/>
              <w:jc w:val="left"/>
              <w:rPr>
                <w:rFonts w:ascii="Verdana" w:hAnsi="Verdana"/>
              </w:rPr>
            </w:pPr>
            <w:r w:rsidRPr="00D0659E">
              <w:rPr>
                <w:rFonts w:ascii="Verdana" w:hAnsi="Verdana"/>
              </w:rPr>
              <w:t xml:space="preserve">Ing. Irena </w:t>
            </w:r>
            <w:proofErr w:type="spellStart"/>
            <w:r w:rsidRPr="00D0659E">
              <w:rPr>
                <w:rFonts w:ascii="Verdana" w:hAnsi="Verdana"/>
              </w:rPr>
              <w:t>Jindřichovská</w:t>
            </w:r>
            <w:proofErr w:type="spellEnd"/>
            <w:r w:rsidRPr="00D0659E">
              <w:rPr>
                <w:rFonts w:ascii="Verdana" w:hAnsi="Verdana"/>
              </w:rPr>
              <w:t>, CSc.</w:t>
            </w:r>
            <w:r w:rsidR="00205ECD" w:rsidRPr="004D09F5">
              <w:rPr>
                <w:rFonts w:ascii="Verdana" w:hAnsi="Verdana"/>
              </w:rPr>
              <w:t xml:space="preserve"> </w:t>
            </w:r>
          </w:p>
          <w:p w:rsidR="00D0659E" w:rsidRPr="004D09F5" w:rsidRDefault="00D0659E" w:rsidP="00B408CB">
            <w:pPr>
              <w:spacing w:after="0" w:line="240" w:lineRule="auto"/>
              <w:jc w:val="left"/>
              <w:rPr>
                <w:rFonts w:ascii="Verdana" w:hAnsi="Verdana"/>
              </w:rPr>
            </w:pPr>
          </w:p>
        </w:tc>
      </w:tr>
    </w:tbl>
    <w:p w:rsidR="00B55AB9" w:rsidRPr="004D09F5" w:rsidRDefault="00B55AB9" w:rsidP="00B55AB9">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663BAA" w:rsidRDefault="00663BAA" w:rsidP="00663BAA">
            <w:pPr>
              <w:pStyle w:val="Formul"/>
            </w:pPr>
            <w:r w:rsidRPr="00663BAA">
              <w:t>prohlášení studenta</w:t>
            </w:r>
          </w:p>
        </w:tc>
      </w:tr>
      <w:tr w:rsidR="00B55AB9" w:rsidRPr="004D09F5" w:rsidTr="00DB47B9">
        <w:tc>
          <w:tcPr>
            <w:tcW w:w="9212" w:type="dxa"/>
          </w:tcPr>
          <w:p w:rsidR="007F1BB5" w:rsidRDefault="007F1BB5" w:rsidP="007F1BB5">
            <w:pPr>
              <w:spacing w:after="0" w:line="240" w:lineRule="auto"/>
              <w:jc w:val="left"/>
              <w:rPr>
                <w:rFonts w:ascii="Verdana" w:hAnsi="Verdana"/>
                <w:sz w:val="20"/>
              </w:rPr>
            </w:pPr>
          </w:p>
          <w:p w:rsidR="00663BAA" w:rsidRDefault="00663BAA" w:rsidP="000317EA">
            <w:pPr>
              <w:spacing w:after="0" w:line="240" w:lineRule="auto"/>
              <w:rPr>
                <w:rFonts w:ascii="Verdana" w:hAnsi="Verdana"/>
                <w:sz w:val="20"/>
              </w:rPr>
            </w:pPr>
            <w:r w:rsidRPr="00E906D8">
              <w:rPr>
                <w:rFonts w:ascii="Verdana" w:hAnsi="Verdana"/>
                <w:sz w:val="20"/>
              </w:rPr>
              <w:t>Prohlašuji tímto, že jsem zadanou bakalářskou práci na uvedené téma</w:t>
            </w:r>
            <w:r w:rsidR="000317EA">
              <w:rPr>
                <w:rFonts w:ascii="Verdana" w:hAnsi="Verdana"/>
                <w:sz w:val="20"/>
              </w:rPr>
              <w:t xml:space="preserve">   </w:t>
            </w:r>
            <w:r w:rsidRPr="00E906D8">
              <w:rPr>
                <w:rFonts w:ascii="Verdana" w:hAnsi="Verdana"/>
                <w:sz w:val="20"/>
              </w:rPr>
              <w:t>vypracoval samostatně a že jsem ke zpracování této bakalářské práce použil pouze literární prameny v práci uvedené.</w:t>
            </w:r>
          </w:p>
          <w:p w:rsidR="007F1BB5" w:rsidRPr="00E906D8" w:rsidRDefault="007F1BB5" w:rsidP="007F1BB5">
            <w:pPr>
              <w:spacing w:after="0" w:line="240" w:lineRule="auto"/>
              <w:jc w:val="left"/>
              <w:rPr>
                <w:rFonts w:ascii="Verdana" w:hAnsi="Verdana"/>
                <w:sz w:val="20"/>
              </w:rPr>
            </w:pPr>
          </w:p>
          <w:p w:rsidR="00663BAA" w:rsidRPr="00E906D8" w:rsidRDefault="00663BAA" w:rsidP="00532BCE">
            <w:pPr>
              <w:spacing w:line="240" w:lineRule="auto"/>
              <w:rPr>
                <w:rFonts w:ascii="Verdana" w:hAnsi="Verdana"/>
                <w:sz w:val="20"/>
              </w:rPr>
            </w:pPr>
            <w:r w:rsidRPr="00E906D8">
              <w:rPr>
                <w:rFonts w:ascii="Verdana" w:hAnsi="Verdana"/>
                <w:sz w:val="20"/>
              </w:rPr>
              <w:t xml:space="preserve">Datum a místo:      </w:t>
            </w:r>
          </w:p>
          <w:p w:rsidR="00663BAA" w:rsidRPr="00E906D8" w:rsidRDefault="00663BAA" w:rsidP="00532BCE">
            <w:pPr>
              <w:spacing w:line="240" w:lineRule="auto"/>
              <w:rPr>
                <w:rFonts w:ascii="Verdana" w:hAnsi="Verdana"/>
              </w:rPr>
            </w:pPr>
            <w:r>
              <w:rPr>
                <w:rFonts w:ascii="Verdana" w:hAnsi="Verdana"/>
              </w:rPr>
              <w:t xml:space="preserve">                                          </w:t>
            </w:r>
            <w:r w:rsidRPr="00E906D8">
              <w:rPr>
                <w:rFonts w:ascii="Verdana" w:hAnsi="Verdana"/>
              </w:rPr>
              <w:t>_____________________________</w:t>
            </w:r>
          </w:p>
          <w:p w:rsidR="00B55AB9" w:rsidRPr="00663BAA" w:rsidRDefault="00663BAA" w:rsidP="00532BCE">
            <w:pPr>
              <w:spacing w:line="240" w:lineRule="auto"/>
              <w:rPr>
                <w:rFonts w:ascii="Verdana" w:hAnsi="Verdana"/>
                <w:sz w:val="20"/>
              </w:rPr>
            </w:pPr>
            <w:r>
              <w:rPr>
                <w:rFonts w:ascii="Verdana" w:hAnsi="Verdana"/>
                <w:sz w:val="20"/>
              </w:rPr>
              <w:t xml:space="preserve">                                                                    </w:t>
            </w:r>
            <w:r w:rsidRPr="00E906D8">
              <w:rPr>
                <w:rFonts w:ascii="Verdana" w:hAnsi="Verdana"/>
                <w:sz w:val="20"/>
              </w:rPr>
              <w:t>podpis studenta</w:t>
            </w:r>
          </w:p>
        </w:tc>
      </w:tr>
    </w:tbl>
    <w:p w:rsidR="00B55AB9" w:rsidRPr="004D09F5" w:rsidRDefault="00B55AB9" w:rsidP="00384C28">
      <w:pPr>
        <w:rPr>
          <w:rFonts w:ascii="Verdana" w:hAnsi="Verdan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8644"/>
      </w:tblGrid>
      <w:tr w:rsidR="00B55AB9" w:rsidRPr="004D09F5" w:rsidTr="00DB47B9">
        <w:tc>
          <w:tcPr>
            <w:tcW w:w="9212" w:type="dxa"/>
            <w:shd w:val="clear" w:color="auto" w:fill="F3F3F3"/>
          </w:tcPr>
          <w:p w:rsidR="00B55AB9" w:rsidRPr="004D09F5" w:rsidRDefault="00532BCE" w:rsidP="00A46F76">
            <w:pPr>
              <w:pStyle w:val="Formul"/>
            </w:pPr>
            <w:r>
              <w:t>poděkování</w:t>
            </w:r>
          </w:p>
        </w:tc>
      </w:tr>
      <w:tr w:rsidR="00B55AB9" w:rsidRPr="004D09F5" w:rsidTr="00DB47B9">
        <w:tc>
          <w:tcPr>
            <w:tcW w:w="9212" w:type="dxa"/>
          </w:tcPr>
          <w:p w:rsidR="00B408CB" w:rsidRDefault="00B408CB" w:rsidP="00205ECD">
            <w:pPr>
              <w:spacing w:after="0" w:line="240" w:lineRule="auto"/>
              <w:jc w:val="left"/>
              <w:rPr>
                <w:rFonts w:ascii="Verdana" w:hAnsi="Verdana"/>
                <w:sz w:val="20"/>
              </w:rPr>
            </w:pPr>
          </w:p>
          <w:p w:rsidR="00B55AB9" w:rsidRDefault="00532BCE" w:rsidP="00B408CB">
            <w:pPr>
              <w:spacing w:after="0" w:line="240" w:lineRule="auto"/>
              <w:jc w:val="left"/>
              <w:rPr>
                <w:rFonts w:ascii="Verdana" w:hAnsi="Verdana"/>
              </w:rPr>
            </w:pPr>
            <w:r w:rsidRPr="00E906D8">
              <w:rPr>
                <w:rFonts w:ascii="Verdana" w:hAnsi="Verdana"/>
                <w:sz w:val="20"/>
              </w:rPr>
              <w:t>Rád bych tímto poděkoval vedoucímu</w:t>
            </w:r>
            <w:r w:rsidR="007F1BB5">
              <w:rPr>
                <w:rFonts w:ascii="Verdana" w:hAnsi="Verdana"/>
                <w:sz w:val="20"/>
              </w:rPr>
              <w:t xml:space="preserve"> bakalářské práce</w:t>
            </w:r>
            <w:r w:rsidRPr="00E906D8">
              <w:rPr>
                <w:rFonts w:ascii="Verdana" w:hAnsi="Verdana"/>
                <w:sz w:val="20"/>
              </w:rPr>
              <w:t xml:space="preserve"> za metodické vedení a odborné konzultace, které mi poskytl</w:t>
            </w:r>
            <w:r w:rsidR="007D5C54">
              <w:rPr>
                <w:rFonts w:ascii="Verdana" w:hAnsi="Verdana"/>
                <w:sz w:val="20"/>
              </w:rPr>
              <w:t>a</w:t>
            </w:r>
            <w:r w:rsidRPr="00E906D8">
              <w:rPr>
                <w:rFonts w:ascii="Verdana" w:hAnsi="Verdana"/>
                <w:sz w:val="20"/>
              </w:rPr>
              <w:t xml:space="preserve"> při zpracování mé bakalářské práce.</w:t>
            </w:r>
          </w:p>
          <w:p w:rsidR="00B408CB" w:rsidRPr="004D09F5" w:rsidRDefault="00B408CB" w:rsidP="00B408CB">
            <w:pPr>
              <w:spacing w:after="0" w:line="240" w:lineRule="auto"/>
              <w:jc w:val="left"/>
              <w:rPr>
                <w:rFonts w:ascii="Verdana" w:hAnsi="Verdana"/>
              </w:rPr>
            </w:pPr>
          </w:p>
        </w:tc>
      </w:tr>
    </w:tbl>
    <w:p w:rsidR="00B55AB9" w:rsidRDefault="00B55AB9" w:rsidP="00B55AB9"/>
    <w:p w:rsidR="00D57FD4" w:rsidRDefault="00D57FD4" w:rsidP="00D179FA">
      <w:pPr>
        <w:spacing w:after="0"/>
        <w:jc w:val="left"/>
        <w:rPr>
          <w:b/>
          <w:sz w:val="32"/>
          <w:szCs w:val="32"/>
        </w:rPr>
        <w:sectPr w:rsidR="00D57FD4" w:rsidSect="00990CF5">
          <w:headerReference w:type="default" r:id="rId12"/>
          <w:footerReference w:type="default" r:id="rId13"/>
          <w:pgSz w:w="11906" w:h="16838" w:code="9"/>
          <w:pgMar w:top="1418" w:right="1134" w:bottom="1418" w:left="2268" w:header="709" w:footer="709" w:gutter="0"/>
          <w:cols w:space="708"/>
          <w:docGrid w:linePitch="326"/>
        </w:sectPr>
      </w:pPr>
    </w:p>
    <w:p w:rsidR="00D179FA" w:rsidRDefault="00D179FA" w:rsidP="00D179FA">
      <w:pPr>
        <w:spacing w:after="0"/>
        <w:jc w:val="left"/>
        <w:rPr>
          <w:rFonts w:ascii="Verdana" w:hAnsi="Verdana" w:cs="Verdana"/>
          <w:b/>
          <w:bCs/>
          <w:color w:val="000000"/>
          <w:sz w:val="32"/>
          <w:szCs w:val="32"/>
        </w:rPr>
      </w:pPr>
      <w:r w:rsidRPr="009E2406">
        <w:rPr>
          <w:rFonts w:ascii="Verdana" w:hAnsi="Verdana" w:cs="Verdana"/>
          <w:b/>
          <w:bCs/>
          <w:color w:val="000000"/>
          <w:sz w:val="32"/>
          <w:szCs w:val="32"/>
        </w:rPr>
        <w:lastRenderedPageBreak/>
        <w:t>VYSOKÁ ŠKOLA EKONOMIE A MANAGEMENTU</w:t>
      </w: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rFonts w:ascii="Verdana" w:hAnsi="Verdana" w:cs="Verdana"/>
          <w:b/>
          <w:bCs/>
          <w:color w:val="000000"/>
          <w:sz w:val="32"/>
          <w:szCs w:val="32"/>
        </w:rPr>
      </w:pPr>
    </w:p>
    <w:p w:rsidR="00D179FA" w:rsidRDefault="00D179FA" w:rsidP="00D179FA">
      <w:pPr>
        <w:spacing w:after="0"/>
        <w:jc w:val="left"/>
        <w:rPr>
          <w:b/>
          <w:sz w:val="32"/>
          <w:szCs w:val="32"/>
        </w:rPr>
      </w:pPr>
    </w:p>
    <w:sdt>
      <w:sdtPr>
        <w:rPr>
          <w:b/>
          <w:sz w:val="32"/>
          <w:szCs w:val="32"/>
        </w:rPr>
        <w:id w:val="528793351"/>
        <w:placeholder>
          <w:docPart w:val="DefaultPlaceholder_22675703"/>
        </w:placeholder>
      </w:sdtPr>
      <w:sdtContent>
        <w:p w:rsidR="00D179FA" w:rsidRDefault="00341D50" w:rsidP="00D179FA">
          <w:pPr>
            <w:spacing w:after="0"/>
            <w:jc w:val="center"/>
            <w:rPr>
              <w:b/>
              <w:sz w:val="32"/>
              <w:szCs w:val="32"/>
            </w:rPr>
          </w:pPr>
          <w:r w:rsidRPr="00341D50">
            <w:rPr>
              <w:b/>
              <w:sz w:val="48"/>
              <w:szCs w:val="48"/>
            </w:rPr>
            <w:t>Pojištění v České republice: nové produkty v pojišťovnictví v ČR</w:t>
          </w:r>
        </w:p>
      </w:sdtContent>
    </w:sdt>
    <w:sdt>
      <w:sdtPr>
        <w:rPr>
          <w:sz w:val="28"/>
          <w:szCs w:val="32"/>
        </w:rPr>
        <w:id w:val="528793371"/>
        <w:placeholder>
          <w:docPart w:val="DefaultPlaceholder_22675703"/>
        </w:placeholder>
      </w:sdtPr>
      <w:sdtContent>
        <w:sdt>
          <w:sdtPr>
            <w:rPr>
              <w:sz w:val="28"/>
              <w:szCs w:val="32"/>
            </w:rPr>
            <w:id w:val="25103969"/>
            <w:placeholder>
              <w:docPart w:val="3C7BAE2FE8954E09ADC1E63C5F88D47B"/>
            </w:placeholder>
          </w:sdtPr>
          <w:sdtContent>
            <w:p w:rsidR="00B11637" w:rsidRPr="00D179FA" w:rsidRDefault="00B11637" w:rsidP="00B11637">
              <w:pPr>
                <w:spacing w:after="0"/>
                <w:jc w:val="center"/>
                <w:rPr>
                  <w:sz w:val="28"/>
                  <w:szCs w:val="32"/>
                </w:rPr>
              </w:pPr>
              <w:proofErr w:type="spellStart"/>
              <w:r>
                <w:rPr>
                  <w:sz w:val="28"/>
                  <w:szCs w:val="32"/>
                </w:rPr>
                <w:t>Insurance</w:t>
              </w:r>
              <w:proofErr w:type="spellEnd"/>
              <w:r>
                <w:rPr>
                  <w:sz w:val="28"/>
                  <w:szCs w:val="32"/>
                </w:rPr>
                <w:t xml:space="preserve"> in </w:t>
              </w:r>
              <w:proofErr w:type="spellStart"/>
              <w:r>
                <w:rPr>
                  <w:sz w:val="28"/>
                  <w:szCs w:val="32"/>
                </w:rPr>
                <w:t>the</w:t>
              </w:r>
              <w:proofErr w:type="spellEnd"/>
              <w:r>
                <w:rPr>
                  <w:sz w:val="28"/>
                  <w:szCs w:val="32"/>
                </w:rPr>
                <w:t xml:space="preserve"> </w:t>
              </w:r>
              <w:proofErr w:type="spellStart"/>
              <w:r>
                <w:rPr>
                  <w:sz w:val="28"/>
                  <w:szCs w:val="32"/>
                </w:rPr>
                <w:t>Czech</w:t>
              </w:r>
              <w:proofErr w:type="spellEnd"/>
              <w:r>
                <w:rPr>
                  <w:sz w:val="28"/>
                  <w:szCs w:val="32"/>
                </w:rPr>
                <w:t xml:space="preserve"> </w:t>
              </w:r>
              <w:proofErr w:type="spellStart"/>
              <w:r>
                <w:rPr>
                  <w:sz w:val="28"/>
                  <w:szCs w:val="32"/>
                </w:rPr>
                <w:t>Republic</w:t>
              </w:r>
              <w:proofErr w:type="spellEnd"/>
              <w:r>
                <w:rPr>
                  <w:sz w:val="28"/>
                  <w:szCs w:val="32"/>
                </w:rPr>
                <w:t xml:space="preserve">: </w:t>
              </w:r>
              <w:proofErr w:type="spellStart"/>
              <w:r>
                <w:rPr>
                  <w:sz w:val="28"/>
                  <w:szCs w:val="32"/>
                </w:rPr>
                <w:t>new</w:t>
              </w:r>
              <w:proofErr w:type="spellEnd"/>
              <w:r>
                <w:rPr>
                  <w:sz w:val="28"/>
                  <w:szCs w:val="32"/>
                </w:rPr>
                <w:t xml:space="preserve"> </w:t>
              </w:r>
              <w:proofErr w:type="spellStart"/>
              <w:r>
                <w:rPr>
                  <w:sz w:val="28"/>
                  <w:szCs w:val="32"/>
                </w:rPr>
                <w:t>insurance</w:t>
              </w:r>
              <w:proofErr w:type="spellEnd"/>
              <w:r>
                <w:rPr>
                  <w:sz w:val="28"/>
                  <w:szCs w:val="32"/>
                </w:rPr>
                <w:t xml:space="preserve"> </w:t>
              </w:r>
              <w:proofErr w:type="spellStart"/>
              <w:r>
                <w:rPr>
                  <w:sz w:val="28"/>
                  <w:szCs w:val="32"/>
                </w:rPr>
                <w:t>products</w:t>
              </w:r>
              <w:proofErr w:type="spellEnd"/>
              <w:r>
                <w:rPr>
                  <w:sz w:val="28"/>
                  <w:szCs w:val="32"/>
                </w:rPr>
                <w:t xml:space="preserve"> in </w:t>
              </w:r>
              <w:proofErr w:type="spellStart"/>
              <w:r>
                <w:rPr>
                  <w:sz w:val="28"/>
                  <w:szCs w:val="32"/>
                </w:rPr>
                <w:t>the</w:t>
              </w:r>
              <w:proofErr w:type="spellEnd"/>
              <w:r>
                <w:rPr>
                  <w:sz w:val="28"/>
                  <w:szCs w:val="32"/>
                </w:rPr>
                <w:t xml:space="preserve"> </w:t>
              </w:r>
              <w:proofErr w:type="spellStart"/>
              <w:r>
                <w:rPr>
                  <w:sz w:val="28"/>
                  <w:szCs w:val="32"/>
                </w:rPr>
                <w:t>Czech</w:t>
              </w:r>
              <w:proofErr w:type="spellEnd"/>
              <w:r>
                <w:rPr>
                  <w:sz w:val="28"/>
                  <w:szCs w:val="32"/>
                </w:rPr>
                <w:t xml:space="preserve"> </w:t>
              </w:r>
              <w:proofErr w:type="spellStart"/>
              <w:r>
                <w:rPr>
                  <w:sz w:val="28"/>
                  <w:szCs w:val="32"/>
                </w:rPr>
                <w:t>Republic</w:t>
              </w:r>
              <w:proofErr w:type="spellEnd"/>
            </w:p>
          </w:sdtContent>
        </w:sdt>
        <w:p w:rsidR="00D179FA" w:rsidRPr="00D179FA" w:rsidRDefault="00F95F06" w:rsidP="00D179FA">
          <w:pPr>
            <w:spacing w:after="0"/>
            <w:jc w:val="center"/>
            <w:rPr>
              <w:sz w:val="28"/>
              <w:szCs w:val="32"/>
            </w:rPr>
          </w:pPr>
        </w:p>
      </w:sdtContent>
    </w:sdt>
    <w:p w:rsidR="00D179FA" w:rsidRPr="00320E0F" w:rsidRDefault="00D179FA" w:rsidP="00D179FA">
      <w:pPr>
        <w:rPr>
          <w:sz w:val="32"/>
          <w:szCs w:val="32"/>
        </w:rPr>
      </w:pPr>
    </w:p>
    <w:p w:rsidR="00D179FA" w:rsidRPr="00320E0F" w:rsidRDefault="00D179FA" w:rsidP="00D179FA">
      <w:pPr>
        <w:rPr>
          <w:sz w:val="32"/>
          <w:szCs w:val="32"/>
        </w:rPr>
      </w:pPr>
    </w:p>
    <w:p w:rsidR="00D179FA" w:rsidRPr="00320E0F" w:rsidRDefault="00D179FA" w:rsidP="00D179FA">
      <w:pPr>
        <w:rPr>
          <w:sz w:val="32"/>
          <w:szCs w:val="32"/>
        </w:rPr>
      </w:pPr>
    </w:p>
    <w:p w:rsidR="00D179FA" w:rsidRDefault="00D179FA" w:rsidP="00D179FA">
      <w:pPr>
        <w:tabs>
          <w:tab w:val="left" w:pos="3600"/>
        </w:tabs>
        <w:rPr>
          <w:sz w:val="32"/>
          <w:szCs w:val="32"/>
        </w:rPr>
      </w:pPr>
    </w:p>
    <w:p w:rsidR="00AB5CC0" w:rsidRDefault="00AB5CC0" w:rsidP="00AB5CC0">
      <w:pPr>
        <w:tabs>
          <w:tab w:val="left" w:pos="3600"/>
        </w:tabs>
        <w:jc w:val="left"/>
        <w:rPr>
          <w:sz w:val="32"/>
          <w:szCs w:val="32"/>
        </w:rPr>
      </w:pPr>
    </w:p>
    <w:p w:rsidR="00AB5CC0" w:rsidRDefault="00D179FA" w:rsidP="00AB5CC0">
      <w:pPr>
        <w:tabs>
          <w:tab w:val="left" w:pos="3600"/>
        </w:tabs>
        <w:jc w:val="left"/>
        <w:rPr>
          <w:sz w:val="32"/>
          <w:szCs w:val="32"/>
        </w:rPr>
      </w:pPr>
      <w:r>
        <w:rPr>
          <w:sz w:val="32"/>
          <w:szCs w:val="32"/>
        </w:rPr>
        <w:t xml:space="preserve">Autor: </w:t>
      </w:r>
      <w:sdt>
        <w:sdtPr>
          <w:rPr>
            <w:sz w:val="32"/>
            <w:szCs w:val="32"/>
          </w:rPr>
          <w:id w:val="528793366"/>
          <w:placeholder>
            <w:docPart w:val="DefaultPlaceholder_22675703"/>
          </w:placeholder>
        </w:sdtPr>
        <w:sdtContent>
          <w:r w:rsidR="00341D50">
            <w:rPr>
              <w:sz w:val="32"/>
              <w:szCs w:val="32"/>
            </w:rPr>
            <w:t>Vojtěch Fryč</w:t>
          </w:r>
        </w:sdtContent>
      </w:sdt>
    </w:p>
    <w:p w:rsidR="00C91C02" w:rsidRPr="00793C59" w:rsidRDefault="00C91C02" w:rsidP="00AB5CC0">
      <w:pPr>
        <w:tabs>
          <w:tab w:val="left" w:pos="3600"/>
        </w:tabs>
        <w:jc w:val="left"/>
        <w:rPr>
          <w:b/>
          <w:sz w:val="32"/>
          <w:szCs w:val="32"/>
        </w:rPr>
      </w:pPr>
      <w:r w:rsidRPr="00793C59">
        <w:rPr>
          <w:b/>
        </w:rPr>
        <w:lastRenderedPageBreak/>
        <w:t>Souhrn</w:t>
      </w:r>
    </w:p>
    <w:p w:rsidR="00C91C02" w:rsidRPr="00D0659E" w:rsidRDefault="00793C59" w:rsidP="00C91C02">
      <w:pPr>
        <w:pStyle w:val="AbstractSummary-text"/>
        <w:rPr>
          <w:color w:val="FF0000"/>
          <w:lang w:val="pt-BR"/>
        </w:rPr>
      </w:pPr>
      <w:r w:rsidRPr="00793C59">
        <w:rPr>
          <w:lang w:val="cs-CZ"/>
        </w:rPr>
        <w:t>Bakalářská práce se zabývá novým produktem životního pojištění, který byl uveden na trh v roce 2010. Teoretická část bakalářské práce se zabývá základními pojmy a souvislostmi v oblasti život</w:t>
      </w:r>
      <w:r w:rsidR="001A4686">
        <w:rPr>
          <w:lang w:val="cs-CZ"/>
        </w:rPr>
        <w:t xml:space="preserve">ního pojištění. Hlavním cílem této </w:t>
      </w:r>
      <w:r w:rsidRPr="00793C59">
        <w:rPr>
          <w:lang w:val="cs-CZ"/>
        </w:rPr>
        <w:t>práce je analyzovat potřeby klientů v oblasti životního pojištění v ČR, a to dle věkových skupin obyvatelstva tj. zmapovat a identifikovat, jaké jsou současné klíčové potřeby na krytí pojistných rizik na trhu životního pojištění v ČR z hlediska</w:t>
      </w:r>
      <w:r w:rsidR="001A4686">
        <w:rPr>
          <w:lang w:val="cs-CZ"/>
        </w:rPr>
        <w:t xml:space="preserve"> cyklu klienta. Dalším úkolem této</w:t>
      </w:r>
      <w:r w:rsidRPr="00793C59">
        <w:rPr>
          <w:lang w:val="cs-CZ"/>
        </w:rPr>
        <w:t xml:space="preserve"> práce je potvrdit nebo vyvrátit hypotézu, že tento trend je nebo není srovnatelný v mnou zvolených věkových kategoriích pro obě pohlaví tj. ženy a muže. Zkoumání bylo prováděno na základě interní databáze Pojišťovny XY a.s. za období 12 měsíců, z níž bylo analyzováno a byly vytvořeny výstupy do grafů a tabulek pro interpretaci výsledků a výstupů mého zkoumání. Trh produktů životního pojištění je zcela jistě ovlivněn několika dobovými faktory, jako je stárnutí populace a připravované sociální reformy, proto mladí lidé mají tendenci se dopředu finančně připravit a zajistit si tak určitý obnos garantovaných finančních prostředků při dožití se důchodového věku. Dalším faktorem je také změna v životním stylu mladých lidí.</w:t>
      </w:r>
    </w:p>
    <w:p w:rsidR="00C91C02" w:rsidRDefault="00E86E13" w:rsidP="00E86E13">
      <w:pPr>
        <w:pStyle w:val="AbstractSummary-nadpis"/>
      </w:pPr>
      <w:proofErr w:type="spellStart"/>
      <w:r w:rsidRPr="00D8087C">
        <w:t>Summary</w:t>
      </w:r>
      <w:proofErr w:type="spellEnd"/>
    </w:p>
    <w:p w:rsidR="00A81108" w:rsidRPr="00D8087C" w:rsidRDefault="00793C59" w:rsidP="00793C59">
      <w:pPr>
        <w:shd w:val="clear" w:color="auto" w:fill="FFFFFF"/>
        <w:spacing w:before="100" w:beforeAutospacing="1" w:after="100" w:afterAutospacing="1"/>
      </w:pP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following</w:t>
      </w:r>
      <w:proofErr w:type="spellEnd"/>
      <w:r w:rsidRPr="00793C59">
        <w:rPr>
          <w:color w:val="000000"/>
          <w:szCs w:val="24"/>
        </w:rPr>
        <w:t xml:space="preserve"> </w:t>
      </w:r>
      <w:proofErr w:type="spellStart"/>
      <w:r w:rsidRPr="00793C59">
        <w:rPr>
          <w:color w:val="000000"/>
          <w:szCs w:val="24"/>
        </w:rPr>
        <w:t>bachelor</w:t>
      </w:r>
      <w:proofErr w:type="spellEnd"/>
      <w:r w:rsidRPr="00793C59">
        <w:rPr>
          <w:color w:val="000000"/>
          <w:szCs w:val="24"/>
        </w:rPr>
        <w:t xml:space="preserve">‘s thesis </w:t>
      </w:r>
      <w:proofErr w:type="spellStart"/>
      <w:r w:rsidRPr="00793C59">
        <w:rPr>
          <w:color w:val="000000"/>
          <w:szCs w:val="24"/>
        </w:rPr>
        <w:t>is</w:t>
      </w:r>
      <w:proofErr w:type="spellEnd"/>
      <w:r w:rsidRPr="00793C59">
        <w:rPr>
          <w:color w:val="000000"/>
          <w:szCs w:val="24"/>
        </w:rPr>
        <w:t xml:space="preserve"> </w:t>
      </w:r>
      <w:proofErr w:type="spellStart"/>
      <w:r w:rsidRPr="00793C59">
        <w:rPr>
          <w:color w:val="000000"/>
          <w:szCs w:val="24"/>
        </w:rPr>
        <w:t>concerned</w:t>
      </w:r>
      <w:proofErr w:type="spellEnd"/>
      <w:r w:rsidRPr="00793C59">
        <w:rPr>
          <w:color w:val="000000"/>
          <w:szCs w:val="24"/>
        </w:rPr>
        <w:t xml:space="preserve"> </w:t>
      </w:r>
      <w:proofErr w:type="spellStart"/>
      <w:r w:rsidRPr="00793C59">
        <w:rPr>
          <w:color w:val="000000"/>
          <w:szCs w:val="24"/>
        </w:rPr>
        <w:t>with</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topic</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My thesis </w:t>
      </w:r>
      <w:proofErr w:type="spellStart"/>
      <w:r w:rsidRPr="00793C59">
        <w:rPr>
          <w:color w:val="000000"/>
          <w:szCs w:val="24"/>
        </w:rPr>
        <w:t>analyses</w:t>
      </w:r>
      <w:proofErr w:type="spellEnd"/>
      <w:r w:rsidRPr="00793C59">
        <w:rPr>
          <w:color w:val="000000"/>
          <w:szCs w:val="24"/>
        </w:rPr>
        <w:t xml:space="preserve"> a </w:t>
      </w:r>
      <w:proofErr w:type="spellStart"/>
      <w:r w:rsidRPr="00793C59">
        <w:rPr>
          <w:color w:val="000000"/>
          <w:szCs w:val="24"/>
        </w:rPr>
        <w:t>new</w:t>
      </w:r>
      <w:proofErr w:type="spellEnd"/>
      <w:r w:rsidRPr="00793C59">
        <w:rPr>
          <w:color w:val="000000"/>
          <w:szCs w:val="24"/>
        </w:rPr>
        <w:t xml:space="preserve"> </w:t>
      </w:r>
      <w:proofErr w:type="spellStart"/>
      <w:r w:rsidRPr="00793C59">
        <w:rPr>
          <w:color w:val="000000"/>
          <w:szCs w:val="24"/>
        </w:rPr>
        <w:t>product</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w:t>
      </w:r>
      <w:proofErr w:type="spellStart"/>
      <w:r w:rsidRPr="00793C59">
        <w:rPr>
          <w:color w:val="000000"/>
          <w:szCs w:val="24"/>
        </w:rPr>
        <w:t>which</w:t>
      </w:r>
      <w:proofErr w:type="spellEnd"/>
      <w:r w:rsidRPr="00793C59">
        <w:rPr>
          <w:color w:val="000000"/>
          <w:szCs w:val="24"/>
        </w:rPr>
        <w:t xml:space="preserve"> </w:t>
      </w:r>
      <w:proofErr w:type="spellStart"/>
      <w:r w:rsidRPr="00793C59">
        <w:rPr>
          <w:color w:val="000000"/>
          <w:szCs w:val="24"/>
        </w:rPr>
        <w:t>was</w:t>
      </w:r>
      <w:proofErr w:type="spellEnd"/>
      <w:r w:rsidRPr="00793C59">
        <w:rPr>
          <w:color w:val="000000"/>
          <w:szCs w:val="24"/>
        </w:rPr>
        <w:t xml:space="preserve"> </w:t>
      </w:r>
      <w:proofErr w:type="spellStart"/>
      <w:r w:rsidRPr="00793C59">
        <w:rPr>
          <w:color w:val="000000"/>
          <w:szCs w:val="24"/>
        </w:rPr>
        <w:t>launched</w:t>
      </w:r>
      <w:proofErr w:type="spellEnd"/>
      <w:r w:rsidRPr="00793C59">
        <w:rPr>
          <w:color w:val="000000"/>
          <w:szCs w:val="24"/>
        </w:rPr>
        <w:t xml:space="preserve"> in </w:t>
      </w:r>
      <w:proofErr w:type="spellStart"/>
      <w:r w:rsidRPr="00793C59">
        <w:rPr>
          <w:color w:val="000000"/>
          <w:szCs w:val="24"/>
        </w:rPr>
        <w:t>the</w:t>
      </w:r>
      <w:proofErr w:type="spellEnd"/>
      <w:r w:rsidRPr="00793C59">
        <w:rPr>
          <w:color w:val="000000"/>
          <w:szCs w:val="24"/>
        </w:rPr>
        <w:t xml:space="preserve"> market in 2010.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bachelor’s</w:t>
      </w:r>
      <w:proofErr w:type="spellEnd"/>
      <w:r w:rsidRPr="00793C59">
        <w:rPr>
          <w:color w:val="000000"/>
          <w:szCs w:val="24"/>
        </w:rPr>
        <w:t xml:space="preserve"> thesis </w:t>
      </w:r>
      <w:proofErr w:type="spellStart"/>
      <w:r w:rsidRPr="00793C59">
        <w:rPr>
          <w:color w:val="000000"/>
          <w:szCs w:val="24"/>
        </w:rPr>
        <w:t>is</w:t>
      </w:r>
      <w:proofErr w:type="spellEnd"/>
      <w:r w:rsidRPr="00793C59">
        <w:rPr>
          <w:color w:val="000000"/>
          <w:szCs w:val="24"/>
        </w:rPr>
        <w:t xml:space="preserve"> </w:t>
      </w:r>
      <w:proofErr w:type="spellStart"/>
      <w:r w:rsidRPr="00793C59">
        <w:rPr>
          <w:color w:val="000000"/>
          <w:szCs w:val="24"/>
        </w:rPr>
        <w:t>divided</w:t>
      </w:r>
      <w:proofErr w:type="spellEnd"/>
      <w:r w:rsidRPr="00793C59">
        <w:rPr>
          <w:color w:val="000000"/>
          <w:szCs w:val="24"/>
        </w:rPr>
        <w:t xml:space="preserve"> </w:t>
      </w:r>
      <w:proofErr w:type="spellStart"/>
      <w:r w:rsidRPr="00793C59">
        <w:rPr>
          <w:color w:val="000000"/>
          <w:szCs w:val="24"/>
        </w:rPr>
        <w:t>into</w:t>
      </w:r>
      <w:proofErr w:type="spellEnd"/>
      <w:r w:rsidRPr="00793C59">
        <w:rPr>
          <w:color w:val="000000"/>
          <w:szCs w:val="24"/>
        </w:rPr>
        <w:t xml:space="preserve"> </w:t>
      </w:r>
      <w:proofErr w:type="spellStart"/>
      <w:r w:rsidRPr="00793C59">
        <w:rPr>
          <w:color w:val="000000"/>
          <w:szCs w:val="24"/>
        </w:rPr>
        <w:t>two</w:t>
      </w:r>
      <w:proofErr w:type="spellEnd"/>
      <w:r w:rsidRPr="00793C59">
        <w:rPr>
          <w:color w:val="000000"/>
          <w:szCs w:val="24"/>
        </w:rPr>
        <w:t xml:space="preserve"> </w:t>
      </w:r>
      <w:proofErr w:type="spellStart"/>
      <w:r w:rsidRPr="00793C59">
        <w:rPr>
          <w:color w:val="000000"/>
          <w:szCs w:val="24"/>
        </w:rPr>
        <w:t>main</w:t>
      </w:r>
      <w:proofErr w:type="spellEnd"/>
      <w:r w:rsidRPr="00793C59">
        <w:rPr>
          <w:color w:val="000000"/>
          <w:szCs w:val="24"/>
        </w:rPr>
        <w:t xml:space="preserve"> </w:t>
      </w:r>
      <w:proofErr w:type="spellStart"/>
      <w:r w:rsidRPr="00793C59">
        <w:rPr>
          <w:color w:val="000000"/>
          <w:szCs w:val="24"/>
        </w:rPr>
        <w:t>sections</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first</w:t>
      </w:r>
      <w:proofErr w:type="spellEnd"/>
      <w:r w:rsidRPr="00793C59">
        <w:rPr>
          <w:color w:val="000000"/>
          <w:szCs w:val="24"/>
        </w:rPr>
        <w:t xml:space="preserve"> part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bachelor’s</w:t>
      </w:r>
      <w:proofErr w:type="spellEnd"/>
      <w:r w:rsidRPr="00793C59">
        <w:rPr>
          <w:color w:val="000000"/>
          <w:szCs w:val="24"/>
        </w:rPr>
        <w:t xml:space="preserve"> thesis </w:t>
      </w:r>
      <w:proofErr w:type="spellStart"/>
      <w:r w:rsidRPr="00793C59">
        <w:rPr>
          <w:color w:val="000000"/>
          <w:szCs w:val="24"/>
        </w:rPr>
        <w:t>describes</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theoretical</w:t>
      </w:r>
      <w:proofErr w:type="spellEnd"/>
      <w:r w:rsidRPr="00793C59">
        <w:rPr>
          <w:color w:val="000000"/>
          <w:szCs w:val="24"/>
        </w:rPr>
        <w:t xml:space="preserve"> </w:t>
      </w:r>
      <w:proofErr w:type="spellStart"/>
      <w:r w:rsidRPr="00793C59">
        <w:rPr>
          <w:color w:val="000000"/>
          <w:szCs w:val="24"/>
        </w:rPr>
        <w:t>characteristics</w:t>
      </w:r>
      <w:proofErr w:type="spellEnd"/>
      <w:r w:rsidRPr="00793C59">
        <w:rPr>
          <w:color w:val="000000"/>
          <w:szCs w:val="24"/>
        </w:rPr>
        <w:t xml:space="preserve"> </w:t>
      </w:r>
      <w:proofErr w:type="spellStart"/>
      <w:r w:rsidRPr="00793C59">
        <w:rPr>
          <w:color w:val="000000"/>
          <w:szCs w:val="24"/>
        </w:rPr>
        <w:t>and</w:t>
      </w:r>
      <w:proofErr w:type="spellEnd"/>
      <w:r w:rsidRPr="00793C59">
        <w:rPr>
          <w:color w:val="000000"/>
          <w:szCs w:val="24"/>
        </w:rPr>
        <w:t xml:space="preserve"> </w:t>
      </w:r>
      <w:proofErr w:type="spellStart"/>
      <w:r w:rsidRPr="00793C59">
        <w:rPr>
          <w:color w:val="000000"/>
          <w:szCs w:val="24"/>
        </w:rPr>
        <w:t>explanations</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second</w:t>
      </w:r>
      <w:proofErr w:type="spellEnd"/>
      <w:r w:rsidRPr="00793C59">
        <w:rPr>
          <w:color w:val="000000"/>
          <w:szCs w:val="24"/>
        </w:rPr>
        <w:t xml:space="preserve"> part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bachelor’s</w:t>
      </w:r>
      <w:proofErr w:type="spellEnd"/>
      <w:r w:rsidRPr="00793C59">
        <w:rPr>
          <w:color w:val="000000"/>
          <w:szCs w:val="24"/>
        </w:rPr>
        <w:t xml:space="preserve"> thesis </w:t>
      </w:r>
      <w:proofErr w:type="spellStart"/>
      <w:r w:rsidRPr="00793C59">
        <w:rPr>
          <w:color w:val="000000"/>
          <w:szCs w:val="24"/>
        </w:rPr>
        <w:t>contains</w:t>
      </w:r>
      <w:proofErr w:type="spellEnd"/>
      <w:r w:rsidRPr="00793C59">
        <w:rPr>
          <w:color w:val="000000"/>
          <w:szCs w:val="24"/>
        </w:rPr>
        <w:t xml:space="preserve"> a </w:t>
      </w:r>
      <w:proofErr w:type="spellStart"/>
      <w:r w:rsidRPr="00793C59">
        <w:rPr>
          <w:color w:val="000000"/>
          <w:szCs w:val="24"/>
        </w:rPr>
        <w:t>concrete</w:t>
      </w:r>
      <w:proofErr w:type="spellEnd"/>
      <w:r w:rsidRPr="00793C59">
        <w:rPr>
          <w:color w:val="000000"/>
          <w:szCs w:val="24"/>
        </w:rPr>
        <w:t xml:space="preserve"> </w:t>
      </w:r>
      <w:proofErr w:type="spellStart"/>
      <w:r w:rsidRPr="00793C59">
        <w:rPr>
          <w:color w:val="000000"/>
          <w:szCs w:val="24"/>
        </w:rPr>
        <w:t>new</w:t>
      </w:r>
      <w:proofErr w:type="spellEnd"/>
      <w:r w:rsidRPr="00793C59">
        <w:rPr>
          <w:color w:val="000000"/>
          <w:szCs w:val="24"/>
        </w:rPr>
        <w:t xml:space="preserve"> </w:t>
      </w:r>
      <w:proofErr w:type="spellStart"/>
      <w:r w:rsidRPr="00793C59">
        <w:rPr>
          <w:color w:val="000000"/>
          <w:szCs w:val="24"/>
        </w:rPr>
        <w:t>product</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w:t>
      </w:r>
      <w:proofErr w:type="spellStart"/>
      <w:r w:rsidRPr="00793C59">
        <w:rPr>
          <w:color w:val="000000"/>
          <w:szCs w:val="24"/>
        </w:rPr>
        <w:t>introduced</w:t>
      </w:r>
      <w:proofErr w:type="spellEnd"/>
      <w:r w:rsidRPr="00793C59">
        <w:rPr>
          <w:color w:val="000000"/>
          <w:szCs w:val="24"/>
        </w:rPr>
        <w:t xml:space="preserve"> in </w:t>
      </w:r>
      <w:proofErr w:type="spellStart"/>
      <w:r w:rsidRPr="00793C59">
        <w:rPr>
          <w:color w:val="000000"/>
          <w:szCs w:val="24"/>
        </w:rPr>
        <w:t>the</w:t>
      </w:r>
      <w:proofErr w:type="spellEnd"/>
      <w:r w:rsidRPr="00793C59">
        <w:rPr>
          <w:color w:val="000000"/>
          <w:szCs w:val="24"/>
        </w:rPr>
        <w:t xml:space="preserve"> market in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Czech</w:t>
      </w:r>
      <w:proofErr w:type="spellEnd"/>
      <w:r w:rsidRPr="00793C59">
        <w:rPr>
          <w:color w:val="000000"/>
          <w:szCs w:val="24"/>
        </w:rPr>
        <w:t xml:space="preserve"> </w:t>
      </w:r>
      <w:proofErr w:type="spellStart"/>
      <w:r w:rsidRPr="00793C59">
        <w:rPr>
          <w:color w:val="000000"/>
          <w:szCs w:val="24"/>
        </w:rPr>
        <w:t>Republic</w:t>
      </w:r>
      <w:proofErr w:type="spellEnd"/>
      <w:r w:rsidRPr="00793C59">
        <w:rPr>
          <w:color w:val="000000"/>
          <w:szCs w:val="24"/>
        </w:rPr>
        <w:t xml:space="preserve"> in 2010. </w:t>
      </w:r>
      <w:proofErr w:type="spellStart"/>
      <w:r w:rsidRPr="00793C59">
        <w:rPr>
          <w:color w:val="000000"/>
          <w:szCs w:val="24"/>
        </w:rPr>
        <w:t>It</w:t>
      </w:r>
      <w:proofErr w:type="spellEnd"/>
      <w:r w:rsidRPr="00793C59">
        <w:rPr>
          <w:color w:val="000000"/>
          <w:szCs w:val="24"/>
        </w:rPr>
        <w:t xml:space="preserve"> </w:t>
      </w:r>
      <w:proofErr w:type="spellStart"/>
      <w:r w:rsidRPr="00793C59">
        <w:rPr>
          <w:color w:val="000000"/>
          <w:szCs w:val="24"/>
        </w:rPr>
        <w:t>details</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importance</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this</w:t>
      </w:r>
      <w:proofErr w:type="spellEnd"/>
      <w:r w:rsidRPr="00793C59">
        <w:rPr>
          <w:color w:val="000000"/>
          <w:szCs w:val="24"/>
        </w:rPr>
        <w:t xml:space="preserve"> </w:t>
      </w:r>
      <w:proofErr w:type="spellStart"/>
      <w:r w:rsidRPr="00793C59">
        <w:rPr>
          <w:color w:val="000000"/>
          <w:szCs w:val="24"/>
        </w:rPr>
        <w:t>product</w:t>
      </w:r>
      <w:proofErr w:type="spellEnd"/>
      <w:r w:rsidRPr="00793C59">
        <w:rPr>
          <w:color w:val="000000"/>
          <w:szCs w:val="24"/>
        </w:rPr>
        <w:t xml:space="preserve"> i.</w:t>
      </w:r>
      <w:proofErr w:type="spellStart"/>
      <w:r w:rsidRPr="00793C59">
        <w:rPr>
          <w:color w:val="000000"/>
          <w:szCs w:val="24"/>
        </w:rPr>
        <w:t>e</w:t>
      </w:r>
      <w:proofErr w:type="spellEnd"/>
      <w:r w:rsidRPr="00793C59">
        <w:rPr>
          <w:color w:val="000000"/>
          <w:szCs w:val="24"/>
        </w:rPr>
        <w:t xml:space="preserve">. </w:t>
      </w:r>
      <w:proofErr w:type="spellStart"/>
      <w:r w:rsidRPr="00793C59">
        <w:rPr>
          <w:color w:val="000000"/>
          <w:szCs w:val="24"/>
        </w:rPr>
        <w:t>which</w:t>
      </w:r>
      <w:proofErr w:type="spellEnd"/>
      <w:r w:rsidRPr="00793C59">
        <w:rPr>
          <w:color w:val="000000"/>
          <w:szCs w:val="24"/>
        </w:rPr>
        <w:t xml:space="preserve"> </w:t>
      </w:r>
      <w:proofErr w:type="spellStart"/>
      <w:r w:rsidRPr="00793C59">
        <w:rPr>
          <w:color w:val="000000"/>
          <w:szCs w:val="24"/>
        </w:rPr>
        <w:t>possible</w:t>
      </w:r>
      <w:proofErr w:type="spellEnd"/>
      <w:r w:rsidRPr="00793C59">
        <w:rPr>
          <w:color w:val="000000"/>
          <w:szCs w:val="24"/>
        </w:rPr>
        <w:t xml:space="preserve"> </w:t>
      </w:r>
      <w:proofErr w:type="spellStart"/>
      <w:r w:rsidRPr="00793C59">
        <w:rPr>
          <w:color w:val="000000"/>
          <w:szCs w:val="24"/>
        </w:rPr>
        <w:t>risks</w:t>
      </w:r>
      <w:proofErr w:type="spellEnd"/>
      <w:r w:rsidRPr="00793C59">
        <w:rPr>
          <w:color w:val="000000"/>
          <w:szCs w:val="24"/>
        </w:rPr>
        <w:t xml:space="preserve"> </w:t>
      </w:r>
      <w:proofErr w:type="spellStart"/>
      <w:r w:rsidRPr="00793C59">
        <w:rPr>
          <w:color w:val="000000"/>
          <w:szCs w:val="24"/>
        </w:rPr>
        <w:t>can</w:t>
      </w:r>
      <w:proofErr w:type="spellEnd"/>
      <w:r w:rsidRPr="00793C59">
        <w:rPr>
          <w:color w:val="000000"/>
          <w:szCs w:val="24"/>
        </w:rPr>
        <w:t xml:space="preserve"> </w:t>
      </w:r>
      <w:proofErr w:type="spellStart"/>
      <w:r w:rsidRPr="00793C59">
        <w:rPr>
          <w:color w:val="000000"/>
          <w:szCs w:val="24"/>
        </w:rPr>
        <w:t>be</w:t>
      </w:r>
      <w:proofErr w:type="spellEnd"/>
      <w:r w:rsidRPr="00793C59">
        <w:rPr>
          <w:color w:val="000000"/>
          <w:szCs w:val="24"/>
        </w:rPr>
        <w:t xml:space="preserve"> </w:t>
      </w:r>
      <w:proofErr w:type="spellStart"/>
      <w:r w:rsidRPr="00793C59">
        <w:rPr>
          <w:color w:val="000000"/>
          <w:szCs w:val="24"/>
        </w:rPr>
        <w:t>insured</w:t>
      </w:r>
      <w:proofErr w:type="spellEnd"/>
      <w:r w:rsidRPr="00793C59">
        <w:rPr>
          <w:color w:val="000000"/>
          <w:szCs w:val="24"/>
        </w:rPr>
        <w:t xml:space="preserve"> by </w:t>
      </w:r>
      <w:proofErr w:type="spellStart"/>
      <w:r w:rsidRPr="00793C59">
        <w:rPr>
          <w:color w:val="000000"/>
          <w:szCs w:val="24"/>
        </w:rPr>
        <w:t>clients</w:t>
      </w:r>
      <w:proofErr w:type="spellEnd"/>
      <w:r w:rsidRPr="00793C59">
        <w:rPr>
          <w:color w:val="000000"/>
          <w:szCs w:val="24"/>
        </w:rPr>
        <w:t xml:space="preserve">. </w:t>
      </w:r>
      <w:proofErr w:type="spellStart"/>
      <w:r w:rsidRPr="00793C59">
        <w:rPr>
          <w:color w:val="000000"/>
          <w:szCs w:val="24"/>
        </w:rPr>
        <w:t>There</w:t>
      </w:r>
      <w:proofErr w:type="spellEnd"/>
      <w:r w:rsidRPr="00793C59">
        <w:rPr>
          <w:color w:val="000000"/>
          <w:szCs w:val="24"/>
        </w:rPr>
        <w:t xml:space="preserve"> are many </w:t>
      </w:r>
      <w:proofErr w:type="spellStart"/>
      <w:r w:rsidRPr="00793C59">
        <w:rPr>
          <w:color w:val="000000"/>
          <w:szCs w:val="24"/>
        </w:rPr>
        <w:t>kinds</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various</w:t>
      </w:r>
      <w:proofErr w:type="spellEnd"/>
      <w:r w:rsidRPr="00793C59">
        <w:rPr>
          <w:color w:val="000000"/>
          <w:szCs w:val="24"/>
        </w:rPr>
        <w:t xml:space="preserve"> </w:t>
      </w:r>
      <w:proofErr w:type="spellStart"/>
      <w:r w:rsidRPr="00793C59">
        <w:rPr>
          <w:color w:val="000000"/>
          <w:szCs w:val="24"/>
        </w:rPr>
        <w:t>risks</w:t>
      </w:r>
      <w:proofErr w:type="spellEnd"/>
      <w:r w:rsidRPr="00793C59">
        <w:rPr>
          <w:color w:val="000000"/>
          <w:szCs w:val="24"/>
        </w:rPr>
        <w:t xml:space="preserve"> to </w:t>
      </w:r>
      <w:proofErr w:type="spellStart"/>
      <w:r w:rsidRPr="00793C59">
        <w:rPr>
          <w:color w:val="000000"/>
          <w:szCs w:val="24"/>
        </w:rPr>
        <w:t>insure</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main</w:t>
      </w:r>
      <w:proofErr w:type="spellEnd"/>
      <w:r w:rsidRPr="00793C59">
        <w:rPr>
          <w:color w:val="000000"/>
          <w:szCs w:val="24"/>
        </w:rPr>
        <w:t xml:space="preserve"> </w:t>
      </w:r>
      <w:proofErr w:type="spellStart"/>
      <w:r w:rsidRPr="00793C59">
        <w:rPr>
          <w:color w:val="000000"/>
          <w:szCs w:val="24"/>
        </w:rPr>
        <w:t>goal</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this</w:t>
      </w:r>
      <w:proofErr w:type="spellEnd"/>
      <w:r w:rsidRPr="00793C59">
        <w:rPr>
          <w:color w:val="000000"/>
          <w:szCs w:val="24"/>
        </w:rPr>
        <w:t xml:space="preserve"> </w:t>
      </w:r>
      <w:proofErr w:type="spellStart"/>
      <w:r w:rsidRPr="00793C59">
        <w:rPr>
          <w:color w:val="000000"/>
          <w:szCs w:val="24"/>
        </w:rPr>
        <w:t>bachelor’s</w:t>
      </w:r>
      <w:proofErr w:type="spellEnd"/>
      <w:r w:rsidRPr="00793C59">
        <w:rPr>
          <w:color w:val="000000"/>
          <w:szCs w:val="24"/>
        </w:rPr>
        <w:t xml:space="preserve"> thesis </w:t>
      </w:r>
      <w:proofErr w:type="spellStart"/>
      <w:r w:rsidRPr="00793C59">
        <w:rPr>
          <w:color w:val="000000"/>
          <w:szCs w:val="24"/>
        </w:rPr>
        <w:t>is</w:t>
      </w:r>
      <w:proofErr w:type="spellEnd"/>
      <w:r w:rsidRPr="00793C59">
        <w:rPr>
          <w:color w:val="000000"/>
          <w:szCs w:val="24"/>
        </w:rPr>
        <w:t xml:space="preserve"> to analyse </w:t>
      </w:r>
      <w:proofErr w:type="spellStart"/>
      <w:r w:rsidRPr="00793C59">
        <w:rPr>
          <w:color w:val="000000"/>
          <w:szCs w:val="24"/>
        </w:rPr>
        <w:t>and</w:t>
      </w:r>
      <w:proofErr w:type="spellEnd"/>
      <w:r w:rsidRPr="00793C59">
        <w:rPr>
          <w:color w:val="000000"/>
          <w:szCs w:val="24"/>
        </w:rPr>
        <w:t xml:space="preserve"> </w:t>
      </w:r>
      <w:proofErr w:type="spellStart"/>
      <w:r w:rsidRPr="00793C59">
        <w:rPr>
          <w:color w:val="000000"/>
          <w:szCs w:val="24"/>
        </w:rPr>
        <w:t>define</w:t>
      </w:r>
      <w:proofErr w:type="spellEnd"/>
      <w:r w:rsidRPr="00793C59">
        <w:rPr>
          <w:color w:val="000000"/>
          <w:szCs w:val="24"/>
        </w:rPr>
        <w:t xml:space="preserve"> </w:t>
      </w:r>
      <w:proofErr w:type="spellStart"/>
      <w:r w:rsidRPr="00793C59">
        <w:rPr>
          <w:color w:val="000000"/>
          <w:szCs w:val="24"/>
        </w:rPr>
        <w:t>needs</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clients</w:t>
      </w:r>
      <w:proofErr w:type="spellEnd"/>
      <w:r w:rsidRPr="00793C59">
        <w:rPr>
          <w:color w:val="000000"/>
          <w:szCs w:val="24"/>
        </w:rPr>
        <w:t xml:space="preserve"> in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I </w:t>
      </w:r>
      <w:proofErr w:type="spellStart"/>
      <w:r w:rsidRPr="00793C59">
        <w:rPr>
          <w:color w:val="000000"/>
          <w:szCs w:val="24"/>
        </w:rPr>
        <w:t>divided</w:t>
      </w:r>
      <w:proofErr w:type="spellEnd"/>
      <w:r w:rsidRPr="00793C59">
        <w:rPr>
          <w:color w:val="000000"/>
          <w:szCs w:val="24"/>
        </w:rPr>
        <w:t xml:space="preserve"> these </w:t>
      </w:r>
      <w:proofErr w:type="spellStart"/>
      <w:r w:rsidRPr="00793C59">
        <w:rPr>
          <w:color w:val="000000"/>
          <w:szCs w:val="24"/>
        </w:rPr>
        <w:t>clients</w:t>
      </w:r>
      <w:proofErr w:type="spellEnd"/>
      <w:r w:rsidRPr="00793C59">
        <w:rPr>
          <w:color w:val="000000"/>
          <w:szCs w:val="24"/>
        </w:rPr>
        <w:t xml:space="preserve"> </w:t>
      </w:r>
      <w:proofErr w:type="spellStart"/>
      <w:r w:rsidRPr="00793C59">
        <w:rPr>
          <w:color w:val="000000"/>
          <w:szCs w:val="24"/>
        </w:rPr>
        <w:t>into</w:t>
      </w:r>
      <w:proofErr w:type="spellEnd"/>
      <w:r w:rsidRPr="00793C59">
        <w:rPr>
          <w:color w:val="000000"/>
          <w:szCs w:val="24"/>
        </w:rPr>
        <w:t xml:space="preserve"> </w:t>
      </w:r>
      <w:proofErr w:type="spellStart"/>
      <w:r w:rsidRPr="00793C59">
        <w:rPr>
          <w:color w:val="000000"/>
          <w:szCs w:val="24"/>
        </w:rPr>
        <w:t>four</w:t>
      </w:r>
      <w:proofErr w:type="spellEnd"/>
      <w:r w:rsidRPr="00793C59">
        <w:rPr>
          <w:color w:val="000000"/>
          <w:szCs w:val="24"/>
        </w:rPr>
        <w:t xml:space="preserve"> </w:t>
      </w:r>
      <w:proofErr w:type="spellStart"/>
      <w:r w:rsidRPr="00793C59">
        <w:rPr>
          <w:color w:val="000000"/>
          <w:szCs w:val="24"/>
        </w:rPr>
        <w:t>groups</w:t>
      </w:r>
      <w:proofErr w:type="spellEnd"/>
      <w:r w:rsidRPr="00793C59">
        <w:rPr>
          <w:color w:val="000000"/>
          <w:szCs w:val="24"/>
        </w:rPr>
        <w:t xml:space="preserve"> </w:t>
      </w:r>
      <w:proofErr w:type="spellStart"/>
      <w:r w:rsidRPr="00793C59">
        <w:rPr>
          <w:color w:val="000000"/>
          <w:szCs w:val="24"/>
        </w:rPr>
        <w:t>according</w:t>
      </w:r>
      <w:proofErr w:type="spellEnd"/>
      <w:r w:rsidRPr="00793C59">
        <w:rPr>
          <w:color w:val="000000"/>
          <w:szCs w:val="24"/>
        </w:rPr>
        <w:t xml:space="preserve"> to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age</w:t>
      </w:r>
      <w:proofErr w:type="spellEnd"/>
      <w:r w:rsidRPr="00793C59">
        <w:rPr>
          <w:color w:val="000000"/>
          <w:szCs w:val="24"/>
        </w:rPr>
        <w:t xml:space="preserve">. </w:t>
      </w:r>
      <w:proofErr w:type="spellStart"/>
      <w:r w:rsidRPr="00793C59">
        <w:rPr>
          <w:color w:val="000000"/>
          <w:szCs w:val="24"/>
        </w:rPr>
        <w:t>At</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same</w:t>
      </w:r>
      <w:proofErr w:type="spellEnd"/>
      <w:r w:rsidRPr="00793C59">
        <w:rPr>
          <w:color w:val="000000"/>
          <w:szCs w:val="24"/>
        </w:rPr>
        <w:t xml:space="preserve"> </w:t>
      </w:r>
      <w:proofErr w:type="spellStart"/>
      <w:r w:rsidRPr="00793C59">
        <w:rPr>
          <w:color w:val="000000"/>
          <w:szCs w:val="24"/>
        </w:rPr>
        <w:t>time</w:t>
      </w:r>
      <w:proofErr w:type="spellEnd"/>
      <w:r w:rsidRPr="00793C59">
        <w:rPr>
          <w:color w:val="000000"/>
          <w:szCs w:val="24"/>
        </w:rPr>
        <w:t xml:space="preserve"> I </w:t>
      </w:r>
      <w:proofErr w:type="spellStart"/>
      <w:r w:rsidRPr="00793C59">
        <w:rPr>
          <w:color w:val="000000"/>
          <w:szCs w:val="24"/>
        </w:rPr>
        <w:t>separately</w:t>
      </w:r>
      <w:proofErr w:type="spellEnd"/>
      <w:r w:rsidRPr="00793C59">
        <w:rPr>
          <w:color w:val="000000"/>
          <w:szCs w:val="24"/>
        </w:rPr>
        <w:t xml:space="preserve"> analyse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needs</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women</w:t>
      </w:r>
      <w:proofErr w:type="spellEnd"/>
      <w:r w:rsidRPr="00793C59">
        <w:rPr>
          <w:color w:val="000000"/>
          <w:szCs w:val="24"/>
        </w:rPr>
        <w:t xml:space="preserve"> </w:t>
      </w:r>
      <w:proofErr w:type="spellStart"/>
      <w:r w:rsidRPr="00793C59">
        <w:rPr>
          <w:color w:val="000000"/>
          <w:szCs w:val="24"/>
        </w:rPr>
        <w:t>and</w:t>
      </w:r>
      <w:proofErr w:type="spellEnd"/>
      <w:r w:rsidRPr="00793C59">
        <w:rPr>
          <w:color w:val="000000"/>
          <w:szCs w:val="24"/>
        </w:rPr>
        <w:t xml:space="preserve"> </w:t>
      </w:r>
      <w:proofErr w:type="spellStart"/>
      <w:r w:rsidRPr="00793C59">
        <w:rPr>
          <w:color w:val="000000"/>
          <w:szCs w:val="24"/>
        </w:rPr>
        <w:t>men</w:t>
      </w:r>
      <w:proofErr w:type="spellEnd"/>
      <w:r w:rsidRPr="00793C59">
        <w:rPr>
          <w:color w:val="000000"/>
          <w:szCs w:val="24"/>
        </w:rPr>
        <w:t xml:space="preserve"> in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w:t>
      </w:r>
      <w:proofErr w:type="spellStart"/>
      <w:r w:rsidRPr="00793C59">
        <w:rPr>
          <w:color w:val="000000"/>
          <w:szCs w:val="24"/>
        </w:rPr>
        <w:t>This</w:t>
      </w:r>
      <w:proofErr w:type="spellEnd"/>
      <w:r w:rsidRPr="00793C59">
        <w:rPr>
          <w:color w:val="000000"/>
          <w:szCs w:val="24"/>
        </w:rPr>
        <w:t xml:space="preserve"> part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bachelor’s</w:t>
      </w:r>
      <w:proofErr w:type="spellEnd"/>
      <w:r w:rsidRPr="00793C59">
        <w:rPr>
          <w:color w:val="000000"/>
          <w:szCs w:val="24"/>
        </w:rPr>
        <w:t xml:space="preserve"> thesis </w:t>
      </w:r>
      <w:proofErr w:type="spellStart"/>
      <w:r w:rsidRPr="00793C59">
        <w:rPr>
          <w:color w:val="000000"/>
          <w:szCs w:val="24"/>
        </w:rPr>
        <w:t>points</w:t>
      </w:r>
      <w:proofErr w:type="spellEnd"/>
      <w:r w:rsidRPr="00793C59">
        <w:rPr>
          <w:color w:val="000000"/>
          <w:szCs w:val="24"/>
        </w:rPr>
        <w:t xml:space="preserve"> </w:t>
      </w:r>
      <w:proofErr w:type="spellStart"/>
      <w:r w:rsidRPr="00793C59">
        <w:rPr>
          <w:color w:val="000000"/>
          <w:szCs w:val="24"/>
        </w:rPr>
        <w:t>out</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most </w:t>
      </w:r>
      <w:proofErr w:type="spellStart"/>
      <w:r w:rsidRPr="00793C59">
        <w:rPr>
          <w:color w:val="000000"/>
          <w:szCs w:val="24"/>
        </w:rPr>
        <w:t>insured</w:t>
      </w:r>
      <w:proofErr w:type="spellEnd"/>
      <w:r w:rsidRPr="00793C59">
        <w:rPr>
          <w:color w:val="000000"/>
          <w:szCs w:val="24"/>
        </w:rPr>
        <w:t xml:space="preserve"> </w:t>
      </w:r>
      <w:proofErr w:type="spellStart"/>
      <w:r w:rsidRPr="00793C59">
        <w:rPr>
          <w:color w:val="000000"/>
          <w:szCs w:val="24"/>
        </w:rPr>
        <w:t>risks</w:t>
      </w:r>
      <w:proofErr w:type="spellEnd"/>
      <w:r w:rsidRPr="00793C59">
        <w:rPr>
          <w:color w:val="000000"/>
          <w:szCs w:val="24"/>
        </w:rPr>
        <w:t xml:space="preserve"> </w:t>
      </w:r>
      <w:proofErr w:type="spellStart"/>
      <w:r w:rsidRPr="00793C59">
        <w:rPr>
          <w:color w:val="000000"/>
          <w:szCs w:val="24"/>
        </w:rPr>
        <w:t>during</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whole</w:t>
      </w:r>
      <w:proofErr w:type="spellEnd"/>
      <w:r w:rsidRPr="00793C59">
        <w:rPr>
          <w:color w:val="000000"/>
          <w:szCs w:val="24"/>
        </w:rPr>
        <w:t xml:space="preserve"> </w:t>
      </w:r>
      <w:proofErr w:type="spellStart"/>
      <w:r w:rsidRPr="00793C59">
        <w:rPr>
          <w:color w:val="000000"/>
          <w:szCs w:val="24"/>
        </w:rPr>
        <w:t>lives</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clients</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product</w:t>
      </w:r>
      <w:proofErr w:type="spellEnd"/>
      <w:r w:rsidRPr="00793C59">
        <w:rPr>
          <w:color w:val="000000"/>
          <w:szCs w:val="24"/>
        </w:rPr>
        <w:t xml:space="preserve"> market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life</w:t>
      </w:r>
      <w:proofErr w:type="spellEnd"/>
      <w:r w:rsidRPr="00793C59">
        <w:rPr>
          <w:color w:val="000000"/>
          <w:szCs w:val="24"/>
        </w:rPr>
        <w:t xml:space="preserve"> </w:t>
      </w:r>
      <w:proofErr w:type="spellStart"/>
      <w:r w:rsidRPr="00793C59">
        <w:rPr>
          <w:color w:val="000000"/>
          <w:szCs w:val="24"/>
        </w:rPr>
        <w:t>insurance</w:t>
      </w:r>
      <w:proofErr w:type="spellEnd"/>
      <w:r w:rsidRPr="00793C59">
        <w:rPr>
          <w:color w:val="000000"/>
          <w:szCs w:val="24"/>
        </w:rPr>
        <w:t xml:space="preserve"> </w:t>
      </w:r>
      <w:proofErr w:type="spellStart"/>
      <w:r w:rsidRPr="00793C59">
        <w:rPr>
          <w:color w:val="000000"/>
          <w:szCs w:val="24"/>
        </w:rPr>
        <w:t>is</w:t>
      </w:r>
      <w:proofErr w:type="spellEnd"/>
      <w:r w:rsidRPr="00793C59">
        <w:rPr>
          <w:color w:val="000000"/>
          <w:szCs w:val="24"/>
        </w:rPr>
        <w:t xml:space="preserve"> </w:t>
      </w:r>
      <w:proofErr w:type="spellStart"/>
      <w:r w:rsidRPr="00793C59">
        <w:rPr>
          <w:color w:val="000000"/>
          <w:szCs w:val="24"/>
        </w:rPr>
        <w:t>influenced</w:t>
      </w:r>
      <w:proofErr w:type="spellEnd"/>
      <w:r w:rsidRPr="00793C59">
        <w:rPr>
          <w:color w:val="000000"/>
          <w:szCs w:val="24"/>
        </w:rPr>
        <w:t xml:space="preserve"> by </w:t>
      </w:r>
      <w:proofErr w:type="spellStart"/>
      <w:r w:rsidRPr="00793C59">
        <w:rPr>
          <w:color w:val="000000"/>
          <w:szCs w:val="24"/>
        </w:rPr>
        <w:t>following</w:t>
      </w:r>
      <w:proofErr w:type="spellEnd"/>
      <w:r w:rsidRPr="00793C59">
        <w:rPr>
          <w:color w:val="000000"/>
          <w:szCs w:val="24"/>
        </w:rPr>
        <w:t xml:space="preserve"> </w:t>
      </w:r>
      <w:proofErr w:type="spellStart"/>
      <w:r w:rsidRPr="00793C59">
        <w:rPr>
          <w:color w:val="000000"/>
          <w:szCs w:val="24"/>
        </w:rPr>
        <w:t>factors</w:t>
      </w:r>
      <w:proofErr w:type="spellEnd"/>
      <w:r w:rsidRPr="00793C59">
        <w:rPr>
          <w:color w:val="000000"/>
          <w:szCs w:val="24"/>
        </w:rPr>
        <w:t xml:space="preserve">: </w:t>
      </w:r>
      <w:proofErr w:type="spellStart"/>
      <w:r w:rsidRPr="00793C59">
        <w:rPr>
          <w:color w:val="000000"/>
          <w:szCs w:val="24"/>
        </w:rPr>
        <w:t>growing</w:t>
      </w:r>
      <w:proofErr w:type="spellEnd"/>
      <w:r w:rsidRPr="00793C59">
        <w:rPr>
          <w:color w:val="000000"/>
          <w:szCs w:val="24"/>
        </w:rPr>
        <w:t xml:space="preserve"> </w:t>
      </w:r>
      <w:proofErr w:type="spellStart"/>
      <w:r w:rsidRPr="00793C59">
        <w:rPr>
          <w:color w:val="000000"/>
          <w:szCs w:val="24"/>
        </w:rPr>
        <w:t>old</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the</w:t>
      </w:r>
      <w:proofErr w:type="spellEnd"/>
      <w:r w:rsidRPr="00793C59">
        <w:rPr>
          <w:color w:val="000000"/>
          <w:szCs w:val="24"/>
        </w:rPr>
        <w:t xml:space="preserve"> </w:t>
      </w:r>
      <w:proofErr w:type="spellStart"/>
      <w:r w:rsidRPr="00793C59">
        <w:rPr>
          <w:color w:val="000000"/>
          <w:szCs w:val="24"/>
        </w:rPr>
        <w:t>population</w:t>
      </w:r>
      <w:proofErr w:type="spellEnd"/>
      <w:r w:rsidRPr="00793C59">
        <w:rPr>
          <w:color w:val="000000"/>
          <w:szCs w:val="24"/>
        </w:rPr>
        <w:t xml:space="preserve">, </w:t>
      </w:r>
      <w:proofErr w:type="spellStart"/>
      <w:r w:rsidRPr="00793C59">
        <w:rPr>
          <w:color w:val="000000"/>
          <w:szCs w:val="24"/>
        </w:rPr>
        <w:t>lifestyle</w:t>
      </w:r>
      <w:proofErr w:type="spellEnd"/>
      <w:r w:rsidRPr="00793C59">
        <w:rPr>
          <w:color w:val="000000"/>
          <w:szCs w:val="24"/>
        </w:rPr>
        <w:t xml:space="preserve"> </w:t>
      </w:r>
      <w:proofErr w:type="spellStart"/>
      <w:r w:rsidRPr="00793C59">
        <w:rPr>
          <w:color w:val="000000"/>
          <w:szCs w:val="24"/>
        </w:rPr>
        <w:t>change</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young</w:t>
      </w:r>
      <w:proofErr w:type="spellEnd"/>
      <w:r w:rsidRPr="00793C59">
        <w:rPr>
          <w:color w:val="000000"/>
          <w:szCs w:val="24"/>
        </w:rPr>
        <w:t xml:space="preserve"> </w:t>
      </w:r>
      <w:proofErr w:type="spellStart"/>
      <w:r w:rsidRPr="00793C59">
        <w:rPr>
          <w:color w:val="000000"/>
          <w:szCs w:val="24"/>
        </w:rPr>
        <w:t>people</w:t>
      </w:r>
      <w:proofErr w:type="spellEnd"/>
      <w:r w:rsidRPr="00793C59">
        <w:rPr>
          <w:color w:val="000000"/>
          <w:szCs w:val="24"/>
        </w:rPr>
        <w:t xml:space="preserve">, </w:t>
      </w:r>
      <w:proofErr w:type="spellStart"/>
      <w:r w:rsidRPr="00793C59">
        <w:rPr>
          <w:color w:val="000000"/>
          <w:szCs w:val="24"/>
        </w:rPr>
        <w:t>prepared</w:t>
      </w:r>
      <w:proofErr w:type="spellEnd"/>
      <w:r w:rsidRPr="00793C59">
        <w:rPr>
          <w:color w:val="000000"/>
          <w:szCs w:val="24"/>
        </w:rPr>
        <w:t xml:space="preserve"> </w:t>
      </w:r>
      <w:proofErr w:type="spellStart"/>
      <w:r w:rsidRPr="00793C59">
        <w:rPr>
          <w:color w:val="000000"/>
          <w:szCs w:val="24"/>
        </w:rPr>
        <w:t>social</w:t>
      </w:r>
      <w:proofErr w:type="spellEnd"/>
      <w:r w:rsidRPr="00793C59">
        <w:rPr>
          <w:color w:val="000000"/>
          <w:szCs w:val="24"/>
        </w:rPr>
        <w:t xml:space="preserve"> </w:t>
      </w:r>
      <w:proofErr w:type="spellStart"/>
      <w:r w:rsidRPr="00793C59">
        <w:rPr>
          <w:color w:val="000000"/>
          <w:szCs w:val="24"/>
        </w:rPr>
        <w:t>reforms</w:t>
      </w:r>
      <w:proofErr w:type="spellEnd"/>
      <w:r w:rsidRPr="00793C59">
        <w:rPr>
          <w:color w:val="000000"/>
          <w:szCs w:val="24"/>
        </w:rPr>
        <w:t xml:space="preserve"> by </w:t>
      </w:r>
      <w:proofErr w:type="spellStart"/>
      <w:r w:rsidRPr="00793C59">
        <w:rPr>
          <w:color w:val="000000"/>
          <w:szCs w:val="24"/>
        </w:rPr>
        <w:t>our</w:t>
      </w:r>
      <w:proofErr w:type="spellEnd"/>
      <w:r w:rsidRPr="00793C59">
        <w:rPr>
          <w:color w:val="000000"/>
          <w:szCs w:val="24"/>
        </w:rPr>
        <w:t xml:space="preserve"> </w:t>
      </w:r>
      <w:proofErr w:type="spellStart"/>
      <w:r w:rsidRPr="00793C59">
        <w:rPr>
          <w:color w:val="000000"/>
          <w:szCs w:val="24"/>
        </w:rPr>
        <w:t>government</w:t>
      </w:r>
      <w:proofErr w:type="spellEnd"/>
      <w:r w:rsidRPr="00793C59">
        <w:rPr>
          <w:color w:val="000000"/>
          <w:szCs w:val="24"/>
        </w:rPr>
        <w:t xml:space="preserve">, </w:t>
      </w:r>
      <w:proofErr w:type="spellStart"/>
      <w:r w:rsidRPr="00793C59">
        <w:rPr>
          <w:color w:val="000000"/>
          <w:szCs w:val="24"/>
        </w:rPr>
        <w:t>that’s</w:t>
      </w:r>
      <w:proofErr w:type="spellEnd"/>
      <w:r w:rsidRPr="00793C59">
        <w:rPr>
          <w:color w:val="000000"/>
          <w:szCs w:val="24"/>
        </w:rPr>
        <w:t xml:space="preserve"> </w:t>
      </w:r>
      <w:proofErr w:type="spellStart"/>
      <w:r w:rsidRPr="00793C59">
        <w:rPr>
          <w:color w:val="000000"/>
          <w:szCs w:val="24"/>
        </w:rPr>
        <w:t>why</w:t>
      </w:r>
      <w:proofErr w:type="spellEnd"/>
      <w:r w:rsidRPr="00793C59">
        <w:rPr>
          <w:color w:val="000000"/>
          <w:szCs w:val="24"/>
        </w:rPr>
        <w:t xml:space="preserve"> </w:t>
      </w:r>
      <w:proofErr w:type="spellStart"/>
      <w:r w:rsidRPr="00793C59">
        <w:rPr>
          <w:color w:val="000000"/>
          <w:szCs w:val="24"/>
        </w:rPr>
        <w:t>young</w:t>
      </w:r>
      <w:proofErr w:type="spellEnd"/>
      <w:r w:rsidRPr="00793C59">
        <w:rPr>
          <w:color w:val="000000"/>
          <w:szCs w:val="24"/>
        </w:rPr>
        <w:t xml:space="preserve"> </w:t>
      </w:r>
      <w:proofErr w:type="spellStart"/>
      <w:r w:rsidRPr="00793C59">
        <w:rPr>
          <w:color w:val="000000"/>
          <w:szCs w:val="24"/>
        </w:rPr>
        <w:t>people</w:t>
      </w:r>
      <w:proofErr w:type="spellEnd"/>
      <w:r w:rsidRPr="00793C59">
        <w:rPr>
          <w:color w:val="000000"/>
          <w:szCs w:val="24"/>
        </w:rPr>
        <w:t xml:space="preserve"> </w:t>
      </w:r>
      <w:proofErr w:type="spellStart"/>
      <w:r w:rsidRPr="00793C59">
        <w:rPr>
          <w:color w:val="000000"/>
          <w:szCs w:val="24"/>
        </w:rPr>
        <w:t>tend</w:t>
      </w:r>
      <w:proofErr w:type="spellEnd"/>
      <w:r w:rsidRPr="00793C59">
        <w:rPr>
          <w:color w:val="000000"/>
          <w:szCs w:val="24"/>
        </w:rPr>
        <w:t xml:space="preserve"> to </w:t>
      </w:r>
      <w:proofErr w:type="spellStart"/>
      <w:r w:rsidRPr="00793C59">
        <w:rPr>
          <w:color w:val="000000"/>
          <w:szCs w:val="24"/>
        </w:rPr>
        <w:t>ensure</w:t>
      </w:r>
      <w:proofErr w:type="spellEnd"/>
      <w:r w:rsidRPr="00793C59">
        <w:rPr>
          <w:color w:val="000000"/>
          <w:szCs w:val="24"/>
        </w:rPr>
        <w:t xml:space="preserve"> a </w:t>
      </w:r>
      <w:proofErr w:type="spellStart"/>
      <w:r w:rsidRPr="00793C59">
        <w:rPr>
          <w:color w:val="000000"/>
          <w:szCs w:val="24"/>
        </w:rPr>
        <w:t>concrete</w:t>
      </w:r>
      <w:proofErr w:type="spellEnd"/>
      <w:r w:rsidRPr="00793C59">
        <w:rPr>
          <w:color w:val="000000"/>
          <w:szCs w:val="24"/>
        </w:rPr>
        <w:t xml:space="preserve"> </w:t>
      </w:r>
      <w:proofErr w:type="spellStart"/>
      <w:r w:rsidRPr="00793C59">
        <w:rPr>
          <w:color w:val="000000"/>
          <w:szCs w:val="24"/>
        </w:rPr>
        <w:t>possible</w:t>
      </w:r>
      <w:proofErr w:type="spellEnd"/>
      <w:r w:rsidRPr="00793C59">
        <w:rPr>
          <w:color w:val="000000"/>
          <w:szCs w:val="24"/>
        </w:rPr>
        <w:t xml:space="preserve"> </w:t>
      </w:r>
      <w:proofErr w:type="spellStart"/>
      <w:r w:rsidRPr="00793C59">
        <w:rPr>
          <w:color w:val="000000"/>
          <w:szCs w:val="24"/>
        </w:rPr>
        <w:t>amount</w:t>
      </w:r>
      <w:proofErr w:type="spellEnd"/>
      <w:r w:rsidRPr="00793C59">
        <w:rPr>
          <w:color w:val="000000"/>
          <w:szCs w:val="24"/>
        </w:rPr>
        <w:t xml:space="preserve"> </w:t>
      </w:r>
      <w:proofErr w:type="spellStart"/>
      <w:r w:rsidRPr="00793C59">
        <w:rPr>
          <w:color w:val="000000"/>
          <w:szCs w:val="24"/>
        </w:rPr>
        <w:t>of</w:t>
      </w:r>
      <w:proofErr w:type="spellEnd"/>
      <w:r w:rsidRPr="00793C59">
        <w:rPr>
          <w:color w:val="000000"/>
          <w:szCs w:val="24"/>
        </w:rPr>
        <w:t xml:space="preserve"> </w:t>
      </w:r>
      <w:proofErr w:type="spellStart"/>
      <w:r w:rsidRPr="00793C59">
        <w:rPr>
          <w:color w:val="000000"/>
          <w:szCs w:val="24"/>
        </w:rPr>
        <w:t>financial</w:t>
      </w:r>
      <w:proofErr w:type="spellEnd"/>
      <w:r w:rsidRPr="00793C59">
        <w:rPr>
          <w:color w:val="000000"/>
          <w:szCs w:val="24"/>
        </w:rPr>
        <w:t xml:space="preserve"> </w:t>
      </w:r>
      <w:proofErr w:type="spellStart"/>
      <w:r w:rsidRPr="00793C59">
        <w:rPr>
          <w:color w:val="000000"/>
          <w:szCs w:val="24"/>
        </w:rPr>
        <w:t>funds</w:t>
      </w:r>
      <w:proofErr w:type="spellEnd"/>
      <w:r w:rsidRPr="00793C59">
        <w:rPr>
          <w:color w:val="000000"/>
          <w:szCs w:val="24"/>
        </w:rPr>
        <w:t xml:space="preserve"> </w:t>
      </w:r>
      <w:proofErr w:type="spellStart"/>
      <w:r w:rsidRPr="00793C59">
        <w:rPr>
          <w:color w:val="000000"/>
          <w:szCs w:val="24"/>
        </w:rPr>
        <w:t>and</w:t>
      </w:r>
      <w:proofErr w:type="spellEnd"/>
      <w:r w:rsidRPr="00793C59">
        <w:rPr>
          <w:color w:val="000000"/>
          <w:szCs w:val="24"/>
        </w:rPr>
        <w:t xml:space="preserve"> </w:t>
      </w:r>
      <w:proofErr w:type="spellStart"/>
      <w:r w:rsidRPr="00793C59">
        <w:rPr>
          <w:color w:val="000000"/>
          <w:szCs w:val="24"/>
        </w:rPr>
        <w:t>resources</w:t>
      </w:r>
      <w:proofErr w:type="spellEnd"/>
      <w:r w:rsidRPr="00793C59">
        <w:rPr>
          <w:color w:val="000000"/>
          <w:szCs w:val="24"/>
        </w:rPr>
        <w:t xml:space="preserve"> </w:t>
      </w:r>
      <w:proofErr w:type="spellStart"/>
      <w:r w:rsidRPr="00793C59">
        <w:rPr>
          <w:color w:val="000000"/>
          <w:szCs w:val="24"/>
        </w:rPr>
        <w:t>for</w:t>
      </w:r>
      <w:proofErr w:type="spellEnd"/>
      <w:r w:rsidRPr="00793C59">
        <w:rPr>
          <w:color w:val="000000"/>
          <w:szCs w:val="24"/>
        </w:rPr>
        <w:t xml:space="preserve"> </w:t>
      </w:r>
      <w:proofErr w:type="spellStart"/>
      <w:r w:rsidRPr="00793C59">
        <w:rPr>
          <w:color w:val="000000"/>
          <w:szCs w:val="24"/>
        </w:rPr>
        <w:t>their</w:t>
      </w:r>
      <w:proofErr w:type="spellEnd"/>
      <w:r w:rsidRPr="00793C59">
        <w:rPr>
          <w:color w:val="000000"/>
          <w:szCs w:val="24"/>
        </w:rPr>
        <w:t xml:space="preserve"> pension. </w:t>
      </w:r>
    </w:p>
    <w:p w:rsidR="00E86E13" w:rsidRPr="00D8087C" w:rsidRDefault="00E86E13" w:rsidP="00EF42E4">
      <w:pPr>
        <w:pStyle w:val="AbstractSummary-nadpis"/>
        <w:spacing w:before="120" w:after="0"/>
      </w:pPr>
      <w:r w:rsidRPr="00D8087C">
        <w:lastRenderedPageBreak/>
        <w:t>Klíčová slova:</w:t>
      </w:r>
    </w:p>
    <w:p w:rsidR="00234347" w:rsidRPr="00A7096A" w:rsidRDefault="00A7096A" w:rsidP="00C91C02">
      <w:pPr>
        <w:pStyle w:val="AbstractSummary-nadpis"/>
        <w:rPr>
          <w:b w:val="0"/>
        </w:rPr>
      </w:pPr>
      <w:r>
        <w:rPr>
          <w:b w:val="0"/>
        </w:rPr>
        <w:t xml:space="preserve">Životní pojištění, </w:t>
      </w:r>
      <w:r w:rsidR="00D24B82">
        <w:rPr>
          <w:b w:val="0"/>
        </w:rPr>
        <w:t xml:space="preserve">úrazové pojištění, </w:t>
      </w:r>
      <w:r>
        <w:rPr>
          <w:b w:val="0"/>
        </w:rPr>
        <w:t>analýza potřeb klientů, pojistná rizika</w:t>
      </w:r>
    </w:p>
    <w:p w:rsidR="00C91C02" w:rsidRPr="00D8087C" w:rsidRDefault="00C91C02" w:rsidP="00EF42E4">
      <w:pPr>
        <w:pStyle w:val="AbstractSummary-nadpis"/>
        <w:spacing w:before="120" w:after="0"/>
      </w:pPr>
      <w:proofErr w:type="spellStart"/>
      <w:r w:rsidRPr="00D8087C">
        <w:t>Keywords</w:t>
      </w:r>
      <w:proofErr w:type="spellEnd"/>
      <w:r w:rsidRPr="00D8087C">
        <w:t>:</w:t>
      </w:r>
    </w:p>
    <w:p w:rsidR="00234347" w:rsidRDefault="00A7096A" w:rsidP="00C91C02">
      <w:pPr>
        <w:pStyle w:val="AbstractSummary-text"/>
        <w:rPr>
          <w:lang w:val="cs-CZ"/>
        </w:rPr>
      </w:pPr>
      <w:proofErr w:type="spellStart"/>
      <w:r>
        <w:rPr>
          <w:lang w:val="cs-CZ"/>
        </w:rPr>
        <w:t>Life</w:t>
      </w:r>
      <w:proofErr w:type="spellEnd"/>
      <w:r>
        <w:rPr>
          <w:lang w:val="cs-CZ"/>
        </w:rPr>
        <w:t xml:space="preserve"> </w:t>
      </w:r>
      <w:proofErr w:type="spellStart"/>
      <w:r>
        <w:rPr>
          <w:lang w:val="cs-CZ"/>
        </w:rPr>
        <w:t>insurance</w:t>
      </w:r>
      <w:proofErr w:type="spellEnd"/>
      <w:r>
        <w:rPr>
          <w:lang w:val="cs-CZ"/>
        </w:rPr>
        <w:t xml:space="preserve">, </w:t>
      </w:r>
      <w:proofErr w:type="spellStart"/>
      <w:r w:rsidR="00D24B82">
        <w:rPr>
          <w:lang w:val="cs-CZ"/>
        </w:rPr>
        <w:t>accident</w:t>
      </w:r>
      <w:proofErr w:type="spellEnd"/>
      <w:r w:rsidR="00D24B82">
        <w:rPr>
          <w:lang w:val="cs-CZ"/>
        </w:rPr>
        <w:t xml:space="preserve"> </w:t>
      </w:r>
      <w:proofErr w:type="spellStart"/>
      <w:r w:rsidR="00D24B82">
        <w:rPr>
          <w:lang w:val="cs-CZ"/>
        </w:rPr>
        <w:t>insurance</w:t>
      </w:r>
      <w:proofErr w:type="spellEnd"/>
      <w:r w:rsidR="00D24B82">
        <w:rPr>
          <w:lang w:val="cs-CZ"/>
        </w:rPr>
        <w:t xml:space="preserve">, </w:t>
      </w:r>
      <w:proofErr w:type="spellStart"/>
      <w:r w:rsidR="002364FE">
        <w:rPr>
          <w:lang w:val="cs-CZ"/>
        </w:rPr>
        <w:t>analysis</w:t>
      </w:r>
      <w:proofErr w:type="spellEnd"/>
      <w:r w:rsidR="002364FE">
        <w:rPr>
          <w:lang w:val="cs-CZ"/>
        </w:rPr>
        <w:t xml:space="preserve"> </w:t>
      </w:r>
      <w:proofErr w:type="spellStart"/>
      <w:r w:rsidR="002364FE">
        <w:rPr>
          <w:lang w:val="cs-CZ"/>
        </w:rPr>
        <w:t>of</w:t>
      </w:r>
      <w:proofErr w:type="spellEnd"/>
      <w:r w:rsidR="002364FE">
        <w:rPr>
          <w:lang w:val="cs-CZ"/>
        </w:rPr>
        <w:t xml:space="preserve"> </w:t>
      </w:r>
      <w:proofErr w:type="spellStart"/>
      <w:r w:rsidR="002364FE">
        <w:rPr>
          <w:lang w:val="cs-CZ"/>
        </w:rPr>
        <w:t>client</w:t>
      </w:r>
      <w:proofErr w:type="spellEnd"/>
      <w:r w:rsidR="002364FE">
        <w:rPr>
          <w:lang w:val="cs-CZ"/>
        </w:rPr>
        <w:t xml:space="preserve"> </w:t>
      </w:r>
      <w:proofErr w:type="spellStart"/>
      <w:r w:rsidR="002364FE">
        <w:rPr>
          <w:lang w:val="cs-CZ"/>
        </w:rPr>
        <w:t>n</w:t>
      </w:r>
      <w:r>
        <w:rPr>
          <w:lang w:val="cs-CZ"/>
        </w:rPr>
        <w:t>eeds</w:t>
      </w:r>
      <w:proofErr w:type="spellEnd"/>
      <w:r>
        <w:rPr>
          <w:lang w:val="cs-CZ"/>
        </w:rPr>
        <w:t xml:space="preserve">, </w:t>
      </w:r>
      <w:proofErr w:type="spellStart"/>
      <w:r>
        <w:rPr>
          <w:lang w:val="cs-CZ"/>
        </w:rPr>
        <w:t>insurance</w:t>
      </w:r>
      <w:proofErr w:type="spellEnd"/>
      <w:r>
        <w:rPr>
          <w:lang w:val="cs-CZ"/>
        </w:rPr>
        <w:t xml:space="preserve"> </w:t>
      </w:r>
      <w:proofErr w:type="spellStart"/>
      <w:r>
        <w:rPr>
          <w:lang w:val="cs-CZ"/>
        </w:rPr>
        <w:t>risks</w:t>
      </w:r>
      <w:proofErr w:type="spellEnd"/>
    </w:p>
    <w:p w:rsidR="00B11637" w:rsidRPr="00BD7149" w:rsidRDefault="00B11637" w:rsidP="00C91C02">
      <w:pPr>
        <w:pStyle w:val="AbstractSummary-text"/>
        <w:rPr>
          <w:lang w:val="cs-CZ"/>
        </w:rPr>
      </w:pPr>
    </w:p>
    <w:p w:rsidR="00BD7149" w:rsidRPr="002C2B4F" w:rsidRDefault="00BD7149" w:rsidP="00EF42E4">
      <w:pPr>
        <w:pStyle w:val="AbstractSummary-nadpis"/>
        <w:spacing w:before="120" w:after="0"/>
      </w:pPr>
      <w:r w:rsidRPr="002C2B4F">
        <w:t xml:space="preserve">JEL </w:t>
      </w:r>
      <w:proofErr w:type="spellStart"/>
      <w:r w:rsidR="00ED6E3B" w:rsidRPr="002C2B4F">
        <w:t>C</w:t>
      </w:r>
      <w:r w:rsidRPr="002C2B4F">
        <w:t>lassification</w:t>
      </w:r>
      <w:proofErr w:type="spellEnd"/>
      <w:r w:rsidRPr="002C2B4F">
        <w:t>:</w:t>
      </w:r>
    </w:p>
    <w:p w:rsidR="00C91C02" w:rsidRPr="00BD7149" w:rsidRDefault="002C2B4F" w:rsidP="002C2B4F">
      <w:pPr>
        <w:pStyle w:val="AbstractSummary-text"/>
        <w:jc w:val="left"/>
        <w:rPr>
          <w:lang w:val="cs-CZ"/>
        </w:rPr>
      </w:pPr>
      <w:r w:rsidRPr="002C2B4F">
        <w:rPr>
          <w:lang w:val="cs-CZ"/>
        </w:rPr>
        <w:t xml:space="preserve">G22 - </w:t>
      </w:r>
      <w:proofErr w:type="spellStart"/>
      <w:r w:rsidRPr="002C2B4F">
        <w:rPr>
          <w:lang w:val="cs-CZ"/>
        </w:rPr>
        <w:t>Insurance</w:t>
      </w:r>
      <w:proofErr w:type="spellEnd"/>
      <w:r w:rsidRPr="002C2B4F">
        <w:rPr>
          <w:lang w:val="cs-CZ"/>
        </w:rPr>
        <w:t xml:space="preserve">; </w:t>
      </w:r>
      <w:proofErr w:type="spellStart"/>
      <w:r w:rsidRPr="002C2B4F">
        <w:rPr>
          <w:lang w:val="cs-CZ"/>
        </w:rPr>
        <w:t>Insurance</w:t>
      </w:r>
      <w:proofErr w:type="spellEnd"/>
      <w:r w:rsidRPr="002C2B4F">
        <w:rPr>
          <w:lang w:val="cs-CZ"/>
        </w:rPr>
        <w:t xml:space="preserve"> </w:t>
      </w:r>
      <w:proofErr w:type="spellStart"/>
      <w:r w:rsidRPr="002C2B4F">
        <w:rPr>
          <w:lang w:val="cs-CZ"/>
        </w:rPr>
        <w:t>companies</w:t>
      </w:r>
      <w:proofErr w:type="spellEnd"/>
      <w:r>
        <w:rPr>
          <w:lang w:val="cs-CZ"/>
        </w:rPr>
        <w:br/>
      </w:r>
      <w:r w:rsidRPr="002C2B4F">
        <w:rPr>
          <w:lang w:val="cs-CZ"/>
        </w:rPr>
        <w:t xml:space="preserve">A10 - </w:t>
      </w:r>
      <w:proofErr w:type="spellStart"/>
      <w:r w:rsidRPr="002C2B4F">
        <w:rPr>
          <w:lang w:val="cs-CZ"/>
        </w:rPr>
        <w:t>General</w:t>
      </w:r>
      <w:proofErr w:type="spellEnd"/>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rsidP="00C91C02">
      <w:pPr>
        <w:spacing w:after="0"/>
        <w:jc w:val="left"/>
        <w:rPr>
          <w:b/>
          <w:bCs/>
          <w:sz w:val="26"/>
          <w:szCs w:val="40"/>
        </w:rPr>
      </w:pPr>
    </w:p>
    <w:p w:rsidR="00C91C02" w:rsidRDefault="00C91C02">
      <w:pPr>
        <w:spacing w:after="0" w:line="240" w:lineRule="auto"/>
        <w:jc w:val="left"/>
        <w:rPr>
          <w:rFonts w:ascii="Verdana" w:hAnsi="Verdana"/>
          <w:b/>
          <w:sz w:val="32"/>
          <w:szCs w:val="32"/>
        </w:rPr>
      </w:pPr>
    </w:p>
    <w:p w:rsidR="00EF42E4" w:rsidRDefault="00EF42E4">
      <w:pPr>
        <w:spacing w:after="0" w:line="240" w:lineRule="auto"/>
        <w:jc w:val="left"/>
        <w:rPr>
          <w:b/>
          <w:sz w:val="32"/>
          <w:szCs w:val="32"/>
        </w:rPr>
      </w:pPr>
      <w:r>
        <w:rPr>
          <w:b/>
          <w:sz w:val="32"/>
          <w:szCs w:val="32"/>
        </w:rPr>
        <w:br w:type="page"/>
      </w:r>
    </w:p>
    <w:p w:rsidR="00793AB3" w:rsidRPr="00793AB3" w:rsidRDefault="00793AB3" w:rsidP="004F736F">
      <w:pPr>
        <w:jc w:val="left"/>
        <w:rPr>
          <w:sz w:val="32"/>
          <w:szCs w:val="32"/>
        </w:rPr>
      </w:pPr>
      <w:r w:rsidRPr="00793AB3">
        <w:rPr>
          <w:b/>
          <w:sz w:val="32"/>
          <w:szCs w:val="32"/>
        </w:rPr>
        <w:lastRenderedPageBreak/>
        <w:t>Obsah</w:t>
      </w:r>
    </w:p>
    <w:p w:rsidR="006B4457" w:rsidRDefault="00F95F06">
      <w:pPr>
        <w:pStyle w:val="Obsah1"/>
        <w:rPr>
          <w:rFonts w:asciiTheme="minorHAnsi" w:eastAsiaTheme="minorEastAsia" w:hAnsiTheme="minorHAnsi" w:cstheme="minorBidi"/>
          <w:noProof/>
          <w:sz w:val="22"/>
          <w:lang w:eastAsia="cs-CZ"/>
        </w:rPr>
      </w:pPr>
      <w:r w:rsidRPr="00F95F06">
        <w:fldChar w:fldCharType="begin"/>
      </w:r>
      <w:r w:rsidR="00793AB3">
        <w:instrText xml:space="preserve"> TOC \o "1-3" \h \z \u </w:instrText>
      </w:r>
      <w:r w:rsidRPr="00F95F06">
        <w:fldChar w:fldCharType="separate"/>
      </w:r>
      <w:hyperlink w:anchor="_Toc309717568" w:history="1">
        <w:r w:rsidR="006B4457" w:rsidRPr="00690A60">
          <w:rPr>
            <w:rStyle w:val="Hypertextovodkaz"/>
            <w:noProof/>
          </w:rPr>
          <w:t>1</w:t>
        </w:r>
        <w:r w:rsidR="006B4457">
          <w:rPr>
            <w:rFonts w:asciiTheme="minorHAnsi" w:eastAsiaTheme="minorEastAsia" w:hAnsiTheme="minorHAnsi" w:cstheme="minorBidi"/>
            <w:noProof/>
            <w:sz w:val="22"/>
            <w:lang w:eastAsia="cs-CZ"/>
          </w:rPr>
          <w:tab/>
        </w:r>
        <w:r w:rsidR="006B4457" w:rsidRPr="00690A60">
          <w:rPr>
            <w:rStyle w:val="Hypertextovodkaz"/>
            <w:noProof/>
          </w:rPr>
          <w:t>Úvod</w:t>
        </w:r>
        <w:r w:rsidR="006B4457">
          <w:rPr>
            <w:noProof/>
            <w:webHidden/>
          </w:rPr>
          <w:tab/>
        </w:r>
        <w:r>
          <w:rPr>
            <w:noProof/>
            <w:webHidden/>
          </w:rPr>
          <w:fldChar w:fldCharType="begin"/>
        </w:r>
        <w:r w:rsidR="006B4457">
          <w:rPr>
            <w:noProof/>
            <w:webHidden/>
          </w:rPr>
          <w:instrText xml:space="preserve"> PAGEREF _Toc309717568 \h </w:instrText>
        </w:r>
        <w:r>
          <w:rPr>
            <w:noProof/>
            <w:webHidden/>
          </w:rPr>
        </w:r>
        <w:r>
          <w:rPr>
            <w:noProof/>
            <w:webHidden/>
          </w:rPr>
          <w:fldChar w:fldCharType="separate"/>
        </w:r>
        <w:r w:rsidR="006B4457">
          <w:rPr>
            <w:noProof/>
            <w:webHidden/>
          </w:rPr>
          <w:t>1</w:t>
        </w:r>
        <w:r>
          <w:rPr>
            <w:noProof/>
            <w:webHidden/>
          </w:rPr>
          <w:fldChar w:fldCharType="end"/>
        </w:r>
      </w:hyperlink>
    </w:p>
    <w:p w:rsidR="006B4457" w:rsidRDefault="00F95F06">
      <w:pPr>
        <w:pStyle w:val="Obsah1"/>
        <w:rPr>
          <w:rFonts w:asciiTheme="minorHAnsi" w:eastAsiaTheme="minorEastAsia" w:hAnsiTheme="minorHAnsi" w:cstheme="minorBidi"/>
          <w:noProof/>
          <w:sz w:val="22"/>
          <w:lang w:eastAsia="cs-CZ"/>
        </w:rPr>
      </w:pPr>
      <w:hyperlink w:anchor="_Toc309717569" w:history="1">
        <w:r w:rsidR="006B4457" w:rsidRPr="00690A60">
          <w:rPr>
            <w:rStyle w:val="Hypertextovodkaz"/>
            <w:noProof/>
          </w:rPr>
          <w:t>2</w:t>
        </w:r>
        <w:r w:rsidR="006B4457">
          <w:rPr>
            <w:rFonts w:asciiTheme="minorHAnsi" w:eastAsiaTheme="minorEastAsia" w:hAnsiTheme="minorHAnsi" w:cstheme="minorBidi"/>
            <w:noProof/>
            <w:sz w:val="22"/>
            <w:lang w:eastAsia="cs-CZ"/>
          </w:rPr>
          <w:tab/>
        </w:r>
        <w:r w:rsidR="006B4457" w:rsidRPr="00690A60">
          <w:rPr>
            <w:rStyle w:val="Hypertextovodkaz"/>
            <w:noProof/>
          </w:rPr>
          <w:t>Teoreticko-metodologická část práce</w:t>
        </w:r>
        <w:r w:rsidR="006B4457">
          <w:rPr>
            <w:noProof/>
            <w:webHidden/>
          </w:rPr>
          <w:tab/>
        </w:r>
        <w:r>
          <w:rPr>
            <w:noProof/>
            <w:webHidden/>
          </w:rPr>
          <w:fldChar w:fldCharType="begin"/>
        </w:r>
        <w:r w:rsidR="006B4457">
          <w:rPr>
            <w:noProof/>
            <w:webHidden/>
          </w:rPr>
          <w:instrText xml:space="preserve"> PAGEREF _Toc309717569 \h </w:instrText>
        </w:r>
        <w:r>
          <w:rPr>
            <w:noProof/>
            <w:webHidden/>
          </w:rPr>
        </w:r>
        <w:r>
          <w:rPr>
            <w:noProof/>
            <w:webHidden/>
          </w:rPr>
          <w:fldChar w:fldCharType="separate"/>
        </w:r>
        <w:r w:rsidR="006B4457">
          <w:rPr>
            <w:noProof/>
            <w:webHidden/>
          </w:rPr>
          <w:t>3</w:t>
        </w:r>
        <w:r>
          <w:rPr>
            <w:noProof/>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70" w:history="1">
        <w:r w:rsidR="006B4457" w:rsidRPr="00690A60">
          <w:rPr>
            <w:rStyle w:val="Hypertextovodkaz"/>
          </w:rPr>
          <w:t>2.1</w:t>
        </w:r>
        <w:r w:rsidR="006B4457">
          <w:rPr>
            <w:rFonts w:asciiTheme="minorHAnsi" w:eastAsiaTheme="minorEastAsia" w:hAnsiTheme="minorHAnsi" w:cstheme="minorBidi"/>
            <w:lang w:eastAsia="cs-CZ"/>
          </w:rPr>
          <w:tab/>
        </w:r>
        <w:r w:rsidR="006B4457" w:rsidRPr="00690A60">
          <w:rPr>
            <w:rStyle w:val="Hypertextovodkaz"/>
          </w:rPr>
          <w:t>Terminologie</w:t>
        </w:r>
        <w:r w:rsidR="006B4457">
          <w:rPr>
            <w:webHidden/>
          </w:rPr>
          <w:tab/>
        </w:r>
        <w:r>
          <w:rPr>
            <w:webHidden/>
          </w:rPr>
          <w:fldChar w:fldCharType="begin"/>
        </w:r>
        <w:r w:rsidR="006B4457">
          <w:rPr>
            <w:webHidden/>
          </w:rPr>
          <w:instrText xml:space="preserve"> PAGEREF _Toc309717570 \h </w:instrText>
        </w:r>
        <w:r>
          <w:rPr>
            <w:webHidden/>
          </w:rPr>
        </w:r>
        <w:r>
          <w:rPr>
            <w:webHidden/>
          </w:rPr>
          <w:fldChar w:fldCharType="separate"/>
        </w:r>
        <w:r w:rsidR="006B4457">
          <w:rPr>
            <w:webHidden/>
          </w:rPr>
          <w:t>3</w:t>
        </w:r>
        <w:r>
          <w:rPr>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1" w:history="1">
        <w:r w:rsidR="006B4457" w:rsidRPr="00690A60">
          <w:rPr>
            <w:rStyle w:val="Hypertextovodkaz"/>
            <w:noProof/>
          </w:rPr>
          <w:t>2.1.1</w:t>
        </w:r>
        <w:r w:rsidR="006B4457">
          <w:rPr>
            <w:rFonts w:asciiTheme="minorHAnsi" w:eastAsiaTheme="minorEastAsia" w:hAnsiTheme="minorHAnsi" w:cstheme="minorBidi"/>
            <w:noProof/>
            <w:lang w:eastAsia="cs-CZ"/>
          </w:rPr>
          <w:tab/>
        </w:r>
        <w:r w:rsidR="006B4457" w:rsidRPr="00690A60">
          <w:rPr>
            <w:rStyle w:val="Hypertextovodkaz"/>
            <w:noProof/>
          </w:rPr>
          <w:t>Pojistná částka</w:t>
        </w:r>
        <w:r w:rsidR="006B4457">
          <w:rPr>
            <w:noProof/>
            <w:webHidden/>
          </w:rPr>
          <w:tab/>
        </w:r>
        <w:r>
          <w:rPr>
            <w:noProof/>
            <w:webHidden/>
          </w:rPr>
          <w:fldChar w:fldCharType="begin"/>
        </w:r>
        <w:r w:rsidR="006B4457">
          <w:rPr>
            <w:noProof/>
            <w:webHidden/>
          </w:rPr>
          <w:instrText xml:space="preserve"> PAGEREF _Toc309717571 \h </w:instrText>
        </w:r>
        <w:r>
          <w:rPr>
            <w:noProof/>
            <w:webHidden/>
          </w:rPr>
        </w:r>
        <w:r>
          <w:rPr>
            <w:noProof/>
            <w:webHidden/>
          </w:rPr>
          <w:fldChar w:fldCharType="separate"/>
        </w:r>
        <w:r w:rsidR="006B4457">
          <w:rPr>
            <w:noProof/>
            <w:webHidden/>
          </w:rPr>
          <w:t>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2" w:history="1">
        <w:r w:rsidR="006B4457" w:rsidRPr="00690A60">
          <w:rPr>
            <w:rStyle w:val="Hypertextovodkaz"/>
            <w:noProof/>
          </w:rPr>
          <w:t>2.1.2</w:t>
        </w:r>
        <w:r w:rsidR="006B4457">
          <w:rPr>
            <w:rFonts w:asciiTheme="minorHAnsi" w:eastAsiaTheme="minorEastAsia" w:hAnsiTheme="minorHAnsi" w:cstheme="minorBidi"/>
            <w:noProof/>
            <w:lang w:eastAsia="cs-CZ"/>
          </w:rPr>
          <w:tab/>
        </w:r>
        <w:r w:rsidR="006B4457" w:rsidRPr="00690A60">
          <w:rPr>
            <w:rStyle w:val="Hypertextovodkaz"/>
            <w:noProof/>
          </w:rPr>
          <w:t>Pojistná událost</w:t>
        </w:r>
        <w:r w:rsidR="006B4457">
          <w:rPr>
            <w:noProof/>
            <w:webHidden/>
          </w:rPr>
          <w:tab/>
        </w:r>
        <w:r>
          <w:rPr>
            <w:noProof/>
            <w:webHidden/>
          </w:rPr>
          <w:fldChar w:fldCharType="begin"/>
        </w:r>
        <w:r w:rsidR="006B4457">
          <w:rPr>
            <w:noProof/>
            <w:webHidden/>
          </w:rPr>
          <w:instrText xml:space="preserve"> PAGEREF _Toc309717572 \h </w:instrText>
        </w:r>
        <w:r>
          <w:rPr>
            <w:noProof/>
            <w:webHidden/>
          </w:rPr>
        </w:r>
        <w:r>
          <w:rPr>
            <w:noProof/>
            <w:webHidden/>
          </w:rPr>
          <w:fldChar w:fldCharType="separate"/>
        </w:r>
        <w:r w:rsidR="006B4457">
          <w:rPr>
            <w:noProof/>
            <w:webHidden/>
          </w:rPr>
          <w:t>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3" w:history="1">
        <w:r w:rsidR="006B4457" w:rsidRPr="00690A60">
          <w:rPr>
            <w:rStyle w:val="Hypertextovodkaz"/>
            <w:noProof/>
          </w:rPr>
          <w:t>2.1.3</w:t>
        </w:r>
        <w:r w:rsidR="006B4457">
          <w:rPr>
            <w:rFonts w:asciiTheme="minorHAnsi" w:eastAsiaTheme="minorEastAsia" w:hAnsiTheme="minorHAnsi" w:cstheme="minorBidi"/>
            <w:noProof/>
            <w:lang w:eastAsia="cs-CZ"/>
          </w:rPr>
          <w:tab/>
        </w:r>
        <w:r w:rsidR="006B4457" w:rsidRPr="00690A60">
          <w:rPr>
            <w:rStyle w:val="Hypertextovodkaz"/>
            <w:noProof/>
          </w:rPr>
          <w:t>Pojistné</w:t>
        </w:r>
        <w:r w:rsidR="006B4457">
          <w:rPr>
            <w:noProof/>
            <w:webHidden/>
          </w:rPr>
          <w:tab/>
        </w:r>
        <w:r>
          <w:rPr>
            <w:noProof/>
            <w:webHidden/>
          </w:rPr>
          <w:fldChar w:fldCharType="begin"/>
        </w:r>
        <w:r w:rsidR="006B4457">
          <w:rPr>
            <w:noProof/>
            <w:webHidden/>
          </w:rPr>
          <w:instrText xml:space="preserve"> PAGEREF _Toc309717573 \h </w:instrText>
        </w:r>
        <w:r>
          <w:rPr>
            <w:noProof/>
            <w:webHidden/>
          </w:rPr>
        </w:r>
        <w:r>
          <w:rPr>
            <w:noProof/>
            <w:webHidden/>
          </w:rPr>
          <w:fldChar w:fldCharType="separate"/>
        </w:r>
        <w:r w:rsidR="006B4457">
          <w:rPr>
            <w:noProof/>
            <w:webHidden/>
          </w:rPr>
          <w:t>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4" w:history="1">
        <w:r w:rsidR="006B4457" w:rsidRPr="00690A60">
          <w:rPr>
            <w:rStyle w:val="Hypertextovodkaz"/>
            <w:noProof/>
          </w:rPr>
          <w:t>2.1.4</w:t>
        </w:r>
        <w:r w:rsidR="006B4457">
          <w:rPr>
            <w:rFonts w:asciiTheme="minorHAnsi" w:eastAsiaTheme="minorEastAsia" w:hAnsiTheme="minorHAnsi" w:cstheme="minorBidi"/>
            <w:noProof/>
            <w:lang w:eastAsia="cs-CZ"/>
          </w:rPr>
          <w:tab/>
        </w:r>
        <w:r w:rsidR="006B4457" w:rsidRPr="00690A60">
          <w:rPr>
            <w:rStyle w:val="Hypertextovodkaz"/>
            <w:noProof/>
          </w:rPr>
          <w:t>Pojistník</w:t>
        </w:r>
        <w:r w:rsidR="006B4457">
          <w:rPr>
            <w:noProof/>
            <w:webHidden/>
          </w:rPr>
          <w:tab/>
        </w:r>
        <w:r>
          <w:rPr>
            <w:noProof/>
            <w:webHidden/>
          </w:rPr>
          <w:fldChar w:fldCharType="begin"/>
        </w:r>
        <w:r w:rsidR="006B4457">
          <w:rPr>
            <w:noProof/>
            <w:webHidden/>
          </w:rPr>
          <w:instrText xml:space="preserve"> PAGEREF _Toc309717574 \h </w:instrText>
        </w:r>
        <w:r>
          <w:rPr>
            <w:noProof/>
            <w:webHidden/>
          </w:rPr>
        </w:r>
        <w:r>
          <w:rPr>
            <w:noProof/>
            <w:webHidden/>
          </w:rPr>
          <w:fldChar w:fldCharType="separate"/>
        </w:r>
        <w:r w:rsidR="006B4457">
          <w:rPr>
            <w:noProof/>
            <w:webHidden/>
          </w:rPr>
          <w:t>4</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5" w:history="1">
        <w:r w:rsidR="006B4457" w:rsidRPr="00690A60">
          <w:rPr>
            <w:rStyle w:val="Hypertextovodkaz"/>
            <w:noProof/>
          </w:rPr>
          <w:t>2.1.5</w:t>
        </w:r>
        <w:r w:rsidR="006B4457">
          <w:rPr>
            <w:rFonts w:asciiTheme="minorHAnsi" w:eastAsiaTheme="minorEastAsia" w:hAnsiTheme="minorHAnsi" w:cstheme="minorBidi"/>
            <w:noProof/>
            <w:lang w:eastAsia="cs-CZ"/>
          </w:rPr>
          <w:tab/>
        </w:r>
        <w:r w:rsidR="006B4457" w:rsidRPr="00690A60">
          <w:rPr>
            <w:rStyle w:val="Hypertextovodkaz"/>
            <w:noProof/>
          </w:rPr>
          <w:t>Pojištěný</w:t>
        </w:r>
        <w:r w:rsidR="006B4457">
          <w:rPr>
            <w:noProof/>
            <w:webHidden/>
          </w:rPr>
          <w:tab/>
        </w:r>
        <w:r>
          <w:rPr>
            <w:noProof/>
            <w:webHidden/>
          </w:rPr>
          <w:fldChar w:fldCharType="begin"/>
        </w:r>
        <w:r w:rsidR="006B4457">
          <w:rPr>
            <w:noProof/>
            <w:webHidden/>
          </w:rPr>
          <w:instrText xml:space="preserve"> PAGEREF _Toc309717575 \h </w:instrText>
        </w:r>
        <w:r>
          <w:rPr>
            <w:noProof/>
            <w:webHidden/>
          </w:rPr>
        </w:r>
        <w:r>
          <w:rPr>
            <w:noProof/>
            <w:webHidden/>
          </w:rPr>
          <w:fldChar w:fldCharType="separate"/>
        </w:r>
        <w:r w:rsidR="006B4457">
          <w:rPr>
            <w:noProof/>
            <w:webHidden/>
          </w:rPr>
          <w:t>4</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76" w:history="1">
        <w:r w:rsidR="006B4457" w:rsidRPr="00690A60">
          <w:rPr>
            <w:rStyle w:val="Hypertextovodkaz"/>
            <w:noProof/>
          </w:rPr>
          <w:t>2.1.6</w:t>
        </w:r>
        <w:r w:rsidR="006B4457">
          <w:rPr>
            <w:rFonts w:asciiTheme="minorHAnsi" w:eastAsiaTheme="minorEastAsia" w:hAnsiTheme="minorHAnsi" w:cstheme="minorBidi"/>
            <w:noProof/>
            <w:lang w:eastAsia="cs-CZ"/>
          </w:rPr>
          <w:tab/>
        </w:r>
        <w:r w:rsidR="006B4457" w:rsidRPr="00690A60">
          <w:rPr>
            <w:rStyle w:val="Hypertextovodkaz"/>
            <w:noProof/>
          </w:rPr>
          <w:t>Pojistitel</w:t>
        </w:r>
        <w:r w:rsidR="006B4457">
          <w:rPr>
            <w:noProof/>
            <w:webHidden/>
          </w:rPr>
          <w:tab/>
        </w:r>
        <w:r>
          <w:rPr>
            <w:noProof/>
            <w:webHidden/>
          </w:rPr>
          <w:fldChar w:fldCharType="begin"/>
        </w:r>
        <w:r w:rsidR="006B4457">
          <w:rPr>
            <w:noProof/>
            <w:webHidden/>
          </w:rPr>
          <w:instrText xml:space="preserve"> PAGEREF _Toc309717576 \h </w:instrText>
        </w:r>
        <w:r>
          <w:rPr>
            <w:noProof/>
            <w:webHidden/>
          </w:rPr>
        </w:r>
        <w:r>
          <w:rPr>
            <w:noProof/>
            <w:webHidden/>
          </w:rPr>
          <w:fldChar w:fldCharType="separate"/>
        </w:r>
        <w:r w:rsidR="006B4457">
          <w:rPr>
            <w:noProof/>
            <w:webHidden/>
          </w:rPr>
          <w:t>4</w:t>
        </w:r>
        <w:r>
          <w:rPr>
            <w:noProof/>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77" w:history="1">
        <w:r w:rsidR="006B4457" w:rsidRPr="00690A60">
          <w:rPr>
            <w:rStyle w:val="Hypertextovodkaz"/>
          </w:rPr>
          <w:t>2.2</w:t>
        </w:r>
        <w:r w:rsidR="006B4457">
          <w:rPr>
            <w:rFonts w:asciiTheme="minorHAnsi" w:eastAsiaTheme="minorEastAsia" w:hAnsiTheme="minorHAnsi" w:cstheme="minorBidi"/>
            <w:lang w:eastAsia="cs-CZ"/>
          </w:rPr>
          <w:tab/>
        </w:r>
        <w:r w:rsidR="006B4457" w:rsidRPr="00690A60">
          <w:rPr>
            <w:rStyle w:val="Hypertextovodkaz"/>
          </w:rPr>
          <w:t>Základní ustanovení o pojištění osob</w:t>
        </w:r>
        <w:r w:rsidR="006B4457">
          <w:rPr>
            <w:webHidden/>
          </w:rPr>
          <w:tab/>
        </w:r>
        <w:r>
          <w:rPr>
            <w:webHidden/>
          </w:rPr>
          <w:fldChar w:fldCharType="begin"/>
        </w:r>
        <w:r w:rsidR="006B4457">
          <w:rPr>
            <w:webHidden/>
          </w:rPr>
          <w:instrText xml:space="preserve"> PAGEREF _Toc309717577 \h </w:instrText>
        </w:r>
        <w:r>
          <w:rPr>
            <w:webHidden/>
          </w:rPr>
        </w:r>
        <w:r>
          <w:rPr>
            <w:webHidden/>
          </w:rPr>
          <w:fldChar w:fldCharType="separate"/>
        </w:r>
        <w:r w:rsidR="006B4457">
          <w:rPr>
            <w:webHidden/>
          </w:rPr>
          <w:t>4</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78" w:history="1">
        <w:r w:rsidR="006B4457" w:rsidRPr="00690A60">
          <w:rPr>
            <w:rStyle w:val="Hypertextovodkaz"/>
          </w:rPr>
          <w:t>2.3</w:t>
        </w:r>
        <w:r w:rsidR="006B4457">
          <w:rPr>
            <w:rFonts w:asciiTheme="minorHAnsi" w:eastAsiaTheme="minorEastAsia" w:hAnsiTheme="minorHAnsi" w:cstheme="minorBidi"/>
            <w:lang w:eastAsia="cs-CZ"/>
          </w:rPr>
          <w:tab/>
        </w:r>
        <w:r w:rsidR="006B4457" w:rsidRPr="00690A60">
          <w:rPr>
            <w:rStyle w:val="Hypertextovodkaz"/>
          </w:rPr>
          <w:t>Právo pojistitele související se zjišťováním a přezkoumáním zdravotního stavu</w:t>
        </w:r>
        <w:r w:rsidR="006B4457">
          <w:rPr>
            <w:webHidden/>
          </w:rPr>
          <w:tab/>
        </w:r>
        <w:r>
          <w:rPr>
            <w:webHidden/>
          </w:rPr>
          <w:fldChar w:fldCharType="begin"/>
        </w:r>
        <w:r w:rsidR="006B4457">
          <w:rPr>
            <w:webHidden/>
          </w:rPr>
          <w:instrText xml:space="preserve"> PAGEREF _Toc309717578 \h </w:instrText>
        </w:r>
        <w:r>
          <w:rPr>
            <w:webHidden/>
          </w:rPr>
        </w:r>
        <w:r>
          <w:rPr>
            <w:webHidden/>
          </w:rPr>
          <w:fldChar w:fldCharType="separate"/>
        </w:r>
        <w:r w:rsidR="006B4457">
          <w:rPr>
            <w:webHidden/>
          </w:rPr>
          <w:t>4</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79" w:history="1">
        <w:r w:rsidR="006B4457" w:rsidRPr="00690A60">
          <w:rPr>
            <w:rStyle w:val="Hypertextovodkaz"/>
          </w:rPr>
          <w:t>2.4</w:t>
        </w:r>
        <w:r w:rsidR="006B4457">
          <w:rPr>
            <w:rFonts w:asciiTheme="minorHAnsi" w:eastAsiaTheme="minorEastAsia" w:hAnsiTheme="minorHAnsi" w:cstheme="minorBidi"/>
            <w:lang w:eastAsia="cs-CZ"/>
          </w:rPr>
          <w:tab/>
        </w:r>
        <w:r w:rsidR="006B4457" w:rsidRPr="00690A60">
          <w:rPr>
            <w:rStyle w:val="Hypertextovodkaz"/>
          </w:rPr>
          <w:t>Právo na pojistné plnění v případě smrti pojištěného</w:t>
        </w:r>
        <w:r w:rsidR="006B4457">
          <w:rPr>
            <w:webHidden/>
          </w:rPr>
          <w:tab/>
        </w:r>
        <w:r>
          <w:rPr>
            <w:webHidden/>
          </w:rPr>
          <w:fldChar w:fldCharType="begin"/>
        </w:r>
        <w:r w:rsidR="006B4457">
          <w:rPr>
            <w:webHidden/>
          </w:rPr>
          <w:instrText xml:space="preserve"> PAGEREF _Toc309717579 \h </w:instrText>
        </w:r>
        <w:r>
          <w:rPr>
            <w:webHidden/>
          </w:rPr>
        </w:r>
        <w:r>
          <w:rPr>
            <w:webHidden/>
          </w:rPr>
          <w:fldChar w:fldCharType="separate"/>
        </w:r>
        <w:r w:rsidR="006B4457">
          <w:rPr>
            <w:webHidden/>
          </w:rPr>
          <w:t>5</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0" w:history="1">
        <w:r w:rsidR="006B4457" w:rsidRPr="00690A60">
          <w:rPr>
            <w:rStyle w:val="Hypertextovodkaz"/>
          </w:rPr>
          <w:t>2.5</w:t>
        </w:r>
        <w:r w:rsidR="006B4457">
          <w:rPr>
            <w:rFonts w:asciiTheme="minorHAnsi" w:eastAsiaTheme="minorEastAsia" w:hAnsiTheme="minorHAnsi" w:cstheme="minorBidi"/>
            <w:lang w:eastAsia="cs-CZ"/>
          </w:rPr>
          <w:tab/>
        </w:r>
        <w:r w:rsidR="006B4457" w:rsidRPr="00690A60">
          <w:rPr>
            <w:rStyle w:val="Hypertextovodkaz"/>
          </w:rPr>
          <w:t>Souhlas pojištěného</w:t>
        </w:r>
        <w:r w:rsidR="006B4457">
          <w:rPr>
            <w:webHidden/>
          </w:rPr>
          <w:tab/>
        </w:r>
        <w:r>
          <w:rPr>
            <w:webHidden/>
          </w:rPr>
          <w:fldChar w:fldCharType="begin"/>
        </w:r>
        <w:r w:rsidR="006B4457">
          <w:rPr>
            <w:webHidden/>
          </w:rPr>
          <w:instrText xml:space="preserve"> PAGEREF _Toc309717580 \h </w:instrText>
        </w:r>
        <w:r>
          <w:rPr>
            <w:webHidden/>
          </w:rPr>
        </w:r>
        <w:r>
          <w:rPr>
            <w:webHidden/>
          </w:rPr>
          <w:fldChar w:fldCharType="separate"/>
        </w:r>
        <w:r w:rsidR="006B4457">
          <w:rPr>
            <w:webHidden/>
          </w:rPr>
          <w:t>5</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1" w:history="1">
        <w:r w:rsidR="006B4457" w:rsidRPr="00690A60">
          <w:rPr>
            <w:rStyle w:val="Hypertextovodkaz"/>
          </w:rPr>
          <w:t>2.6</w:t>
        </w:r>
        <w:r w:rsidR="006B4457">
          <w:rPr>
            <w:rFonts w:asciiTheme="minorHAnsi" w:eastAsiaTheme="minorEastAsia" w:hAnsiTheme="minorHAnsi" w:cstheme="minorBidi"/>
            <w:lang w:eastAsia="cs-CZ"/>
          </w:rPr>
          <w:tab/>
        </w:r>
        <w:r w:rsidR="006B4457" w:rsidRPr="00690A60">
          <w:rPr>
            <w:rStyle w:val="Hypertextovodkaz"/>
          </w:rPr>
          <w:t>Skupinové pojištění</w:t>
        </w:r>
        <w:r w:rsidR="006B4457">
          <w:rPr>
            <w:webHidden/>
          </w:rPr>
          <w:tab/>
        </w:r>
        <w:r>
          <w:rPr>
            <w:webHidden/>
          </w:rPr>
          <w:fldChar w:fldCharType="begin"/>
        </w:r>
        <w:r w:rsidR="006B4457">
          <w:rPr>
            <w:webHidden/>
          </w:rPr>
          <w:instrText xml:space="preserve"> PAGEREF _Toc309717581 \h </w:instrText>
        </w:r>
        <w:r>
          <w:rPr>
            <w:webHidden/>
          </w:rPr>
        </w:r>
        <w:r>
          <w:rPr>
            <w:webHidden/>
          </w:rPr>
          <w:fldChar w:fldCharType="separate"/>
        </w:r>
        <w:r w:rsidR="006B4457">
          <w:rPr>
            <w:webHidden/>
          </w:rPr>
          <w:t>6</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2" w:history="1">
        <w:r w:rsidR="006B4457" w:rsidRPr="00690A60">
          <w:rPr>
            <w:rStyle w:val="Hypertextovodkaz"/>
          </w:rPr>
          <w:t>2.7</w:t>
        </w:r>
        <w:r w:rsidR="006B4457">
          <w:rPr>
            <w:rFonts w:asciiTheme="minorHAnsi" w:eastAsiaTheme="minorEastAsia" w:hAnsiTheme="minorHAnsi" w:cstheme="minorBidi"/>
            <w:lang w:eastAsia="cs-CZ"/>
          </w:rPr>
          <w:tab/>
        </w:r>
        <w:r w:rsidR="006B4457" w:rsidRPr="00690A60">
          <w:rPr>
            <w:rStyle w:val="Hypertextovodkaz"/>
          </w:rPr>
          <w:t>Základní ustanovení pro životní pojištění</w:t>
        </w:r>
        <w:r w:rsidR="006B4457">
          <w:rPr>
            <w:webHidden/>
          </w:rPr>
          <w:tab/>
        </w:r>
        <w:r>
          <w:rPr>
            <w:webHidden/>
          </w:rPr>
          <w:fldChar w:fldCharType="begin"/>
        </w:r>
        <w:r w:rsidR="006B4457">
          <w:rPr>
            <w:webHidden/>
          </w:rPr>
          <w:instrText xml:space="preserve"> PAGEREF _Toc309717582 \h </w:instrText>
        </w:r>
        <w:r>
          <w:rPr>
            <w:webHidden/>
          </w:rPr>
        </w:r>
        <w:r>
          <w:rPr>
            <w:webHidden/>
          </w:rPr>
          <w:fldChar w:fldCharType="separate"/>
        </w:r>
        <w:r w:rsidR="006B4457">
          <w:rPr>
            <w:webHidden/>
          </w:rPr>
          <w:t>6</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3" w:history="1">
        <w:r w:rsidR="006B4457" w:rsidRPr="00690A60">
          <w:rPr>
            <w:rStyle w:val="Hypertextovodkaz"/>
          </w:rPr>
          <w:t>2.8</w:t>
        </w:r>
        <w:r w:rsidR="006B4457">
          <w:rPr>
            <w:rFonts w:asciiTheme="minorHAnsi" w:eastAsiaTheme="minorEastAsia" w:hAnsiTheme="minorHAnsi" w:cstheme="minorBidi"/>
            <w:lang w:eastAsia="cs-CZ"/>
          </w:rPr>
          <w:tab/>
        </w:r>
        <w:r w:rsidR="006B4457" w:rsidRPr="00690A60">
          <w:rPr>
            <w:rStyle w:val="Hypertextovodkaz"/>
          </w:rPr>
          <w:t>Odkupné</w:t>
        </w:r>
        <w:r w:rsidR="006B4457">
          <w:rPr>
            <w:webHidden/>
          </w:rPr>
          <w:tab/>
        </w:r>
        <w:r>
          <w:rPr>
            <w:webHidden/>
          </w:rPr>
          <w:fldChar w:fldCharType="begin"/>
        </w:r>
        <w:r w:rsidR="006B4457">
          <w:rPr>
            <w:webHidden/>
          </w:rPr>
          <w:instrText xml:space="preserve"> PAGEREF _Toc309717583 \h </w:instrText>
        </w:r>
        <w:r>
          <w:rPr>
            <w:webHidden/>
          </w:rPr>
        </w:r>
        <w:r>
          <w:rPr>
            <w:webHidden/>
          </w:rPr>
          <w:fldChar w:fldCharType="separate"/>
        </w:r>
        <w:r w:rsidR="006B4457">
          <w:rPr>
            <w:webHidden/>
          </w:rPr>
          <w:t>7</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4" w:history="1">
        <w:r w:rsidR="006B4457" w:rsidRPr="00690A60">
          <w:rPr>
            <w:rStyle w:val="Hypertextovodkaz"/>
          </w:rPr>
          <w:t>2.9</w:t>
        </w:r>
        <w:r w:rsidR="006B4457">
          <w:rPr>
            <w:rFonts w:asciiTheme="minorHAnsi" w:eastAsiaTheme="minorEastAsia" w:hAnsiTheme="minorHAnsi" w:cstheme="minorBidi"/>
            <w:lang w:eastAsia="cs-CZ"/>
          </w:rPr>
          <w:tab/>
        </w:r>
        <w:r w:rsidR="006B4457" w:rsidRPr="00690A60">
          <w:rPr>
            <w:rStyle w:val="Hypertextovodkaz"/>
          </w:rPr>
          <w:t>Základní ustanovení pro úrazové pojištění</w:t>
        </w:r>
        <w:r w:rsidR="006B4457">
          <w:rPr>
            <w:webHidden/>
          </w:rPr>
          <w:tab/>
        </w:r>
        <w:r>
          <w:rPr>
            <w:webHidden/>
          </w:rPr>
          <w:fldChar w:fldCharType="begin"/>
        </w:r>
        <w:r w:rsidR="006B4457">
          <w:rPr>
            <w:webHidden/>
          </w:rPr>
          <w:instrText xml:space="preserve"> PAGEREF _Toc309717584 \h </w:instrText>
        </w:r>
        <w:r>
          <w:rPr>
            <w:webHidden/>
          </w:rPr>
        </w:r>
        <w:r>
          <w:rPr>
            <w:webHidden/>
          </w:rPr>
          <w:fldChar w:fldCharType="separate"/>
        </w:r>
        <w:r w:rsidR="006B4457">
          <w:rPr>
            <w:webHidden/>
          </w:rPr>
          <w:t>8</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5" w:history="1">
        <w:r w:rsidR="006B4457" w:rsidRPr="00690A60">
          <w:rPr>
            <w:rStyle w:val="Hypertextovodkaz"/>
          </w:rPr>
          <w:t>2.10</w:t>
        </w:r>
        <w:r w:rsidR="006B4457">
          <w:rPr>
            <w:rFonts w:asciiTheme="minorHAnsi" w:eastAsiaTheme="minorEastAsia" w:hAnsiTheme="minorHAnsi" w:cstheme="minorBidi"/>
            <w:lang w:eastAsia="cs-CZ"/>
          </w:rPr>
          <w:tab/>
        </w:r>
        <w:r w:rsidR="006B4457" w:rsidRPr="00690A60">
          <w:rPr>
            <w:rStyle w:val="Hypertextovodkaz"/>
          </w:rPr>
          <w:t>Právo pojistitele na odmítnutí pojistného plnění nebo jeho snížení</w:t>
        </w:r>
        <w:r w:rsidR="006B4457">
          <w:rPr>
            <w:webHidden/>
          </w:rPr>
          <w:tab/>
        </w:r>
        <w:r>
          <w:rPr>
            <w:webHidden/>
          </w:rPr>
          <w:fldChar w:fldCharType="begin"/>
        </w:r>
        <w:r w:rsidR="006B4457">
          <w:rPr>
            <w:webHidden/>
          </w:rPr>
          <w:instrText xml:space="preserve"> PAGEREF _Toc309717585 \h </w:instrText>
        </w:r>
        <w:r>
          <w:rPr>
            <w:webHidden/>
          </w:rPr>
        </w:r>
        <w:r>
          <w:rPr>
            <w:webHidden/>
          </w:rPr>
          <w:fldChar w:fldCharType="separate"/>
        </w:r>
        <w:r w:rsidR="006B4457">
          <w:rPr>
            <w:webHidden/>
          </w:rPr>
          <w:t>8</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6" w:history="1">
        <w:r w:rsidR="006B4457" w:rsidRPr="00690A60">
          <w:rPr>
            <w:rStyle w:val="Hypertextovodkaz"/>
          </w:rPr>
          <w:t>2.11</w:t>
        </w:r>
        <w:r w:rsidR="006B4457">
          <w:rPr>
            <w:rFonts w:asciiTheme="minorHAnsi" w:eastAsiaTheme="minorEastAsia" w:hAnsiTheme="minorHAnsi" w:cstheme="minorBidi"/>
            <w:lang w:eastAsia="cs-CZ"/>
          </w:rPr>
          <w:tab/>
        </w:r>
        <w:r w:rsidR="006B4457" w:rsidRPr="00690A60">
          <w:rPr>
            <w:rStyle w:val="Hypertextovodkaz"/>
          </w:rPr>
          <w:t>Pojištění pro případ nemoci</w:t>
        </w:r>
        <w:r w:rsidR="006B4457">
          <w:rPr>
            <w:webHidden/>
          </w:rPr>
          <w:tab/>
        </w:r>
        <w:r>
          <w:rPr>
            <w:webHidden/>
          </w:rPr>
          <w:fldChar w:fldCharType="begin"/>
        </w:r>
        <w:r w:rsidR="006B4457">
          <w:rPr>
            <w:webHidden/>
          </w:rPr>
          <w:instrText xml:space="preserve"> PAGEREF _Toc309717586 \h </w:instrText>
        </w:r>
        <w:r>
          <w:rPr>
            <w:webHidden/>
          </w:rPr>
        </w:r>
        <w:r>
          <w:rPr>
            <w:webHidden/>
          </w:rPr>
          <w:fldChar w:fldCharType="separate"/>
        </w:r>
        <w:r w:rsidR="006B4457">
          <w:rPr>
            <w:webHidden/>
          </w:rPr>
          <w:t>9</w:t>
        </w:r>
        <w:r>
          <w:rPr>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587" w:history="1">
        <w:r w:rsidR="006B4457" w:rsidRPr="00690A60">
          <w:rPr>
            <w:rStyle w:val="Hypertextovodkaz"/>
            <w:noProof/>
          </w:rPr>
          <w:t>2.11.1</w:t>
        </w:r>
        <w:r w:rsidR="006B4457">
          <w:rPr>
            <w:rFonts w:asciiTheme="minorHAnsi" w:eastAsiaTheme="minorEastAsia" w:hAnsiTheme="minorHAnsi" w:cstheme="minorBidi"/>
            <w:noProof/>
            <w:lang w:eastAsia="cs-CZ"/>
          </w:rPr>
          <w:tab/>
        </w:r>
        <w:r w:rsidR="006B4457" w:rsidRPr="00690A60">
          <w:rPr>
            <w:rStyle w:val="Hypertextovodkaz"/>
            <w:noProof/>
          </w:rPr>
          <w:t>Pojištění pro případ nemoci lze sjednat jako pojištění škodové nebo obnosové.</w:t>
        </w:r>
        <w:r w:rsidR="006B4457">
          <w:rPr>
            <w:noProof/>
            <w:webHidden/>
          </w:rPr>
          <w:tab/>
        </w:r>
        <w:r>
          <w:rPr>
            <w:noProof/>
            <w:webHidden/>
          </w:rPr>
          <w:fldChar w:fldCharType="begin"/>
        </w:r>
        <w:r w:rsidR="006B4457">
          <w:rPr>
            <w:noProof/>
            <w:webHidden/>
          </w:rPr>
          <w:instrText xml:space="preserve"> PAGEREF _Toc309717587 \h </w:instrText>
        </w:r>
        <w:r>
          <w:rPr>
            <w:noProof/>
            <w:webHidden/>
          </w:rPr>
        </w:r>
        <w:r>
          <w:rPr>
            <w:noProof/>
            <w:webHidden/>
          </w:rPr>
          <w:fldChar w:fldCharType="separate"/>
        </w:r>
        <w:r w:rsidR="006B4457">
          <w:rPr>
            <w:noProof/>
            <w:webHidden/>
          </w:rPr>
          <w:t>9</w:t>
        </w:r>
        <w:r>
          <w:rPr>
            <w:noProof/>
            <w:webHidden/>
          </w:rPr>
          <w:fldChar w:fldCharType="end"/>
        </w:r>
      </w:hyperlink>
    </w:p>
    <w:p w:rsidR="006B4457" w:rsidRDefault="00F95F06">
      <w:pPr>
        <w:pStyle w:val="Obsah1"/>
        <w:rPr>
          <w:rFonts w:asciiTheme="minorHAnsi" w:eastAsiaTheme="minorEastAsia" w:hAnsiTheme="minorHAnsi" w:cstheme="minorBidi"/>
          <w:noProof/>
          <w:sz w:val="22"/>
          <w:lang w:eastAsia="cs-CZ"/>
        </w:rPr>
      </w:pPr>
      <w:hyperlink w:anchor="_Toc309717588" w:history="1">
        <w:r w:rsidR="006B4457" w:rsidRPr="00690A60">
          <w:rPr>
            <w:rStyle w:val="Hypertextovodkaz"/>
            <w:noProof/>
          </w:rPr>
          <w:t>3</w:t>
        </w:r>
        <w:r w:rsidR="006B4457">
          <w:rPr>
            <w:rFonts w:asciiTheme="minorHAnsi" w:eastAsiaTheme="minorEastAsia" w:hAnsiTheme="minorHAnsi" w:cstheme="minorBidi"/>
            <w:noProof/>
            <w:sz w:val="22"/>
            <w:lang w:eastAsia="cs-CZ"/>
          </w:rPr>
          <w:tab/>
        </w:r>
        <w:r w:rsidR="006B4457" w:rsidRPr="00690A60">
          <w:rPr>
            <w:rStyle w:val="Hypertextovodkaz"/>
            <w:noProof/>
          </w:rPr>
          <w:t>Analytická/praktická část práce</w:t>
        </w:r>
        <w:r w:rsidR="006B4457">
          <w:rPr>
            <w:noProof/>
            <w:webHidden/>
          </w:rPr>
          <w:tab/>
        </w:r>
        <w:r>
          <w:rPr>
            <w:noProof/>
            <w:webHidden/>
          </w:rPr>
          <w:fldChar w:fldCharType="begin"/>
        </w:r>
        <w:r w:rsidR="006B4457">
          <w:rPr>
            <w:noProof/>
            <w:webHidden/>
          </w:rPr>
          <w:instrText xml:space="preserve"> PAGEREF _Toc309717588 \h </w:instrText>
        </w:r>
        <w:r>
          <w:rPr>
            <w:noProof/>
            <w:webHidden/>
          </w:rPr>
        </w:r>
        <w:r>
          <w:rPr>
            <w:noProof/>
            <w:webHidden/>
          </w:rPr>
          <w:fldChar w:fldCharType="separate"/>
        </w:r>
        <w:r w:rsidR="006B4457">
          <w:rPr>
            <w:noProof/>
            <w:webHidden/>
          </w:rPr>
          <w:t>10</w:t>
        </w:r>
        <w:r>
          <w:rPr>
            <w:noProof/>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89" w:history="1">
        <w:r w:rsidR="006B4457" w:rsidRPr="00690A60">
          <w:rPr>
            <w:rStyle w:val="Hypertextovodkaz"/>
          </w:rPr>
          <w:t>3.1</w:t>
        </w:r>
        <w:r w:rsidR="006B4457">
          <w:rPr>
            <w:rFonts w:asciiTheme="minorHAnsi" w:eastAsiaTheme="minorEastAsia" w:hAnsiTheme="minorHAnsi" w:cstheme="minorBidi"/>
            <w:lang w:eastAsia="cs-CZ"/>
          </w:rPr>
          <w:tab/>
        </w:r>
        <w:r w:rsidR="006B4457" w:rsidRPr="00690A60">
          <w:rPr>
            <w:rStyle w:val="Hypertextovodkaz"/>
          </w:rPr>
          <w:t>Přehled pojistných rizik:</w:t>
        </w:r>
        <w:r w:rsidR="006B4457">
          <w:rPr>
            <w:webHidden/>
          </w:rPr>
          <w:tab/>
        </w:r>
        <w:r>
          <w:rPr>
            <w:webHidden/>
          </w:rPr>
          <w:fldChar w:fldCharType="begin"/>
        </w:r>
        <w:r w:rsidR="006B4457">
          <w:rPr>
            <w:webHidden/>
          </w:rPr>
          <w:instrText xml:space="preserve"> PAGEREF _Toc309717589 \h </w:instrText>
        </w:r>
        <w:r>
          <w:rPr>
            <w:webHidden/>
          </w:rPr>
        </w:r>
        <w:r>
          <w:rPr>
            <w:webHidden/>
          </w:rPr>
          <w:fldChar w:fldCharType="separate"/>
        </w:r>
        <w:r w:rsidR="006B4457">
          <w:rPr>
            <w:webHidden/>
          </w:rPr>
          <w:t>10</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0" w:history="1">
        <w:r w:rsidR="006B4457" w:rsidRPr="00690A60">
          <w:rPr>
            <w:rStyle w:val="Hypertextovodkaz"/>
          </w:rPr>
          <w:t>3.2</w:t>
        </w:r>
        <w:r w:rsidR="006B4457">
          <w:rPr>
            <w:rFonts w:asciiTheme="minorHAnsi" w:eastAsiaTheme="minorEastAsia" w:hAnsiTheme="minorHAnsi" w:cstheme="minorBidi"/>
            <w:lang w:eastAsia="cs-CZ"/>
          </w:rPr>
          <w:tab/>
        </w:r>
        <w:r w:rsidR="006B4457" w:rsidRPr="00690A60">
          <w:rPr>
            <w:rStyle w:val="Hypertextovodkaz"/>
          </w:rPr>
          <w:t>Kapitálová hodnota pojištění</w:t>
        </w:r>
        <w:r w:rsidR="006B4457">
          <w:rPr>
            <w:webHidden/>
          </w:rPr>
          <w:tab/>
        </w:r>
        <w:r>
          <w:rPr>
            <w:webHidden/>
          </w:rPr>
          <w:fldChar w:fldCharType="begin"/>
        </w:r>
        <w:r w:rsidR="006B4457">
          <w:rPr>
            <w:webHidden/>
          </w:rPr>
          <w:instrText xml:space="preserve"> PAGEREF _Toc309717590 \h </w:instrText>
        </w:r>
        <w:r>
          <w:rPr>
            <w:webHidden/>
          </w:rPr>
        </w:r>
        <w:r>
          <w:rPr>
            <w:webHidden/>
          </w:rPr>
          <w:fldChar w:fldCharType="separate"/>
        </w:r>
        <w:r w:rsidR="006B4457">
          <w:rPr>
            <w:webHidden/>
          </w:rPr>
          <w:t>11</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1" w:history="1">
        <w:r w:rsidR="006B4457" w:rsidRPr="00690A60">
          <w:rPr>
            <w:rStyle w:val="Hypertextovodkaz"/>
          </w:rPr>
          <w:t>3.3</w:t>
        </w:r>
        <w:r w:rsidR="006B4457">
          <w:rPr>
            <w:rFonts w:asciiTheme="minorHAnsi" w:eastAsiaTheme="minorEastAsia" w:hAnsiTheme="minorHAnsi" w:cstheme="minorBidi"/>
            <w:lang w:eastAsia="cs-CZ"/>
          </w:rPr>
          <w:tab/>
        </w:r>
        <w:r w:rsidR="006B4457" w:rsidRPr="00690A60">
          <w:rPr>
            <w:rStyle w:val="Hypertextovodkaz"/>
          </w:rPr>
          <w:t>Nároky z pojištění:</w:t>
        </w:r>
        <w:r w:rsidR="006B4457">
          <w:rPr>
            <w:webHidden/>
          </w:rPr>
          <w:tab/>
        </w:r>
        <w:r>
          <w:rPr>
            <w:webHidden/>
          </w:rPr>
          <w:fldChar w:fldCharType="begin"/>
        </w:r>
        <w:r w:rsidR="006B4457">
          <w:rPr>
            <w:webHidden/>
          </w:rPr>
          <w:instrText xml:space="preserve"> PAGEREF _Toc309717591 \h </w:instrText>
        </w:r>
        <w:r>
          <w:rPr>
            <w:webHidden/>
          </w:rPr>
        </w:r>
        <w:r>
          <w:rPr>
            <w:webHidden/>
          </w:rPr>
          <w:fldChar w:fldCharType="separate"/>
        </w:r>
        <w:r w:rsidR="006B4457">
          <w:rPr>
            <w:webHidden/>
          </w:rPr>
          <w:t>14</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2" w:history="1">
        <w:r w:rsidR="006B4457" w:rsidRPr="00690A60">
          <w:rPr>
            <w:rStyle w:val="Hypertextovodkaz"/>
          </w:rPr>
          <w:t>3.4</w:t>
        </w:r>
        <w:r w:rsidR="006B4457">
          <w:rPr>
            <w:rFonts w:asciiTheme="minorHAnsi" w:eastAsiaTheme="minorEastAsia" w:hAnsiTheme="minorHAnsi" w:cstheme="minorBidi"/>
            <w:lang w:eastAsia="cs-CZ"/>
          </w:rPr>
          <w:tab/>
        </w:r>
        <w:r w:rsidR="006B4457" w:rsidRPr="00690A60">
          <w:rPr>
            <w:rStyle w:val="Hypertextovodkaz"/>
          </w:rPr>
          <w:t>Pojištění závažných onemocnění</w:t>
        </w:r>
        <w:r w:rsidR="006B4457">
          <w:rPr>
            <w:webHidden/>
          </w:rPr>
          <w:tab/>
        </w:r>
        <w:r>
          <w:rPr>
            <w:webHidden/>
          </w:rPr>
          <w:fldChar w:fldCharType="begin"/>
        </w:r>
        <w:r w:rsidR="006B4457">
          <w:rPr>
            <w:webHidden/>
          </w:rPr>
          <w:instrText xml:space="preserve"> PAGEREF _Toc309717592 \h </w:instrText>
        </w:r>
        <w:r>
          <w:rPr>
            <w:webHidden/>
          </w:rPr>
        </w:r>
        <w:r>
          <w:rPr>
            <w:webHidden/>
          </w:rPr>
          <w:fldChar w:fldCharType="separate"/>
        </w:r>
        <w:r w:rsidR="006B4457">
          <w:rPr>
            <w:webHidden/>
          </w:rPr>
          <w:t>15</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3" w:history="1">
        <w:r w:rsidR="006B4457" w:rsidRPr="00690A60">
          <w:rPr>
            <w:rStyle w:val="Hypertextovodkaz"/>
          </w:rPr>
          <w:t>3.5</w:t>
        </w:r>
        <w:r w:rsidR="006B4457">
          <w:rPr>
            <w:rFonts w:asciiTheme="minorHAnsi" w:eastAsiaTheme="minorEastAsia" w:hAnsiTheme="minorHAnsi" w:cstheme="minorBidi"/>
            <w:lang w:eastAsia="cs-CZ"/>
          </w:rPr>
          <w:tab/>
        </w:r>
        <w:r w:rsidR="006B4457" w:rsidRPr="00690A60">
          <w:rPr>
            <w:rStyle w:val="Hypertextovodkaz"/>
          </w:rPr>
          <w:t>Pojištění kritických onemocnění</w:t>
        </w:r>
        <w:r w:rsidR="006B4457">
          <w:rPr>
            <w:webHidden/>
          </w:rPr>
          <w:tab/>
        </w:r>
        <w:r>
          <w:rPr>
            <w:webHidden/>
          </w:rPr>
          <w:fldChar w:fldCharType="begin"/>
        </w:r>
        <w:r w:rsidR="006B4457">
          <w:rPr>
            <w:webHidden/>
          </w:rPr>
          <w:instrText xml:space="preserve"> PAGEREF _Toc309717593 \h </w:instrText>
        </w:r>
        <w:r>
          <w:rPr>
            <w:webHidden/>
          </w:rPr>
        </w:r>
        <w:r>
          <w:rPr>
            <w:webHidden/>
          </w:rPr>
          <w:fldChar w:fldCharType="separate"/>
        </w:r>
        <w:r w:rsidR="006B4457">
          <w:rPr>
            <w:webHidden/>
          </w:rPr>
          <w:t>17</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4" w:history="1">
        <w:r w:rsidR="006B4457" w:rsidRPr="00690A60">
          <w:rPr>
            <w:rStyle w:val="Hypertextovodkaz"/>
          </w:rPr>
          <w:t>3.6</w:t>
        </w:r>
        <w:r w:rsidR="006B4457">
          <w:rPr>
            <w:rFonts w:asciiTheme="minorHAnsi" w:eastAsiaTheme="minorEastAsia" w:hAnsiTheme="minorHAnsi" w:cstheme="minorBidi"/>
            <w:lang w:eastAsia="cs-CZ"/>
          </w:rPr>
          <w:tab/>
        </w:r>
        <w:r w:rsidR="006B4457" w:rsidRPr="00690A60">
          <w:rPr>
            <w:rStyle w:val="Hypertextovodkaz"/>
          </w:rPr>
          <w:t>Zproštění od placení pojistného</w:t>
        </w:r>
        <w:r w:rsidR="006B4457">
          <w:rPr>
            <w:webHidden/>
          </w:rPr>
          <w:tab/>
        </w:r>
        <w:r>
          <w:rPr>
            <w:webHidden/>
          </w:rPr>
          <w:fldChar w:fldCharType="begin"/>
        </w:r>
        <w:r w:rsidR="006B4457">
          <w:rPr>
            <w:webHidden/>
          </w:rPr>
          <w:instrText xml:space="preserve"> PAGEREF _Toc309717594 \h </w:instrText>
        </w:r>
        <w:r>
          <w:rPr>
            <w:webHidden/>
          </w:rPr>
        </w:r>
        <w:r>
          <w:rPr>
            <w:webHidden/>
          </w:rPr>
          <w:fldChar w:fldCharType="separate"/>
        </w:r>
        <w:r w:rsidR="006B4457">
          <w:rPr>
            <w:webHidden/>
          </w:rPr>
          <w:t>17</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5" w:history="1">
        <w:r w:rsidR="006B4457" w:rsidRPr="00690A60">
          <w:rPr>
            <w:rStyle w:val="Hypertextovodkaz"/>
          </w:rPr>
          <w:t>3.7</w:t>
        </w:r>
        <w:r w:rsidR="006B4457">
          <w:rPr>
            <w:rFonts w:asciiTheme="minorHAnsi" w:eastAsiaTheme="minorEastAsia" w:hAnsiTheme="minorHAnsi" w:cstheme="minorBidi"/>
            <w:lang w:eastAsia="cs-CZ"/>
          </w:rPr>
          <w:tab/>
        </w:r>
        <w:r w:rsidR="006B4457" w:rsidRPr="00690A60">
          <w:rPr>
            <w:rStyle w:val="Hypertextovodkaz"/>
          </w:rPr>
          <w:t>Invalidní renta</w:t>
        </w:r>
        <w:r w:rsidR="006B4457">
          <w:rPr>
            <w:webHidden/>
          </w:rPr>
          <w:tab/>
        </w:r>
        <w:r>
          <w:rPr>
            <w:webHidden/>
          </w:rPr>
          <w:fldChar w:fldCharType="begin"/>
        </w:r>
        <w:r w:rsidR="006B4457">
          <w:rPr>
            <w:webHidden/>
          </w:rPr>
          <w:instrText xml:space="preserve"> PAGEREF _Toc309717595 \h </w:instrText>
        </w:r>
        <w:r>
          <w:rPr>
            <w:webHidden/>
          </w:rPr>
        </w:r>
        <w:r>
          <w:rPr>
            <w:webHidden/>
          </w:rPr>
          <w:fldChar w:fldCharType="separate"/>
        </w:r>
        <w:r w:rsidR="006B4457">
          <w:rPr>
            <w:webHidden/>
          </w:rPr>
          <w:t>18</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6" w:history="1">
        <w:r w:rsidR="006B4457" w:rsidRPr="00690A60">
          <w:rPr>
            <w:rStyle w:val="Hypertextovodkaz"/>
          </w:rPr>
          <w:t>3.8</w:t>
        </w:r>
        <w:r w:rsidR="006B4457">
          <w:rPr>
            <w:rFonts w:asciiTheme="minorHAnsi" w:eastAsiaTheme="minorEastAsia" w:hAnsiTheme="minorHAnsi" w:cstheme="minorBidi"/>
            <w:lang w:eastAsia="cs-CZ"/>
          </w:rPr>
          <w:tab/>
        </w:r>
        <w:r w:rsidR="006B4457" w:rsidRPr="00690A60">
          <w:rPr>
            <w:rStyle w:val="Hypertextovodkaz"/>
          </w:rPr>
          <w:t>Indexace pojistného</w:t>
        </w:r>
        <w:r w:rsidR="006B4457">
          <w:rPr>
            <w:webHidden/>
          </w:rPr>
          <w:tab/>
        </w:r>
        <w:r>
          <w:rPr>
            <w:webHidden/>
          </w:rPr>
          <w:fldChar w:fldCharType="begin"/>
        </w:r>
        <w:r w:rsidR="006B4457">
          <w:rPr>
            <w:webHidden/>
          </w:rPr>
          <w:instrText xml:space="preserve"> PAGEREF _Toc309717596 \h </w:instrText>
        </w:r>
        <w:r>
          <w:rPr>
            <w:webHidden/>
          </w:rPr>
        </w:r>
        <w:r>
          <w:rPr>
            <w:webHidden/>
          </w:rPr>
          <w:fldChar w:fldCharType="separate"/>
        </w:r>
        <w:r w:rsidR="006B4457">
          <w:rPr>
            <w:webHidden/>
          </w:rPr>
          <w:t>19</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7" w:history="1">
        <w:r w:rsidR="006B4457" w:rsidRPr="00690A60">
          <w:rPr>
            <w:rStyle w:val="Hypertextovodkaz"/>
          </w:rPr>
          <w:t>3.9</w:t>
        </w:r>
        <w:r w:rsidR="006B4457">
          <w:rPr>
            <w:rFonts w:asciiTheme="minorHAnsi" w:eastAsiaTheme="minorEastAsia" w:hAnsiTheme="minorHAnsi" w:cstheme="minorBidi"/>
            <w:lang w:eastAsia="cs-CZ"/>
          </w:rPr>
          <w:tab/>
        </w:r>
        <w:r w:rsidR="006B4457" w:rsidRPr="00690A60">
          <w:rPr>
            <w:rStyle w:val="Hypertextovodkaz"/>
          </w:rPr>
          <w:t>Redukce pojištění</w:t>
        </w:r>
        <w:r w:rsidR="006B4457">
          <w:rPr>
            <w:webHidden/>
          </w:rPr>
          <w:tab/>
        </w:r>
        <w:r>
          <w:rPr>
            <w:webHidden/>
          </w:rPr>
          <w:fldChar w:fldCharType="begin"/>
        </w:r>
        <w:r w:rsidR="006B4457">
          <w:rPr>
            <w:webHidden/>
          </w:rPr>
          <w:instrText xml:space="preserve"> PAGEREF _Toc309717597 \h </w:instrText>
        </w:r>
        <w:r>
          <w:rPr>
            <w:webHidden/>
          </w:rPr>
        </w:r>
        <w:r>
          <w:rPr>
            <w:webHidden/>
          </w:rPr>
          <w:fldChar w:fldCharType="separate"/>
        </w:r>
        <w:r w:rsidR="006B4457">
          <w:rPr>
            <w:webHidden/>
          </w:rPr>
          <w:t>20</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8" w:history="1">
        <w:r w:rsidR="006B4457" w:rsidRPr="00690A60">
          <w:rPr>
            <w:rStyle w:val="Hypertextovodkaz"/>
          </w:rPr>
          <w:t>3.10</w:t>
        </w:r>
        <w:r w:rsidR="006B4457">
          <w:rPr>
            <w:rFonts w:asciiTheme="minorHAnsi" w:eastAsiaTheme="minorEastAsia" w:hAnsiTheme="minorHAnsi" w:cstheme="minorBidi"/>
            <w:lang w:eastAsia="cs-CZ"/>
          </w:rPr>
          <w:tab/>
        </w:r>
        <w:r w:rsidR="006B4457" w:rsidRPr="00690A60">
          <w:rPr>
            <w:rStyle w:val="Hypertextovodkaz"/>
          </w:rPr>
          <w:t>Variabilní složky životního pojištění PRODUKT XY</w:t>
        </w:r>
        <w:r w:rsidR="006B4457">
          <w:rPr>
            <w:webHidden/>
          </w:rPr>
          <w:tab/>
        </w:r>
        <w:r>
          <w:rPr>
            <w:webHidden/>
          </w:rPr>
          <w:fldChar w:fldCharType="begin"/>
        </w:r>
        <w:r w:rsidR="006B4457">
          <w:rPr>
            <w:webHidden/>
          </w:rPr>
          <w:instrText xml:space="preserve"> PAGEREF _Toc309717598 \h </w:instrText>
        </w:r>
        <w:r>
          <w:rPr>
            <w:webHidden/>
          </w:rPr>
        </w:r>
        <w:r>
          <w:rPr>
            <w:webHidden/>
          </w:rPr>
          <w:fldChar w:fldCharType="separate"/>
        </w:r>
        <w:r w:rsidR="006B4457">
          <w:rPr>
            <w:webHidden/>
          </w:rPr>
          <w:t>21</w:t>
        </w:r>
        <w:r>
          <w:rPr>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599" w:history="1">
        <w:r w:rsidR="006B4457" w:rsidRPr="00690A60">
          <w:rPr>
            <w:rStyle w:val="Hypertextovodkaz"/>
          </w:rPr>
          <w:t>3.11</w:t>
        </w:r>
        <w:r w:rsidR="006B4457">
          <w:rPr>
            <w:rFonts w:asciiTheme="minorHAnsi" w:eastAsiaTheme="minorEastAsia" w:hAnsiTheme="minorHAnsi" w:cstheme="minorBidi"/>
            <w:lang w:eastAsia="cs-CZ"/>
          </w:rPr>
          <w:tab/>
        </w:r>
        <w:r w:rsidR="006B4457" w:rsidRPr="00690A60">
          <w:rPr>
            <w:rStyle w:val="Hypertextovodkaz"/>
          </w:rPr>
          <w:t>Pojištění pro případ nemoci</w:t>
        </w:r>
        <w:r w:rsidR="006B4457">
          <w:rPr>
            <w:webHidden/>
          </w:rPr>
          <w:tab/>
        </w:r>
        <w:r>
          <w:rPr>
            <w:webHidden/>
          </w:rPr>
          <w:fldChar w:fldCharType="begin"/>
        </w:r>
        <w:r w:rsidR="006B4457">
          <w:rPr>
            <w:webHidden/>
          </w:rPr>
          <w:instrText xml:space="preserve"> PAGEREF _Toc309717599 \h </w:instrText>
        </w:r>
        <w:r>
          <w:rPr>
            <w:webHidden/>
          </w:rPr>
        </w:r>
        <w:r>
          <w:rPr>
            <w:webHidden/>
          </w:rPr>
          <w:fldChar w:fldCharType="separate"/>
        </w:r>
        <w:r w:rsidR="006B4457">
          <w:rPr>
            <w:webHidden/>
          </w:rPr>
          <w:t>21</w:t>
        </w:r>
        <w:r>
          <w:rPr>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0" w:history="1">
        <w:r w:rsidR="006B4457" w:rsidRPr="00690A60">
          <w:rPr>
            <w:rStyle w:val="Hypertextovodkaz"/>
            <w:noProof/>
          </w:rPr>
          <w:t>3.11.1</w:t>
        </w:r>
        <w:r w:rsidR="006B4457">
          <w:rPr>
            <w:rFonts w:asciiTheme="minorHAnsi" w:eastAsiaTheme="minorEastAsia" w:hAnsiTheme="minorHAnsi" w:cstheme="minorBidi"/>
            <w:noProof/>
            <w:lang w:eastAsia="cs-CZ"/>
          </w:rPr>
          <w:tab/>
        </w:r>
        <w:r w:rsidR="006B4457" w:rsidRPr="00690A60">
          <w:rPr>
            <w:rStyle w:val="Hypertextovodkaz"/>
            <w:noProof/>
          </w:rPr>
          <w:t>Pojištění denní dávky při pracovní neschopnosti - T544:</w:t>
        </w:r>
        <w:r w:rsidR="006B4457">
          <w:rPr>
            <w:noProof/>
            <w:webHidden/>
          </w:rPr>
          <w:tab/>
        </w:r>
        <w:r>
          <w:rPr>
            <w:noProof/>
            <w:webHidden/>
          </w:rPr>
          <w:fldChar w:fldCharType="begin"/>
        </w:r>
        <w:r w:rsidR="006B4457">
          <w:rPr>
            <w:noProof/>
            <w:webHidden/>
          </w:rPr>
          <w:instrText xml:space="preserve"> PAGEREF _Toc309717600 \h </w:instrText>
        </w:r>
        <w:r>
          <w:rPr>
            <w:noProof/>
            <w:webHidden/>
          </w:rPr>
        </w:r>
        <w:r>
          <w:rPr>
            <w:noProof/>
            <w:webHidden/>
          </w:rPr>
          <w:fldChar w:fldCharType="separate"/>
        </w:r>
        <w:r w:rsidR="006B4457">
          <w:rPr>
            <w:noProof/>
            <w:webHidden/>
          </w:rPr>
          <w:t>22</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1" w:history="1">
        <w:r w:rsidR="006B4457" w:rsidRPr="00690A60">
          <w:rPr>
            <w:rStyle w:val="Hypertextovodkaz"/>
            <w:noProof/>
          </w:rPr>
          <w:t>3.11.2</w:t>
        </w:r>
        <w:r w:rsidR="006B4457">
          <w:rPr>
            <w:rFonts w:asciiTheme="minorHAnsi" w:eastAsiaTheme="minorEastAsia" w:hAnsiTheme="minorHAnsi" w:cstheme="minorBidi"/>
            <w:noProof/>
            <w:lang w:eastAsia="cs-CZ"/>
          </w:rPr>
          <w:tab/>
        </w:r>
        <w:r w:rsidR="006B4457" w:rsidRPr="00690A60">
          <w:rPr>
            <w:rStyle w:val="Hypertextovodkaz"/>
            <w:noProof/>
          </w:rPr>
          <w:t>Pojištění denní podpory při pobytu v nemocnici - T440:</w:t>
        </w:r>
        <w:r w:rsidR="006B4457">
          <w:rPr>
            <w:noProof/>
            <w:webHidden/>
          </w:rPr>
          <w:tab/>
        </w:r>
        <w:r>
          <w:rPr>
            <w:noProof/>
            <w:webHidden/>
          </w:rPr>
          <w:fldChar w:fldCharType="begin"/>
        </w:r>
        <w:r w:rsidR="006B4457">
          <w:rPr>
            <w:noProof/>
            <w:webHidden/>
          </w:rPr>
          <w:instrText xml:space="preserve"> PAGEREF _Toc309717601 \h </w:instrText>
        </w:r>
        <w:r>
          <w:rPr>
            <w:noProof/>
            <w:webHidden/>
          </w:rPr>
        </w:r>
        <w:r>
          <w:rPr>
            <w:noProof/>
            <w:webHidden/>
          </w:rPr>
          <w:fldChar w:fldCharType="separate"/>
        </w:r>
        <w:r w:rsidR="006B4457">
          <w:rPr>
            <w:noProof/>
            <w:webHidden/>
          </w:rPr>
          <w:t>22</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2" w:history="1">
        <w:r w:rsidR="006B4457" w:rsidRPr="00690A60">
          <w:rPr>
            <w:rStyle w:val="Hypertextovodkaz"/>
            <w:noProof/>
          </w:rPr>
          <w:t>3.11.3</w:t>
        </w:r>
        <w:r w:rsidR="006B4457">
          <w:rPr>
            <w:rFonts w:asciiTheme="minorHAnsi" w:eastAsiaTheme="minorEastAsia" w:hAnsiTheme="minorHAnsi" w:cstheme="minorBidi"/>
            <w:noProof/>
            <w:lang w:eastAsia="cs-CZ"/>
          </w:rPr>
          <w:tab/>
        </w:r>
        <w:r w:rsidR="006B4457" w:rsidRPr="00690A60">
          <w:rPr>
            <w:rStyle w:val="Hypertextovodkaz"/>
            <w:noProof/>
          </w:rPr>
          <w:t>Pojištění plateb pojistného při pracovní neschopnosti - T644:</w:t>
        </w:r>
        <w:r w:rsidR="006B4457">
          <w:rPr>
            <w:noProof/>
            <w:webHidden/>
          </w:rPr>
          <w:tab/>
        </w:r>
        <w:r>
          <w:rPr>
            <w:noProof/>
            <w:webHidden/>
          </w:rPr>
          <w:fldChar w:fldCharType="begin"/>
        </w:r>
        <w:r w:rsidR="006B4457">
          <w:rPr>
            <w:noProof/>
            <w:webHidden/>
          </w:rPr>
          <w:instrText xml:space="preserve"> PAGEREF _Toc309717602 \h </w:instrText>
        </w:r>
        <w:r>
          <w:rPr>
            <w:noProof/>
            <w:webHidden/>
          </w:rPr>
        </w:r>
        <w:r>
          <w:rPr>
            <w:noProof/>
            <w:webHidden/>
          </w:rPr>
          <w:fldChar w:fldCharType="separate"/>
        </w:r>
        <w:r w:rsidR="006B4457">
          <w:rPr>
            <w:noProof/>
            <w:webHidden/>
          </w:rPr>
          <w:t>23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3" w:history="1">
        <w:r w:rsidR="006B4457" w:rsidRPr="00690A60">
          <w:rPr>
            <w:rStyle w:val="Hypertextovodkaz"/>
            <w:noProof/>
          </w:rPr>
          <w:t>3.11.4</w:t>
        </w:r>
        <w:r w:rsidR="006B4457">
          <w:rPr>
            <w:rFonts w:asciiTheme="minorHAnsi" w:eastAsiaTheme="minorEastAsia" w:hAnsiTheme="minorHAnsi" w:cstheme="minorBidi"/>
            <w:noProof/>
            <w:lang w:eastAsia="cs-CZ"/>
          </w:rPr>
          <w:tab/>
        </w:r>
        <w:r w:rsidR="006B4457" w:rsidRPr="00690A60">
          <w:rPr>
            <w:rStyle w:val="Hypertextovodkaz"/>
            <w:noProof/>
          </w:rPr>
          <w:t>Pojištění splátek úvěru při ztrátě příjmu - T940:</w:t>
        </w:r>
        <w:r w:rsidR="006B4457">
          <w:rPr>
            <w:noProof/>
            <w:webHidden/>
          </w:rPr>
          <w:tab/>
        </w:r>
        <w:r>
          <w:rPr>
            <w:noProof/>
            <w:webHidden/>
          </w:rPr>
          <w:fldChar w:fldCharType="begin"/>
        </w:r>
        <w:r w:rsidR="006B4457">
          <w:rPr>
            <w:noProof/>
            <w:webHidden/>
          </w:rPr>
          <w:instrText xml:space="preserve"> PAGEREF _Toc309717603 \h </w:instrText>
        </w:r>
        <w:r>
          <w:rPr>
            <w:noProof/>
            <w:webHidden/>
          </w:rPr>
        </w:r>
        <w:r>
          <w:rPr>
            <w:noProof/>
            <w:webHidden/>
          </w:rPr>
          <w:fldChar w:fldCharType="separate"/>
        </w:r>
        <w:r w:rsidR="006B4457">
          <w:rPr>
            <w:noProof/>
            <w:webHidden/>
          </w:rPr>
          <w:t>26</w:t>
        </w:r>
        <w:r>
          <w:rPr>
            <w:noProof/>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604" w:history="1">
        <w:r w:rsidR="006B4457" w:rsidRPr="00690A60">
          <w:rPr>
            <w:rStyle w:val="Hypertextovodkaz"/>
          </w:rPr>
          <w:t>3.12</w:t>
        </w:r>
        <w:r w:rsidR="006B4457">
          <w:rPr>
            <w:rFonts w:asciiTheme="minorHAnsi" w:eastAsiaTheme="minorEastAsia" w:hAnsiTheme="minorHAnsi" w:cstheme="minorBidi"/>
            <w:lang w:eastAsia="cs-CZ"/>
          </w:rPr>
          <w:tab/>
        </w:r>
        <w:r w:rsidR="006B4457" w:rsidRPr="00690A60">
          <w:rPr>
            <w:rStyle w:val="Hypertextovodkaz"/>
          </w:rPr>
          <w:t>Úrazové pojištění</w:t>
        </w:r>
        <w:r w:rsidR="006B4457">
          <w:rPr>
            <w:webHidden/>
          </w:rPr>
          <w:tab/>
        </w:r>
        <w:r>
          <w:rPr>
            <w:webHidden/>
          </w:rPr>
          <w:fldChar w:fldCharType="begin"/>
        </w:r>
        <w:r w:rsidR="006B4457">
          <w:rPr>
            <w:webHidden/>
          </w:rPr>
          <w:instrText xml:space="preserve"> PAGEREF _Toc309717604 \h </w:instrText>
        </w:r>
        <w:r>
          <w:rPr>
            <w:webHidden/>
          </w:rPr>
        </w:r>
        <w:r>
          <w:rPr>
            <w:webHidden/>
          </w:rPr>
          <w:fldChar w:fldCharType="separate"/>
        </w:r>
        <w:r w:rsidR="006B4457">
          <w:rPr>
            <w:webHidden/>
          </w:rPr>
          <w:t>28</w:t>
        </w:r>
        <w:r>
          <w:rPr>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5" w:history="1">
        <w:r w:rsidR="006B4457" w:rsidRPr="00690A60">
          <w:rPr>
            <w:rStyle w:val="Hypertextovodkaz"/>
            <w:noProof/>
          </w:rPr>
          <w:t>3.12.1</w:t>
        </w:r>
        <w:r w:rsidR="006B4457">
          <w:rPr>
            <w:rFonts w:asciiTheme="minorHAnsi" w:eastAsiaTheme="minorEastAsia" w:hAnsiTheme="minorHAnsi" w:cstheme="minorBidi"/>
            <w:noProof/>
            <w:lang w:eastAsia="cs-CZ"/>
          </w:rPr>
          <w:tab/>
        </w:r>
        <w:r w:rsidR="006B4457" w:rsidRPr="00690A60">
          <w:rPr>
            <w:rStyle w:val="Hypertextovodkaz"/>
            <w:noProof/>
          </w:rPr>
          <w:t>Rozsah úrazového pojištění</w:t>
        </w:r>
        <w:r w:rsidR="006B4457">
          <w:rPr>
            <w:noProof/>
            <w:webHidden/>
          </w:rPr>
          <w:tab/>
        </w:r>
        <w:r>
          <w:rPr>
            <w:noProof/>
            <w:webHidden/>
          </w:rPr>
          <w:fldChar w:fldCharType="begin"/>
        </w:r>
        <w:r w:rsidR="006B4457">
          <w:rPr>
            <w:noProof/>
            <w:webHidden/>
          </w:rPr>
          <w:instrText xml:space="preserve"> PAGEREF _Toc309717605 \h </w:instrText>
        </w:r>
        <w:r>
          <w:rPr>
            <w:noProof/>
            <w:webHidden/>
          </w:rPr>
        </w:r>
        <w:r>
          <w:rPr>
            <w:noProof/>
            <w:webHidden/>
          </w:rPr>
          <w:fldChar w:fldCharType="separate"/>
        </w:r>
        <w:r w:rsidR="006B4457">
          <w:rPr>
            <w:noProof/>
            <w:webHidden/>
          </w:rPr>
          <w:t>29</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6" w:history="1">
        <w:r w:rsidR="006B4457" w:rsidRPr="00690A60">
          <w:rPr>
            <w:rStyle w:val="Hypertextovodkaz"/>
            <w:noProof/>
          </w:rPr>
          <w:t>3.12.2</w:t>
        </w:r>
        <w:r w:rsidR="006B4457">
          <w:rPr>
            <w:rFonts w:asciiTheme="minorHAnsi" w:eastAsiaTheme="minorEastAsia" w:hAnsiTheme="minorHAnsi" w:cstheme="minorBidi"/>
            <w:noProof/>
            <w:lang w:eastAsia="cs-CZ"/>
          </w:rPr>
          <w:tab/>
        </w:r>
        <w:r w:rsidR="006B4457" w:rsidRPr="00690A60">
          <w:rPr>
            <w:rStyle w:val="Hypertextovodkaz"/>
            <w:noProof/>
          </w:rPr>
          <w:t>Rizikové skupiny</w:t>
        </w:r>
        <w:r w:rsidR="006B4457">
          <w:rPr>
            <w:noProof/>
            <w:webHidden/>
          </w:rPr>
          <w:tab/>
        </w:r>
        <w:r>
          <w:rPr>
            <w:noProof/>
            <w:webHidden/>
          </w:rPr>
          <w:fldChar w:fldCharType="begin"/>
        </w:r>
        <w:r w:rsidR="006B4457">
          <w:rPr>
            <w:noProof/>
            <w:webHidden/>
          </w:rPr>
          <w:instrText xml:space="preserve"> PAGEREF _Toc309717606 \h </w:instrText>
        </w:r>
        <w:r>
          <w:rPr>
            <w:noProof/>
            <w:webHidden/>
          </w:rPr>
        </w:r>
        <w:r>
          <w:rPr>
            <w:noProof/>
            <w:webHidden/>
          </w:rPr>
          <w:fldChar w:fldCharType="separate"/>
        </w:r>
        <w:r w:rsidR="006B4457">
          <w:rPr>
            <w:noProof/>
            <w:webHidden/>
          </w:rPr>
          <w:t>31</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7" w:history="1">
        <w:r w:rsidR="006B4457" w:rsidRPr="00690A60">
          <w:rPr>
            <w:rStyle w:val="Hypertextovodkaz"/>
            <w:noProof/>
          </w:rPr>
          <w:t>3.12.3</w:t>
        </w:r>
        <w:r w:rsidR="006B4457">
          <w:rPr>
            <w:rFonts w:asciiTheme="minorHAnsi" w:eastAsiaTheme="minorEastAsia" w:hAnsiTheme="minorHAnsi" w:cstheme="minorBidi"/>
            <w:noProof/>
            <w:lang w:eastAsia="cs-CZ"/>
          </w:rPr>
          <w:tab/>
        </w:r>
        <w:r w:rsidR="006B4457" w:rsidRPr="00690A60">
          <w:rPr>
            <w:rStyle w:val="Hypertextovodkaz"/>
            <w:noProof/>
          </w:rPr>
          <w:t>Rizikové skupiny podle povolání (jen u pojištění dospělých)</w:t>
        </w:r>
        <w:r w:rsidR="006B4457">
          <w:rPr>
            <w:noProof/>
            <w:webHidden/>
          </w:rPr>
          <w:tab/>
        </w:r>
        <w:r>
          <w:rPr>
            <w:noProof/>
            <w:webHidden/>
          </w:rPr>
          <w:fldChar w:fldCharType="begin"/>
        </w:r>
        <w:r w:rsidR="006B4457">
          <w:rPr>
            <w:noProof/>
            <w:webHidden/>
          </w:rPr>
          <w:instrText xml:space="preserve"> PAGEREF _Toc309717607 \h </w:instrText>
        </w:r>
        <w:r>
          <w:rPr>
            <w:noProof/>
            <w:webHidden/>
          </w:rPr>
        </w:r>
        <w:r>
          <w:rPr>
            <w:noProof/>
            <w:webHidden/>
          </w:rPr>
          <w:fldChar w:fldCharType="separate"/>
        </w:r>
        <w:r w:rsidR="006B4457">
          <w:rPr>
            <w:noProof/>
            <w:webHidden/>
          </w:rPr>
          <w:t>31</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8" w:history="1">
        <w:r w:rsidR="006B4457" w:rsidRPr="00690A60">
          <w:rPr>
            <w:rStyle w:val="Hypertextovodkaz"/>
            <w:noProof/>
          </w:rPr>
          <w:t>3.12.4</w:t>
        </w:r>
        <w:r w:rsidR="006B4457">
          <w:rPr>
            <w:rFonts w:asciiTheme="minorHAnsi" w:eastAsiaTheme="minorEastAsia" w:hAnsiTheme="minorHAnsi" w:cstheme="minorBidi"/>
            <w:noProof/>
            <w:lang w:eastAsia="cs-CZ"/>
          </w:rPr>
          <w:tab/>
        </w:r>
        <w:r w:rsidR="006B4457" w:rsidRPr="00690A60">
          <w:rPr>
            <w:rStyle w:val="Hypertextovodkaz"/>
            <w:noProof/>
          </w:rPr>
          <w:t>Vysoce riziková činnost (VRČ)</w:t>
        </w:r>
        <w:r w:rsidR="006B4457">
          <w:rPr>
            <w:noProof/>
            <w:webHidden/>
          </w:rPr>
          <w:tab/>
        </w:r>
        <w:r>
          <w:rPr>
            <w:noProof/>
            <w:webHidden/>
          </w:rPr>
          <w:fldChar w:fldCharType="begin"/>
        </w:r>
        <w:r w:rsidR="006B4457">
          <w:rPr>
            <w:noProof/>
            <w:webHidden/>
          </w:rPr>
          <w:instrText xml:space="preserve"> PAGEREF _Toc309717608 \h </w:instrText>
        </w:r>
        <w:r>
          <w:rPr>
            <w:noProof/>
            <w:webHidden/>
          </w:rPr>
        </w:r>
        <w:r>
          <w:rPr>
            <w:noProof/>
            <w:webHidden/>
          </w:rPr>
          <w:fldChar w:fldCharType="separate"/>
        </w:r>
        <w:r w:rsidR="006B4457">
          <w:rPr>
            <w:noProof/>
            <w:webHidden/>
          </w:rPr>
          <w:t>32</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09" w:history="1">
        <w:r w:rsidR="006B4457" w:rsidRPr="00690A60">
          <w:rPr>
            <w:rStyle w:val="Hypertextovodkaz"/>
            <w:noProof/>
          </w:rPr>
          <w:t>3.12.5</w:t>
        </w:r>
        <w:r w:rsidR="006B4457">
          <w:rPr>
            <w:rFonts w:asciiTheme="minorHAnsi" w:eastAsiaTheme="minorEastAsia" w:hAnsiTheme="minorHAnsi" w:cstheme="minorBidi"/>
            <w:noProof/>
            <w:lang w:eastAsia="cs-CZ"/>
          </w:rPr>
          <w:tab/>
        </w:r>
        <w:r w:rsidR="006B4457" w:rsidRPr="00690A60">
          <w:rPr>
            <w:rStyle w:val="Hypertextovodkaz"/>
            <w:noProof/>
          </w:rPr>
          <w:t>Sport vykonávaný jako povolání (profesionální sport - P)</w:t>
        </w:r>
        <w:r w:rsidR="006B4457">
          <w:rPr>
            <w:noProof/>
            <w:webHidden/>
          </w:rPr>
          <w:tab/>
        </w:r>
        <w:r>
          <w:rPr>
            <w:noProof/>
            <w:webHidden/>
          </w:rPr>
          <w:fldChar w:fldCharType="begin"/>
        </w:r>
        <w:r w:rsidR="006B4457">
          <w:rPr>
            <w:noProof/>
            <w:webHidden/>
          </w:rPr>
          <w:instrText xml:space="preserve"> PAGEREF _Toc309717609 \h </w:instrText>
        </w:r>
        <w:r>
          <w:rPr>
            <w:noProof/>
            <w:webHidden/>
          </w:rPr>
        </w:r>
        <w:r>
          <w:rPr>
            <w:noProof/>
            <w:webHidden/>
          </w:rPr>
          <w:fldChar w:fldCharType="separate"/>
        </w:r>
        <w:r w:rsidR="006B4457">
          <w:rPr>
            <w:noProof/>
            <w:webHidden/>
          </w:rPr>
          <w:t>33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10" w:history="1">
        <w:r w:rsidR="006B4457" w:rsidRPr="00690A60">
          <w:rPr>
            <w:rStyle w:val="Hypertextovodkaz"/>
            <w:noProof/>
          </w:rPr>
          <w:t>3.12.6</w:t>
        </w:r>
        <w:r w:rsidR="006B4457">
          <w:rPr>
            <w:rFonts w:asciiTheme="minorHAnsi" w:eastAsiaTheme="minorEastAsia" w:hAnsiTheme="minorHAnsi" w:cstheme="minorBidi"/>
            <w:noProof/>
            <w:lang w:eastAsia="cs-CZ"/>
          </w:rPr>
          <w:tab/>
        </w:r>
        <w:r w:rsidR="006B4457" w:rsidRPr="00690A60">
          <w:rPr>
            <w:rStyle w:val="Hypertextovodkaz"/>
            <w:noProof/>
          </w:rPr>
          <w:t>Senioři (S)</w:t>
        </w:r>
        <w:r w:rsidR="006B4457">
          <w:rPr>
            <w:noProof/>
            <w:webHidden/>
          </w:rPr>
          <w:tab/>
        </w:r>
        <w:r>
          <w:rPr>
            <w:noProof/>
            <w:webHidden/>
          </w:rPr>
          <w:fldChar w:fldCharType="begin"/>
        </w:r>
        <w:r w:rsidR="006B4457">
          <w:rPr>
            <w:noProof/>
            <w:webHidden/>
          </w:rPr>
          <w:instrText xml:space="preserve"> PAGEREF _Toc309717610 \h </w:instrText>
        </w:r>
        <w:r>
          <w:rPr>
            <w:noProof/>
            <w:webHidden/>
          </w:rPr>
        </w:r>
        <w:r>
          <w:rPr>
            <w:noProof/>
            <w:webHidden/>
          </w:rPr>
          <w:fldChar w:fldCharType="separate"/>
        </w:r>
        <w:r w:rsidR="006B4457">
          <w:rPr>
            <w:noProof/>
            <w:webHidden/>
          </w:rPr>
          <w:t>33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11" w:history="1">
        <w:r w:rsidR="006B4457" w:rsidRPr="00690A60">
          <w:rPr>
            <w:rStyle w:val="Hypertextovodkaz"/>
            <w:noProof/>
          </w:rPr>
          <w:t>3.12.7</w:t>
        </w:r>
        <w:r w:rsidR="006B4457">
          <w:rPr>
            <w:rFonts w:asciiTheme="minorHAnsi" w:eastAsiaTheme="minorEastAsia" w:hAnsiTheme="minorHAnsi" w:cstheme="minorBidi"/>
            <w:noProof/>
            <w:lang w:eastAsia="cs-CZ"/>
          </w:rPr>
          <w:tab/>
        </w:r>
        <w:r w:rsidR="006B4457" w:rsidRPr="00690A60">
          <w:rPr>
            <w:rStyle w:val="Hypertextovodkaz"/>
            <w:noProof/>
          </w:rPr>
          <w:t>Extrémní sporty (ES)</w:t>
        </w:r>
        <w:r w:rsidR="006B4457">
          <w:rPr>
            <w:noProof/>
            <w:webHidden/>
          </w:rPr>
          <w:tab/>
        </w:r>
        <w:r>
          <w:rPr>
            <w:noProof/>
            <w:webHidden/>
          </w:rPr>
          <w:fldChar w:fldCharType="begin"/>
        </w:r>
        <w:r w:rsidR="006B4457">
          <w:rPr>
            <w:noProof/>
            <w:webHidden/>
          </w:rPr>
          <w:instrText xml:space="preserve"> PAGEREF _Toc309717611 \h </w:instrText>
        </w:r>
        <w:r>
          <w:rPr>
            <w:noProof/>
            <w:webHidden/>
          </w:rPr>
        </w:r>
        <w:r>
          <w:rPr>
            <w:noProof/>
            <w:webHidden/>
          </w:rPr>
          <w:fldChar w:fldCharType="separate"/>
        </w:r>
        <w:r w:rsidR="006B4457">
          <w:rPr>
            <w:noProof/>
            <w:webHidden/>
          </w:rPr>
          <w:t>33</w:t>
        </w:r>
        <w:r>
          <w:rPr>
            <w:noProof/>
            <w:webHidden/>
          </w:rPr>
          <w:fldChar w:fldCharType="end"/>
        </w:r>
      </w:hyperlink>
    </w:p>
    <w:p w:rsidR="006B4457" w:rsidRDefault="00F95F06">
      <w:pPr>
        <w:pStyle w:val="Obsah3"/>
        <w:rPr>
          <w:rFonts w:asciiTheme="minorHAnsi" w:eastAsiaTheme="minorEastAsia" w:hAnsiTheme="minorHAnsi" w:cstheme="minorBidi"/>
          <w:noProof/>
          <w:lang w:eastAsia="cs-CZ"/>
        </w:rPr>
      </w:pPr>
      <w:hyperlink w:anchor="_Toc309717612" w:history="1">
        <w:r w:rsidR="006B4457" w:rsidRPr="00690A60">
          <w:rPr>
            <w:rStyle w:val="Hypertextovodkaz"/>
            <w:noProof/>
          </w:rPr>
          <w:t>3.12.8</w:t>
        </w:r>
        <w:r w:rsidR="006B4457">
          <w:rPr>
            <w:rFonts w:asciiTheme="minorHAnsi" w:eastAsiaTheme="minorEastAsia" w:hAnsiTheme="minorHAnsi" w:cstheme="minorBidi"/>
            <w:noProof/>
            <w:lang w:eastAsia="cs-CZ"/>
          </w:rPr>
          <w:tab/>
        </w:r>
        <w:r w:rsidR="006B4457" w:rsidRPr="00690A60">
          <w:rPr>
            <w:rStyle w:val="Hypertextovodkaz"/>
            <w:noProof/>
          </w:rPr>
          <w:t>Zásady pro výplatu pojistného plnění s ohledem na zařazení do rizikových skupin</w:t>
        </w:r>
        <w:r w:rsidR="006B4457">
          <w:rPr>
            <w:noProof/>
            <w:webHidden/>
          </w:rPr>
          <w:tab/>
        </w:r>
        <w:r>
          <w:rPr>
            <w:noProof/>
            <w:webHidden/>
          </w:rPr>
          <w:fldChar w:fldCharType="begin"/>
        </w:r>
        <w:r w:rsidR="006B4457">
          <w:rPr>
            <w:noProof/>
            <w:webHidden/>
          </w:rPr>
          <w:instrText xml:space="preserve"> PAGEREF _Toc309717612 \h </w:instrText>
        </w:r>
        <w:r>
          <w:rPr>
            <w:noProof/>
            <w:webHidden/>
          </w:rPr>
        </w:r>
        <w:r>
          <w:rPr>
            <w:noProof/>
            <w:webHidden/>
          </w:rPr>
          <w:fldChar w:fldCharType="separate"/>
        </w:r>
        <w:r w:rsidR="006B4457">
          <w:rPr>
            <w:noProof/>
            <w:webHidden/>
          </w:rPr>
          <w:t>35</w:t>
        </w:r>
        <w:r>
          <w:rPr>
            <w:noProof/>
            <w:webHidden/>
          </w:rPr>
          <w:fldChar w:fldCharType="end"/>
        </w:r>
      </w:hyperlink>
    </w:p>
    <w:p w:rsidR="006B4457" w:rsidRDefault="00F95F06">
      <w:pPr>
        <w:pStyle w:val="Obsah2"/>
        <w:rPr>
          <w:rFonts w:asciiTheme="minorHAnsi" w:eastAsiaTheme="minorEastAsia" w:hAnsiTheme="minorHAnsi" w:cstheme="minorBidi"/>
          <w:lang w:eastAsia="cs-CZ"/>
        </w:rPr>
      </w:pPr>
      <w:hyperlink w:anchor="_Toc309717613" w:history="1">
        <w:r w:rsidR="006B4457" w:rsidRPr="00690A60">
          <w:rPr>
            <w:rStyle w:val="Hypertextovodkaz"/>
          </w:rPr>
          <w:t>3.13</w:t>
        </w:r>
        <w:r w:rsidR="006B4457">
          <w:rPr>
            <w:rFonts w:asciiTheme="minorHAnsi" w:eastAsiaTheme="minorEastAsia" w:hAnsiTheme="minorHAnsi" w:cstheme="minorBidi"/>
            <w:lang w:eastAsia="cs-CZ"/>
          </w:rPr>
          <w:tab/>
        </w:r>
        <w:r w:rsidR="006B4457" w:rsidRPr="00690A60">
          <w:rPr>
            <w:rStyle w:val="Hypertextovodkaz"/>
          </w:rPr>
          <w:t>Konkurenční produkty PRODUKTU XY</w:t>
        </w:r>
        <w:r w:rsidR="006B4457">
          <w:rPr>
            <w:webHidden/>
          </w:rPr>
          <w:tab/>
        </w:r>
        <w:r>
          <w:rPr>
            <w:webHidden/>
          </w:rPr>
          <w:fldChar w:fldCharType="begin"/>
        </w:r>
        <w:r w:rsidR="006B4457">
          <w:rPr>
            <w:webHidden/>
          </w:rPr>
          <w:instrText xml:space="preserve"> PAGEREF _Toc309717613 \h </w:instrText>
        </w:r>
        <w:r>
          <w:rPr>
            <w:webHidden/>
          </w:rPr>
        </w:r>
        <w:r>
          <w:rPr>
            <w:webHidden/>
          </w:rPr>
          <w:fldChar w:fldCharType="separate"/>
        </w:r>
        <w:r w:rsidR="006B4457">
          <w:rPr>
            <w:webHidden/>
          </w:rPr>
          <w:t>36</w:t>
        </w:r>
        <w:r>
          <w:rPr>
            <w:webHidden/>
          </w:rPr>
          <w:fldChar w:fldCharType="end"/>
        </w:r>
      </w:hyperlink>
    </w:p>
    <w:p w:rsidR="006B4457" w:rsidRDefault="00F95F06">
      <w:pPr>
        <w:pStyle w:val="Obsah1"/>
        <w:rPr>
          <w:rFonts w:asciiTheme="minorHAnsi" w:eastAsiaTheme="minorEastAsia" w:hAnsiTheme="minorHAnsi" w:cstheme="minorBidi"/>
          <w:noProof/>
          <w:sz w:val="22"/>
          <w:lang w:eastAsia="cs-CZ"/>
        </w:rPr>
      </w:pPr>
      <w:hyperlink w:anchor="_Toc309717614" w:history="1">
        <w:r w:rsidR="006B4457" w:rsidRPr="00690A60">
          <w:rPr>
            <w:rStyle w:val="Hypertextovodkaz"/>
            <w:noProof/>
          </w:rPr>
          <w:t>4</w:t>
        </w:r>
        <w:r w:rsidR="006B4457">
          <w:rPr>
            <w:rFonts w:asciiTheme="minorHAnsi" w:eastAsiaTheme="minorEastAsia" w:hAnsiTheme="minorHAnsi" w:cstheme="minorBidi"/>
            <w:noProof/>
            <w:sz w:val="22"/>
            <w:lang w:eastAsia="cs-CZ"/>
          </w:rPr>
          <w:tab/>
        </w:r>
        <w:r w:rsidR="006B4457" w:rsidRPr="00690A60">
          <w:rPr>
            <w:rStyle w:val="Hypertextovodkaz"/>
            <w:noProof/>
          </w:rPr>
          <w:t>Závěr</w:t>
        </w:r>
        <w:r w:rsidR="006B4457">
          <w:rPr>
            <w:noProof/>
            <w:webHidden/>
          </w:rPr>
          <w:tab/>
        </w:r>
        <w:r>
          <w:rPr>
            <w:noProof/>
            <w:webHidden/>
          </w:rPr>
          <w:fldChar w:fldCharType="begin"/>
        </w:r>
        <w:r w:rsidR="006B4457">
          <w:rPr>
            <w:noProof/>
            <w:webHidden/>
          </w:rPr>
          <w:instrText xml:space="preserve"> PAGEREF _Toc309717614 \h </w:instrText>
        </w:r>
        <w:r>
          <w:rPr>
            <w:noProof/>
            <w:webHidden/>
          </w:rPr>
        </w:r>
        <w:r>
          <w:rPr>
            <w:noProof/>
            <w:webHidden/>
          </w:rPr>
          <w:fldChar w:fldCharType="separate"/>
        </w:r>
        <w:r w:rsidR="006B4457">
          <w:rPr>
            <w:noProof/>
            <w:webHidden/>
          </w:rPr>
          <w:t>37</w:t>
        </w:r>
        <w:r>
          <w:rPr>
            <w:noProof/>
            <w:webHidden/>
          </w:rPr>
          <w:fldChar w:fldCharType="end"/>
        </w:r>
      </w:hyperlink>
    </w:p>
    <w:p w:rsidR="006B4457" w:rsidRDefault="00F95F06">
      <w:pPr>
        <w:pStyle w:val="Obsah1"/>
        <w:rPr>
          <w:rFonts w:asciiTheme="minorHAnsi" w:eastAsiaTheme="minorEastAsia" w:hAnsiTheme="minorHAnsi" w:cstheme="minorBidi"/>
          <w:noProof/>
          <w:sz w:val="22"/>
          <w:lang w:eastAsia="cs-CZ"/>
        </w:rPr>
      </w:pPr>
      <w:hyperlink w:anchor="_Toc309717615" w:history="1">
        <w:r w:rsidR="006B4457" w:rsidRPr="00690A60">
          <w:rPr>
            <w:rStyle w:val="Hypertextovodkaz"/>
            <w:noProof/>
          </w:rPr>
          <w:t>Literatura</w:t>
        </w:r>
        <w:r w:rsidR="006B4457">
          <w:rPr>
            <w:noProof/>
            <w:webHidden/>
          </w:rPr>
          <w:tab/>
        </w:r>
        <w:r>
          <w:rPr>
            <w:noProof/>
            <w:webHidden/>
          </w:rPr>
          <w:fldChar w:fldCharType="begin"/>
        </w:r>
        <w:r w:rsidR="006B4457">
          <w:rPr>
            <w:noProof/>
            <w:webHidden/>
          </w:rPr>
          <w:instrText xml:space="preserve"> PAGEREF _Toc309717615 \h </w:instrText>
        </w:r>
        <w:r>
          <w:rPr>
            <w:noProof/>
            <w:webHidden/>
          </w:rPr>
        </w:r>
        <w:r>
          <w:rPr>
            <w:noProof/>
            <w:webHidden/>
          </w:rPr>
          <w:fldChar w:fldCharType="separate"/>
        </w:r>
        <w:r w:rsidR="006B4457">
          <w:rPr>
            <w:noProof/>
            <w:webHidden/>
          </w:rPr>
          <w:t>39</w:t>
        </w:r>
        <w:r>
          <w:rPr>
            <w:noProof/>
            <w:webHidden/>
          </w:rPr>
          <w:fldChar w:fldCharType="end"/>
        </w:r>
      </w:hyperlink>
    </w:p>
    <w:p w:rsidR="006B4457" w:rsidRDefault="00F95F06">
      <w:pPr>
        <w:pStyle w:val="Obsah1"/>
        <w:rPr>
          <w:rFonts w:asciiTheme="minorHAnsi" w:eastAsiaTheme="minorEastAsia" w:hAnsiTheme="minorHAnsi" w:cstheme="minorBidi"/>
          <w:noProof/>
          <w:sz w:val="22"/>
          <w:lang w:eastAsia="cs-CZ"/>
        </w:rPr>
      </w:pPr>
      <w:hyperlink w:anchor="_Toc309717616" w:history="1">
        <w:r w:rsidR="006B4457" w:rsidRPr="00690A60">
          <w:rPr>
            <w:rStyle w:val="Hypertextovodkaz"/>
            <w:noProof/>
          </w:rPr>
          <w:t>Přílohy</w:t>
        </w:r>
        <w:r w:rsidR="006B4457">
          <w:rPr>
            <w:noProof/>
            <w:webHidden/>
          </w:rPr>
          <w:tab/>
        </w:r>
        <w:r>
          <w:rPr>
            <w:noProof/>
            <w:webHidden/>
          </w:rPr>
          <w:fldChar w:fldCharType="begin"/>
        </w:r>
        <w:r w:rsidR="006B4457">
          <w:rPr>
            <w:noProof/>
            <w:webHidden/>
          </w:rPr>
          <w:instrText xml:space="preserve"> PAGEREF _Toc309717616 \h </w:instrText>
        </w:r>
        <w:r>
          <w:rPr>
            <w:noProof/>
            <w:webHidden/>
          </w:rPr>
        </w:r>
        <w:r>
          <w:rPr>
            <w:noProof/>
            <w:webHidden/>
          </w:rPr>
          <w:fldChar w:fldCharType="separate"/>
        </w:r>
        <w:r w:rsidR="006B4457">
          <w:rPr>
            <w:noProof/>
            <w:webHidden/>
          </w:rPr>
          <w:t>1</w:t>
        </w:r>
        <w:r>
          <w:rPr>
            <w:noProof/>
            <w:webHidden/>
          </w:rPr>
          <w:fldChar w:fldCharType="end"/>
        </w:r>
      </w:hyperlink>
    </w:p>
    <w:p w:rsidR="00793AB3" w:rsidRDefault="00F95F06" w:rsidP="0014355A">
      <w:pPr>
        <w:jc w:val="left"/>
      </w:pPr>
      <w:r>
        <w:fldChar w:fldCharType="end"/>
      </w:r>
    </w:p>
    <w:p w:rsidR="00456474" w:rsidRDefault="00456474" w:rsidP="00F05477">
      <w:pPr>
        <w:pStyle w:val="Zkladntext"/>
      </w:pPr>
    </w:p>
    <w:p w:rsidR="00F72854" w:rsidRDefault="00F72854">
      <w:pPr>
        <w:spacing w:after="0" w:line="240" w:lineRule="auto"/>
        <w:jc w:val="left"/>
      </w:pPr>
      <w:r>
        <w:br w:type="page"/>
      </w:r>
    </w:p>
    <w:p w:rsidR="007B4C07" w:rsidRPr="00D8087C" w:rsidRDefault="007B4C07" w:rsidP="007B4C07">
      <w:pPr>
        <w:pStyle w:val="AbstractSummary-nadpis"/>
      </w:pPr>
      <w:r w:rsidRPr="00D8087C">
        <w:lastRenderedPageBreak/>
        <w:t>Seznam zkratek</w:t>
      </w:r>
    </w:p>
    <w:p w:rsidR="00816BCC" w:rsidRDefault="00816BCC" w:rsidP="00816BCC">
      <w:pPr>
        <w:spacing w:line="240" w:lineRule="auto"/>
        <w:jc w:val="left"/>
      </w:pPr>
      <w:r>
        <w:t>BMI</w:t>
      </w:r>
      <w:r>
        <w:tab/>
      </w:r>
      <w:r>
        <w:tab/>
      </w:r>
      <w:r>
        <w:tab/>
        <w:t xml:space="preserve">body </w:t>
      </w:r>
      <w:proofErr w:type="spellStart"/>
      <w:r>
        <w:t>mass</w:t>
      </w:r>
      <w:proofErr w:type="spellEnd"/>
      <w:r>
        <w:t xml:space="preserve"> index (index tělesné hmotnosti)</w:t>
      </w:r>
    </w:p>
    <w:p w:rsidR="006118CF" w:rsidRDefault="006118CF" w:rsidP="00816BCC">
      <w:pPr>
        <w:spacing w:line="240" w:lineRule="auto"/>
        <w:jc w:val="left"/>
      </w:pPr>
      <w:r>
        <w:t>ČSÚ</w:t>
      </w:r>
      <w:r>
        <w:tab/>
      </w:r>
      <w:r>
        <w:tab/>
      </w:r>
      <w:r>
        <w:tab/>
        <w:t>Český statistický úřad</w:t>
      </w:r>
    </w:p>
    <w:p w:rsidR="00816BCC" w:rsidRDefault="00816BCC" w:rsidP="00816BCC">
      <w:pPr>
        <w:spacing w:line="240" w:lineRule="auto"/>
        <w:jc w:val="left"/>
      </w:pPr>
      <w:r>
        <w:t>HIV</w:t>
      </w:r>
      <w:r>
        <w:tab/>
      </w:r>
      <w:r>
        <w:tab/>
      </w:r>
      <w:r>
        <w:tab/>
        <w:t>virus lidské imunitní nedostatečnosti</w:t>
      </w:r>
    </w:p>
    <w:p w:rsidR="006118CF" w:rsidRDefault="006118CF" w:rsidP="00816BCC">
      <w:pPr>
        <w:spacing w:line="240" w:lineRule="auto"/>
        <w:jc w:val="left"/>
      </w:pPr>
      <w:r>
        <w:t>OSVČ</w:t>
      </w:r>
      <w:r>
        <w:tab/>
      </w:r>
      <w:r>
        <w:tab/>
      </w:r>
      <w:r>
        <w:tab/>
        <w:t xml:space="preserve">osoba samostatně výdělečně činná </w:t>
      </w:r>
    </w:p>
    <w:p w:rsidR="00A75BE6" w:rsidRDefault="00A75BE6" w:rsidP="00816BCC">
      <w:pPr>
        <w:spacing w:line="240" w:lineRule="auto"/>
        <w:jc w:val="left"/>
      </w:pPr>
      <w:r>
        <w:t>RS</w:t>
      </w:r>
      <w:r>
        <w:tab/>
      </w:r>
      <w:r>
        <w:tab/>
      </w:r>
      <w:r>
        <w:tab/>
        <w:t>riziková skupina</w:t>
      </w:r>
    </w:p>
    <w:p w:rsidR="00DB48D3" w:rsidRDefault="00DB48D3" w:rsidP="00816BCC">
      <w:pPr>
        <w:spacing w:line="240" w:lineRule="auto"/>
        <w:jc w:val="left"/>
      </w:pPr>
      <w:r>
        <w:t>TBC</w:t>
      </w:r>
      <w:r>
        <w:tab/>
      </w:r>
      <w:r>
        <w:tab/>
      </w:r>
      <w:r>
        <w:tab/>
        <w:t xml:space="preserve">tuberkulóza </w:t>
      </w:r>
    </w:p>
    <w:p w:rsidR="002364FE" w:rsidRDefault="00441F47" w:rsidP="00816BCC">
      <w:pPr>
        <w:spacing w:line="240" w:lineRule="auto"/>
        <w:jc w:val="left"/>
      </w:pPr>
      <w:r>
        <w:t>ZP</w:t>
      </w:r>
      <w:r>
        <w:tab/>
      </w:r>
      <w:r>
        <w:tab/>
      </w:r>
      <w:r>
        <w:tab/>
        <w:t>zákoník práce</w:t>
      </w:r>
    </w:p>
    <w:p w:rsidR="002364FE" w:rsidRDefault="002364FE" w:rsidP="00816BCC">
      <w:pPr>
        <w:spacing w:line="240" w:lineRule="auto"/>
        <w:jc w:val="left"/>
      </w:pPr>
      <w:r>
        <w:t>PČ</w:t>
      </w:r>
      <w:r>
        <w:tab/>
      </w:r>
      <w:r>
        <w:tab/>
      </w:r>
      <w:r>
        <w:tab/>
        <w:t>pojistná částka</w:t>
      </w:r>
    </w:p>
    <w:p w:rsidR="002364FE" w:rsidRDefault="002364FE" w:rsidP="00816BCC">
      <w:pPr>
        <w:spacing w:line="240" w:lineRule="auto"/>
        <w:jc w:val="left"/>
      </w:pPr>
      <w:r>
        <w:t>ŽP</w:t>
      </w:r>
      <w:r>
        <w:tab/>
      </w:r>
      <w:r>
        <w:tab/>
      </w:r>
      <w:r>
        <w:tab/>
        <w:t>životní pojištění</w:t>
      </w:r>
    </w:p>
    <w:p w:rsidR="002364FE" w:rsidRDefault="002364FE" w:rsidP="00816BCC">
      <w:pPr>
        <w:spacing w:line="240" w:lineRule="auto"/>
        <w:jc w:val="left"/>
      </w:pPr>
      <w:r>
        <w:t>ZO</w:t>
      </w:r>
      <w:r>
        <w:tab/>
      </w:r>
      <w:r>
        <w:tab/>
      </w:r>
      <w:r>
        <w:tab/>
        <w:t>závažná onemocnění</w:t>
      </w:r>
    </w:p>
    <w:p w:rsidR="002364FE" w:rsidRDefault="002364FE" w:rsidP="00816BCC">
      <w:pPr>
        <w:spacing w:line="240" w:lineRule="auto"/>
        <w:jc w:val="left"/>
      </w:pPr>
      <w:r>
        <w:t>KO</w:t>
      </w:r>
      <w:r>
        <w:tab/>
      </w:r>
      <w:r>
        <w:tab/>
      </w:r>
      <w:r>
        <w:tab/>
        <w:t>kritická onemocnění</w:t>
      </w:r>
    </w:p>
    <w:p w:rsidR="002364FE" w:rsidRDefault="002364FE" w:rsidP="00816BCC">
      <w:pPr>
        <w:spacing w:line="240" w:lineRule="auto"/>
        <w:jc w:val="left"/>
      </w:pPr>
      <w:r>
        <w:t>SÚ</w:t>
      </w:r>
      <w:r>
        <w:tab/>
      </w:r>
      <w:r>
        <w:tab/>
      </w:r>
      <w:r>
        <w:tab/>
        <w:t>smrt úrazem</w:t>
      </w:r>
    </w:p>
    <w:p w:rsidR="002364FE" w:rsidRDefault="002364FE" w:rsidP="00816BCC">
      <w:pPr>
        <w:spacing w:line="240" w:lineRule="auto"/>
        <w:jc w:val="left"/>
      </w:pPr>
      <w:r>
        <w:t>TN</w:t>
      </w:r>
      <w:r>
        <w:tab/>
      </w:r>
      <w:r>
        <w:tab/>
      </w:r>
      <w:r>
        <w:tab/>
        <w:t>trvalé následky</w:t>
      </w:r>
    </w:p>
    <w:p w:rsidR="002364FE" w:rsidRDefault="002364FE" w:rsidP="00816BCC">
      <w:pPr>
        <w:spacing w:line="240" w:lineRule="auto"/>
        <w:jc w:val="left"/>
      </w:pPr>
      <w:r>
        <w:t>SMV</w:t>
      </w:r>
      <w:r>
        <w:tab/>
      </w:r>
      <w:r>
        <w:tab/>
      </w:r>
      <w:r>
        <w:tab/>
        <w:t>smrt v motorovém vozidle</w:t>
      </w:r>
    </w:p>
    <w:p w:rsidR="007B4C07" w:rsidRDefault="002364FE" w:rsidP="00816BCC">
      <w:pPr>
        <w:spacing w:line="240" w:lineRule="auto"/>
        <w:jc w:val="left"/>
        <w:rPr>
          <w:b/>
          <w:szCs w:val="24"/>
        </w:rPr>
      </w:pPr>
      <w:r>
        <w:t>DNL</w:t>
      </w:r>
      <w:r>
        <w:tab/>
      </w:r>
      <w:r>
        <w:tab/>
      </w:r>
      <w:r>
        <w:tab/>
        <w:t>doba nezbytného léčení</w:t>
      </w:r>
      <w:r w:rsidR="007B4C07">
        <w:br w:type="page"/>
      </w:r>
    </w:p>
    <w:p w:rsidR="00F72854" w:rsidRDefault="00F72854" w:rsidP="00F72854">
      <w:pPr>
        <w:pStyle w:val="AbstractSummary-nadpis"/>
      </w:pPr>
      <w:r>
        <w:lastRenderedPageBreak/>
        <w:t>Seznam tabulek</w:t>
      </w:r>
      <w:r w:rsidR="0007653B">
        <w:t xml:space="preserve"> v příloze</w:t>
      </w:r>
    </w:p>
    <w:p w:rsidR="00F97C20" w:rsidRPr="00F97C20" w:rsidRDefault="00F97C20" w:rsidP="00F97C20">
      <w:pPr>
        <w:tabs>
          <w:tab w:val="center" w:leader="dot" w:pos="7938"/>
        </w:tabs>
        <w:jc w:val="left"/>
        <w:rPr>
          <w:sz w:val="20"/>
        </w:rPr>
      </w:pPr>
      <w:r w:rsidRPr="00F97C20">
        <w:rPr>
          <w:sz w:val="20"/>
        </w:rPr>
        <w:t>Tabulka 1 Průměrná pojistná částka smrt</w:t>
      </w:r>
      <w:r w:rsidRPr="00F97C20">
        <w:rPr>
          <w:sz w:val="20"/>
        </w:rPr>
        <w:tab/>
        <w:t>2</w:t>
      </w:r>
    </w:p>
    <w:p w:rsidR="00F97C20" w:rsidRPr="00F97C20" w:rsidRDefault="00F97C20" w:rsidP="00F97C20">
      <w:pPr>
        <w:tabs>
          <w:tab w:val="center" w:leader="dot" w:pos="7938"/>
        </w:tabs>
        <w:jc w:val="left"/>
        <w:rPr>
          <w:sz w:val="20"/>
        </w:rPr>
      </w:pPr>
      <w:r w:rsidRPr="00F97C20">
        <w:rPr>
          <w:sz w:val="20"/>
        </w:rPr>
        <w:t>Tabulka 2 Průměrný vstupní věk</w:t>
      </w:r>
      <w:r w:rsidRPr="00F97C20">
        <w:rPr>
          <w:sz w:val="20"/>
        </w:rPr>
        <w:tab/>
        <w:t>5</w:t>
      </w:r>
    </w:p>
    <w:p w:rsidR="00F97C20" w:rsidRPr="00F97C20" w:rsidRDefault="00F97C20" w:rsidP="00F97C20">
      <w:pPr>
        <w:tabs>
          <w:tab w:val="center" w:leader="dot" w:pos="7938"/>
        </w:tabs>
        <w:jc w:val="left"/>
        <w:rPr>
          <w:sz w:val="20"/>
        </w:rPr>
      </w:pPr>
      <w:r w:rsidRPr="00F97C20">
        <w:rPr>
          <w:sz w:val="20"/>
        </w:rPr>
        <w:t>Tabulka 3 Závažná onemocnění ZO</w:t>
      </w:r>
      <w:r w:rsidRPr="00F97C20">
        <w:rPr>
          <w:sz w:val="20"/>
        </w:rPr>
        <w:tab/>
        <w:t>7</w:t>
      </w:r>
    </w:p>
    <w:p w:rsidR="00F97C20" w:rsidRPr="00F97C20" w:rsidRDefault="00F97C20" w:rsidP="00F97C20">
      <w:pPr>
        <w:tabs>
          <w:tab w:val="center" w:leader="dot" w:pos="7938"/>
        </w:tabs>
        <w:jc w:val="left"/>
        <w:rPr>
          <w:sz w:val="20"/>
        </w:rPr>
      </w:pPr>
      <w:r w:rsidRPr="00F97C20">
        <w:rPr>
          <w:sz w:val="20"/>
        </w:rPr>
        <w:t>Tabulka 4 Kritická onemocnění KO</w:t>
      </w:r>
      <w:r>
        <w:rPr>
          <w:sz w:val="20"/>
        </w:rPr>
        <w:tab/>
      </w:r>
      <w:r w:rsidRPr="00F97C20">
        <w:rPr>
          <w:sz w:val="20"/>
        </w:rPr>
        <w:t>7</w:t>
      </w:r>
    </w:p>
    <w:p w:rsidR="00F97C20" w:rsidRPr="00F97C20" w:rsidRDefault="00F97C20" w:rsidP="00F97C20">
      <w:pPr>
        <w:tabs>
          <w:tab w:val="center" w:leader="dot" w:pos="7938"/>
        </w:tabs>
        <w:jc w:val="left"/>
        <w:rPr>
          <w:sz w:val="20"/>
        </w:rPr>
      </w:pPr>
      <w:r>
        <w:rPr>
          <w:sz w:val="20"/>
        </w:rPr>
        <w:t>Tabulka 5 Zproštění sjednávání</w:t>
      </w:r>
      <w:r>
        <w:rPr>
          <w:sz w:val="20"/>
        </w:rPr>
        <w:tab/>
      </w:r>
      <w:r w:rsidRPr="00F97C20">
        <w:rPr>
          <w:sz w:val="20"/>
        </w:rPr>
        <w:t>7</w:t>
      </w:r>
    </w:p>
    <w:p w:rsidR="00F97C20" w:rsidRPr="00F97C20" w:rsidRDefault="00F97C20" w:rsidP="00F97C20">
      <w:pPr>
        <w:tabs>
          <w:tab w:val="center" w:leader="dot" w:pos="7938"/>
        </w:tabs>
        <w:jc w:val="left"/>
        <w:rPr>
          <w:sz w:val="20"/>
        </w:rPr>
      </w:pPr>
      <w:r w:rsidRPr="00F97C20">
        <w:rPr>
          <w:sz w:val="20"/>
        </w:rPr>
        <w:t>Tabulka 6 Smrt úrazem</w:t>
      </w:r>
      <w:r w:rsidRPr="00F97C20">
        <w:rPr>
          <w:sz w:val="20"/>
        </w:rPr>
        <w:tab/>
        <w:t>8</w:t>
      </w:r>
    </w:p>
    <w:p w:rsidR="00F97C20" w:rsidRPr="00F97C20" w:rsidRDefault="00F97C20" w:rsidP="00F97C20">
      <w:pPr>
        <w:tabs>
          <w:tab w:val="center" w:leader="dot" w:pos="7938"/>
        </w:tabs>
        <w:jc w:val="left"/>
        <w:rPr>
          <w:sz w:val="20"/>
        </w:rPr>
      </w:pPr>
      <w:r w:rsidRPr="00F97C20">
        <w:rPr>
          <w:sz w:val="20"/>
        </w:rPr>
        <w:t>Tabulka 7 Trvalé následky úrazem</w:t>
      </w:r>
      <w:r>
        <w:rPr>
          <w:sz w:val="20"/>
        </w:rPr>
        <w:tab/>
      </w:r>
      <w:r w:rsidRPr="00F97C20">
        <w:rPr>
          <w:sz w:val="20"/>
        </w:rPr>
        <w:t>8</w:t>
      </w:r>
    </w:p>
    <w:p w:rsidR="00F97C20" w:rsidRPr="00F97C20" w:rsidRDefault="00F97C20" w:rsidP="00F97C20">
      <w:pPr>
        <w:tabs>
          <w:tab w:val="center" w:leader="dot" w:pos="7938"/>
        </w:tabs>
        <w:jc w:val="left"/>
        <w:rPr>
          <w:sz w:val="20"/>
        </w:rPr>
      </w:pPr>
      <w:r w:rsidRPr="00F97C20">
        <w:rPr>
          <w:sz w:val="20"/>
        </w:rPr>
        <w:t>Tabulka 8 Smrt v motorovém vozidle</w:t>
      </w:r>
      <w:r>
        <w:rPr>
          <w:sz w:val="20"/>
        </w:rPr>
        <w:tab/>
      </w:r>
      <w:r w:rsidRPr="00F97C20">
        <w:rPr>
          <w:sz w:val="20"/>
        </w:rPr>
        <w:t>8</w:t>
      </w:r>
    </w:p>
    <w:p w:rsidR="00F97C20" w:rsidRPr="00F97C20" w:rsidRDefault="00F97C20" w:rsidP="00F97C20">
      <w:pPr>
        <w:tabs>
          <w:tab w:val="center" w:leader="dot" w:pos="7938"/>
        </w:tabs>
        <w:jc w:val="left"/>
        <w:rPr>
          <w:sz w:val="20"/>
        </w:rPr>
      </w:pPr>
      <w:r w:rsidRPr="00F97C20">
        <w:rPr>
          <w:sz w:val="20"/>
        </w:rPr>
        <w:t>Tabulka 9 Doba nezbytného léčení</w:t>
      </w:r>
      <w:r>
        <w:rPr>
          <w:sz w:val="20"/>
        </w:rPr>
        <w:tab/>
      </w:r>
      <w:r w:rsidRPr="00F97C20">
        <w:rPr>
          <w:sz w:val="20"/>
        </w:rPr>
        <w:t>8</w:t>
      </w:r>
    </w:p>
    <w:p w:rsidR="00F97C20" w:rsidRPr="00F97C20" w:rsidRDefault="00F97C20" w:rsidP="00F97C20">
      <w:pPr>
        <w:tabs>
          <w:tab w:val="center" w:leader="dot" w:pos="7938"/>
        </w:tabs>
        <w:jc w:val="left"/>
        <w:rPr>
          <w:sz w:val="20"/>
        </w:rPr>
      </w:pPr>
      <w:r w:rsidRPr="00F97C20">
        <w:rPr>
          <w:sz w:val="20"/>
        </w:rPr>
        <w:t>Tabulka 10 Invalidita</w:t>
      </w:r>
      <w:r>
        <w:rPr>
          <w:sz w:val="20"/>
        </w:rPr>
        <w:tab/>
        <w:t>9</w:t>
      </w:r>
    </w:p>
    <w:p w:rsidR="00F97C20" w:rsidRPr="00F97C20" w:rsidRDefault="00F97C20" w:rsidP="00F97C20">
      <w:pPr>
        <w:tabs>
          <w:tab w:val="center" w:leader="dot" w:pos="7938"/>
        </w:tabs>
        <w:jc w:val="left"/>
        <w:rPr>
          <w:sz w:val="20"/>
        </w:rPr>
      </w:pPr>
      <w:r w:rsidRPr="00F97C20">
        <w:rPr>
          <w:sz w:val="20"/>
        </w:rPr>
        <w:t>Tabulka 11 Smrt úrazem děti</w:t>
      </w:r>
      <w:r w:rsidRPr="00F97C20">
        <w:rPr>
          <w:sz w:val="20"/>
        </w:rPr>
        <w:tab/>
        <w:t>9</w:t>
      </w:r>
    </w:p>
    <w:p w:rsidR="00F97C20" w:rsidRPr="00F97C20" w:rsidRDefault="00F97C20" w:rsidP="00F97C20">
      <w:pPr>
        <w:tabs>
          <w:tab w:val="center" w:leader="dot" w:pos="7938"/>
        </w:tabs>
        <w:jc w:val="left"/>
        <w:rPr>
          <w:sz w:val="20"/>
        </w:rPr>
      </w:pPr>
      <w:r w:rsidRPr="00F97C20">
        <w:rPr>
          <w:sz w:val="20"/>
        </w:rPr>
        <w:t>Tabulka 12 Trvalé následky děti</w:t>
      </w:r>
      <w:r w:rsidRPr="00F97C20">
        <w:rPr>
          <w:sz w:val="20"/>
        </w:rPr>
        <w:tab/>
        <w:t>9</w:t>
      </w:r>
    </w:p>
    <w:p w:rsidR="00F97C20" w:rsidRPr="00F97C20" w:rsidRDefault="00F97C20" w:rsidP="00F97C20">
      <w:pPr>
        <w:tabs>
          <w:tab w:val="center" w:leader="dot" w:pos="7938"/>
        </w:tabs>
        <w:jc w:val="left"/>
        <w:rPr>
          <w:sz w:val="20"/>
        </w:rPr>
      </w:pPr>
      <w:r w:rsidRPr="00F97C20">
        <w:rPr>
          <w:sz w:val="20"/>
        </w:rPr>
        <w:t>Tabulka 13 Doba nezbytného léčení dětí</w:t>
      </w:r>
      <w:r>
        <w:rPr>
          <w:sz w:val="20"/>
        </w:rPr>
        <w:tab/>
      </w:r>
      <w:r w:rsidRPr="00F97C20">
        <w:rPr>
          <w:sz w:val="20"/>
        </w:rPr>
        <w:t>9</w:t>
      </w:r>
    </w:p>
    <w:p w:rsidR="00F97C20" w:rsidRPr="00F97C20" w:rsidRDefault="00F97C20" w:rsidP="00F97C20">
      <w:pPr>
        <w:tabs>
          <w:tab w:val="center" w:leader="dot" w:pos="7938"/>
        </w:tabs>
        <w:jc w:val="left"/>
        <w:rPr>
          <w:sz w:val="20"/>
        </w:rPr>
      </w:pPr>
      <w:r w:rsidRPr="00F97C20">
        <w:rPr>
          <w:sz w:val="20"/>
        </w:rPr>
        <w:t>Tabulka 14 Hospitalizace dětí</w:t>
      </w:r>
      <w:r w:rsidRPr="00F97C20">
        <w:rPr>
          <w:sz w:val="20"/>
        </w:rPr>
        <w:tab/>
        <w:t>10</w:t>
      </w:r>
    </w:p>
    <w:p w:rsidR="00F97C20" w:rsidRPr="00F97C20" w:rsidRDefault="00F97C20" w:rsidP="00F97C20">
      <w:pPr>
        <w:tabs>
          <w:tab w:val="center" w:leader="dot" w:pos="7938"/>
        </w:tabs>
        <w:jc w:val="left"/>
        <w:rPr>
          <w:sz w:val="20"/>
        </w:rPr>
      </w:pPr>
      <w:r w:rsidRPr="00F97C20">
        <w:rPr>
          <w:sz w:val="20"/>
        </w:rPr>
        <w:t>Tabulka 15 Invalidita dětí</w:t>
      </w:r>
      <w:r w:rsidRPr="00F97C20">
        <w:rPr>
          <w:sz w:val="20"/>
        </w:rPr>
        <w:tab/>
        <w:t>10</w:t>
      </w:r>
    </w:p>
    <w:p w:rsidR="00F97C20" w:rsidRPr="002850D8" w:rsidRDefault="00F97C20" w:rsidP="00F97C20">
      <w:pPr>
        <w:tabs>
          <w:tab w:val="center" w:leader="dot" w:pos="7938"/>
        </w:tabs>
        <w:jc w:val="left"/>
        <w:rPr>
          <w:sz w:val="20"/>
        </w:rPr>
      </w:pPr>
      <w:r w:rsidRPr="00F97C20">
        <w:rPr>
          <w:sz w:val="20"/>
        </w:rPr>
        <w:t xml:space="preserve">Tabulka 16 </w:t>
      </w:r>
      <w:r w:rsidR="00203A95">
        <w:rPr>
          <w:sz w:val="20"/>
        </w:rPr>
        <w:t>PRODUKT XY</w:t>
      </w:r>
      <w:r w:rsidRPr="00F97C20">
        <w:rPr>
          <w:sz w:val="20"/>
        </w:rPr>
        <w:t xml:space="preserve"> </w:t>
      </w:r>
      <w:r>
        <w:rPr>
          <w:sz w:val="20"/>
        </w:rPr>
        <w:tab/>
      </w:r>
      <w:r w:rsidRPr="00F97C20">
        <w:rPr>
          <w:sz w:val="20"/>
        </w:rPr>
        <w:t>12</w:t>
      </w:r>
      <w:r>
        <w:rPr>
          <w:sz w:val="20"/>
        </w:rPr>
        <w:br/>
      </w:r>
    </w:p>
    <w:p w:rsidR="0007535B" w:rsidRDefault="0007535B" w:rsidP="00FB61D7">
      <w:pPr>
        <w:spacing w:after="0" w:line="240" w:lineRule="auto"/>
        <w:jc w:val="left"/>
      </w:pPr>
      <w:r>
        <w:br w:type="page"/>
      </w:r>
    </w:p>
    <w:p w:rsidR="0007535B" w:rsidRDefault="0007535B" w:rsidP="0007535B">
      <w:pPr>
        <w:pStyle w:val="AbstractSummary-nadpis"/>
      </w:pPr>
      <w:r>
        <w:lastRenderedPageBreak/>
        <w:t>Seznam grafů</w:t>
      </w:r>
      <w:r w:rsidR="0007653B">
        <w:t xml:space="preserve"> v příloze</w:t>
      </w:r>
    </w:p>
    <w:p w:rsidR="00FB61D7" w:rsidRPr="00FB61D7" w:rsidRDefault="00FB61D7" w:rsidP="00FB61D7">
      <w:pPr>
        <w:tabs>
          <w:tab w:val="center" w:leader="dot" w:pos="7938"/>
        </w:tabs>
        <w:jc w:val="left"/>
        <w:rPr>
          <w:sz w:val="20"/>
        </w:rPr>
      </w:pPr>
      <w:r w:rsidRPr="00FB61D7">
        <w:rPr>
          <w:sz w:val="20"/>
        </w:rPr>
        <w:t xml:space="preserve">Graf. 1 </w:t>
      </w:r>
      <w:r w:rsidR="00203A95">
        <w:rPr>
          <w:sz w:val="20"/>
        </w:rPr>
        <w:t>Produkt XY</w:t>
      </w:r>
      <w:r w:rsidRPr="00FB61D7">
        <w:rPr>
          <w:sz w:val="20"/>
        </w:rPr>
        <w:t xml:space="preserve"> dle PČ na smrt, věk do 30 let </w:t>
      </w:r>
      <w:r w:rsidRPr="00FB61D7">
        <w:rPr>
          <w:sz w:val="20"/>
        </w:rPr>
        <w:tab/>
        <w:t>1</w:t>
      </w:r>
    </w:p>
    <w:p w:rsidR="00FB61D7" w:rsidRPr="00FB61D7" w:rsidRDefault="00FB61D7" w:rsidP="00FB61D7">
      <w:pPr>
        <w:tabs>
          <w:tab w:val="center" w:leader="dot" w:pos="7938"/>
        </w:tabs>
        <w:jc w:val="left"/>
        <w:rPr>
          <w:sz w:val="20"/>
        </w:rPr>
      </w:pPr>
      <w:r w:rsidRPr="00FB61D7">
        <w:rPr>
          <w:sz w:val="20"/>
        </w:rPr>
        <w:t xml:space="preserve">Graf. 2 </w:t>
      </w:r>
      <w:r w:rsidR="00203A95">
        <w:rPr>
          <w:sz w:val="20"/>
        </w:rPr>
        <w:t>Produkt XY</w:t>
      </w:r>
      <w:r w:rsidRPr="00FB61D7">
        <w:rPr>
          <w:sz w:val="20"/>
        </w:rPr>
        <w:t xml:space="preserve"> dle PČ na smrt, věk 31-40 let </w:t>
      </w:r>
      <w:r w:rsidRPr="00FB61D7">
        <w:rPr>
          <w:sz w:val="20"/>
        </w:rPr>
        <w:tab/>
        <w:t>1</w:t>
      </w:r>
    </w:p>
    <w:p w:rsidR="00FB61D7" w:rsidRPr="00FB61D7" w:rsidRDefault="00FB61D7" w:rsidP="00FB61D7">
      <w:pPr>
        <w:tabs>
          <w:tab w:val="center" w:leader="dot" w:pos="7938"/>
        </w:tabs>
        <w:jc w:val="left"/>
        <w:rPr>
          <w:sz w:val="20"/>
        </w:rPr>
      </w:pPr>
      <w:r w:rsidRPr="00FB61D7">
        <w:rPr>
          <w:sz w:val="20"/>
        </w:rPr>
        <w:t xml:space="preserve">Graf. 3 </w:t>
      </w:r>
      <w:r w:rsidR="00203A95">
        <w:rPr>
          <w:sz w:val="20"/>
        </w:rPr>
        <w:t>Produkt XY</w:t>
      </w:r>
      <w:r w:rsidRPr="00FB61D7">
        <w:rPr>
          <w:sz w:val="20"/>
        </w:rPr>
        <w:t xml:space="preserve"> dle PČ na smrt, věk 41-50 let</w:t>
      </w:r>
      <w:r>
        <w:rPr>
          <w:sz w:val="20"/>
        </w:rPr>
        <w:tab/>
      </w:r>
      <w:r w:rsidRPr="00FB61D7">
        <w:rPr>
          <w:sz w:val="20"/>
        </w:rPr>
        <w:t xml:space="preserve"> 2</w:t>
      </w:r>
    </w:p>
    <w:p w:rsidR="00FB61D7" w:rsidRPr="00FB61D7" w:rsidRDefault="00FB61D7" w:rsidP="00FB61D7">
      <w:pPr>
        <w:tabs>
          <w:tab w:val="center" w:leader="dot" w:pos="7938"/>
        </w:tabs>
        <w:jc w:val="left"/>
        <w:rPr>
          <w:sz w:val="20"/>
        </w:rPr>
      </w:pPr>
      <w:r w:rsidRPr="00FB61D7">
        <w:rPr>
          <w:sz w:val="20"/>
        </w:rPr>
        <w:t xml:space="preserve">Graf. 4 </w:t>
      </w:r>
      <w:r w:rsidR="00203A95">
        <w:rPr>
          <w:sz w:val="20"/>
        </w:rPr>
        <w:t>Produkt XY</w:t>
      </w:r>
      <w:r w:rsidRPr="00FB61D7">
        <w:rPr>
          <w:sz w:val="20"/>
        </w:rPr>
        <w:t xml:space="preserve"> dle PČ na smrt, věk 51+ let  </w:t>
      </w:r>
      <w:r w:rsidRPr="00FB61D7">
        <w:rPr>
          <w:sz w:val="20"/>
        </w:rPr>
        <w:tab/>
        <w:t>2</w:t>
      </w:r>
    </w:p>
    <w:p w:rsidR="00FB61D7" w:rsidRPr="00FB61D7" w:rsidRDefault="00FB61D7" w:rsidP="00FB61D7">
      <w:pPr>
        <w:tabs>
          <w:tab w:val="center" w:leader="dot" w:pos="7938"/>
        </w:tabs>
        <w:jc w:val="left"/>
        <w:rPr>
          <w:sz w:val="20"/>
        </w:rPr>
      </w:pPr>
      <w:r w:rsidRPr="00FB61D7">
        <w:rPr>
          <w:sz w:val="20"/>
        </w:rPr>
        <w:t xml:space="preserve">Graf. 5 </w:t>
      </w:r>
      <w:r w:rsidR="00203A95">
        <w:rPr>
          <w:sz w:val="20"/>
        </w:rPr>
        <w:t>Produkt XY</w:t>
      </w:r>
      <w:r w:rsidRPr="00FB61D7">
        <w:rPr>
          <w:sz w:val="20"/>
        </w:rPr>
        <w:t xml:space="preserve"> dle ročního pojistného ŽP, věk do 30 let</w:t>
      </w:r>
      <w:r>
        <w:rPr>
          <w:sz w:val="20"/>
        </w:rPr>
        <w:tab/>
      </w:r>
      <w:r w:rsidRPr="00FB61D7">
        <w:rPr>
          <w:sz w:val="20"/>
        </w:rPr>
        <w:t>3</w:t>
      </w:r>
    </w:p>
    <w:p w:rsidR="00FB61D7" w:rsidRPr="00FB61D7" w:rsidRDefault="00FB61D7" w:rsidP="00FB61D7">
      <w:pPr>
        <w:tabs>
          <w:tab w:val="center" w:leader="dot" w:pos="7938"/>
        </w:tabs>
        <w:jc w:val="left"/>
        <w:rPr>
          <w:sz w:val="20"/>
        </w:rPr>
      </w:pPr>
      <w:r w:rsidRPr="00FB61D7">
        <w:rPr>
          <w:sz w:val="20"/>
        </w:rPr>
        <w:t xml:space="preserve">Graf. 6 </w:t>
      </w:r>
      <w:r w:rsidR="00203A95">
        <w:rPr>
          <w:sz w:val="20"/>
        </w:rPr>
        <w:t>Produkt XY</w:t>
      </w:r>
      <w:r w:rsidRPr="00FB61D7">
        <w:rPr>
          <w:sz w:val="20"/>
        </w:rPr>
        <w:t xml:space="preserve"> dle ročního pojistného ŽP, věk 31-40 let</w:t>
      </w:r>
      <w:r>
        <w:rPr>
          <w:sz w:val="20"/>
        </w:rPr>
        <w:tab/>
      </w:r>
      <w:r w:rsidRPr="00FB61D7">
        <w:rPr>
          <w:sz w:val="20"/>
        </w:rPr>
        <w:t xml:space="preserve"> 3</w:t>
      </w:r>
    </w:p>
    <w:p w:rsidR="00FB61D7" w:rsidRPr="00FB61D7" w:rsidRDefault="00FB61D7" w:rsidP="00FB61D7">
      <w:pPr>
        <w:tabs>
          <w:tab w:val="center" w:leader="dot" w:pos="7938"/>
        </w:tabs>
        <w:jc w:val="left"/>
        <w:rPr>
          <w:sz w:val="20"/>
        </w:rPr>
      </w:pPr>
      <w:r w:rsidRPr="00FB61D7">
        <w:rPr>
          <w:sz w:val="20"/>
        </w:rPr>
        <w:t xml:space="preserve">Graf. 7 </w:t>
      </w:r>
      <w:r w:rsidR="00203A95">
        <w:rPr>
          <w:sz w:val="20"/>
        </w:rPr>
        <w:t>Produkt XY</w:t>
      </w:r>
      <w:r w:rsidRPr="00FB61D7">
        <w:rPr>
          <w:sz w:val="20"/>
        </w:rPr>
        <w:t xml:space="preserve"> dle ročního pojistného ŽP, věk 41-50 let </w:t>
      </w:r>
      <w:r>
        <w:rPr>
          <w:sz w:val="20"/>
        </w:rPr>
        <w:tab/>
      </w:r>
      <w:r w:rsidRPr="00FB61D7">
        <w:rPr>
          <w:sz w:val="20"/>
        </w:rPr>
        <w:t>3</w:t>
      </w:r>
    </w:p>
    <w:p w:rsidR="00FB61D7" w:rsidRPr="00FB61D7" w:rsidRDefault="00FB61D7" w:rsidP="00FB61D7">
      <w:pPr>
        <w:tabs>
          <w:tab w:val="center" w:leader="dot" w:pos="7938"/>
        </w:tabs>
        <w:jc w:val="left"/>
        <w:rPr>
          <w:sz w:val="20"/>
        </w:rPr>
      </w:pPr>
      <w:r w:rsidRPr="00FB61D7">
        <w:rPr>
          <w:sz w:val="20"/>
        </w:rPr>
        <w:t xml:space="preserve">Graf. 8 </w:t>
      </w:r>
      <w:r w:rsidR="00203A95">
        <w:rPr>
          <w:sz w:val="20"/>
        </w:rPr>
        <w:t>Produkt XY</w:t>
      </w:r>
      <w:r w:rsidRPr="00FB61D7">
        <w:rPr>
          <w:sz w:val="20"/>
        </w:rPr>
        <w:t xml:space="preserve"> dle ročního pojistného ŽP, věk 51+ let</w:t>
      </w:r>
      <w:r>
        <w:rPr>
          <w:sz w:val="20"/>
        </w:rPr>
        <w:tab/>
      </w:r>
      <w:r w:rsidRPr="00FB61D7">
        <w:rPr>
          <w:sz w:val="20"/>
        </w:rPr>
        <w:t>4</w:t>
      </w:r>
    </w:p>
    <w:p w:rsidR="00FB61D7" w:rsidRPr="00FB61D7" w:rsidRDefault="00FB61D7" w:rsidP="00FB61D7">
      <w:pPr>
        <w:tabs>
          <w:tab w:val="center" w:leader="dot" w:pos="7938"/>
        </w:tabs>
        <w:jc w:val="left"/>
        <w:rPr>
          <w:sz w:val="20"/>
        </w:rPr>
      </w:pPr>
      <w:r w:rsidRPr="00FB61D7">
        <w:rPr>
          <w:sz w:val="20"/>
        </w:rPr>
        <w:t xml:space="preserve">Graf. 9 </w:t>
      </w:r>
      <w:r w:rsidR="00203A95">
        <w:rPr>
          <w:sz w:val="20"/>
        </w:rPr>
        <w:t>Produkt XY</w:t>
      </w:r>
      <w:r w:rsidRPr="00FB61D7">
        <w:rPr>
          <w:sz w:val="20"/>
        </w:rPr>
        <w:t xml:space="preserve"> dl</w:t>
      </w:r>
      <w:r w:rsidR="00F97C20">
        <w:rPr>
          <w:sz w:val="20"/>
        </w:rPr>
        <w:t>e vstupního věku, věk do 30 let</w:t>
      </w:r>
      <w:r w:rsidR="00F97C20">
        <w:rPr>
          <w:sz w:val="20"/>
        </w:rPr>
        <w:tab/>
      </w:r>
      <w:r w:rsidRPr="00FB61D7">
        <w:rPr>
          <w:sz w:val="20"/>
        </w:rPr>
        <w:t>4</w:t>
      </w:r>
    </w:p>
    <w:p w:rsidR="00FB61D7" w:rsidRPr="00FB61D7" w:rsidRDefault="00FB61D7" w:rsidP="00FB61D7">
      <w:pPr>
        <w:tabs>
          <w:tab w:val="center" w:leader="dot" w:pos="7938"/>
        </w:tabs>
        <w:jc w:val="left"/>
        <w:rPr>
          <w:sz w:val="20"/>
        </w:rPr>
      </w:pPr>
      <w:r w:rsidRPr="00FB61D7">
        <w:rPr>
          <w:sz w:val="20"/>
        </w:rPr>
        <w:t xml:space="preserve">Graf. 10 </w:t>
      </w:r>
      <w:r w:rsidR="00203A95">
        <w:rPr>
          <w:sz w:val="20"/>
        </w:rPr>
        <w:t>Produkt XY</w:t>
      </w:r>
      <w:r w:rsidRPr="00FB61D7">
        <w:rPr>
          <w:sz w:val="20"/>
        </w:rPr>
        <w:t xml:space="preserve"> dl</w:t>
      </w:r>
      <w:r w:rsidR="00F97C20">
        <w:rPr>
          <w:sz w:val="20"/>
        </w:rPr>
        <w:t>e vstupního věku, věk 31-40 let</w:t>
      </w:r>
      <w:r w:rsidR="00F97C20">
        <w:rPr>
          <w:sz w:val="20"/>
        </w:rPr>
        <w:tab/>
      </w:r>
      <w:r w:rsidRPr="00FB61D7">
        <w:rPr>
          <w:sz w:val="20"/>
        </w:rPr>
        <w:t>4</w:t>
      </w:r>
    </w:p>
    <w:p w:rsidR="00FB61D7" w:rsidRPr="00FB61D7" w:rsidRDefault="00FB61D7" w:rsidP="00FB61D7">
      <w:pPr>
        <w:tabs>
          <w:tab w:val="center" w:leader="dot" w:pos="7938"/>
        </w:tabs>
        <w:jc w:val="left"/>
        <w:rPr>
          <w:sz w:val="20"/>
        </w:rPr>
      </w:pPr>
      <w:r w:rsidRPr="00FB61D7">
        <w:rPr>
          <w:sz w:val="20"/>
        </w:rPr>
        <w:t xml:space="preserve">Graf. 11 </w:t>
      </w:r>
      <w:r w:rsidR="00203A95">
        <w:rPr>
          <w:sz w:val="20"/>
        </w:rPr>
        <w:t>Produkt XY</w:t>
      </w:r>
      <w:r w:rsidRPr="00FB61D7">
        <w:rPr>
          <w:sz w:val="20"/>
        </w:rPr>
        <w:t xml:space="preserve"> dl</w:t>
      </w:r>
      <w:r w:rsidR="00F97C20">
        <w:rPr>
          <w:sz w:val="20"/>
        </w:rPr>
        <w:t>e vstupního věku, věk 41-50 let</w:t>
      </w:r>
      <w:r w:rsidR="00F97C20">
        <w:rPr>
          <w:sz w:val="20"/>
        </w:rPr>
        <w:tab/>
      </w:r>
      <w:r w:rsidRPr="00FB61D7">
        <w:rPr>
          <w:sz w:val="20"/>
        </w:rPr>
        <w:t>5</w:t>
      </w:r>
    </w:p>
    <w:p w:rsidR="00FB61D7" w:rsidRPr="00FB61D7" w:rsidRDefault="00FB61D7" w:rsidP="00FB61D7">
      <w:pPr>
        <w:tabs>
          <w:tab w:val="center" w:leader="dot" w:pos="7938"/>
        </w:tabs>
        <w:jc w:val="left"/>
        <w:rPr>
          <w:sz w:val="20"/>
        </w:rPr>
      </w:pPr>
      <w:r w:rsidRPr="00FB61D7">
        <w:rPr>
          <w:sz w:val="20"/>
        </w:rPr>
        <w:t xml:space="preserve">Graf. 12 </w:t>
      </w:r>
      <w:r w:rsidR="00203A95">
        <w:rPr>
          <w:sz w:val="20"/>
        </w:rPr>
        <w:t>Produkt XY</w:t>
      </w:r>
      <w:r w:rsidRPr="00FB61D7">
        <w:rPr>
          <w:sz w:val="20"/>
        </w:rPr>
        <w:t xml:space="preserve"> </w:t>
      </w:r>
      <w:r w:rsidR="00F97C20">
        <w:rPr>
          <w:sz w:val="20"/>
        </w:rPr>
        <w:t>dle vstupního věku, věk 51+ let</w:t>
      </w:r>
      <w:r w:rsidR="00F97C20">
        <w:rPr>
          <w:sz w:val="20"/>
        </w:rPr>
        <w:tab/>
      </w:r>
      <w:r w:rsidRPr="00FB61D7">
        <w:rPr>
          <w:sz w:val="20"/>
        </w:rPr>
        <w:t>5</w:t>
      </w:r>
    </w:p>
    <w:p w:rsidR="00FB61D7" w:rsidRPr="00FB61D7" w:rsidRDefault="00FB61D7" w:rsidP="00FB61D7">
      <w:pPr>
        <w:tabs>
          <w:tab w:val="center" w:leader="dot" w:pos="7938"/>
        </w:tabs>
        <w:jc w:val="left"/>
        <w:rPr>
          <w:sz w:val="20"/>
        </w:rPr>
      </w:pPr>
      <w:r w:rsidRPr="00FB61D7">
        <w:rPr>
          <w:sz w:val="20"/>
        </w:rPr>
        <w:t xml:space="preserve">Graf. 13 </w:t>
      </w:r>
      <w:r w:rsidR="00203A95">
        <w:rPr>
          <w:sz w:val="20"/>
        </w:rPr>
        <w:t>Produkt XY</w:t>
      </w:r>
      <w:r w:rsidRPr="00FB61D7">
        <w:rPr>
          <w:sz w:val="20"/>
        </w:rPr>
        <w:t xml:space="preserve"> dle pohlaví, věk do 30 let</w:t>
      </w:r>
      <w:r w:rsidR="00F97C20">
        <w:rPr>
          <w:sz w:val="20"/>
        </w:rPr>
        <w:tab/>
      </w:r>
      <w:r w:rsidRPr="00FB61D7">
        <w:rPr>
          <w:sz w:val="20"/>
        </w:rPr>
        <w:t>6</w:t>
      </w:r>
    </w:p>
    <w:p w:rsidR="00FB61D7" w:rsidRPr="00FB61D7" w:rsidRDefault="00FB61D7" w:rsidP="00FB61D7">
      <w:pPr>
        <w:tabs>
          <w:tab w:val="center" w:leader="dot" w:pos="7938"/>
        </w:tabs>
        <w:jc w:val="left"/>
        <w:rPr>
          <w:sz w:val="20"/>
        </w:rPr>
      </w:pPr>
      <w:r w:rsidRPr="00FB61D7">
        <w:rPr>
          <w:sz w:val="20"/>
        </w:rPr>
        <w:t xml:space="preserve">Graf. 14 </w:t>
      </w:r>
      <w:r w:rsidR="00203A95">
        <w:rPr>
          <w:sz w:val="20"/>
        </w:rPr>
        <w:t>Produkt XY</w:t>
      </w:r>
      <w:r w:rsidR="00F97C20">
        <w:rPr>
          <w:sz w:val="20"/>
        </w:rPr>
        <w:t xml:space="preserve"> dle pohlaví, věk 31-40 let</w:t>
      </w:r>
      <w:r w:rsidR="00F97C20">
        <w:rPr>
          <w:sz w:val="20"/>
        </w:rPr>
        <w:tab/>
      </w:r>
      <w:r w:rsidRPr="00FB61D7">
        <w:rPr>
          <w:sz w:val="20"/>
        </w:rPr>
        <w:t>6</w:t>
      </w:r>
    </w:p>
    <w:p w:rsidR="00FB61D7" w:rsidRPr="00FB61D7" w:rsidRDefault="00FB61D7" w:rsidP="00FB61D7">
      <w:pPr>
        <w:tabs>
          <w:tab w:val="center" w:leader="dot" w:pos="7938"/>
        </w:tabs>
        <w:jc w:val="left"/>
        <w:rPr>
          <w:sz w:val="20"/>
        </w:rPr>
      </w:pPr>
      <w:r w:rsidRPr="00FB61D7">
        <w:rPr>
          <w:sz w:val="20"/>
        </w:rPr>
        <w:t xml:space="preserve">Graf. 15 </w:t>
      </w:r>
      <w:r w:rsidR="00203A95">
        <w:rPr>
          <w:sz w:val="20"/>
        </w:rPr>
        <w:t>Produkt XY</w:t>
      </w:r>
      <w:r w:rsidR="00F97C20">
        <w:rPr>
          <w:sz w:val="20"/>
        </w:rPr>
        <w:t xml:space="preserve"> dle pohlaví, věk 41-50 let</w:t>
      </w:r>
      <w:r w:rsidR="00F97C20">
        <w:rPr>
          <w:sz w:val="20"/>
        </w:rPr>
        <w:tab/>
      </w:r>
      <w:r w:rsidRPr="00FB61D7">
        <w:rPr>
          <w:sz w:val="20"/>
        </w:rPr>
        <w:t>6</w:t>
      </w:r>
    </w:p>
    <w:p w:rsidR="00FB61D7" w:rsidRPr="00FB61D7" w:rsidRDefault="00FB61D7" w:rsidP="00FB61D7">
      <w:pPr>
        <w:tabs>
          <w:tab w:val="center" w:leader="dot" w:pos="7938"/>
        </w:tabs>
        <w:jc w:val="left"/>
        <w:rPr>
          <w:sz w:val="20"/>
        </w:rPr>
      </w:pPr>
      <w:r w:rsidRPr="00FB61D7">
        <w:rPr>
          <w:sz w:val="20"/>
        </w:rPr>
        <w:t xml:space="preserve">Graf. 16 </w:t>
      </w:r>
      <w:r w:rsidR="00203A95">
        <w:rPr>
          <w:sz w:val="20"/>
        </w:rPr>
        <w:t>Produkt XY</w:t>
      </w:r>
      <w:r w:rsidR="00F97C20">
        <w:rPr>
          <w:sz w:val="20"/>
        </w:rPr>
        <w:t xml:space="preserve"> dle pohlaví, věk 51+ let</w:t>
      </w:r>
      <w:r w:rsidR="00F97C20">
        <w:rPr>
          <w:sz w:val="20"/>
        </w:rPr>
        <w:tab/>
      </w:r>
      <w:r w:rsidRPr="00FB61D7">
        <w:rPr>
          <w:sz w:val="20"/>
        </w:rPr>
        <w:t>7</w:t>
      </w:r>
    </w:p>
    <w:p w:rsidR="00FB61D7" w:rsidRPr="00FB61D7" w:rsidRDefault="00FB61D7" w:rsidP="00FB61D7">
      <w:pPr>
        <w:tabs>
          <w:tab w:val="center" w:leader="dot" w:pos="7938"/>
        </w:tabs>
        <w:jc w:val="left"/>
        <w:rPr>
          <w:sz w:val="20"/>
        </w:rPr>
      </w:pPr>
      <w:r w:rsidRPr="00FB61D7">
        <w:rPr>
          <w:sz w:val="20"/>
        </w:rPr>
        <w:t xml:space="preserve">Graf. 17 </w:t>
      </w:r>
      <w:r w:rsidR="00203A95">
        <w:rPr>
          <w:sz w:val="20"/>
        </w:rPr>
        <w:t>Produkt XY</w:t>
      </w:r>
      <w:r w:rsidRPr="00FB61D7">
        <w:rPr>
          <w:sz w:val="20"/>
        </w:rPr>
        <w:t xml:space="preserve"> dle RS, věk do 30 let </w:t>
      </w:r>
      <w:r w:rsidRPr="00FB61D7">
        <w:rPr>
          <w:sz w:val="20"/>
        </w:rPr>
        <w:tab/>
        <w:t>10</w:t>
      </w:r>
    </w:p>
    <w:p w:rsidR="00FB61D7" w:rsidRPr="00FB61D7" w:rsidRDefault="00FB61D7" w:rsidP="00FB61D7">
      <w:pPr>
        <w:tabs>
          <w:tab w:val="center" w:leader="dot" w:pos="7938"/>
        </w:tabs>
        <w:jc w:val="left"/>
        <w:rPr>
          <w:sz w:val="20"/>
        </w:rPr>
      </w:pPr>
      <w:r w:rsidRPr="00FB61D7">
        <w:rPr>
          <w:sz w:val="20"/>
        </w:rPr>
        <w:t xml:space="preserve">Graf. 18 </w:t>
      </w:r>
      <w:r w:rsidR="00203A95">
        <w:rPr>
          <w:sz w:val="20"/>
        </w:rPr>
        <w:t>Produkt XY</w:t>
      </w:r>
      <w:r w:rsidRPr="00FB61D7">
        <w:rPr>
          <w:sz w:val="20"/>
        </w:rPr>
        <w:t xml:space="preserve"> dle RS, věk 31-40 let </w:t>
      </w:r>
      <w:r w:rsidRPr="00FB61D7">
        <w:rPr>
          <w:sz w:val="20"/>
        </w:rPr>
        <w:tab/>
        <w:t>11</w:t>
      </w:r>
    </w:p>
    <w:p w:rsidR="00FB61D7" w:rsidRPr="00FB61D7" w:rsidRDefault="00FB61D7" w:rsidP="00FB61D7">
      <w:pPr>
        <w:tabs>
          <w:tab w:val="center" w:leader="dot" w:pos="7938"/>
        </w:tabs>
        <w:jc w:val="left"/>
        <w:rPr>
          <w:sz w:val="20"/>
        </w:rPr>
      </w:pPr>
      <w:r w:rsidRPr="00FB61D7">
        <w:rPr>
          <w:sz w:val="20"/>
        </w:rPr>
        <w:t xml:space="preserve">Graf. 19 </w:t>
      </w:r>
      <w:r w:rsidR="00203A95">
        <w:rPr>
          <w:sz w:val="20"/>
        </w:rPr>
        <w:t>Produkt XY</w:t>
      </w:r>
      <w:r w:rsidRPr="00FB61D7">
        <w:rPr>
          <w:sz w:val="20"/>
        </w:rPr>
        <w:t xml:space="preserve"> dle RS, věk 41-50 let </w:t>
      </w:r>
      <w:r w:rsidRPr="00FB61D7">
        <w:rPr>
          <w:sz w:val="20"/>
        </w:rPr>
        <w:tab/>
        <w:t>11</w:t>
      </w:r>
    </w:p>
    <w:p w:rsidR="002850D8" w:rsidRPr="002850D8" w:rsidRDefault="00FB61D7" w:rsidP="00FB61D7">
      <w:pPr>
        <w:tabs>
          <w:tab w:val="center" w:leader="dot" w:pos="7938"/>
        </w:tabs>
        <w:jc w:val="left"/>
        <w:rPr>
          <w:sz w:val="20"/>
        </w:rPr>
      </w:pPr>
      <w:r w:rsidRPr="00FB61D7">
        <w:rPr>
          <w:sz w:val="20"/>
        </w:rPr>
        <w:t xml:space="preserve">Graf. 20 </w:t>
      </w:r>
      <w:r w:rsidR="00203A95">
        <w:rPr>
          <w:sz w:val="20"/>
        </w:rPr>
        <w:t>Produkt XY</w:t>
      </w:r>
      <w:r w:rsidRPr="00FB61D7">
        <w:rPr>
          <w:sz w:val="20"/>
        </w:rPr>
        <w:t xml:space="preserve"> dle RS, věk 51+ let </w:t>
      </w:r>
      <w:r w:rsidRPr="00FB61D7">
        <w:rPr>
          <w:sz w:val="20"/>
        </w:rPr>
        <w:tab/>
        <w:t>12</w:t>
      </w:r>
      <w:r w:rsidR="002850D8">
        <w:rPr>
          <w:sz w:val="20"/>
        </w:rPr>
        <w:br/>
      </w:r>
    </w:p>
    <w:p w:rsidR="0007535B" w:rsidRDefault="0007535B" w:rsidP="00F05477">
      <w:pPr>
        <w:pStyle w:val="Zkladntext"/>
      </w:pPr>
      <w:r>
        <w:tab/>
      </w:r>
    </w:p>
    <w:p w:rsidR="0007535B" w:rsidRDefault="0007535B">
      <w:pPr>
        <w:spacing w:after="0" w:line="240" w:lineRule="auto"/>
        <w:jc w:val="left"/>
      </w:pPr>
      <w:r>
        <w:br w:type="page"/>
      </w:r>
    </w:p>
    <w:p w:rsidR="0007535B" w:rsidRDefault="0007535B" w:rsidP="00F05477">
      <w:pPr>
        <w:pStyle w:val="Zkladntext"/>
        <w:sectPr w:rsidR="0007535B" w:rsidSect="00990CF5">
          <w:headerReference w:type="default" r:id="rId14"/>
          <w:footerReference w:type="default" r:id="rId15"/>
          <w:pgSz w:w="11906" w:h="16838" w:code="9"/>
          <w:pgMar w:top="1418" w:right="1134" w:bottom="1418" w:left="2268" w:header="709" w:footer="709" w:gutter="0"/>
          <w:cols w:space="708"/>
          <w:docGrid w:linePitch="326"/>
        </w:sectPr>
      </w:pPr>
    </w:p>
    <w:p w:rsidR="00990CF5" w:rsidRPr="003B0FCB" w:rsidRDefault="00990CF5" w:rsidP="0036573D">
      <w:pPr>
        <w:pStyle w:val="Nadpis1"/>
      </w:pPr>
      <w:bookmarkStart w:id="0" w:name="_Toc309717568"/>
      <w:r w:rsidRPr="00164167">
        <w:lastRenderedPageBreak/>
        <w:t>Úvod</w:t>
      </w:r>
      <w:bookmarkEnd w:id="0"/>
    </w:p>
    <w:p w:rsidR="002C2B4F" w:rsidRDefault="00341D50" w:rsidP="00341D50">
      <w:r>
        <w:t>Ve své práci se zabývám oblastí životního pojištění. Hlavním cílem mé práce je analyzovat potřeby klientů v oblasti životního pojištění v ČR, a to dle věkových skupin obyvatelstva tj. zmapovat a identifikovat, jaké jsou současné klíčové potřeby na krytí pojistných rizik na trhu životního pojištění v ČR z hlediska cyklu klienta. Dalším úkolem mé práce je potvrdit nebo vyvrátit hypotézu, že tento trend je nebo není srovnatelný v mnou zvolených věkových kategoriích pro obě pohlaví tj. ženy a muže.</w:t>
      </w:r>
      <w:r w:rsidR="002C2B4F">
        <w:br/>
      </w:r>
      <w:r>
        <w:t>Při své práci jsem využíval metodu popisné analýzy a komparace, použil jsem výpočty, tabulky a grafy.</w:t>
      </w:r>
      <w:r w:rsidR="002C2B4F">
        <w:t xml:space="preserve"> </w:t>
      </w:r>
    </w:p>
    <w:p w:rsidR="00341D50" w:rsidRDefault="00341D50" w:rsidP="00341D50">
      <w:r>
        <w:t>Práce je r</w:t>
      </w:r>
      <w:r w:rsidR="00A46572">
        <w:t>ozdělena do tří hlavních segmentů</w:t>
      </w:r>
      <w:r>
        <w:t>. V první</w:t>
      </w:r>
      <w:r w:rsidR="0098631A">
        <w:t>m</w:t>
      </w:r>
      <w:r>
        <w:t xml:space="preserve"> </w:t>
      </w:r>
      <w:r w:rsidR="0098631A">
        <w:t>segmentu</w:t>
      </w:r>
      <w:r>
        <w:t>, kter</w:t>
      </w:r>
      <w:r w:rsidR="0098631A">
        <w:t>ý</w:t>
      </w:r>
      <w:r>
        <w:t xml:space="preserve"> je teoreticko-metodologick</w:t>
      </w:r>
      <w:r w:rsidR="0098631A">
        <w:t>ý</w:t>
      </w:r>
      <w:r>
        <w:t xml:space="preserve">, se věnuji zejména vymezení a vysvětlení základních pojmů </w:t>
      </w:r>
      <w:r w:rsidR="00A7096A">
        <w:br/>
      </w:r>
      <w:r>
        <w:t>a souvislostí z oblasti pojištění. Druh</w:t>
      </w:r>
      <w:r w:rsidR="0098631A">
        <w:t>ý</w:t>
      </w:r>
      <w:r>
        <w:t xml:space="preserve"> </w:t>
      </w:r>
      <w:r w:rsidR="0098631A">
        <w:t>segment</w:t>
      </w:r>
      <w:r>
        <w:t xml:space="preserve"> popisuje a rozebírá mnou vybraný nový produkt životního pojištění </w:t>
      </w:r>
      <w:r w:rsidR="00203A95">
        <w:t>PRODUKT XY</w:t>
      </w:r>
      <w:r>
        <w:t xml:space="preserve">, který nabízí komplexní rizikový program </w:t>
      </w:r>
      <w:r w:rsidR="00A7096A">
        <w:br/>
      </w:r>
      <w:r>
        <w:t>a servis v oblasti životního pojištěn</w:t>
      </w:r>
      <w:r w:rsidR="00EF2325">
        <w:t>í. Třetí segment</w:t>
      </w:r>
      <w:r w:rsidR="007711A5">
        <w:t xml:space="preserve"> </w:t>
      </w:r>
      <w:r w:rsidR="00EF2325">
        <w:t>mé práce</w:t>
      </w:r>
      <w:r w:rsidR="007711A5">
        <w:t xml:space="preserve"> </w:t>
      </w:r>
      <w:r w:rsidR="00EF2325">
        <w:t xml:space="preserve">graficky </w:t>
      </w:r>
      <w:r w:rsidR="007711A5">
        <w:t xml:space="preserve">analyzuje </w:t>
      </w:r>
      <w:r>
        <w:t xml:space="preserve">potřeby klientů v oblasti životního pojištění v ČR a stanovuje, která věková skupina využívá nejvíce a nejméně jednotlivé složky životního pojištění a která rizika z oblasti životního pojištění jsou nejvíce a nejméně využívána. Klienty jsem rozčlenil na několik věkových kategorií, a to skupina mladých lidí do 30 let, skupina dospělých 31-40 let, generace </w:t>
      </w:r>
      <w:r w:rsidR="00A7096A">
        <w:br/>
      </w:r>
      <w:r>
        <w:t xml:space="preserve">41-50 </w:t>
      </w:r>
      <w:proofErr w:type="spellStart"/>
      <w:r>
        <w:t>letých</w:t>
      </w:r>
      <w:proofErr w:type="spellEnd"/>
      <w:r>
        <w:t xml:space="preserve"> a věková skupina 51+. </w:t>
      </w:r>
    </w:p>
    <w:p w:rsidR="00341D50" w:rsidRDefault="00341D50" w:rsidP="00341D50">
      <w:r>
        <w:t>Inovace produktových úprav životního pojištění směřuje k rozšíření krytí jednotlivých rizik životního pojištění do jednoho komplexního rizikového programu tj. komplexního servisního balíčku, který má za cíl jednoduché a efektivní konstrukční řešení pro daného klienta. Zohledňuj</w:t>
      </w:r>
      <w:r w:rsidR="007711A5">
        <w:t>e tedy všeobecný trend směrem k</w:t>
      </w:r>
      <w:r>
        <w:t xml:space="preserve"> transparentnosti, modularitě produktů pro individualizovaná řešení a jednoduchá řešení s jedním podpisem klienta. Hlavní principy a hodnoty produktů životního pojištění jsou garantované zhodnocení, rychlost, jednoduchost, </w:t>
      </w:r>
      <w:proofErr w:type="spellStart"/>
      <w:r>
        <w:t>férovost</w:t>
      </w:r>
      <w:proofErr w:type="spellEnd"/>
      <w:r>
        <w:t xml:space="preserve">, flexibilita a rodinný koncept pojištění.    </w:t>
      </w:r>
    </w:p>
    <w:p w:rsidR="00341D50" w:rsidRDefault="00341D50" w:rsidP="00341D50">
      <w:r>
        <w:t xml:space="preserve">Trh produktů životního pojištění je zcela jistě ovlivněn několika dobovými faktory, jako je stárnutí populace a připravované sociální reformy, proto mladí lidé mají tendenci se dopředu finančně připravit a zajistit si tak určitý obnos garantovaných finančních prostředků při dožití se důchodového věku. Dalším faktorem je také změna v životním </w:t>
      </w:r>
      <w:r>
        <w:lastRenderedPageBreak/>
        <w:t xml:space="preserve">stylu mladých lidí, kteří stále více a více spoléhají sami na sebe a uzavírají hypotéční úvěry a půjčky tzv. </w:t>
      </w:r>
      <w:proofErr w:type="spellStart"/>
      <w:r>
        <w:t>singles</w:t>
      </w:r>
      <w:proofErr w:type="spellEnd"/>
      <w:r>
        <w:t xml:space="preserve">, a s tím souvisí jejich zvětšující se potřeba krytí svých rizik při samostatném zabezpečení, zejména mám na mysli pojištění se proti ztrátě trvalého příjmu, nemožnost splácet úvěr či půjčku v případě úrazu či trvalé invalidity apod. </w:t>
      </w:r>
    </w:p>
    <w:p w:rsidR="00793AB3" w:rsidRPr="003B0FCB" w:rsidRDefault="00341D50" w:rsidP="005B4629">
      <w:r>
        <w:t xml:space="preserve">Jako zdroje a prameny pro svoji bakalářskou práci jsem využil převážně odbornou literaturu v písemné podobě, ale také informace a data z internetových stránek, </w:t>
      </w:r>
      <w:r w:rsidR="00A7096A">
        <w:br/>
      </w:r>
      <w:r>
        <w:t xml:space="preserve">z přednášek a z vlastní praxe. Pro praktickou část své bakalářské práce jsem využil databázi uzavřených pojistek svého zaměstnavatele.  </w:t>
      </w:r>
    </w:p>
    <w:p w:rsidR="00A15B7D" w:rsidRDefault="00A15B7D">
      <w:pPr>
        <w:spacing w:after="0" w:line="240" w:lineRule="auto"/>
        <w:jc w:val="left"/>
        <w:rPr>
          <w:b/>
          <w:bCs/>
          <w:sz w:val="32"/>
          <w:szCs w:val="40"/>
        </w:rPr>
      </w:pPr>
      <w:r>
        <w:br w:type="page"/>
      </w:r>
    </w:p>
    <w:p w:rsidR="00990CF5" w:rsidRDefault="00990CF5" w:rsidP="00F05477">
      <w:pPr>
        <w:pStyle w:val="Nadpis1"/>
      </w:pPr>
      <w:bookmarkStart w:id="1" w:name="_Toc309717569"/>
      <w:r w:rsidRPr="00F05477">
        <w:lastRenderedPageBreak/>
        <w:t>Teoreticko</w:t>
      </w:r>
      <w:r w:rsidRPr="003B0FCB">
        <w:t>-</w:t>
      </w:r>
      <w:r w:rsidRPr="005B4629">
        <w:t>metodologická</w:t>
      </w:r>
      <w:r w:rsidRPr="003B0FCB">
        <w:t xml:space="preserve"> část práce</w:t>
      </w:r>
      <w:bookmarkEnd w:id="1"/>
    </w:p>
    <w:p w:rsidR="00823C60" w:rsidRPr="00823C60" w:rsidRDefault="00823C60" w:rsidP="00823C60">
      <w:pPr>
        <w:pStyle w:val="Nadpis2"/>
      </w:pPr>
      <w:bookmarkStart w:id="2" w:name="_Toc309717570"/>
      <w:r>
        <w:t>Terminologie</w:t>
      </w:r>
      <w:bookmarkEnd w:id="2"/>
    </w:p>
    <w:p w:rsidR="00823C60" w:rsidRDefault="00341D50" w:rsidP="00823C60">
      <w:pPr>
        <w:pStyle w:val="Nadpis3"/>
      </w:pPr>
      <w:bookmarkStart w:id="3" w:name="_Toc309717571"/>
      <w:r>
        <w:t>Pojistná částka</w:t>
      </w:r>
      <w:bookmarkEnd w:id="3"/>
      <w:r>
        <w:t xml:space="preserve"> </w:t>
      </w:r>
    </w:p>
    <w:p w:rsidR="00341D50" w:rsidRDefault="00341D50" w:rsidP="00341D50">
      <w:r>
        <w:t xml:space="preserve">je částka sjednaná v pojistné smlouvě, kterou v případě pojistné události bude pojistitel povinen plnit. Pojistná částka se v případě pojistné události vyplácí jednorázově nebo se pojistné plnění ze sjednané pojistné částky odvozuje (např. v úrazovém pojištění plnění za trvalé následky úrazu, v pojištění mládeže výplata plnění ve formě stipendia). </w:t>
      </w:r>
      <w:r w:rsidR="00A7096A">
        <w:br/>
      </w:r>
      <w:r>
        <w:t>V důchodovém pojištění je pojistnou částkou sjednaný roční důchod. V pojistné smlouvě sjednané pro více druhů pojistných událostí může být uvedena pouze jediná pojistná částka, od níž se plnění v případě ostatních pojistných událostí odvozují, nebo může být uvedeno více částek příslušejících jednotlivým pojistným událostem.</w:t>
      </w:r>
    </w:p>
    <w:p w:rsidR="00823C60" w:rsidRDefault="00341D50" w:rsidP="00823C60">
      <w:pPr>
        <w:pStyle w:val="Nadpis3"/>
      </w:pPr>
      <w:bookmarkStart w:id="4" w:name="_Toc309717572"/>
      <w:r>
        <w:t>Pojis</w:t>
      </w:r>
      <w:r w:rsidR="00505B7C">
        <w:t>tná událost</w:t>
      </w:r>
      <w:bookmarkEnd w:id="4"/>
      <w:r w:rsidR="00505B7C">
        <w:t xml:space="preserve"> </w:t>
      </w:r>
    </w:p>
    <w:p w:rsidR="00341D50" w:rsidRDefault="00505B7C" w:rsidP="00341D50">
      <w:r>
        <w:t>je nahodilá událost</w:t>
      </w:r>
      <w:r w:rsidR="00341D50">
        <w:t>, která je v pojistné smlouvě blíže označená a je s ní spojena povinnost pojistitele plnit. Pojistnou událostí je např. smrt pojištěné osoby, dožití pojištěné osoby sjednaného konce pojištění, tělesné poškození úrazem, apod. Pojištění osob se vztahuje na pojistné události, k nimž dojde za trvání pojištění</w:t>
      </w:r>
      <w:r w:rsidR="00A7096A">
        <w:t>,</w:t>
      </w:r>
      <w:r w:rsidR="00341D50">
        <w:t xml:space="preserve"> a pokud není ujednáno jinak, bez územního omezení.</w:t>
      </w:r>
    </w:p>
    <w:p w:rsidR="00823C60" w:rsidRDefault="00341D50" w:rsidP="00823C60">
      <w:pPr>
        <w:pStyle w:val="Nadpis3"/>
      </w:pPr>
      <w:bookmarkStart w:id="5" w:name="_Toc309717573"/>
      <w:r>
        <w:t>Pojistné</w:t>
      </w:r>
      <w:bookmarkEnd w:id="5"/>
      <w:r>
        <w:t xml:space="preserve"> </w:t>
      </w:r>
    </w:p>
    <w:p w:rsidR="00341D50" w:rsidRDefault="00341D50" w:rsidP="00341D50">
      <w:r>
        <w:t xml:space="preserve">je úplata za poskytování pojistné ochrany. Platí se buď běžně v pravidelných pojistných obdobích, nebo jednorázově za celou pojistnou dobu. Zvláštní formou jednorázového pojistného je mimořádné pojistné a předplácené pojistné. V pojistné smlouvě se zpravidla uvádí výše pojistného za jednotlivé druhy pojištění resp. sazby, zahrnuté </w:t>
      </w:r>
      <w:r w:rsidR="00A7096A">
        <w:br/>
      </w:r>
      <w:r>
        <w:t>v pojistné smlouvě. Celkové pojistné je součtem těchto dílčích pojistných po odečtení případných slev (např. za frekvenci a způsob placení pojistného). Pojistné za každou sazbu se skládá z pojistného za pojistná rizika, která sazba zahrnuje (předpokládaná pojistná plnění) a z nákladů pojistitele se vznikem a správou pojištění. Rovněž zohledňuje skutečnost, že se dočasně volné prostředky z pojistného ukládají a úročí.</w:t>
      </w:r>
    </w:p>
    <w:p w:rsidR="00A955F6" w:rsidRDefault="00341D50" w:rsidP="00A955F6">
      <w:pPr>
        <w:pStyle w:val="Nadpis3"/>
      </w:pPr>
      <w:bookmarkStart w:id="6" w:name="_Toc309717574"/>
      <w:r>
        <w:lastRenderedPageBreak/>
        <w:t>Pojistník</w:t>
      </w:r>
      <w:bookmarkEnd w:id="6"/>
    </w:p>
    <w:p w:rsidR="00341D50" w:rsidRDefault="00341D50" w:rsidP="00341D50">
      <w:r>
        <w:t xml:space="preserve"> je osoba, která s pojistitelem uzavřela pojistnou smlouvu. Pojistníkem může být zpravidla jak fyzická, tak právnická osoba. Pojistník platí pojistiteli pojistné.</w:t>
      </w:r>
    </w:p>
    <w:p w:rsidR="00A955F6" w:rsidRPr="00A955F6" w:rsidRDefault="00341D50" w:rsidP="00A955F6">
      <w:pPr>
        <w:pStyle w:val="Nadpis3"/>
      </w:pPr>
      <w:bookmarkStart w:id="7" w:name="_Toc309717575"/>
      <w:r w:rsidRPr="00A955F6">
        <w:t>Pojištěný</w:t>
      </w:r>
      <w:bookmarkEnd w:id="7"/>
    </w:p>
    <w:p w:rsidR="00341D50" w:rsidRDefault="00341D50" w:rsidP="00341D50">
      <w:r w:rsidRPr="00A955F6">
        <w:t xml:space="preserve"> je</w:t>
      </w:r>
      <w:r>
        <w:t xml:space="preserve"> ten, na jehož život nebo zdraví bylo pojištění sjednáno. Pojištěný nemusí být současně pojistníkem. V případě vzniku pojistné události je pojištěnému vyplacena pojistná částka.</w:t>
      </w:r>
    </w:p>
    <w:p w:rsidR="00A955F6" w:rsidRDefault="00A955F6" w:rsidP="00A955F6">
      <w:pPr>
        <w:pStyle w:val="Nadpis3"/>
      </w:pPr>
      <w:bookmarkStart w:id="8" w:name="_Toc309717576"/>
      <w:r>
        <w:t>Pojistitel</w:t>
      </w:r>
      <w:bookmarkEnd w:id="8"/>
    </w:p>
    <w:p w:rsidR="00341D50" w:rsidRDefault="00341D50" w:rsidP="00341D50">
      <w:r w:rsidRPr="00A955F6">
        <w:t xml:space="preserve"> je samotná</w:t>
      </w:r>
      <w:r>
        <w:t xml:space="preserve"> pojišťovna, která v případě vzniku pojistné události vyplatí pojištěnému pojistnou částku.</w:t>
      </w:r>
    </w:p>
    <w:p w:rsidR="00505B7C" w:rsidRPr="00377C51" w:rsidRDefault="00341D50" w:rsidP="00377C51">
      <w:pPr>
        <w:pStyle w:val="Nadpis2"/>
      </w:pPr>
      <w:bookmarkStart w:id="9" w:name="_Toc309717577"/>
      <w:r w:rsidRPr="00377C51">
        <w:t>Základní ustanovení o pojištění osob</w:t>
      </w:r>
      <w:bookmarkEnd w:id="9"/>
    </w:p>
    <w:p w:rsidR="00341D50" w:rsidRDefault="00341D50" w:rsidP="00341D50">
      <w:r>
        <w:t>V pojištění osob lze pojistit fyzickou osobu pro případ smrti, dožití se určitého věku nebo dne stanoveného v pojistné smlouvě jako konec pojištění, pro případ úrazu, nemoci nebo jiné skutečnosti související se zdravím nebo se změnou osobního postavení této osoby.</w:t>
      </w:r>
      <w:r w:rsidR="00505B7C">
        <w:t xml:space="preserve"> </w:t>
      </w:r>
      <w:r>
        <w:t>Z pojištění osob má oprávněná osoba právo, aby jí byla vyplacena dohodnutá částka, nebo aby jí byl vyplacen dohodnutý důchod, anebo aby jí bylo poskytnuto plnění ve výši určené podle pojistných podmínek, nastane-li pojistná událost podle odstavce 1.</w:t>
      </w:r>
    </w:p>
    <w:p w:rsidR="00341D50" w:rsidRPr="00377C51" w:rsidRDefault="00341D50" w:rsidP="00377C51">
      <w:pPr>
        <w:pStyle w:val="Nadpis2"/>
      </w:pPr>
      <w:bookmarkStart w:id="10" w:name="_Toc309717578"/>
      <w:r w:rsidRPr="00377C51">
        <w:t>Právo pojistitele související se zjišťováním a přezkoumáním zdravotního stavu</w:t>
      </w:r>
      <w:bookmarkEnd w:id="10"/>
    </w:p>
    <w:p w:rsidR="00341D50" w:rsidRDefault="00341D50" w:rsidP="00341D50">
      <w:r>
        <w:t xml:space="preserve">V pojištění osob je pojistitel oprávněn požadovat údaje o zdravotním stavu a zjištění zdravotního stavu nebo příčiny smrti pojištěného, jsou-li pro to důvody související se stanovením výše pojistného rizika, výše pojistného a šetřením pojistné události, pokud </w:t>
      </w:r>
      <w:r w:rsidR="00A7096A">
        <w:br/>
      </w:r>
      <w:r>
        <w:t xml:space="preserve">k tomu byl pojistiteli dán souhlas pojištěného. Zjišťování zdravotního stavu nebo příčiny smrti se provádí na základě zpráv a zdravotnické dokumentace vyžádaných </w:t>
      </w:r>
      <w:r>
        <w:lastRenderedPageBreak/>
        <w:t>pojistitelem pověřeným zdravotnickým zařízením od ošetřujících lékařů, a v případě potřeby i prohlídkou nebo vyšetřením provedeným zdravotnickým zařízením.</w:t>
      </w:r>
    </w:p>
    <w:p w:rsidR="00341D50" w:rsidRDefault="00341D50" w:rsidP="00341D50">
      <w:r>
        <w:t xml:space="preserve">Bylo-li dohodnuto, že pojistník je zproštěn povinnosti platit pojistné, je pojistitel oprávněn požadovat údaje o jeho zdravotním stavu a na základě souhlasu </w:t>
      </w:r>
      <w:proofErr w:type="spellStart"/>
      <w:r>
        <w:t>pojistníka</w:t>
      </w:r>
      <w:proofErr w:type="spellEnd"/>
      <w:r>
        <w:t xml:space="preserve"> přezkoumávat jeho zdravotní stav způsobem podle odstavce 1.</w:t>
      </w:r>
    </w:p>
    <w:p w:rsidR="00341D50" w:rsidRPr="00377C51" w:rsidRDefault="00341D50" w:rsidP="00377C51">
      <w:pPr>
        <w:pStyle w:val="Nadpis2"/>
      </w:pPr>
      <w:bookmarkStart w:id="11" w:name="_Toc309717579"/>
      <w:r w:rsidRPr="00377C51">
        <w:t>Právo na pojistné plnění v případě smrti pojištěného</w:t>
      </w:r>
      <w:bookmarkEnd w:id="11"/>
    </w:p>
    <w:p w:rsidR="00341D50" w:rsidRDefault="00341D50" w:rsidP="00341D50">
      <w:r>
        <w:t xml:space="preserve">Je-li pojistnou událostí smrt pojištěného, může pojistník určit obmyšleného jako oprávněnou osobu, a to jménem nebo vztahem k pojištěnému. Až do vzniku pojistné události může pojistník obmyšleného měnit. Změna obmyšleného je účinná dnem doručení sdělení pojistiteli. </w:t>
      </w:r>
    </w:p>
    <w:p w:rsidR="00341D50" w:rsidRDefault="00341D50" w:rsidP="00341D50">
      <w:r>
        <w:t>Nebyl-li v době pojistné události určen obmyšlený nebo nenabude-li obmyšlený práva na pojistné plnění, nabývají tohoto práva manžel pojištěného, a není-li ho, děti pojištěného.</w:t>
      </w:r>
    </w:p>
    <w:p w:rsidR="00341D50" w:rsidRDefault="00341D50" w:rsidP="00341D50">
      <w:r>
        <w:t xml:space="preserve">Není-li osob uvedených v odstavcích 1 a 2, nabývají práva na pojistné plnění rodiče pojištěného, a není-li jich, nabývají práva na pojistné plnění osoby, které žily </w:t>
      </w:r>
      <w:r w:rsidR="00A7096A">
        <w:br/>
      </w:r>
      <w:r>
        <w:t xml:space="preserve">s pojištěným po dobu nejméně jednoho roku před jeho smrtí ve společné domácnosti </w:t>
      </w:r>
      <w:r w:rsidR="00A7096A">
        <w:br/>
      </w:r>
      <w:r>
        <w:t xml:space="preserve">a které z tohoto důvodu pečovaly o společnou domácnost nebo byly odkázány výživou na pojištěného; není-li ani těchto osob, nabývají tohoto práva dědici pojištěného. </w:t>
      </w:r>
      <w:r w:rsidR="00A7096A">
        <w:br/>
      </w:r>
      <w:r>
        <w:t>V případě zjištění, že dědicem je někdo jiný nebo je dědiců více, použije se obdobně ustanovení občanského zákoníku o ochraně oprávněného dědice.</w:t>
      </w:r>
    </w:p>
    <w:p w:rsidR="00341D50" w:rsidRDefault="00341D50" w:rsidP="00341D50">
      <w:r>
        <w:t>Vznikne-li právo na pojistné plnění několika osobám a nejsou-li jejich podíly určeny, má každá z nich právo na stejný díl.</w:t>
      </w:r>
    </w:p>
    <w:p w:rsidR="00341D50" w:rsidRPr="008329FF" w:rsidRDefault="00341D50" w:rsidP="008329FF">
      <w:pPr>
        <w:pStyle w:val="Nadpis2"/>
      </w:pPr>
      <w:bookmarkStart w:id="12" w:name="_Toc309717580"/>
      <w:r w:rsidRPr="008329FF">
        <w:t>Souhlas pojištěného</w:t>
      </w:r>
      <w:bookmarkEnd w:id="12"/>
    </w:p>
    <w:p w:rsidR="008329FF" w:rsidRDefault="00341D50" w:rsidP="00341D50">
      <w:r>
        <w:t>Je-li pojistník odlišný od pojištěného, může určit nebo změnit osobu obmyšleného nebo pohledávky ze soukromého pojištění postoupit nebo zastavit jen se souhlasem pojištěného.</w:t>
      </w:r>
    </w:p>
    <w:p w:rsidR="00341D50" w:rsidRDefault="00341D50" w:rsidP="00341D50">
      <w:r>
        <w:lastRenderedPageBreak/>
        <w:t xml:space="preserve">Uzavírá-li pojistník pojistnou smlouvu ve prospěch obmyšleného, je k uzavření takové pojistné smlouvy třeba souhlasu pojištěného, popřípadě zákonného zástupce takové osoby, není-li zákonným zástupcem pojistník sám. Souhlas pojištěného nebo zákonného zástupce se vyžaduje i v případě změny obmyšleného, změny podílů na pojistném plnění, bylo-li určeno více obmyšlených, a k vyplacení </w:t>
      </w:r>
      <w:proofErr w:type="spellStart"/>
      <w:r>
        <w:t>odkupného</w:t>
      </w:r>
      <w:proofErr w:type="spellEnd"/>
      <w:r>
        <w:t>.</w:t>
      </w:r>
    </w:p>
    <w:p w:rsidR="00341D50" w:rsidRDefault="00341D50" w:rsidP="008329FF">
      <w:pPr>
        <w:pStyle w:val="Nadpis2"/>
      </w:pPr>
      <w:bookmarkStart w:id="13" w:name="_Toc309717581"/>
      <w:r>
        <w:t>Skupinové pojištění</w:t>
      </w:r>
      <w:bookmarkEnd w:id="13"/>
    </w:p>
    <w:p w:rsidR="00341D50" w:rsidRDefault="00341D50" w:rsidP="00341D50">
      <w:r>
        <w:t>Pojistná smlouva o skupinovém pojištění nemusí obsahovat jména pojištěných, pokud jsou v době pojistné události určeni jiným způsobem vylučujícím pochybnosti. Pro uzavření takové pojistné smlouvy není třeba souhlasu pojištěných.</w:t>
      </w:r>
    </w:p>
    <w:p w:rsidR="00341D50" w:rsidRDefault="00341D50" w:rsidP="008329FF">
      <w:pPr>
        <w:pStyle w:val="Nadpis2"/>
      </w:pPr>
      <w:bookmarkStart w:id="14" w:name="_Toc309717582"/>
      <w:r>
        <w:t>Základní ustanovení pro životní pojištění</w:t>
      </w:r>
      <w:bookmarkEnd w:id="14"/>
    </w:p>
    <w:p w:rsidR="008329FF" w:rsidRDefault="00341D50" w:rsidP="008329FF">
      <w:pPr>
        <w:pStyle w:val="Odstavecseseznamem"/>
        <w:numPr>
          <w:ilvl w:val="0"/>
          <w:numId w:val="28"/>
        </w:numPr>
      </w:pPr>
      <w:r>
        <w:t>V životním pojištění lze pojistit fyzickou osobu zejména pro případ smrti, dožití se určitého věku, nebo dne stanoveného v pojistné smlouvě jako konec soukromého pojištění, anebo pro případ jiné skutečnosti týkající se změny osobního postavení této osoby.</w:t>
      </w:r>
    </w:p>
    <w:p w:rsidR="00341D50" w:rsidRDefault="008329FF" w:rsidP="008329FF">
      <w:pPr>
        <w:pStyle w:val="Odstavecseseznamem"/>
        <w:numPr>
          <w:ilvl w:val="0"/>
          <w:numId w:val="28"/>
        </w:numPr>
      </w:pPr>
      <w:r>
        <w:t>Ž</w:t>
      </w:r>
      <w:r w:rsidR="00341D50">
        <w:t xml:space="preserve">ivotní pojištění lze sjednat pouze jako pojištění </w:t>
      </w:r>
      <w:proofErr w:type="spellStart"/>
      <w:r w:rsidR="00341D50">
        <w:t>obnosové</w:t>
      </w:r>
      <w:proofErr w:type="spellEnd"/>
      <w:r w:rsidR="00341D50">
        <w:t>.</w:t>
      </w:r>
    </w:p>
    <w:p w:rsidR="00341D50" w:rsidRDefault="00341D50" w:rsidP="008329FF">
      <w:pPr>
        <w:pStyle w:val="Odstavecseseznamem"/>
        <w:numPr>
          <w:ilvl w:val="0"/>
          <w:numId w:val="28"/>
        </w:numPr>
      </w:pPr>
      <w:r>
        <w:t>Nelze sjednat pojištění pro případ smrti dítěte, která by nastala do 3 let jeho věku, nebo pro případ potratu nebo narození mrtvého dítěte.</w:t>
      </w:r>
    </w:p>
    <w:p w:rsidR="00341D50" w:rsidRDefault="00341D50" w:rsidP="008329FF">
      <w:pPr>
        <w:pStyle w:val="Odstavecseseznamem"/>
        <w:numPr>
          <w:ilvl w:val="0"/>
          <w:numId w:val="28"/>
        </w:numPr>
      </w:pPr>
      <w:r>
        <w:t xml:space="preserve">Pokud pojistník uvedl nesprávné datum narození nebo pohlaví pojištěného </w:t>
      </w:r>
      <w:r w:rsidR="00215D91">
        <w:br/>
      </w:r>
      <w:r>
        <w:t xml:space="preserve">a v důsledku toho bylo pojistitelem chybně stanoveno pojistné, pojistná doba, doba placení pojistného nebo pojistná částka, je pojistitel oprávněn pojistné plnění </w:t>
      </w:r>
      <w:r w:rsidR="008A3733">
        <w:br/>
      </w:r>
      <w:r>
        <w:t>z této smlouvy snížit v poměru výše pojistného, které bylo placeno, k výši pojistného, které by bylo placeno, kdyby pojistník uvedl správné datum narození nebo pohlaví pojištěného.</w:t>
      </w:r>
    </w:p>
    <w:p w:rsidR="00341D50" w:rsidRDefault="00341D50" w:rsidP="008329FF">
      <w:pPr>
        <w:pStyle w:val="Odstavecseseznamem"/>
        <w:numPr>
          <w:ilvl w:val="0"/>
          <w:numId w:val="28"/>
        </w:numPr>
      </w:pPr>
      <w:r>
        <w:t xml:space="preserve">Bylo-li v důsledku nesprávně uvedených údajů o datu narození nebo pohlaví pojištěného placeno vyšší pojistné, je pojistitel povinen upravit jeho výši počínaje pojistným obdobím následujícím po pojistném období, ve kterém </w:t>
      </w:r>
      <w:r w:rsidR="008A3733">
        <w:br/>
      </w:r>
      <w:r>
        <w:t xml:space="preserve">se správné údaje dozvěděl. Pojistné placené za následující pojistná období se snižuje o přeplatek pojistného, v případě jednorázového pojistného je pojistitel povinen přeplatek pojistného </w:t>
      </w:r>
      <w:proofErr w:type="spellStart"/>
      <w:r>
        <w:t>pojistníkovi</w:t>
      </w:r>
      <w:proofErr w:type="spellEnd"/>
      <w:r>
        <w:t xml:space="preserve"> bez zbytečného odkladu vrátit.</w:t>
      </w:r>
    </w:p>
    <w:p w:rsidR="00341D50" w:rsidRDefault="00341D50" w:rsidP="008329FF">
      <w:pPr>
        <w:pStyle w:val="Odstavecseseznamem"/>
        <w:numPr>
          <w:ilvl w:val="0"/>
          <w:numId w:val="28"/>
        </w:numPr>
      </w:pPr>
      <w:r>
        <w:lastRenderedPageBreak/>
        <w:t>Zjistí-li pojistitel v době trvání soukromého pojištění, že pojistník uvedl nesprávné datum narození pojištěného, je oprávněn odstoupit od pojistné smlouvy, jestliže by s pojistníkem v případě správně uvedeného data narození pojištěného v době uzavření pojistné smlouvy za daných podmínek pojistnou smlouvu neuzavřel.</w:t>
      </w:r>
    </w:p>
    <w:p w:rsidR="00341D50" w:rsidRDefault="00341D50" w:rsidP="008329FF">
      <w:pPr>
        <w:pStyle w:val="Odstavecseseznamem"/>
        <w:numPr>
          <w:ilvl w:val="0"/>
          <w:numId w:val="28"/>
        </w:numPr>
      </w:pPr>
      <w:r>
        <w:t>V případě sebevraždy pojištěného je pojistitel povinen poskytnout pojistné plnění jen tehdy, trvalo-li soukromé pojištění nepřetržitě nejméně 2 roky bezprostředně předcházející sebevraždě, nebylo-li v pojistné smlouvě dohodnuto jinak.</w:t>
      </w:r>
    </w:p>
    <w:p w:rsidR="00341D50" w:rsidRDefault="00341D50" w:rsidP="008329FF">
      <w:pPr>
        <w:pStyle w:val="Odstavecseseznamem"/>
        <w:numPr>
          <w:ilvl w:val="0"/>
          <w:numId w:val="28"/>
        </w:numPr>
      </w:pPr>
      <w:r>
        <w:t>Pokud bylo za soukromé pojištění zaplaceno běžné pojistné za dobu stanovenou v pojistné smlouvě a pokud nebylo po uplynutí této doby další běžné pojistné zaplaceno ve stanovené lhůtě, mění se takové soukromé pojištění na pojištění se sníženou pojistnou částkou (redukce pojistné částky) nebo na snížený roční důchod, a to bez povinnosti platit běžné pojistné.</w:t>
      </w:r>
    </w:p>
    <w:p w:rsidR="00341D50" w:rsidRDefault="00341D50" w:rsidP="008329FF">
      <w:pPr>
        <w:pStyle w:val="Odstavecseseznamem"/>
        <w:numPr>
          <w:ilvl w:val="0"/>
          <w:numId w:val="28"/>
        </w:numPr>
      </w:pPr>
      <w:r>
        <w:t>Pokud redukovaná pojistná částka nebo snížený roční důchod jsou menší než limity sjednané v pojistné smlouvě, dojde ke zkrácení doby pojištění (redukce pojistné doby), jejímž uplynutím soukromé pojištění zaniká, nebylo-li dohodnuto jinak.</w:t>
      </w:r>
    </w:p>
    <w:p w:rsidR="00341D50" w:rsidRDefault="00341D50" w:rsidP="00FC58E7">
      <w:pPr>
        <w:pStyle w:val="Nadpis2"/>
      </w:pPr>
      <w:bookmarkStart w:id="15" w:name="_Toc309717583"/>
      <w:proofErr w:type="spellStart"/>
      <w:r>
        <w:t>Odkupné</w:t>
      </w:r>
      <w:bookmarkEnd w:id="15"/>
      <w:proofErr w:type="spellEnd"/>
    </w:p>
    <w:p w:rsidR="00341D50" w:rsidRDefault="00341D50" w:rsidP="00341D50">
      <w:r>
        <w:t>Pokud bylo v životním pojištění sjednaném s běžným pojistným zaplaceno pojistné nejméně za</w:t>
      </w:r>
      <w:r w:rsidR="00242A9C">
        <w:t xml:space="preserve"> </w:t>
      </w:r>
      <w:r>
        <w:t xml:space="preserve">2 roky nebo jde-li o soukromé pojištění za jednorázové pojistné sjednané na dobu delší než 1 rok nebo jde-li o soukromé pojištění s redukovanou pojistnou částkou, má pojistník právo, aby mu na jeho žádost pojistitel vyplatil </w:t>
      </w:r>
      <w:proofErr w:type="spellStart"/>
      <w:r>
        <w:t>odkupné</w:t>
      </w:r>
      <w:proofErr w:type="spellEnd"/>
      <w:r>
        <w:t xml:space="preserve">, není-li </w:t>
      </w:r>
      <w:r w:rsidR="008A3733">
        <w:br/>
      </w:r>
      <w:r>
        <w:t xml:space="preserve">v pojistných podmínkách stanoveno jinak. Výplatou </w:t>
      </w:r>
      <w:proofErr w:type="spellStart"/>
      <w:r>
        <w:t>odkupného</w:t>
      </w:r>
      <w:proofErr w:type="spellEnd"/>
      <w:r>
        <w:t xml:space="preserve"> soukromé pojištění zaniká. </w:t>
      </w:r>
      <w:proofErr w:type="spellStart"/>
      <w:r>
        <w:t>Odkupné</w:t>
      </w:r>
      <w:proofErr w:type="spellEnd"/>
      <w:r>
        <w:t xml:space="preserve"> je splatné do 3 měsíců ode dne, kdy pojistitel obdržel žádost o výplatu </w:t>
      </w:r>
      <w:proofErr w:type="spellStart"/>
      <w:r>
        <w:t>odkupného</w:t>
      </w:r>
      <w:proofErr w:type="spellEnd"/>
      <w:r>
        <w:t>.</w:t>
      </w:r>
      <w:r w:rsidR="00FC58E7">
        <w:t xml:space="preserve"> </w:t>
      </w:r>
      <w:r>
        <w:t xml:space="preserve">Pojistník má právo kdykoliv během trvání soukromého pojištění požadovat na pojistiteli sdělení o tom, kolik by činila výše </w:t>
      </w:r>
      <w:proofErr w:type="spellStart"/>
      <w:r>
        <w:t>odkupného</w:t>
      </w:r>
      <w:proofErr w:type="spellEnd"/>
      <w:r>
        <w:t xml:space="preserve">. Pojistitel výši </w:t>
      </w:r>
      <w:proofErr w:type="spellStart"/>
      <w:r>
        <w:t>odkupného</w:t>
      </w:r>
      <w:proofErr w:type="spellEnd"/>
      <w:r>
        <w:t xml:space="preserve"> sdělí ve lhůtě 1 měsíce ode dne obdržení žádosti </w:t>
      </w:r>
      <w:proofErr w:type="spellStart"/>
      <w:r>
        <w:t>pojistníka</w:t>
      </w:r>
      <w:proofErr w:type="spellEnd"/>
      <w:r>
        <w:t>.</w:t>
      </w:r>
      <w:r w:rsidR="00FC58E7">
        <w:t xml:space="preserve"> </w:t>
      </w:r>
      <w:r>
        <w:t xml:space="preserve">Nebylo-li v pojistné smlouvě dohodnuto jinak, právo na </w:t>
      </w:r>
      <w:proofErr w:type="spellStart"/>
      <w:r>
        <w:t>odkupné</w:t>
      </w:r>
      <w:proofErr w:type="spellEnd"/>
      <w:r>
        <w:t xml:space="preserve"> nevzniká u pojištění pro případ smrti, které bylo sjednáno na přesně stanovenou dobu, ani u jiného soukromého pojištění, z něhož se vyplácí důchod, pokud již došlo k výplatě důchodu.</w:t>
      </w:r>
      <w:r w:rsidR="00FC58E7">
        <w:t xml:space="preserve"> </w:t>
      </w:r>
      <w:r>
        <w:t xml:space="preserve">Obnovení podmínek soukromého </w:t>
      </w:r>
      <w:r>
        <w:lastRenderedPageBreak/>
        <w:t>pojištění po redukci pojistné částky, snížení ročního důchodu nebo po redukci pojistné doby</w:t>
      </w:r>
      <w:r w:rsidR="00FC58E7">
        <w:t xml:space="preserve"> </w:t>
      </w:r>
      <w:r>
        <w:t>Bylo-li tak dohodnuto, může pojistník za podmínek stanovených v pojistné smlouvě požadovat, aby redukovaná pojistná částka nebo výše ročního důchodu byla opět zvýšena na původní výši nebo redukovaná pojistná doba prodloužena na původní délku.</w:t>
      </w:r>
    </w:p>
    <w:p w:rsidR="00341D50" w:rsidRDefault="00341D50" w:rsidP="00FC58E7">
      <w:pPr>
        <w:pStyle w:val="Nadpis2"/>
      </w:pPr>
      <w:bookmarkStart w:id="16" w:name="_Toc309717584"/>
      <w:r>
        <w:t>Základní ustanovení pro úrazové pojištění</w:t>
      </w:r>
      <w:bookmarkEnd w:id="16"/>
    </w:p>
    <w:p w:rsidR="00341D50" w:rsidRDefault="00341D50" w:rsidP="00341D50">
      <w:r>
        <w:t xml:space="preserve">Z úrazového pojištění poskytne pojistitel pojistné plnění ve výši stanovené v pojistné smlouvě, došlo-li k úrazu pojištěného. Úrazové pojištění lze sjednat jako pojištění škodové nebo pojištění </w:t>
      </w:r>
      <w:proofErr w:type="spellStart"/>
      <w:r>
        <w:t>obnosové</w:t>
      </w:r>
      <w:proofErr w:type="spellEnd"/>
      <w:r>
        <w:t>.</w:t>
      </w:r>
    </w:p>
    <w:p w:rsidR="00341D50" w:rsidRDefault="00341D50" w:rsidP="00341D50">
      <w:r>
        <w:t>Úrazem se pro účely tohoto zákona rozumí neočekávané a náhlé působení zevních sil nebo vlastní tělesné síly nezávisle na vůli pojištěného, ke kterému došlo během trvání soukromého pojištění a kterým bylo pojištěnému způsobeno poškození zdraví nebo smrt.</w:t>
      </w:r>
    </w:p>
    <w:p w:rsidR="00341D50" w:rsidRDefault="00341D50" w:rsidP="00FC58E7">
      <w:pPr>
        <w:pStyle w:val="Nadpis2"/>
      </w:pPr>
      <w:bookmarkStart w:id="17" w:name="_Toc309717585"/>
      <w:r>
        <w:t>Právo pojistitele na odmítnutí pojistného plnění nebo jeho snížení</w:t>
      </w:r>
      <w:bookmarkEnd w:id="17"/>
    </w:p>
    <w:p w:rsidR="00341D50" w:rsidRDefault="00341D50" w:rsidP="00341D50">
      <w:r>
        <w:t>Pojistitel má právo:</w:t>
      </w:r>
    </w:p>
    <w:p w:rsidR="00341D50" w:rsidRDefault="00341D50" w:rsidP="00377C51">
      <w:pPr>
        <w:pStyle w:val="Odstavecseseznamem"/>
        <w:numPr>
          <w:ilvl w:val="0"/>
          <w:numId w:val="27"/>
        </w:numPr>
      </w:pPr>
      <w:r>
        <w:t>odmítnout poskytnutí pojistného plnění,</w:t>
      </w:r>
      <w:r w:rsidR="00370F7F">
        <w:t xml:space="preserve"> došlo-li k úrazu pojištěného </w:t>
      </w:r>
      <w:r w:rsidR="008A3733">
        <w:br/>
      </w:r>
      <w:r w:rsidR="00370F7F">
        <w:t xml:space="preserve">v </w:t>
      </w:r>
      <w:r>
        <w:t>souvislosti s jednáním, pro které byl uznán vinný</w:t>
      </w:r>
      <w:r w:rsidR="00370F7F">
        <w:t xml:space="preserve">m úmyslným trestným činem, nebo </w:t>
      </w:r>
      <w:r>
        <w:t>kterým si úmyslně poškodil zdraví,</w:t>
      </w:r>
    </w:p>
    <w:p w:rsidR="00341D50" w:rsidRDefault="00341D50" w:rsidP="00377C51">
      <w:pPr>
        <w:pStyle w:val="Odstavecseseznamem"/>
        <w:numPr>
          <w:ilvl w:val="0"/>
          <w:numId w:val="27"/>
        </w:numPr>
      </w:pPr>
      <w:r>
        <w:t>snížit pojistné plnění až na jednu polovinu, došlo-li k úrazu následkem požití alkoholu nebo aplikací návykových látek nebo přípravků obsahujících návykové látky pojištěným, a okolnosti, za kterých k úrazu došlo, to odůvodňují; měl-li však takový úraz za následek smrt pojištěného, sníží pojistitel plnění jen tehdy, jestliže k tomuto úrazu došlo v souvislosti s jednáním pojištěného, jímž jinému způsobil těžkou újmu na zdraví nebo smrt. To neplatí, pokud látky podle věty prvé obsahovaly léky, které pojištěný užil způsobem předepsaným pojištěnému lékařem, a pokud nebyl lékařem nebo výrobcem léku upozorněn, že v době aplikace těchto léků nelze vykonávat činnost, v jejímž důsledku došlo k úrazu.</w:t>
      </w:r>
    </w:p>
    <w:p w:rsidR="00341D50" w:rsidRDefault="00341D50" w:rsidP="00823C60">
      <w:pPr>
        <w:pStyle w:val="Nadpis2"/>
      </w:pPr>
      <w:bookmarkStart w:id="18" w:name="_Toc309717586"/>
      <w:r>
        <w:lastRenderedPageBreak/>
        <w:t>Pojištění pro případ nemoci</w:t>
      </w:r>
      <w:bookmarkEnd w:id="18"/>
    </w:p>
    <w:p w:rsidR="00341D50" w:rsidRDefault="00341D50" w:rsidP="00341D50">
      <w:r>
        <w:t xml:space="preserve">V pojištění pro případ nemoci hradí pojistitel za pojištěného v rozsahu dohodnutém </w:t>
      </w:r>
      <w:r w:rsidR="008A3733">
        <w:br/>
      </w:r>
      <w:r>
        <w:t xml:space="preserve">v pojistné smlouvě náklady na zdravotní péči vzniklé v důsledku nemoci nebo následku úrazu a úkonu souvisejících se zdravotním stavem pojištěného, zejména s nemocí, úrazem, těhotenstvím a preventivní nebo dispenzární péčí. V pojistné smlouvě lze dohodnout i jiné skutečnosti související se zdravotním stavem pojištěného, se kterými </w:t>
      </w:r>
      <w:r w:rsidR="008A3733">
        <w:br/>
      </w:r>
      <w:r>
        <w:t>je spojena povinnost pojistitele poskytnout pojistné plnění.</w:t>
      </w:r>
    </w:p>
    <w:p w:rsidR="00341D50" w:rsidRDefault="00421F92" w:rsidP="00FC58E7">
      <w:pPr>
        <w:pStyle w:val="Nadpis3"/>
      </w:pPr>
      <w:r>
        <w:t xml:space="preserve"> </w:t>
      </w:r>
      <w:bookmarkStart w:id="19" w:name="_Toc309717587"/>
      <w:r w:rsidR="00341D50">
        <w:t xml:space="preserve">Pojištění pro případ nemoci lze sjednat jako pojištění škodové nebo </w:t>
      </w:r>
      <w:proofErr w:type="spellStart"/>
      <w:r w:rsidR="00341D50">
        <w:t>obnosové</w:t>
      </w:r>
      <w:proofErr w:type="spellEnd"/>
      <w:r w:rsidR="00341D50">
        <w:t>.</w:t>
      </w:r>
      <w:bookmarkEnd w:id="19"/>
    </w:p>
    <w:p w:rsidR="00341D50" w:rsidRDefault="00341D50" w:rsidP="00341D50">
      <w:r>
        <w:t xml:space="preserve">Je-li pojištěným osoba, která není účastna veřejného zdravotního pojištění podle zvláštního právního předpisu, a pojištění pro případ nemoci bylo sjednáno nejméně </w:t>
      </w:r>
      <w:r w:rsidR="008A3733">
        <w:br/>
      </w:r>
      <w:r>
        <w:t>v rozsahu úhrady nákladů, které by jinak byly hrazeny z veřejného zdravotního pojištění, musí být pojistná smlouva uzavřena s nejméně jednoroční pojistnou dobou. Od takto uzavřené pojistné smlouvy nemůže pojistitel odstoupit nebo odmítnout poskytnutí pojistného plnění, a to ani z důvodů uvedených v tomto zákoně.</w:t>
      </w:r>
    </w:p>
    <w:p w:rsidR="00341D50" w:rsidRDefault="00341D50" w:rsidP="00341D50">
      <w:r>
        <w:t>Byla-li sjednána čekací doba, nesmí přesáhnout 3 měsíce ode dne počátku soukromého pojištění; v případě porodu, psychoterapie, zubních a ortopedických náhrad nesmí tato čekací doba přesáhnout 8 měsíců ode dne počátku soukromého pojištění; v pojištění pro případ ošetřovatelské péče nesmí tato čekací doba přesáhnout 3 roky ode dne počátku soukromého pojištění.</w:t>
      </w:r>
    </w:p>
    <w:p w:rsidR="00341D50" w:rsidRDefault="00341D50" w:rsidP="00341D50"/>
    <w:p w:rsidR="00A15B7D" w:rsidRDefault="00A15B7D">
      <w:pPr>
        <w:spacing w:after="0" w:line="240" w:lineRule="auto"/>
        <w:jc w:val="left"/>
        <w:rPr>
          <w:b/>
          <w:bCs/>
          <w:sz w:val="32"/>
          <w:szCs w:val="40"/>
        </w:rPr>
      </w:pPr>
      <w:r>
        <w:br w:type="page"/>
      </w:r>
    </w:p>
    <w:p w:rsidR="00DA4A47" w:rsidRDefault="00DA4A47" w:rsidP="00DA4A47">
      <w:pPr>
        <w:pStyle w:val="Nadpis1"/>
      </w:pPr>
      <w:bookmarkStart w:id="20" w:name="_Toc309717588"/>
      <w:r>
        <w:lastRenderedPageBreak/>
        <w:t>Analytická</w:t>
      </w:r>
      <w:r w:rsidR="0064085E">
        <w:t>/praktická</w:t>
      </w:r>
      <w:r>
        <w:t xml:space="preserve"> část práce</w:t>
      </w:r>
      <w:bookmarkEnd w:id="20"/>
      <w:r>
        <w:t xml:space="preserve"> </w:t>
      </w:r>
    </w:p>
    <w:p w:rsidR="00A058B2" w:rsidRDefault="00203A95" w:rsidP="00A058B2">
      <w:r>
        <w:t>PRODUKT XY</w:t>
      </w:r>
      <w:r w:rsidR="00A058B2">
        <w:t xml:space="preserve"> je životní pojištění pro případ smrti nebo dožití s možností pojištění dalších rizik, s možností úhrad mimořádného pojistného a mimořádných výběrů </w:t>
      </w:r>
      <w:r>
        <w:br/>
      </w:r>
      <w:r w:rsidR="00A058B2">
        <w:t xml:space="preserve">a s možností umístit pojistné do kapitálových hodnot tvořených podílovými jednotkami vnitřních fondů. Tyto vnitřní fondy jsou zřízeny výhradně pro účely pojištění a jim odpovídající aktiva jsou vedena odděleně od ostatních aktiv </w:t>
      </w:r>
      <w:r>
        <w:t>Pojišťovny XY</w:t>
      </w:r>
      <w:r w:rsidR="00A058B2">
        <w:t xml:space="preserve"> a.s. </w:t>
      </w:r>
      <w:r>
        <w:br/>
      </w:r>
      <w:r w:rsidR="00A058B2">
        <w:t xml:space="preserve">K životnímu pojištění </w:t>
      </w:r>
      <w:r>
        <w:t>PRODUKT XY</w:t>
      </w:r>
      <w:r w:rsidR="00A058B2">
        <w:t xml:space="preserve"> lze sjednat úrazové pojištění pro více osob.</w:t>
      </w:r>
    </w:p>
    <w:p w:rsidR="00A058B2" w:rsidRDefault="00A058B2" w:rsidP="00370F7F">
      <w:pPr>
        <w:pStyle w:val="Nadpis2"/>
      </w:pPr>
      <w:bookmarkStart w:id="21" w:name="_Toc309717589"/>
      <w:r>
        <w:t>Přehled pojistných rizik:</w:t>
      </w:r>
      <w:bookmarkEnd w:id="21"/>
    </w:p>
    <w:p w:rsidR="00A058B2" w:rsidRDefault="00A058B2" w:rsidP="00A058B2">
      <w:r>
        <w:t xml:space="preserve">životní pojištění </w:t>
      </w:r>
      <w:r w:rsidR="00203A95">
        <w:t>PRODUKT XY</w:t>
      </w:r>
      <w:r>
        <w:t xml:space="preserve"> obsahuje základní pojištění 1. dospělého pojištěného:</w:t>
      </w:r>
    </w:p>
    <w:p w:rsidR="00A058B2" w:rsidRDefault="00A058B2" w:rsidP="0076553F">
      <w:pPr>
        <w:pStyle w:val="Odstavecseseznamem"/>
        <w:numPr>
          <w:ilvl w:val="0"/>
          <w:numId w:val="29"/>
        </w:numPr>
      </w:pPr>
      <w:r>
        <w:t>pojištění pro případ smrti nebo dožití</w:t>
      </w:r>
    </w:p>
    <w:p w:rsidR="00A058B2" w:rsidRDefault="00A058B2" w:rsidP="0076553F">
      <w:pPr>
        <w:pStyle w:val="Odstavecseseznamem"/>
        <w:numPr>
          <w:ilvl w:val="0"/>
          <w:numId w:val="29"/>
        </w:numPr>
      </w:pPr>
      <w:r>
        <w:t>pojištění závažných onemocnění</w:t>
      </w:r>
    </w:p>
    <w:p w:rsidR="00A058B2" w:rsidRDefault="00A058B2" w:rsidP="0076553F">
      <w:pPr>
        <w:pStyle w:val="Odstavecseseznamem"/>
        <w:numPr>
          <w:ilvl w:val="0"/>
          <w:numId w:val="29"/>
        </w:numPr>
      </w:pPr>
      <w:r>
        <w:t>zánik povinnosti platit pojistné v případě závažného onemocnění</w:t>
      </w:r>
    </w:p>
    <w:p w:rsidR="00A058B2" w:rsidRDefault="00A058B2" w:rsidP="0076553F">
      <w:pPr>
        <w:pStyle w:val="Odstavecseseznamem"/>
        <w:numPr>
          <w:ilvl w:val="0"/>
          <w:numId w:val="29"/>
        </w:numPr>
      </w:pPr>
      <w:r>
        <w:t>pojištění kritických onemocnění</w:t>
      </w:r>
    </w:p>
    <w:p w:rsidR="00A058B2" w:rsidRDefault="00A058B2" w:rsidP="0076553F">
      <w:pPr>
        <w:pStyle w:val="Odstavecseseznamem"/>
        <w:numPr>
          <w:ilvl w:val="0"/>
          <w:numId w:val="29"/>
        </w:numPr>
      </w:pPr>
      <w:r>
        <w:t>zánik povinnosti platit pojistné v případě kritického onemocnění</w:t>
      </w:r>
    </w:p>
    <w:p w:rsidR="00A058B2" w:rsidRDefault="00A058B2" w:rsidP="0076553F">
      <w:pPr>
        <w:pStyle w:val="Odstavecseseznamem"/>
        <w:numPr>
          <w:ilvl w:val="0"/>
          <w:numId w:val="29"/>
        </w:numPr>
      </w:pPr>
      <w:r>
        <w:t>pojištění zproštění od placení pojistného</w:t>
      </w:r>
    </w:p>
    <w:p w:rsidR="00242A9C" w:rsidRDefault="00A058B2" w:rsidP="0065037D">
      <w:pPr>
        <w:pStyle w:val="Odstavecseseznamem"/>
        <w:numPr>
          <w:ilvl w:val="0"/>
          <w:numId w:val="29"/>
        </w:numPr>
      </w:pPr>
      <w:r>
        <w:t>pojištění pro případ invalidity s plněním formou měsíční invalidní renty</w:t>
      </w:r>
    </w:p>
    <w:p w:rsidR="00A058B2" w:rsidRPr="009100B3" w:rsidRDefault="00A058B2" w:rsidP="009100B3">
      <w:r w:rsidRPr="009100B3">
        <w:t>Doplňková pojištění pro 1. dospělého pojištěného:</w:t>
      </w:r>
    </w:p>
    <w:p w:rsidR="00A058B2" w:rsidRDefault="00A058B2" w:rsidP="00BE498C">
      <w:pPr>
        <w:pStyle w:val="Odstavecseseznamem"/>
        <w:numPr>
          <w:ilvl w:val="0"/>
          <w:numId w:val="5"/>
        </w:numPr>
      </w:pPr>
      <w:r>
        <w:t>úrazové pojištění dospělých</w:t>
      </w:r>
    </w:p>
    <w:p w:rsidR="00A058B2" w:rsidRDefault="00A058B2" w:rsidP="00BE498C">
      <w:pPr>
        <w:pStyle w:val="Odstavecseseznamem"/>
        <w:numPr>
          <w:ilvl w:val="0"/>
          <w:numId w:val="5"/>
        </w:numPr>
      </w:pPr>
      <w:r>
        <w:t>pojištění pro případ nemoci</w:t>
      </w:r>
    </w:p>
    <w:p w:rsidR="00A058B2" w:rsidRDefault="00A058B2" w:rsidP="00BE498C">
      <w:pPr>
        <w:pStyle w:val="Odstavecseseznamem"/>
        <w:numPr>
          <w:ilvl w:val="0"/>
          <w:numId w:val="5"/>
        </w:numPr>
      </w:pPr>
      <w:r>
        <w:t xml:space="preserve">pojištění denní podpory při pobytu v nemocnici </w:t>
      </w:r>
    </w:p>
    <w:p w:rsidR="00A058B2" w:rsidRDefault="00A058B2" w:rsidP="00BE498C">
      <w:pPr>
        <w:pStyle w:val="Odstavecseseznamem"/>
        <w:numPr>
          <w:ilvl w:val="0"/>
          <w:numId w:val="5"/>
        </w:numPr>
      </w:pPr>
      <w:r>
        <w:t xml:space="preserve">pojištění denní dávky při pracovní neschopnosti </w:t>
      </w:r>
    </w:p>
    <w:p w:rsidR="00A058B2" w:rsidRDefault="00A058B2" w:rsidP="00BE498C">
      <w:pPr>
        <w:pStyle w:val="Odstavecseseznamem"/>
        <w:numPr>
          <w:ilvl w:val="0"/>
          <w:numId w:val="5"/>
        </w:numPr>
      </w:pPr>
      <w:r>
        <w:t xml:space="preserve">pojištění plateb pojistného při pracovní neschopnosti </w:t>
      </w:r>
    </w:p>
    <w:p w:rsidR="00A058B2" w:rsidRDefault="00A058B2" w:rsidP="00BE498C">
      <w:pPr>
        <w:pStyle w:val="Odstavecseseznamem"/>
        <w:numPr>
          <w:ilvl w:val="0"/>
          <w:numId w:val="5"/>
        </w:numPr>
      </w:pPr>
      <w:r>
        <w:t xml:space="preserve">pojištění splátek úvěru při ztrátě příjmu </w:t>
      </w:r>
    </w:p>
    <w:p w:rsidR="00A058B2" w:rsidRDefault="00A058B2" w:rsidP="00BE498C">
      <w:pPr>
        <w:pStyle w:val="Odstavecseseznamem"/>
        <w:numPr>
          <w:ilvl w:val="0"/>
          <w:numId w:val="5"/>
        </w:numPr>
      </w:pPr>
      <w:r>
        <w:t>zdravotní a úrazová asistence</w:t>
      </w:r>
    </w:p>
    <w:p w:rsidR="00A058B2" w:rsidRDefault="00A058B2" w:rsidP="00A058B2"/>
    <w:p w:rsidR="0065037D" w:rsidRDefault="0065037D" w:rsidP="00A058B2"/>
    <w:p w:rsidR="00A058B2" w:rsidRPr="009100B3" w:rsidRDefault="00A058B2" w:rsidP="009100B3">
      <w:r w:rsidRPr="009100B3">
        <w:lastRenderedPageBreak/>
        <w:t>Doplňková pojištění pro 2. až 10. pojištěného:</w:t>
      </w:r>
    </w:p>
    <w:p w:rsidR="00A058B2" w:rsidRDefault="00A058B2" w:rsidP="00BE498C">
      <w:pPr>
        <w:pStyle w:val="Odstavecseseznamem"/>
        <w:numPr>
          <w:ilvl w:val="0"/>
          <w:numId w:val="6"/>
        </w:numPr>
      </w:pPr>
      <w:r>
        <w:t>úrazové pojištění dospělých</w:t>
      </w:r>
    </w:p>
    <w:p w:rsidR="00A058B2" w:rsidRDefault="00A058B2" w:rsidP="00BE498C">
      <w:pPr>
        <w:pStyle w:val="Odstavecseseznamem"/>
        <w:numPr>
          <w:ilvl w:val="0"/>
          <w:numId w:val="6"/>
        </w:numPr>
      </w:pPr>
      <w:r>
        <w:t>úrazové pojištění dětí</w:t>
      </w:r>
    </w:p>
    <w:p w:rsidR="00A058B2" w:rsidRDefault="00A058B2" w:rsidP="00A058B2">
      <w:r>
        <w:t>Povinně je nutné sjednat pojištění pro případ smrti nebo dožití pro 1. dospělého pojištěného, ostatní složky pojištění jsou volitelné. Na jedné pojistné smlouvě lze sjednat pojištění maximálně pro 10 osob.</w:t>
      </w:r>
    </w:p>
    <w:p w:rsidR="00A058B2" w:rsidRDefault="00A058B2" w:rsidP="00A058B2">
      <w:r>
        <w:t xml:space="preserve">Životní pojištění </w:t>
      </w:r>
      <w:r w:rsidR="00203A95">
        <w:t>PRODUKT XY</w:t>
      </w:r>
      <w:r>
        <w:t xml:space="preserve"> je pojištění s běžně placeným pojistným. Pokud má pojistník volné finanční prostředky, může je do pojištění vložit jako tzv. mimořádné pojistné již při uzavření pojistné smlouvy.</w:t>
      </w:r>
    </w:p>
    <w:p w:rsidR="00C2500C" w:rsidRDefault="00C2500C" w:rsidP="009100B3">
      <w:pPr>
        <w:pStyle w:val="Nadpis2"/>
      </w:pPr>
      <w:bookmarkStart w:id="22" w:name="_Toc309717590"/>
      <w:r w:rsidRPr="009100B3">
        <w:t>Kapitálová hodnota pojištění</w:t>
      </w:r>
      <w:bookmarkEnd w:id="22"/>
    </w:p>
    <w:p w:rsidR="00A058B2" w:rsidRDefault="00A058B2" w:rsidP="00A058B2">
      <w:r>
        <w:t>Kapitálová hodnota pojištění je tvořena kapitálovou hodnotou s garantovanou technickou úrokovou mírou a kapitálovou hodnotou negarantovanou a je snižována mimořádnými výběry. První den každého zúčtovacího období je snižována o rizikové pojistné za základní pojištění, počáteční a správní náklady a poplatky. Kapitálová hodnota se zvyšuje o zaplacené pojistné. Kapitálová hodnota se může měnit s ohledem na vývoj cen podílových jednotek jednotlivých vnitřních fondů.</w:t>
      </w:r>
    </w:p>
    <w:p w:rsidR="00A058B2" w:rsidRDefault="00A058B2" w:rsidP="00A058B2">
      <w:r>
        <w:t>Kapitálová hodnota s garantovanou technickou úrokovou mírou se zvyšuje o část zaplaceného běžného pojistného s ohledem na pohlaví a věk pojištěného, sjednanou pojistnou částku, zdravotní stav pojištěného a o část zaplaceného běžného pojistného alokovanou pojistníkem do této kapitálového hodnoty. Tato kapitálová hodnota je zhodnocena garantovanou technickou úrokovou mírou.</w:t>
      </w:r>
    </w:p>
    <w:p w:rsidR="00A058B2" w:rsidRDefault="00A058B2" w:rsidP="00A058B2">
      <w:r>
        <w:t xml:space="preserve">Kapitálová hodnota negarantovaná je tvořena kapitálovou hodnotou s vyhlašovanou úrokovou mírou a kapitálovými hodnotami tvořenými podílovými jednotkami vnitřních fondů. Kapitálová hodnota negarantovaná se zvyšuje o zaplacené mimořádné pojistné </w:t>
      </w:r>
      <w:r w:rsidR="008A3733">
        <w:br/>
      </w:r>
      <w:r>
        <w:t>a část zaplaceného běžného pojistného alokovanou pojistníkem do jednotlivých složek kapitálové hodnoty negarantované.</w:t>
      </w:r>
    </w:p>
    <w:p w:rsidR="00A058B2" w:rsidRDefault="00A058B2" w:rsidP="00A058B2">
      <w:r>
        <w:lastRenderedPageBreak/>
        <w:t>Kapitálová hodnota s vyhlašovanou úrokovou mírou se zvyšuje o část zaplaceného pojistného do ní alokovanou a je zhodnocena vyhlašovanou úrokovou mírou, která je uvedena v Přehledu poplatků.</w:t>
      </w:r>
    </w:p>
    <w:p w:rsidR="00A058B2" w:rsidRDefault="00A058B2" w:rsidP="00A058B2">
      <w:r>
        <w:t xml:space="preserve">Kapitálová hodnota tvořená podílovými jednotkami vnitřních fondů se zvyšuje </w:t>
      </w:r>
      <w:r w:rsidR="008A3733">
        <w:br/>
      </w:r>
      <w:r>
        <w:t>o podílové jednotky nakoupené za část zaplaceného pojistného alokované do této složky kapitálové hodnoty negarantované.</w:t>
      </w:r>
    </w:p>
    <w:p w:rsidR="00A058B2" w:rsidRDefault="00A058B2" w:rsidP="00A058B2">
      <w:r>
        <w:t xml:space="preserve">Podíly na výnosech z rezerv mohou být připisovány pro složky kapitálové hodnoty: kapitálová hodnota s garantovanou technickou úrokovou mírou a kapitálová hodnota </w:t>
      </w:r>
      <w:r w:rsidR="008A3733">
        <w:br/>
      </w:r>
      <w:r>
        <w:t>s vyhlašovanou úrokovou mírou. Pro tyto složky kapitálové hodnoty mohou být podíly na výnosech z rezerv připisovány v rozdílné výši.</w:t>
      </w:r>
    </w:p>
    <w:p w:rsidR="00A058B2" w:rsidRDefault="00A058B2" w:rsidP="00A058B2">
      <w:r>
        <w:t>Vnitřním fondem se rozumí soubor různých typů investic spravovaných českou pojišťovnou a.s. pro účely tohoto pojištění. Vnitřní fondy jsou vedeny v podílových jednotkách, odlišují se investiční strategií, povahou podkladových aktiv. Cena podílových jednotek se stanoví na základě hodnoty podkladových aktiv vnitřního fondu a celkového počtu podílových jednotek tohoto fondu. Tato cena není pojistitelem garantovaná.</w:t>
      </w:r>
    </w:p>
    <w:p w:rsidR="00A058B2" w:rsidRPr="00EE0C88" w:rsidRDefault="00A058B2" w:rsidP="00EE0C88">
      <w:pPr>
        <w:rPr>
          <w:b/>
        </w:rPr>
      </w:pPr>
      <w:r w:rsidRPr="00EE0C88">
        <w:t xml:space="preserve">Pro účely pojištění </w:t>
      </w:r>
      <w:r w:rsidR="00203A95">
        <w:t>Pojišťovna XY</w:t>
      </w:r>
      <w:r w:rsidRPr="00EE0C88">
        <w:t xml:space="preserve"> a.s. nabízí tyto vnitřní fondy</w:t>
      </w:r>
    </w:p>
    <w:p w:rsidR="00A058B2" w:rsidRDefault="00A058B2" w:rsidP="00BE498C">
      <w:pPr>
        <w:pStyle w:val="Odstavecseseznamem"/>
        <w:numPr>
          <w:ilvl w:val="0"/>
          <w:numId w:val="7"/>
        </w:numPr>
      </w:pPr>
      <w:r>
        <w:t>fond peněžního trhu,</w:t>
      </w:r>
    </w:p>
    <w:p w:rsidR="00A058B2" w:rsidRDefault="00505B7C" w:rsidP="00BE498C">
      <w:pPr>
        <w:pStyle w:val="Odstavecseseznamem"/>
        <w:numPr>
          <w:ilvl w:val="0"/>
          <w:numId w:val="7"/>
        </w:numPr>
      </w:pPr>
      <w:r>
        <w:t>f</w:t>
      </w:r>
      <w:r w:rsidR="00A058B2">
        <w:t xml:space="preserve">ond </w:t>
      </w:r>
      <w:proofErr w:type="spellStart"/>
      <w:r w:rsidR="00A058B2">
        <w:t>korporátních</w:t>
      </w:r>
      <w:proofErr w:type="spellEnd"/>
      <w:r w:rsidR="00A058B2">
        <w:t xml:space="preserve"> dluhopisů,</w:t>
      </w:r>
    </w:p>
    <w:p w:rsidR="00A058B2" w:rsidRDefault="00A058B2" w:rsidP="00BE498C">
      <w:pPr>
        <w:pStyle w:val="Odstavecseseznamem"/>
        <w:numPr>
          <w:ilvl w:val="0"/>
          <w:numId w:val="7"/>
        </w:numPr>
      </w:pPr>
      <w:r>
        <w:t>fond globálních značek,</w:t>
      </w:r>
    </w:p>
    <w:p w:rsidR="00A058B2" w:rsidRDefault="00A058B2" w:rsidP="00BE498C">
      <w:pPr>
        <w:pStyle w:val="Odstavecseseznamem"/>
        <w:numPr>
          <w:ilvl w:val="0"/>
          <w:numId w:val="7"/>
        </w:numPr>
      </w:pPr>
      <w:r>
        <w:t>fond ropného a energetického průmyslu,</w:t>
      </w:r>
    </w:p>
    <w:p w:rsidR="00A058B2" w:rsidRDefault="00A058B2" w:rsidP="00BE498C">
      <w:pPr>
        <w:pStyle w:val="Odstavecseseznamem"/>
        <w:numPr>
          <w:ilvl w:val="0"/>
          <w:numId w:val="7"/>
        </w:numPr>
      </w:pPr>
      <w:r>
        <w:t>zlatý fond,</w:t>
      </w:r>
    </w:p>
    <w:p w:rsidR="00A058B2" w:rsidRDefault="00A058B2" w:rsidP="00BE498C">
      <w:pPr>
        <w:pStyle w:val="Odstavecseseznamem"/>
        <w:numPr>
          <w:ilvl w:val="0"/>
          <w:numId w:val="7"/>
        </w:numPr>
      </w:pPr>
      <w:r>
        <w:t>fond nemovitostních akcií,</w:t>
      </w:r>
    </w:p>
    <w:p w:rsidR="00A058B2" w:rsidRDefault="00A058B2" w:rsidP="00BE498C">
      <w:pPr>
        <w:pStyle w:val="Odstavecseseznamem"/>
        <w:numPr>
          <w:ilvl w:val="0"/>
          <w:numId w:val="7"/>
        </w:numPr>
      </w:pPr>
      <w:r>
        <w:t>fond fondů vyvážený,</w:t>
      </w:r>
    </w:p>
    <w:p w:rsidR="00A058B2" w:rsidRDefault="00505B7C" w:rsidP="00BE498C">
      <w:pPr>
        <w:pStyle w:val="Odstavecseseznamem"/>
        <w:numPr>
          <w:ilvl w:val="0"/>
          <w:numId w:val="7"/>
        </w:numPr>
      </w:pPr>
      <w:r>
        <w:t>f</w:t>
      </w:r>
      <w:r w:rsidR="00A058B2">
        <w:t>ond fondů dynamický,</w:t>
      </w:r>
    </w:p>
    <w:p w:rsidR="00A058B2" w:rsidRDefault="00A058B2" w:rsidP="00BE498C">
      <w:pPr>
        <w:pStyle w:val="Odstavecseseznamem"/>
        <w:numPr>
          <w:ilvl w:val="0"/>
          <w:numId w:val="7"/>
        </w:numPr>
      </w:pPr>
      <w:r>
        <w:t>fond farmacie a biotechnologie,</w:t>
      </w:r>
    </w:p>
    <w:p w:rsidR="00A058B2" w:rsidRDefault="00A058B2" w:rsidP="00BE498C">
      <w:pPr>
        <w:pStyle w:val="Odstavecseseznamem"/>
        <w:numPr>
          <w:ilvl w:val="0"/>
          <w:numId w:val="7"/>
        </w:numPr>
      </w:pPr>
      <w:r>
        <w:t>fond živé planety</w:t>
      </w:r>
    </w:p>
    <w:p w:rsidR="00A058B2" w:rsidRDefault="00A058B2" w:rsidP="00BE498C">
      <w:pPr>
        <w:pStyle w:val="Odstavecseseznamem"/>
        <w:numPr>
          <w:ilvl w:val="0"/>
          <w:numId w:val="7"/>
        </w:numPr>
      </w:pPr>
      <w:r>
        <w:t>fond smíšený (balancovaný fond)</w:t>
      </w:r>
    </w:p>
    <w:p w:rsidR="00A058B2" w:rsidRDefault="00A058B2" w:rsidP="00BE498C">
      <w:pPr>
        <w:pStyle w:val="Odstavecseseznamem"/>
        <w:numPr>
          <w:ilvl w:val="0"/>
          <w:numId w:val="7"/>
        </w:numPr>
      </w:pPr>
      <w:r>
        <w:t>fond nových ekonomik.</w:t>
      </w:r>
    </w:p>
    <w:p w:rsidR="00A058B2" w:rsidRDefault="00A058B2" w:rsidP="00A058B2"/>
    <w:p w:rsidR="00A058B2" w:rsidRDefault="00A058B2" w:rsidP="00A058B2">
      <w:r>
        <w:t>Běžné pojistné lze alokovat do kapitálové hodnoty s garantovanou technickou úrokovou mírou a do kapitálové hodnoty negarantované. Mimořádné pojistné lze alokovat pouze do kapitálové hodnoty negarantované.</w:t>
      </w:r>
    </w:p>
    <w:p w:rsidR="00A058B2" w:rsidRDefault="00A058B2" w:rsidP="00A058B2">
      <w:r>
        <w:t xml:space="preserve">Při sjednání pojištění i kdykoli v průběhu trvání pojištění lze zaplatit mimořádné pojistné. Toto pojistné lze uhradit pojistníkem bez nahlášení. Přispívá-li na pojištění zaměstnavatel a chce zaplatit i mimořádné pojistné, může toto pojistné uhradit pouze po předchozím nahlášení pojistiteli. Mimořádné pojistné nelze uhradit, je-li pojištění </w:t>
      </w:r>
      <w:r w:rsidR="00A073B3">
        <w:br/>
      </w:r>
      <w:r>
        <w:t>v redukovaném stavu.</w:t>
      </w:r>
    </w:p>
    <w:p w:rsidR="00A058B2" w:rsidRDefault="00A058B2" w:rsidP="00A058B2">
      <w:r>
        <w:t>Minimální výše mimořádného pojistného a minimální výše přípěvku zaměstnavatele na mimořádné pojistné je stanovena v Přehledu poplatků, maximální výše není stanovena.</w:t>
      </w:r>
    </w:p>
    <w:p w:rsidR="00A058B2" w:rsidRDefault="00A058B2" w:rsidP="00A058B2">
      <w:r>
        <w:t>Při uzavření pojistné smlouvy může být snížen poplatek za vklad mimořádného pojistného.</w:t>
      </w:r>
    </w:p>
    <w:p w:rsidR="00A058B2" w:rsidRDefault="00A058B2" w:rsidP="00A058B2">
      <w:r>
        <w:t xml:space="preserve">V době trvání pojištění lze provádět mimořádné výběry z kapitálové hodnoty pojištění. Výběry jsou umožněny přednostně z kapitálové hodnoty negarantované, poté </w:t>
      </w:r>
      <w:r w:rsidR="00A073B3">
        <w:br/>
      </w:r>
      <w:r>
        <w:t>z kapitálové hodnoty s garantovanou technickou úrokovou mírou, nepostačují-li prostředky na provedení mimořádného výběru z kapitálové hodnoty negarantované. Mimořádný výběr lze provést z kapitálové hodnoty negarantované kdykoliv v době trvání pojištění, z kapitálové hodnoty s garantovanou technickou úrokovou mírou po zaplacení běžného pojistného alespoň za dva roky. Mimořádný výběr nelze provést, je-li pojištění v redukovaném stavu nebo je přerušeno placení pojistného.</w:t>
      </w:r>
    </w:p>
    <w:p w:rsidR="00A058B2" w:rsidRDefault="00A058B2" w:rsidP="00A058B2">
      <w:r>
        <w:t xml:space="preserve">Mimořádný výběr bude vyplacen nejvýše v hodnotě maximální výše mimořádného výběru stanovené dle pojistně technických zásad (pojistitel si vyhrazuje v doplňkových pojistných podmínkách právo na zamítnutí vyplacení mimořádného výběru například </w:t>
      </w:r>
      <w:r w:rsidR="00A073B3">
        <w:br/>
      </w:r>
      <w:r>
        <w:t>z důvodu nedostatečně velké rezervy). Minimální výše mimořádného výběru, stejně jako četnost mimořádných výběrů je stanovena v Přehledu poplatků. Za provedení mimořádného výběru je pojistitel oprávněn účtovat poplatek podle platného P</w:t>
      </w:r>
      <w:r w:rsidR="00FF7952">
        <w:t>řehledu poplatků – viz příloha</w:t>
      </w:r>
      <w:r w:rsidR="001A3E25">
        <w:t xml:space="preserve"> str. 12 Tabulka 16 </w:t>
      </w:r>
      <w:r w:rsidR="00203A95">
        <w:t>PRODUKT XY</w:t>
      </w:r>
      <w:r w:rsidR="00FF7952">
        <w:t>.</w:t>
      </w:r>
    </w:p>
    <w:p w:rsidR="00A058B2" w:rsidRDefault="00A058B2" w:rsidP="00A058B2">
      <w:r>
        <w:lastRenderedPageBreak/>
        <w:t>V době trvání pojištění lze provádět převody umístěných prostředků mezi jednotlivými složkami kapitálové hodnoty. V průběhu trvání pojištění je počet převodů neomezen (pojistitel si vyhrazuje v doplňkových pojistných podmínkách právo na zamítnutí). Převod nelze provést, je-li přerušeno placení pojistného. Za provedení převodu podílových jednotek je pojistitel oprávněn účtovat poplatek podle platného Přehledu poplatků.</w:t>
      </w:r>
    </w:p>
    <w:p w:rsidR="00A058B2" w:rsidRPr="00505B7C" w:rsidRDefault="00A058B2" w:rsidP="00A058B2">
      <w:pPr>
        <w:rPr>
          <w:b/>
        </w:rPr>
      </w:pPr>
      <w:r w:rsidRPr="00505B7C">
        <w:rPr>
          <w:b/>
        </w:rPr>
        <w:t>Převod umístěných prostředků je umožněn následujícím způsobem:</w:t>
      </w:r>
    </w:p>
    <w:p w:rsidR="00A058B2" w:rsidRDefault="00A058B2" w:rsidP="00BE498C">
      <w:pPr>
        <w:pStyle w:val="Odstavecseseznamem"/>
        <w:numPr>
          <w:ilvl w:val="0"/>
          <w:numId w:val="8"/>
        </w:numPr>
      </w:pPr>
      <w:r>
        <w:t xml:space="preserve">převod podílových jednotek mezi kapitálovými hodnotami tvořenými podílovými jednotkami vnitřních fondů; </w:t>
      </w:r>
    </w:p>
    <w:p w:rsidR="00A058B2" w:rsidRDefault="00A058B2" w:rsidP="00BE498C">
      <w:pPr>
        <w:pStyle w:val="Odstavecseseznamem"/>
        <w:numPr>
          <w:ilvl w:val="0"/>
          <w:numId w:val="8"/>
        </w:numPr>
      </w:pPr>
      <w:r>
        <w:t>převod podílových jednotek z kapitálové hodnoty tvořené podílovými jednotkami vnitřního fondu do kapitálové hodnoty s vyhlašovanou úrokovou mírou;</w:t>
      </w:r>
    </w:p>
    <w:p w:rsidR="00A058B2" w:rsidRDefault="00A058B2" w:rsidP="00BE498C">
      <w:pPr>
        <w:pStyle w:val="Odstavecseseznamem"/>
        <w:numPr>
          <w:ilvl w:val="0"/>
          <w:numId w:val="8"/>
        </w:numPr>
      </w:pPr>
      <w:r>
        <w:t>převod peněžních prostředků z kapitálové hodnoty s vyhlašovanou úrokovou mírou do kapitálové hodnoty tvořené podílovými jednotkami vnitřního fondu;</w:t>
      </w:r>
    </w:p>
    <w:p w:rsidR="00A058B2" w:rsidRDefault="00A058B2" w:rsidP="00BE498C">
      <w:pPr>
        <w:pStyle w:val="Odstavecseseznamem"/>
        <w:numPr>
          <w:ilvl w:val="0"/>
          <w:numId w:val="8"/>
        </w:numPr>
      </w:pPr>
      <w:r>
        <w:t>převod „z“ a „do“ kapitálové hodnoty s garantovanou technic</w:t>
      </w:r>
      <w:r w:rsidR="00BD0C86">
        <w:t>kou úrokovou mírou není povolen.</w:t>
      </w:r>
    </w:p>
    <w:p w:rsidR="00A058B2" w:rsidRDefault="00A058B2" w:rsidP="00A058B2">
      <w:r>
        <w:t>V době trvání pojištění lze provádět změnu alokačního poměru běžně i mimořádně placeného pojistného. V průběhu trvání pojištění je počet změn alokačních poměrů neomezen (pojistitel si vyhrazuje v doplňkových pojistných podmínkách právo na zamítnutí). Změnu alokačního poměru nelze provést, je-li pojištění v redukovaném stavu. Za provedení změny alokačního poměru je pojistitel oprávněn účtovat poplatek dle platného Přehledu poplatků. Pojistník nemůže změnit alokační poměr pro již zaplacené pojistné.</w:t>
      </w:r>
    </w:p>
    <w:p w:rsidR="00A058B2" w:rsidRPr="00505B7C" w:rsidRDefault="00A058B2" w:rsidP="00EE0C88">
      <w:pPr>
        <w:pStyle w:val="Nadpis2"/>
        <w:rPr>
          <w:b w:val="0"/>
        </w:rPr>
      </w:pPr>
      <w:bookmarkStart w:id="23" w:name="_Toc309717591"/>
      <w:r w:rsidRPr="00EE0C88">
        <w:rPr>
          <w:b w:val="0"/>
        </w:rPr>
        <w:t>Nároky z pojištění:</w:t>
      </w:r>
      <w:bookmarkEnd w:id="23"/>
    </w:p>
    <w:p w:rsidR="00A058B2" w:rsidRDefault="00505B7C" w:rsidP="00BE498C">
      <w:pPr>
        <w:pStyle w:val="Odstavecseseznamem"/>
        <w:numPr>
          <w:ilvl w:val="0"/>
          <w:numId w:val="9"/>
        </w:numPr>
      </w:pPr>
      <w:r>
        <w:t>S</w:t>
      </w:r>
      <w:r w:rsidR="00A058B2">
        <w:t>mrt pojištěného</w:t>
      </w:r>
      <w:r w:rsidR="00FF7952">
        <w:t>:</w:t>
      </w:r>
      <w:r>
        <w:t xml:space="preserve"> </w:t>
      </w:r>
      <w:r w:rsidR="00FF7952">
        <w:t>z</w:t>
      </w:r>
      <w:r w:rsidR="00A058B2">
        <w:t>emře-li pojištěný v době trvání pojištění, nikoli následkem sebevraždy do dvou let trvání pojištění, vyplatí se sjednaná pojistná částka pro případ smrti a kapitálová hodnota pojištění.</w:t>
      </w:r>
      <w:r w:rsidR="003D6334">
        <w:t xml:space="preserve"> </w:t>
      </w:r>
      <w:r w:rsidR="00A058B2">
        <w:t>Zemře-li pojištěný v prvních dvou letech následkem sebevraždy, vyplatí se kapitálová hodnota pojištění.</w:t>
      </w:r>
    </w:p>
    <w:p w:rsidR="00A058B2" w:rsidRDefault="00505B7C" w:rsidP="00BE498C">
      <w:pPr>
        <w:pStyle w:val="Odstavecseseznamem"/>
        <w:numPr>
          <w:ilvl w:val="0"/>
          <w:numId w:val="9"/>
        </w:numPr>
      </w:pPr>
      <w:r>
        <w:lastRenderedPageBreak/>
        <w:t>D</w:t>
      </w:r>
      <w:r w:rsidR="00A058B2">
        <w:t>ožití se konce pojištění</w:t>
      </w:r>
      <w:r w:rsidR="00FF7952">
        <w:t>:</w:t>
      </w:r>
      <w:r>
        <w:t xml:space="preserve"> </w:t>
      </w:r>
      <w:r w:rsidR="00FF7952">
        <w:t>d</w:t>
      </w:r>
      <w:r w:rsidR="00A058B2">
        <w:t>ožije-li se pojištěný sjednaného konce pojištění, vyplatí se kapitálová hodnota pojištění. Pokud je sjednána pojistná částka pro případ dožití, vyplatí se pojistná částka pro případ dožití a kapitálová hodnota pojištění převyšující sjednanou pojistnou částku pro případ dožití.</w:t>
      </w:r>
    </w:p>
    <w:p w:rsidR="00A058B2" w:rsidRDefault="00505B7C" w:rsidP="00A058B2">
      <w:pPr>
        <w:pStyle w:val="Odstavecseseznamem"/>
        <w:numPr>
          <w:ilvl w:val="0"/>
          <w:numId w:val="9"/>
        </w:numPr>
      </w:pPr>
      <w:r>
        <w:t>O</w:t>
      </w:r>
      <w:r w:rsidR="00A058B2">
        <w:t>nemocnění</w:t>
      </w:r>
      <w:r w:rsidR="00FF7952">
        <w:t>:</w:t>
      </w:r>
      <w:r>
        <w:t xml:space="preserve"> </w:t>
      </w:r>
      <w:r w:rsidR="00FF7952">
        <w:t>v</w:t>
      </w:r>
      <w:r w:rsidR="00A058B2">
        <w:t xml:space="preserve"> případě potvrzení lékařské diagnózy závažného onemocnění (dojde-li k závažnému onemocnění nejdříve po 6 měsících od sjednání pojištění závažných onemocnění) u pojištěného vyplatí pojistitel sjednanou pojistnou částku pro závažné onemocnění</w:t>
      </w:r>
      <w:r w:rsidR="00FF7952">
        <w:t xml:space="preserve"> </w:t>
      </w:r>
      <w:r w:rsidR="00A058B2">
        <w:t>a pojištění zanikne</w:t>
      </w:r>
      <w:r w:rsidR="00FF7952">
        <w:t>.</w:t>
      </w:r>
    </w:p>
    <w:p w:rsidR="00FF7952" w:rsidRDefault="00FF7952" w:rsidP="007E5C73">
      <w:pPr>
        <w:pStyle w:val="Nadpis2"/>
      </w:pPr>
      <w:bookmarkStart w:id="24" w:name="_Toc309717592"/>
      <w:r w:rsidRPr="007E5C73">
        <w:t>Pojištění závažných onemocnění</w:t>
      </w:r>
      <w:bookmarkEnd w:id="24"/>
    </w:p>
    <w:p w:rsidR="00A058B2" w:rsidRDefault="00A058B2" w:rsidP="00A058B2">
      <w:r>
        <w:t>Pojištění závažných onemocnění kryje tato onemocnění a zákroky:</w:t>
      </w:r>
    </w:p>
    <w:p w:rsidR="00A058B2" w:rsidRDefault="00A058B2" w:rsidP="00BE498C">
      <w:pPr>
        <w:pStyle w:val="Odstavecseseznamem"/>
        <w:numPr>
          <w:ilvl w:val="0"/>
          <w:numId w:val="10"/>
        </w:numPr>
      </w:pPr>
      <w:r>
        <w:t>infarkt myokardu,</w:t>
      </w:r>
    </w:p>
    <w:p w:rsidR="00A058B2" w:rsidRDefault="00A058B2" w:rsidP="00BE498C">
      <w:pPr>
        <w:pStyle w:val="Odstavecseseznamem"/>
        <w:numPr>
          <w:ilvl w:val="0"/>
          <w:numId w:val="10"/>
        </w:numPr>
      </w:pPr>
      <w:r>
        <w:t>operace věnčitých tepen,</w:t>
      </w:r>
    </w:p>
    <w:p w:rsidR="00A058B2" w:rsidRDefault="00A058B2" w:rsidP="00BE498C">
      <w:pPr>
        <w:pStyle w:val="Odstavecseseznamem"/>
        <w:numPr>
          <w:ilvl w:val="0"/>
          <w:numId w:val="10"/>
        </w:numPr>
      </w:pPr>
      <w:r>
        <w:t>operace srdeční chlopně,</w:t>
      </w:r>
    </w:p>
    <w:p w:rsidR="00A058B2" w:rsidRDefault="00A058B2" w:rsidP="00BE498C">
      <w:pPr>
        <w:pStyle w:val="Odstavecseseznamem"/>
        <w:numPr>
          <w:ilvl w:val="0"/>
          <w:numId w:val="10"/>
        </w:numPr>
      </w:pPr>
      <w:r>
        <w:t>získané chronické srdeční onemocnění,</w:t>
      </w:r>
    </w:p>
    <w:p w:rsidR="00A058B2" w:rsidRDefault="00A058B2" w:rsidP="00BE498C">
      <w:pPr>
        <w:pStyle w:val="Odstavecseseznamem"/>
        <w:numPr>
          <w:ilvl w:val="0"/>
          <w:numId w:val="10"/>
        </w:numPr>
      </w:pPr>
      <w:r>
        <w:t>cévní mozková příhoda,</w:t>
      </w:r>
    </w:p>
    <w:p w:rsidR="00A058B2" w:rsidRDefault="00A058B2" w:rsidP="00BE498C">
      <w:pPr>
        <w:pStyle w:val="Odstavecseseznamem"/>
        <w:numPr>
          <w:ilvl w:val="0"/>
          <w:numId w:val="10"/>
        </w:numPr>
      </w:pPr>
      <w:r>
        <w:t>zhoubné nádory (rakovina),</w:t>
      </w:r>
    </w:p>
    <w:p w:rsidR="00A058B2" w:rsidRDefault="00A058B2" w:rsidP="00BE498C">
      <w:pPr>
        <w:pStyle w:val="Odstavecseseznamem"/>
        <w:numPr>
          <w:ilvl w:val="0"/>
          <w:numId w:val="10"/>
        </w:numPr>
      </w:pPr>
      <w:r>
        <w:t>nezhoubný nádor mozku,</w:t>
      </w:r>
    </w:p>
    <w:p w:rsidR="00A058B2" w:rsidRDefault="00A058B2" w:rsidP="00BE498C">
      <w:pPr>
        <w:pStyle w:val="Odstavecseseznamem"/>
        <w:numPr>
          <w:ilvl w:val="0"/>
          <w:numId w:val="10"/>
        </w:numPr>
      </w:pPr>
      <w:r>
        <w:t>meningitida,</w:t>
      </w:r>
    </w:p>
    <w:p w:rsidR="00A058B2" w:rsidRDefault="00A058B2" w:rsidP="00BE498C">
      <w:pPr>
        <w:pStyle w:val="Odstavecseseznamem"/>
        <w:numPr>
          <w:ilvl w:val="0"/>
          <w:numId w:val="10"/>
        </w:numPr>
      </w:pPr>
      <w:r>
        <w:t>encefalitida,</w:t>
      </w:r>
    </w:p>
    <w:p w:rsidR="00A058B2" w:rsidRDefault="00A058B2" w:rsidP="00BE498C">
      <w:pPr>
        <w:pStyle w:val="Odstavecseseznamem"/>
        <w:numPr>
          <w:ilvl w:val="0"/>
          <w:numId w:val="10"/>
        </w:numPr>
      </w:pPr>
      <w:r>
        <w:t>klíšťová meningoencefalitida,</w:t>
      </w:r>
    </w:p>
    <w:p w:rsidR="00A058B2" w:rsidRDefault="00A058B2" w:rsidP="00BE498C">
      <w:pPr>
        <w:pStyle w:val="Odstavecseseznamem"/>
        <w:numPr>
          <w:ilvl w:val="0"/>
          <w:numId w:val="10"/>
        </w:numPr>
      </w:pPr>
      <w:r>
        <w:t>selhání ledvin,</w:t>
      </w:r>
    </w:p>
    <w:p w:rsidR="00A058B2" w:rsidRDefault="00A058B2" w:rsidP="00BE498C">
      <w:pPr>
        <w:pStyle w:val="Odstavecseseznamem"/>
        <w:numPr>
          <w:ilvl w:val="0"/>
          <w:numId w:val="10"/>
        </w:numPr>
      </w:pPr>
      <w:r>
        <w:t>transplantace životně důležitých orgánů,</w:t>
      </w:r>
    </w:p>
    <w:p w:rsidR="00A058B2" w:rsidRDefault="00A058B2" w:rsidP="00BE498C">
      <w:pPr>
        <w:pStyle w:val="Odstavecseseznamem"/>
        <w:numPr>
          <w:ilvl w:val="0"/>
          <w:numId w:val="10"/>
        </w:numPr>
      </w:pPr>
      <w:r>
        <w:t>slepota,</w:t>
      </w:r>
    </w:p>
    <w:p w:rsidR="00A058B2" w:rsidRDefault="00A058B2" w:rsidP="00BE498C">
      <w:pPr>
        <w:pStyle w:val="Odstavecseseznamem"/>
        <w:numPr>
          <w:ilvl w:val="0"/>
          <w:numId w:val="10"/>
        </w:numPr>
      </w:pPr>
      <w:r>
        <w:t>hluchota,</w:t>
      </w:r>
    </w:p>
    <w:p w:rsidR="00A058B2" w:rsidRDefault="00A058B2" w:rsidP="00BE498C">
      <w:pPr>
        <w:pStyle w:val="Odstavecseseznamem"/>
        <w:numPr>
          <w:ilvl w:val="0"/>
          <w:numId w:val="10"/>
        </w:numPr>
      </w:pPr>
      <w:r>
        <w:t>onemocnění HIV získané při transfuzi krve,</w:t>
      </w:r>
    </w:p>
    <w:p w:rsidR="00A058B2" w:rsidRDefault="00A058B2" w:rsidP="00BE498C">
      <w:pPr>
        <w:pStyle w:val="Odstavecseseznamem"/>
        <w:numPr>
          <w:ilvl w:val="0"/>
          <w:numId w:val="10"/>
        </w:numPr>
      </w:pPr>
      <w:proofErr w:type="spellStart"/>
      <w:r>
        <w:t>lymská</w:t>
      </w:r>
      <w:proofErr w:type="spellEnd"/>
      <w:r>
        <w:t xml:space="preserve"> borelióza,</w:t>
      </w:r>
    </w:p>
    <w:p w:rsidR="00A058B2" w:rsidRDefault="00A058B2" w:rsidP="00BE498C">
      <w:pPr>
        <w:pStyle w:val="Odstavecseseznamem"/>
        <w:numPr>
          <w:ilvl w:val="0"/>
          <w:numId w:val="10"/>
        </w:numPr>
      </w:pPr>
      <w:r>
        <w:t>aplastická anemie,</w:t>
      </w:r>
    </w:p>
    <w:p w:rsidR="00A058B2" w:rsidRDefault="00A058B2" w:rsidP="00BE498C">
      <w:pPr>
        <w:pStyle w:val="Odstavecseseznamem"/>
        <w:numPr>
          <w:ilvl w:val="0"/>
          <w:numId w:val="10"/>
        </w:numPr>
      </w:pPr>
      <w:r>
        <w:t>chronická virová hepatitida,</w:t>
      </w:r>
    </w:p>
    <w:p w:rsidR="00A058B2" w:rsidRDefault="00A058B2" w:rsidP="00BE498C">
      <w:pPr>
        <w:pStyle w:val="Odstavecseseznamem"/>
        <w:numPr>
          <w:ilvl w:val="0"/>
          <w:numId w:val="10"/>
        </w:numPr>
      </w:pPr>
      <w:r>
        <w:t>revmatická horečka,</w:t>
      </w:r>
    </w:p>
    <w:p w:rsidR="00A058B2" w:rsidRDefault="00A058B2" w:rsidP="00BE498C">
      <w:pPr>
        <w:pStyle w:val="Odstavecseseznamem"/>
        <w:numPr>
          <w:ilvl w:val="0"/>
          <w:numId w:val="10"/>
        </w:numPr>
      </w:pPr>
      <w:r>
        <w:t xml:space="preserve">roztroušená </w:t>
      </w:r>
      <w:proofErr w:type="spellStart"/>
      <w:r>
        <w:t>skleroza</w:t>
      </w:r>
      <w:proofErr w:type="spellEnd"/>
      <w:r>
        <w:t>,</w:t>
      </w:r>
    </w:p>
    <w:p w:rsidR="00A058B2" w:rsidRDefault="00A058B2" w:rsidP="00BE498C">
      <w:pPr>
        <w:pStyle w:val="Odstavecseseznamem"/>
        <w:numPr>
          <w:ilvl w:val="0"/>
          <w:numId w:val="10"/>
        </w:numPr>
      </w:pPr>
      <w:r>
        <w:lastRenderedPageBreak/>
        <w:t>systémová sklerodermie,</w:t>
      </w:r>
    </w:p>
    <w:p w:rsidR="00A058B2" w:rsidRDefault="00A058B2" w:rsidP="00BE498C">
      <w:pPr>
        <w:pStyle w:val="Odstavecseseznamem"/>
        <w:numPr>
          <w:ilvl w:val="0"/>
          <w:numId w:val="10"/>
        </w:numPr>
      </w:pPr>
      <w:r>
        <w:t>Parkinsonova choroba do věku 65 let,</w:t>
      </w:r>
    </w:p>
    <w:p w:rsidR="00A058B2" w:rsidRDefault="00A058B2" w:rsidP="00BE498C">
      <w:pPr>
        <w:pStyle w:val="Odstavecseseznamem"/>
        <w:numPr>
          <w:ilvl w:val="0"/>
          <w:numId w:val="10"/>
        </w:numPr>
      </w:pPr>
      <w:r>
        <w:t>Alzheimerova choroba do věku 65 let,</w:t>
      </w:r>
    </w:p>
    <w:p w:rsidR="00A058B2" w:rsidRDefault="00A058B2" w:rsidP="00BE498C">
      <w:pPr>
        <w:pStyle w:val="Odstavecseseznamem"/>
        <w:numPr>
          <w:ilvl w:val="0"/>
          <w:numId w:val="10"/>
        </w:numPr>
      </w:pPr>
      <w:r>
        <w:t xml:space="preserve">systémový lupus </w:t>
      </w:r>
      <w:proofErr w:type="spellStart"/>
      <w:r>
        <w:t>erytematodes</w:t>
      </w:r>
      <w:proofErr w:type="spellEnd"/>
      <w:r>
        <w:t>,</w:t>
      </w:r>
    </w:p>
    <w:p w:rsidR="00A058B2" w:rsidRDefault="00A058B2" w:rsidP="00BE498C">
      <w:pPr>
        <w:pStyle w:val="Odstavecseseznamem"/>
        <w:numPr>
          <w:ilvl w:val="0"/>
          <w:numId w:val="10"/>
        </w:numPr>
      </w:pPr>
      <w:r>
        <w:t>břišní tyfus,</w:t>
      </w:r>
    </w:p>
    <w:p w:rsidR="00A058B2" w:rsidRDefault="00A058B2" w:rsidP="00BE498C">
      <w:pPr>
        <w:pStyle w:val="Odstavecseseznamem"/>
        <w:numPr>
          <w:ilvl w:val="0"/>
          <w:numId w:val="10"/>
        </w:numPr>
      </w:pPr>
      <w:r>
        <w:t>TBC,</w:t>
      </w:r>
    </w:p>
    <w:p w:rsidR="00A058B2" w:rsidRDefault="00A058B2" w:rsidP="00BE498C">
      <w:pPr>
        <w:pStyle w:val="Odstavecseseznamem"/>
        <w:numPr>
          <w:ilvl w:val="0"/>
          <w:numId w:val="10"/>
        </w:numPr>
      </w:pPr>
      <w:r>
        <w:t>operace aorty,</w:t>
      </w:r>
    </w:p>
    <w:p w:rsidR="00A058B2" w:rsidRDefault="00A058B2" w:rsidP="00BE498C">
      <w:pPr>
        <w:pStyle w:val="Odstavecseseznamem"/>
        <w:numPr>
          <w:ilvl w:val="0"/>
          <w:numId w:val="10"/>
        </w:numPr>
      </w:pPr>
      <w:r>
        <w:t>kardiomyopatie,</w:t>
      </w:r>
    </w:p>
    <w:p w:rsidR="00A058B2" w:rsidRDefault="00A058B2" w:rsidP="00BE498C">
      <w:pPr>
        <w:pStyle w:val="Odstavecseseznamem"/>
        <w:numPr>
          <w:ilvl w:val="0"/>
          <w:numId w:val="10"/>
        </w:numPr>
      </w:pPr>
      <w:r>
        <w:t>tetanus,</w:t>
      </w:r>
    </w:p>
    <w:p w:rsidR="00A058B2" w:rsidRDefault="00A058B2" w:rsidP="00BE498C">
      <w:pPr>
        <w:pStyle w:val="Odstavecseseznamem"/>
        <w:numPr>
          <w:ilvl w:val="0"/>
          <w:numId w:val="10"/>
        </w:numPr>
      </w:pPr>
      <w:r>
        <w:t>popáleniny,</w:t>
      </w:r>
    </w:p>
    <w:p w:rsidR="00A058B2" w:rsidRDefault="00A058B2" w:rsidP="00BE498C">
      <w:pPr>
        <w:pStyle w:val="Odstavecseseznamem"/>
        <w:numPr>
          <w:ilvl w:val="0"/>
          <w:numId w:val="10"/>
        </w:numPr>
      </w:pPr>
      <w:r>
        <w:t xml:space="preserve">ochrnutí </w:t>
      </w:r>
      <w:r w:rsidR="00DC2701">
        <w:t>–</w:t>
      </w:r>
      <w:r>
        <w:t xml:space="preserve"> paraplegie, tetraplegie, hemiplegie,</w:t>
      </w:r>
    </w:p>
    <w:p w:rsidR="00A058B2" w:rsidRDefault="00A058B2" w:rsidP="00BE498C">
      <w:pPr>
        <w:pStyle w:val="Odstavecseseznamem"/>
        <w:numPr>
          <w:ilvl w:val="0"/>
          <w:numId w:val="10"/>
        </w:numPr>
      </w:pPr>
      <w:proofErr w:type="spellStart"/>
      <w:r>
        <w:t>Morbus</w:t>
      </w:r>
      <w:proofErr w:type="spellEnd"/>
      <w:r>
        <w:t xml:space="preserve"> </w:t>
      </w:r>
      <w:proofErr w:type="spellStart"/>
      <w:r>
        <w:t>Bechtěrev</w:t>
      </w:r>
      <w:proofErr w:type="spellEnd"/>
      <w:r>
        <w:t>,</w:t>
      </w:r>
    </w:p>
    <w:p w:rsidR="00A058B2" w:rsidRDefault="00A058B2" w:rsidP="00BE498C">
      <w:pPr>
        <w:pStyle w:val="Odstavecseseznamem"/>
        <w:numPr>
          <w:ilvl w:val="0"/>
          <w:numId w:val="10"/>
        </w:numPr>
      </w:pPr>
      <w:proofErr w:type="spellStart"/>
      <w:r>
        <w:t>cirhoza</w:t>
      </w:r>
      <w:proofErr w:type="spellEnd"/>
      <w:r>
        <w:t xml:space="preserve"> jater.</w:t>
      </w:r>
    </w:p>
    <w:p w:rsidR="00A058B2" w:rsidRDefault="00A058B2" w:rsidP="00A058B2">
      <w:r>
        <w:t>Pojistná částka je splatná pouze jednou, po stanovení diagnózy a verifikaci závažného onemocnění v</w:t>
      </w:r>
      <w:r w:rsidR="00DC2701">
        <w:t> </w:t>
      </w:r>
      <w:r>
        <w:t>případě prvního výskytu onemocnění u pojištěného. Přesné podmínky pro uznání onemocnění jako pojistné události jsou uvedeny v</w:t>
      </w:r>
      <w:r w:rsidR="00DC2701">
        <w:t> </w:t>
      </w:r>
      <w:r>
        <w:t>doplňkových pojistných podmínkách.</w:t>
      </w:r>
    </w:p>
    <w:p w:rsidR="00A058B2" w:rsidRDefault="00A058B2" w:rsidP="00A058B2">
      <w:r>
        <w:t>Dojde-li k</w:t>
      </w:r>
      <w:r w:rsidR="00DC2701">
        <w:t> </w:t>
      </w:r>
      <w:r>
        <w:t>závažnému onemocnění do 6 měsíců od data sjednání pojištění závažných onemocnění, toto pojištění zaniká bez nároku na pojistné plnění za závažné onemocnění. Sjednané základní pojištění zůstává beze změny. Dojde-li v</w:t>
      </w:r>
      <w:r w:rsidR="00DC2701">
        <w:t> </w:t>
      </w:r>
      <w:r>
        <w:t>období šesti měsíců před výskytem závažného onemocnění u pojištěného ke změnám v</w:t>
      </w:r>
      <w:r w:rsidR="00DC2701">
        <w:t> </w:t>
      </w:r>
      <w:r>
        <w:t>pojistné částce, platí pro výplatu pojistného plnění omezení popsaná v</w:t>
      </w:r>
      <w:r w:rsidR="00DC2701">
        <w:t> </w:t>
      </w:r>
      <w:r>
        <w:t>doplňkových pojistných podmínkách pro pojištění závažných onemocnění.</w:t>
      </w:r>
    </w:p>
    <w:p w:rsidR="00A058B2" w:rsidRDefault="00A058B2" w:rsidP="00A058B2">
      <w:r>
        <w:t>V</w:t>
      </w:r>
      <w:r w:rsidR="00DC2701">
        <w:t> </w:t>
      </w:r>
      <w:r>
        <w:t>případě, že je sjednán zánik povinnosti platit běžné pojistné s</w:t>
      </w:r>
      <w:r w:rsidR="00DC2701">
        <w:t> </w:t>
      </w:r>
      <w:r>
        <w:t>pojištěním závažných onemocnění a dojde-li k</w:t>
      </w:r>
      <w:r w:rsidR="00DC2701">
        <w:t> </w:t>
      </w:r>
      <w:r>
        <w:t>pojistnému plnění za závažné onemocnění, zaniká po dni vzniku závažného onemocnění povinnost platit běžné pojistné, přičemž zůstávají zachovány veškeré nároky z</w:t>
      </w:r>
      <w:r w:rsidR="00DC2701">
        <w:t> </w:t>
      </w:r>
      <w:r>
        <w:t>pojistné smlouvy.</w:t>
      </w:r>
    </w:p>
    <w:p w:rsidR="00A058B2" w:rsidRDefault="00A058B2" w:rsidP="007A6987">
      <w:r>
        <w:t>V</w:t>
      </w:r>
      <w:r w:rsidR="00DC2701">
        <w:t> </w:t>
      </w:r>
      <w:r>
        <w:t xml:space="preserve">případě potvrzení lékařské diagnózy kritického onemocnění (dojde-li ke kritickému onemocnění nejdříve po 6 měsících od sjednání pojištění kritických onemocnění) </w:t>
      </w:r>
      <w:r w:rsidR="00A073B3">
        <w:br/>
      </w:r>
      <w:r>
        <w:lastRenderedPageBreak/>
        <w:t>u pojištěného, vyplatí pojistitel sjednanou pojistnou částku pro kritické onemocnění</w:t>
      </w:r>
      <w:r w:rsidR="00097434">
        <w:t xml:space="preserve"> </w:t>
      </w:r>
      <w:r w:rsidR="00BF0B9B">
        <w:br/>
      </w:r>
      <w:r>
        <w:t>a pojištění zanikne.</w:t>
      </w:r>
      <w:r w:rsidR="00B11637">
        <w:t xml:space="preserve"> </w:t>
      </w:r>
      <w:r w:rsidR="00BF0B9B">
        <w:t>(v</w:t>
      </w:r>
      <w:r w:rsidR="00B11637">
        <w:t>iz. Tabulka 3</w:t>
      </w:r>
      <w:r w:rsidR="00215D91">
        <w:t xml:space="preserve"> Závažná onemocnění ZO, přílohy str. 7)</w:t>
      </w:r>
    </w:p>
    <w:p w:rsidR="007A6987" w:rsidRPr="005260BD" w:rsidRDefault="00FF7952" w:rsidP="005260BD">
      <w:pPr>
        <w:pStyle w:val="Nadpis2"/>
      </w:pPr>
      <w:bookmarkStart w:id="25" w:name="_Toc309717593"/>
      <w:r w:rsidRPr="005260BD">
        <w:t>Pojištění kritických onemocnění</w:t>
      </w:r>
      <w:bookmarkEnd w:id="25"/>
    </w:p>
    <w:p w:rsidR="00A058B2" w:rsidRPr="00570FBB" w:rsidRDefault="00A058B2" w:rsidP="00A058B2">
      <w:pPr>
        <w:rPr>
          <w:b/>
        </w:rPr>
      </w:pPr>
      <w:r w:rsidRPr="00570FBB">
        <w:rPr>
          <w:b/>
        </w:rPr>
        <w:t>Pojištění kritických onemocnění kryje tato onemocnění a zákroky:</w:t>
      </w:r>
    </w:p>
    <w:p w:rsidR="00A058B2" w:rsidRDefault="00A058B2" w:rsidP="00BE498C">
      <w:pPr>
        <w:pStyle w:val="Odstavecseseznamem"/>
        <w:numPr>
          <w:ilvl w:val="0"/>
          <w:numId w:val="11"/>
        </w:numPr>
      </w:pPr>
      <w:r>
        <w:t>opakovaný Infarkt myokardu,</w:t>
      </w:r>
    </w:p>
    <w:p w:rsidR="00A058B2" w:rsidRDefault="00A058B2" w:rsidP="00BE498C">
      <w:pPr>
        <w:pStyle w:val="Odstavecseseznamem"/>
        <w:numPr>
          <w:ilvl w:val="0"/>
          <w:numId w:val="11"/>
        </w:numPr>
      </w:pPr>
      <w:proofErr w:type="spellStart"/>
      <w:r>
        <w:t>Cor</w:t>
      </w:r>
      <w:proofErr w:type="spellEnd"/>
      <w:r>
        <w:t xml:space="preserve"> </w:t>
      </w:r>
      <w:proofErr w:type="spellStart"/>
      <w:r>
        <w:t>pulmonale</w:t>
      </w:r>
      <w:proofErr w:type="spellEnd"/>
      <w:r>
        <w:t>,</w:t>
      </w:r>
    </w:p>
    <w:p w:rsidR="00A058B2" w:rsidRDefault="00A058B2" w:rsidP="00BE498C">
      <w:pPr>
        <w:pStyle w:val="Odstavecseseznamem"/>
        <w:numPr>
          <w:ilvl w:val="0"/>
          <w:numId w:val="11"/>
        </w:numPr>
      </w:pPr>
      <w:r>
        <w:t>rakovina v pozdním stadiu.</w:t>
      </w:r>
    </w:p>
    <w:p w:rsidR="00A058B2" w:rsidRDefault="00A058B2" w:rsidP="00A058B2">
      <w:r>
        <w:t>Dojde-li ke kritickému onemocnění do 6 měsíců od data sjednání pojištění kritických onemocnění, toto pojištění zaniká bez nároku na pojistné plnění za kritické onemocnění. Sjednané základní pojištění zůstává beze změny.</w:t>
      </w:r>
    </w:p>
    <w:p w:rsidR="00A058B2" w:rsidRDefault="00A058B2" w:rsidP="00A058B2">
      <w:r>
        <w:t xml:space="preserve">Dojde-li v období šesti měsíců před výskytem kritického onemocnění u pojištěného ke změnám v pojistné částce, platí pro výplatu pojistného plnění omezení popsaná </w:t>
      </w:r>
      <w:r w:rsidR="00BF0B9B">
        <w:br/>
      </w:r>
      <w:r>
        <w:t>v doplňkových pojistných podmínkách pro pojištění kritických onemocnění.</w:t>
      </w:r>
    </w:p>
    <w:p w:rsidR="00A058B2" w:rsidRDefault="00A058B2" w:rsidP="00A058B2">
      <w:r>
        <w:t>V případě, že je sjednán zánik povinnosti platit běžné pojistné s pojištěním kritických onemocnění a dojde-li k pojistnému plnění za kritické onemocnění, zaniká po dni vzniku kritického onemocnění povinnost platit běžné pojistné, přičemž zůstávají zachovány veškeré nároky z pojistné smlouvy.</w:t>
      </w:r>
      <w:r w:rsidR="00B11637">
        <w:t xml:space="preserve"> </w:t>
      </w:r>
      <w:r w:rsidR="00BF0B9B">
        <w:t>(v</w:t>
      </w:r>
      <w:r w:rsidR="00215D91">
        <w:t xml:space="preserve">iz. </w:t>
      </w:r>
      <w:r w:rsidR="00B11637">
        <w:t>Tabulka 4</w:t>
      </w:r>
      <w:r w:rsidR="00215D91">
        <w:t xml:space="preserve"> Kritická onemocnění KO, přílohy str. 7)</w:t>
      </w:r>
    </w:p>
    <w:p w:rsidR="00526CF9" w:rsidRDefault="00526CF9" w:rsidP="00A058B2">
      <w:pPr>
        <w:rPr>
          <w:sz w:val="20"/>
        </w:rPr>
      </w:pPr>
    </w:p>
    <w:p w:rsidR="00097434" w:rsidRDefault="00097434" w:rsidP="000A64BF">
      <w:pPr>
        <w:pStyle w:val="Nadpis2"/>
      </w:pPr>
      <w:bookmarkStart w:id="26" w:name="_Toc309717594"/>
      <w:r w:rsidRPr="000A64BF">
        <w:t>Zproštění od placení pojistného</w:t>
      </w:r>
      <w:bookmarkEnd w:id="26"/>
    </w:p>
    <w:p w:rsidR="00A058B2" w:rsidRDefault="00A058B2" w:rsidP="00A058B2">
      <w:r>
        <w:t xml:space="preserve">Zproštění od placení pojistného lze sjednat pro vstupní věk pojištěného nižší než 60 let. </w:t>
      </w:r>
    </w:p>
    <w:p w:rsidR="00A058B2" w:rsidRDefault="00A058B2" w:rsidP="00A058B2">
      <w:r>
        <w:t xml:space="preserve">Jestliže je pojištěnému přiznán plný invalidní důchod ze sociálního zabezpečení a bylo-li sjednáno pojištění zproštění od placení pojistného, je pojistník zproštěn po dobu trvání pobírání plného invalidního důchodu od povinnosti platit pojistné, které za něj hradí pojišťovna. Zprostit od placení pojistného je možné, jestliže plný invalidní důchod byl přiznán alespoň po dvou letech od data sjednání připojištění. V případě, že v období </w:t>
      </w:r>
      <w:r>
        <w:lastRenderedPageBreak/>
        <w:t>dvou let před přiznáním invalidního důchodu došlo ke změnám pojistného, platí omezení popsaná v doplňkových pojistných podmínkách pro pojištění zproštění od placení pojistného. Dvouletá čekací doba se neuplatňuje v případech, kdy jde o plný invalidní důchod výlučně v důsledku úrazu ve smyslu Všeobecných pojistných podmínek pro úrazové pojištění a kdy k úrazu došlo po datu počátku připojištění.</w:t>
      </w:r>
    </w:p>
    <w:p w:rsidR="00A058B2" w:rsidRDefault="00A058B2" w:rsidP="00A058B2">
      <w:r>
        <w:t>Pojištění zproštění od placení pojistného končí nejpozději den před výročním dnem počátku pojištění v kalendářním roce, ve kterém pojištěný dosáhne věku 60 let. Pokud byl klient v průběhu pojistné doby zproštěn od placení běžného pojistného, toto zproštění pokračuje i po 60 letech věku v případě, že klient i nadále splňuje podmínky pro zproštění od placení pojistného, nejpozději však končí dnem, kdy se pojištěný dožije 65 let věku. Je-li pojištění sjednáno na dobu delší, než dosažení věku 65 let pojištěného, může pojištěný požádat o předčasné ukončení celého pojištění.</w:t>
      </w:r>
    </w:p>
    <w:p w:rsidR="00A058B2" w:rsidRDefault="00A058B2" w:rsidP="00A058B2">
      <w:r>
        <w:t>Pojistník je zproštěn od placení běžného pojistného (s výjimkou pojištění denní dávky při pracovní neschopnosti a pojištění plateb pojistného při pracovní neschopnosti, která zanikají), na klientský účet za něj pojistné platí pojišťovna. Z klientského účtu jsou ale dále strhávány poplatky na krytí rizika a ostatní poplatky jako u nezproštěných pojištění.</w:t>
      </w:r>
      <w:r w:rsidR="002A75D8">
        <w:t xml:space="preserve"> </w:t>
      </w:r>
      <w:r w:rsidR="00BF0B9B">
        <w:t xml:space="preserve">(viz. </w:t>
      </w:r>
      <w:r w:rsidR="002A75D8">
        <w:t>Tabulka 5</w:t>
      </w:r>
      <w:r w:rsidR="00BF0B9B">
        <w:t xml:space="preserve"> Zproštění sjednávání, přílohy str. 7)</w:t>
      </w:r>
    </w:p>
    <w:p w:rsidR="00097434" w:rsidRPr="000A64BF" w:rsidRDefault="00097434" w:rsidP="000A64BF">
      <w:pPr>
        <w:pStyle w:val="Nadpis2"/>
      </w:pPr>
      <w:bookmarkStart w:id="27" w:name="_Toc309717595"/>
      <w:r w:rsidRPr="000A64BF">
        <w:t>Invalidní renta</w:t>
      </w:r>
      <w:bookmarkEnd w:id="27"/>
    </w:p>
    <w:p w:rsidR="00A058B2" w:rsidRDefault="00A058B2" w:rsidP="00A058B2">
      <w:r>
        <w:t xml:space="preserve">Výplatu měsíční invalidní renty lze sjednat pro vstupní věk pojištěného nižší než 60 let. </w:t>
      </w:r>
    </w:p>
    <w:p w:rsidR="00A058B2" w:rsidRDefault="00A058B2" w:rsidP="00A058B2">
      <w:r>
        <w:t>Jestliže je pojištěnému přiznán plný invalidní důchod ze sociálního zabezpečení a byla-li sjednána výplata měsíční invalidní renty, začne pojistitel vyplácet pojištěnému sjednanou výši měsíční invalidní renty.</w:t>
      </w:r>
    </w:p>
    <w:p w:rsidR="00A058B2" w:rsidRDefault="00A058B2" w:rsidP="00A058B2">
      <w:r>
        <w:t xml:space="preserve">Vyplácet měsíční invalidní rentu je možné, jestliže plný invalidní důchod byl přiznán alespoň po dvou letech od data sjednání pojištění. V případě, že v období dvou let před přiznáním invalidního důchodu došlo ke změnám pojistného, platí omezení popsaná </w:t>
      </w:r>
      <w:r w:rsidR="00BF0B9B">
        <w:br/>
      </w:r>
      <w:r>
        <w:t>v doplňkových pojistných podmínkách pro pojištění zproštění od placení pojistného. Dvouletá čekací doba se neuplatňuje v případech, kdy jde o plný invalidní důchod výlučně v důsledku úrazu ve smyslu Všeobecných pojistných podmínek pro úrazové pojištění a kdy k úrazu došlo po datu počátku připojištění</w:t>
      </w:r>
    </w:p>
    <w:p w:rsidR="00A058B2" w:rsidRDefault="00A058B2" w:rsidP="00A058B2">
      <w:r>
        <w:lastRenderedPageBreak/>
        <w:t>Pojištění výplaty měsíční invalidní renty končí nejpozději den před výročním dnem počátku pojištění v kalendářním roce, ve kterém pojištěný dosáhne věku 60 let. Došlo-li k zahájení výplaty měsíční invalidní renty před tímto dnem, je pojištěnému invalidní renta vyplácena i nadále, pokud jsou splněny ostatní podmínky pro trvání výplaty měsíční invalidní renty, nejpozději však končí dnem, kdy se pojištěný dožije 65 let věku.</w:t>
      </w:r>
    </w:p>
    <w:p w:rsidR="00097434" w:rsidRDefault="00097434" w:rsidP="000A64BF">
      <w:pPr>
        <w:pStyle w:val="Nadpis2"/>
      </w:pPr>
      <w:bookmarkStart w:id="28" w:name="_Toc309717596"/>
      <w:r w:rsidRPr="000A64BF">
        <w:t>Indexace pojistného</w:t>
      </w:r>
      <w:bookmarkEnd w:id="28"/>
    </w:p>
    <w:p w:rsidR="00A058B2" w:rsidRDefault="00A058B2" w:rsidP="00A058B2">
      <w:r>
        <w:t xml:space="preserve">Pojistné za životní složku se zvyšuje k výročnímu dni pojištění o procento z pojistného (tzv. indexační procento), které pojistitel stanoví s ohledem na index růstu spotřebitelských cen publikovaný ČSÚ a růst nominálních mezd publikovaný ČSÚ za minulý rok. Pojistná částka pro případ smrti, pojistná částka pro případ dožití, byla-li sjednána, pojistná částka pro případ závažných onemocnění, byla-li sjednána, pojistná částka pro případ kritických onemocnění, byla-li sjednána a výše měsíční invalidní renty, byla-li sjednána, se zvyšují o stanovené procento nejvýše však na maximální pojistnou částku, na kterou postačuje navýšení pojistného. Maximální pojistná částka je dopočítána zejména podle aktuálního věku, aktuální pojistné částky, resp. výše měsíční invalidní renty, pojistné doby zbývající do konce pojištění a nového pojistného. Je-li sjednáno úrazové pojištění, zvyšuje se o stanovené indexační procento pojistné </w:t>
      </w:r>
      <w:r w:rsidR="00BF0B9B">
        <w:br/>
      </w:r>
      <w:r>
        <w:t>i sjednané pojistné částky tohoto pojištění. Indexační procento nemusí být stanoveno každý rok. Pojistné a pojistná částka se zvyšují automaticky, pokud pojistitel stanoví indexační procento a zároveň pojistník neodmítne zvýšení pojistného a pojistné částky. Pokud pojistník odmítne dva návrhy na indexaci pojištění, nebude pojistitel provádět indexaci pojištění po dobu 5 let od posledního odmítnutí indexace.</w:t>
      </w:r>
    </w:p>
    <w:p w:rsidR="00A058B2" w:rsidRDefault="00A058B2" w:rsidP="00A058B2">
      <w:r>
        <w:t>Indexace pojištění se provádí bez dalšího došetřování zdravotního stavu pojištěného.</w:t>
      </w:r>
    </w:p>
    <w:p w:rsidR="007A6987" w:rsidRDefault="00A058B2" w:rsidP="007A6987">
      <w:r>
        <w:t xml:space="preserve">Pojištění pro případ nemoci a zdravotní a úrazová asistence se neindexují. </w:t>
      </w:r>
      <w:r w:rsidR="007A6987">
        <w:t xml:space="preserve"> </w:t>
      </w:r>
      <w:r>
        <w:t>Indexace pojištění má vliv pouze na pojištění plateb pojistného při pracovní neschopnosti, je-li sjednáno.</w:t>
      </w:r>
    </w:p>
    <w:p w:rsidR="00A058B2" w:rsidRDefault="0065037D" w:rsidP="00EB0C19">
      <w:r>
        <w:br/>
      </w:r>
      <w:r w:rsidR="00A058B2">
        <w:t>.</w:t>
      </w:r>
    </w:p>
    <w:p w:rsidR="00097434" w:rsidRPr="000A64BF" w:rsidRDefault="00097434" w:rsidP="000A64BF">
      <w:pPr>
        <w:pStyle w:val="Nadpis2"/>
      </w:pPr>
      <w:bookmarkStart w:id="29" w:name="_Toc309717597"/>
      <w:r w:rsidRPr="000A64BF">
        <w:lastRenderedPageBreak/>
        <w:t>Redukce pojištění</w:t>
      </w:r>
      <w:bookmarkEnd w:id="29"/>
    </w:p>
    <w:p w:rsidR="00A058B2" w:rsidRDefault="00A058B2" w:rsidP="00A058B2">
      <w:r>
        <w:t>Pokud bylo zaplaceno běžné pojistné alespoň za dva roky a nezaplatí-li pojistník běžné pojistné za další pojistná období do lhůty stanovené pojistitelem v upomínce na zaplacení pojistného (nebo pojistník o redukci požádá), dojde k redukci pojištění.</w:t>
      </w:r>
    </w:p>
    <w:p w:rsidR="00A058B2" w:rsidRDefault="00A058B2" w:rsidP="00A058B2">
      <w:r>
        <w:t xml:space="preserve">V případě redukce pojistné částky zůstává zachováno pojištění pro případ smrti nebo dožití, pojištění závažných onemocnění, bylo-li sjednáno a pojištění kritických onemocnění, bylo-li sjednáno, zanikají další sjednaná pojištění a nároky. Pojistná částka pro případ smrti, pro případ dožití, byla-li sjednána, pro případ závažných onemocnění, byla-li sjednána, pro případ kritických onemocnění, byla-li sjednána, se snižuje </w:t>
      </w:r>
      <w:r w:rsidR="00BF0B9B">
        <w:br/>
      </w:r>
      <w:r>
        <w:t>na redukovanou pojistnou částku stanovenou podle pojistně technických zásad.</w:t>
      </w:r>
    </w:p>
    <w:p w:rsidR="00A058B2" w:rsidRDefault="00A058B2" w:rsidP="00A058B2">
      <w:r>
        <w:t>V případě redukce pojistné doby zůstává zachováno pojištění pro případ smrti nebo dožití, pojištění závažných onemocnění, bylo-li sjednáno a pojištění kritických onemocnění, bylo-li sjednáno a zanikají další sjednaná pojištění a nároky. Pojistná částka pro případ smrti, pro případ dožití, byla-li sjednána, pro případ závažných onemocnění, byla-li sjednána pr</w:t>
      </w:r>
      <w:r w:rsidR="00097434">
        <w:t xml:space="preserve">o případ kritických onemocnění, </w:t>
      </w:r>
      <w:r w:rsidR="00BF0B9B">
        <w:t xml:space="preserve">byla-li sjednána </w:t>
      </w:r>
      <w:proofErr w:type="spellStart"/>
      <w:r w:rsidR="00BF0B9B">
        <w:t>zú</w:t>
      </w:r>
      <w:r>
        <w:t>stává</w:t>
      </w:r>
      <w:proofErr w:type="spellEnd"/>
      <w:r>
        <w:t xml:space="preserve"> zachována.</w:t>
      </w:r>
    </w:p>
    <w:p w:rsidR="00A058B2" w:rsidRDefault="00A058B2" w:rsidP="00A058B2">
      <w:r>
        <w:t>U redukovaného pojištění nelze hradit mimořádné pojistné, provádět mimořádné výběry, změnu alokačních poměrů, přerušit placení pojistného a nelze provádět indexaci.</w:t>
      </w:r>
    </w:p>
    <w:p w:rsidR="00A058B2" w:rsidRDefault="00A058B2" w:rsidP="00A058B2">
      <w:r>
        <w:t xml:space="preserve">Je-li běžné pojistné zaplaceno za dva roky, může pojistník požádat o přerušení placení běžného pojistného. Pojistník si zároveň zvolí, zda po dobu přerušení placení zůstanou zachována všechna sjednaná pojištění nebo pouze pojištění pro případ smrti nebo dožití a ostatní budou zrušena. V případě sjednání firemního nebo děleného inkasa je nutné zrušit při žádosti o přerušení placení všechna připojištění. Na základě pojistně technických zásad se stanoví maximální délka přerušení placení, případně je žádost zamítnuta. V průběhu trvání přerušení placení pojistného pojistník není povinen platit běžné pojistné. V době přerušení placení nelze provádět mimořádné výběry, změny rozložení umístěných prostředků. Nedochází k indexaci pojištění a nejsou povoleny </w:t>
      </w:r>
      <w:r>
        <w:lastRenderedPageBreak/>
        <w:t>technické změny. Za provedení přerušení placení je pojistitel oprávněn účtovat poplatek podle platného Přehledu poplatků.</w:t>
      </w:r>
    </w:p>
    <w:p w:rsidR="00456879" w:rsidRDefault="00456879" w:rsidP="000A64BF">
      <w:pPr>
        <w:pStyle w:val="Nadpis2"/>
      </w:pPr>
      <w:bookmarkStart w:id="30" w:name="_Toc309717598"/>
      <w:r w:rsidRPr="000A64BF">
        <w:t xml:space="preserve">Variabilní složky životního pojištění </w:t>
      </w:r>
      <w:r w:rsidR="00203A95">
        <w:t>PRODUKT XY</w:t>
      </w:r>
      <w:bookmarkEnd w:id="30"/>
    </w:p>
    <w:p w:rsidR="00A058B2" w:rsidRDefault="00A058B2" w:rsidP="00A058B2">
      <w:r>
        <w:t xml:space="preserve">Životní pojištění </w:t>
      </w:r>
      <w:r w:rsidR="00203A95">
        <w:t>PRODUKT XY</w:t>
      </w:r>
      <w:r>
        <w:t xml:space="preserve"> umožňuje provádět různé druhy změn v průběhu trvání pojistné smlouvy. Jsou to zejména:</w:t>
      </w:r>
    </w:p>
    <w:p w:rsidR="00A058B2" w:rsidRDefault="00A058B2" w:rsidP="00BE498C">
      <w:pPr>
        <w:pStyle w:val="Odstavecseseznamem"/>
        <w:numPr>
          <w:ilvl w:val="0"/>
          <w:numId w:val="13"/>
        </w:numPr>
      </w:pPr>
      <w:r>
        <w:t>dodatečné sjednání volitelných pojištění,</w:t>
      </w:r>
    </w:p>
    <w:p w:rsidR="00A058B2" w:rsidRDefault="00A058B2" w:rsidP="00BE498C">
      <w:pPr>
        <w:pStyle w:val="Odstavecseseznamem"/>
        <w:numPr>
          <w:ilvl w:val="0"/>
          <w:numId w:val="13"/>
        </w:numPr>
      </w:pPr>
      <w:r>
        <w:t>zrušení volitelných pojištění,</w:t>
      </w:r>
    </w:p>
    <w:p w:rsidR="00A058B2" w:rsidRDefault="00A058B2" w:rsidP="00BE498C">
      <w:pPr>
        <w:pStyle w:val="Odstavecseseznamem"/>
        <w:numPr>
          <w:ilvl w:val="0"/>
          <w:numId w:val="13"/>
        </w:numPr>
      </w:pPr>
      <w:r>
        <w:t>změna rozsahu volitelných pojištění (např. zvýšení nebo snížení pojistné částky pro případ smrti, pojistné částky pro případ dožití, pojistné částky pro případ závažných onemocnění, pojistné částky pro případ kritických onemocnění, změna výše měsíční invalidní renty, změna úrazového pojištění, změna pojištění pro</w:t>
      </w:r>
      <w:r w:rsidR="00570FBB">
        <w:t xml:space="preserve"> </w:t>
      </w:r>
      <w:r>
        <w:t>případ nemoci, změna zdravotní a úrazové asistence, apod.)</w:t>
      </w:r>
    </w:p>
    <w:p w:rsidR="00A058B2" w:rsidRDefault="00A058B2" w:rsidP="00BE498C">
      <w:pPr>
        <w:pStyle w:val="Odstavecseseznamem"/>
        <w:numPr>
          <w:ilvl w:val="0"/>
          <w:numId w:val="13"/>
        </w:numPr>
      </w:pPr>
      <w:r>
        <w:t>zvýšení nebo snížení běžně placeného pojistného,</w:t>
      </w:r>
    </w:p>
    <w:p w:rsidR="00A058B2" w:rsidRDefault="00A058B2" w:rsidP="00BE498C">
      <w:pPr>
        <w:pStyle w:val="Odstavecseseznamem"/>
        <w:numPr>
          <w:ilvl w:val="0"/>
          <w:numId w:val="13"/>
        </w:numPr>
      </w:pPr>
      <w:r>
        <w:t>změna pojistné doby,</w:t>
      </w:r>
    </w:p>
    <w:p w:rsidR="00A058B2" w:rsidRDefault="00A058B2" w:rsidP="00BE498C">
      <w:pPr>
        <w:pStyle w:val="Odstavecseseznamem"/>
        <w:numPr>
          <w:ilvl w:val="0"/>
          <w:numId w:val="13"/>
        </w:numPr>
      </w:pPr>
      <w:r>
        <w:t>přerušení placení,</w:t>
      </w:r>
    </w:p>
    <w:p w:rsidR="00A058B2" w:rsidRDefault="00A058B2" w:rsidP="00BE498C">
      <w:pPr>
        <w:pStyle w:val="Odstavecseseznamem"/>
        <w:numPr>
          <w:ilvl w:val="0"/>
          <w:numId w:val="13"/>
        </w:numPr>
      </w:pPr>
      <w:r>
        <w:t>úhrada mimořádného pojistného,</w:t>
      </w:r>
    </w:p>
    <w:p w:rsidR="00A058B2" w:rsidRDefault="00A058B2" w:rsidP="00BE498C">
      <w:pPr>
        <w:pStyle w:val="Odstavecseseznamem"/>
        <w:numPr>
          <w:ilvl w:val="0"/>
          <w:numId w:val="13"/>
        </w:numPr>
      </w:pPr>
      <w:r>
        <w:t>mimořádné výběry,</w:t>
      </w:r>
    </w:p>
    <w:p w:rsidR="00A058B2" w:rsidRDefault="00A058B2" w:rsidP="00BE498C">
      <w:pPr>
        <w:pStyle w:val="Odstavecseseznamem"/>
        <w:numPr>
          <w:ilvl w:val="0"/>
          <w:numId w:val="13"/>
        </w:numPr>
      </w:pPr>
      <w:r>
        <w:t>změna rozložení umístěných prostředků,</w:t>
      </w:r>
    </w:p>
    <w:p w:rsidR="00A058B2" w:rsidRDefault="00A058B2" w:rsidP="00BE498C">
      <w:pPr>
        <w:pStyle w:val="Odstavecseseznamem"/>
        <w:numPr>
          <w:ilvl w:val="0"/>
          <w:numId w:val="13"/>
        </w:numPr>
      </w:pPr>
      <w:r>
        <w:t>změna alokačního poměru,</w:t>
      </w:r>
    </w:p>
    <w:p w:rsidR="00A058B2" w:rsidRDefault="00A058B2" w:rsidP="00BE498C">
      <w:pPr>
        <w:pStyle w:val="Odstavecseseznamem"/>
        <w:numPr>
          <w:ilvl w:val="0"/>
          <w:numId w:val="13"/>
        </w:numPr>
      </w:pPr>
      <w:r>
        <w:t>změna frekvence a způsobu placení běžného pojistného</w:t>
      </w:r>
    </w:p>
    <w:p w:rsidR="00A058B2" w:rsidRDefault="00A058B2" w:rsidP="00BE498C">
      <w:pPr>
        <w:pStyle w:val="Odstavecseseznamem"/>
        <w:numPr>
          <w:ilvl w:val="0"/>
          <w:numId w:val="13"/>
        </w:numPr>
      </w:pPr>
      <w:r>
        <w:t>pravidelný mimořádný výběr z kapitálové hodnoty tvořené mimořádným pojistným, resp. z kapitálové hodnoty negarantované.</w:t>
      </w:r>
    </w:p>
    <w:p w:rsidR="00A058B2" w:rsidRDefault="00A058B2" w:rsidP="00A058B2">
      <w:r>
        <w:t xml:space="preserve">Změny pojistné smlouvy mohou být podmíněny splněním dalších podmínek, které jsou uvedeny v doplňkových pojistných podmínkách. </w:t>
      </w:r>
    </w:p>
    <w:p w:rsidR="00456879" w:rsidRPr="000A64BF" w:rsidRDefault="00456879" w:rsidP="000A64BF">
      <w:pPr>
        <w:pStyle w:val="Nadpis2"/>
      </w:pPr>
      <w:bookmarkStart w:id="31" w:name="_Toc309717599"/>
      <w:r w:rsidRPr="000A64BF">
        <w:t>Pojištění pro případ nemoci</w:t>
      </w:r>
      <w:bookmarkEnd w:id="31"/>
    </w:p>
    <w:p w:rsidR="00A058B2" w:rsidRDefault="00A058B2" w:rsidP="00A058B2">
      <w:r>
        <w:t xml:space="preserve">Volitelnou součástí životního pojištění je také možnost v podobě pojištění pro případ nemoci, a to: </w:t>
      </w:r>
    </w:p>
    <w:p w:rsidR="00A058B2" w:rsidRDefault="00A058B2" w:rsidP="00BE498C">
      <w:pPr>
        <w:pStyle w:val="Odstavecseseznamem"/>
        <w:numPr>
          <w:ilvl w:val="0"/>
          <w:numId w:val="14"/>
        </w:numPr>
      </w:pPr>
      <w:r>
        <w:t>T544 - pojištění denní dávky při pracovní neschopnosti</w:t>
      </w:r>
    </w:p>
    <w:p w:rsidR="00A058B2" w:rsidRDefault="00A058B2" w:rsidP="00BE498C">
      <w:pPr>
        <w:pStyle w:val="Odstavecseseznamem"/>
        <w:numPr>
          <w:ilvl w:val="0"/>
          <w:numId w:val="14"/>
        </w:numPr>
      </w:pPr>
      <w:r>
        <w:lastRenderedPageBreak/>
        <w:t>T440 - pojištění denní podpory při pobytu v nemocnici</w:t>
      </w:r>
    </w:p>
    <w:p w:rsidR="00A058B2" w:rsidRDefault="00A058B2" w:rsidP="00BE498C">
      <w:pPr>
        <w:pStyle w:val="Odstavecseseznamem"/>
        <w:numPr>
          <w:ilvl w:val="0"/>
          <w:numId w:val="14"/>
        </w:numPr>
      </w:pPr>
      <w:r>
        <w:t>T644 - pojištění plateb pojistného při pracovní neschopnosti</w:t>
      </w:r>
    </w:p>
    <w:p w:rsidR="00A058B2" w:rsidRDefault="00A058B2" w:rsidP="00BE498C">
      <w:pPr>
        <w:pStyle w:val="Odstavecseseznamem"/>
        <w:numPr>
          <w:ilvl w:val="0"/>
          <w:numId w:val="14"/>
        </w:numPr>
      </w:pPr>
      <w:r>
        <w:t>T940 - pojištění splátek úvěru při ztrátě příjmu</w:t>
      </w:r>
    </w:p>
    <w:p w:rsidR="00A058B2" w:rsidRDefault="00A058B2" w:rsidP="00A058B2"/>
    <w:p w:rsidR="00A058B2" w:rsidRDefault="000A64BF" w:rsidP="000A64BF">
      <w:pPr>
        <w:pStyle w:val="Nadpis3"/>
      </w:pPr>
      <w:r>
        <w:t xml:space="preserve"> </w:t>
      </w:r>
      <w:bookmarkStart w:id="32" w:name="_Toc309717600"/>
      <w:r w:rsidR="00A058B2" w:rsidRPr="000A64BF">
        <w:t>Pojištění denní dávky při pracovní neschopnosti - T544:</w:t>
      </w:r>
      <w:bookmarkEnd w:id="32"/>
    </w:p>
    <w:p w:rsidR="00A058B2" w:rsidRDefault="00A058B2" w:rsidP="00A058B2">
      <w:r>
        <w:t xml:space="preserve">Předmětem pojištění je výplata sjednané denní dávky při pracovní neschopnosti vzniklé jako důsledek nemoci nebo úrazu. Denní dávka je vyplácena od 29. dne pracovní neschopnosti ve výši až 500 Kč za každý kalendářní den pracovní neschopnosti. Pojištění se sjednává jako </w:t>
      </w:r>
      <w:proofErr w:type="spellStart"/>
      <w:r>
        <w:t>obnosové</w:t>
      </w:r>
      <w:proofErr w:type="spellEnd"/>
      <w:r>
        <w:t>. Pracovní neschopnost nastává, pokud pojištěný nemůže podle lékařského rozhodnutí žádným způsobem vykonávat a nevykonává své zaměstnání nebo svou samostatnou výdělečnou činnost, ani řídící anebo kontrolní činnost.</w:t>
      </w:r>
    </w:p>
    <w:p w:rsidR="00A058B2" w:rsidRDefault="00A058B2" w:rsidP="00A058B2">
      <w:r>
        <w:t>Pojistit lze pouze fyzické osoby s trvalým příjmem ze závislé nebo samostatně výdělečné činnosti (tzn. zaměstnanci nebo podnikatelé - OSVČ).</w:t>
      </w:r>
    </w:p>
    <w:p w:rsidR="00A058B2" w:rsidRDefault="00A058B2" w:rsidP="00A058B2">
      <w:r>
        <w:t xml:space="preserve">Pojistnou událost je třeba nahlásit na přepážkách </w:t>
      </w:r>
      <w:r w:rsidR="00203A95">
        <w:t>Pojišťovny XY</w:t>
      </w:r>
      <w:r>
        <w:t xml:space="preserve"> ihned po počátku pracovní neschopnosti, nejpozději však 28. den od vzniku pracovní neschopnosti, a to zasláním kopie II. dílu řádně vyplněného „Rozhodnutí o vzniku dočasné pracovní neschopnosti“, tzv. „státní neschopenky“.</w:t>
      </w:r>
      <w:r w:rsidR="00570FBB">
        <w:t xml:space="preserve"> </w:t>
      </w:r>
      <w:r>
        <w:t xml:space="preserve">V případě, že pracovní neschopnost bude dlouhodobějšího charakteru, je nutné každých 14 dnů předkládat potvrzení o trvání pracovní neschopnosti, opět ve formě kopie státní neschopenky s vyznačením data aktuální a příští kontroly u ošetřujícího lékaře spolu s doklady, které si pojišťovna </w:t>
      </w:r>
      <w:r w:rsidR="006118CF">
        <w:br/>
      </w:r>
      <w:r>
        <w:t>v průběhu šetření pojistné události vyžádá. Těmito doklady m</w:t>
      </w:r>
      <w:r w:rsidR="00BF0B9B">
        <w:t xml:space="preserve">ohou být: </w:t>
      </w:r>
      <w:r>
        <w:t>lékařské zprávy, výsledky z odborných vyšetření, potvrzení o trvání pracovního poměru nebo výdělečné činnosti aj. Na základě těchto dokladů jsou prováděny dílčí úhrady pojistného plnění.</w:t>
      </w:r>
    </w:p>
    <w:p w:rsidR="00A058B2" w:rsidRPr="000A64BF" w:rsidRDefault="000A64BF" w:rsidP="000A64BF">
      <w:pPr>
        <w:pStyle w:val="Nadpis3"/>
      </w:pPr>
      <w:r>
        <w:t xml:space="preserve"> </w:t>
      </w:r>
      <w:bookmarkStart w:id="33" w:name="_Toc309717601"/>
      <w:r w:rsidR="00A058B2" w:rsidRPr="000A64BF">
        <w:t>Pojištění denní podpory při pobytu v nemocnici - T440:</w:t>
      </w:r>
      <w:bookmarkEnd w:id="33"/>
    </w:p>
    <w:p w:rsidR="00A058B2" w:rsidRDefault="00A058B2" w:rsidP="00A058B2">
      <w:r>
        <w:t xml:space="preserve">Předmětem pojištění je peněžní podpora poskytovaná za každý kalendářní den hospitalizace, která je z lékařského hlediska nezbytně nutná. Pojistná ochrana se </w:t>
      </w:r>
      <w:r>
        <w:lastRenderedPageBreak/>
        <w:t xml:space="preserve">vztahuje na hospitalizaci z důvodu úrazu i nemoci. Výše denní podpory může být sjednána od 100 Kč do 2000 Kč. Pojištění se sjednává jako </w:t>
      </w:r>
      <w:proofErr w:type="spellStart"/>
      <w:r>
        <w:t>obnosové</w:t>
      </w:r>
      <w:proofErr w:type="spellEnd"/>
      <w:r>
        <w:t>.</w:t>
      </w:r>
    </w:p>
    <w:p w:rsidR="00A058B2" w:rsidRDefault="00A058B2" w:rsidP="00A058B2">
      <w:r>
        <w:t>Pojistit lze fyzické osoby bez ohledu na jejich příjem.</w:t>
      </w:r>
    </w:p>
    <w:p w:rsidR="00A058B2" w:rsidRDefault="00A058B2" w:rsidP="00A058B2">
      <w:r>
        <w:t xml:space="preserve">Pojistné plnění se vyplácí na základě kopie konečné propouštěcí zprávy. Tento doklad je třeba předložit nejpozději do 30 dnů po ukončení hospitalizace na přepážce </w:t>
      </w:r>
      <w:r w:rsidR="00203A95">
        <w:t>Pojišťovny XY</w:t>
      </w:r>
      <w:r>
        <w:t>.</w:t>
      </w:r>
    </w:p>
    <w:p w:rsidR="00A058B2" w:rsidRDefault="00A058B2" w:rsidP="00A058B2">
      <w:r>
        <w:t>Pojistné plnění se vyplácí za každý kalendářní den hospitalizace. První a poslední den hospitalizace se sčítají a hospitalizace musí trvat minimálně 24 hodin.</w:t>
      </w:r>
    </w:p>
    <w:p w:rsidR="00A058B2" w:rsidRDefault="00A058B2" w:rsidP="00A058B2">
      <w:r>
        <w:t>Délka pojistného plnění je omezena u:</w:t>
      </w:r>
    </w:p>
    <w:p w:rsidR="00A058B2" w:rsidRDefault="00A058B2" w:rsidP="00A058B2">
      <w:r>
        <w:t>hospitalizace v souvislosti s těhotenstvím - max. plnění 14 dní,</w:t>
      </w:r>
    </w:p>
    <w:p w:rsidR="00A058B2" w:rsidRDefault="00A058B2" w:rsidP="00A058B2">
      <w:r>
        <w:t>hospitalizace v souvislosti s porodem - max. plnění 7 dní.</w:t>
      </w:r>
    </w:p>
    <w:p w:rsidR="00A058B2" w:rsidRDefault="00A058B2" w:rsidP="00A058B2">
      <w:r>
        <w:t>Při dlouhodobé hospitalizaci je možno poskytnout zálohové plnění na základě vyplněného tiskopisu „Potvrzení pobytu v nemocnici“ a kopie předběžné propouštěcí zprávy.</w:t>
      </w:r>
    </w:p>
    <w:p w:rsidR="00A058B2" w:rsidRDefault="000A64BF" w:rsidP="000A64BF">
      <w:pPr>
        <w:pStyle w:val="Nadpis3"/>
      </w:pPr>
      <w:r>
        <w:t xml:space="preserve"> </w:t>
      </w:r>
      <w:bookmarkStart w:id="34" w:name="_Toc309717602"/>
      <w:r w:rsidR="00A058B2" w:rsidRPr="000A64BF">
        <w:t>Pojištění plateb pojistného při pracovní neschopnosti - T644:</w:t>
      </w:r>
      <w:bookmarkEnd w:id="34"/>
    </w:p>
    <w:p w:rsidR="00A058B2" w:rsidRDefault="00A058B2" w:rsidP="00A058B2">
      <w:r>
        <w:t xml:space="preserve">Předmětem pojištění je výplata částky odpovídající měsíční výši celkového lhůtního pojistného po slevě za základní pojištění a za pojištění s ním sjednaná v případě pracovní neschopnosti klienta. Pojistné plnění je vypláceno, jestliže délka pracovní neschopnosti dosáhne 30 dnů, a dále pak každý další 30. den. Plnění je vypláceno vždy klientovi. Pojistná částka je odvozena od výše celkového lhůtního pojistného </w:t>
      </w:r>
      <w:r w:rsidR="006118CF">
        <w:br/>
      </w:r>
      <w:r>
        <w:t xml:space="preserve">a automaticky se přizpůsobuje v případě změn základního pojištění. Pojištění se sjednává jako </w:t>
      </w:r>
      <w:proofErr w:type="spellStart"/>
      <w:r>
        <w:t>obnosové</w:t>
      </w:r>
      <w:proofErr w:type="spellEnd"/>
      <w:r>
        <w:t>.</w:t>
      </w:r>
      <w:r w:rsidR="00570FBB">
        <w:t xml:space="preserve"> </w:t>
      </w:r>
      <w:r>
        <w:t>Pracovní neschopnost nastává, pokud pojištěný nemůže podle lékařského rozhodnutí žádným způsobem vykonávat a nevykonává své zaměstnání nebo svou samostatnou výdělečnou činnost, ani řídící anebo kontrolní činnost. Z pojistné ochrany jsou v porovnání s T544 navíc vyloučeny onemocnění páteře (VAS).</w:t>
      </w:r>
    </w:p>
    <w:p w:rsidR="00A058B2" w:rsidRDefault="00A058B2" w:rsidP="00A058B2">
      <w:r>
        <w:t xml:space="preserve">Pojistit lze pouze fyzické osoby s trvalým příjmem ze závislé nebo samostatně výdělečné činnosti (tzn. zaměstnanci nebo podnikatelé - OSVČ). </w:t>
      </w:r>
    </w:p>
    <w:p w:rsidR="00A058B2" w:rsidRDefault="00A058B2" w:rsidP="00A058B2">
      <w:r>
        <w:lastRenderedPageBreak/>
        <w:t xml:space="preserve">Pojistnou událost je třeba nahlásit na přepážkách </w:t>
      </w:r>
      <w:r w:rsidR="00203A95">
        <w:t>Pojišťovny XY</w:t>
      </w:r>
      <w:r>
        <w:t xml:space="preserve"> ihned po počátku pracovní neschopnosti, nejpozději však 40. den od vzniku pracovní neschopnosti (dle VPP do 10. dne po vzniku nároku na plnění), a to zasláním kopie řádně vyplněné státní neschopenky.</w:t>
      </w:r>
    </w:p>
    <w:p w:rsidR="00A058B2" w:rsidRDefault="00A058B2" w:rsidP="00A058B2">
      <w:r>
        <w:t xml:space="preserve">V případě, že pracovní neschopnost bude dlouhodobého charakteru, je nutné každých 30 dnů předkládat potvrzení o trvání pracovní neschopnosti, opět ve formě kopie státní neschopenky s vyznačením data aktuální a příští kontroly u ošetřujícího lékaře spolu </w:t>
      </w:r>
      <w:r w:rsidR="006118CF">
        <w:br/>
      </w:r>
      <w:r>
        <w:t>s doklady, které si pojišťovna v průběhu šetření pojistné události vyžádá. Těmito doklady mohou být: lékařské zprávy, výsledky z odborných vyšetření, potvrzení o trvání pracovního poměru nebo výdělečné činnosti aj.</w:t>
      </w:r>
    </w:p>
    <w:p w:rsidR="0065037D" w:rsidRDefault="00A058B2" w:rsidP="0007653B">
      <w:r>
        <w:t>Nepojistitelná onemocnění pro sazby T544, T440 a T644</w:t>
      </w:r>
    </w:p>
    <w:p w:rsidR="00A058B2" w:rsidRDefault="00A058B2" w:rsidP="00A058B2">
      <w:r>
        <w:t>Pojištění vůbec nelze sjednat, jestliže klient prodělal anebo v současné době trpí některým z nepojistitelných onemocnění uvedených v oceňovacích směrnicích. Jedná se například o tato onemocnění:</w:t>
      </w:r>
    </w:p>
    <w:p w:rsidR="00A058B2" w:rsidRDefault="00A058B2" w:rsidP="00BE498C">
      <w:pPr>
        <w:pStyle w:val="Odstavecseseznamem"/>
        <w:numPr>
          <w:ilvl w:val="0"/>
          <w:numId w:val="15"/>
        </w:numPr>
      </w:pPr>
      <w:r>
        <w:t xml:space="preserve">HIV pozitivita, AIDS </w:t>
      </w:r>
    </w:p>
    <w:p w:rsidR="00A058B2" w:rsidRDefault="00A058B2" w:rsidP="00BE498C">
      <w:pPr>
        <w:pStyle w:val="Odstavecseseznamem"/>
        <w:numPr>
          <w:ilvl w:val="0"/>
          <w:numId w:val="15"/>
        </w:numPr>
      </w:pPr>
      <w:r>
        <w:t>syfilis</w:t>
      </w:r>
    </w:p>
    <w:p w:rsidR="00A058B2" w:rsidRDefault="00A058B2" w:rsidP="00BE498C">
      <w:pPr>
        <w:pStyle w:val="Odstavecseseznamem"/>
        <w:numPr>
          <w:ilvl w:val="0"/>
          <w:numId w:val="15"/>
        </w:numPr>
      </w:pPr>
      <w:r>
        <w:t>leukémie, trombocytopenie</w:t>
      </w:r>
    </w:p>
    <w:p w:rsidR="00A058B2" w:rsidRDefault="00A058B2" w:rsidP="00BE498C">
      <w:pPr>
        <w:pStyle w:val="Odstavecseseznamem"/>
        <w:numPr>
          <w:ilvl w:val="0"/>
          <w:numId w:val="15"/>
        </w:numPr>
      </w:pPr>
      <w:r>
        <w:t>chronický alkoholismus</w:t>
      </w:r>
    </w:p>
    <w:p w:rsidR="00A058B2" w:rsidRDefault="00A058B2" w:rsidP="00BE498C">
      <w:pPr>
        <w:pStyle w:val="Odstavecseseznamem"/>
        <w:numPr>
          <w:ilvl w:val="0"/>
          <w:numId w:val="15"/>
        </w:numPr>
      </w:pPr>
      <w:r>
        <w:t>toxikomanie</w:t>
      </w:r>
    </w:p>
    <w:p w:rsidR="00A058B2" w:rsidRDefault="00A058B2" w:rsidP="00BE498C">
      <w:pPr>
        <w:pStyle w:val="Odstavecseseznamem"/>
        <w:numPr>
          <w:ilvl w:val="0"/>
          <w:numId w:val="15"/>
        </w:numPr>
      </w:pPr>
      <w:r>
        <w:t>schizofrenie</w:t>
      </w:r>
    </w:p>
    <w:p w:rsidR="00A058B2" w:rsidRDefault="00A058B2" w:rsidP="00BE498C">
      <w:pPr>
        <w:pStyle w:val="Odstavecseseznamem"/>
        <w:numPr>
          <w:ilvl w:val="0"/>
          <w:numId w:val="15"/>
        </w:numPr>
      </w:pPr>
      <w:r>
        <w:t>mentální anorexie, bulimie</w:t>
      </w:r>
    </w:p>
    <w:p w:rsidR="00A058B2" w:rsidRDefault="00A058B2" w:rsidP="00BE498C">
      <w:pPr>
        <w:pStyle w:val="Odstavecseseznamem"/>
        <w:numPr>
          <w:ilvl w:val="0"/>
          <w:numId w:val="15"/>
        </w:numPr>
      </w:pPr>
      <w:r>
        <w:t>paranoidní psychóza</w:t>
      </w:r>
    </w:p>
    <w:p w:rsidR="00A058B2" w:rsidRDefault="00A058B2" w:rsidP="00BE498C">
      <w:pPr>
        <w:pStyle w:val="Odstavecseseznamem"/>
        <w:numPr>
          <w:ilvl w:val="0"/>
          <w:numId w:val="15"/>
        </w:numPr>
      </w:pPr>
      <w:r>
        <w:t xml:space="preserve">nemoci centrálního nervového systému (roztroušená skleróza, mozková obrna, mrtvice, Parkinsonova nemoc, </w:t>
      </w:r>
      <w:proofErr w:type="spellStart"/>
      <w:r>
        <w:t>Huntingtonova</w:t>
      </w:r>
      <w:proofErr w:type="spellEnd"/>
      <w:r>
        <w:t xml:space="preserve"> chorea, Alzheimerova choroba)</w:t>
      </w:r>
    </w:p>
    <w:p w:rsidR="00A058B2" w:rsidRDefault="00A058B2" w:rsidP="00BE498C">
      <w:pPr>
        <w:pStyle w:val="Odstavecseseznamem"/>
        <w:numPr>
          <w:ilvl w:val="0"/>
          <w:numId w:val="15"/>
        </w:numPr>
      </w:pPr>
      <w:r>
        <w:t>úplná slepota</w:t>
      </w:r>
    </w:p>
    <w:p w:rsidR="00A058B2" w:rsidRDefault="00A058B2" w:rsidP="00BE498C">
      <w:pPr>
        <w:pStyle w:val="Odstavecseseznamem"/>
        <w:numPr>
          <w:ilvl w:val="0"/>
          <w:numId w:val="15"/>
        </w:numPr>
      </w:pPr>
      <w:r>
        <w:t>hluchoněmost</w:t>
      </w:r>
    </w:p>
    <w:p w:rsidR="00A058B2" w:rsidRDefault="00A058B2" w:rsidP="00BE498C">
      <w:pPr>
        <w:pStyle w:val="Odstavecseseznamem"/>
        <w:numPr>
          <w:ilvl w:val="0"/>
          <w:numId w:val="15"/>
        </w:numPr>
      </w:pPr>
      <w:r>
        <w:t xml:space="preserve">Crohnova nemoc, idiopatická </w:t>
      </w:r>
      <w:proofErr w:type="spellStart"/>
      <w:r>
        <w:t>proktokolitida</w:t>
      </w:r>
      <w:proofErr w:type="spellEnd"/>
    </w:p>
    <w:p w:rsidR="00A058B2" w:rsidRDefault="00A058B2" w:rsidP="00BE498C">
      <w:pPr>
        <w:pStyle w:val="Odstavecseseznamem"/>
        <w:numPr>
          <w:ilvl w:val="0"/>
          <w:numId w:val="15"/>
        </w:numPr>
      </w:pPr>
      <w:r>
        <w:t>chronické onemocnění ledvin</w:t>
      </w:r>
    </w:p>
    <w:p w:rsidR="00A058B2" w:rsidRDefault="00570FBB" w:rsidP="00BE498C">
      <w:pPr>
        <w:pStyle w:val="Odstavecseseznamem"/>
        <w:numPr>
          <w:ilvl w:val="0"/>
          <w:numId w:val="15"/>
        </w:numPr>
      </w:pPr>
      <w:r>
        <w:t>r</w:t>
      </w:r>
      <w:r w:rsidR="00A058B2">
        <w:t>evmatoidní artritida</w:t>
      </w:r>
    </w:p>
    <w:p w:rsidR="00A058B2" w:rsidRDefault="00A058B2" w:rsidP="00BE498C">
      <w:pPr>
        <w:pStyle w:val="Odstavecseseznamem"/>
        <w:numPr>
          <w:ilvl w:val="0"/>
          <w:numId w:val="15"/>
        </w:numPr>
      </w:pPr>
      <w:r>
        <w:t xml:space="preserve">psoriatická artropatie (lupénka s postižením kloubů) </w:t>
      </w:r>
    </w:p>
    <w:p w:rsidR="00A058B2" w:rsidRDefault="00A058B2" w:rsidP="00BE498C">
      <w:pPr>
        <w:pStyle w:val="Odstavecseseznamem"/>
        <w:numPr>
          <w:ilvl w:val="0"/>
          <w:numId w:val="15"/>
        </w:numPr>
      </w:pPr>
      <w:proofErr w:type="spellStart"/>
      <w:r>
        <w:lastRenderedPageBreak/>
        <w:t>Bechtěrevova</w:t>
      </w:r>
      <w:proofErr w:type="spellEnd"/>
      <w:r>
        <w:t xml:space="preserve"> nemoc</w:t>
      </w:r>
    </w:p>
    <w:p w:rsidR="00A058B2" w:rsidRDefault="00A058B2" w:rsidP="00BE498C">
      <w:pPr>
        <w:pStyle w:val="Odstavecseseznamem"/>
        <w:numPr>
          <w:ilvl w:val="0"/>
          <w:numId w:val="15"/>
        </w:numPr>
      </w:pPr>
      <w:r>
        <w:t xml:space="preserve">obezita při BMI (body </w:t>
      </w:r>
      <w:proofErr w:type="spellStart"/>
      <w:r>
        <w:t>mass</w:t>
      </w:r>
      <w:proofErr w:type="spellEnd"/>
      <w:r>
        <w:t xml:space="preserve"> index) vyšším než 45 (BMI = hmotnost v kg / druhá mocnina výšky v metrech) </w:t>
      </w:r>
    </w:p>
    <w:p w:rsidR="00A058B2" w:rsidRDefault="00A058B2" w:rsidP="00BE498C">
      <w:pPr>
        <w:pStyle w:val="Odstavecseseznamem"/>
        <w:numPr>
          <w:ilvl w:val="0"/>
          <w:numId w:val="15"/>
        </w:numPr>
      </w:pPr>
      <w:r>
        <w:t xml:space="preserve">diabetes </w:t>
      </w:r>
      <w:proofErr w:type="spellStart"/>
      <w:r>
        <w:t>mellitus</w:t>
      </w:r>
      <w:proofErr w:type="spellEnd"/>
      <w:r>
        <w:t xml:space="preserve"> I. typu </w:t>
      </w:r>
    </w:p>
    <w:p w:rsidR="00A058B2" w:rsidRDefault="00A058B2" w:rsidP="00BE498C">
      <w:pPr>
        <w:pStyle w:val="Odstavecseseznamem"/>
        <w:numPr>
          <w:ilvl w:val="0"/>
          <w:numId w:val="15"/>
        </w:numPr>
      </w:pPr>
      <w:r>
        <w:t>sarkoidóza</w:t>
      </w:r>
    </w:p>
    <w:p w:rsidR="00A058B2" w:rsidRDefault="00A058B2" w:rsidP="00BE498C">
      <w:pPr>
        <w:pStyle w:val="Odstavecseseznamem"/>
        <w:numPr>
          <w:ilvl w:val="0"/>
          <w:numId w:val="15"/>
        </w:numPr>
      </w:pPr>
      <w:r>
        <w:t xml:space="preserve">cirhóza a fibróza jater </w:t>
      </w:r>
    </w:p>
    <w:p w:rsidR="00A058B2" w:rsidRDefault="00A058B2" w:rsidP="00A058B2">
      <w:pPr>
        <w:pStyle w:val="Odstavecseseznamem"/>
        <w:numPr>
          <w:ilvl w:val="0"/>
          <w:numId w:val="15"/>
        </w:numPr>
      </w:pPr>
      <w:r>
        <w:t>cystická fibróza</w:t>
      </w:r>
    </w:p>
    <w:p w:rsidR="00A058B2" w:rsidRDefault="00A058B2" w:rsidP="00A058B2">
      <w:r>
        <w:t>Riziková povolání pro sazbu T544:</w:t>
      </w:r>
    </w:p>
    <w:p w:rsidR="00A058B2" w:rsidRDefault="00A058B2" w:rsidP="00A058B2">
      <w:r>
        <w:t>Pro rizika související s následující činností a povoláním je třeba hned při sjednávání pojištění zvýšit sazbu vypočteného pojistného o 50 %:</w:t>
      </w:r>
      <w:r>
        <w:tab/>
      </w:r>
    </w:p>
    <w:p w:rsidR="00A058B2" w:rsidRDefault="00570FBB" w:rsidP="00A058B2">
      <w:proofErr w:type="spellStart"/>
      <w:r>
        <w:t>A</w:t>
      </w:r>
      <w:r w:rsidR="00A058B2">
        <w:t>rborista</w:t>
      </w:r>
      <w:proofErr w:type="spellEnd"/>
      <w:r w:rsidR="00A058B2">
        <w:t>, bednář, betonář, cvičitel/</w:t>
      </w:r>
      <w:proofErr w:type="spellStart"/>
      <w:r w:rsidR="00A058B2">
        <w:t>ka</w:t>
      </w:r>
      <w:proofErr w:type="spellEnd"/>
      <w:r w:rsidR="00A058B2">
        <w:t xml:space="preserve"> aerobiku, </w:t>
      </w:r>
      <w:r w:rsidR="00BF0B9B">
        <w:t xml:space="preserve">čistič budov, dýhař, fasádník, </w:t>
      </w:r>
      <w:r w:rsidR="00A058B2">
        <w:t xml:space="preserve">galvanizér, gumař, gumař – strojník, hubitel škůdců fasád, hutník, hutník neželezných kovů, chemik, </w:t>
      </w:r>
      <w:proofErr w:type="spellStart"/>
      <w:r w:rsidR="00A058B2">
        <w:t>injektážník</w:t>
      </w:r>
      <w:proofErr w:type="spellEnd"/>
      <w:r w:rsidR="00A058B2">
        <w:t xml:space="preserve"> geologického průzkumného zařízení, </w:t>
      </w:r>
      <w:proofErr w:type="spellStart"/>
      <w:r w:rsidR="00A058B2">
        <w:t>njektážník</w:t>
      </w:r>
      <w:proofErr w:type="spellEnd"/>
      <w:r w:rsidR="00A058B2">
        <w:t xml:space="preserve"> ve stavebnictví, izolatér, kalič, kamnář, </w:t>
      </w:r>
      <w:proofErr w:type="spellStart"/>
      <w:r w:rsidR="00A058B2">
        <w:t>karotážník</w:t>
      </w:r>
      <w:proofErr w:type="spellEnd"/>
      <w:r w:rsidR="00A058B2">
        <w:t xml:space="preserve"> geologického průzkumného zařízení, kesonář geologického průzkumného zařízení, klempíř, kominík, kontrolor při rafinaci a destilaci, kontrolor zpracování ropy a plynu, lešenář, montér anténních zařízení a bleskosvodů, motorář a strojník, obsluha strojů a přístrojů, obsluha pece ve slévárenství, obsluha důlních strojů a rypadel, obsluha reaktorů, omítkář, plastikář, pokrývač, posunovač na železnici, pracovník čistírny, pracovník záchranné služby, pracovník nápravné výchovy, práškový metalurg, rámař, revizor komínů, řezbář, sklobetonář, slévač, slévárenský dělník, stolař, strojník, studnař, šamotář, štukatér, tavič, tažeč, tesař, truhlář, tunelář, umývač oken, valcíř, vrtač, vrtař, vulkanizér, výroba dřevěných předmětů, výrobce kovových lan, výrobce pružin, výškové práce, zedník, </w:t>
      </w:r>
      <w:proofErr w:type="spellStart"/>
      <w:r w:rsidR="00A058B2">
        <w:t>zušlechťovač</w:t>
      </w:r>
      <w:proofErr w:type="spellEnd"/>
      <w:r w:rsidR="00A058B2">
        <w:t xml:space="preserve"> kovů, železář</w:t>
      </w:r>
    </w:p>
    <w:p w:rsidR="00A058B2" w:rsidRDefault="00A058B2" w:rsidP="00A058B2">
      <w:r>
        <w:t>Nepojistitelná povolání pro sazbu T544:</w:t>
      </w:r>
    </w:p>
    <w:p w:rsidR="00A058B2" w:rsidRDefault="00570FBB" w:rsidP="00A058B2">
      <w:r>
        <w:t>A</w:t>
      </w:r>
      <w:r w:rsidR="00A058B2">
        <w:t xml:space="preserve">rtista, astrolog, báňský úpravář, báňský úpravář surovin strojní, báňský záchranář, barový umělec, bezpečnostní technik hlubinného dolu, bourač komínů, bourač masa, člen potápěčské čety, člen útvaru rychlého nasazení, člen zásahové jednotky, dělník v dole, dělník v lomu, dělník v hutích, diskžokej, dispečer důlní výroby, dítě, </w:t>
      </w:r>
      <w:proofErr w:type="spellStart"/>
      <w:r w:rsidR="00A058B2">
        <w:t>dopravář</w:t>
      </w:r>
      <w:proofErr w:type="spellEnd"/>
      <w:r w:rsidR="00A058B2">
        <w:t xml:space="preserve"> </w:t>
      </w:r>
      <w:r w:rsidR="00A058B2">
        <w:lastRenderedPageBreak/>
        <w:t xml:space="preserve">důlní dopravy, drtič kamene, dřevorubec, důchodce, důlní pracovník, erotické služby, formovač kameniny, hasič, historický šermíř, horník, horská záchranná služba, horský průvodce, chovatel a jezdec koní, instruktor létání, instruktor potápění, instruktor vodáctví, jasnovidec, kameník, kamenolamač, kapitán lodi, kaskadér, koksař, komediant, kopáč, krotitel zvěře, krupiér, laborant zpracovávání radioaktivního materiálu, laborant ropy a plynu, lamač v lomu, lesní dělník, lidový léčitel, lodník, mazač těžkých strojů, mechanik dolů, muž v domácnosti, námořník, nezaměstnaný, obsluha důlních strojů, obsluha pece ve slévárenství, obsluha reaktoru, ochranka, osobní strážce, palubní důstojník, potápěč, pouliční umělec, práce pod vodou, pracovník cirkusu, profesionální jezdec na koni, profesionální sportovec, prostitutka, provozní těžař ropy a plynu, průvodce horských výprav, převozník, příslušník rychlého nasazení, pyrotechnik, </w:t>
      </w:r>
      <w:proofErr w:type="spellStart"/>
      <w:r w:rsidR="00A058B2">
        <w:t>radiodůstojník</w:t>
      </w:r>
      <w:proofErr w:type="spellEnd"/>
      <w:r w:rsidR="00A058B2">
        <w:t xml:space="preserve">, řezač kovů, řezník, řidič důlní, speleolog, striptér, strojník v hutích, student, studentka, technik v dole, technik v hutích, těžař ropy a plynu, těžař uranu, trhovec, učeň, uhlíř, vlekař, voják z povolání, </w:t>
      </w:r>
      <w:proofErr w:type="spellStart"/>
      <w:r w:rsidR="00A058B2">
        <w:t>výbušninář</w:t>
      </w:r>
      <w:proofErr w:type="spellEnd"/>
      <w:r w:rsidR="00A058B2">
        <w:t>, vymahač dluhů, záchranář, žák, žena na mateřské dovolené, žena v domácnosti, žokej</w:t>
      </w:r>
    </w:p>
    <w:p w:rsidR="00A058B2" w:rsidRPr="000A64BF" w:rsidRDefault="000A64BF" w:rsidP="000A64BF">
      <w:pPr>
        <w:pStyle w:val="Nadpis3"/>
      </w:pPr>
      <w:r>
        <w:t xml:space="preserve"> </w:t>
      </w:r>
      <w:bookmarkStart w:id="35" w:name="_Toc309717603"/>
      <w:r w:rsidR="00A058B2" w:rsidRPr="000A64BF">
        <w:t>Pojištění splátek úvěru při ztrátě příjmu - T940:</w:t>
      </w:r>
      <w:bookmarkEnd w:id="35"/>
    </w:p>
    <w:p w:rsidR="00A058B2" w:rsidRDefault="00A058B2" w:rsidP="00A058B2">
      <w:r>
        <w:t>Předmětem pojištění je úhrada peněžitých závazků pojištěného splatných v době ztráty příjmu.</w:t>
      </w:r>
    </w:p>
    <w:p w:rsidR="00A058B2" w:rsidRDefault="00A058B2" w:rsidP="00BE498C">
      <w:pPr>
        <w:pStyle w:val="Odstavecseseznamem"/>
        <w:numPr>
          <w:ilvl w:val="0"/>
          <w:numId w:val="16"/>
        </w:numPr>
      </w:pPr>
      <w:r>
        <w:t>Peněžitým závazkem se rozumí:</w:t>
      </w:r>
    </w:p>
    <w:p w:rsidR="00A058B2" w:rsidRDefault="00A058B2" w:rsidP="00BE498C">
      <w:pPr>
        <w:pStyle w:val="Odstavecseseznamem"/>
        <w:numPr>
          <w:ilvl w:val="0"/>
          <w:numId w:val="16"/>
        </w:numPr>
      </w:pPr>
      <w:r>
        <w:t>splátka hypotečního úvěru</w:t>
      </w:r>
    </w:p>
    <w:p w:rsidR="00A058B2" w:rsidRDefault="00A058B2" w:rsidP="00BE498C">
      <w:pPr>
        <w:pStyle w:val="Odstavecseseznamem"/>
        <w:numPr>
          <w:ilvl w:val="0"/>
          <w:numId w:val="16"/>
        </w:numPr>
      </w:pPr>
      <w:r>
        <w:t>splátka úvěru ze stavebního spoření</w:t>
      </w:r>
    </w:p>
    <w:p w:rsidR="00A058B2" w:rsidRDefault="00A058B2" w:rsidP="00BE498C">
      <w:pPr>
        <w:pStyle w:val="Odstavecseseznamem"/>
        <w:numPr>
          <w:ilvl w:val="0"/>
          <w:numId w:val="16"/>
        </w:numPr>
      </w:pPr>
      <w:r>
        <w:t>splátka spotřebitelského úvěru (s dobou splatnosti min. 24 měsíců)</w:t>
      </w:r>
    </w:p>
    <w:p w:rsidR="00A058B2" w:rsidRDefault="00A058B2" w:rsidP="00BE498C">
      <w:pPr>
        <w:pStyle w:val="Odstavecseseznamem"/>
        <w:numPr>
          <w:ilvl w:val="0"/>
          <w:numId w:val="16"/>
        </w:numPr>
      </w:pPr>
      <w:r>
        <w:t>splátka finančního leasingu</w:t>
      </w:r>
    </w:p>
    <w:p w:rsidR="00A058B2" w:rsidRDefault="00A058B2" w:rsidP="00BE498C">
      <w:pPr>
        <w:pStyle w:val="Odstavecseseznamem"/>
        <w:numPr>
          <w:ilvl w:val="0"/>
          <w:numId w:val="16"/>
        </w:numPr>
      </w:pPr>
      <w:r>
        <w:t>platba běžného pojistného z pojištění sjednaných v pojistné smlouvě</w:t>
      </w:r>
    </w:p>
    <w:p w:rsidR="00A058B2" w:rsidRDefault="00A058B2" w:rsidP="00A058B2">
      <w:r>
        <w:t>Měsíční limit pojistného plnění může být sjednán od 2 000 Kč do 30 000 Kč. Pojištění finančních ztrát se sjednává jako pojištění škodové.</w:t>
      </w:r>
    </w:p>
    <w:p w:rsidR="00A058B2" w:rsidRDefault="00A058B2" w:rsidP="00A058B2">
      <w:r>
        <w:t xml:space="preserve">Pojištění lze sjednat pro fyzické osoby ve věku od 18 do 60 let. Pojištění je sjednáváno jako připojištění k základnímu životnímu pojištění </w:t>
      </w:r>
      <w:r w:rsidR="00203A95">
        <w:t>PRODUKT XY</w:t>
      </w:r>
      <w:r>
        <w:t>.</w:t>
      </w:r>
    </w:p>
    <w:p w:rsidR="007A6987" w:rsidRDefault="007A6987" w:rsidP="00A058B2">
      <w:pPr>
        <w:rPr>
          <w:b/>
        </w:rPr>
      </w:pPr>
    </w:p>
    <w:p w:rsidR="00A058B2" w:rsidRPr="00456879" w:rsidRDefault="00A058B2" w:rsidP="00A058B2">
      <w:r w:rsidRPr="00456879">
        <w:lastRenderedPageBreak/>
        <w:t>Ztrátou příjmu se rozumí:</w:t>
      </w:r>
    </w:p>
    <w:p w:rsidR="00A058B2" w:rsidRDefault="00A058B2" w:rsidP="00BE498C">
      <w:pPr>
        <w:pStyle w:val="Odstavecseseznamem"/>
        <w:numPr>
          <w:ilvl w:val="0"/>
          <w:numId w:val="17"/>
        </w:numPr>
      </w:pPr>
      <w:r>
        <w:t>skončení pracovního poměru:</w:t>
      </w:r>
    </w:p>
    <w:p w:rsidR="00A058B2" w:rsidRDefault="00A058B2" w:rsidP="00BE498C">
      <w:pPr>
        <w:pStyle w:val="Odstavecseseznamem"/>
        <w:numPr>
          <w:ilvl w:val="0"/>
          <w:numId w:val="17"/>
        </w:numPr>
      </w:pPr>
      <w:r>
        <w:t>výpovědí zaměstnavatele / dohodou o ukončení pracovního poměru</w:t>
      </w:r>
    </w:p>
    <w:p w:rsidR="00A058B2" w:rsidRDefault="00A058B2" w:rsidP="00BE498C">
      <w:pPr>
        <w:pStyle w:val="Odstavecseseznamem"/>
        <w:numPr>
          <w:ilvl w:val="0"/>
          <w:numId w:val="17"/>
        </w:numPr>
      </w:pPr>
      <w:r>
        <w:t>z organizačních důvodů - zrušení / přemístění zaměstnavatele (§ 52 písm. a), b) ZP)</w:t>
      </w:r>
    </w:p>
    <w:p w:rsidR="00A058B2" w:rsidRDefault="00A058B2" w:rsidP="00BE498C">
      <w:pPr>
        <w:pStyle w:val="Odstavecseseznamem"/>
        <w:numPr>
          <w:ilvl w:val="0"/>
          <w:numId w:val="17"/>
        </w:numPr>
      </w:pPr>
      <w:r>
        <w:t>pro nadbytečnost zaměstnance (§ 52 písm. c) ZP)</w:t>
      </w:r>
    </w:p>
    <w:p w:rsidR="00A058B2" w:rsidRDefault="00A058B2" w:rsidP="00BE498C">
      <w:pPr>
        <w:pStyle w:val="Odstavecseseznamem"/>
        <w:numPr>
          <w:ilvl w:val="0"/>
          <w:numId w:val="17"/>
        </w:numPr>
      </w:pPr>
      <w:r>
        <w:t>pozbyl-li zaměstnanec vzhledem ke svému zdravotnímu stavu dlouhodobě způsobilost konat dále</w:t>
      </w:r>
      <w:r w:rsidR="00570FBB">
        <w:t xml:space="preserve"> </w:t>
      </w:r>
      <w:r>
        <w:t>dosavadní práci (§ 52 písm. e) ZP)</w:t>
      </w:r>
    </w:p>
    <w:p w:rsidR="00A058B2" w:rsidRDefault="00A058B2" w:rsidP="00BE498C">
      <w:pPr>
        <w:pStyle w:val="Odstavecseseznamem"/>
        <w:numPr>
          <w:ilvl w:val="0"/>
          <w:numId w:val="17"/>
        </w:numPr>
      </w:pPr>
      <w:r>
        <w:t>okamžité zrušení pracovního poměru zaměstnancem</w:t>
      </w:r>
    </w:p>
    <w:p w:rsidR="00A058B2" w:rsidRDefault="00A058B2" w:rsidP="00BE498C">
      <w:pPr>
        <w:pStyle w:val="Odstavecseseznamem"/>
        <w:numPr>
          <w:ilvl w:val="0"/>
          <w:numId w:val="17"/>
        </w:numPr>
      </w:pPr>
      <w:r>
        <w:t>pro zdravotní stav, neumožňující zaměstnanci bez ohrožení zdraví výkon práce, přičemž mu zaměstnavatel neumožnil výkon jiné činnosti (§ 56 písm. a) ZP)</w:t>
      </w:r>
    </w:p>
    <w:p w:rsidR="00A058B2" w:rsidRDefault="00A058B2" w:rsidP="00BE498C">
      <w:pPr>
        <w:pStyle w:val="Odstavecseseznamem"/>
        <w:numPr>
          <w:ilvl w:val="0"/>
          <w:numId w:val="17"/>
        </w:numPr>
      </w:pPr>
      <w:r>
        <w:t xml:space="preserve">při prodlení zaměstnavatele s výplatou mzdy 15 a více dnů (§ 56 písm. b) ZP) </w:t>
      </w:r>
    </w:p>
    <w:p w:rsidR="00A058B2" w:rsidRDefault="00A058B2" w:rsidP="00BE498C">
      <w:pPr>
        <w:pStyle w:val="Odstavecseseznamem"/>
        <w:numPr>
          <w:ilvl w:val="0"/>
          <w:numId w:val="17"/>
        </w:numPr>
      </w:pPr>
      <w:r>
        <w:t>ukončení výkonu samostatné výdělečné činnosti</w:t>
      </w:r>
    </w:p>
    <w:p w:rsidR="00A058B2" w:rsidRDefault="00A058B2" w:rsidP="00BE498C">
      <w:pPr>
        <w:pStyle w:val="Odstavecseseznamem"/>
        <w:numPr>
          <w:ilvl w:val="0"/>
          <w:numId w:val="17"/>
        </w:numPr>
      </w:pPr>
      <w:r>
        <w:t>ukončení podnikání z důvodů nezávislých na vůli OSVČ</w:t>
      </w:r>
    </w:p>
    <w:p w:rsidR="00A058B2" w:rsidRDefault="00A058B2" w:rsidP="00BE498C">
      <w:pPr>
        <w:pStyle w:val="Odstavecseseznamem"/>
        <w:numPr>
          <w:ilvl w:val="0"/>
          <w:numId w:val="17"/>
        </w:numPr>
      </w:pPr>
      <w:r>
        <w:t>vážné zdravotní důvody</w:t>
      </w:r>
    </w:p>
    <w:p w:rsidR="00A058B2" w:rsidRDefault="00A058B2" w:rsidP="00BE498C">
      <w:pPr>
        <w:pStyle w:val="Odstavecseseznamem"/>
        <w:numPr>
          <w:ilvl w:val="0"/>
          <w:numId w:val="17"/>
        </w:numPr>
      </w:pPr>
      <w:r>
        <w:t>insolvence</w:t>
      </w:r>
    </w:p>
    <w:p w:rsidR="00966F52" w:rsidRDefault="00A058B2" w:rsidP="00A058B2">
      <w:r>
        <w:t>Pojistné plnění se vyplácí na základě vyplněného a zaslaného tiskopisu „Oznámení pojistné události“ s uvedenou výší a splatností závazku.</w:t>
      </w:r>
    </w:p>
    <w:p w:rsidR="00A058B2" w:rsidRDefault="00A058B2" w:rsidP="00A058B2">
      <w:r>
        <w:t>Dále je nutné doložit:</w:t>
      </w:r>
    </w:p>
    <w:p w:rsidR="00A058B2" w:rsidRDefault="00A058B2" w:rsidP="00BE498C">
      <w:pPr>
        <w:pStyle w:val="Odstavecseseznamem"/>
        <w:numPr>
          <w:ilvl w:val="0"/>
          <w:numId w:val="18"/>
        </w:numPr>
      </w:pPr>
      <w:r>
        <w:t xml:space="preserve">kopii smlouvy o hypotečním úvěru, úvěru ze stavebního spoření, spotřebitelském úvěru, nebo finančním leasingu a kopii platebního dokladu </w:t>
      </w:r>
      <w:r w:rsidR="004A78EA">
        <w:br/>
      </w:r>
      <w:r>
        <w:t>o splácení závazku z této smlouvy,</w:t>
      </w:r>
    </w:p>
    <w:p w:rsidR="00A058B2" w:rsidRDefault="00A058B2" w:rsidP="00BE498C">
      <w:pPr>
        <w:pStyle w:val="Odstavecseseznamem"/>
        <w:numPr>
          <w:ilvl w:val="0"/>
          <w:numId w:val="18"/>
        </w:numPr>
      </w:pPr>
      <w:r>
        <w:t xml:space="preserve">kopii „Rozhodnutí o přiznání hmotného zabezpečení“ (podpory </w:t>
      </w:r>
      <w:r w:rsidR="004A78EA">
        <w:br/>
      </w:r>
      <w:r>
        <w:t>v nezaměstnanosti) nebo potvrzení o vedení v evidenci uchazečů o zaměstnání,</w:t>
      </w:r>
    </w:p>
    <w:p w:rsidR="00A058B2" w:rsidRDefault="00A058B2" w:rsidP="00BE498C">
      <w:pPr>
        <w:pStyle w:val="Odstavecseseznamem"/>
        <w:numPr>
          <w:ilvl w:val="0"/>
          <w:numId w:val="18"/>
        </w:numPr>
      </w:pPr>
      <w:r>
        <w:t>kopie dokladů (pracovní smlouva, přiznání k dani z příjmu apod.), ze kterých bude zřejmé, že výdělečná činnost trvala nejméně 12 měsíců bezprostředně předcházejících ztrátě příjmu,</w:t>
      </w:r>
    </w:p>
    <w:p w:rsidR="00A058B2" w:rsidRDefault="00A058B2" w:rsidP="00BE498C">
      <w:pPr>
        <w:pStyle w:val="Odstavecseseznamem"/>
        <w:numPr>
          <w:ilvl w:val="0"/>
          <w:numId w:val="18"/>
        </w:numPr>
      </w:pPr>
      <w:r>
        <w:t>kopie dokladů prokazují zánik pracovního poměru nebo důvod ukončení výkonu samostatné výdělečné činnosti.</w:t>
      </w:r>
    </w:p>
    <w:p w:rsidR="00A058B2" w:rsidRDefault="00A058B2" w:rsidP="00A058B2">
      <w:r>
        <w:lastRenderedPageBreak/>
        <w:t xml:space="preserve">Tyto doklady je třeba předložit na přepážce </w:t>
      </w:r>
      <w:r w:rsidR="00203A95">
        <w:t>Pojišťovny XY</w:t>
      </w:r>
      <w:r>
        <w:t xml:space="preserve"> nejpozději ke dni splatnosti první splátky peněžitého závazku (úvěru, pojistného) po uplynutí 30 dnů </w:t>
      </w:r>
      <w:r w:rsidR="004A78EA">
        <w:br/>
      </w:r>
      <w:r>
        <w:t xml:space="preserve">od zařazení do evidence uchazečů o zaměstnání. Doba vyplácení pojistného plnění je 3, 6, 9 nebo 12 měsíců. </w:t>
      </w:r>
    </w:p>
    <w:p w:rsidR="00A058B2" w:rsidRDefault="00A058B2" w:rsidP="00A058B2">
      <w:r>
        <w:t xml:space="preserve">V případě dlouhodobé ztráty příjmu je nutné v pravidelných intervalech nejpozději vždy ke dni vzniku nároku na další plnění, tedy každých 30 dní, do </w:t>
      </w:r>
      <w:r w:rsidR="00203A95">
        <w:t>Pojišťovny XY</w:t>
      </w:r>
      <w:r>
        <w:t xml:space="preserve"> zasílat: </w:t>
      </w:r>
    </w:p>
    <w:p w:rsidR="00A058B2" w:rsidRDefault="00A058B2" w:rsidP="00BE498C">
      <w:pPr>
        <w:pStyle w:val="Odstavecseseznamem"/>
        <w:numPr>
          <w:ilvl w:val="0"/>
          <w:numId w:val="19"/>
        </w:numPr>
      </w:pPr>
      <w:r>
        <w:t xml:space="preserve">doklady potvrzující, že je pojištěný stále veden v evidenci uchazečů </w:t>
      </w:r>
      <w:r w:rsidR="004A78EA">
        <w:br/>
      </w:r>
      <w:r>
        <w:t xml:space="preserve">o zaměstnání, </w:t>
      </w:r>
    </w:p>
    <w:p w:rsidR="00A058B2" w:rsidRDefault="00A058B2" w:rsidP="00A058B2">
      <w:pPr>
        <w:pStyle w:val="Odstavecseseznamem"/>
        <w:numPr>
          <w:ilvl w:val="0"/>
          <w:numId w:val="19"/>
        </w:numPr>
      </w:pPr>
      <w:r>
        <w:t xml:space="preserve">doklady o splácení závazku. </w:t>
      </w:r>
    </w:p>
    <w:p w:rsidR="00A058B2" w:rsidRDefault="00A058B2" w:rsidP="00A058B2">
      <w:r>
        <w:t xml:space="preserve">Při sjednání pojištění splátek úvěru při ztrátě příjmu sjednávané jako připojištění </w:t>
      </w:r>
      <w:r w:rsidR="004A78EA">
        <w:br/>
      </w:r>
      <w:r>
        <w:t xml:space="preserve">k životnímu pojištění </w:t>
      </w:r>
      <w:r w:rsidR="00203A95">
        <w:t>PRODUKT XY</w:t>
      </w:r>
      <w:r>
        <w:t xml:space="preserve"> neprobíhá oceňování zdravotního stavu pojišťované osoby. </w:t>
      </w:r>
    </w:p>
    <w:p w:rsidR="00A058B2" w:rsidRDefault="00203A95" w:rsidP="00A058B2">
      <w:r>
        <w:t>Pojišťovna XY</w:t>
      </w:r>
      <w:r w:rsidR="00A058B2">
        <w:t xml:space="preserve"> neposkytuje pojistné plnění v těchto případech: </w:t>
      </w:r>
    </w:p>
    <w:p w:rsidR="00A058B2" w:rsidRDefault="00A058B2" w:rsidP="00BE498C">
      <w:pPr>
        <w:pStyle w:val="Odstavecseseznamem"/>
        <w:numPr>
          <w:ilvl w:val="0"/>
          <w:numId w:val="20"/>
        </w:numPr>
      </w:pPr>
      <w:r>
        <w:t xml:space="preserve">u zaměstnanců rozvázání pracovního poměru: </w:t>
      </w:r>
    </w:p>
    <w:p w:rsidR="00A058B2" w:rsidRDefault="00A058B2" w:rsidP="00BE498C">
      <w:pPr>
        <w:pStyle w:val="Odstavecseseznamem"/>
        <w:numPr>
          <w:ilvl w:val="1"/>
          <w:numId w:val="20"/>
        </w:numPr>
      </w:pPr>
      <w:r>
        <w:t xml:space="preserve">ve zkušební době, výpovědí zaměstnance, sjednaného na dobu určitou, okamžitým zrušením ze strany zaměstnavatele ve smyslu zákona, dohodou s výjimkou výpovědi dle § 52 písm. a), b), c), e) ZP </w:t>
      </w:r>
    </w:p>
    <w:p w:rsidR="00A058B2" w:rsidRDefault="004A78EA" w:rsidP="00BE498C">
      <w:pPr>
        <w:pStyle w:val="Odstavecseseznamem"/>
        <w:numPr>
          <w:ilvl w:val="0"/>
          <w:numId w:val="20"/>
        </w:numPr>
      </w:pPr>
      <w:r>
        <w:t xml:space="preserve">OSVČ: </w:t>
      </w:r>
      <w:r w:rsidR="00A058B2">
        <w:t>při přerušení podnikání, při ukončení podnikání z vůle pojištěného, při odejmutí nebo pozastavení oprávnění k podnikání soudem nebo správním orgánem, pokud pojištěný nevykonával výdělečnou činnost nejméně po dobu 12 měsíců bezprostředně předcházejících ztrátě příjmu.</w:t>
      </w:r>
    </w:p>
    <w:p w:rsidR="00DD551F" w:rsidRDefault="00DD551F" w:rsidP="00DD551F">
      <w:pPr>
        <w:pStyle w:val="Odstavecseseznamem"/>
      </w:pPr>
    </w:p>
    <w:p w:rsidR="00DD551F" w:rsidRDefault="00DD551F" w:rsidP="000A64BF">
      <w:pPr>
        <w:pStyle w:val="Nadpis2"/>
      </w:pPr>
      <w:bookmarkStart w:id="36" w:name="_Toc309717604"/>
      <w:r w:rsidRPr="000A64BF">
        <w:t>Úrazové pojištění</w:t>
      </w:r>
      <w:bookmarkEnd w:id="36"/>
    </w:p>
    <w:p w:rsidR="00A058B2" w:rsidRDefault="00A058B2" w:rsidP="00A058B2">
      <w:r>
        <w:t xml:space="preserve">Volitelnou součástí životního pojištění je také možnost v podobě pojištění pro případ úrazu, a to: </w:t>
      </w:r>
    </w:p>
    <w:p w:rsidR="00A058B2" w:rsidRDefault="00A058B2" w:rsidP="00BE498C">
      <w:pPr>
        <w:pStyle w:val="Odstavecseseznamem"/>
        <w:numPr>
          <w:ilvl w:val="0"/>
          <w:numId w:val="21"/>
        </w:numPr>
      </w:pPr>
      <w:r>
        <w:t>úrazové pojištění dospělých</w:t>
      </w:r>
    </w:p>
    <w:p w:rsidR="00A058B2" w:rsidRDefault="00A058B2" w:rsidP="00BE498C">
      <w:pPr>
        <w:pStyle w:val="Odstavecseseznamem"/>
        <w:numPr>
          <w:ilvl w:val="0"/>
          <w:numId w:val="21"/>
        </w:numPr>
      </w:pPr>
      <w:r>
        <w:t>úrazové pojištění dětí</w:t>
      </w:r>
    </w:p>
    <w:p w:rsidR="00A058B2" w:rsidRDefault="00A058B2" w:rsidP="00A058B2"/>
    <w:p w:rsidR="00A058B2" w:rsidRDefault="00A058B2" w:rsidP="00A058B2">
      <w:r>
        <w:t>Úrazem se rozumí neočekávané a náhlé působení zevních sil nebo vlastní tělesné síly nezávisle na vůli pojištěného, ke kterému došlo během trvání pojištění a kterým bylo pojištěnému způsobeno poškození zdraví nebo smrt. Pro účely úrazového pojištění se poškozením zdraví rozumí tělesné poškození, které je uvedeno v oceňovacích tabulkách pojistitele.</w:t>
      </w:r>
    </w:p>
    <w:p w:rsidR="00DE1137" w:rsidRPr="000A64BF" w:rsidRDefault="000A64BF" w:rsidP="000A64BF">
      <w:pPr>
        <w:pStyle w:val="Nadpis3"/>
      </w:pPr>
      <w:r>
        <w:t xml:space="preserve"> </w:t>
      </w:r>
      <w:bookmarkStart w:id="37" w:name="_Toc309717605"/>
      <w:r w:rsidR="00DE1137" w:rsidRPr="000A64BF">
        <w:t>Rozsah úrazového pojištění</w:t>
      </w:r>
      <w:bookmarkEnd w:id="37"/>
    </w:p>
    <w:p w:rsidR="00A058B2" w:rsidRPr="00DD551F" w:rsidRDefault="00A058B2" w:rsidP="00A058B2">
      <w:r w:rsidRPr="00DD551F">
        <w:t>Dlouhodobé úrazové pojištění má následující rozsah pojištění:</w:t>
      </w:r>
    </w:p>
    <w:p w:rsidR="00A058B2" w:rsidRDefault="00A058B2" w:rsidP="007A6987">
      <w:pPr>
        <w:pStyle w:val="Odstavecseseznamem"/>
        <w:numPr>
          <w:ilvl w:val="0"/>
          <w:numId w:val="30"/>
        </w:numPr>
      </w:pPr>
      <w:r>
        <w:t>plnění za smrt následkem úrazu</w:t>
      </w:r>
    </w:p>
    <w:p w:rsidR="00A058B2" w:rsidRDefault="00A058B2" w:rsidP="007A6987">
      <w:pPr>
        <w:pStyle w:val="Odstavecseseznamem"/>
        <w:numPr>
          <w:ilvl w:val="0"/>
          <w:numId w:val="30"/>
        </w:numPr>
      </w:pPr>
      <w:r>
        <w:t>plnění za smrt následkem úrazu v motorovém vozidle</w:t>
      </w:r>
    </w:p>
    <w:p w:rsidR="00A058B2" w:rsidRDefault="00A058B2" w:rsidP="007A6987">
      <w:pPr>
        <w:pStyle w:val="Odstavecseseznamem"/>
        <w:numPr>
          <w:ilvl w:val="0"/>
          <w:numId w:val="30"/>
        </w:numPr>
      </w:pPr>
      <w:r>
        <w:t>plnění za trvalé následky úrazu</w:t>
      </w:r>
    </w:p>
    <w:p w:rsidR="00A058B2" w:rsidRDefault="00A058B2" w:rsidP="007A6987">
      <w:pPr>
        <w:pStyle w:val="Odstavecseseznamem"/>
        <w:numPr>
          <w:ilvl w:val="0"/>
          <w:numId w:val="30"/>
        </w:numPr>
      </w:pPr>
      <w:r>
        <w:t>plnění za trvalou invaliditu následkem úrazu</w:t>
      </w:r>
    </w:p>
    <w:p w:rsidR="00A058B2" w:rsidRDefault="00A058B2" w:rsidP="007A6987">
      <w:pPr>
        <w:pStyle w:val="Odstavecseseznamem"/>
        <w:numPr>
          <w:ilvl w:val="0"/>
          <w:numId w:val="30"/>
        </w:numPr>
      </w:pPr>
      <w:r>
        <w:t>plnění za dobu nezbytného léčení tělesného poškození způsobeného úrazem ve dnech plnění za hospitalizaci následkem úrazu</w:t>
      </w:r>
    </w:p>
    <w:p w:rsidR="00A058B2" w:rsidRDefault="00A058B2" w:rsidP="007A6987">
      <w:pPr>
        <w:pStyle w:val="Odstavecseseznamem"/>
        <w:numPr>
          <w:ilvl w:val="0"/>
          <w:numId w:val="30"/>
        </w:numPr>
      </w:pPr>
      <w:r>
        <w:t>Plnění za smrt následkem úrazu (SU)</w:t>
      </w:r>
      <w:r w:rsidR="00570FBB">
        <w:t xml:space="preserve"> </w:t>
      </w:r>
      <w:r>
        <w:t>pojistitel vyplatí sjednanou pojistnou částku pro případ smrti následkem úrazu.</w:t>
      </w:r>
    </w:p>
    <w:p w:rsidR="00A058B2" w:rsidRDefault="00A058B2" w:rsidP="007A6987">
      <w:pPr>
        <w:pStyle w:val="Odstavecseseznamem"/>
        <w:numPr>
          <w:ilvl w:val="0"/>
          <w:numId w:val="30"/>
        </w:numPr>
      </w:pPr>
      <w:r>
        <w:t>Plnění za smrt následkem úrazu v motorovém vozidle (SMV)</w:t>
      </w:r>
      <w:r w:rsidR="00570FBB">
        <w:t xml:space="preserve"> </w:t>
      </w:r>
      <w:r>
        <w:t>pojistitel vyplatí sjednanou pojistnou částku pro případ smrti následkem úrazu v motorovém vozidle.</w:t>
      </w:r>
    </w:p>
    <w:p w:rsidR="00A058B2" w:rsidRDefault="00A058B2" w:rsidP="007A6987">
      <w:pPr>
        <w:pStyle w:val="Odstavecseseznamem"/>
        <w:numPr>
          <w:ilvl w:val="0"/>
          <w:numId w:val="30"/>
        </w:numPr>
      </w:pPr>
      <w:r>
        <w:t>Plnění za trvalé následky úrazu (TN)</w:t>
      </w:r>
    </w:p>
    <w:p w:rsidR="00A058B2" w:rsidRDefault="00A058B2" w:rsidP="007A6987">
      <w:pPr>
        <w:pStyle w:val="Odstavecseseznamem"/>
        <w:numPr>
          <w:ilvl w:val="1"/>
          <w:numId w:val="20"/>
        </w:numPr>
      </w:pPr>
      <w:r>
        <w:t>pojistitel vyplatí ze sjednané pojistné částky tolik procent, kolika procentům odpovídá rozsah trvalých následků úrazu,</w:t>
      </w:r>
    </w:p>
    <w:p w:rsidR="00A058B2" w:rsidRDefault="00A058B2" w:rsidP="007A6987">
      <w:pPr>
        <w:pStyle w:val="Odstavecseseznamem"/>
        <w:numPr>
          <w:ilvl w:val="1"/>
          <w:numId w:val="20"/>
        </w:numPr>
      </w:pPr>
      <w:r>
        <w:t>pojistitel vyplatí pojistné plnění pouze tehdy, pokud celkové hodnocení trvalých následků úrazu dosáhne alespoň výši tohoto sjednaného procenta (je-li sjednáno)</w:t>
      </w:r>
    </w:p>
    <w:p w:rsidR="00A058B2" w:rsidRDefault="00A058B2" w:rsidP="00A058B2">
      <w:pPr>
        <w:pStyle w:val="Odstavecseseznamem"/>
        <w:numPr>
          <w:ilvl w:val="1"/>
          <w:numId w:val="20"/>
        </w:numPr>
      </w:pPr>
      <w:r>
        <w:t>pojištění progresivního plnění za trvalé následky úrazu zabezpečuje progresivně rostoucí plnění v závislosti na rozsahu trvalých následků úrazu, stanoveném v procentech podle oceňovací tabulky.</w:t>
      </w:r>
    </w:p>
    <w:p w:rsidR="007A6987" w:rsidRDefault="00A058B2" w:rsidP="007A6987">
      <w:pPr>
        <w:pStyle w:val="Odstavecseseznamem"/>
        <w:numPr>
          <w:ilvl w:val="0"/>
          <w:numId w:val="30"/>
        </w:numPr>
      </w:pPr>
      <w:r>
        <w:t>Plnění za trvalou invaliditu následkem úrazu (TI)</w:t>
      </w:r>
      <w:r w:rsidR="00BE498C">
        <w:t xml:space="preserve"> </w:t>
      </w:r>
      <w:r>
        <w:t xml:space="preserve">pojistitel vyplatí sjednanou pojistnou částku v případě, zanechá-li úraz pojištěnému trvalé následky podle </w:t>
      </w:r>
      <w:r>
        <w:lastRenderedPageBreak/>
        <w:t>oceňovací tabulky ve výši nejméně 65%, a to v součtu jednotlivých trvalých následků úrazu jeden rok od data úrazu. Výplatou pojistného plnění pojištění trvalé invalidity následkem úrazu zaniká.</w:t>
      </w:r>
      <w:r w:rsidR="00B16ED5">
        <w:t xml:space="preserve"> (viz. Tab. 10 Invalidita, přílohy str. 9)</w:t>
      </w:r>
    </w:p>
    <w:p w:rsidR="00A058B2" w:rsidRDefault="00A058B2" w:rsidP="00A058B2">
      <w:pPr>
        <w:pStyle w:val="Odstavecseseznamem"/>
        <w:numPr>
          <w:ilvl w:val="0"/>
          <w:numId w:val="30"/>
        </w:numPr>
      </w:pPr>
      <w:r>
        <w:t>Plnění za dobu nezbytného léčení tělesného poškození způsobeného úrazem ve dnech (DNL)</w:t>
      </w:r>
      <w:r w:rsidR="00441F47">
        <w:t xml:space="preserve">. (viz. Tabulka 9 Doba nezbytného léčení, přílohy str. 8) </w:t>
      </w:r>
    </w:p>
    <w:p w:rsidR="00A058B2" w:rsidRPr="00DD551F" w:rsidRDefault="00A058B2" w:rsidP="00A058B2">
      <w:r w:rsidRPr="00DD551F">
        <w:t>Ve smlouvě lze vybrat pouze jednu z těchto dvou variant:</w:t>
      </w:r>
    </w:p>
    <w:p w:rsidR="00A058B2" w:rsidRDefault="00A058B2" w:rsidP="007A6987">
      <w:pPr>
        <w:pStyle w:val="Odstavecseseznamem"/>
        <w:numPr>
          <w:ilvl w:val="0"/>
          <w:numId w:val="31"/>
        </w:numPr>
      </w:pPr>
      <w:r>
        <w:t>varianta (DNL-15) denní plnění za dobu nezbytného léčení: pojistitel vyplatí denní plnění za každý den doby nezbytného léčení, je-li průměrná doba nezbytného léčení úrazu stanovená v oceňovací tabulce, delší než dva týdny, a to do maximálního počtu dní, který odpovídá příslušnému tělesnému poškození stanovenému v oceňovací tabulce, v části pro denní plnění</w:t>
      </w:r>
    </w:p>
    <w:p w:rsidR="00A058B2" w:rsidRDefault="00A058B2" w:rsidP="00A058B2">
      <w:pPr>
        <w:pStyle w:val="Odstavecseseznamem"/>
        <w:numPr>
          <w:ilvl w:val="0"/>
          <w:numId w:val="31"/>
        </w:numPr>
      </w:pPr>
      <w:r>
        <w:t>varianta (DNL-MAX) denní plnění za dobu nezbytného léčení: pojistitel vyplatí denní plnění za</w:t>
      </w:r>
      <w:r w:rsidR="00DE1137">
        <w:t xml:space="preserve"> </w:t>
      </w:r>
      <w:r>
        <w:t>maximální počet dní, který odpovídá příslušnému tělesnému poškození stanovenému oceňovací tabulkou, delší než dva týdny, bez ohledu na to, jaká byla skutečná doba léčení.</w:t>
      </w:r>
    </w:p>
    <w:p w:rsidR="00A058B2" w:rsidRDefault="00A058B2" w:rsidP="00A058B2">
      <w:r>
        <w:t>Pokud je sjednáno DNL-15, resp. DNL-MAX, vyvíjí se denní plnění za dobu nezbytného léčení vždy u všech sazeb progresivně v závislosti na délce léčení.</w:t>
      </w:r>
    </w:p>
    <w:p w:rsidR="00A058B2" w:rsidRDefault="00A058B2" w:rsidP="00A058B2">
      <w:r>
        <w:t xml:space="preserve">Za každý den léčení je pojištěnému vypláceno </w:t>
      </w:r>
      <w:proofErr w:type="spellStart"/>
      <w:r>
        <w:t>kumulovaně</w:t>
      </w:r>
      <w:proofErr w:type="spellEnd"/>
      <w:r>
        <w:t xml:space="preserve"> sjednané denní plnění násobené příslušným přepočtovým koeficientem, a to vždy v každém daném rozpětí zvlášť.</w:t>
      </w:r>
    </w:p>
    <w:p w:rsidR="00A058B2" w:rsidRDefault="00A058B2" w:rsidP="00A058B2">
      <w:r>
        <w:t>Pojistitel poskytuje plnění za dobu nezbytného léčení úrazu nejvýše za dobu jednoho roku.</w:t>
      </w:r>
    </w:p>
    <w:p w:rsidR="00A058B2" w:rsidRDefault="00A058B2" w:rsidP="00A058B2">
      <w:r>
        <w:t>Plnění za hospitalizaci následkem úrazu (H)</w:t>
      </w:r>
    </w:p>
    <w:p w:rsidR="00A058B2" w:rsidRDefault="00A058B2" w:rsidP="00A058B2">
      <w:pPr>
        <w:pStyle w:val="Odstavecseseznamem"/>
        <w:numPr>
          <w:ilvl w:val="0"/>
          <w:numId w:val="32"/>
        </w:numPr>
      </w:pPr>
      <w:r>
        <w:t>pojistitel vyplatí denní plnění maximálně za dobu 365 dnů v průběhu dvou let od data pojistné události tj. úrazu.</w:t>
      </w:r>
      <w:r w:rsidR="00B16ED5">
        <w:t xml:space="preserve"> </w:t>
      </w:r>
    </w:p>
    <w:p w:rsidR="00A058B2" w:rsidRPr="00DD551F" w:rsidRDefault="009A7198" w:rsidP="00A058B2">
      <w:r w:rsidRPr="00DD551F">
        <w:t>Formy pojistného plnění</w:t>
      </w:r>
    </w:p>
    <w:p w:rsidR="00A058B2" w:rsidRDefault="00A058B2" w:rsidP="00BE498C">
      <w:pPr>
        <w:pStyle w:val="Odstavecseseznamem"/>
        <w:numPr>
          <w:ilvl w:val="0"/>
          <w:numId w:val="22"/>
        </w:numPr>
      </w:pPr>
      <w:r>
        <w:t>Jednorázové plnění</w:t>
      </w:r>
    </w:p>
    <w:p w:rsidR="00A058B2" w:rsidRDefault="00A058B2" w:rsidP="00BE498C">
      <w:pPr>
        <w:pStyle w:val="Odstavecseseznamem"/>
        <w:numPr>
          <w:ilvl w:val="0"/>
          <w:numId w:val="22"/>
        </w:numPr>
      </w:pPr>
      <w:r>
        <w:lastRenderedPageBreak/>
        <w:t>Požádá-li o to pojištěný (v úrazovém pojištění dětí zákonný zástupce pojištěného dítěte) do výplaty plnění za trvalé následky úrazu, pojistitel začne vyplácet namísto jednorázového plnění:</w:t>
      </w:r>
    </w:p>
    <w:p w:rsidR="00A058B2" w:rsidRDefault="00A058B2" w:rsidP="00BE498C">
      <w:pPr>
        <w:pStyle w:val="Odstavecseseznamem"/>
        <w:numPr>
          <w:ilvl w:val="0"/>
          <w:numId w:val="22"/>
        </w:numPr>
      </w:pPr>
      <w:r>
        <w:t>důchod časově omezený (na určitý počet let) nebo</w:t>
      </w:r>
    </w:p>
    <w:p w:rsidR="00A058B2" w:rsidRDefault="00A058B2" w:rsidP="00A058B2">
      <w:pPr>
        <w:pStyle w:val="Odstavecseseznamem"/>
        <w:numPr>
          <w:ilvl w:val="0"/>
          <w:numId w:val="22"/>
        </w:numPr>
      </w:pPr>
      <w:r>
        <w:t>důchod doživotní</w:t>
      </w:r>
    </w:p>
    <w:p w:rsidR="000F444F" w:rsidRDefault="000F444F" w:rsidP="00A058B2"/>
    <w:p w:rsidR="00A058B2" w:rsidRPr="00D867FF" w:rsidRDefault="000A64BF" w:rsidP="00F25762">
      <w:pPr>
        <w:pStyle w:val="Nadpis3"/>
      </w:pPr>
      <w:r w:rsidRPr="00D867FF">
        <w:t xml:space="preserve"> </w:t>
      </w:r>
      <w:bookmarkStart w:id="38" w:name="_Toc309717606"/>
      <w:r w:rsidR="009A7198" w:rsidRPr="00D867FF">
        <w:t>Rizikové</w:t>
      </w:r>
      <w:r w:rsidR="00A058B2" w:rsidRPr="00D867FF">
        <w:t xml:space="preserve"> </w:t>
      </w:r>
      <w:r w:rsidR="009A7198" w:rsidRPr="00D867FF">
        <w:t>skupiny</w:t>
      </w:r>
      <w:bookmarkEnd w:id="38"/>
    </w:p>
    <w:p w:rsidR="00A058B2" w:rsidRDefault="00A058B2" w:rsidP="009A7198">
      <w:pPr>
        <w:pStyle w:val="Nadpis3"/>
      </w:pPr>
      <w:bookmarkStart w:id="39" w:name="_Toc309717607"/>
      <w:r>
        <w:t>Rizikové skupiny podle povolání (jen u pojištění dospělých)</w:t>
      </w:r>
      <w:bookmarkEnd w:id="39"/>
    </w:p>
    <w:p w:rsidR="00A058B2" w:rsidRDefault="00A058B2" w:rsidP="00A058B2">
      <w:r>
        <w:t>Povolání se pro účely stanovení pojistného zařazují do rizikové skupiny 1 (dále jen „RS 1“), rizi</w:t>
      </w:r>
      <w:r w:rsidR="009A7198">
        <w:t>kové skupiny 2 (dále jen „RS 2“</w:t>
      </w:r>
      <w:r>
        <w:t>) nebo rizikové skupiny 3 (dále jen „RS 3“). Povolání s nižším rizikem úrazu patří do RS 1 s nižším pojistným, povolání s vyšším rizikem úrazu patří do RS 2 s vyšším pojistným a povolání s nejvyšším rizikem patří do RS 3 s nejvyšším pojistným.</w:t>
      </w:r>
    </w:p>
    <w:p w:rsidR="00A058B2" w:rsidRDefault="00A058B2" w:rsidP="00A058B2">
      <w:r>
        <w:t>Pro zařazení pojišťované osoby je rozhodující skutečnost, zda pojišťovaná osoba převážně vykonává pracovní činnost uvedenou v příslušné rizikové skupině. Převážně vykonávanou pracovní činností tj. povoláním se rozumí činnost, která je podstatnou náplní uvedeného povolání. Výkon vedlejšího povolání (např. 2 - 3 hodiny denně, nebo nepravidelně po výkonu hlavního povolání) nemá vliv na určení rizikové skupiny.</w:t>
      </w:r>
    </w:p>
    <w:p w:rsidR="00A058B2" w:rsidRPr="009A7198" w:rsidRDefault="00A058B2" w:rsidP="009A7198">
      <w:pPr>
        <w:rPr>
          <w:b/>
        </w:rPr>
      </w:pPr>
      <w:r w:rsidRPr="009A7198">
        <w:rPr>
          <w:b/>
        </w:rPr>
        <w:t>Riziková skupina 1</w:t>
      </w:r>
    </w:p>
    <w:p w:rsidR="00A058B2" w:rsidRDefault="00A058B2" w:rsidP="00A058B2">
      <w:r>
        <w:t>zahrnuje pracovníky, kteří se zabývají duševní činností, řídící a administrativní činností ve vnitřní a vnější správě, obchodě, pracovníky ve zdravotnictví a kultuře, kteří nevyvíjejí fyzickou činnost. Z pracovníků, jejichž pracovní činnost má charakter výrobní či manuální, jenom ty, u nichž je riziko úrazu srovnatelné s nevýrobní činností.</w:t>
      </w:r>
    </w:p>
    <w:p w:rsidR="00A058B2" w:rsidRPr="009A7198" w:rsidRDefault="00A058B2" w:rsidP="009A7198">
      <w:pPr>
        <w:rPr>
          <w:b/>
        </w:rPr>
      </w:pPr>
      <w:r w:rsidRPr="009A7198">
        <w:rPr>
          <w:b/>
        </w:rPr>
        <w:t>Riziková skupina 2</w:t>
      </w:r>
    </w:p>
    <w:p w:rsidR="00A058B2" w:rsidRDefault="00A058B2" w:rsidP="00A058B2">
      <w:r>
        <w:t>zahrnuje ostatní pracovníky s výrobní či manuální činností, popř. pracovníky vystavené při nevýrobní činnosti zvýšenému riziku, profesionální sportovce bez vysoce rizikové činnosti.</w:t>
      </w:r>
    </w:p>
    <w:p w:rsidR="00A058B2" w:rsidRPr="009A7198" w:rsidRDefault="00A058B2" w:rsidP="009A7198">
      <w:pPr>
        <w:rPr>
          <w:b/>
        </w:rPr>
      </w:pPr>
      <w:r w:rsidRPr="009A7198">
        <w:rPr>
          <w:b/>
        </w:rPr>
        <w:lastRenderedPageBreak/>
        <w:t>Riziková skupina 3</w:t>
      </w:r>
    </w:p>
    <w:p w:rsidR="004F6F3E" w:rsidRDefault="00A058B2" w:rsidP="00A058B2">
      <w:r>
        <w:t>zahrnuje pracovníky, kteří vykonávají pracovní činnosti s vysokým rizikem úrazu, např.:</w:t>
      </w:r>
    </w:p>
    <w:p w:rsidR="00A058B2" w:rsidRDefault="00A058B2" w:rsidP="004F6F3E">
      <w:pPr>
        <w:pStyle w:val="Odstavecseseznamem"/>
        <w:numPr>
          <w:ilvl w:val="0"/>
          <w:numId w:val="23"/>
        </w:numPr>
      </w:pPr>
      <w:r>
        <w:t>práce v hlubinných dolech</w:t>
      </w:r>
    </w:p>
    <w:p w:rsidR="00A058B2" w:rsidRDefault="00A058B2" w:rsidP="004F6F3E">
      <w:pPr>
        <w:pStyle w:val="Odstavecseseznamem"/>
        <w:numPr>
          <w:ilvl w:val="0"/>
          <w:numId w:val="23"/>
        </w:numPr>
      </w:pPr>
      <w:r>
        <w:t xml:space="preserve">záchranné a havarijní práce báňské záchranné služby, příslušníků veřejné </w:t>
      </w:r>
      <w:r w:rsidR="002852FF">
        <w:br/>
      </w:r>
      <w:r>
        <w:t>a závodní požární ochrany, členů horské záchranné služby</w:t>
      </w:r>
    </w:p>
    <w:p w:rsidR="00A058B2" w:rsidRDefault="00A058B2" w:rsidP="004F6F3E">
      <w:pPr>
        <w:pStyle w:val="Odstavecseseznamem"/>
        <w:numPr>
          <w:ilvl w:val="0"/>
          <w:numId w:val="23"/>
        </w:numPr>
      </w:pPr>
      <w:r>
        <w:t>práce s výbušninami, práce pyrotechniků</w:t>
      </w:r>
    </w:p>
    <w:p w:rsidR="00A058B2" w:rsidRDefault="00A058B2" w:rsidP="004F6F3E">
      <w:pPr>
        <w:pStyle w:val="Odstavecseseznamem"/>
        <w:numPr>
          <w:ilvl w:val="0"/>
          <w:numId w:val="23"/>
        </w:numPr>
      </w:pPr>
      <w:r>
        <w:t>práce železničních posunovačů</w:t>
      </w:r>
    </w:p>
    <w:p w:rsidR="00A058B2" w:rsidRDefault="00A058B2" w:rsidP="004F6F3E">
      <w:pPr>
        <w:pStyle w:val="Odstavecseseznamem"/>
        <w:numPr>
          <w:ilvl w:val="0"/>
          <w:numId w:val="23"/>
        </w:numPr>
      </w:pPr>
      <w:r>
        <w:t xml:space="preserve">práce ve výškách, prováděné v nucených polohách bez pracovních plošin, </w:t>
      </w:r>
      <w:r w:rsidR="002852FF">
        <w:br/>
      </w:r>
      <w:r>
        <w:t xml:space="preserve">z provazových žebříků, visutých sedaček v závěsu na ochranném pásu </w:t>
      </w:r>
      <w:r w:rsidR="002852FF">
        <w:br/>
      </w:r>
      <w:r>
        <w:t>a v omezeném pracovním prostoru na pracovní lávce, vesměs ve výškách nad 10 metrů</w:t>
      </w:r>
    </w:p>
    <w:p w:rsidR="00A058B2" w:rsidRDefault="00A058B2" w:rsidP="004F6F3E">
      <w:pPr>
        <w:pStyle w:val="Odstavecseseznamem"/>
        <w:numPr>
          <w:ilvl w:val="0"/>
          <w:numId w:val="23"/>
        </w:numPr>
      </w:pPr>
      <w:r>
        <w:t xml:space="preserve">práce s vysokým rizikem akutních otrav při zaslepování a </w:t>
      </w:r>
      <w:proofErr w:type="spellStart"/>
      <w:r>
        <w:t>odslepování</w:t>
      </w:r>
      <w:proofErr w:type="spellEnd"/>
      <w:r>
        <w:t xml:space="preserve"> plynovodního potrubí s generátorovým plynem, svítiplynem apod., při čištění nádrží, cisteren apod. od chemických lučebnin zvlášť nebezpečných jedů</w:t>
      </w:r>
    </w:p>
    <w:p w:rsidR="00A058B2" w:rsidRDefault="00A058B2" w:rsidP="004F6F3E">
      <w:pPr>
        <w:pStyle w:val="Odstavecseseznamem"/>
        <w:numPr>
          <w:ilvl w:val="0"/>
          <w:numId w:val="23"/>
        </w:numPr>
      </w:pPr>
      <w:r>
        <w:t xml:space="preserve">práce s vysokým rizikem popálenin v důsledku vysoké teploty pracovního prostředí, jako jsou práce při havarijních vnitřních opravách žáruvzdorných vyzdívek pecí, práce se žhavými kovy, apod. </w:t>
      </w:r>
    </w:p>
    <w:p w:rsidR="00A058B2" w:rsidRDefault="00A058B2" w:rsidP="004F6F3E">
      <w:pPr>
        <w:pStyle w:val="Odstavecseseznamem"/>
        <w:numPr>
          <w:ilvl w:val="0"/>
          <w:numId w:val="23"/>
        </w:numPr>
      </w:pPr>
      <w:r>
        <w:t>práce pod vodou, při níž je nezbytné používat potápěcího dýchacího přístroje (při záchranných pracích, při údržbě přehradních hrází, v kesonech)</w:t>
      </w:r>
    </w:p>
    <w:p w:rsidR="00A058B2" w:rsidRDefault="00A058B2" w:rsidP="004F6F3E">
      <w:pPr>
        <w:pStyle w:val="Odstavecseseznamem"/>
        <w:numPr>
          <w:ilvl w:val="0"/>
          <w:numId w:val="23"/>
        </w:numPr>
      </w:pPr>
      <w:r>
        <w:t>činnost artistů, kaskadérů, krotitelů zvěře</w:t>
      </w:r>
    </w:p>
    <w:p w:rsidR="00A058B2" w:rsidRDefault="00A058B2" w:rsidP="004F6F3E">
      <w:pPr>
        <w:pStyle w:val="Odstavecseseznamem"/>
        <w:numPr>
          <w:ilvl w:val="0"/>
          <w:numId w:val="23"/>
        </w:numPr>
      </w:pPr>
      <w:r>
        <w:t>činnost výzkumná a badatelská v neprobádaných krajinách</w:t>
      </w:r>
    </w:p>
    <w:p w:rsidR="00A058B2" w:rsidRDefault="00A058B2" w:rsidP="004F6F3E">
      <w:pPr>
        <w:pStyle w:val="Odstavecseseznamem"/>
        <w:numPr>
          <w:ilvl w:val="0"/>
          <w:numId w:val="23"/>
        </w:numPr>
      </w:pPr>
      <w:r>
        <w:t>činnost při zajíždění motorových vozidel a při provádění typových zkoušek</w:t>
      </w:r>
    </w:p>
    <w:p w:rsidR="00A058B2" w:rsidRDefault="00A058B2" w:rsidP="004F6F3E">
      <w:pPr>
        <w:pStyle w:val="Odstavecseseznamem"/>
        <w:numPr>
          <w:ilvl w:val="0"/>
          <w:numId w:val="23"/>
        </w:numPr>
      </w:pPr>
      <w:r>
        <w:t>činnost továrních jezdců motorových vozidel a plavidel.</w:t>
      </w:r>
    </w:p>
    <w:p w:rsidR="00A058B2" w:rsidRDefault="00A058B2" w:rsidP="009A7198">
      <w:pPr>
        <w:pStyle w:val="Nadpis3"/>
      </w:pPr>
      <w:bookmarkStart w:id="40" w:name="_Toc309717608"/>
      <w:r>
        <w:t>Vysoce riziková činnost (VRČ)</w:t>
      </w:r>
      <w:bookmarkEnd w:id="40"/>
    </w:p>
    <w:p w:rsidR="00A058B2" w:rsidRDefault="00A058B2" w:rsidP="00A058B2">
      <w:r>
        <w:t>Vysoce riziková činnost zahrnuje sporty se zvlášť vysokým rizikem úrazu. Pojistné pro vysoce rizikovou činnost je uvedeno pro každou ze tří rizikových skupin podle povolání.</w:t>
      </w:r>
    </w:p>
    <w:p w:rsidR="00A058B2" w:rsidRDefault="00A058B2" w:rsidP="00A058B2">
      <w:r>
        <w:lastRenderedPageBreak/>
        <w:t xml:space="preserve">Do této skupiny patří všechny druhy sportů, které pojištěný provozuje jako aktivní účastník organizovaných soutěží s výjimkou: </w:t>
      </w:r>
    </w:p>
    <w:p w:rsidR="00A058B2" w:rsidRDefault="00A058B2" w:rsidP="00A058B2">
      <w:r>
        <w:t>aerobiku, agility, akrobatického rock´n´</w:t>
      </w:r>
      <w:proofErr w:type="spellStart"/>
      <w:r>
        <w:t>rollu</w:t>
      </w:r>
      <w:proofErr w:type="spellEnd"/>
      <w:r>
        <w:t xml:space="preserve">, atletiky, badmintonu, baseballu, běhu na lyžích, bowlingu, </w:t>
      </w:r>
      <w:proofErr w:type="spellStart"/>
      <w:r>
        <w:t>dance</w:t>
      </w:r>
      <w:proofErr w:type="spellEnd"/>
      <w:r>
        <w:t xml:space="preserve">, curlingu, </w:t>
      </w:r>
      <w:proofErr w:type="spellStart"/>
      <w:r>
        <w:t>footbagu</w:t>
      </w:r>
      <w:proofErr w:type="spellEnd"/>
      <w:r>
        <w:t xml:space="preserve">, </w:t>
      </w:r>
      <w:proofErr w:type="spellStart"/>
      <w:r>
        <w:t>frisbee</w:t>
      </w:r>
      <w:proofErr w:type="spellEnd"/>
      <w:r>
        <w:t xml:space="preserve">, golfu, hasičského sportu, historického šermu, </w:t>
      </w:r>
      <w:proofErr w:type="spellStart"/>
      <w:r>
        <w:t>intercrossu</w:t>
      </w:r>
      <w:proofErr w:type="spellEnd"/>
      <w:r>
        <w:t xml:space="preserve">, jachtingu, jezdectví psích spřežení, kanoistiky, krasobruslení, kriketu, kulečníku, kulturistiku, kuželek, </w:t>
      </w:r>
      <w:proofErr w:type="spellStart"/>
      <w:r>
        <w:t>lacrossu</w:t>
      </w:r>
      <w:proofErr w:type="spellEnd"/>
      <w:r>
        <w:t xml:space="preserve">, lukostřelby, mažoretek, metané, minigolfu, moderní gymnastiky, orientačního běhu, </w:t>
      </w:r>
      <w:proofErr w:type="spellStart"/>
      <w:r>
        <w:t>paint</w:t>
      </w:r>
      <w:proofErr w:type="spellEnd"/>
      <w:r>
        <w:t>-</w:t>
      </w:r>
      <w:proofErr w:type="spellStart"/>
      <w:r>
        <w:t>ballu</w:t>
      </w:r>
      <w:proofErr w:type="spellEnd"/>
      <w:r>
        <w:t xml:space="preserve">, páky - přetlačování rukou, </w:t>
      </w:r>
      <w:proofErr w:type="spellStart"/>
      <w:r>
        <w:t>petanque</w:t>
      </w:r>
      <w:proofErr w:type="spellEnd"/>
      <w:r>
        <w:t xml:space="preserve">, plavání, rekreačního potápění bez dýchacích přístrojů, rybářského sportu, rychlobruslení, </w:t>
      </w:r>
      <w:proofErr w:type="spellStart"/>
      <w:r>
        <w:t>skycrossu</w:t>
      </w:r>
      <w:proofErr w:type="spellEnd"/>
      <w:r>
        <w:t>, softballu, sportovního lezení po umělých stěnách, sportovní střelby, squashe, strečinku, stolního tenisu, šachů, šipek, tenisu, turistiky, veslování, závodů dračích lodí a závodního tance.</w:t>
      </w:r>
    </w:p>
    <w:p w:rsidR="00A058B2" w:rsidRDefault="00A058B2" w:rsidP="00A058B2">
      <w:r>
        <w:t>Do vysoce rizikové činnosti se rovněž zařazují všechny osoby, které provozují jakýkoli druh bojového umění.</w:t>
      </w:r>
    </w:p>
    <w:p w:rsidR="00A058B2" w:rsidRDefault="00A058B2" w:rsidP="009A7198">
      <w:pPr>
        <w:pStyle w:val="Nadpis3"/>
      </w:pPr>
      <w:bookmarkStart w:id="41" w:name="_Toc309717609"/>
      <w:r>
        <w:t>Sport vykonávaný jako povolání (profesionální sport - P)</w:t>
      </w:r>
      <w:bookmarkEnd w:id="41"/>
    </w:p>
    <w:p w:rsidR="00A058B2" w:rsidRDefault="00A058B2" w:rsidP="00A058B2">
      <w:r>
        <w:t>Profesionálním sportovcem se rozumí ten sportovec, který za provozování sportovní činnosti bere příjem ze závislé činnosti (pracovního poměru), nebo ten sportovec, který za provozování sportovní činnosti pobírá příjmy z nezávislé činnosti.</w:t>
      </w:r>
    </w:p>
    <w:p w:rsidR="00A058B2" w:rsidRDefault="00A058B2" w:rsidP="00A058B2">
      <w:r>
        <w:t>V případě profesionálních sportovců, lze zvolit v pojistné smlouvě dobu nezbytného léčení pouze ve variantě DNL-15.</w:t>
      </w:r>
    </w:p>
    <w:p w:rsidR="00A058B2" w:rsidRDefault="0065037D" w:rsidP="009A7198">
      <w:pPr>
        <w:pStyle w:val="Nadpis3"/>
      </w:pPr>
      <w:r>
        <w:t xml:space="preserve"> </w:t>
      </w:r>
      <w:bookmarkStart w:id="42" w:name="_Toc309717610"/>
      <w:r w:rsidR="00A058B2">
        <w:t>Senioři (S)</w:t>
      </w:r>
      <w:bookmarkEnd w:id="42"/>
    </w:p>
    <w:p w:rsidR="00A058B2" w:rsidRDefault="00A058B2" w:rsidP="00A058B2">
      <w:r>
        <w:t>U úrazového pojištění dospělých k sazbám životního pojištění je pro vstupní věk 70 let a více pojištěný zařazen do rizikové skupiny Senioři (bez ohledu na vykonávané povolání).</w:t>
      </w:r>
    </w:p>
    <w:p w:rsidR="00A058B2" w:rsidRDefault="0065037D" w:rsidP="009A7198">
      <w:pPr>
        <w:pStyle w:val="Nadpis3"/>
      </w:pPr>
      <w:r>
        <w:t xml:space="preserve"> </w:t>
      </w:r>
      <w:bookmarkStart w:id="43" w:name="_Toc309717611"/>
      <w:r w:rsidR="00A058B2">
        <w:t>Extrémní sporty (ES)</w:t>
      </w:r>
      <w:bookmarkEnd w:id="43"/>
    </w:p>
    <w:p w:rsidR="00A058B2" w:rsidRDefault="00A058B2" w:rsidP="00A058B2">
      <w:r>
        <w:t>Extrémní sporty zahrnují sporty s extrémně vysokým rizikem úrazu. Mezi extrémní sporty patří:</w:t>
      </w:r>
    </w:p>
    <w:p w:rsidR="00A058B2" w:rsidRDefault="00A058B2" w:rsidP="004F6F3E">
      <w:pPr>
        <w:pStyle w:val="Odstavecseseznamem"/>
        <w:numPr>
          <w:ilvl w:val="0"/>
          <w:numId w:val="24"/>
        </w:numPr>
      </w:pPr>
      <w:r>
        <w:lastRenderedPageBreak/>
        <w:t>vysokohorská turistika (s výjimkou expedic do nadmořské výšky 6000 m a výše nebo do Antarktidy, Arktidy a Grónska)</w:t>
      </w:r>
    </w:p>
    <w:p w:rsidR="00A058B2" w:rsidRDefault="00A058B2" w:rsidP="004F6F3E">
      <w:pPr>
        <w:pStyle w:val="Odstavecseseznamem"/>
        <w:numPr>
          <w:ilvl w:val="0"/>
          <w:numId w:val="24"/>
        </w:numPr>
      </w:pPr>
      <w:r>
        <w:t xml:space="preserve">při výkonu horolezeckého sportu (s výjimkou horolezeckých expedic do nadmořské výšky 6000 m a výše) </w:t>
      </w:r>
    </w:p>
    <w:p w:rsidR="00A058B2" w:rsidRDefault="00A058B2" w:rsidP="004F6F3E">
      <w:pPr>
        <w:pStyle w:val="Odstavecseseznamem"/>
        <w:numPr>
          <w:ilvl w:val="0"/>
          <w:numId w:val="24"/>
        </w:numPr>
      </w:pPr>
      <w:r>
        <w:t xml:space="preserve">potápění s nutností dýchacího přístroje maximálně do hloubky 40 m (s výjimkou jeskynního potápění) </w:t>
      </w:r>
    </w:p>
    <w:p w:rsidR="00A058B2" w:rsidRDefault="00A058B2" w:rsidP="004F6F3E">
      <w:pPr>
        <w:pStyle w:val="Odstavecseseznamem"/>
        <w:numPr>
          <w:ilvl w:val="0"/>
          <w:numId w:val="24"/>
        </w:numPr>
      </w:pPr>
      <w:r>
        <w:t xml:space="preserve">provozování jiných extrémních, tzv. adrenalinových sportů (s výjimkou účasti na místních, republikových </w:t>
      </w:r>
      <w:r>
        <w:tab/>
        <w:t>a  mezinárodních  závodech  a  soutěžích,  včetně  tréninků,  v  klasick</w:t>
      </w:r>
      <w:r w:rsidR="004F6F3E">
        <w:t xml:space="preserve">ém  nebo  sjezdovém  lyžování, </w:t>
      </w:r>
      <w:r>
        <w:t xml:space="preserve">snowboardingu  nebo  </w:t>
      </w:r>
      <w:proofErr w:type="spellStart"/>
      <w:r>
        <w:t>freestylingu</w:t>
      </w:r>
      <w:proofErr w:type="spellEnd"/>
      <w:r>
        <w:t xml:space="preserve">,  jízdě  na  bobech,  skibobech,  skeletonech  nebo  sáňkování;  létání </w:t>
      </w:r>
      <w:r>
        <w:tab/>
        <w:t xml:space="preserve">s bezmotorovými </w:t>
      </w:r>
      <w:r w:rsidR="004775C7">
        <w:t xml:space="preserve">letadly, </w:t>
      </w:r>
      <w:r w:rsidR="00B16ED5">
        <w:t xml:space="preserve">větroni s pomocným </w:t>
      </w:r>
      <w:r>
        <w:t xml:space="preserve">motorem  </w:t>
      </w:r>
      <w:r w:rsidR="00AE349D">
        <w:br/>
      </w:r>
      <w:r>
        <w:t xml:space="preserve">a  </w:t>
      </w:r>
      <w:proofErr w:type="spellStart"/>
      <w:r>
        <w:t>ultralehkými</w:t>
      </w:r>
      <w:proofErr w:type="spellEnd"/>
      <w:r>
        <w:t xml:space="preserve">  letadly,    závěsného  létání, paraglidingu a létání v balonech, při seskocích a letech s padákem z letadel i z výšin; řízení motorového vozidla při automobilových nebo motocyklových soutěžích a při přípravě na ně, to platí </w:t>
      </w:r>
      <w:r w:rsidR="00AE349D">
        <w:br/>
      </w:r>
      <w:r>
        <w:t>i pro spolujezdce v takovém vozidle; řízení motorového vozidla, pro něž pojištěný neměl v době pojistné události řidičské oprávnění).</w:t>
      </w:r>
    </w:p>
    <w:p w:rsidR="00A058B2" w:rsidRDefault="00A058B2" w:rsidP="00A058B2">
      <w:r>
        <w:t>V případě sjednání extrémního sportu lze zvolit v pojistné smlouvě dobu nezbytného léčení pouze ve variantě DNL-15. Extrémní sporty nejsou nabízeny v rámci úrazového pojištění dětí.</w:t>
      </w:r>
    </w:p>
    <w:p w:rsidR="00A058B2" w:rsidRDefault="00A058B2" w:rsidP="00A058B2">
      <w:r>
        <w:t>Povinnost pojištěného je oznamovat změnu povolání, zahájení či ukončení sportovní činnosti. Součástí pojistné smlouvy je výše uvedené rozdělení povolání do rizikových skupin a vymezení vysoce rizikové činnosti a doplňkové pojistné  podmínky,  týkající  se  povinnosti  pojištěného  oznamovat  pojistiteli  změny vykonávaného povolání, zahájení nebo ukončení sportovní činnosti, které mohou mít vliv na výši pojistného. Změna mající vliv na výši pojistného je účinná od nejbližší splatnosti pojistného následující po doručení sdělení pojistiteli. Není-li ten, kdo je pojištěn zároveň pojistníkem, má tyto povinnosti pojistník. V pojistné smlouvě jsou uvedeny důsledky porušení této povinnosti.</w:t>
      </w:r>
    </w:p>
    <w:p w:rsidR="00A058B2" w:rsidRDefault="00A058B2" w:rsidP="00A058B2"/>
    <w:p w:rsidR="00A058B2" w:rsidRDefault="004F6BAB" w:rsidP="009A7198">
      <w:pPr>
        <w:pStyle w:val="Nadpis3"/>
      </w:pPr>
      <w:r>
        <w:lastRenderedPageBreak/>
        <w:t xml:space="preserve"> </w:t>
      </w:r>
      <w:bookmarkStart w:id="44" w:name="_Toc309717612"/>
      <w:r w:rsidR="009A7198">
        <w:t>Zásady</w:t>
      </w:r>
      <w:r w:rsidR="00A058B2">
        <w:t xml:space="preserve"> </w:t>
      </w:r>
      <w:r w:rsidR="009A7198">
        <w:t>pro</w:t>
      </w:r>
      <w:r w:rsidR="00A058B2">
        <w:t xml:space="preserve"> </w:t>
      </w:r>
      <w:r w:rsidR="009A7198">
        <w:t>výplatu</w:t>
      </w:r>
      <w:r w:rsidR="00A058B2">
        <w:t xml:space="preserve"> </w:t>
      </w:r>
      <w:r w:rsidR="009A7198">
        <w:t>pojistného plnění</w:t>
      </w:r>
      <w:r w:rsidR="004F6F3E">
        <w:t xml:space="preserve"> </w:t>
      </w:r>
      <w:r w:rsidR="009A7198">
        <w:t>s ohledem</w:t>
      </w:r>
      <w:r w:rsidR="00A058B2">
        <w:t xml:space="preserve"> </w:t>
      </w:r>
      <w:r w:rsidR="009A7198">
        <w:t>na</w:t>
      </w:r>
      <w:r w:rsidR="00A058B2">
        <w:t xml:space="preserve"> </w:t>
      </w:r>
      <w:r w:rsidR="009A7198">
        <w:t>zařazení</w:t>
      </w:r>
      <w:r w:rsidR="00A058B2">
        <w:t xml:space="preserve"> </w:t>
      </w:r>
      <w:r w:rsidR="009A7198">
        <w:t>do rizikových</w:t>
      </w:r>
      <w:r w:rsidR="00A058B2">
        <w:t xml:space="preserve"> </w:t>
      </w:r>
      <w:r w:rsidR="009A7198">
        <w:t>skupin</w:t>
      </w:r>
      <w:bookmarkEnd w:id="44"/>
    </w:p>
    <w:p w:rsidR="00A058B2" w:rsidRDefault="00A058B2" w:rsidP="00A058B2">
      <w:r>
        <w:t>Tiskopis „Oznámení pojistné události z úrazového pojištění“ obsahuje dotazy, týkající se pracovní činnosti v rámci povolání a sportovní činnosti, které v období úrazu pojištěný vykonával. Rovněž je nutno vyplnit čísla všech pojištění, která má pojištěný sjednána.</w:t>
      </w:r>
    </w:p>
    <w:p w:rsidR="00A058B2" w:rsidRDefault="00A058B2" w:rsidP="00A058B2">
      <w:r>
        <w:t>V případě pojistné události bude vyplaceno pojistné plnění podle těchto zásad:</w:t>
      </w:r>
    </w:p>
    <w:p w:rsidR="00A058B2" w:rsidRPr="009A7198" w:rsidRDefault="00A058B2" w:rsidP="00A058B2">
      <w:pPr>
        <w:rPr>
          <w:b/>
        </w:rPr>
      </w:pPr>
      <w:r w:rsidRPr="009A7198">
        <w:rPr>
          <w:b/>
        </w:rPr>
        <w:t>Úrazové pojištění dospělých:</w:t>
      </w:r>
    </w:p>
    <w:p w:rsidR="00A058B2" w:rsidRDefault="00A058B2" w:rsidP="009A7198">
      <w:pPr>
        <w:pStyle w:val="Odstavecseseznamem"/>
        <w:numPr>
          <w:ilvl w:val="0"/>
          <w:numId w:val="33"/>
        </w:numPr>
      </w:pPr>
      <w:r>
        <w:t>Bez ohledu na to, při jaké činnosti k úrazu došlo, pojistitel sníží pojistné plnění za úraz v poměru výše pojistného, které bylo placeno, ke správné výši pojistného, jestliže pojištěný v době úrazu měl být zařazen vzhledem k vykonávanému povolání do rizikové skupiny 2, resp. 3 nebo vykonával sport patřící mezi vysoce rizikovou činnost nebo vykonával sport jako profesionální sportovec a neplatil pojistné ve správné výši.</w:t>
      </w:r>
    </w:p>
    <w:p w:rsidR="00A058B2" w:rsidRDefault="00A058B2" w:rsidP="009A7198">
      <w:pPr>
        <w:pStyle w:val="Odstavecseseznamem"/>
        <w:numPr>
          <w:ilvl w:val="0"/>
          <w:numId w:val="33"/>
        </w:numPr>
      </w:pPr>
      <w:r>
        <w:t>Pojistitel nebude snižovat pojistné plnění podle předchozího bodu, pokud dojde následkem úrazu ke smrti pojištěného.</w:t>
      </w:r>
    </w:p>
    <w:p w:rsidR="00A058B2" w:rsidRDefault="00A058B2" w:rsidP="009A7198">
      <w:pPr>
        <w:pStyle w:val="Odstavecseseznamem"/>
        <w:numPr>
          <w:ilvl w:val="0"/>
          <w:numId w:val="33"/>
        </w:numPr>
      </w:pPr>
      <w:r>
        <w:t>Bez ohledu na to, při jaké činnosti k úrazu došlo, pojistitel nebude pojistné plnění zvyšovat, jestliže pojištěný již nevykonával povolání, pro které byl zařazen do RS 2, resp. 3, resp. nevykonával sport patřící mezi vysoce rizikovou činnost nebo vykonával sport jako profesionální sportovec a platil vyšší pojistné, než měl platit. Přeplacené pojistné se v tomto případě nevrací.</w:t>
      </w:r>
    </w:p>
    <w:p w:rsidR="00A058B2" w:rsidRDefault="00A058B2" w:rsidP="009A7198">
      <w:pPr>
        <w:pStyle w:val="Odstavecseseznamem"/>
        <w:numPr>
          <w:ilvl w:val="0"/>
          <w:numId w:val="33"/>
        </w:numPr>
      </w:pPr>
      <w:r>
        <w:t xml:space="preserve">Pojistitel není povinen z pojistné smlouvy plnit, jestliže pojištěný neodpověděl pravdivě a úplně na písemné dotazy pojistitele týkající se zdravotního stavu </w:t>
      </w:r>
      <w:r w:rsidR="004775C7">
        <w:br/>
      </w:r>
      <w:r>
        <w:t>a dříve sjednaných pojištění a tím způsobil, že pojištění bylo sjednáno za jiných podmínek, než za nichž mělo být sjednáno.</w:t>
      </w:r>
    </w:p>
    <w:p w:rsidR="00A058B2" w:rsidRDefault="00A058B2" w:rsidP="00A058B2"/>
    <w:p w:rsidR="004F6BAB" w:rsidRDefault="004F6BAB" w:rsidP="00A058B2"/>
    <w:p w:rsidR="004F6BAB" w:rsidRDefault="004F6BAB" w:rsidP="00A058B2"/>
    <w:p w:rsidR="00A058B2" w:rsidRPr="00DE1137" w:rsidRDefault="00A058B2" w:rsidP="00A058B2">
      <w:r w:rsidRPr="00DE1137">
        <w:lastRenderedPageBreak/>
        <w:t>Úrazové pojištění dětí a mládeže:</w:t>
      </w:r>
    </w:p>
    <w:p w:rsidR="00A058B2" w:rsidRDefault="00A058B2" w:rsidP="009A7198">
      <w:pPr>
        <w:pStyle w:val="Odstavecseseznamem"/>
        <w:numPr>
          <w:ilvl w:val="0"/>
          <w:numId w:val="34"/>
        </w:numPr>
      </w:pPr>
      <w:r>
        <w:t xml:space="preserve">Dojde-li k úrazu při tréninku nebo výkonu sportu, který patří do skupiny vysoce rizikové činnosti: </w:t>
      </w:r>
    </w:p>
    <w:p w:rsidR="00A058B2" w:rsidRDefault="00A058B2" w:rsidP="009A7198">
      <w:pPr>
        <w:pStyle w:val="Odstavecseseznamem"/>
        <w:numPr>
          <w:ilvl w:val="1"/>
          <w:numId w:val="35"/>
        </w:numPr>
      </w:pPr>
      <w:r>
        <w:t>pojistitel plní v rozsahu pojistné smlouvy, pokud k úrazu došlo před dosažením nebo v den dosažení 15 let věku dítěte.</w:t>
      </w:r>
    </w:p>
    <w:p w:rsidR="00A058B2" w:rsidRDefault="00A058B2" w:rsidP="009A7198">
      <w:pPr>
        <w:pStyle w:val="Odstavecseseznamem"/>
        <w:numPr>
          <w:ilvl w:val="1"/>
          <w:numId w:val="35"/>
        </w:numPr>
      </w:pPr>
      <w:r>
        <w:t>pojistitel neplní za trvalé následky úrazu, dobu nezbytného léčení a denní plnění pro případ hospitalizace následkem úrazu, pokud bylo pojištěné dítě v den úrazu starší 15 let. Za smrt následkem úrazu se plní.</w:t>
      </w:r>
    </w:p>
    <w:p w:rsidR="00220965" w:rsidRDefault="00A058B2" w:rsidP="009A7198">
      <w:pPr>
        <w:pStyle w:val="Odstavecseseznamem"/>
        <w:numPr>
          <w:ilvl w:val="0"/>
          <w:numId w:val="34"/>
        </w:numPr>
      </w:pPr>
      <w:r>
        <w:t xml:space="preserve">Jestliže pojistník neodpověděl pravdivě a úplně na písemné dotazy pojistitele, týkající se zdravotního stavu dítěte a tím způsobil, že pojistitel vyplatil plnění, které by při pravdivé odpovědi vyplaceno nebylo, je povinen uhradit pojistiteli </w:t>
      </w:r>
    </w:p>
    <w:p w:rsidR="00220965" w:rsidRDefault="00A058B2" w:rsidP="00220965">
      <w:pPr>
        <w:pStyle w:val="Odstavecseseznamem"/>
      </w:pPr>
      <w:r>
        <w:t>částku ve výši tohoto plnění.</w:t>
      </w:r>
    </w:p>
    <w:p w:rsidR="00220965" w:rsidRDefault="00220965" w:rsidP="00220965">
      <w:pPr>
        <w:pStyle w:val="Nadpis2"/>
      </w:pPr>
      <w:bookmarkStart w:id="45" w:name="_Toc309717613"/>
      <w:r>
        <w:t>Konkurenční produkty PRODUKTU XY</w:t>
      </w:r>
      <w:bookmarkEnd w:id="45"/>
    </w:p>
    <w:p w:rsidR="00220965" w:rsidRPr="006B4457" w:rsidRDefault="00220965" w:rsidP="006B4457">
      <w:pPr>
        <w:rPr>
          <w:b/>
        </w:rPr>
      </w:pPr>
      <w:r w:rsidRPr="006B4457">
        <w:rPr>
          <w:b/>
        </w:rPr>
        <w:t>výhody u konkurenčních produktů oproti PRODUKTU XY:</w:t>
      </w:r>
    </w:p>
    <w:p w:rsidR="00220965" w:rsidRDefault="00220965" w:rsidP="00220965">
      <w:pPr>
        <w:pStyle w:val="Odstavecseseznamem"/>
        <w:numPr>
          <w:ilvl w:val="0"/>
          <w:numId w:val="36"/>
        </w:numPr>
      </w:pPr>
      <w:r>
        <w:t>Nižší cena za pojistné (marže)</w:t>
      </w:r>
    </w:p>
    <w:p w:rsidR="00220965" w:rsidRDefault="00220965" w:rsidP="00220965">
      <w:pPr>
        <w:pStyle w:val="Odstavecseseznamem"/>
        <w:numPr>
          <w:ilvl w:val="0"/>
          <w:numId w:val="36"/>
        </w:numPr>
      </w:pPr>
      <w:r>
        <w:t>Sleva na pojistném za počet osob pojištěných na jedné smlouvě</w:t>
      </w:r>
    </w:p>
    <w:p w:rsidR="00220965" w:rsidRDefault="00220965" w:rsidP="00220965">
      <w:pPr>
        <w:pStyle w:val="Odstavecseseznamem"/>
        <w:numPr>
          <w:ilvl w:val="0"/>
          <w:numId w:val="36"/>
        </w:numPr>
      </w:pPr>
      <w:r>
        <w:t>Sleva na pojistném v případě, že nedojde k pojistné události</w:t>
      </w:r>
    </w:p>
    <w:p w:rsidR="00220965" w:rsidRDefault="00220965" w:rsidP="00220965">
      <w:pPr>
        <w:pStyle w:val="Odstavecseseznamem"/>
        <w:numPr>
          <w:ilvl w:val="0"/>
          <w:numId w:val="36"/>
        </w:numPr>
      </w:pPr>
      <w:r>
        <w:t>Volba jednoho rizika zdarma</w:t>
      </w:r>
    </w:p>
    <w:p w:rsidR="00220965" w:rsidRDefault="00220965" w:rsidP="00220965">
      <w:pPr>
        <w:pStyle w:val="Odstavecseseznamem"/>
        <w:numPr>
          <w:ilvl w:val="0"/>
          <w:numId w:val="36"/>
        </w:numPr>
      </w:pPr>
      <w:r>
        <w:t>Nerozlišují se dospělí a děti (např. úrazové připojištění)</w:t>
      </w:r>
    </w:p>
    <w:p w:rsidR="00220965" w:rsidRDefault="00220965" w:rsidP="00220965">
      <w:pPr>
        <w:pStyle w:val="Odstavecseseznamem"/>
        <w:numPr>
          <w:ilvl w:val="0"/>
          <w:numId w:val="36"/>
        </w:numPr>
      </w:pPr>
      <w:r>
        <w:t xml:space="preserve">U denního odškodného dostává klient </w:t>
      </w:r>
      <w:proofErr w:type="spellStart"/>
      <w:r>
        <w:t>odškoděnní</w:t>
      </w:r>
      <w:proofErr w:type="spellEnd"/>
      <w:r>
        <w:t xml:space="preserve"> ihned, nemusí čekat do doby vyléčení</w:t>
      </w:r>
    </w:p>
    <w:p w:rsidR="00220965" w:rsidRDefault="00220965" w:rsidP="00220965">
      <w:pPr>
        <w:pStyle w:val="Odstavecseseznamem"/>
        <w:numPr>
          <w:ilvl w:val="0"/>
          <w:numId w:val="36"/>
        </w:numPr>
      </w:pPr>
      <w:r>
        <w:t>Pojištění bez zdravotní prohlídky</w:t>
      </w:r>
    </w:p>
    <w:p w:rsidR="00220965" w:rsidRDefault="00220965" w:rsidP="00220965">
      <w:pPr>
        <w:pStyle w:val="Odstavecseseznamem"/>
        <w:numPr>
          <w:ilvl w:val="0"/>
          <w:numId w:val="36"/>
        </w:numPr>
      </w:pPr>
      <w:r>
        <w:t>Garance celkového zhodnocení vložených finančních prostředků</w:t>
      </w:r>
    </w:p>
    <w:p w:rsidR="00220965" w:rsidRDefault="00220965" w:rsidP="00220965">
      <w:pPr>
        <w:pStyle w:val="Odstavecseseznamem"/>
        <w:numPr>
          <w:ilvl w:val="0"/>
          <w:numId w:val="36"/>
        </w:numPr>
      </w:pPr>
      <w:r>
        <w:t xml:space="preserve">Transparentní poplatková politika </w:t>
      </w:r>
    </w:p>
    <w:p w:rsidR="00220965" w:rsidRDefault="00220965" w:rsidP="00220965">
      <w:pPr>
        <w:pStyle w:val="Odstavecseseznamem"/>
        <w:numPr>
          <w:ilvl w:val="0"/>
          <w:numId w:val="36"/>
        </w:numPr>
      </w:pPr>
      <w:r>
        <w:t>Zproštění od placení pojistného při pracovní neschopnosti</w:t>
      </w:r>
    </w:p>
    <w:p w:rsidR="00220965" w:rsidRPr="001A6DE7" w:rsidRDefault="00220965" w:rsidP="00220965">
      <w:pPr>
        <w:pStyle w:val="Odstavecseseznamem"/>
        <w:numPr>
          <w:ilvl w:val="0"/>
          <w:numId w:val="36"/>
        </w:numPr>
      </w:pPr>
      <w:r>
        <w:t>Garance vyplacení 100% vložené investice, výše výnosu není omezena</w:t>
      </w:r>
    </w:p>
    <w:p w:rsidR="006E4F07" w:rsidRDefault="006E4F07">
      <w:pPr>
        <w:spacing w:after="0" w:line="240" w:lineRule="auto"/>
        <w:jc w:val="left"/>
        <w:rPr>
          <w:b/>
          <w:bCs/>
          <w:sz w:val="32"/>
          <w:szCs w:val="40"/>
        </w:rPr>
      </w:pPr>
      <w:r>
        <w:br w:type="page"/>
      </w:r>
    </w:p>
    <w:p w:rsidR="00990CF5" w:rsidRPr="003B0FCB" w:rsidRDefault="00990CF5" w:rsidP="00230DD1">
      <w:pPr>
        <w:pStyle w:val="Nadpis1"/>
      </w:pPr>
      <w:bookmarkStart w:id="46" w:name="_Toc309717614"/>
      <w:r w:rsidRPr="003B0FCB">
        <w:lastRenderedPageBreak/>
        <w:t>Závěr</w:t>
      </w:r>
      <w:bookmarkEnd w:id="46"/>
    </w:p>
    <w:p w:rsidR="00624561" w:rsidRDefault="00624561" w:rsidP="00624561">
      <w:r>
        <w:t xml:space="preserve">Analýza je prováděna u životního produktu </w:t>
      </w:r>
      <w:r w:rsidR="00203A95">
        <w:t>PRODUKT XY</w:t>
      </w:r>
      <w:r>
        <w:t xml:space="preserve"> dle věkových kategorií tj. mladí do 30 let, dospělí 31-40 let, generace 41-50 let a 51+.  Tento produkt životního pojištění byl uveden na trh v ČR na začátku roku 2010 a analýza dat je provedena za období 12 měsíců.</w:t>
      </w:r>
    </w:p>
    <w:p w:rsidR="00624561" w:rsidRDefault="00624561" w:rsidP="00624561">
      <w:r>
        <w:t xml:space="preserve">V případě pojištění rizika pro případ smrti u produktu životního pojištění </w:t>
      </w:r>
      <w:r w:rsidR="00203A95">
        <w:t>PRODUKT XY</w:t>
      </w:r>
      <w:r>
        <w:t xml:space="preserve"> by byla vyplacena nejvyšší průměrná pojistná částka věkové kategorii 31-40 let, nejméně by pak bylo vyplaceno věkové skupině 51+, kde by vyplacená pojistná částka byla zhruba třetinová. </w:t>
      </w:r>
    </w:p>
    <w:p w:rsidR="00624561" w:rsidRDefault="00624561" w:rsidP="00624561">
      <w:r>
        <w:t xml:space="preserve">Z hlediska počtu klientů je produkt životního pojištění </w:t>
      </w:r>
      <w:r w:rsidR="00203A95">
        <w:t>PRODUKT XY</w:t>
      </w:r>
      <w:r>
        <w:t xml:space="preserve">, jak vyplývá </w:t>
      </w:r>
      <w:r w:rsidR="00B41D18">
        <w:br/>
      </w:r>
      <w:r>
        <w:t xml:space="preserve">z grafů, nejvíce sjednáván u věkové kategorie do 30 let, ostatní věkové kategorie jsou </w:t>
      </w:r>
      <w:r w:rsidR="00B41D18">
        <w:br/>
      </w:r>
      <w:r>
        <w:t>v počtu uzavřených pojistek zhruba na polovičním počtu než věková skupina mladí do 30 let.</w:t>
      </w:r>
    </w:p>
    <w:p w:rsidR="00624561" w:rsidRDefault="00624561" w:rsidP="00624561">
      <w:r>
        <w:t xml:space="preserve">Na průměrném </w:t>
      </w:r>
      <w:r w:rsidR="009D1954">
        <w:t xml:space="preserve">ročně </w:t>
      </w:r>
      <w:r>
        <w:t xml:space="preserve">placeném pojistném za produkt životního pojištění </w:t>
      </w:r>
      <w:r w:rsidR="00203A95">
        <w:t>PRODUKT XY</w:t>
      </w:r>
      <w:r>
        <w:t xml:space="preserve"> mají sjednány všechny věkové skupiny zhruba stejnou roční finanční částku.</w:t>
      </w:r>
    </w:p>
    <w:p w:rsidR="00624561" w:rsidRDefault="00624561" w:rsidP="00624561">
      <w:r>
        <w:t xml:space="preserve">Nejčastěji bylo uzavírání produktu životního pojištění </w:t>
      </w:r>
      <w:r w:rsidR="00203A95">
        <w:t>PRODUKT XY</w:t>
      </w:r>
      <w:r>
        <w:t xml:space="preserve"> ve věkové skupině do 30 let, nejmarkantnější počet uzavřených pojistek byl konkrétně sjednán </w:t>
      </w:r>
      <w:r w:rsidR="00B41D18">
        <w:br/>
      </w:r>
      <w:r>
        <w:t>u 19-</w:t>
      </w:r>
      <w:proofErr w:type="spellStart"/>
      <w:r>
        <w:t>letých</w:t>
      </w:r>
      <w:proofErr w:type="spellEnd"/>
      <w:r>
        <w:t xml:space="preserve">, kde je dle mého soudu jednoznačným faktorem první vlastní výdělek </w:t>
      </w:r>
      <w:r w:rsidR="00B41D18">
        <w:br/>
      </w:r>
      <w:r>
        <w:t xml:space="preserve">v prvním zaměstnání či podnikání po ukončení středoškolského studia. </w:t>
      </w:r>
      <w:r w:rsidR="009D1954">
        <w:t xml:space="preserve">Dále pak překlopení životních pojistek z jednoho produktu na jiný tj. </w:t>
      </w:r>
      <w:r w:rsidR="003C28B2">
        <w:t>např. z dětského pojištění Sluníčko</w:t>
      </w:r>
      <w:r w:rsidR="00591ADA">
        <w:t xml:space="preserve">, který je </w:t>
      </w:r>
      <w:r w:rsidR="006A0397">
        <w:t xml:space="preserve">ukončován ve věku 18 let dítěte, </w:t>
      </w:r>
      <w:r w:rsidR="003C28B2">
        <w:t xml:space="preserve">na produkt životního pojištění </w:t>
      </w:r>
      <w:r w:rsidR="00203A95">
        <w:t>PRODUKT XY</w:t>
      </w:r>
      <w:r w:rsidR="003C28B2">
        <w:t>.</w:t>
      </w:r>
      <w:r w:rsidR="009D1954">
        <w:t xml:space="preserve"> </w:t>
      </w:r>
    </w:p>
    <w:p w:rsidR="00624561" w:rsidRDefault="00624561" w:rsidP="00624561">
      <w:r>
        <w:t xml:space="preserve">Produkt životního pojištění </w:t>
      </w:r>
      <w:r w:rsidR="00203A95">
        <w:t>PRODUKT XY</w:t>
      </w:r>
      <w:r>
        <w:t>, jak už bylo řečeno v úvodu práce, je produkt životního pojištění s povinným pojištěním rizika pro případ smrti nebo dožití se určitého věku. Kromě této povinné složky pojištění lze sjednat i další doplňková pojištění jiných rizik. Sjednávání pojištění pro krytí rizika tzv. závažných anebo kritických onemocnění se u žádné věkové kategori</w:t>
      </w:r>
      <w:r w:rsidR="003C28B2">
        <w:t xml:space="preserve">e </w:t>
      </w:r>
      <w:r>
        <w:t xml:space="preserve">téměř nevyužil, jde o velmi malé procento využití cca 5%. Naopak sjednávání úrazového pojištění je velmi významnou složkou produktu životního pojištění </w:t>
      </w:r>
      <w:r w:rsidR="00203A95">
        <w:t>PRODUKT XY</w:t>
      </w:r>
      <w:r>
        <w:t xml:space="preserve">. Více než dvě třetiny sjednaných </w:t>
      </w:r>
      <w:r>
        <w:lastRenderedPageBreak/>
        <w:t xml:space="preserve">pojistek tvoří doplňkové úrazové pojištění, a to ve všech věkových kategoriích. Jedná se zejména o krytí rizika za smrt následkem úrazu, za trvalé následky úrazu a za nezbytné léčení tělesného poškození způsobeného úrazem. </w:t>
      </w:r>
    </w:p>
    <w:p w:rsidR="00624561" w:rsidRDefault="00624561" w:rsidP="00624561">
      <w:r>
        <w:t xml:space="preserve">Produkt životního pojištění </w:t>
      </w:r>
      <w:r w:rsidR="00203A95">
        <w:t>PRODUKT XY</w:t>
      </w:r>
      <w:r>
        <w:t xml:space="preserve"> z hlediska sjednávání z pohledu pohlaví má v cyklu klienta měnící se vývoj. U věkové kategorie do 30 let a 31-40 let podstatně převládá počet pojistek u mužů, což je dáno dle mého soudu následujícími faktory. Jednak v tomto věku se stávají muži v mnoha případech jedinými živiteli rodiny (žena </w:t>
      </w:r>
      <w:r w:rsidR="00B41D18">
        <w:br/>
      </w:r>
      <w:r>
        <w:t>s dětmi na mateřské a rodičovské dovolené) a jednak muži zastávají podle mého názoru</w:t>
      </w:r>
      <w:r w:rsidR="00F53769">
        <w:t xml:space="preserve"> rizikovější povolání než ženy. </w:t>
      </w:r>
      <w:r w:rsidR="00FE5657">
        <w:t>Naopak u věkových kategori</w:t>
      </w:r>
      <w:r>
        <w:t>ích</w:t>
      </w:r>
      <w:r w:rsidR="00F53769">
        <w:t xml:space="preserve"> </w:t>
      </w:r>
      <w:r>
        <w:t xml:space="preserve">41-50 let a 51+  je mírný převis sjednaných životních pojistek u ženského pohlaví. Vysvětlení vidím v tom, že ženy v tomto pozdějším věku se také snaží finančně zabezpečit a zajistit proti případným rizikům. Jednak jejich průměrná délka života je vyšší než průměrná délka života u mužů a jednak je také možná i situace samostatného zabezpečení a zajištění např. v případě rozvodu, nemoci partnera apod.      </w:t>
      </w:r>
    </w:p>
    <w:p w:rsidR="00BB5120" w:rsidRDefault="00624561" w:rsidP="00624561">
      <w:r>
        <w:t xml:space="preserve">Jak již bylo analyzováno výše, nejčastěji byly uzavírány pojistky u věkové kategorie do 30 let, což vyplývá i z grafické analýzy dle rizikových skupin RS1, RS2 a RS3, kde je </w:t>
      </w:r>
      <w:r w:rsidR="00B41D18">
        <w:br/>
      </w:r>
      <w:r>
        <w:t xml:space="preserve">z grafů jasně vidět, že opět nejvyšší počet uzavřených pojistek byl u věkové skupiny </w:t>
      </w:r>
      <w:r w:rsidR="00B41D18">
        <w:br/>
      </w:r>
      <w:r>
        <w:t>do 30 let, ostatní věkové kategorie jsou v počtu sjednaných pojistek zhruba na polovičním počtu klientů než věková skupina mladí do 30 let.</w:t>
      </w:r>
    </w:p>
    <w:p w:rsidR="00624561" w:rsidRDefault="00624561">
      <w:pPr>
        <w:spacing w:after="0" w:line="240" w:lineRule="auto"/>
        <w:jc w:val="left"/>
        <w:rPr>
          <w:b/>
          <w:bCs/>
          <w:sz w:val="32"/>
          <w:szCs w:val="40"/>
        </w:rPr>
      </w:pPr>
      <w:r>
        <w:br w:type="page"/>
      </w:r>
    </w:p>
    <w:p w:rsidR="00CA5CD4" w:rsidRPr="00CA5CD4" w:rsidRDefault="0001702C" w:rsidP="00CA5CD4">
      <w:pPr>
        <w:pStyle w:val="Nadpis1"/>
        <w:numPr>
          <w:ilvl w:val="0"/>
          <w:numId w:val="0"/>
        </w:numPr>
        <w:ind w:left="360" w:hanging="360"/>
      </w:pPr>
      <w:bookmarkStart w:id="47" w:name="_Toc309717615"/>
      <w:r>
        <w:lastRenderedPageBreak/>
        <w:t>Literatura</w:t>
      </w:r>
      <w:bookmarkEnd w:id="47"/>
    </w:p>
    <w:p w:rsidR="00645065" w:rsidRDefault="00645065" w:rsidP="00CA5CD4">
      <w:pPr>
        <w:rPr>
          <w:b/>
        </w:rPr>
      </w:pPr>
      <w:r>
        <w:rPr>
          <w:b/>
        </w:rPr>
        <w:t>Primární zdroje</w:t>
      </w:r>
    </w:p>
    <w:p w:rsidR="00645065" w:rsidRDefault="00645065" w:rsidP="00645065">
      <w:pPr>
        <w:pStyle w:val="Literatura-text"/>
      </w:pPr>
      <w:r>
        <w:t>Zákon č. 277/2009 Sb., o pojišťovnictví</w:t>
      </w:r>
    </w:p>
    <w:p w:rsidR="00645065" w:rsidRDefault="00645065" w:rsidP="00645065">
      <w:pPr>
        <w:pStyle w:val="Literatura-text"/>
      </w:pPr>
      <w:r>
        <w:t>Zákon č. 37/2004 Sb., o pojistné smlouvě</w:t>
      </w:r>
    </w:p>
    <w:p w:rsidR="00645065" w:rsidRDefault="00645065" w:rsidP="00645065">
      <w:pPr>
        <w:pStyle w:val="Literatura-text"/>
      </w:pPr>
      <w:r>
        <w:t>Zákon č. 262/2006 Sb., zákoník práce, v platném znění</w:t>
      </w:r>
    </w:p>
    <w:p w:rsidR="002364FE" w:rsidRDefault="002364FE" w:rsidP="00645065">
      <w:pPr>
        <w:pStyle w:val="Literatura-text"/>
      </w:pPr>
      <w:r>
        <w:t>Interní zdroje Pojišťovny XY</w:t>
      </w:r>
    </w:p>
    <w:p w:rsidR="00CA5CD4" w:rsidRDefault="00CA5CD4" w:rsidP="00CA5CD4">
      <w:pPr>
        <w:rPr>
          <w:b/>
        </w:rPr>
      </w:pPr>
      <w:r w:rsidRPr="00B36588">
        <w:rPr>
          <w:b/>
        </w:rPr>
        <w:t>Internetové zdroje</w:t>
      </w:r>
    </w:p>
    <w:p w:rsidR="00CA5CD4" w:rsidRDefault="00CA5CD4" w:rsidP="00CA5CD4">
      <w:pPr>
        <w:autoSpaceDE w:val="0"/>
        <w:autoSpaceDN w:val="0"/>
        <w:adjustRightInd w:val="0"/>
        <w:spacing w:after="0" w:line="240" w:lineRule="auto"/>
        <w:jc w:val="left"/>
        <w:rPr>
          <w:szCs w:val="24"/>
        </w:rPr>
      </w:pPr>
      <w:bookmarkStart w:id="48" w:name="_GoBack"/>
      <w:bookmarkEnd w:id="48"/>
      <w:r w:rsidRPr="00556BA7">
        <w:rPr>
          <w:i/>
          <w:iCs/>
          <w:szCs w:val="24"/>
        </w:rPr>
        <w:t>Generali.CZ</w:t>
      </w:r>
      <w:r w:rsidRPr="00556BA7">
        <w:rPr>
          <w:szCs w:val="24"/>
        </w:rPr>
        <w:t xml:space="preserve"> [online]. 2009 [cit. 2011-06-28]. </w:t>
      </w:r>
      <w:proofErr w:type="spellStart"/>
      <w:r w:rsidRPr="00556BA7">
        <w:rPr>
          <w:szCs w:val="24"/>
        </w:rPr>
        <w:t>Generali</w:t>
      </w:r>
      <w:proofErr w:type="spellEnd"/>
      <w:r w:rsidRPr="00556BA7">
        <w:rPr>
          <w:szCs w:val="24"/>
        </w:rPr>
        <w:t xml:space="preserve"> Pojišťovna a.s. © 2009. Dostupné z WWW: &lt;http://www.generali.cz&gt;.</w:t>
      </w:r>
    </w:p>
    <w:p w:rsidR="00CA5CD4" w:rsidRPr="00556BA7" w:rsidRDefault="00CA5CD4" w:rsidP="00CA5CD4">
      <w:pPr>
        <w:autoSpaceDE w:val="0"/>
        <w:autoSpaceDN w:val="0"/>
        <w:adjustRightInd w:val="0"/>
        <w:spacing w:after="0" w:line="240" w:lineRule="auto"/>
        <w:jc w:val="left"/>
        <w:rPr>
          <w:szCs w:val="24"/>
        </w:rPr>
      </w:pPr>
    </w:p>
    <w:p w:rsidR="00CA5CD4" w:rsidRDefault="00CA5CD4" w:rsidP="00CA5CD4">
      <w:pPr>
        <w:autoSpaceDE w:val="0"/>
        <w:autoSpaceDN w:val="0"/>
        <w:adjustRightInd w:val="0"/>
        <w:spacing w:after="0" w:line="240" w:lineRule="auto"/>
        <w:jc w:val="left"/>
        <w:rPr>
          <w:szCs w:val="24"/>
        </w:rPr>
      </w:pPr>
      <w:r w:rsidRPr="00556BA7">
        <w:rPr>
          <w:i/>
          <w:iCs/>
          <w:szCs w:val="24"/>
        </w:rPr>
        <w:t>Ceskapojistovna.cz</w:t>
      </w:r>
      <w:r w:rsidRPr="00556BA7">
        <w:rPr>
          <w:szCs w:val="24"/>
        </w:rPr>
        <w:t xml:space="preserve"> [online]. 2008 [cit. 2011-06-28]. </w:t>
      </w:r>
      <w:r w:rsidR="00CA18FD">
        <w:rPr>
          <w:szCs w:val="24"/>
        </w:rPr>
        <w:t xml:space="preserve">Česká </w:t>
      </w:r>
      <w:r w:rsidR="00530BB8">
        <w:rPr>
          <w:szCs w:val="24"/>
        </w:rPr>
        <w:t>pojišťovna</w:t>
      </w:r>
      <w:r w:rsidRPr="00556BA7">
        <w:rPr>
          <w:szCs w:val="24"/>
        </w:rPr>
        <w:t xml:space="preserve"> a. s. Dostupné z WWW: &lt;http://www.ceskapojistovna.cz&gt;.</w:t>
      </w:r>
    </w:p>
    <w:p w:rsidR="00CA5CD4" w:rsidRDefault="00CA5CD4" w:rsidP="00CA5CD4">
      <w:pPr>
        <w:autoSpaceDE w:val="0"/>
        <w:autoSpaceDN w:val="0"/>
        <w:adjustRightInd w:val="0"/>
        <w:spacing w:after="0" w:line="240" w:lineRule="auto"/>
        <w:jc w:val="left"/>
        <w:rPr>
          <w:szCs w:val="24"/>
        </w:rPr>
      </w:pPr>
    </w:p>
    <w:p w:rsidR="00CA5CD4" w:rsidRPr="00556BA7" w:rsidRDefault="00CA5CD4" w:rsidP="00CA5CD4">
      <w:pPr>
        <w:autoSpaceDE w:val="0"/>
        <w:autoSpaceDN w:val="0"/>
        <w:adjustRightInd w:val="0"/>
        <w:spacing w:after="0" w:line="240" w:lineRule="auto"/>
        <w:jc w:val="left"/>
        <w:rPr>
          <w:szCs w:val="24"/>
        </w:rPr>
      </w:pPr>
      <w:r w:rsidRPr="00556BA7">
        <w:rPr>
          <w:i/>
          <w:iCs/>
          <w:szCs w:val="24"/>
        </w:rPr>
        <w:t>Koop.cz</w:t>
      </w:r>
      <w:r w:rsidRPr="00556BA7">
        <w:rPr>
          <w:szCs w:val="24"/>
        </w:rPr>
        <w:t xml:space="preserve"> [online]. 2011 [cit. 2011-06-28]. Kooperativa pojišťovna, a.s., </w:t>
      </w:r>
      <w:proofErr w:type="spellStart"/>
      <w:r w:rsidRPr="00556BA7">
        <w:rPr>
          <w:szCs w:val="24"/>
        </w:rPr>
        <w:t>Vienna</w:t>
      </w:r>
      <w:proofErr w:type="spellEnd"/>
      <w:r w:rsidRPr="00556BA7">
        <w:rPr>
          <w:szCs w:val="24"/>
        </w:rPr>
        <w:t xml:space="preserve"> </w:t>
      </w:r>
      <w:proofErr w:type="spellStart"/>
      <w:r w:rsidRPr="00556BA7">
        <w:rPr>
          <w:szCs w:val="24"/>
        </w:rPr>
        <w:t>Insurance</w:t>
      </w:r>
      <w:proofErr w:type="spellEnd"/>
      <w:r w:rsidRPr="00556BA7">
        <w:rPr>
          <w:szCs w:val="24"/>
        </w:rPr>
        <w:t xml:space="preserve"> </w:t>
      </w:r>
      <w:proofErr w:type="spellStart"/>
      <w:r w:rsidRPr="00556BA7">
        <w:rPr>
          <w:szCs w:val="24"/>
        </w:rPr>
        <w:t>Group</w:t>
      </w:r>
      <w:proofErr w:type="spellEnd"/>
      <w:r w:rsidRPr="00556BA7">
        <w:rPr>
          <w:szCs w:val="24"/>
        </w:rPr>
        <w:t>. Dostupné z WWW: &lt;http://www.koop.cz&gt;.</w:t>
      </w:r>
    </w:p>
    <w:p w:rsidR="00CA5CD4" w:rsidRDefault="00CA5CD4" w:rsidP="00CA5CD4">
      <w:pPr>
        <w:autoSpaceDE w:val="0"/>
        <w:autoSpaceDN w:val="0"/>
        <w:adjustRightInd w:val="0"/>
        <w:spacing w:after="0" w:line="240" w:lineRule="auto"/>
        <w:jc w:val="left"/>
        <w:rPr>
          <w:szCs w:val="24"/>
        </w:rPr>
      </w:pPr>
    </w:p>
    <w:p w:rsidR="00CA5CD4" w:rsidRPr="00705A33" w:rsidRDefault="00CA5CD4" w:rsidP="00CA5CD4">
      <w:pPr>
        <w:autoSpaceDE w:val="0"/>
        <w:autoSpaceDN w:val="0"/>
        <w:adjustRightInd w:val="0"/>
        <w:spacing w:after="0" w:line="240" w:lineRule="auto"/>
        <w:jc w:val="left"/>
        <w:rPr>
          <w:szCs w:val="24"/>
        </w:rPr>
      </w:pPr>
      <w:r w:rsidRPr="00705A33">
        <w:rPr>
          <w:i/>
          <w:iCs/>
          <w:szCs w:val="24"/>
        </w:rPr>
        <w:t>Allianz.cz/</w:t>
      </w:r>
      <w:r w:rsidRPr="00705A33">
        <w:rPr>
          <w:szCs w:val="24"/>
        </w:rPr>
        <w:t xml:space="preserve"> [online]. 2000 [cit. 2011-06-28]. </w:t>
      </w:r>
      <w:proofErr w:type="spellStart"/>
      <w:r w:rsidRPr="00705A33">
        <w:rPr>
          <w:szCs w:val="24"/>
        </w:rPr>
        <w:t>Allianz</w:t>
      </w:r>
      <w:proofErr w:type="spellEnd"/>
      <w:r w:rsidRPr="00705A33">
        <w:rPr>
          <w:szCs w:val="24"/>
        </w:rPr>
        <w:t xml:space="preserve"> . Dostupné z WWW: &lt;http://www.allianz.cz/&gt;.</w:t>
      </w:r>
    </w:p>
    <w:p w:rsidR="00CA5CD4" w:rsidRDefault="00CA5CD4" w:rsidP="00CA5CD4">
      <w:pPr>
        <w:autoSpaceDE w:val="0"/>
        <w:autoSpaceDN w:val="0"/>
        <w:adjustRightInd w:val="0"/>
        <w:spacing w:after="0" w:line="240" w:lineRule="auto"/>
        <w:jc w:val="left"/>
        <w:rPr>
          <w:szCs w:val="24"/>
        </w:rPr>
      </w:pPr>
    </w:p>
    <w:p w:rsidR="00CA5CD4" w:rsidRPr="00705A33" w:rsidRDefault="00CA5CD4" w:rsidP="00CA5CD4">
      <w:pPr>
        <w:autoSpaceDE w:val="0"/>
        <w:autoSpaceDN w:val="0"/>
        <w:adjustRightInd w:val="0"/>
        <w:spacing w:after="0" w:line="240" w:lineRule="auto"/>
        <w:jc w:val="left"/>
        <w:rPr>
          <w:szCs w:val="24"/>
        </w:rPr>
      </w:pPr>
      <w:r w:rsidRPr="00705A33">
        <w:rPr>
          <w:i/>
          <w:iCs/>
          <w:szCs w:val="24"/>
        </w:rPr>
        <w:t>Cpp.cz</w:t>
      </w:r>
      <w:r w:rsidRPr="00705A33">
        <w:rPr>
          <w:szCs w:val="24"/>
        </w:rPr>
        <w:t xml:space="preserve"> [online]. 2011 [cit. 2011-06-28]. Česká podnikatelská pojišťovna, a.s., </w:t>
      </w:r>
      <w:proofErr w:type="spellStart"/>
      <w:r w:rsidRPr="00705A33">
        <w:rPr>
          <w:szCs w:val="24"/>
        </w:rPr>
        <w:t>Vienna</w:t>
      </w:r>
      <w:proofErr w:type="spellEnd"/>
      <w:r w:rsidRPr="00705A33">
        <w:rPr>
          <w:szCs w:val="24"/>
        </w:rPr>
        <w:t xml:space="preserve"> </w:t>
      </w:r>
      <w:proofErr w:type="spellStart"/>
      <w:r w:rsidRPr="00705A33">
        <w:rPr>
          <w:szCs w:val="24"/>
        </w:rPr>
        <w:t>Insurance</w:t>
      </w:r>
      <w:proofErr w:type="spellEnd"/>
      <w:r w:rsidRPr="00705A33">
        <w:rPr>
          <w:szCs w:val="24"/>
        </w:rPr>
        <w:t xml:space="preserve"> </w:t>
      </w:r>
      <w:proofErr w:type="spellStart"/>
      <w:r w:rsidRPr="00705A33">
        <w:rPr>
          <w:szCs w:val="24"/>
        </w:rPr>
        <w:t>Group</w:t>
      </w:r>
      <w:proofErr w:type="spellEnd"/>
      <w:r w:rsidRPr="00705A33">
        <w:rPr>
          <w:szCs w:val="24"/>
        </w:rPr>
        <w:t>. Dostupné z WWW: &lt;http://www.cpp.cz&gt;.</w:t>
      </w:r>
    </w:p>
    <w:p w:rsidR="00D43BD6" w:rsidRDefault="00D43BD6" w:rsidP="0097157C">
      <w:pPr>
        <w:pStyle w:val="Literatura-text"/>
      </w:pPr>
    </w:p>
    <w:p w:rsidR="00581BA1" w:rsidRPr="00145303" w:rsidRDefault="00581BA1" w:rsidP="00CE0DFD">
      <w:pPr>
        <w:pStyle w:val="Literatura-text"/>
        <w:rPr>
          <w:b/>
        </w:rPr>
      </w:pPr>
      <w:r w:rsidRPr="00145303">
        <w:rPr>
          <w:b/>
        </w:rPr>
        <w:t>Monografie</w:t>
      </w:r>
    </w:p>
    <w:p w:rsidR="00CA5CD4" w:rsidRPr="00705A33" w:rsidRDefault="00CA5CD4" w:rsidP="00CA5CD4">
      <w:pPr>
        <w:autoSpaceDE w:val="0"/>
        <w:autoSpaceDN w:val="0"/>
        <w:adjustRightInd w:val="0"/>
        <w:spacing w:after="0" w:line="240" w:lineRule="auto"/>
        <w:jc w:val="left"/>
        <w:rPr>
          <w:szCs w:val="24"/>
        </w:rPr>
      </w:pPr>
      <w:r w:rsidRPr="00705A33">
        <w:rPr>
          <w:szCs w:val="24"/>
        </w:rPr>
        <w:t xml:space="preserve">DUCHÁČKOVÁ, Eva. </w:t>
      </w:r>
      <w:r w:rsidRPr="00705A33">
        <w:rPr>
          <w:i/>
          <w:iCs/>
          <w:szCs w:val="24"/>
        </w:rPr>
        <w:t xml:space="preserve">Principy pojištění a </w:t>
      </w:r>
      <w:proofErr w:type="spellStart"/>
      <w:r w:rsidRPr="00705A33">
        <w:rPr>
          <w:i/>
          <w:iCs/>
          <w:szCs w:val="24"/>
        </w:rPr>
        <w:t>pojišťovnictv</w:t>
      </w:r>
      <w:proofErr w:type="spellEnd"/>
      <w:r w:rsidRPr="00705A33">
        <w:rPr>
          <w:szCs w:val="24"/>
        </w:rPr>
        <w:t xml:space="preserve">. 3. vydání - přepracované. Praha : </w:t>
      </w:r>
      <w:proofErr w:type="spellStart"/>
      <w:r w:rsidRPr="00705A33">
        <w:rPr>
          <w:szCs w:val="24"/>
        </w:rPr>
        <w:t>Ekopress</w:t>
      </w:r>
      <w:proofErr w:type="spellEnd"/>
      <w:r w:rsidRPr="00705A33">
        <w:rPr>
          <w:szCs w:val="24"/>
        </w:rPr>
        <w:t>, s.</w:t>
      </w:r>
      <w:proofErr w:type="spellStart"/>
      <w:r w:rsidRPr="00705A33">
        <w:rPr>
          <w:szCs w:val="24"/>
        </w:rPr>
        <w:t>r.o</w:t>
      </w:r>
      <w:proofErr w:type="spellEnd"/>
      <w:r w:rsidRPr="00705A33">
        <w:rPr>
          <w:szCs w:val="24"/>
        </w:rPr>
        <w:t>, 2009. 222 s. ISBN 978-80-86929-51-4</w:t>
      </w:r>
    </w:p>
    <w:p w:rsidR="00145303" w:rsidRDefault="00145303" w:rsidP="00581BA1">
      <w:pPr>
        <w:pStyle w:val="Literatura-text"/>
      </w:pPr>
    </w:p>
    <w:p w:rsidR="00DD24BC" w:rsidRPr="001F3C88" w:rsidRDefault="00DD24BC" w:rsidP="001F3C88">
      <w:pPr>
        <w:pStyle w:val="Literatura-text"/>
      </w:pPr>
    </w:p>
    <w:p w:rsidR="0001702C" w:rsidRDefault="0001702C" w:rsidP="0014355A">
      <w:pPr>
        <w:jc w:val="left"/>
      </w:pPr>
    </w:p>
    <w:p w:rsidR="00011C39" w:rsidRDefault="0078685E">
      <w:pPr>
        <w:spacing w:after="0"/>
        <w:jc w:val="left"/>
        <w:sectPr w:rsidR="00011C39" w:rsidSect="00265875">
          <w:headerReference w:type="default" r:id="rId16"/>
          <w:footerReference w:type="default" r:id="rId17"/>
          <w:pgSz w:w="11906" w:h="16838" w:code="9"/>
          <w:pgMar w:top="1276" w:right="1134" w:bottom="1418" w:left="2268" w:header="709" w:footer="12" w:gutter="0"/>
          <w:pgNumType w:start="1"/>
          <w:cols w:space="708"/>
          <w:docGrid w:linePitch="326"/>
        </w:sectPr>
      </w:pPr>
      <w:r>
        <w:br w:type="page"/>
      </w:r>
    </w:p>
    <w:p w:rsidR="006B4BAB" w:rsidRDefault="0001702C" w:rsidP="000F444F">
      <w:pPr>
        <w:pStyle w:val="Nadpis1"/>
        <w:numPr>
          <w:ilvl w:val="0"/>
          <w:numId w:val="0"/>
        </w:numPr>
        <w:ind w:left="360" w:hanging="360"/>
      </w:pPr>
      <w:bookmarkStart w:id="49" w:name="_Toc309717616"/>
      <w:r>
        <w:lastRenderedPageBreak/>
        <w:t>Přílohy</w:t>
      </w:r>
      <w:bookmarkEnd w:id="49"/>
    </w:p>
    <w:p w:rsidR="00B11637" w:rsidRPr="00EF7090" w:rsidRDefault="00B11637" w:rsidP="00B11637">
      <w:r>
        <w:rPr>
          <w:sz w:val="20"/>
        </w:rPr>
        <w:t xml:space="preserve">Graf. 1 </w:t>
      </w:r>
      <w:r w:rsidR="00203A95">
        <w:rPr>
          <w:sz w:val="20"/>
        </w:rPr>
        <w:t>Produkt XY</w:t>
      </w:r>
      <w:r w:rsidRPr="00242A9C">
        <w:rPr>
          <w:sz w:val="20"/>
        </w:rPr>
        <w:t xml:space="preserve"> dle PČ na smrt, věk do 30 let</w:t>
      </w:r>
      <w:r>
        <w:rPr>
          <w:sz w:val="20"/>
        </w:rPr>
        <w:t xml:space="preserve"> (osa Y- počet klientů, osa X- pojistná částka)</w:t>
      </w:r>
      <w:r w:rsidRPr="001C7CE7">
        <w:rPr>
          <w:noProof/>
        </w:rPr>
        <w:drawing>
          <wp:inline distT="0" distB="0" distL="0" distR="0">
            <wp:extent cx="3241843" cy="2104845"/>
            <wp:effectExtent l="19050" t="0" r="15707" b="0"/>
            <wp:docPr id="2" name="Graf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rPr>
          <w:sz w:val="20"/>
        </w:rPr>
      </w:pPr>
      <w:r>
        <w:rPr>
          <w:sz w:val="20"/>
        </w:rPr>
        <w:t>Graf. 2</w:t>
      </w:r>
      <w:r w:rsidRPr="00242A9C">
        <w:rPr>
          <w:sz w:val="20"/>
        </w:rPr>
        <w:t xml:space="preserve"> </w:t>
      </w:r>
      <w:r w:rsidR="00203A95">
        <w:rPr>
          <w:sz w:val="20"/>
        </w:rPr>
        <w:t>Produkt XY</w:t>
      </w:r>
      <w:r w:rsidRPr="00982056">
        <w:rPr>
          <w:sz w:val="20"/>
        </w:rPr>
        <w:t xml:space="preserve"> dle PČ na smrt, věk 31-40 let</w:t>
      </w:r>
      <w:r>
        <w:rPr>
          <w:sz w:val="20"/>
        </w:rPr>
        <w:t xml:space="preserve"> (osa Y- počet klientů, osa X- pojistná částka)</w:t>
      </w:r>
      <w:r w:rsidRPr="001C7CE7">
        <w:rPr>
          <w:noProof/>
        </w:rPr>
        <w:drawing>
          <wp:inline distT="0" distB="0" distL="0" distR="0">
            <wp:extent cx="3240000" cy="2160000"/>
            <wp:effectExtent l="19050" t="0" r="17550" b="0"/>
            <wp:docPr id="3" name="Graf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rPr>
          <w:sz w:val="20"/>
        </w:rPr>
      </w:pPr>
      <w:r>
        <w:rPr>
          <w:sz w:val="20"/>
        </w:rPr>
        <w:lastRenderedPageBreak/>
        <w:t>Graf. 3</w:t>
      </w:r>
      <w:r w:rsidRPr="00242A9C">
        <w:rPr>
          <w:sz w:val="20"/>
        </w:rPr>
        <w:t xml:space="preserve"> </w:t>
      </w:r>
      <w:r w:rsidR="00203A95">
        <w:rPr>
          <w:sz w:val="20"/>
        </w:rPr>
        <w:t>Produkt XY</w:t>
      </w:r>
      <w:r w:rsidRPr="00982056">
        <w:rPr>
          <w:sz w:val="20"/>
        </w:rPr>
        <w:t xml:space="preserve"> dle PČ na smrt, věk 41-50 let </w:t>
      </w:r>
      <w:r>
        <w:rPr>
          <w:sz w:val="20"/>
        </w:rPr>
        <w:t>(osa Y- počet klientů, osa X- pojistná částka)</w:t>
      </w:r>
      <w:r w:rsidRPr="001C7CE7">
        <w:rPr>
          <w:noProof/>
        </w:rPr>
        <w:drawing>
          <wp:inline distT="0" distB="0" distL="0" distR="0">
            <wp:extent cx="3240000" cy="2160000"/>
            <wp:effectExtent l="19050" t="0" r="17550" b="0"/>
            <wp:docPr id="4" name="Graf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EF7090" w:rsidRDefault="00B11637" w:rsidP="00B11637">
      <w:pPr>
        <w:rPr>
          <w:sz w:val="20"/>
        </w:rPr>
      </w:pPr>
      <w:r>
        <w:rPr>
          <w:sz w:val="20"/>
        </w:rPr>
        <w:t>Graf. 4</w:t>
      </w:r>
      <w:r w:rsidRPr="00242A9C">
        <w:rPr>
          <w:sz w:val="20"/>
        </w:rPr>
        <w:t xml:space="preserve"> </w:t>
      </w:r>
      <w:r w:rsidR="00203A95">
        <w:rPr>
          <w:sz w:val="20"/>
        </w:rPr>
        <w:t>Produkt XY</w:t>
      </w:r>
      <w:r w:rsidRPr="00982056">
        <w:rPr>
          <w:sz w:val="20"/>
        </w:rPr>
        <w:t xml:space="preserve"> dle PČ na smrt, věk 51+ let </w:t>
      </w:r>
      <w:r>
        <w:rPr>
          <w:sz w:val="20"/>
        </w:rPr>
        <w:t>(osa Y- počet klientů, osa X- pojistná částka)</w:t>
      </w:r>
      <w:r w:rsidRPr="001C7CE7">
        <w:rPr>
          <w:noProof/>
        </w:rPr>
        <w:drawing>
          <wp:inline distT="0" distB="0" distL="0" distR="0">
            <wp:extent cx="3247558" cy="2113472"/>
            <wp:effectExtent l="19050" t="0" r="9992" b="1078"/>
            <wp:docPr id="5" name="Graf 4"/>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r w:rsidRPr="00EF7090">
        <w:rPr>
          <w:sz w:val="20"/>
        </w:rPr>
        <w:t xml:space="preserve"> </w:t>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EF7090" w:rsidRDefault="00B11637" w:rsidP="00B11637">
      <w:pPr>
        <w:rPr>
          <w:sz w:val="20"/>
        </w:rPr>
      </w:pPr>
      <w:r w:rsidRPr="00EF7090">
        <w:rPr>
          <w:sz w:val="20"/>
        </w:rPr>
        <w:t>Tabulka 1 Prům</w:t>
      </w:r>
      <w:r>
        <w:rPr>
          <w:sz w:val="20"/>
        </w:rPr>
        <w:t>ě</w:t>
      </w:r>
      <w:r w:rsidRPr="00EF7090">
        <w:rPr>
          <w:sz w:val="20"/>
        </w:rPr>
        <w:t>rná pojistná částka smrt</w:t>
      </w:r>
    </w:p>
    <w:tbl>
      <w:tblPr>
        <w:tblW w:w="2991" w:type="dxa"/>
        <w:tblInd w:w="56" w:type="dxa"/>
        <w:tblCellMar>
          <w:left w:w="70" w:type="dxa"/>
          <w:right w:w="70" w:type="dxa"/>
        </w:tblCellMar>
        <w:tblLook w:val="04A0"/>
      </w:tblPr>
      <w:tblGrid>
        <w:gridCol w:w="1007"/>
        <w:gridCol w:w="1984"/>
      </w:tblGrid>
      <w:tr w:rsidR="00B11637" w:rsidRPr="009571CC" w:rsidTr="002A75D8">
        <w:trPr>
          <w:trHeight w:val="315"/>
        </w:trPr>
        <w:tc>
          <w:tcPr>
            <w:tcW w:w="1007"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Pr>
                <w:rFonts w:ascii="Calibri" w:hAnsi="Calibri" w:cs="Calibri"/>
                <w:color w:val="000000"/>
                <w:sz w:val="22"/>
                <w:szCs w:val="22"/>
              </w:rPr>
              <w:t>V</w:t>
            </w:r>
            <w:r w:rsidRPr="009571CC">
              <w:rPr>
                <w:rFonts w:ascii="Calibri" w:hAnsi="Calibri" w:cs="Calibri"/>
                <w:color w:val="000000"/>
                <w:sz w:val="22"/>
                <w:szCs w:val="22"/>
              </w:rPr>
              <w:t xml:space="preserve">ěk </w:t>
            </w:r>
          </w:p>
        </w:tc>
        <w:tc>
          <w:tcPr>
            <w:tcW w:w="1984" w:type="dxa"/>
            <w:tcBorders>
              <w:top w:val="single" w:sz="8" w:space="0" w:color="auto"/>
              <w:left w:val="nil"/>
              <w:bottom w:val="single" w:sz="8"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Pr>
                <w:rFonts w:ascii="Calibri" w:hAnsi="Calibri" w:cs="Calibri"/>
                <w:color w:val="000000"/>
                <w:sz w:val="22"/>
                <w:szCs w:val="22"/>
              </w:rPr>
              <w:t>P</w:t>
            </w:r>
            <w:r w:rsidRPr="009571CC">
              <w:rPr>
                <w:rFonts w:ascii="Calibri" w:hAnsi="Calibri" w:cs="Calibri"/>
                <w:color w:val="000000"/>
                <w:sz w:val="22"/>
                <w:szCs w:val="22"/>
              </w:rPr>
              <w:t xml:space="preserve">růměrná PČ smrt </w:t>
            </w:r>
            <w:r>
              <w:rPr>
                <w:rFonts w:ascii="Calibri" w:hAnsi="Calibri" w:cs="Calibri"/>
                <w:color w:val="000000"/>
                <w:sz w:val="22"/>
                <w:szCs w:val="22"/>
              </w:rPr>
              <w:t>(Kč)</w:t>
            </w:r>
          </w:p>
        </w:tc>
      </w:tr>
      <w:tr w:rsidR="00B11637" w:rsidRPr="009571CC" w:rsidTr="002A75D8">
        <w:trPr>
          <w:trHeight w:val="300"/>
        </w:trPr>
        <w:tc>
          <w:tcPr>
            <w:tcW w:w="1007" w:type="dxa"/>
            <w:tcBorders>
              <w:top w:val="nil"/>
              <w:left w:val="single" w:sz="8" w:space="0" w:color="auto"/>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sidRPr="009571CC">
              <w:rPr>
                <w:rFonts w:ascii="Calibri" w:hAnsi="Calibri" w:cs="Calibri"/>
                <w:color w:val="000000"/>
                <w:sz w:val="22"/>
                <w:szCs w:val="22"/>
              </w:rPr>
              <w:t xml:space="preserve">do 30 </w:t>
            </w:r>
          </w:p>
        </w:tc>
        <w:tc>
          <w:tcPr>
            <w:tcW w:w="1984" w:type="dxa"/>
            <w:tcBorders>
              <w:top w:val="nil"/>
              <w:left w:val="nil"/>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right"/>
              <w:rPr>
                <w:rFonts w:ascii="Calibri" w:hAnsi="Calibri" w:cs="Calibri"/>
                <w:color w:val="000000"/>
                <w:sz w:val="22"/>
                <w:szCs w:val="22"/>
              </w:rPr>
            </w:pPr>
            <w:r w:rsidRPr="009571CC">
              <w:rPr>
                <w:rFonts w:ascii="Calibri" w:hAnsi="Calibri" w:cs="Calibri"/>
                <w:color w:val="000000"/>
                <w:sz w:val="22"/>
                <w:szCs w:val="22"/>
              </w:rPr>
              <w:t>131581</w:t>
            </w:r>
          </w:p>
        </w:tc>
      </w:tr>
      <w:tr w:rsidR="00B11637" w:rsidRPr="009571CC" w:rsidTr="002A75D8">
        <w:trPr>
          <w:trHeight w:val="300"/>
        </w:trPr>
        <w:tc>
          <w:tcPr>
            <w:tcW w:w="1007" w:type="dxa"/>
            <w:tcBorders>
              <w:top w:val="nil"/>
              <w:left w:val="single" w:sz="8" w:space="0" w:color="auto"/>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sidRPr="009571CC">
              <w:rPr>
                <w:rFonts w:ascii="Calibri" w:hAnsi="Calibri" w:cs="Calibri"/>
                <w:color w:val="000000"/>
                <w:sz w:val="22"/>
                <w:szCs w:val="22"/>
              </w:rPr>
              <w:t xml:space="preserve">31-40 </w:t>
            </w:r>
          </w:p>
        </w:tc>
        <w:tc>
          <w:tcPr>
            <w:tcW w:w="1984" w:type="dxa"/>
            <w:tcBorders>
              <w:top w:val="nil"/>
              <w:left w:val="nil"/>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right"/>
              <w:rPr>
                <w:rFonts w:ascii="Calibri" w:hAnsi="Calibri" w:cs="Calibri"/>
                <w:color w:val="000000"/>
                <w:sz w:val="22"/>
                <w:szCs w:val="22"/>
              </w:rPr>
            </w:pPr>
            <w:r w:rsidRPr="009571CC">
              <w:rPr>
                <w:rFonts w:ascii="Calibri" w:hAnsi="Calibri" w:cs="Calibri"/>
                <w:color w:val="000000"/>
                <w:sz w:val="22"/>
                <w:szCs w:val="22"/>
              </w:rPr>
              <w:t>157238</w:t>
            </w:r>
          </w:p>
        </w:tc>
      </w:tr>
      <w:tr w:rsidR="00B11637" w:rsidRPr="009571CC" w:rsidTr="002A75D8">
        <w:trPr>
          <w:trHeight w:val="300"/>
        </w:trPr>
        <w:tc>
          <w:tcPr>
            <w:tcW w:w="1007" w:type="dxa"/>
            <w:tcBorders>
              <w:top w:val="nil"/>
              <w:left w:val="single" w:sz="8" w:space="0" w:color="auto"/>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sidRPr="009571CC">
              <w:rPr>
                <w:rFonts w:ascii="Calibri" w:hAnsi="Calibri" w:cs="Calibri"/>
                <w:color w:val="000000"/>
                <w:sz w:val="22"/>
                <w:szCs w:val="22"/>
              </w:rPr>
              <w:t xml:space="preserve">41-50 </w:t>
            </w:r>
          </w:p>
        </w:tc>
        <w:tc>
          <w:tcPr>
            <w:tcW w:w="1984" w:type="dxa"/>
            <w:tcBorders>
              <w:top w:val="nil"/>
              <w:left w:val="nil"/>
              <w:bottom w:val="single" w:sz="4" w:space="0" w:color="auto"/>
              <w:right w:val="single" w:sz="8" w:space="0" w:color="auto"/>
            </w:tcBorders>
            <w:shd w:val="clear" w:color="auto" w:fill="auto"/>
            <w:noWrap/>
            <w:vAlign w:val="bottom"/>
            <w:hideMark/>
          </w:tcPr>
          <w:p w:rsidR="00B11637" w:rsidRPr="009571CC" w:rsidRDefault="00B11637" w:rsidP="002A75D8">
            <w:pPr>
              <w:spacing w:after="0" w:line="240" w:lineRule="auto"/>
              <w:jc w:val="right"/>
              <w:rPr>
                <w:rFonts w:ascii="Calibri" w:hAnsi="Calibri" w:cs="Calibri"/>
                <w:color w:val="000000"/>
                <w:sz w:val="22"/>
                <w:szCs w:val="22"/>
              </w:rPr>
            </w:pPr>
            <w:r w:rsidRPr="009571CC">
              <w:rPr>
                <w:rFonts w:ascii="Calibri" w:hAnsi="Calibri" w:cs="Calibri"/>
                <w:color w:val="000000"/>
                <w:sz w:val="22"/>
                <w:szCs w:val="22"/>
              </w:rPr>
              <w:t>111523</w:t>
            </w:r>
          </w:p>
        </w:tc>
      </w:tr>
      <w:tr w:rsidR="00B11637" w:rsidRPr="009571CC" w:rsidTr="002A75D8">
        <w:trPr>
          <w:trHeight w:val="315"/>
        </w:trPr>
        <w:tc>
          <w:tcPr>
            <w:tcW w:w="1007" w:type="dxa"/>
            <w:tcBorders>
              <w:top w:val="nil"/>
              <w:left w:val="single" w:sz="8" w:space="0" w:color="auto"/>
              <w:bottom w:val="single" w:sz="8" w:space="0" w:color="auto"/>
              <w:right w:val="single" w:sz="8" w:space="0" w:color="auto"/>
            </w:tcBorders>
            <w:shd w:val="clear" w:color="auto" w:fill="auto"/>
            <w:noWrap/>
            <w:vAlign w:val="bottom"/>
            <w:hideMark/>
          </w:tcPr>
          <w:p w:rsidR="00B11637" w:rsidRPr="009571CC" w:rsidRDefault="00B11637" w:rsidP="002A75D8">
            <w:pPr>
              <w:spacing w:after="0" w:line="240" w:lineRule="auto"/>
              <w:jc w:val="left"/>
              <w:rPr>
                <w:rFonts w:ascii="Calibri" w:hAnsi="Calibri" w:cs="Calibri"/>
                <w:color w:val="000000"/>
                <w:sz w:val="22"/>
                <w:szCs w:val="22"/>
              </w:rPr>
            </w:pPr>
            <w:r w:rsidRPr="009571CC">
              <w:rPr>
                <w:rFonts w:ascii="Calibri" w:hAnsi="Calibri" w:cs="Calibri"/>
                <w:color w:val="000000"/>
                <w:sz w:val="22"/>
                <w:szCs w:val="22"/>
              </w:rPr>
              <w:t xml:space="preserve">51+ </w:t>
            </w:r>
          </w:p>
        </w:tc>
        <w:tc>
          <w:tcPr>
            <w:tcW w:w="1984" w:type="dxa"/>
            <w:tcBorders>
              <w:top w:val="nil"/>
              <w:left w:val="nil"/>
              <w:bottom w:val="single" w:sz="8" w:space="0" w:color="auto"/>
              <w:right w:val="single" w:sz="8" w:space="0" w:color="auto"/>
            </w:tcBorders>
            <w:shd w:val="clear" w:color="auto" w:fill="auto"/>
            <w:noWrap/>
            <w:vAlign w:val="bottom"/>
            <w:hideMark/>
          </w:tcPr>
          <w:p w:rsidR="00B11637" w:rsidRPr="009571CC" w:rsidRDefault="00B11637" w:rsidP="002A75D8">
            <w:pPr>
              <w:spacing w:after="0" w:line="240" w:lineRule="auto"/>
              <w:jc w:val="right"/>
              <w:rPr>
                <w:rFonts w:ascii="Calibri" w:hAnsi="Calibri" w:cs="Calibri"/>
                <w:color w:val="000000"/>
                <w:sz w:val="22"/>
                <w:szCs w:val="22"/>
              </w:rPr>
            </w:pPr>
            <w:r w:rsidRPr="009571CC">
              <w:rPr>
                <w:rFonts w:ascii="Calibri" w:hAnsi="Calibri" w:cs="Calibri"/>
                <w:color w:val="000000"/>
                <w:sz w:val="22"/>
                <w:szCs w:val="22"/>
              </w:rPr>
              <w:t>43620</w:t>
            </w:r>
          </w:p>
        </w:tc>
      </w:tr>
    </w:tbl>
    <w:p w:rsidR="00B11637" w:rsidRDefault="00B11637" w:rsidP="00B11637">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 w:rsidR="00B11637" w:rsidRDefault="00B11637" w:rsidP="00B11637"/>
    <w:p w:rsidR="00B11637" w:rsidRDefault="00B11637" w:rsidP="00B11637"/>
    <w:p w:rsidR="004F6BAB" w:rsidRPr="004F6BAB" w:rsidRDefault="00B11637" w:rsidP="00B11637">
      <w:pPr>
        <w:rPr>
          <w:sz w:val="20"/>
        </w:rPr>
      </w:pPr>
      <w:r>
        <w:rPr>
          <w:sz w:val="20"/>
        </w:rPr>
        <w:lastRenderedPageBreak/>
        <w:t>Graf. 5</w:t>
      </w:r>
      <w:r w:rsidRPr="00242A9C">
        <w:rPr>
          <w:sz w:val="20"/>
        </w:rPr>
        <w:t xml:space="preserve"> </w:t>
      </w:r>
      <w:r w:rsidR="00203A95">
        <w:rPr>
          <w:sz w:val="20"/>
        </w:rPr>
        <w:t>Produkt XY</w:t>
      </w:r>
      <w:r w:rsidRPr="00EF7090">
        <w:rPr>
          <w:sz w:val="20"/>
        </w:rPr>
        <w:t xml:space="preserve"> dle ročního pojistného ŽP, věk do 30 let </w:t>
      </w:r>
      <w:r>
        <w:rPr>
          <w:sz w:val="20"/>
        </w:rPr>
        <w:t>(osa Y- počet klientů, osa X- roční pojistné)</w:t>
      </w:r>
      <w:r w:rsidRPr="003D445E">
        <w:rPr>
          <w:noProof/>
        </w:rPr>
        <w:drawing>
          <wp:inline distT="0" distB="0" distL="0" distR="0">
            <wp:extent cx="5036643" cy="2160000"/>
            <wp:effectExtent l="19050" t="0" r="11607" b="0"/>
            <wp:docPr id="6" name="Graf 5"/>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00403536">
        <w:rPr>
          <w:sz w:val="20"/>
        </w:rPr>
        <w:br/>
      </w:r>
      <w:r w:rsidR="004F6BAB">
        <w:rPr>
          <w:sz w:val="20"/>
        </w:rPr>
        <w:t>Z</w:t>
      </w:r>
      <w:r w:rsidRPr="00982056">
        <w:rPr>
          <w:sz w:val="20"/>
        </w:rPr>
        <w:t xml:space="preserve">droj. </w:t>
      </w:r>
      <w:proofErr w:type="spellStart"/>
      <w:r w:rsidRPr="00982056">
        <w:rPr>
          <w:sz w:val="20"/>
        </w:rPr>
        <w:t>Interni</w:t>
      </w:r>
      <w:proofErr w:type="spellEnd"/>
      <w:r w:rsidRPr="00982056">
        <w:rPr>
          <w:sz w:val="20"/>
        </w:rPr>
        <w:t xml:space="preserve"> data pojišťovny</w:t>
      </w:r>
    </w:p>
    <w:p w:rsidR="00B11637" w:rsidRDefault="00B11637" w:rsidP="00B11637">
      <w:pPr>
        <w:rPr>
          <w:sz w:val="20"/>
        </w:rPr>
      </w:pPr>
      <w:r>
        <w:rPr>
          <w:sz w:val="20"/>
        </w:rPr>
        <w:t>Graf. 6</w:t>
      </w:r>
      <w:r w:rsidRPr="00242A9C">
        <w:rPr>
          <w:sz w:val="20"/>
        </w:rPr>
        <w:t xml:space="preserve"> </w:t>
      </w:r>
      <w:r w:rsidR="00203A95">
        <w:rPr>
          <w:sz w:val="20"/>
        </w:rPr>
        <w:t>Produkt XY</w:t>
      </w:r>
      <w:r w:rsidRPr="00EF7090">
        <w:rPr>
          <w:sz w:val="20"/>
        </w:rPr>
        <w:t xml:space="preserve"> dle ročního pojistného ŽP, věk 31-40 let </w:t>
      </w:r>
      <w:r>
        <w:rPr>
          <w:sz w:val="20"/>
        </w:rPr>
        <w:t>(osa Y- počet klientů, osa X- roční pojistné)</w:t>
      </w:r>
      <w:r w:rsidRPr="003D445E">
        <w:rPr>
          <w:noProof/>
        </w:rPr>
        <w:drawing>
          <wp:inline distT="0" distB="0" distL="0" distR="0">
            <wp:extent cx="5036643" cy="2160000"/>
            <wp:effectExtent l="19050" t="0" r="11607" b="0"/>
            <wp:docPr id="7" name="Graf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004035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rPr>
          <w:sz w:val="20"/>
        </w:rPr>
      </w:pPr>
      <w:r>
        <w:rPr>
          <w:sz w:val="20"/>
        </w:rPr>
        <w:t>Graf. 7</w:t>
      </w:r>
      <w:r w:rsidRPr="00242A9C">
        <w:rPr>
          <w:sz w:val="20"/>
        </w:rPr>
        <w:t xml:space="preserve"> </w:t>
      </w:r>
      <w:r w:rsidR="00203A95">
        <w:rPr>
          <w:sz w:val="20"/>
        </w:rPr>
        <w:t>Produkt XY</w:t>
      </w:r>
      <w:r w:rsidRPr="00BE47CF">
        <w:rPr>
          <w:sz w:val="20"/>
        </w:rPr>
        <w:t xml:space="preserve"> dle ročního pojistného ŽP, věk 41-50 let </w:t>
      </w:r>
      <w:r>
        <w:rPr>
          <w:sz w:val="20"/>
        </w:rPr>
        <w:t>(osa Y- počet klientů, osa X- roční pojistné)</w:t>
      </w:r>
      <w:r w:rsidRPr="003D445E">
        <w:rPr>
          <w:noProof/>
        </w:rPr>
        <w:drawing>
          <wp:inline distT="0" distB="0" distL="0" distR="0">
            <wp:extent cx="5041251" cy="2160000"/>
            <wp:effectExtent l="19050" t="0" r="26049" b="0"/>
            <wp:docPr id="8" name="Graf 7"/>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r w:rsidR="004035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075F9B" w:rsidRDefault="00B11637" w:rsidP="00B11637">
      <w:pPr>
        <w:rPr>
          <w:sz w:val="20"/>
        </w:rPr>
      </w:pPr>
      <w:r>
        <w:rPr>
          <w:sz w:val="20"/>
        </w:rPr>
        <w:lastRenderedPageBreak/>
        <w:t>Graf. 8</w:t>
      </w:r>
      <w:r w:rsidRPr="00242A9C">
        <w:rPr>
          <w:sz w:val="20"/>
        </w:rPr>
        <w:t xml:space="preserve"> </w:t>
      </w:r>
      <w:r w:rsidR="00203A95">
        <w:rPr>
          <w:sz w:val="20"/>
        </w:rPr>
        <w:t>Produkt XY</w:t>
      </w:r>
      <w:r w:rsidRPr="00075F9B">
        <w:rPr>
          <w:sz w:val="20"/>
        </w:rPr>
        <w:t xml:space="preserve"> dle ročního pojistného ŽP, věk 51+ let </w:t>
      </w:r>
      <w:r>
        <w:rPr>
          <w:sz w:val="20"/>
        </w:rPr>
        <w:t>(osa Y- počet klientů, osa X- roční pojistné)</w:t>
      </w:r>
      <w:r w:rsidRPr="003D445E">
        <w:rPr>
          <w:noProof/>
        </w:rPr>
        <w:drawing>
          <wp:inline distT="0" distB="0" distL="0" distR="0">
            <wp:extent cx="5040000" cy="2158409"/>
            <wp:effectExtent l="19050" t="0" r="27300" b="0"/>
            <wp:docPr id="9" name="Graf 8"/>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r w:rsidR="004035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075F9B" w:rsidRDefault="00B11637" w:rsidP="00B11637">
      <w:r>
        <w:rPr>
          <w:sz w:val="20"/>
        </w:rPr>
        <w:t>Graf. 9</w:t>
      </w:r>
      <w:r w:rsidRPr="00242A9C">
        <w:rPr>
          <w:sz w:val="20"/>
        </w:rPr>
        <w:t xml:space="preserve"> </w:t>
      </w:r>
      <w:r w:rsidR="00203A95">
        <w:rPr>
          <w:sz w:val="20"/>
        </w:rPr>
        <w:t>Produkt XY</w:t>
      </w:r>
      <w:r w:rsidRPr="00075F9B">
        <w:rPr>
          <w:sz w:val="20"/>
        </w:rPr>
        <w:t xml:space="preserve"> dle vstupního věku, věk do 30 let </w:t>
      </w:r>
      <w:r>
        <w:rPr>
          <w:sz w:val="20"/>
        </w:rPr>
        <w:t>(osa Y- počet klientů, osa X-věk)</w:t>
      </w:r>
      <w:r w:rsidRPr="003D445E">
        <w:rPr>
          <w:noProof/>
        </w:rPr>
        <w:drawing>
          <wp:inline distT="0" distB="0" distL="0" distR="0">
            <wp:extent cx="5040000" cy="2158409"/>
            <wp:effectExtent l="19050" t="0" r="27300" b="0"/>
            <wp:docPr id="10" name="Graf 9"/>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r w:rsidR="004035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rPr>
          <w:sz w:val="20"/>
        </w:rPr>
      </w:pPr>
      <w:r>
        <w:rPr>
          <w:sz w:val="20"/>
        </w:rPr>
        <w:t>Graf. 10</w:t>
      </w:r>
      <w:r w:rsidRPr="00242A9C">
        <w:rPr>
          <w:sz w:val="20"/>
        </w:rPr>
        <w:t xml:space="preserve"> </w:t>
      </w:r>
      <w:r w:rsidR="00203A95">
        <w:rPr>
          <w:sz w:val="20"/>
        </w:rPr>
        <w:t>Produkt XY</w:t>
      </w:r>
      <w:r w:rsidRPr="00C83857">
        <w:rPr>
          <w:sz w:val="20"/>
        </w:rPr>
        <w:t xml:space="preserve"> dle vstupního věku, věk 31-40 let </w:t>
      </w:r>
      <w:r>
        <w:rPr>
          <w:sz w:val="20"/>
        </w:rPr>
        <w:t>(osa Y- počet klientů, osa X-věk)</w:t>
      </w:r>
      <w:r w:rsidRPr="003D445E">
        <w:rPr>
          <w:noProof/>
        </w:rPr>
        <w:drawing>
          <wp:inline distT="0" distB="0" distL="0" distR="0">
            <wp:extent cx="5040000" cy="2130159"/>
            <wp:effectExtent l="19050" t="0" r="27300" b="3441"/>
            <wp:docPr id="11" name="Graf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r w:rsidR="004035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C83857" w:rsidRDefault="00B11637" w:rsidP="00B11637">
      <w:pPr>
        <w:rPr>
          <w:sz w:val="20"/>
        </w:rPr>
      </w:pPr>
      <w:r>
        <w:rPr>
          <w:sz w:val="20"/>
        </w:rPr>
        <w:lastRenderedPageBreak/>
        <w:t>Graf. 11</w:t>
      </w:r>
      <w:r w:rsidRPr="00242A9C">
        <w:rPr>
          <w:sz w:val="20"/>
        </w:rPr>
        <w:t xml:space="preserve"> </w:t>
      </w:r>
      <w:r w:rsidR="00203A95">
        <w:rPr>
          <w:sz w:val="20"/>
        </w:rPr>
        <w:t>Produkt XY</w:t>
      </w:r>
      <w:r w:rsidRPr="00C83857">
        <w:rPr>
          <w:sz w:val="20"/>
        </w:rPr>
        <w:t xml:space="preserve"> dle vstupního věku, věk 41-50 let </w:t>
      </w:r>
      <w:r>
        <w:rPr>
          <w:sz w:val="20"/>
        </w:rPr>
        <w:t>(osa Y- počet klientů, osa X-věk)</w:t>
      </w:r>
      <w:r w:rsidRPr="003D445E">
        <w:rPr>
          <w:noProof/>
        </w:rPr>
        <w:drawing>
          <wp:inline distT="0" distB="0" distL="0" distR="0">
            <wp:extent cx="5036643" cy="2160000"/>
            <wp:effectExtent l="19050" t="0" r="11607" b="0"/>
            <wp:docPr id="12" name="Graf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r w:rsidR="00953D36">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C83857" w:rsidRDefault="00B11637" w:rsidP="00B11637">
      <w:r>
        <w:rPr>
          <w:sz w:val="20"/>
        </w:rPr>
        <w:t>Graf. 12</w:t>
      </w:r>
      <w:r w:rsidRPr="00242A9C">
        <w:rPr>
          <w:sz w:val="20"/>
        </w:rPr>
        <w:t xml:space="preserve"> </w:t>
      </w:r>
      <w:r w:rsidR="00203A95">
        <w:rPr>
          <w:sz w:val="20"/>
        </w:rPr>
        <w:t>Produkt XY</w:t>
      </w:r>
      <w:r w:rsidRPr="00C83857">
        <w:rPr>
          <w:sz w:val="20"/>
        </w:rPr>
        <w:t xml:space="preserve"> dle vstupního věku, věk 51+ let </w:t>
      </w:r>
      <w:r>
        <w:rPr>
          <w:sz w:val="20"/>
        </w:rPr>
        <w:t xml:space="preserve">(osa Y- počet klientů, osa X-věk) </w:t>
      </w:r>
      <w:r w:rsidRPr="003D445E">
        <w:rPr>
          <w:noProof/>
        </w:rPr>
        <w:drawing>
          <wp:inline distT="0" distB="0" distL="0" distR="0">
            <wp:extent cx="5036643" cy="2160000"/>
            <wp:effectExtent l="19050" t="0" r="11607" b="0"/>
            <wp:docPr id="13" name="Graf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r>
        <w:rPr>
          <w:sz w:val="20"/>
        </w:rPr>
        <w:t>Tabulka 2</w:t>
      </w:r>
      <w:r w:rsidRPr="00EF7090">
        <w:rPr>
          <w:sz w:val="20"/>
        </w:rPr>
        <w:t xml:space="preserve"> </w:t>
      </w:r>
      <w:r w:rsidRPr="007B2B93">
        <w:rPr>
          <w:sz w:val="20"/>
        </w:rPr>
        <w:t>Průměrný vstupní věk</w:t>
      </w:r>
    </w:p>
    <w:tbl>
      <w:tblPr>
        <w:tblW w:w="4140" w:type="dxa"/>
        <w:tblInd w:w="56" w:type="dxa"/>
        <w:tblCellMar>
          <w:left w:w="70" w:type="dxa"/>
          <w:right w:w="70" w:type="dxa"/>
        </w:tblCellMar>
        <w:tblLook w:val="04A0"/>
      </w:tblPr>
      <w:tblGrid>
        <w:gridCol w:w="865"/>
        <w:gridCol w:w="1615"/>
        <w:gridCol w:w="1660"/>
      </w:tblGrid>
      <w:tr w:rsidR="00B11637" w:rsidRPr="00690D9C"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Pr>
                <w:rFonts w:ascii="Calibri" w:hAnsi="Calibri" w:cs="Calibri"/>
                <w:color w:val="000000"/>
                <w:sz w:val="22"/>
                <w:szCs w:val="22"/>
              </w:rPr>
              <w:t>P</w:t>
            </w:r>
            <w:r w:rsidRPr="00690D9C">
              <w:rPr>
                <w:rFonts w:ascii="Calibri" w:hAnsi="Calibri" w:cs="Calibri"/>
                <w:color w:val="000000"/>
                <w:sz w:val="22"/>
                <w:szCs w:val="22"/>
              </w:rPr>
              <w:t xml:space="preserve">růměrný vstupní věk </w:t>
            </w:r>
          </w:p>
        </w:tc>
        <w:tc>
          <w:tcPr>
            <w:tcW w:w="1660" w:type="dxa"/>
            <w:tcBorders>
              <w:top w:val="single" w:sz="8" w:space="0" w:color="auto"/>
              <w:left w:val="nil"/>
              <w:bottom w:val="single" w:sz="4" w:space="0" w:color="auto"/>
              <w:right w:val="single" w:sz="8"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nejčastěji sjednáváno </w:t>
            </w:r>
          </w:p>
        </w:tc>
      </w:tr>
      <w:tr w:rsidR="00B11637" w:rsidRPr="00690D9C"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23 let </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19-letí </w:t>
            </w:r>
          </w:p>
        </w:tc>
      </w:tr>
      <w:tr w:rsidR="00B11637" w:rsidRPr="00690D9C"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36 let </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38-letí </w:t>
            </w:r>
          </w:p>
        </w:tc>
      </w:tr>
      <w:tr w:rsidR="00B11637" w:rsidRPr="00690D9C"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45 let </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42-letí </w:t>
            </w:r>
          </w:p>
        </w:tc>
      </w:tr>
      <w:tr w:rsidR="00B11637" w:rsidRPr="00690D9C"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58 let </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690D9C" w:rsidRDefault="00B11637" w:rsidP="002A75D8">
            <w:pPr>
              <w:spacing w:after="0" w:line="240" w:lineRule="auto"/>
              <w:jc w:val="left"/>
              <w:rPr>
                <w:rFonts w:ascii="Calibri" w:hAnsi="Calibri" w:cs="Calibri"/>
                <w:color w:val="000000"/>
                <w:sz w:val="22"/>
                <w:szCs w:val="22"/>
              </w:rPr>
            </w:pPr>
            <w:r w:rsidRPr="00690D9C">
              <w:rPr>
                <w:rFonts w:ascii="Calibri" w:hAnsi="Calibri" w:cs="Calibri"/>
                <w:color w:val="000000"/>
                <w:sz w:val="22"/>
                <w:szCs w:val="22"/>
              </w:rPr>
              <w:t xml:space="preserve">60-letí </w:t>
            </w:r>
          </w:p>
        </w:tc>
      </w:tr>
    </w:tbl>
    <w:p w:rsidR="00B11637" w:rsidRDefault="00B11637" w:rsidP="00B11637">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jc w:val="left"/>
        <w:rPr>
          <w:sz w:val="20"/>
        </w:rPr>
      </w:pPr>
      <w:r>
        <w:rPr>
          <w:sz w:val="20"/>
        </w:rPr>
        <w:lastRenderedPageBreak/>
        <w:t>Graf. 13</w:t>
      </w:r>
      <w:r w:rsidRPr="00242A9C">
        <w:rPr>
          <w:sz w:val="20"/>
        </w:rPr>
        <w:t xml:space="preserve"> </w:t>
      </w:r>
      <w:r w:rsidR="00203A95">
        <w:rPr>
          <w:sz w:val="20"/>
        </w:rPr>
        <w:t>Produkt XY</w:t>
      </w:r>
      <w:r w:rsidRPr="007B2B93">
        <w:rPr>
          <w:sz w:val="20"/>
        </w:rPr>
        <w:t xml:space="preserve"> dle pohlaví, věk do 30 let </w:t>
      </w:r>
      <w:r>
        <w:rPr>
          <w:sz w:val="20"/>
        </w:rPr>
        <w:t>(osa Y- počet klientů)</w:t>
      </w:r>
      <w:r w:rsidRPr="003D445E">
        <w:rPr>
          <w:noProof/>
        </w:rPr>
        <w:drawing>
          <wp:inline distT="0" distB="0" distL="0" distR="0">
            <wp:extent cx="3240000" cy="1983441"/>
            <wp:effectExtent l="19050" t="0" r="17550" b="0"/>
            <wp:docPr id="14" name="Graf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7B2B93" w:rsidRDefault="00B11637" w:rsidP="00B11637">
      <w:pPr>
        <w:jc w:val="left"/>
      </w:pPr>
    </w:p>
    <w:p w:rsidR="00B11637" w:rsidRDefault="00B11637" w:rsidP="00B11637">
      <w:pPr>
        <w:jc w:val="left"/>
        <w:rPr>
          <w:sz w:val="20"/>
        </w:rPr>
      </w:pPr>
      <w:r>
        <w:rPr>
          <w:sz w:val="20"/>
        </w:rPr>
        <w:t>Graf. 14</w:t>
      </w:r>
      <w:r w:rsidRPr="00242A9C">
        <w:rPr>
          <w:sz w:val="20"/>
        </w:rPr>
        <w:t xml:space="preserve"> </w:t>
      </w:r>
      <w:r w:rsidR="00203A95">
        <w:rPr>
          <w:sz w:val="20"/>
        </w:rPr>
        <w:t>Produkt XY</w:t>
      </w:r>
      <w:r w:rsidRPr="00315A66">
        <w:rPr>
          <w:sz w:val="20"/>
        </w:rPr>
        <w:t xml:space="preserve"> dle pohlaví, věk 31-40 let </w:t>
      </w:r>
      <w:r>
        <w:rPr>
          <w:sz w:val="20"/>
        </w:rPr>
        <w:t>(osa Y- počet klientů)</w:t>
      </w:r>
      <w:r w:rsidRPr="003D445E">
        <w:rPr>
          <w:noProof/>
        </w:rPr>
        <w:drawing>
          <wp:inline distT="0" distB="0" distL="0" distR="0">
            <wp:extent cx="3241843" cy="1980000"/>
            <wp:effectExtent l="19050" t="0" r="15707" b="1200"/>
            <wp:docPr id="15" name="Graf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r w:rsidRPr="00982056">
        <w:rPr>
          <w:sz w:val="20"/>
        </w:rPr>
        <w:t xml:space="preserve"> </w:t>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pPr>
        <w:jc w:val="left"/>
        <w:rPr>
          <w:sz w:val="20"/>
        </w:rPr>
      </w:pPr>
    </w:p>
    <w:p w:rsidR="00B11637" w:rsidRDefault="00B11637" w:rsidP="00B11637">
      <w:pPr>
        <w:jc w:val="left"/>
        <w:rPr>
          <w:sz w:val="20"/>
        </w:rPr>
      </w:pPr>
      <w:r>
        <w:rPr>
          <w:sz w:val="20"/>
        </w:rPr>
        <w:t>Graf. 15</w:t>
      </w:r>
      <w:r w:rsidRPr="00242A9C">
        <w:rPr>
          <w:sz w:val="20"/>
        </w:rPr>
        <w:t xml:space="preserve"> </w:t>
      </w:r>
      <w:r w:rsidR="00203A95">
        <w:rPr>
          <w:sz w:val="20"/>
        </w:rPr>
        <w:t>Produkt XY</w:t>
      </w:r>
      <w:r w:rsidRPr="00F12E6A">
        <w:rPr>
          <w:sz w:val="20"/>
        </w:rPr>
        <w:t xml:space="preserve"> dle pohlaví, věk 41-50 let </w:t>
      </w:r>
      <w:r>
        <w:rPr>
          <w:sz w:val="20"/>
        </w:rPr>
        <w:t>(osa Y- počet klientů)</w:t>
      </w:r>
      <w:r w:rsidRPr="003D445E">
        <w:rPr>
          <w:noProof/>
        </w:rPr>
        <w:drawing>
          <wp:inline distT="0" distB="0" distL="0" distR="0">
            <wp:extent cx="3241843" cy="1980000"/>
            <wp:effectExtent l="19050" t="0" r="15707" b="1200"/>
            <wp:docPr id="16" name="Graf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r w:rsidRPr="00DC2701">
        <w:rPr>
          <w:sz w:val="20"/>
        </w:rPr>
        <w:t xml:space="preserve"> </w:t>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4903E2" w:rsidRDefault="00B11637" w:rsidP="00B11637">
      <w:pPr>
        <w:jc w:val="left"/>
        <w:rPr>
          <w:sz w:val="20"/>
        </w:rPr>
      </w:pPr>
      <w:r>
        <w:rPr>
          <w:sz w:val="20"/>
        </w:rPr>
        <w:lastRenderedPageBreak/>
        <w:t>Graf. 16</w:t>
      </w:r>
      <w:r w:rsidRPr="00242A9C">
        <w:rPr>
          <w:sz w:val="20"/>
        </w:rPr>
        <w:t xml:space="preserve"> </w:t>
      </w:r>
      <w:r w:rsidR="00203A95">
        <w:rPr>
          <w:sz w:val="20"/>
        </w:rPr>
        <w:t>Produkt XY</w:t>
      </w:r>
      <w:r w:rsidRPr="004903E2">
        <w:rPr>
          <w:sz w:val="20"/>
        </w:rPr>
        <w:t xml:space="preserve"> dle pohlaví, věk 51+ let </w:t>
      </w:r>
      <w:r>
        <w:rPr>
          <w:sz w:val="20"/>
        </w:rPr>
        <w:t>(osa Y- počet klientů)</w:t>
      </w:r>
      <w:r w:rsidRPr="003D445E">
        <w:rPr>
          <w:noProof/>
        </w:rPr>
        <w:drawing>
          <wp:inline distT="0" distB="0" distL="0" distR="0">
            <wp:extent cx="3241843" cy="1980000"/>
            <wp:effectExtent l="19050" t="0" r="15707" b="1200"/>
            <wp:docPr id="17" name="Graf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r w:rsidRPr="00DC2701">
        <w:rPr>
          <w:sz w:val="20"/>
        </w:rPr>
        <w:t xml:space="preserve"> </w:t>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r>
        <w:rPr>
          <w:sz w:val="20"/>
        </w:rPr>
        <w:t>Tabulka 3</w:t>
      </w:r>
      <w:r w:rsidRPr="00EF7090">
        <w:rPr>
          <w:sz w:val="20"/>
        </w:rPr>
        <w:t xml:space="preserve"> </w:t>
      </w:r>
      <w:r>
        <w:rPr>
          <w:sz w:val="20"/>
        </w:rPr>
        <w:t>Závažná onemocnění ZO</w:t>
      </w:r>
    </w:p>
    <w:tbl>
      <w:tblPr>
        <w:tblW w:w="4740" w:type="dxa"/>
        <w:tblInd w:w="56" w:type="dxa"/>
        <w:tblCellMar>
          <w:left w:w="70" w:type="dxa"/>
          <w:right w:w="70" w:type="dxa"/>
        </w:tblCellMar>
        <w:tblLook w:val="04A0"/>
      </w:tblPr>
      <w:tblGrid>
        <w:gridCol w:w="865"/>
        <w:gridCol w:w="2215"/>
        <w:gridCol w:w="1660"/>
      </w:tblGrid>
      <w:tr w:rsidR="00B11637" w:rsidRPr="005260BD" w:rsidTr="002A75D8">
        <w:trPr>
          <w:trHeight w:val="315"/>
        </w:trPr>
        <w:tc>
          <w:tcPr>
            <w:tcW w:w="8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věk </w:t>
            </w:r>
          </w:p>
        </w:tc>
        <w:tc>
          <w:tcPr>
            <w:tcW w:w="2215" w:type="dxa"/>
            <w:tcBorders>
              <w:top w:val="single" w:sz="8" w:space="0" w:color="auto"/>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ZO sjednávání [%]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průměrná PČ ZO </w:t>
            </w:r>
            <w:r>
              <w:rPr>
                <w:rFonts w:ascii="Calibri" w:hAnsi="Calibri" w:cs="Calibri"/>
                <w:color w:val="000000"/>
                <w:sz w:val="22"/>
                <w:szCs w:val="22"/>
              </w:rPr>
              <w:t>(Kč)</w:t>
            </w:r>
          </w:p>
        </w:tc>
      </w:tr>
      <w:tr w:rsidR="00B11637" w:rsidRPr="005260BD"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do 30 </w:t>
            </w:r>
          </w:p>
        </w:tc>
        <w:tc>
          <w:tcPr>
            <w:tcW w:w="2215"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7</w:t>
            </w:r>
            <w:r>
              <w:rPr>
                <w:rFonts w:ascii="Calibri" w:hAnsi="Calibri" w:cs="Calibri"/>
                <w:color w:val="000000"/>
                <w:sz w:val="22"/>
                <w:szCs w:val="22"/>
              </w:rPr>
              <w:t>,</w:t>
            </w:r>
            <w:r w:rsidRPr="005260BD">
              <w:rPr>
                <w:rFonts w:ascii="Calibri" w:hAnsi="Calibri" w:cs="Calibri"/>
                <w:color w:val="000000"/>
                <w:sz w:val="22"/>
                <w:szCs w:val="22"/>
              </w:rPr>
              <w:t>06</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164337</w:t>
            </w:r>
          </w:p>
        </w:tc>
      </w:tr>
      <w:tr w:rsidR="00B11637" w:rsidRPr="005260BD"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31-40 </w:t>
            </w:r>
          </w:p>
        </w:tc>
        <w:tc>
          <w:tcPr>
            <w:tcW w:w="2215"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6</w:t>
            </w:r>
            <w:r>
              <w:rPr>
                <w:rFonts w:ascii="Calibri" w:hAnsi="Calibri" w:cs="Calibri"/>
                <w:color w:val="000000"/>
                <w:sz w:val="22"/>
                <w:szCs w:val="22"/>
              </w:rPr>
              <w:t>,</w:t>
            </w:r>
            <w:r w:rsidRPr="005260BD">
              <w:rPr>
                <w:rFonts w:ascii="Calibri" w:hAnsi="Calibri" w:cs="Calibri"/>
                <w:color w:val="000000"/>
                <w:sz w:val="22"/>
                <w:szCs w:val="22"/>
              </w:rPr>
              <w:t>55</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161503</w:t>
            </w:r>
          </w:p>
        </w:tc>
      </w:tr>
      <w:tr w:rsidR="00B11637" w:rsidRPr="005260BD"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41-50 </w:t>
            </w:r>
          </w:p>
        </w:tc>
        <w:tc>
          <w:tcPr>
            <w:tcW w:w="2215"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4</w:t>
            </w:r>
            <w:r>
              <w:rPr>
                <w:rFonts w:ascii="Calibri" w:hAnsi="Calibri" w:cs="Calibri"/>
                <w:color w:val="000000"/>
                <w:sz w:val="22"/>
                <w:szCs w:val="22"/>
              </w:rPr>
              <w:t>,</w:t>
            </w:r>
            <w:r w:rsidRPr="005260BD">
              <w:rPr>
                <w:rFonts w:ascii="Calibri" w:hAnsi="Calibri" w:cs="Calibri"/>
                <w:color w:val="000000"/>
                <w:sz w:val="22"/>
                <w:szCs w:val="22"/>
              </w:rPr>
              <w:t>09</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141619</w:t>
            </w:r>
          </w:p>
        </w:tc>
      </w:tr>
      <w:tr w:rsidR="00B11637" w:rsidRPr="005260BD"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left"/>
              <w:rPr>
                <w:rFonts w:ascii="Calibri" w:hAnsi="Calibri" w:cs="Calibri"/>
                <w:color w:val="000000"/>
                <w:sz w:val="22"/>
                <w:szCs w:val="22"/>
              </w:rPr>
            </w:pPr>
            <w:r w:rsidRPr="005260BD">
              <w:rPr>
                <w:rFonts w:ascii="Calibri" w:hAnsi="Calibri" w:cs="Calibri"/>
                <w:color w:val="000000"/>
                <w:sz w:val="22"/>
                <w:szCs w:val="22"/>
              </w:rPr>
              <w:t xml:space="preserve">51+ </w:t>
            </w:r>
          </w:p>
        </w:tc>
        <w:tc>
          <w:tcPr>
            <w:tcW w:w="2215"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1</w:t>
            </w:r>
            <w:r>
              <w:rPr>
                <w:rFonts w:ascii="Calibri" w:hAnsi="Calibri" w:cs="Calibri"/>
                <w:color w:val="000000"/>
                <w:sz w:val="22"/>
                <w:szCs w:val="22"/>
              </w:rPr>
              <w:t>,</w:t>
            </w:r>
            <w:r w:rsidRPr="005260BD">
              <w:rPr>
                <w:rFonts w:ascii="Calibri" w:hAnsi="Calibri" w:cs="Calibri"/>
                <w:color w:val="000000"/>
                <w:sz w:val="22"/>
                <w:szCs w:val="22"/>
              </w:rPr>
              <w:t>23</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5260BD" w:rsidRDefault="00B11637" w:rsidP="002A75D8">
            <w:pPr>
              <w:spacing w:after="0" w:line="240" w:lineRule="auto"/>
              <w:jc w:val="right"/>
              <w:rPr>
                <w:rFonts w:ascii="Calibri" w:hAnsi="Calibri" w:cs="Calibri"/>
                <w:color w:val="000000"/>
                <w:sz w:val="22"/>
                <w:szCs w:val="22"/>
              </w:rPr>
            </w:pPr>
            <w:r w:rsidRPr="005260BD">
              <w:rPr>
                <w:rFonts w:ascii="Calibri" w:hAnsi="Calibri" w:cs="Calibri"/>
                <w:color w:val="000000"/>
                <w:sz w:val="22"/>
                <w:szCs w:val="22"/>
              </w:rPr>
              <w:t>89320</w:t>
            </w:r>
          </w:p>
        </w:tc>
      </w:tr>
    </w:tbl>
    <w:p w:rsidR="00B11637" w:rsidRPr="009E0277" w:rsidRDefault="00B11637" w:rsidP="00B11637">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Default="00B11637" w:rsidP="00B11637">
      <w:r>
        <w:rPr>
          <w:sz w:val="20"/>
        </w:rPr>
        <w:t>Tabulka 4 Kritická onemocnění KO</w:t>
      </w:r>
    </w:p>
    <w:tbl>
      <w:tblPr>
        <w:tblW w:w="4140" w:type="dxa"/>
        <w:tblInd w:w="56" w:type="dxa"/>
        <w:tblCellMar>
          <w:left w:w="70" w:type="dxa"/>
          <w:right w:w="70" w:type="dxa"/>
        </w:tblCellMar>
        <w:tblLook w:val="04A0"/>
      </w:tblPr>
      <w:tblGrid>
        <w:gridCol w:w="865"/>
        <w:gridCol w:w="1615"/>
        <w:gridCol w:w="1660"/>
      </w:tblGrid>
      <w:tr w:rsidR="00B11637" w:rsidRPr="00F4447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věk </w:t>
            </w:r>
          </w:p>
        </w:tc>
        <w:tc>
          <w:tcPr>
            <w:tcW w:w="1615" w:type="dxa"/>
            <w:tcBorders>
              <w:top w:val="single" w:sz="8" w:space="0" w:color="auto"/>
              <w:left w:val="nil"/>
              <w:bottom w:val="single" w:sz="8"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KO sjednávání [%] </w:t>
            </w:r>
          </w:p>
        </w:tc>
        <w:tc>
          <w:tcPr>
            <w:tcW w:w="1660" w:type="dxa"/>
            <w:tcBorders>
              <w:top w:val="single" w:sz="8" w:space="0" w:color="auto"/>
              <w:left w:val="nil"/>
              <w:bottom w:val="single" w:sz="8" w:space="0" w:color="auto"/>
              <w:right w:val="single" w:sz="8"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průměrná PČ KO</w:t>
            </w:r>
            <w:r>
              <w:rPr>
                <w:rFonts w:ascii="Calibri" w:hAnsi="Calibri" w:cs="Calibri"/>
                <w:color w:val="000000"/>
                <w:sz w:val="22"/>
                <w:szCs w:val="22"/>
              </w:rPr>
              <w:t xml:space="preserve"> (Kč)</w:t>
            </w:r>
            <w:r w:rsidRPr="00F44471">
              <w:rPr>
                <w:rFonts w:ascii="Calibri" w:hAnsi="Calibri" w:cs="Calibri"/>
                <w:color w:val="000000"/>
                <w:sz w:val="22"/>
                <w:szCs w:val="22"/>
              </w:rPr>
              <w:t xml:space="preserve"> </w:t>
            </w:r>
          </w:p>
        </w:tc>
      </w:tr>
      <w:tr w:rsidR="00B11637" w:rsidRPr="00F4447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0</w:t>
            </w:r>
            <w:r>
              <w:rPr>
                <w:rFonts w:ascii="Calibri" w:hAnsi="Calibri" w:cs="Calibri"/>
                <w:color w:val="000000"/>
                <w:sz w:val="22"/>
                <w:szCs w:val="22"/>
              </w:rPr>
              <w:t>,</w:t>
            </w:r>
            <w:r w:rsidRPr="00F44471">
              <w:rPr>
                <w:rFonts w:ascii="Calibri" w:hAnsi="Calibri" w:cs="Calibri"/>
                <w:color w:val="000000"/>
                <w:sz w:val="22"/>
                <w:szCs w:val="22"/>
              </w:rPr>
              <w:t>63</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143279</w:t>
            </w:r>
          </w:p>
        </w:tc>
      </w:tr>
      <w:tr w:rsidR="00B11637" w:rsidRPr="00F4447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0</w:t>
            </w:r>
            <w:r>
              <w:rPr>
                <w:rFonts w:ascii="Calibri" w:hAnsi="Calibri" w:cs="Calibri"/>
                <w:color w:val="000000"/>
                <w:sz w:val="22"/>
                <w:szCs w:val="22"/>
              </w:rPr>
              <w:t>,</w:t>
            </w:r>
            <w:r w:rsidRPr="00F44471">
              <w:rPr>
                <w:rFonts w:ascii="Calibri" w:hAnsi="Calibri" w:cs="Calibri"/>
                <w:color w:val="000000"/>
                <w:sz w:val="22"/>
                <w:szCs w:val="22"/>
              </w:rPr>
              <w:t>66</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148158</w:t>
            </w:r>
          </w:p>
        </w:tc>
      </w:tr>
      <w:tr w:rsidR="00B11637" w:rsidRPr="00F4447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0</w:t>
            </w:r>
            <w:r>
              <w:rPr>
                <w:rFonts w:ascii="Calibri" w:hAnsi="Calibri" w:cs="Calibri"/>
                <w:color w:val="000000"/>
                <w:sz w:val="22"/>
                <w:szCs w:val="22"/>
              </w:rPr>
              <w:t>,</w:t>
            </w:r>
            <w:r w:rsidRPr="00F44471">
              <w:rPr>
                <w:rFonts w:ascii="Calibri" w:hAnsi="Calibri" w:cs="Calibri"/>
                <w:color w:val="000000"/>
                <w:sz w:val="22"/>
                <w:szCs w:val="22"/>
              </w:rPr>
              <w:t>45</w:t>
            </w:r>
          </w:p>
        </w:tc>
        <w:tc>
          <w:tcPr>
            <w:tcW w:w="1660" w:type="dxa"/>
            <w:tcBorders>
              <w:top w:val="nil"/>
              <w:left w:val="nil"/>
              <w:bottom w:val="single" w:sz="4" w:space="0" w:color="auto"/>
              <w:right w:val="single" w:sz="8"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141095</w:t>
            </w:r>
          </w:p>
        </w:tc>
      </w:tr>
      <w:tr w:rsidR="00B11637" w:rsidRPr="00F4447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B11637" w:rsidRPr="00F44471" w:rsidRDefault="00B11637" w:rsidP="002A75D8">
            <w:pPr>
              <w:spacing w:after="0" w:line="240" w:lineRule="auto"/>
              <w:jc w:val="left"/>
              <w:rPr>
                <w:rFonts w:ascii="Calibri" w:hAnsi="Calibri" w:cs="Calibri"/>
                <w:color w:val="000000"/>
                <w:sz w:val="22"/>
                <w:szCs w:val="22"/>
              </w:rPr>
            </w:pPr>
            <w:r w:rsidRPr="00F44471">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0</w:t>
            </w:r>
            <w:r>
              <w:rPr>
                <w:rFonts w:ascii="Calibri" w:hAnsi="Calibri" w:cs="Calibri"/>
                <w:color w:val="000000"/>
                <w:sz w:val="22"/>
                <w:szCs w:val="22"/>
              </w:rPr>
              <w:t>,</w:t>
            </w:r>
            <w:r w:rsidRPr="00F44471">
              <w:rPr>
                <w:rFonts w:ascii="Calibri" w:hAnsi="Calibri" w:cs="Calibri"/>
                <w:color w:val="000000"/>
                <w:sz w:val="22"/>
                <w:szCs w:val="22"/>
              </w:rPr>
              <w:t>16</w:t>
            </w:r>
          </w:p>
        </w:tc>
        <w:tc>
          <w:tcPr>
            <w:tcW w:w="1660" w:type="dxa"/>
            <w:tcBorders>
              <w:top w:val="nil"/>
              <w:left w:val="nil"/>
              <w:bottom w:val="single" w:sz="8" w:space="0" w:color="auto"/>
              <w:right w:val="single" w:sz="8" w:space="0" w:color="auto"/>
            </w:tcBorders>
            <w:shd w:val="clear" w:color="auto" w:fill="auto"/>
            <w:noWrap/>
            <w:vAlign w:val="bottom"/>
            <w:hideMark/>
          </w:tcPr>
          <w:p w:rsidR="00B11637" w:rsidRPr="00F44471" w:rsidRDefault="00B11637" w:rsidP="002A75D8">
            <w:pPr>
              <w:spacing w:after="0" w:line="240" w:lineRule="auto"/>
              <w:jc w:val="right"/>
              <w:rPr>
                <w:rFonts w:ascii="Calibri" w:hAnsi="Calibri" w:cs="Calibri"/>
                <w:color w:val="000000"/>
                <w:sz w:val="22"/>
                <w:szCs w:val="22"/>
              </w:rPr>
            </w:pPr>
            <w:r w:rsidRPr="00F44471">
              <w:rPr>
                <w:rFonts w:ascii="Calibri" w:hAnsi="Calibri" w:cs="Calibri"/>
                <w:color w:val="000000"/>
                <w:sz w:val="22"/>
                <w:szCs w:val="22"/>
              </w:rPr>
              <w:t>183000</w:t>
            </w:r>
          </w:p>
        </w:tc>
      </w:tr>
    </w:tbl>
    <w:p w:rsidR="00B11637" w:rsidRPr="00526CF9" w:rsidRDefault="00B11637" w:rsidP="00B11637">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5</w:t>
      </w:r>
      <w:r w:rsidRPr="00EF7090">
        <w:rPr>
          <w:sz w:val="20"/>
        </w:rPr>
        <w:t xml:space="preserve"> </w:t>
      </w:r>
      <w:r>
        <w:rPr>
          <w:sz w:val="20"/>
        </w:rPr>
        <w:t>Z</w:t>
      </w:r>
      <w:r w:rsidRPr="00526CF9">
        <w:rPr>
          <w:sz w:val="20"/>
        </w:rPr>
        <w:t>proštění sjednávání</w:t>
      </w:r>
    </w:p>
    <w:tbl>
      <w:tblPr>
        <w:tblW w:w="3080" w:type="dxa"/>
        <w:tblInd w:w="56" w:type="dxa"/>
        <w:tblCellMar>
          <w:left w:w="70" w:type="dxa"/>
          <w:right w:w="70" w:type="dxa"/>
        </w:tblCellMar>
        <w:tblLook w:val="04A0"/>
      </w:tblPr>
      <w:tblGrid>
        <w:gridCol w:w="865"/>
        <w:gridCol w:w="2215"/>
      </w:tblGrid>
      <w:tr w:rsidR="002A75D8" w:rsidRPr="00E23A76" w:rsidTr="002A75D8">
        <w:trPr>
          <w:trHeight w:val="315"/>
        </w:trPr>
        <w:tc>
          <w:tcPr>
            <w:tcW w:w="865"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věk </w:t>
            </w:r>
          </w:p>
        </w:tc>
        <w:tc>
          <w:tcPr>
            <w:tcW w:w="2215" w:type="dxa"/>
            <w:tcBorders>
              <w:top w:val="single" w:sz="8" w:space="0" w:color="auto"/>
              <w:left w:val="nil"/>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zproštění sjednávání [%] </w:t>
            </w:r>
          </w:p>
        </w:tc>
      </w:tr>
      <w:tr w:rsidR="002A75D8" w:rsidRPr="00E23A76"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do 30 </w:t>
            </w:r>
          </w:p>
        </w:tc>
        <w:tc>
          <w:tcPr>
            <w:tcW w:w="2215" w:type="dxa"/>
            <w:tcBorders>
              <w:top w:val="nil"/>
              <w:left w:val="nil"/>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right"/>
              <w:rPr>
                <w:rFonts w:ascii="Calibri" w:hAnsi="Calibri" w:cs="Calibri"/>
                <w:color w:val="000000"/>
                <w:sz w:val="22"/>
                <w:szCs w:val="22"/>
              </w:rPr>
            </w:pPr>
            <w:r w:rsidRPr="00E23A76">
              <w:rPr>
                <w:rFonts w:ascii="Calibri" w:hAnsi="Calibri" w:cs="Calibri"/>
                <w:color w:val="000000"/>
                <w:sz w:val="22"/>
                <w:szCs w:val="22"/>
              </w:rPr>
              <w:t>49</w:t>
            </w:r>
            <w:r>
              <w:rPr>
                <w:rFonts w:ascii="Calibri" w:hAnsi="Calibri" w:cs="Calibri"/>
                <w:color w:val="000000"/>
                <w:sz w:val="22"/>
                <w:szCs w:val="22"/>
              </w:rPr>
              <w:t>,</w:t>
            </w:r>
            <w:r w:rsidRPr="00E23A76">
              <w:rPr>
                <w:rFonts w:ascii="Calibri" w:hAnsi="Calibri" w:cs="Calibri"/>
                <w:color w:val="000000"/>
                <w:sz w:val="22"/>
                <w:szCs w:val="22"/>
              </w:rPr>
              <w:t>35</w:t>
            </w:r>
          </w:p>
        </w:tc>
      </w:tr>
      <w:tr w:rsidR="002A75D8" w:rsidRPr="00E23A76"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31-40 </w:t>
            </w:r>
          </w:p>
        </w:tc>
        <w:tc>
          <w:tcPr>
            <w:tcW w:w="2215" w:type="dxa"/>
            <w:tcBorders>
              <w:top w:val="nil"/>
              <w:left w:val="nil"/>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right"/>
              <w:rPr>
                <w:rFonts w:ascii="Calibri" w:hAnsi="Calibri" w:cs="Calibri"/>
                <w:color w:val="000000"/>
                <w:sz w:val="22"/>
                <w:szCs w:val="22"/>
              </w:rPr>
            </w:pPr>
            <w:r w:rsidRPr="00E23A76">
              <w:rPr>
                <w:rFonts w:ascii="Calibri" w:hAnsi="Calibri" w:cs="Calibri"/>
                <w:color w:val="000000"/>
                <w:sz w:val="22"/>
                <w:szCs w:val="22"/>
              </w:rPr>
              <w:t>48</w:t>
            </w:r>
            <w:r>
              <w:rPr>
                <w:rFonts w:ascii="Calibri" w:hAnsi="Calibri" w:cs="Calibri"/>
                <w:color w:val="000000"/>
                <w:sz w:val="22"/>
                <w:szCs w:val="22"/>
              </w:rPr>
              <w:t>,</w:t>
            </w:r>
            <w:r w:rsidRPr="00E23A76">
              <w:rPr>
                <w:rFonts w:ascii="Calibri" w:hAnsi="Calibri" w:cs="Calibri"/>
                <w:color w:val="000000"/>
                <w:sz w:val="22"/>
                <w:szCs w:val="22"/>
              </w:rPr>
              <w:t>82</w:t>
            </w:r>
          </w:p>
        </w:tc>
      </w:tr>
      <w:tr w:rsidR="002A75D8" w:rsidRPr="00E23A76"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41-50 </w:t>
            </w:r>
          </w:p>
        </w:tc>
        <w:tc>
          <w:tcPr>
            <w:tcW w:w="2215" w:type="dxa"/>
            <w:tcBorders>
              <w:top w:val="nil"/>
              <w:left w:val="nil"/>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right"/>
              <w:rPr>
                <w:rFonts w:ascii="Calibri" w:hAnsi="Calibri" w:cs="Calibri"/>
                <w:color w:val="000000"/>
                <w:sz w:val="22"/>
                <w:szCs w:val="22"/>
              </w:rPr>
            </w:pPr>
            <w:r w:rsidRPr="00E23A76">
              <w:rPr>
                <w:rFonts w:ascii="Calibri" w:hAnsi="Calibri" w:cs="Calibri"/>
                <w:color w:val="000000"/>
                <w:sz w:val="22"/>
                <w:szCs w:val="22"/>
              </w:rPr>
              <w:t>42</w:t>
            </w:r>
            <w:r>
              <w:rPr>
                <w:rFonts w:ascii="Calibri" w:hAnsi="Calibri" w:cs="Calibri"/>
                <w:color w:val="000000"/>
                <w:sz w:val="22"/>
                <w:szCs w:val="22"/>
              </w:rPr>
              <w:t>,</w:t>
            </w:r>
            <w:r w:rsidRPr="00E23A76">
              <w:rPr>
                <w:rFonts w:ascii="Calibri" w:hAnsi="Calibri" w:cs="Calibri"/>
                <w:color w:val="000000"/>
                <w:sz w:val="22"/>
                <w:szCs w:val="22"/>
              </w:rPr>
              <w:t>46</w:t>
            </w:r>
          </w:p>
        </w:tc>
      </w:tr>
      <w:tr w:rsidR="002A75D8" w:rsidRPr="00E23A76" w:rsidTr="002A75D8">
        <w:trPr>
          <w:trHeight w:val="315"/>
        </w:trPr>
        <w:tc>
          <w:tcPr>
            <w:tcW w:w="865" w:type="dxa"/>
            <w:tcBorders>
              <w:top w:val="nil"/>
              <w:left w:val="single" w:sz="8" w:space="0" w:color="auto"/>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left"/>
              <w:rPr>
                <w:rFonts w:ascii="Calibri" w:hAnsi="Calibri" w:cs="Calibri"/>
                <w:color w:val="000000"/>
                <w:sz w:val="22"/>
                <w:szCs w:val="22"/>
              </w:rPr>
            </w:pPr>
            <w:r w:rsidRPr="00E23A76">
              <w:rPr>
                <w:rFonts w:ascii="Calibri" w:hAnsi="Calibri" w:cs="Calibri"/>
                <w:color w:val="000000"/>
                <w:sz w:val="22"/>
                <w:szCs w:val="22"/>
              </w:rPr>
              <w:t xml:space="preserve">51+ </w:t>
            </w:r>
          </w:p>
        </w:tc>
        <w:tc>
          <w:tcPr>
            <w:tcW w:w="2215" w:type="dxa"/>
            <w:tcBorders>
              <w:top w:val="nil"/>
              <w:left w:val="nil"/>
              <w:bottom w:val="single" w:sz="8" w:space="0" w:color="auto"/>
              <w:right w:val="single" w:sz="8" w:space="0" w:color="auto"/>
            </w:tcBorders>
            <w:shd w:val="clear" w:color="auto" w:fill="auto"/>
            <w:noWrap/>
            <w:vAlign w:val="bottom"/>
            <w:hideMark/>
          </w:tcPr>
          <w:p w:rsidR="002A75D8" w:rsidRPr="00E23A76" w:rsidRDefault="002A75D8" w:rsidP="002A75D8">
            <w:pPr>
              <w:spacing w:after="0" w:line="240" w:lineRule="auto"/>
              <w:jc w:val="right"/>
              <w:rPr>
                <w:rFonts w:ascii="Calibri" w:hAnsi="Calibri" w:cs="Calibri"/>
                <w:color w:val="000000"/>
                <w:sz w:val="22"/>
                <w:szCs w:val="22"/>
              </w:rPr>
            </w:pPr>
            <w:r w:rsidRPr="00E23A76">
              <w:rPr>
                <w:rFonts w:ascii="Calibri" w:hAnsi="Calibri" w:cs="Calibri"/>
                <w:color w:val="000000"/>
                <w:sz w:val="22"/>
                <w:szCs w:val="22"/>
              </w:rPr>
              <w:t>16</w:t>
            </w:r>
            <w:r>
              <w:rPr>
                <w:rFonts w:ascii="Calibri" w:hAnsi="Calibri" w:cs="Calibri"/>
                <w:color w:val="000000"/>
                <w:sz w:val="22"/>
                <w:szCs w:val="22"/>
              </w:rPr>
              <w:t>,</w:t>
            </w:r>
            <w:r w:rsidRPr="00E23A76">
              <w:rPr>
                <w:rFonts w:ascii="Calibri" w:hAnsi="Calibri" w:cs="Calibri"/>
                <w:color w:val="000000"/>
                <w:sz w:val="22"/>
                <w:szCs w:val="22"/>
              </w:rPr>
              <w:t>22</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lastRenderedPageBreak/>
        <w:t>Tabulka 6</w:t>
      </w:r>
      <w:r w:rsidRPr="00EF7090">
        <w:rPr>
          <w:sz w:val="20"/>
        </w:rPr>
        <w:t xml:space="preserve"> </w:t>
      </w:r>
      <w:r>
        <w:rPr>
          <w:sz w:val="20"/>
        </w:rPr>
        <w:t>Smrt úrazem</w:t>
      </w:r>
    </w:p>
    <w:tbl>
      <w:tblPr>
        <w:tblW w:w="4320" w:type="dxa"/>
        <w:tblInd w:w="56" w:type="dxa"/>
        <w:tblCellMar>
          <w:left w:w="70" w:type="dxa"/>
          <w:right w:w="70" w:type="dxa"/>
        </w:tblCellMar>
        <w:tblLook w:val="04A0"/>
      </w:tblPr>
      <w:tblGrid>
        <w:gridCol w:w="865"/>
        <w:gridCol w:w="1615"/>
        <w:gridCol w:w="1840"/>
      </w:tblGrid>
      <w:tr w:rsidR="002A75D8" w:rsidRPr="00617E6A"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SÚ sjednávání [%] </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průměrná PČ SÚ </w:t>
            </w:r>
            <w:r>
              <w:rPr>
                <w:rFonts w:ascii="Calibri" w:hAnsi="Calibri" w:cs="Calibri"/>
                <w:color w:val="000000"/>
                <w:sz w:val="22"/>
                <w:szCs w:val="22"/>
              </w:rPr>
              <w:t>(Kč)</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70</w:t>
            </w:r>
            <w:r>
              <w:rPr>
                <w:rFonts w:ascii="Calibri" w:hAnsi="Calibri" w:cs="Calibri"/>
                <w:color w:val="000000"/>
                <w:sz w:val="22"/>
                <w:szCs w:val="22"/>
              </w:rPr>
              <w:t>,</w:t>
            </w:r>
            <w:r w:rsidRPr="00617E6A">
              <w:rPr>
                <w:rFonts w:ascii="Calibri" w:hAnsi="Calibri" w:cs="Calibri"/>
                <w:color w:val="000000"/>
                <w:sz w:val="22"/>
                <w:szCs w:val="22"/>
              </w:rPr>
              <w:t>66</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408488</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67</w:t>
            </w:r>
            <w:r>
              <w:rPr>
                <w:rFonts w:ascii="Calibri" w:hAnsi="Calibri" w:cs="Calibri"/>
                <w:color w:val="000000"/>
                <w:sz w:val="22"/>
                <w:szCs w:val="22"/>
              </w:rPr>
              <w:t>,</w:t>
            </w:r>
            <w:r w:rsidRPr="00617E6A">
              <w:rPr>
                <w:rFonts w:ascii="Calibri" w:hAnsi="Calibri" w:cs="Calibri"/>
                <w:color w:val="000000"/>
                <w:sz w:val="22"/>
                <w:szCs w:val="22"/>
              </w:rPr>
              <w:t>75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539660</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65</w:t>
            </w:r>
            <w:r>
              <w:rPr>
                <w:rFonts w:ascii="Calibri" w:hAnsi="Calibri" w:cs="Calibri"/>
                <w:color w:val="000000"/>
                <w:sz w:val="22"/>
                <w:szCs w:val="22"/>
              </w:rPr>
              <w:t>,</w:t>
            </w:r>
            <w:r w:rsidRPr="00617E6A">
              <w:rPr>
                <w:rFonts w:ascii="Calibri" w:hAnsi="Calibri" w:cs="Calibri"/>
                <w:color w:val="000000"/>
                <w:sz w:val="22"/>
                <w:szCs w:val="22"/>
              </w:rPr>
              <w:t>3</w:t>
            </w:r>
            <w:r>
              <w:rPr>
                <w:rFonts w:ascii="Calibri" w:hAnsi="Calibri" w:cs="Calibri"/>
                <w:color w:val="000000"/>
                <w:sz w:val="22"/>
                <w:szCs w:val="22"/>
              </w:rPr>
              <w:t>0</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530770</w:t>
            </w:r>
          </w:p>
        </w:tc>
      </w:tr>
      <w:tr w:rsidR="002A75D8" w:rsidRPr="00617E6A"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73</w:t>
            </w:r>
            <w:r>
              <w:rPr>
                <w:rFonts w:ascii="Calibri" w:hAnsi="Calibri" w:cs="Calibri"/>
                <w:color w:val="000000"/>
                <w:sz w:val="22"/>
                <w:szCs w:val="22"/>
              </w:rPr>
              <w:t>,</w:t>
            </w:r>
            <w:r w:rsidRPr="00617E6A">
              <w:rPr>
                <w:rFonts w:ascii="Calibri" w:hAnsi="Calibri" w:cs="Calibri"/>
                <w:color w:val="000000"/>
                <w:sz w:val="22"/>
                <w:szCs w:val="22"/>
              </w:rPr>
              <w:t>44</w:t>
            </w:r>
          </w:p>
        </w:tc>
        <w:tc>
          <w:tcPr>
            <w:tcW w:w="1840" w:type="dxa"/>
            <w:tcBorders>
              <w:top w:val="nil"/>
              <w:left w:val="nil"/>
              <w:bottom w:val="single" w:sz="8"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394038</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7</w:t>
      </w:r>
      <w:r w:rsidRPr="00EF7090">
        <w:rPr>
          <w:sz w:val="20"/>
        </w:rPr>
        <w:t xml:space="preserve"> </w:t>
      </w:r>
      <w:r>
        <w:rPr>
          <w:sz w:val="20"/>
        </w:rPr>
        <w:t>Trvalé následky úrazem</w:t>
      </w:r>
    </w:p>
    <w:tbl>
      <w:tblPr>
        <w:tblW w:w="4320" w:type="dxa"/>
        <w:tblInd w:w="56" w:type="dxa"/>
        <w:tblCellMar>
          <w:left w:w="70" w:type="dxa"/>
          <w:right w:w="70" w:type="dxa"/>
        </w:tblCellMar>
        <w:tblLook w:val="04A0"/>
      </w:tblPr>
      <w:tblGrid>
        <w:gridCol w:w="865"/>
        <w:gridCol w:w="1615"/>
        <w:gridCol w:w="1840"/>
      </w:tblGrid>
      <w:tr w:rsidR="002A75D8" w:rsidRPr="00617E6A"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TN sjednávání [%] </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průměrná PČ TN </w:t>
            </w:r>
            <w:r>
              <w:rPr>
                <w:rFonts w:ascii="Calibri" w:hAnsi="Calibri" w:cs="Calibri"/>
                <w:color w:val="000000"/>
                <w:sz w:val="22"/>
                <w:szCs w:val="22"/>
              </w:rPr>
              <w:t>(Kč)</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76</w:t>
            </w:r>
            <w:r>
              <w:rPr>
                <w:rFonts w:ascii="Calibri" w:hAnsi="Calibri" w:cs="Calibri"/>
                <w:color w:val="000000"/>
                <w:sz w:val="22"/>
                <w:szCs w:val="22"/>
              </w:rPr>
              <w:t>,</w:t>
            </w:r>
            <w:r w:rsidRPr="00617E6A">
              <w:rPr>
                <w:rFonts w:ascii="Calibri" w:hAnsi="Calibri" w:cs="Calibri"/>
                <w:color w:val="000000"/>
                <w:sz w:val="22"/>
                <w:szCs w:val="22"/>
              </w:rPr>
              <w:t>74</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375900</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69</w:t>
            </w:r>
            <w:r>
              <w:rPr>
                <w:rFonts w:ascii="Calibri" w:hAnsi="Calibri" w:cs="Calibri"/>
                <w:color w:val="000000"/>
                <w:sz w:val="22"/>
                <w:szCs w:val="22"/>
              </w:rPr>
              <w:t>,</w:t>
            </w:r>
            <w:r w:rsidRPr="00617E6A">
              <w:rPr>
                <w:rFonts w:ascii="Calibri" w:hAnsi="Calibri" w:cs="Calibri"/>
                <w:color w:val="000000"/>
                <w:sz w:val="22"/>
                <w:szCs w:val="22"/>
              </w:rPr>
              <w:t>54</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444384</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67</w:t>
            </w:r>
            <w:r>
              <w:rPr>
                <w:rFonts w:ascii="Calibri" w:hAnsi="Calibri" w:cs="Calibri"/>
                <w:color w:val="000000"/>
                <w:sz w:val="22"/>
                <w:szCs w:val="22"/>
              </w:rPr>
              <w:t>,</w:t>
            </w:r>
            <w:r w:rsidRPr="00617E6A">
              <w:rPr>
                <w:rFonts w:ascii="Calibri" w:hAnsi="Calibri" w:cs="Calibri"/>
                <w:color w:val="000000"/>
                <w:sz w:val="22"/>
                <w:szCs w:val="22"/>
              </w:rPr>
              <w:t>08</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444938</w:t>
            </w:r>
          </w:p>
        </w:tc>
      </w:tr>
      <w:tr w:rsidR="002A75D8" w:rsidRPr="00617E6A"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75</w:t>
            </w:r>
            <w:r>
              <w:rPr>
                <w:rFonts w:ascii="Calibri" w:hAnsi="Calibri" w:cs="Calibri"/>
                <w:color w:val="000000"/>
                <w:sz w:val="22"/>
                <w:szCs w:val="22"/>
              </w:rPr>
              <w:t>,</w:t>
            </w:r>
            <w:r w:rsidRPr="00617E6A">
              <w:rPr>
                <w:rFonts w:ascii="Calibri" w:hAnsi="Calibri" w:cs="Calibri"/>
                <w:color w:val="000000"/>
                <w:sz w:val="22"/>
                <w:szCs w:val="22"/>
              </w:rPr>
              <w:t>01</w:t>
            </w:r>
          </w:p>
        </w:tc>
        <w:tc>
          <w:tcPr>
            <w:tcW w:w="1840" w:type="dxa"/>
            <w:tcBorders>
              <w:top w:val="nil"/>
              <w:left w:val="nil"/>
              <w:bottom w:val="single" w:sz="8"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364936</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8</w:t>
      </w:r>
      <w:r w:rsidRPr="00EF7090">
        <w:rPr>
          <w:sz w:val="20"/>
        </w:rPr>
        <w:t xml:space="preserve"> </w:t>
      </w:r>
      <w:r>
        <w:rPr>
          <w:sz w:val="20"/>
        </w:rPr>
        <w:t>Smrt v motorovém vozidle</w:t>
      </w:r>
    </w:p>
    <w:tbl>
      <w:tblPr>
        <w:tblW w:w="4320" w:type="dxa"/>
        <w:tblInd w:w="56" w:type="dxa"/>
        <w:tblCellMar>
          <w:left w:w="70" w:type="dxa"/>
          <w:right w:w="70" w:type="dxa"/>
        </w:tblCellMar>
        <w:tblLook w:val="04A0"/>
      </w:tblPr>
      <w:tblGrid>
        <w:gridCol w:w="865"/>
        <w:gridCol w:w="1615"/>
        <w:gridCol w:w="1840"/>
      </w:tblGrid>
      <w:tr w:rsidR="002A75D8" w:rsidRPr="00617E6A"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SMV sjednávání [%] </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průměrná PČ SMV </w:t>
            </w:r>
            <w:r>
              <w:rPr>
                <w:rFonts w:ascii="Calibri" w:hAnsi="Calibri" w:cs="Calibri"/>
                <w:color w:val="000000"/>
                <w:sz w:val="22"/>
                <w:szCs w:val="22"/>
              </w:rPr>
              <w:t>(Kč)</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53</w:t>
            </w:r>
            <w:r>
              <w:rPr>
                <w:rFonts w:ascii="Calibri" w:hAnsi="Calibri" w:cs="Calibri"/>
                <w:color w:val="000000"/>
                <w:sz w:val="22"/>
                <w:szCs w:val="22"/>
              </w:rPr>
              <w:t>,</w:t>
            </w:r>
            <w:r w:rsidRPr="00617E6A">
              <w:rPr>
                <w:rFonts w:ascii="Calibri" w:hAnsi="Calibri" w:cs="Calibri"/>
                <w:color w:val="000000"/>
                <w:sz w:val="22"/>
                <w:szCs w:val="22"/>
              </w:rPr>
              <w:t>95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663833</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56</w:t>
            </w:r>
            <w:r>
              <w:rPr>
                <w:rFonts w:ascii="Calibri" w:hAnsi="Calibri" w:cs="Calibri"/>
                <w:color w:val="000000"/>
                <w:sz w:val="22"/>
                <w:szCs w:val="22"/>
              </w:rPr>
              <w:t>,</w:t>
            </w:r>
            <w:r w:rsidRPr="00617E6A">
              <w:rPr>
                <w:rFonts w:ascii="Calibri" w:hAnsi="Calibri" w:cs="Calibri"/>
                <w:color w:val="000000"/>
                <w:sz w:val="22"/>
                <w:szCs w:val="22"/>
              </w:rPr>
              <w:t>55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848377</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52</w:t>
            </w:r>
            <w:r>
              <w:rPr>
                <w:rFonts w:ascii="Calibri" w:hAnsi="Calibri" w:cs="Calibri"/>
                <w:color w:val="000000"/>
                <w:sz w:val="22"/>
                <w:szCs w:val="22"/>
              </w:rPr>
              <w:t>,</w:t>
            </w:r>
            <w:r w:rsidRPr="00617E6A">
              <w:rPr>
                <w:rFonts w:ascii="Calibri" w:hAnsi="Calibri" w:cs="Calibri"/>
                <w:color w:val="000000"/>
                <w:sz w:val="22"/>
                <w:szCs w:val="22"/>
              </w:rPr>
              <w:t>56</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838095</w:t>
            </w:r>
          </w:p>
        </w:tc>
      </w:tr>
      <w:tr w:rsidR="002A75D8" w:rsidRPr="00617E6A"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49</w:t>
            </w:r>
            <w:r>
              <w:rPr>
                <w:rFonts w:ascii="Calibri" w:hAnsi="Calibri" w:cs="Calibri"/>
                <w:color w:val="000000"/>
                <w:sz w:val="22"/>
                <w:szCs w:val="22"/>
              </w:rPr>
              <w:t>,</w:t>
            </w:r>
            <w:r w:rsidRPr="00617E6A">
              <w:rPr>
                <w:rFonts w:ascii="Calibri" w:hAnsi="Calibri" w:cs="Calibri"/>
                <w:color w:val="000000"/>
                <w:sz w:val="22"/>
                <w:szCs w:val="22"/>
              </w:rPr>
              <w:t>53</w:t>
            </w:r>
          </w:p>
        </w:tc>
        <w:tc>
          <w:tcPr>
            <w:tcW w:w="1840" w:type="dxa"/>
            <w:tcBorders>
              <w:top w:val="nil"/>
              <w:left w:val="nil"/>
              <w:bottom w:val="single" w:sz="8"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647968</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9 Doba nezbytného léčení</w:t>
      </w:r>
    </w:p>
    <w:tbl>
      <w:tblPr>
        <w:tblW w:w="4320" w:type="dxa"/>
        <w:tblInd w:w="56" w:type="dxa"/>
        <w:tblCellMar>
          <w:left w:w="70" w:type="dxa"/>
          <w:right w:w="70" w:type="dxa"/>
        </w:tblCellMar>
        <w:tblLook w:val="04A0"/>
      </w:tblPr>
      <w:tblGrid>
        <w:gridCol w:w="865"/>
        <w:gridCol w:w="1615"/>
        <w:gridCol w:w="1840"/>
      </w:tblGrid>
      <w:tr w:rsidR="002A75D8" w:rsidRPr="00617E6A"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DNL sjednávání [%] </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průměrná PČ DNL </w:t>
            </w:r>
            <w:r>
              <w:rPr>
                <w:rFonts w:ascii="Calibri" w:hAnsi="Calibri" w:cs="Calibri"/>
                <w:color w:val="000000"/>
                <w:sz w:val="22"/>
                <w:szCs w:val="22"/>
              </w:rPr>
              <w:t>(Kč)</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73</w:t>
            </w:r>
            <w:r>
              <w:rPr>
                <w:rFonts w:ascii="Calibri" w:hAnsi="Calibri" w:cs="Calibri"/>
                <w:color w:val="000000"/>
                <w:sz w:val="22"/>
                <w:szCs w:val="22"/>
              </w:rPr>
              <w:t>,</w:t>
            </w:r>
            <w:r w:rsidRPr="00617E6A">
              <w:rPr>
                <w:rFonts w:ascii="Calibri" w:hAnsi="Calibri" w:cs="Calibri"/>
                <w:color w:val="000000"/>
                <w:sz w:val="22"/>
                <w:szCs w:val="22"/>
              </w:rPr>
              <w:t>85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175</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66</w:t>
            </w:r>
            <w:r>
              <w:rPr>
                <w:rFonts w:ascii="Calibri" w:hAnsi="Calibri" w:cs="Calibri"/>
                <w:color w:val="000000"/>
                <w:sz w:val="22"/>
                <w:szCs w:val="22"/>
              </w:rPr>
              <w:t>,</w:t>
            </w:r>
            <w:r w:rsidRPr="00617E6A">
              <w:rPr>
                <w:rFonts w:ascii="Calibri" w:hAnsi="Calibri" w:cs="Calibri"/>
                <w:color w:val="000000"/>
                <w:sz w:val="22"/>
                <w:szCs w:val="22"/>
              </w:rPr>
              <w:t>25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208</w:t>
            </w:r>
          </w:p>
        </w:tc>
      </w:tr>
      <w:tr w:rsidR="002A75D8" w:rsidRPr="00617E6A"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63</w:t>
            </w:r>
            <w:r>
              <w:rPr>
                <w:rFonts w:ascii="Calibri" w:hAnsi="Calibri" w:cs="Calibri"/>
                <w:color w:val="000000"/>
                <w:sz w:val="22"/>
                <w:szCs w:val="22"/>
              </w:rPr>
              <w:t>,</w:t>
            </w:r>
            <w:r w:rsidRPr="00617E6A">
              <w:rPr>
                <w:rFonts w:ascii="Calibri" w:hAnsi="Calibri" w:cs="Calibri"/>
                <w:color w:val="000000"/>
                <w:sz w:val="22"/>
                <w:szCs w:val="22"/>
              </w:rPr>
              <w:t>96</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207</w:t>
            </w:r>
          </w:p>
        </w:tc>
      </w:tr>
      <w:tr w:rsidR="002A75D8" w:rsidRPr="00617E6A"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left"/>
              <w:rPr>
                <w:rFonts w:ascii="Calibri" w:hAnsi="Calibri" w:cs="Calibri"/>
                <w:color w:val="000000"/>
                <w:sz w:val="22"/>
                <w:szCs w:val="22"/>
              </w:rPr>
            </w:pPr>
            <w:r w:rsidRPr="00617E6A">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73</w:t>
            </w:r>
            <w:r>
              <w:rPr>
                <w:rFonts w:ascii="Calibri" w:hAnsi="Calibri" w:cs="Calibri"/>
                <w:color w:val="000000"/>
                <w:sz w:val="22"/>
                <w:szCs w:val="22"/>
              </w:rPr>
              <w:t>,</w:t>
            </w:r>
            <w:r w:rsidRPr="00617E6A">
              <w:rPr>
                <w:rFonts w:ascii="Calibri" w:hAnsi="Calibri" w:cs="Calibri"/>
                <w:color w:val="000000"/>
                <w:sz w:val="22"/>
                <w:szCs w:val="22"/>
              </w:rPr>
              <w:t>55</w:t>
            </w:r>
          </w:p>
        </w:tc>
        <w:tc>
          <w:tcPr>
            <w:tcW w:w="1840" w:type="dxa"/>
            <w:tcBorders>
              <w:top w:val="nil"/>
              <w:left w:val="nil"/>
              <w:bottom w:val="single" w:sz="8" w:space="0" w:color="auto"/>
              <w:right w:val="single" w:sz="8" w:space="0" w:color="auto"/>
            </w:tcBorders>
            <w:shd w:val="clear" w:color="auto" w:fill="auto"/>
            <w:noWrap/>
            <w:vAlign w:val="bottom"/>
            <w:hideMark/>
          </w:tcPr>
          <w:p w:rsidR="002A75D8" w:rsidRPr="00617E6A" w:rsidRDefault="002A75D8" w:rsidP="002A75D8">
            <w:pPr>
              <w:spacing w:after="0" w:line="240" w:lineRule="auto"/>
              <w:jc w:val="right"/>
              <w:rPr>
                <w:rFonts w:ascii="Calibri" w:hAnsi="Calibri" w:cs="Calibri"/>
                <w:color w:val="000000"/>
                <w:sz w:val="22"/>
                <w:szCs w:val="22"/>
              </w:rPr>
            </w:pPr>
            <w:r w:rsidRPr="00617E6A">
              <w:rPr>
                <w:rFonts w:ascii="Calibri" w:hAnsi="Calibri" w:cs="Calibri"/>
                <w:color w:val="000000"/>
                <w:sz w:val="22"/>
                <w:szCs w:val="22"/>
              </w:rPr>
              <w:t>171</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65037D" w:rsidRDefault="0065037D">
      <w:pPr>
        <w:spacing w:after="0" w:line="240" w:lineRule="auto"/>
        <w:jc w:val="left"/>
        <w:rPr>
          <w:sz w:val="20"/>
        </w:rPr>
      </w:pPr>
      <w:r>
        <w:rPr>
          <w:sz w:val="20"/>
        </w:rPr>
        <w:br w:type="page"/>
      </w:r>
    </w:p>
    <w:p w:rsidR="002A75D8" w:rsidRDefault="002A75D8" w:rsidP="002A75D8">
      <w:r>
        <w:rPr>
          <w:sz w:val="20"/>
        </w:rPr>
        <w:lastRenderedPageBreak/>
        <w:t xml:space="preserve">Tabulka 10 </w:t>
      </w:r>
      <w:r w:rsidRPr="00E47FF1">
        <w:rPr>
          <w:rFonts w:ascii="Calibri" w:hAnsi="Calibri" w:cs="Calibri"/>
          <w:color w:val="000000"/>
          <w:sz w:val="22"/>
          <w:szCs w:val="22"/>
        </w:rPr>
        <w:t>Invalidita</w:t>
      </w:r>
    </w:p>
    <w:tbl>
      <w:tblPr>
        <w:tblW w:w="4320" w:type="dxa"/>
        <w:tblInd w:w="56" w:type="dxa"/>
        <w:tblCellMar>
          <w:left w:w="70" w:type="dxa"/>
          <w:right w:w="70" w:type="dxa"/>
        </w:tblCellMar>
        <w:tblLook w:val="04A0"/>
      </w:tblPr>
      <w:tblGrid>
        <w:gridCol w:w="865"/>
        <w:gridCol w:w="1615"/>
        <w:gridCol w:w="1840"/>
      </w:tblGrid>
      <w:tr w:rsidR="002A75D8" w:rsidRPr="00E47FF1" w:rsidTr="002A75D8">
        <w:trPr>
          <w:trHeight w:val="300"/>
        </w:trPr>
        <w:tc>
          <w:tcPr>
            <w:tcW w:w="865"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1615" w:type="dxa"/>
            <w:tcBorders>
              <w:top w:val="single" w:sz="8" w:space="0" w:color="auto"/>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Invalidita sjednávání [%] </w:t>
            </w:r>
          </w:p>
        </w:tc>
        <w:tc>
          <w:tcPr>
            <w:tcW w:w="1840" w:type="dxa"/>
            <w:tcBorders>
              <w:top w:val="single" w:sz="8" w:space="0" w:color="auto"/>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invalidita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36</w:t>
            </w:r>
            <w:r>
              <w:rPr>
                <w:rFonts w:ascii="Calibri" w:hAnsi="Calibri" w:cs="Calibri"/>
                <w:color w:val="000000"/>
                <w:sz w:val="22"/>
                <w:szCs w:val="22"/>
              </w:rPr>
              <w:t>,</w:t>
            </w:r>
            <w:r w:rsidRPr="00E47FF1">
              <w:rPr>
                <w:rFonts w:ascii="Calibri" w:hAnsi="Calibri" w:cs="Calibri"/>
                <w:color w:val="000000"/>
                <w:sz w:val="22"/>
                <w:szCs w:val="22"/>
              </w:rPr>
              <w:t>05</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482880</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34</w:t>
            </w:r>
            <w:r>
              <w:rPr>
                <w:rFonts w:ascii="Calibri" w:hAnsi="Calibri" w:cs="Calibri"/>
                <w:color w:val="000000"/>
                <w:sz w:val="22"/>
                <w:szCs w:val="22"/>
              </w:rPr>
              <w:t>,</w:t>
            </w:r>
            <w:r w:rsidRPr="00E47FF1">
              <w:rPr>
                <w:rFonts w:ascii="Calibri" w:hAnsi="Calibri" w:cs="Calibri"/>
                <w:color w:val="000000"/>
                <w:sz w:val="22"/>
                <w:szCs w:val="22"/>
              </w:rPr>
              <w:t>67</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573077</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1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31</w:t>
            </w:r>
            <w:r>
              <w:rPr>
                <w:rFonts w:ascii="Calibri" w:hAnsi="Calibri" w:cs="Calibri"/>
                <w:color w:val="000000"/>
                <w:sz w:val="22"/>
                <w:szCs w:val="22"/>
              </w:rPr>
              <w:t>,</w:t>
            </w:r>
            <w:r w:rsidRPr="00E47FF1">
              <w:rPr>
                <w:rFonts w:ascii="Calibri" w:hAnsi="Calibri" w:cs="Calibri"/>
                <w:color w:val="000000"/>
                <w:sz w:val="22"/>
                <w:szCs w:val="22"/>
              </w:rPr>
              <w:t>61</w:t>
            </w:r>
          </w:p>
        </w:tc>
        <w:tc>
          <w:tcPr>
            <w:tcW w:w="184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580853</w:t>
            </w:r>
          </w:p>
        </w:tc>
      </w:tr>
      <w:tr w:rsidR="002A75D8" w:rsidRPr="00E47FF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1615" w:type="dxa"/>
            <w:tcBorders>
              <w:top w:val="nil"/>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21</w:t>
            </w:r>
            <w:r>
              <w:rPr>
                <w:rFonts w:ascii="Calibri" w:hAnsi="Calibri" w:cs="Calibri"/>
                <w:color w:val="000000"/>
                <w:sz w:val="22"/>
                <w:szCs w:val="22"/>
              </w:rPr>
              <w:t>,</w:t>
            </w:r>
            <w:r w:rsidRPr="00E47FF1">
              <w:rPr>
                <w:rFonts w:ascii="Calibri" w:hAnsi="Calibri" w:cs="Calibri"/>
                <w:color w:val="000000"/>
                <w:sz w:val="22"/>
                <w:szCs w:val="22"/>
              </w:rPr>
              <w:t>1</w:t>
            </w:r>
            <w:r>
              <w:rPr>
                <w:rFonts w:ascii="Calibri" w:hAnsi="Calibri" w:cs="Calibri"/>
                <w:color w:val="000000"/>
                <w:sz w:val="22"/>
                <w:szCs w:val="22"/>
              </w:rPr>
              <w:t>0</w:t>
            </w:r>
          </w:p>
        </w:tc>
        <w:tc>
          <w:tcPr>
            <w:tcW w:w="1840" w:type="dxa"/>
            <w:tcBorders>
              <w:top w:val="nil"/>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469201</w:t>
            </w:r>
          </w:p>
        </w:tc>
      </w:tr>
    </w:tbl>
    <w:p w:rsidR="002A75D8" w:rsidRPr="00966F52"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11 Smrt úrazem děti</w:t>
      </w:r>
    </w:p>
    <w:tbl>
      <w:tblPr>
        <w:tblW w:w="6140" w:type="dxa"/>
        <w:tblInd w:w="56" w:type="dxa"/>
        <w:tblCellMar>
          <w:left w:w="70" w:type="dxa"/>
          <w:right w:w="70" w:type="dxa"/>
        </w:tblCellMar>
        <w:tblLook w:val="04A0"/>
      </w:tblPr>
      <w:tblGrid>
        <w:gridCol w:w="865"/>
        <w:gridCol w:w="2615"/>
        <w:gridCol w:w="2660"/>
      </w:tblGrid>
      <w:tr w:rsidR="002A75D8" w:rsidRPr="00E47FF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2615" w:type="dxa"/>
            <w:tcBorders>
              <w:top w:val="single" w:sz="8" w:space="0" w:color="auto"/>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SÚ sjednávání [%] </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SÚ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w:t>
            </w:r>
            <w:r>
              <w:rPr>
                <w:rFonts w:ascii="Calibri" w:hAnsi="Calibri" w:cs="Calibri"/>
                <w:color w:val="000000"/>
                <w:sz w:val="22"/>
                <w:szCs w:val="22"/>
              </w:rPr>
              <w:t>,</w:t>
            </w:r>
            <w:r w:rsidRPr="00E47FF1">
              <w:rPr>
                <w:rFonts w:ascii="Calibri" w:hAnsi="Calibri" w:cs="Calibri"/>
                <w:color w:val="000000"/>
                <w:sz w:val="22"/>
                <w:szCs w:val="22"/>
              </w:rPr>
              <w:t>43</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89787</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11</w:t>
            </w:r>
            <w:r>
              <w:rPr>
                <w:rFonts w:ascii="Calibri" w:hAnsi="Calibri" w:cs="Calibri"/>
                <w:color w:val="000000"/>
                <w:sz w:val="22"/>
                <w:szCs w:val="22"/>
              </w:rPr>
              <w:t>,</w:t>
            </w:r>
            <w:r w:rsidRPr="00E47FF1">
              <w:rPr>
                <w:rFonts w:ascii="Calibri" w:hAnsi="Calibri" w:cs="Calibri"/>
                <w:color w:val="000000"/>
                <w:sz w:val="22"/>
                <w:szCs w:val="22"/>
              </w:rPr>
              <w:t>92</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89230</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4</w:t>
            </w:r>
            <w:r>
              <w:rPr>
                <w:rFonts w:ascii="Calibri" w:hAnsi="Calibri" w:cs="Calibri"/>
                <w:color w:val="000000"/>
                <w:sz w:val="22"/>
                <w:szCs w:val="22"/>
              </w:rPr>
              <w:t>,</w:t>
            </w:r>
            <w:r w:rsidRPr="00E47FF1">
              <w:rPr>
                <w:rFonts w:ascii="Calibri" w:hAnsi="Calibri" w:cs="Calibri"/>
                <w:color w:val="000000"/>
                <w:sz w:val="22"/>
                <w:szCs w:val="22"/>
              </w:rPr>
              <w:t>39</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95220</w:t>
            </w:r>
          </w:p>
        </w:tc>
      </w:tr>
      <w:tr w:rsidR="002A75D8" w:rsidRPr="00E47FF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2615" w:type="dxa"/>
            <w:tcBorders>
              <w:top w:val="nil"/>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0</w:t>
            </w:r>
            <w:r>
              <w:rPr>
                <w:rFonts w:ascii="Calibri" w:hAnsi="Calibri" w:cs="Calibri"/>
                <w:color w:val="000000"/>
                <w:sz w:val="22"/>
                <w:szCs w:val="22"/>
              </w:rPr>
              <w:t>,</w:t>
            </w:r>
            <w:r w:rsidRPr="00E47FF1">
              <w:rPr>
                <w:rFonts w:ascii="Calibri" w:hAnsi="Calibri" w:cs="Calibri"/>
                <w:color w:val="000000"/>
                <w:sz w:val="22"/>
                <w:szCs w:val="22"/>
              </w:rPr>
              <w:t>98</w:t>
            </w:r>
          </w:p>
        </w:tc>
        <w:tc>
          <w:tcPr>
            <w:tcW w:w="2660" w:type="dxa"/>
            <w:tcBorders>
              <w:top w:val="nil"/>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74333</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12 Trvalé následky děti</w:t>
      </w:r>
    </w:p>
    <w:tbl>
      <w:tblPr>
        <w:tblW w:w="6140" w:type="dxa"/>
        <w:tblInd w:w="56" w:type="dxa"/>
        <w:tblCellMar>
          <w:left w:w="70" w:type="dxa"/>
          <w:right w:w="70" w:type="dxa"/>
        </w:tblCellMar>
        <w:tblLook w:val="04A0"/>
      </w:tblPr>
      <w:tblGrid>
        <w:gridCol w:w="865"/>
        <w:gridCol w:w="2615"/>
        <w:gridCol w:w="2660"/>
      </w:tblGrid>
      <w:tr w:rsidR="002A75D8" w:rsidRPr="00E47FF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2615" w:type="dxa"/>
            <w:tcBorders>
              <w:top w:val="single" w:sz="8" w:space="0" w:color="auto"/>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TN sjednávání [%] </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TN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w:t>
            </w:r>
            <w:r>
              <w:rPr>
                <w:rFonts w:ascii="Calibri" w:hAnsi="Calibri" w:cs="Calibri"/>
                <w:color w:val="000000"/>
                <w:sz w:val="22"/>
                <w:szCs w:val="22"/>
              </w:rPr>
              <w:t>,</w:t>
            </w:r>
            <w:r w:rsidRPr="00E47FF1">
              <w:rPr>
                <w:rFonts w:ascii="Calibri" w:hAnsi="Calibri" w:cs="Calibri"/>
                <w:color w:val="000000"/>
                <w:sz w:val="22"/>
                <w:szCs w:val="22"/>
              </w:rPr>
              <w:t>33</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624224</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17</w:t>
            </w:r>
            <w:r>
              <w:rPr>
                <w:rFonts w:ascii="Calibri" w:hAnsi="Calibri" w:cs="Calibri"/>
                <w:color w:val="000000"/>
                <w:sz w:val="22"/>
                <w:szCs w:val="22"/>
              </w:rPr>
              <w:t>,</w:t>
            </w:r>
            <w:r w:rsidRPr="00E47FF1">
              <w:rPr>
                <w:rFonts w:ascii="Calibri" w:hAnsi="Calibri" w:cs="Calibri"/>
                <w:color w:val="000000"/>
                <w:sz w:val="22"/>
                <w:szCs w:val="22"/>
              </w:rPr>
              <w:t>53</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745800</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6</w:t>
            </w:r>
            <w:r>
              <w:rPr>
                <w:rFonts w:ascii="Calibri" w:hAnsi="Calibri" w:cs="Calibri"/>
                <w:color w:val="000000"/>
                <w:sz w:val="22"/>
                <w:szCs w:val="22"/>
              </w:rPr>
              <w:t>,</w:t>
            </w:r>
            <w:r w:rsidRPr="00E47FF1">
              <w:rPr>
                <w:rFonts w:ascii="Calibri" w:hAnsi="Calibri" w:cs="Calibri"/>
                <w:color w:val="000000"/>
                <w:sz w:val="22"/>
                <w:szCs w:val="22"/>
              </w:rPr>
              <w:t>16</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680208</w:t>
            </w:r>
          </w:p>
        </w:tc>
      </w:tr>
      <w:tr w:rsidR="002A75D8" w:rsidRPr="00E47FF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2615" w:type="dxa"/>
            <w:tcBorders>
              <w:top w:val="nil"/>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w:t>
            </w:r>
            <w:r>
              <w:rPr>
                <w:rFonts w:ascii="Calibri" w:hAnsi="Calibri" w:cs="Calibri"/>
                <w:color w:val="000000"/>
                <w:sz w:val="22"/>
                <w:szCs w:val="22"/>
              </w:rPr>
              <w:t>,</w:t>
            </w:r>
            <w:r w:rsidRPr="00E47FF1">
              <w:rPr>
                <w:rFonts w:ascii="Calibri" w:hAnsi="Calibri" w:cs="Calibri"/>
                <w:color w:val="000000"/>
                <w:sz w:val="22"/>
                <w:szCs w:val="22"/>
              </w:rPr>
              <w:t>26</w:t>
            </w:r>
          </w:p>
        </w:tc>
        <w:tc>
          <w:tcPr>
            <w:tcW w:w="2660" w:type="dxa"/>
            <w:tcBorders>
              <w:top w:val="nil"/>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614935</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13 Doba nezbytného léčení dětí</w:t>
      </w:r>
    </w:p>
    <w:tbl>
      <w:tblPr>
        <w:tblW w:w="6140" w:type="dxa"/>
        <w:tblInd w:w="56" w:type="dxa"/>
        <w:tblCellMar>
          <w:left w:w="70" w:type="dxa"/>
          <w:right w:w="70" w:type="dxa"/>
        </w:tblCellMar>
        <w:tblLook w:val="04A0"/>
      </w:tblPr>
      <w:tblGrid>
        <w:gridCol w:w="865"/>
        <w:gridCol w:w="2615"/>
        <w:gridCol w:w="2660"/>
      </w:tblGrid>
      <w:tr w:rsidR="002A75D8" w:rsidRPr="00E47FF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2615" w:type="dxa"/>
            <w:tcBorders>
              <w:top w:val="single" w:sz="8" w:space="0" w:color="auto"/>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DNL sjednávání [%] </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DNL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w:t>
            </w:r>
            <w:r>
              <w:rPr>
                <w:rFonts w:ascii="Calibri" w:hAnsi="Calibri" w:cs="Calibri"/>
                <w:color w:val="000000"/>
                <w:sz w:val="22"/>
                <w:szCs w:val="22"/>
              </w:rPr>
              <w:t>,</w:t>
            </w:r>
            <w:r w:rsidRPr="00E47FF1">
              <w:rPr>
                <w:rFonts w:ascii="Calibri" w:hAnsi="Calibri" w:cs="Calibri"/>
                <w:color w:val="000000"/>
                <w:sz w:val="22"/>
                <w:szCs w:val="22"/>
              </w:rPr>
              <w:t>32</w:t>
            </w:r>
          </w:p>
        </w:tc>
        <w:tc>
          <w:tcPr>
            <w:tcW w:w="2660"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271</w:t>
            </w:r>
          </w:p>
        </w:tc>
      </w:tr>
      <w:tr w:rsidR="002A75D8" w:rsidRPr="00E47FF1" w:rsidTr="002A75D8">
        <w:trPr>
          <w:trHeight w:val="30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17</w:t>
            </w:r>
            <w:r>
              <w:rPr>
                <w:rFonts w:ascii="Calibri" w:hAnsi="Calibri" w:cs="Calibri"/>
                <w:color w:val="000000"/>
                <w:sz w:val="22"/>
                <w:szCs w:val="22"/>
              </w:rPr>
              <w:t>,</w:t>
            </w:r>
            <w:r w:rsidRPr="00E47FF1">
              <w:rPr>
                <w:rFonts w:ascii="Calibri" w:hAnsi="Calibri" w:cs="Calibri"/>
                <w:color w:val="000000"/>
                <w:sz w:val="22"/>
                <w:szCs w:val="22"/>
              </w:rPr>
              <w:t>04</w:t>
            </w:r>
          </w:p>
        </w:tc>
        <w:tc>
          <w:tcPr>
            <w:tcW w:w="2660"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321</w:t>
            </w:r>
          </w:p>
        </w:tc>
      </w:tr>
      <w:tr w:rsidR="002A75D8" w:rsidRPr="00E47FF1" w:rsidTr="002A75D8">
        <w:trPr>
          <w:trHeight w:val="30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5</w:t>
            </w:r>
            <w:r>
              <w:rPr>
                <w:rFonts w:ascii="Calibri" w:hAnsi="Calibri" w:cs="Calibri"/>
                <w:color w:val="000000"/>
                <w:sz w:val="22"/>
                <w:szCs w:val="22"/>
              </w:rPr>
              <w:t>,</w:t>
            </w:r>
            <w:r w:rsidRPr="00E47FF1">
              <w:rPr>
                <w:rFonts w:ascii="Calibri" w:hAnsi="Calibri" w:cs="Calibri"/>
                <w:color w:val="000000"/>
                <w:sz w:val="22"/>
                <w:szCs w:val="22"/>
              </w:rPr>
              <w:t>97</w:t>
            </w:r>
          </w:p>
        </w:tc>
        <w:tc>
          <w:tcPr>
            <w:tcW w:w="2660"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283</w:t>
            </w:r>
          </w:p>
        </w:tc>
      </w:tr>
      <w:tr w:rsidR="002A75D8" w:rsidRPr="00E47FF1" w:rsidTr="002A75D8">
        <w:trPr>
          <w:trHeight w:val="300"/>
        </w:trPr>
        <w:tc>
          <w:tcPr>
            <w:tcW w:w="865" w:type="dxa"/>
            <w:tcBorders>
              <w:top w:val="nil"/>
              <w:left w:val="single" w:sz="4"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w:t>
            </w:r>
            <w:r>
              <w:rPr>
                <w:rFonts w:ascii="Calibri" w:hAnsi="Calibri" w:cs="Calibri"/>
                <w:color w:val="000000"/>
                <w:sz w:val="22"/>
                <w:szCs w:val="22"/>
              </w:rPr>
              <w:t>,</w:t>
            </w:r>
            <w:r w:rsidRPr="00E47FF1">
              <w:rPr>
                <w:rFonts w:ascii="Calibri" w:hAnsi="Calibri" w:cs="Calibri"/>
                <w:color w:val="000000"/>
                <w:sz w:val="22"/>
                <w:szCs w:val="22"/>
              </w:rPr>
              <w:t>24</w:t>
            </w:r>
          </w:p>
        </w:tc>
        <w:tc>
          <w:tcPr>
            <w:tcW w:w="2660"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278</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65037D" w:rsidRDefault="0065037D">
      <w:pPr>
        <w:spacing w:after="0" w:line="240" w:lineRule="auto"/>
        <w:jc w:val="left"/>
        <w:rPr>
          <w:sz w:val="20"/>
        </w:rPr>
      </w:pPr>
      <w:r>
        <w:rPr>
          <w:sz w:val="20"/>
        </w:rPr>
        <w:br w:type="page"/>
      </w:r>
    </w:p>
    <w:p w:rsidR="002A75D8" w:rsidRDefault="002A75D8" w:rsidP="002A75D8">
      <w:r>
        <w:rPr>
          <w:sz w:val="20"/>
        </w:rPr>
        <w:lastRenderedPageBreak/>
        <w:t>Tabulka 14 Hospitalizace dětí</w:t>
      </w:r>
    </w:p>
    <w:tbl>
      <w:tblPr>
        <w:tblW w:w="6140" w:type="dxa"/>
        <w:tblInd w:w="56" w:type="dxa"/>
        <w:tblCellMar>
          <w:left w:w="70" w:type="dxa"/>
          <w:right w:w="70" w:type="dxa"/>
        </w:tblCellMar>
        <w:tblLook w:val="04A0"/>
      </w:tblPr>
      <w:tblGrid>
        <w:gridCol w:w="865"/>
        <w:gridCol w:w="2615"/>
        <w:gridCol w:w="2660"/>
      </w:tblGrid>
      <w:tr w:rsidR="002A75D8" w:rsidRPr="00E47FF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2615" w:type="dxa"/>
            <w:tcBorders>
              <w:top w:val="single" w:sz="8" w:space="0" w:color="auto"/>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Hospitalizace sjednávání [%] </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hospitalizace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w:t>
            </w:r>
            <w:r>
              <w:rPr>
                <w:rFonts w:ascii="Calibri" w:hAnsi="Calibri" w:cs="Calibri"/>
                <w:color w:val="000000"/>
                <w:sz w:val="22"/>
                <w:szCs w:val="22"/>
              </w:rPr>
              <w:t>,</w:t>
            </w:r>
            <w:r w:rsidRPr="00E47FF1">
              <w:rPr>
                <w:rFonts w:ascii="Calibri" w:hAnsi="Calibri" w:cs="Calibri"/>
                <w:color w:val="000000"/>
                <w:sz w:val="22"/>
                <w:szCs w:val="22"/>
              </w:rPr>
              <w:t>6</w:t>
            </w:r>
            <w:r>
              <w:rPr>
                <w:rFonts w:ascii="Calibri" w:hAnsi="Calibri" w:cs="Calibri"/>
                <w:color w:val="000000"/>
                <w:sz w:val="22"/>
                <w:szCs w:val="22"/>
              </w:rPr>
              <w:t>0</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357</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13</w:t>
            </w:r>
            <w:r>
              <w:rPr>
                <w:rFonts w:ascii="Calibri" w:hAnsi="Calibri" w:cs="Calibri"/>
                <w:color w:val="000000"/>
                <w:sz w:val="22"/>
                <w:szCs w:val="22"/>
              </w:rPr>
              <w:t>,</w:t>
            </w:r>
            <w:r w:rsidRPr="00E47FF1">
              <w:rPr>
                <w:rFonts w:ascii="Calibri" w:hAnsi="Calibri" w:cs="Calibri"/>
                <w:color w:val="000000"/>
                <w:sz w:val="22"/>
                <w:szCs w:val="22"/>
              </w:rPr>
              <w:t>4</w:t>
            </w:r>
            <w:r>
              <w:rPr>
                <w:rFonts w:ascii="Calibri" w:hAnsi="Calibri" w:cs="Calibri"/>
                <w:color w:val="000000"/>
                <w:sz w:val="22"/>
                <w:szCs w:val="22"/>
              </w:rPr>
              <w:t>0</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377</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4</w:t>
            </w:r>
            <w:r>
              <w:rPr>
                <w:rFonts w:ascii="Calibri" w:hAnsi="Calibri" w:cs="Calibri"/>
                <w:color w:val="000000"/>
                <w:sz w:val="22"/>
                <w:szCs w:val="22"/>
              </w:rPr>
              <w:t>,</w:t>
            </w:r>
            <w:r w:rsidRPr="00E47FF1">
              <w:rPr>
                <w:rFonts w:ascii="Calibri" w:hAnsi="Calibri" w:cs="Calibri"/>
                <w:color w:val="000000"/>
                <w:sz w:val="22"/>
                <w:szCs w:val="22"/>
              </w:rPr>
              <w:t>75</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327</w:t>
            </w:r>
          </w:p>
        </w:tc>
      </w:tr>
      <w:tr w:rsidR="002A75D8" w:rsidRPr="00E47FF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2615" w:type="dxa"/>
            <w:tcBorders>
              <w:top w:val="nil"/>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0</w:t>
            </w:r>
            <w:r>
              <w:rPr>
                <w:rFonts w:ascii="Calibri" w:hAnsi="Calibri" w:cs="Calibri"/>
                <w:color w:val="000000"/>
                <w:sz w:val="22"/>
                <w:szCs w:val="22"/>
              </w:rPr>
              <w:t>,</w:t>
            </w:r>
            <w:r w:rsidRPr="00E47FF1">
              <w:rPr>
                <w:rFonts w:ascii="Calibri" w:hAnsi="Calibri" w:cs="Calibri"/>
                <w:color w:val="000000"/>
                <w:sz w:val="22"/>
                <w:szCs w:val="22"/>
              </w:rPr>
              <w:t>95</w:t>
            </w:r>
          </w:p>
        </w:tc>
        <w:tc>
          <w:tcPr>
            <w:tcW w:w="2660" w:type="dxa"/>
            <w:tcBorders>
              <w:top w:val="nil"/>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339</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r>
        <w:rPr>
          <w:sz w:val="20"/>
        </w:rPr>
        <w:t>Tabulka 15 Invalidita dětí</w:t>
      </w:r>
    </w:p>
    <w:tbl>
      <w:tblPr>
        <w:tblW w:w="6140" w:type="dxa"/>
        <w:tblInd w:w="56" w:type="dxa"/>
        <w:tblCellMar>
          <w:left w:w="70" w:type="dxa"/>
          <w:right w:w="70" w:type="dxa"/>
        </w:tblCellMar>
        <w:tblLook w:val="04A0"/>
      </w:tblPr>
      <w:tblGrid>
        <w:gridCol w:w="865"/>
        <w:gridCol w:w="2615"/>
        <w:gridCol w:w="2660"/>
      </w:tblGrid>
      <w:tr w:rsidR="002A75D8" w:rsidRPr="00E47FF1" w:rsidTr="002A75D8">
        <w:trPr>
          <w:trHeight w:val="315"/>
        </w:trPr>
        <w:tc>
          <w:tcPr>
            <w:tcW w:w="865" w:type="dxa"/>
            <w:tcBorders>
              <w:top w:val="single" w:sz="8" w:space="0" w:color="auto"/>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věk </w:t>
            </w:r>
          </w:p>
        </w:tc>
        <w:tc>
          <w:tcPr>
            <w:tcW w:w="2615" w:type="dxa"/>
            <w:tcBorders>
              <w:top w:val="single" w:sz="8" w:space="0" w:color="auto"/>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Invalidita sjednávání [%] </w:t>
            </w:r>
          </w:p>
        </w:tc>
        <w:tc>
          <w:tcPr>
            <w:tcW w:w="2660" w:type="dxa"/>
            <w:tcBorders>
              <w:top w:val="single" w:sz="8" w:space="0" w:color="auto"/>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průměrná PČ invalidita </w:t>
            </w:r>
            <w:r>
              <w:rPr>
                <w:rFonts w:ascii="Calibri" w:hAnsi="Calibri" w:cs="Calibri"/>
                <w:color w:val="000000"/>
                <w:sz w:val="22"/>
                <w:szCs w:val="22"/>
              </w:rPr>
              <w:t>(Kč)</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do 30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1</w:t>
            </w:r>
            <w:r>
              <w:rPr>
                <w:rFonts w:ascii="Calibri" w:hAnsi="Calibri" w:cs="Calibri"/>
                <w:color w:val="000000"/>
                <w:sz w:val="22"/>
                <w:szCs w:val="22"/>
              </w:rPr>
              <w:t>,</w:t>
            </w:r>
            <w:r w:rsidRPr="00E47FF1">
              <w:rPr>
                <w:rFonts w:ascii="Calibri" w:hAnsi="Calibri" w:cs="Calibri"/>
                <w:color w:val="000000"/>
                <w:sz w:val="22"/>
                <w:szCs w:val="22"/>
              </w:rPr>
              <w:t>4</w:t>
            </w:r>
            <w:r>
              <w:rPr>
                <w:rFonts w:ascii="Calibri" w:hAnsi="Calibri" w:cs="Calibri"/>
                <w:color w:val="000000"/>
                <w:sz w:val="22"/>
                <w:szCs w:val="22"/>
              </w:rPr>
              <w:t>0</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695926</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31-40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8</w:t>
            </w:r>
            <w:r>
              <w:rPr>
                <w:rFonts w:ascii="Calibri" w:hAnsi="Calibri" w:cs="Calibri"/>
                <w:color w:val="000000"/>
                <w:sz w:val="22"/>
                <w:szCs w:val="22"/>
              </w:rPr>
              <w:t>,</w:t>
            </w:r>
            <w:r w:rsidRPr="00E47FF1">
              <w:rPr>
                <w:rFonts w:ascii="Calibri" w:hAnsi="Calibri" w:cs="Calibri"/>
                <w:color w:val="000000"/>
                <w:sz w:val="22"/>
                <w:szCs w:val="22"/>
              </w:rPr>
              <w:t>09</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759743</w:t>
            </w:r>
          </w:p>
        </w:tc>
      </w:tr>
      <w:tr w:rsidR="002A75D8" w:rsidRPr="00E47FF1" w:rsidTr="002A75D8">
        <w:trPr>
          <w:trHeight w:val="300"/>
        </w:trPr>
        <w:tc>
          <w:tcPr>
            <w:tcW w:w="865" w:type="dxa"/>
            <w:tcBorders>
              <w:top w:val="nil"/>
              <w:left w:val="single" w:sz="8" w:space="0" w:color="auto"/>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41-50 </w:t>
            </w:r>
          </w:p>
        </w:tc>
        <w:tc>
          <w:tcPr>
            <w:tcW w:w="2615" w:type="dxa"/>
            <w:tcBorders>
              <w:top w:val="nil"/>
              <w:left w:val="nil"/>
              <w:bottom w:val="single" w:sz="4"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2</w:t>
            </w:r>
            <w:r>
              <w:rPr>
                <w:rFonts w:ascii="Calibri" w:hAnsi="Calibri" w:cs="Calibri"/>
                <w:color w:val="000000"/>
                <w:sz w:val="22"/>
                <w:szCs w:val="22"/>
              </w:rPr>
              <w:t>,</w:t>
            </w:r>
            <w:r w:rsidRPr="00E47FF1">
              <w:rPr>
                <w:rFonts w:ascii="Calibri" w:hAnsi="Calibri" w:cs="Calibri"/>
                <w:color w:val="000000"/>
                <w:sz w:val="22"/>
                <w:szCs w:val="22"/>
              </w:rPr>
              <w:t>74</w:t>
            </w:r>
          </w:p>
        </w:tc>
        <w:tc>
          <w:tcPr>
            <w:tcW w:w="2660" w:type="dxa"/>
            <w:tcBorders>
              <w:top w:val="nil"/>
              <w:left w:val="nil"/>
              <w:bottom w:val="single" w:sz="4"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742969</w:t>
            </w:r>
          </w:p>
        </w:tc>
      </w:tr>
      <w:tr w:rsidR="002A75D8" w:rsidRPr="00E47FF1" w:rsidTr="002A75D8">
        <w:trPr>
          <w:trHeight w:val="315"/>
        </w:trPr>
        <w:tc>
          <w:tcPr>
            <w:tcW w:w="865" w:type="dxa"/>
            <w:tcBorders>
              <w:top w:val="nil"/>
              <w:left w:val="single" w:sz="8" w:space="0" w:color="auto"/>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left"/>
              <w:rPr>
                <w:rFonts w:ascii="Calibri" w:hAnsi="Calibri" w:cs="Calibri"/>
                <w:color w:val="000000"/>
                <w:sz w:val="22"/>
                <w:szCs w:val="22"/>
              </w:rPr>
            </w:pPr>
            <w:r w:rsidRPr="00E47FF1">
              <w:rPr>
                <w:rFonts w:ascii="Calibri" w:hAnsi="Calibri" w:cs="Calibri"/>
                <w:color w:val="000000"/>
                <w:sz w:val="22"/>
                <w:szCs w:val="22"/>
              </w:rPr>
              <w:t xml:space="preserve">51+ </w:t>
            </w:r>
          </w:p>
        </w:tc>
        <w:tc>
          <w:tcPr>
            <w:tcW w:w="2615" w:type="dxa"/>
            <w:tcBorders>
              <w:top w:val="nil"/>
              <w:left w:val="nil"/>
              <w:bottom w:val="single" w:sz="8" w:space="0" w:color="auto"/>
              <w:right w:val="single" w:sz="4"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0</w:t>
            </w:r>
            <w:r>
              <w:rPr>
                <w:rFonts w:ascii="Calibri" w:hAnsi="Calibri" w:cs="Calibri"/>
                <w:color w:val="000000"/>
                <w:sz w:val="22"/>
                <w:szCs w:val="22"/>
              </w:rPr>
              <w:t>,</w:t>
            </w:r>
            <w:r w:rsidRPr="00E47FF1">
              <w:rPr>
                <w:rFonts w:ascii="Calibri" w:hAnsi="Calibri" w:cs="Calibri"/>
                <w:color w:val="000000"/>
                <w:sz w:val="22"/>
                <w:szCs w:val="22"/>
              </w:rPr>
              <w:t>56</w:t>
            </w:r>
          </w:p>
        </w:tc>
        <w:tc>
          <w:tcPr>
            <w:tcW w:w="2660" w:type="dxa"/>
            <w:tcBorders>
              <w:top w:val="nil"/>
              <w:left w:val="nil"/>
              <w:bottom w:val="single" w:sz="8" w:space="0" w:color="auto"/>
              <w:right w:val="single" w:sz="8" w:space="0" w:color="auto"/>
            </w:tcBorders>
            <w:shd w:val="clear" w:color="auto" w:fill="auto"/>
            <w:noWrap/>
            <w:vAlign w:val="bottom"/>
            <w:hideMark/>
          </w:tcPr>
          <w:p w:rsidR="002A75D8" w:rsidRPr="00E47FF1" w:rsidRDefault="002A75D8" w:rsidP="002A75D8">
            <w:pPr>
              <w:spacing w:after="0" w:line="240" w:lineRule="auto"/>
              <w:jc w:val="right"/>
              <w:rPr>
                <w:rFonts w:ascii="Calibri" w:hAnsi="Calibri" w:cs="Calibri"/>
                <w:color w:val="000000"/>
                <w:sz w:val="22"/>
                <w:szCs w:val="22"/>
              </w:rPr>
            </w:pPr>
            <w:r w:rsidRPr="00E47FF1">
              <w:rPr>
                <w:rFonts w:ascii="Calibri" w:hAnsi="Calibri" w:cs="Calibri"/>
                <w:color w:val="000000"/>
                <w:sz w:val="22"/>
                <w:szCs w:val="22"/>
              </w:rPr>
              <w:t>554412</w:t>
            </w:r>
          </w:p>
        </w:tc>
      </w:tr>
    </w:tbl>
    <w:p w:rsidR="002A75D8" w:rsidRDefault="002A75D8" w:rsidP="002A75D8">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pPr>
        <w:jc w:val="left"/>
        <w:rPr>
          <w:sz w:val="20"/>
        </w:rPr>
      </w:pPr>
      <w:r>
        <w:rPr>
          <w:sz w:val="20"/>
        </w:rPr>
        <w:t>Graf. 17</w:t>
      </w:r>
      <w:r w:rsidRPr="00242A9C">
        <w:rPr>
          <w:sz w:val="20"/>
        </w:rPr>
        <w:t xml:space="preserve"> </w:t>
      </w:r>
      <w:r w:rsidR="00203A95">
        <w:rPr>
          <w:sz w:val="20"/>
        </w:rPr>
        <w:t>Produkt XY</w:t>
      </w:r>
      <w:r>
        <w:rPr>
          <w:sz w:val="20"/>
        </w:rPr>
        <w:t xml:space="preserve"> dl</w:t>
      </w:r>
      <w:r w:rsidRPr="002F5BA5">
        <w:rPr>
          <w:sz w:val="20"/>
        </w:rPr>
        <w:t xml:space="preserve">e RS, věk do 30 let </w:t>
      </w:r>
      <w:r>
        <w:rPr>
          <w:sz w:val="20"/>
        </w:rPr>
        <w:t>(osa Y- počet klientů)</w:t>
      </w:r>
      <w:r w:rsidRPr="000F444F">
        <w:rPr>
          <w:noProof/>
        </w:rPr>
        <w:drawing>
          <wp:inline distT="0" distB="0" distL="0" distR="0">
            <wp:extent cx="3240000" cy="2340000"/>
            <wp:effectExtent l="19050" t="0" r="17550" b="3150"/>
            <wp:docPr id="18" name="Graf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pPr>
        <w:jc w:val="left"/>
        <w:rPr>
          <w:sz w:val="20"/>
        </w:rPr>
      </w:pPr>
    </w:p>
    <w:p w:rsidR="002A75D8" w:rsidRDefault="002A75D8" w:rsidP="002A75D8">
      <w:pPr>
        <w:jc w:val="left"/>
        <w:rPr>
          <w:sz w:val="20"/>
        </w:rPr>
      </w:pPr>
      <w:r>
        <w:rPr>
          <w:sz w:val="20"/>
        </w:rPr>
        <w:lastRenderedPageBreak/>
        <w:t>Graf. 18</w:t>
      </w:r>
      <w:r w:rsidRPr="00242A9C">
        <w:rPr>
          <w:sz w:val="20"/>
        </w:rPr>
        <w:t xml:space="preserve"> </w:t>
      </w:r>
      <w:r w:rsidR="00203A95">
        <w:rPr>
          <w:sz w:val="20"/>
        </w:rPr>
        <w:t>Produkt XY</w:t>
      </w:r>
      <w:r>
        <w:rPr>
          <w:sz w:val="20"/>
        </w:rPr>
        <w:t xml:space="preserve"> dl</w:t>
      </w:r>
      <w:r w:rsidRPr="00AA70FB">
        <w:rPr>
          <w:sz w:val="20"/>
        </w:rPr>
        <w:t xml:space="preserve">e RS, věk 31-40 let </w:t>
      </w:r>
      <w:r>
        <w:rPr>
          <w:sz w:val="20"/>
        </w:rPr>
        <w:t>(osa Y- počet klientů)</w:t>
      </w:r>
      <w:r w:rsidRPr="000F444F">
        <w:rPr>
          <w:noProof/>
        </w:rPr>
        <w:drawing>
          <wp:inline distT="0" distB="0" distL="0" distR="0">
            <wp:extent cx="3240000" cy="2340000"/>
            <wp:effectExtent l="19050" t="0" r="17550" b="3150"/>
            <wp:docPr id="19" name="Graf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35"/>
              </a:graphicData>
            </a:graphic>
          </wp:inline>
        </w:drawing>
      </w:r>
      <w:r w:rsidRPr="00BF33A4">
        <w:rPr>
          <w:sz w:val="20"/>
        </w:rPr>
        <w:t xml:space="preserve"> </w:t>
      </w:r>
      <w:r>
        <w:rPr>
          <w:sz w:val="20"/>
        </w:rP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2A75D8" w:rsidRDefault="002A75D8" w:rsidP="002A75D8">
      <w:pPr>
        <w:jc w:val="left"/>
        <w:rPr>
          <w:sz w:val="20"/>
        </w:rPr>
      </w:pPr>
      <w:r>
        <w:rPr>
          <w:sz w:val="20"/>
        </w:rPr>
        <w:t>Graf. 19</w:t>
      </w:r>
      <w:r w:rsidRPr="00242A9C">
        <w:rPr>
          <w:sz w:val="20"/>
        </w:rPr>
        <w:t xml:space="preserve"> </w:t>
      </w:r>
      <w:r w:rsidR="00203A95">
        <w:rPr>
          <w:sz w:val="20"/>
        </w:rPr>
        <w:t>Produkt XY</w:t>
      </w:r>
      <w:r>
        <w:rPr>
          <w:sz w:val="20"/>
        </w:rPr>
        <w:t xml:space="preserve"> dl</w:t>
      </w:r>
      <w:r w:rsidRPr="00AA70FB">
        <w:rPr>
          <w:sz w:val="20"/>
        </w:rPr>
        <w:t xml:space="preserve">e RS, věk 41-50 let </w:t>
      </w:r>
      <w:r>
        <w:rPr>
          <w:sz w:val="20"/>
        </w:rPr>
        <w:t>(osa Y- počet klientů)</w:t>
      </w:r>
      <w:r w:rsidRPr="000F444F">
        <w:rPr>
          <w:noProof/>
        </w:rPr>
        <w:drawing>
          <wp:inline distT="0" distB="0" distL="0" distR="0">
            <wp:extent cx="3240000" cy="2340000"/>
            <wp:effectExtent l="19050" t="0" r="17550" b="3150"/>
            <wp:docPr id="20" name="Graf 19"/>
            <wp:cNvGraphicFramePr/>
            <a:graphic xmlns:a="http://schemas.openxmlformats.org/drawingml/2006/main">
              <a:graphicData uri="http://schemas.openxmlformats.org/drawingml/2006/chart">
                <c:chart xmlns:c="http://schemas.openxmlformats.org/drawingml/2006/chart" xmlns:r="http://schemas.openxmlformats.org/officeDocument/2006/relationships" r:id="rId36"/>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B11637" w:rsidRPr="0065037D" w:rsidRDefault="002A75D8" w:rsidP="0065037D">
      <w:pPr>
        <w:jc w:val="left"/>
        <w:rPr>
          <w:sz w:val="20"/>
        </w:rPr>
      </w:pPr>
      <w:r>
        <w:rPr>
          <w:sz w:val="20"/>
        </w:rPr>
        <w:lastRenderedPageBreak/>
        <w:t>Graf. 20</w:t>
      </w:r>
      <w:r w:rsidRPr="00242A9C">
        <w:rPr>
          <w:sz w:val="20"/>
        </w:rPr>
        <w:t xml:space="preserve"> </w:t>
      </w:r>
      <w:r w:rsidR="00203A95">
        <w:rPr>
          <w:sz w:val="20"/>
        </w:rPr>
        <w:t>Produkt XY</w:t>
      </w:r>
      <w:r>
        <w:rPr>
          <w:sz w:val="20"/>
        </w:rPr>
        <w:t xml:space="preserve"> dl</w:t>
      </w:r>
      <w:r w:rsidRPr="00E767AB">
        <w:rPr>
          <w:sz w:val="20"/>
        </w:rPr>
        <w:t xml:space="preserve">e RS, věk 51+ let </w:t>
      </w:r>
      <w:r>
        <w:rPr>
          <w:sz w:val="20"/>
        </w:rPr>
        <w:t>(osa Y- počet klientů)</w:t>
      </w:r>
      <w:r w:rsidRPr="000F444F">
        <w:rPr>
          <w:noProof/>
        </w:rPr>
        <w:drawing>
          <wp:inline distT="0" distB="0" distL="0" distR="0">
            <wp:extent cx="3240000" cy="2340000"/>
            <wp:effectExtent l="19050" t="0" r="17550" b="3150"/>
            <wp:docPr id="21" name="Graf 20"/>
            <wp:cNvGraphicFramePr/>
            <a:graphic xmlns:a="http://schemas.openxmlformats.org/drawingml/2006/main">
              <a:graphicData uri="http://schemas.openxmlformats.org/drawingml/2006/chart">
                <c:chart xmlns:c="http://schemas.openxmlformats.org/drawingml/2006/chart" xmlns:r="http://schemas.openxmlformats.org/officeDocument/2006/relationships" r:id="rId37"/>
              </a:graphicData>
            </a:graphic>
          </wp:inline>
        </w:drawing>
      </w:r>
      <w:r>
        <w:br/>
      </w:r>
      <w:r w:rsidRPr="00982056">
        <w:rPr>
          <w:sz w:val="20"/>
        </w:rPr>
        <w:t xml:space="preserve">Zdroj. </w:t>
      </w:r>
      <w:proofErr w:type="spellStart"/>
      <w:r w:rsidRPr="00982056">
        <w:rPr>
          <w:sz w:val="20"/>
        </w:rPr>
        <w:t>Interni</w:t>
      </w:r>
      <w:proofErr w:type="spellEnd"/>
      <w:r w:rsidRPr="00982056">
        <w:rPr>
          <w:sz w:val="20"/>
        </w:rPr>
        <w:t xml:space="preserve"> data pojišťovny</w:t>
      </w:r>
    </w:p>
    <w:p w:rsidR="00237826" w:rsidRDefault="00237826" w:rsidP="00237826">
      <w:pPr>
        <w:rPr>
          <w:b/>
        </w:rPr>
      </w:pPr>
      <w:r>
        <w:rPr>
          <w:sz w:val="20"/>
        </w:rPr>
        <w:t xml:space="preserve">Tabulka 16 </w:t>
      </w:r>
      <w:r w:rsidR="00203A95">
        <w:rPr>
          <w:sz w:val="20"/>
        </w:rPr>
        <w:t>PRODUKT XY</w:t>
      </w:r>
      <w:r w:rsidRPr="00237826">
        <w:rPr>
          <w:sz w:val="20"/>
        </w:rPr>
        <w:t xml:space="preserve"> </w:t>
      </w:r>
    </w:p>
    <w:tbl>
      <w:tblPr>
        <w:tblW w:w="7900" w:type="dxa"/>
        <w:tblInd w:w="56" w:type="dxa"/>
        <w:tblCellMar>
          <w:left w:w="70" w:type="dxa"/>
          <w:right w:w="70" w:type="dxa"/>
        </w:tblCellMar>
        <w:tblLook w:val="04A0"/>
      </w:tblPr>
      <w:tblGrid>
        <w:gridCol w:w="6940"/>
        <w:gridCol w:w="960"/>
      </w:tblGrid>
      <w:tr w:rsidR="00E55387" w:rsidRPr="00E55387" w:rsidTr="00E55387">
        <w:trPr>
          <w:trHeight w:val="300"/>
        </w:trPr>
        <w:tc>
          <w:tcPr>
            <w:tcW w:w="6940" w:type="dxa"/>
            <w:tcBorders>
              <w:top w:val="single" w:sz="8" w:space="0" w:color="auto"/>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Vyžádaná technická změna</w:t>
            </w:r>
          </w:p>
        </w:tc>
        <w:tc>
          <w:tcPr>
            <w:tcW w:w="960"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220</w:t>
            </w:r>
          </w:p>
        </w:tc>
      </w:tr>
      <w:tr w:rsidR="00E55387" w:rsidRPr="00E55387" w:rsidTr="00E55387">
        <w:trPr>
          <w:trHeight w:val="300"/>
        </w:trPr>
        <w:tc>
          <w:tcPr>
            <w:tcW w:w="6940"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Poplatek za přerušení placení</w:t>
            </w:r>
          </w:p>
        </w:tc>
        <w:tc>
          <w:tcPr>
            <w:tcW w:w="960"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220</w:t>
            </w:r>
          </w:p>
        </w:tc>
      </w:tr>
      <w:tr w:rsidR="00E55387" w:rsidRPr="00E55387" w:rsidTr="00E55387">
        <w:trPr>
          <w:trHeight w:val="300"/>
        </w:trPr>
        <w:tc>
          <w:tcPr>
            <w:tcW w:w="6940"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Poplatek za vyžádanou informaci o stavu pojistné smlouvy</w:t>
            </w:r>
          </w:p>
        </w:tc>
        <w:tc>
          <w:tcPr>
            <w:tcW w:w="960"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r w:rsidR="00E55387" w:rsidRPr="00E55387" w:rsidTr="00E55387">
        <w:trPr>
          <w:trHeight w:val="300"/>
        </w:trPr>
        <w:tc>
          <w:tcPr>
            <w:tcW w:w="6940"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 xml:space="preserve">Zpracování pokynu </w:t>
            </w:r>
            <w:proofErr w:type="spellStart"/>
            <w:r w:rsidRPr="00E55387">
              <w:rPr>
                <w:rFonts w:ascii="Calibri" w:hAnsi="Calibri" w:cs="Calibri"/>
                <w:color w:val="000000"/>
                <w:sz w:val="22"/>
                <w:szCs w:val="22"/>
              </w:rPr>
              <w:t>pojistníka</w:t>
            </w:r>
            <w:proofErr w:type="spellEnd"/>
            <w:r w:rsidRPr="00E55387">
              <w:rPr>
                <w:rFonts w:ascii="Calibri" w:hAnsi="Calibri" w:cs="Calibri"/>
                <w:color w:val="000000"/>
                <w:sz w:val="22"/>
                <w:szCs w:val="22"/>
              </w:rPr>
              <w:t xml:space="preserve"> ke změně alokačního poměru</w:t>
            </w:r>
          </w:p>
        </w:tc>
        <w:tc>
          <w:tcPr>
            <w:tcW w:w="960"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r w:rsidR="00E55387" w:rsidRPr="00E55387" w:rsidTr="00E55387">
        <w:trPr>
          <w:trHeight w:val="900"/>
        </w:trPr>
        <w:tc>
          <w:tcPr>
            <w:tcW w:w="6940"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pacing w:val="-4"/>
                <w:sz w:val="22"/>
                <w:szCs w:val="22"/>
              </w:rPr>
              <w:t xml:space="preserve">Zpracování pokynu </w:t>
            </w:r>
            <w:proofErr w:type="spellStart"/>
            <w:r w:rsidRPr="00E55387">
              <w:rPr>
                <w:rFonts w:ascii="Calibri" w:hAnsi="Calibri" w:cs="Calibri"/>
                <w:color w:val="000000"/>
                <w:spacing w:val="-4"/>
                <w:sz w:val="22"/>
                <w:szCs w:val="22"/>
              </w:rPr>
              <w:t>pojistníka</w:t>
            </w:r>
            <w:proofErr w:type="spellEnd"/>
            <w:r w:rsidRPr="00E55387">
              <w:rPr>
                <w:rFonts w:ascii="Calibri" w:hAnsi="Calibri" w:cs="Calibri"/>
                <w:color w:val="000000"/>
                <w:spacing w:val="-4"/>
                <w:sz w:val="22"/>
                <w:szCs w:val="22"/>
              </w:rPr>
              <w:t xml:space="preserve"> k převodu podílových jednotek mezi kapitálovými hodnotami tvořenými podílovými jednotkami vnitřních fondů</w:t>
            </w:r>
          </w:p>
        </w:tc>
        <w:tc>
          <w:tcPr>
            <w:tcW w:w="960"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r w:rsidR="00E55387" w:rsidRPr="00E55387" w:rsidTr="00E55387">
        <w:trPr>
          <w:trHeight w:val="900"/>
        </w:trPr>
        <w:tc>
          <w:tcPr>
            <w:tcW w:w="6940"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 xml:space="preserve">Zpracování pokynu </w:t>
            </w:r>
            <w:proofErr w:type="spellStart"/>
            <w:r w:rsidRPr="00E55387">
              <w:rPr>
                <w:rFonts w:ascii="Calibri" w:hAnsi="Calibri" w:cs="Calibri"/>
                <w:color w:val="000000"/>
                <w:sz w:val="22"/>
                <w:szCs w:val="22"/>
              </w:rPr>
              <w:t>pojistníka</w:t>
            </w:r>
            <w:proofErr w:type="spellEnd"/>
            <w:r w:rsidRPr="00E55387">
              <w:rPr>
                <w:rFonts w:ascii="Calibri" w:hAnsi="Calibri" w:cs="Calibri"/>
                <w:color w:val="000000"/>
                <w:sz w:val="22"/>
                <w:szCs w:val="22"/>
              </w:rPr>
              <w:t xml:space="preserve"> k převodu podílových jednotek z kapitálové hodnoty tvořené podílovými jednotkami vnitřního fondu do kapitálové hodnoty s vyhlašovanou úrokovou mírou</w:t>
            </w:r>
          </w:p>
        </w:tc>
        <w:tc>
          <w:tcPr>
            <w:tcW w:w="960"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r w:rsidR="00E55387" w:rsidRPr="00E55387" w:rsidTr="00E55387">
        <w:trPr>
          <w:trHeight w:val="915"/>
        </w:trPr>
        <w:tc>
          <w:tcPr>
            <w:tcW w:w="6940" w:type="dxa"/>
            <w:tcBorders>
              <w:top w:val="nil"/>
              <w:left w:val="single" w:sz="8" w:space="0" w:color="auto"/>
              <w:bottom w:val="single" w:sz="8"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 xml:space="preserve">Zpracování pokynu </w:t>
            </w:r>
            <w:proofErr w:type="spellStart"/>
            <w:r w:rsidRPr="00E55387">
              <w:rPr>
                <w:rFonts w:ascii="Calibri" w:hAnsi="Calibri" w:cs="Calibri"/>
                <w:color w:val="000000"/>
                <w:sz w:val="22"/>
                <w:szCs w:val="22"/>
              </w:rPr>
              <w:t>pojistníka</w:t>
            </w:r>
            <w:proofErr w:type="spellEnd"/>
            <w:r w:rsidRPr="00E55387">
              <w:rPr>
                <w:rFonts w:ascii="Calibri" w:hAnsi="Calibri" w:cs="Calibri"/>
                <w:color w:val="000000"/>
                <w:sz w:val="22"/>
                <w:szCs w:val="22"/>
              </w:rPr>
              <w:t xml:space="preserve"> k převodu peněžních prostředků z kapitálové hodnoty s vyhlašovanou úrokovou mírou do kapitálové hodnoty tvořené podílovými jednotkami vnitřního fondu</w:t>
            </w:r>
          </w:p>
        </w:tc>
        <w:tc>
          <w:tcPr>
            <w:tcW w:w="960" w:type="dxa"/>
            <w:tcBorders>
              <w:top w:val="nil"/>
              <w:left w:val="single" w:sz="8" w:space="0" w:color="auto"/>
              <w:bottom w:val="single" w:sz="8"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bl>
    <w:p w:rsidR="00BF33A4" w:rsidRDefault="00BF33A4" w:rsidP="00BF33A4">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r w:rsidR="002364FE">
        <w:rPr>
          <w:sz w:val="20"/>
        </w:rPr>
        <w:t xml:space="preserve"> </w:t>
      </w:r>
      <w:proofErr w:type="spellStart"/>
      <w:r w:rsidR="002364FE">
        <w:rPr>
          <w:sz w:val="20"/>
        </w:rPr>
        <w:t>xy</w:t>
      </w:r>
      <w:proofErr w:type="spellEnd"/>
      <w:r w:rsidR="00D50D32">
        <w:rPr>
          <w:sz w:val="20"/>
        </w:rPr>
        <w:t>, uvedené hodnoty jsou v českých korunách.</w:t>
      </w:r>
    </w:p>
    <w:p w:rsidR="00237826" w:rsidRDefault="00237826" w:rsidP="00237826">
      <w:pPr>
        <w:rPr>
          <w:b/>
        </w:rPr>
      </w:pPr>
      <w:r>
        <w:rPr>
          <w:sz w:val="20"/>
        </w:rPr>
        <w:t xml:space="preserve">Tabulka 16 </w:t>
      </w:r>
      <w:r w:rsidRPr="00237826">
        <w:rPr>
          <w:sz w:val="20"/>
        </w:rPr>
        <w:t xml:space="preserve">Podmínky pro vklady a výběry mimořádného pojistného u pojištění </w:t>
      </w:r>
      <w:r w:rsidR="00203A95">
        <w:rPr>
          <w:sz w:val="20"/>
        </w:rPr>
        <w:t>PRODUKT XY</w:t>
      </w:r>
    </w:p>
    <w:tbl>
      <w:tblPr>
        <w:tblW w:w="7900" w:type="dxa"/>
        <w:tblInd w:w="56" w:type="dxa"/>
        <w:tblCellMar>
          <w:left w:w="70" w:type="dxa"/>
          <w:right w:w="70" w:type="dxa"/>
        </w:tblCellMar>
        <w:tblLook w:val="04A0"/>
      </w:tblPr>
      <w:tblGrid>
        <w:gridCol w:w="6744"/>
        <w:gridCol w:w="1156"/>
      </w:tblGrid>
      <w:tr w:rsidR="00E55387" w:rsidRPr="00E55387" w:rsidTr="00BF33A4">
        <w:trPr>
          <w:trHeight w:val="300"/>
        </w:trPr>
        <w:tc>
          <w:tcPr>
            <w:tcW w:w="6744" w:type="dxa"/>
            <w:tcBorders>
              <w:top w:val="single" w:sz="8" w:space="0" w:color="auto"/>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Minimální výše mimořádného pojistného</w:t>
            </w:r>
          </w:p>
        </w:tc>
        <w:tc>
          <w:tcPr>
            <w:tcW w:w="1156" w:type="dxa"/>
            <w:tcBorders>
              <w:top w:val="single" w:sz="8" w:space="0" w:color="auto"/>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1000</w:t>
            </w:r>
          </w:p>
        </w:tc>
      </w:tr>
      <w:tr w:rsidR="00E55387" w:rsidRPr="00E55387" w:rsidTr="00BF33A4">
        <w:trPr>
          <w:trHeight w:val="3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Minimální výše příspěvku zaměstnavatele na mimořádné pojistné</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100</w:t>
            </w:r>
          </w:p>
        </w:tc>
      </w:tr>
      <w:tr w:rsidR="00E55387" w:rsidRPr="00E55387" w:rsidTr="00BF33A4">
        <w:trPr>
          <w:trHeight w:val="9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Poplatek za vklad mimořádného pojistného do výše 59 999 Kč</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2,8% (minimálně 50 Kč)</w:t>
            </w:r>
          </w:p>
        </w:tc>
      </w:tr>
      <w:tr w:rsidR="00E55387" w:rsidRPr="00E55387" w:rsidTr="00BF33A4">
        <w:trPr>
          <w:trHeight w:val="6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Poplatek za vklad mimořádného pojistného ve výši 60 000 - 199 999 Kč (z hodnoty vkladu)</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w w:val="101"/>
                <w:sz w:val="22"/>
                <w:szCs w:val="22"/>
              </w:rPr>
              <w:t>0,024</w:t>
            </w:r>
          </w:p>
        </w:tc>
      </w:tr>
      <w:tr w:rsidR="00E55387" w:rsidRPr="00E55387" w:rsidTr="00BF33A4">
        <w:trPr>
          <w:trHeight w:val="6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pacing w:val="-5"/>
                <w:sz w:val="22"/>
                <w:szCs w:val="22"/>
              </w:rPr>
              <w:t>Poplatek za vklad mimořádného pojistného ve výši 200 000 Kč a více (z hodnoty vkladu)</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w w:val="101"/>
                <w:sz w:val="22"/>
                <w:szCs w:val="22"/>
              </w:rPr>
              <w:t>0,022</w:t>
            </w:r>
          </w:p>
        </w:tc>
      </w:tr>
      <w:tr w:rsidR="00E55387" w:rsidRPr="00E55387" w:rsidTr="00BF33A4">
        <w:trPr>
          <w:trHeight w:val="3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lastRenderedPageBreak/>
              <w:t>Minimální výše mimořádného výběru</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3000</w:t>
            </w:r>
          </w:p>
        </w:tc>
      </w:tr>
      <w:tr w:rsidR="00E55387" w:rsidRPr="00E55387" w:rsidTr="00BF33A4">
        <w:trPr>
          <w:trHeight w:val="3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Maximální počet výběrů v pojistném roce</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4</w:t>
            </w:r>
          </w:p>
        </w:tc>
      </w:tr>
      <w:tr w:rsidR="00E55387" w:rsidRPr="00E55387" w:rsidTr="00BF33A4">
        <w:trPr>
          <w:trHeight w:val="3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Poplatek za mimořádný výběr z kapitálové hodnoty negarantované</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w:t>
            </w:r>
          </w:p>
        </w:tc>
      </w:tr>
      <w:tr w:rsidR="00E55387" w:rsidRPr="00E55387" w:rsidTr="00BF33A4">
        <w:trPr>
          <w:trHeight w:val="3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 xml:space="preserve">Poplatek za mimořádný výběr z kapitálové hodnoty garantované </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220</w:t>
            </w:r>
          </w:p>
        </w:tc>
      </w:tr>
      <w:tr w:rsidR="00E55387" w:rsidRPr="00E55387" w:rsidTr="00BF33A4">
        <w:trPr>
          <w:trHeight w:val="6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pacing w:val="-4"/>
                <w:sz w:val="22"/>
                <w:szCs w:val="22"/>
              </w:rPr>
              <w:t>Poplatek za mimořádný výběr z kapitálové hodnoty garantované   a zároveň i kapitálové hodnoty negarantované</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pacing w:val="-4"/>
                <w:sz w:val="22"/>
                <w:szCs w:val="22"/>
              </w:rPr>
              <w:t>220</w:t>
            </w:r>
          </w:p>
        </w:tc>
      </w:tr>
      <w:tr w:rsidR="00E55387" w:rsidRPr="00E55387" w:rsidTr="00BF33A4">
        <w:trPr>
          <w:trHeight w:val="900"/>
        </w:trPr>
        <w:tc>
          <w:tcPr>
            <w:tcW w:w="6744" w:type="dxa"/>
            <w:tcBorders>
              <w:top w:val="nil"/>
              <w:left w:val="single" w:sz="8" w:space="0" w:color="auto"/>
              <w:bottom w:val="single" w:sz="4"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pacing w:val="-3"/>
                <w:sz w:val="22"/>
                <w:szCs w:val="22"/>
              </w:rPr>
              <w:t>Minimální výše pravidelného mimořádného výběru z kapitálové hodnoty tvořené mimořádným pojistným resp. z kapitálové hodnoty negarantované za účelem úhrady běžného pojistného</w:t>
            </w:r>
          </w:p>
        </w:tc>
        <w:tc>
          <w:tcPr>
            <w:tcW w:w="1156" w:type="dxa"/>
            <w:tcBorders>
              <w:top w:val="nil"/>
              <w:left w:val="single" w:sz="8" w:space="0" w:color="auto"/>
              <w:bottom w:val="single" w:sz="4"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500</w:t>
            </w:r>
          </w:p>
        </w:tc>
      </w:tr>
      <w:tr w:rsidR="00E55387" w:rsidRPr="00E55387" w:rsidTr="00BF33A4">
        <w:trPr>
          <w:trHeight w:val="315"/>
        </w:trPr>
        <w:tc>
          <w:tcPr>
            <w:tcW w:w="6744" w:type="dxa"/>
            <w:tcBorders>
              <w:top w:val="nil"/>
              <w:left w:val="single" w:sz="8" w:space="0" w:color="auto"/>
              <w:bottom w:val="single" w:sz="8" w:space="0" w:color="auto"/>
              <w:right w:val="nil"/>
            </w:tcBorders>
            <w:shd w:val="clear" w:color="auto" w:fill="auto"/>
            <w:vAlign w:val="bottom"/>
            <w:hideMark/>
          </w:tcPr>
          <w:p w:rsidR="00E55387" w:rsidRPr="00E55387" w:rsidRDefault="00E55387" w:rsidP="00E55387">
            <w:pPr>
              <w:spacing w:after="0" w:line="240" w:lineRule="auto"/>
              <w:jc w:val="left"/>
              <w:rPr>
                <w:rFonts w:ascii="Calibri" w:hAnsi="Calibri" w:cs="Calibri"/>
                <w:color w:val="000000"/>
                <w:sz w:val="22"/>
                <w:szCs w:val="22"/>
              </w:rPr>
            </w:pPr>
            <w:r w:rsidRPr="00E55387">
              <w:rPr>
                <w:rFonts w:ascii="Calibri" w:hAnsi="Calibri" w:cs="Calibri"/>
                <w:color w:val="000000"/>
                <w:sz w:val="22"/>
                <w:szCs w:val="22"/>
              </w:rPr>
              <w:t>Úrok pro kapitálovou hodnotu s vyhlašovanou úrokovou mírou</w:t>
            </w:r>
          </w:p>
        </w:tc>
        <w:tc>
          <w:tcPr>
            <w:tcW w:w="1156" w:type="dxa"/>
            <w:tcBorders>
              <w:top w:val="nil"/>
              <w:left w:val="single" w:sz="8" w:space="0" w:color="auto"/>
              <w:bottom w:val="single" w:sz="8" w:space="0" w:color="auto"/>
              <w:right w:val="single" w:sz="8" w:space="0" w:color="auto"/>
            </w:tcBorders>
            <w:shd w:val="clear" w:color="auto" w:fill="auto"/>
            <w:vAlign w:val="bottom"/>
            <w:hideMark/>
          </w:tcPr>
          <w:p w:rsidR="00E55387" w:rsidRPr="00E55387" w:rsidRDefault="00E55387" w:rsidP="00E55387">
            <w:pPr>
              <w:spacing w:after="0" w:line="240" w:lineRule="auto"/>
              <w:jc w:val="right"/>
              <w:rPr>
                <w:rFonts w:ascii="Calibri" w:hAnsi="Calibri" w:cs="Calibri"/>
                <w:color w:val="000000"/>
                <w:sz w:val="22"/>
                <w:szCs w:val="22"/>
              </w:rPr>
            </w:pPr>
            <w:r w:rsidRPr="00E55387">
              <w:rPr>
                <w:rFonts w:ascii="Calibri" w:hAnsi="Calibri" w:cs="Calibri"/>
                <w:color w:val="000000"/>
                <w:sz w:val="22"/>
                <w:szCs w:val="22"/>
              </w:rPr>
              <w:t>0,025</w:t>
            </w:r>
          </w:p>
        </w:tc>
      </w:tr>
    </w:tbl>
    <w:p w:rsidR="00E55387" w:rsidRPr="00BF33A4" w:rsidRDefault="00BF33A4" w:rsidP="00BF33A4">
      <w:pPr>
        <w:rPr>
          <w:sz w:val="20"/>
        </w:rPr>
      </w:pPr>
      <w:r w:rsidRPr="00982056">
        <w:rPr>
          <w:sz w:val="20"/>
        </w:rPr>
        <w:t xml:space="preserve">Zdroj. </w:t>
      </w:r>
      <w:proofErr w:type="spellStart"/>
      <w:r w:rsidRPr="00982056">
        <w:rPr>
          <w:sz w:val="20"/>
        </w:rPr>
        <w:t>Interni</w:t>
      </w:r>
      <w:proofErr w:type="spellEnd"/>
      <w:r w:rsidRPr="00982056">
        <w:rPr>
          <w:sz w:val="20"/>
        </w:rPr>
        <w:t xml:space="preserve"> data pojišťovny</w:t>
      </w:r>
      <w:r w:rsidR="002364FE">
        <w:rPr>
          <w:sz w:val="20"/>
        </w:rPr>
        <w:t xml:space="preserve"> </w:t>
      </w:r>
      <w:proofErr w:type="spellStart"/>
      <w:r w:rsidR="002364FE">
        <w:rPr>
          <w:sz w:val="20"/>
        </w:rPr>
        <w:t>xy</w:t>
      </w:r>
      <w:proofErr w:type="spellEnd"/>
      <w:r w:rsidR="002364FE">
        <w:rPr>
          <w:sz w:val="20"/>
        </w:rPr>
        <w:t>, uvedené hodnoty jsou v</w:t>
      </w:r>
      <w:r w:rsidR="00D50D32">
        <w:rPr>
          <w:sz w:val="20"/>
        </w:rPr>
        <w:t> českých korunách.</w:t>
      </w:r>
    </w:p>
    <w:sectPr w:rsidR="00E55387" w:rsidRPr="00BF33A4" w:rsidSect="00265875">
      <w:footerReference w:type="default" r:id="rId38"/>
      <w:pgSz w:w="11906" w:h="16838" w:code="9"/>
      <w:pgMar w:top="1276" w:right="1134" w:bottom="1418" w:left="2268" w:header="709" w:footer="12" w:gutter="0"/>
      <w:pgNumType w:start="1"/>
      <w:cols w:space="708"/>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364FE" w:rsidRDefault="002364FE" w:rsidP="005A66CD">
      <w:pPr>
        <w:spacing w:after="0"/>
      </w:pPr>
      <w:r>
        <w:separator/>
      </w:r>
    </w:p>
  </w:endnote>
  <w:endnote w:type="continuationSeparator" w:id="0">
    <w:p w:rsidR="002364FE" w:rsidRDefault="002364FE" w:rsidP="005A66CD">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583FB0" w:rsidRDefault="002364FE" w:rsidP="00990CF5">
    <w:pPr>
      <w:pStyle w:val="Zpat"/>
      <w:jc w:val="center"/>
      <w:rPr>
        <w:rFonts w:ascii="Verdana" w:hAnsi="Verdana"/>
        <w:b/>
        <w:bCs/>
        <w:sz w:val="20"/>
      </w:rPr>
    </w:pPr>
    <w:r w:rsidRPr="00583FB0">
      <w:rPr>
        <w:rFonts w:ascii="Verdana" w:hAnsi="Verdana"/>
        <w:b/>
        <w:bCs/>
        <w:sz w:val="20"/>
      </w:rPr>
      <w:t>Vysoká škola ekonomie a managementu</w:t>
    </w:r>
  </w:p>
  <w:p w:rsidR="002364FE" w:rsidRDefault="002364FE" w:rsidP="00990CF5">
    <w:pPr>
      <w:pStyle w:val="Zpat"/>
      <w:jc w:val="center"/>
      <w:rPr>
        <w:rFonts w:ascii="Verdana" w:hAnsi="Verdana"/>
        <w:sz w:val="20"/>
      </w:rPr>
    </w:pPr>
    <w:r w:rsidRPr="00583FB0">
      <w:rPr>
        <w:rFonts w:ascii="Verdana" w:hAnsi="Verdana"/>
        <w:sz w:val="20"/>
      </w:rPr>
      <w:t xml:space="preserve">+420 841 133 166 / info@vsem.cz / </w:t>
    </w:r>
    <w:hyperlink r:id="rId1" w:history="1">
      <w:r w:rsidRPr="00C72287">
        <w:rPr>
          <w:rStyle w:val="Hypertextovodkaz"/>
          <w:rFonts w:ascii="Verdana" w:hAnsi="Verdana"/>
          <w:sz w:val="20"/>
        </w:rPr>
        <w:t>www.vsem.cz</w:t>
      </w:r>
    </w:hyperlink>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Default="002364FE" w:rsidP="00990CF5">
    <w:pPr>
      <w:pStyle w:val="Zpat"/>
      <w:jc w:val="center"/>
      <w:rPr>
        <w:rFonts w:ascii="Verdana" w:hAnsi="Verdana"/>
        <w:sz w:val="20"/>
      </w:rPr>
    </w:pPr>
  </w:p>
  <w:p w:rsidR="002364FE" w:rsidRPr="00990CF5" w:rsidRDefault="002364FE" w:rsidP="00990CF5">
    <w:pPr>
      <w:pStyle w:val="Zpat"/>
      <w:jc w:val="center"/>
      <w:rPr>
        <w:rFonts w:ascii="Verdana" w:hAnsi="Verdana"/>
        <w:sz w:val="20"/>
      </w:rPr>
    </w:pPr>
  </w:p>
  <w:p w:rsidR="002364FE" w:rsidRDefault="002364FE"/>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Default="002364FE" w:rsidP="00990CF5">
    <w:pPr>
      <w:pStyle w:val="Zpat"/>
      <w:jc w:val="center"/>
      <w:rPr>
        <w:rFonts w:ascii="Verdana" w:hAnsi="Verdana"/>
        <w:b/>
        <w:bCs/>
        <w:sz w:val="20"/>
      </w:rPr>
    </w:pPr>
  </w:p>
  <w:p w:rsidR="002364FE" w:rsidRDefault="002364FE" w:rsidP="001706BD"/>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Default="002364FE" w:rsidP="00990CF5">
    <w:pPr>
      <w:pStyle w:val="Zpat"/>
      <w:jc w:val="center"/>
      <w:rPr>
        <w:rFonts w:ascii="Verdana" w:hAnsi="Verdana"/>
        <w:b/>
        <w:bCs/>
        <w:sz w:val="20"/>
      </w:rPr>
    </w:pPr>
  </w:p>
  <w:p w:rsidR="002364FE" w:rsidRPr="00583FB0" w:rsidRDefault="002364FE" w:rsidP="00990CF5">
    <w:pPr>
      <w:pStyle w:val="Zpat"/>
      <w:jc w:val="center"/>
      <w:rPr>
        <w:rFonts w:ascii="Verdana" w:hAnsi="Verdana"/>
        <w:b/>
        <w:bCs/>
        <w:sz w:val="20"/>
      </w:rPr>
    </w:pPr>
    <w:r w:rsidRPr="00583FB0">
      <w:rPr>
        <w:rFonts w:ascii="Verdana" w:hAnsi="Verdana"/>
        <w:b/>
        <w:bCs/>
        <w:sz w:val="20"/>
      </w:rPr>
      <w:t>Vysoká škola ekonomie a managementu</w:t>
    </w:r>
  </w:p>
  <w:p w:rsidR="002364FE" w:rsidRPr="00990CF5" w:rsidRDefault="002364FE" w:rsidP="00990CF5">
    <w:pPr>
      <w:pStyle w:val="Zpat"/>
      <w:jc w:val="center"/>
      <w:rPr>
        <w:rFonts w:ascii="Verdana" w:hAnsi="Verdana"/>
        <w:sz w:val="20"/>
      </w:rPr>
    </w:pPr>
    <w:r w:rsidRPr="00583FB0">
      <w:rPr>
        <w:rFonts w:ascii="Verdana" w:hAnsi="Verdana"/>
        <w:sz w:val="20"/>
      </w:rPr>
      <w:t>+420 841 133 166 / info@vsem.cz / www.vsem.cz</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DA4A47" w:rsidRDefault="002364FE" w:rsidP="0032047F">
    <w:pPr>
      <w:pStyle w:val="Zpat"/>
      <w:tabs>
        <w:tab w:val="left" w:pos="2265"/>
        <w:tab w:val="center" w:pos="4606"/>
      </w:tabs>
      <w:jc w:val="center"/>
      <w:rPr>
        <w:rFonts w:ascii="Verdana" w:hAnsi="Verdana"/>
        <w:b/>
        <w:bCs/>
        <w:color w:val="808080"/>
        <w:sz w:val="20"/>
      </w:rPr>
    </w:pPr>
    <w:r w:rsidRPr="00DA4A47">
      <w:rPr>
        <w:rFonts w:ascii="Verdana" w:hAnsi="Verdana"/>
        <w:b/>
        <w:bCs/>
        <w:color w:val="808080"/>
        <w:sz w:val="20"/>
      </w:rPr>
      <w:t>Vysoká škola ekonomie a managementu</w:t>
    </w:r>
  </w:p>
  <w:p w:rsidR="002364FE" w:rsidRPr="00DA4A47" w:rsidRDefault="002364FE" w:rsidP="0032047F">
    <w:pPr>
      <w:pStyle w:val="Zpat"/>
      <w:jc w:val="center"/>
      <w:rPr>
        <w:rFonts w:ascii="Verdana" w:hAnsi="Verdana"/>
        <w:color w:val="808080"/>
        <w:sz w:val="20"/>
      </w:rPr>
    </w:pPr>
    <w:r w:rsidRPr="00DA4A47">
      <w:rPr>
        <w:rFonts w:ascii="Verdana" w:hAnsi="Verdana"/>
        <w:color w:val="808080"/>
        <w:sz w:val="20"/>
      </w:rPr>
      <w:t>+420 841 133 166 / info@vsem.cz / www.vsem.cz</w:t>
    </w:r>
  </w:p>
  <w:p w:rsidR="002364FE" w:rsidRDefault="002364FE" w:rsidP="001706B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Default="002364FE" w:rsidP="001706BD"/>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Default="002364FE" w:rsidP="00990CF5">
    <w:pPr>
      <w:pStyle w:val="Zpat"/>
      <w:jc w:val="center"/>
      <w:rPr>
        <w:rFonts w:ascii="Verdana" w:hAnsi="Verdana"/>
        <w:b/>
        <w:bCs/>
        <w:sz w:val="20"/>
      </w:rPr>
    </w:pPr>
  </w:p>
  <w:p w:rsidR="002364FE" w:rsidRDefault="002364FE" w:rsidP="004947CA">
    <w:pPr>
      <w:framePr w:w="706" w:h="421" w:hRule="exact" w:wrap="around" w:vAnchor="text" w:hAnchor="page" w:x="5761" w:y="20"/>
      <w:jc w:val="right"/>
      <w:rPr>
        <w:rStyle w:val="slostrnky"/>
      </w:rPr>
    </w:pPr>
    <w:r>
      <w:rPr>
        <w:rStyle w:val="slostrnky"/>
      </w:rPr>
      <w:fldChar w:fldCharType="begin"/>
    </w:r>
    <w:r>
      <w:rPr>
        <w:rStyle w:val="slostrnky"/>
      </w:rPr>
      <w:instrText xml:space="preserve"> PAGE  </w:instrText>
    </w:r>
    <w:r>
      <w:rPr>
        <w:rStyle w:val="slostrnky"/>
      </w:rPr>
      <w:fldChar w:fldCharType="separate"/>
    </w:r>
    <w:r w:rsidR="00030F73">
      <w:rPr>
        <w:rStyle w:val="slostrnky"/>
        <w:noProof/>
      </w:rPr>
      <w:t>2</w:t>
    </w:r>
    <w:r>
      <w:rPr>
        <w:rStyle w:val="slostrnky"/>
      </w:rPr>
      <w:fldChar w:fldCharType="end"/>
    </w:r>
  </w:p>
  <w:p w:rsidR="002364FE" w:rsidRDefault="002364FE"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2364FE" w:rsidRDefault="002364FE"/>
  <w:p w:rsidR="002364FE" w:rsidRDefault="002364FE"/>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Default="002364FE" w:rsidP="00990CF5">
    <w:pPr>
      <w:pStyle w:val="Zpat"/>
      <w:jc w:val="center"/>
      <w:rPr>
        <w:rFonts w:ascii="Verdana" w:hAnsi="Verdana"/>
        <w:b/>
        <w:bCs/>
        <w:sz w:val="20"/>
      </w:rPr>
    </w:pPr>
  </w:p>
  <w:p w:rsidR="002364FE" w:rsidRDefault="002364FE" w:rsidP="00DA4A47">
    <w:pPr>
      <w:pStyle w:val="Zpat"/>
      <w:tabs>
        <w:tab w:val="left" w:pos="2265"/>
        <w:tab w:val="center" w:pos="4606"/>
      </w:tabs>
      <w:jc w:val="left"/>
      <w:rPr>
        <w:rFonts w:ascii="Verdana" w:hAnsi="Verdana"/>
        <w:b/>
        <w:bCs/>
        <w:color w:val="A6A6A6"/>
        <w:sz w:val="20"/>
      </w:rPr>
    </w:pPr>
    <w:r>
      <w:rPr>
        <w:rFonts w:ascii="Verdana" w:hAnsi="Verdana"/>
        <w:b/>
        <w:bCs/>
        <w:color w:val="A6A6A6"/>
        <w:sz w:val="20"/>
      </w:rPr>
      <w:tab/>
    </w:r>
  </w:p>
  <w:p w:rsidR="002364FE" w:rsidRDefault="002364FE"/>
  <w:p w:rsidR="002364FE" w:rsidRDefault="002364FE" w:rsidP="006653FE">
    <w:pPr>
      <w:tabs>
        <w:tab w:val="left" w:pos="2866"/>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364FE" w:rsidRDefault="002364FE">
      <w:pPr>
        <w:spacing w:after="0"/>
        <w:rPr>
          <w:iCs/>
          <w:sz w:val="20"/>
          <w:lang w:val="en-GB"/>
        </w:rPr>
      </w:pPr>
      <w:r>
        <w:separator/>
      </w:r>
    </w:p>
  </w:footnote>
  <w:footnote w:type="continuationSeparator" w:id="0">
    <w:p w:rsidR="002364FE" w:rsidRDefault="002364FE" w:rsidP="005A66CD">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583FB0" w:rsidRDefault="002364FE" w:rsidP="00990CF5">
    <w:pPr>
      <w:pStyle w:val="Zhlav"/>
      <w:jc w:val="center"/>
      <w:rPr>
        <w:rFonts w:ascii="Verdana" w:hAnsi="Verdana"/>
        <w:b/>
        <w:bCs/>
        <w:szCs w:val="32"/>
      </w:rPr>
    </w:pPr>
    <w:r w:rsidRPr="00583FB0">
      <w:rPr>
        <w:rFonts w:ascii="Verdana" w:hAnsi="Verdana"/>
        <w:b/>
        <w:bCs/>
        <w:szCs w:val="32"/>
      </w:rPr>
      <w:t>VYSOKÁ ŠKOLA EKONOMIE A MANAGEMENTU</w:t>
    </w:r>
  </w:p>
  <w:p w:rsidR="002364FE" w:rsidRDefault="002364FE" w:rsidP="00990CF5">
    <w:pPr>
      <w:pStyle w:val="Zhlav"/>
      <w:jc w:val="center"/>
      <w:rPr>
        <w:sz w:val="20"/>
      </w:rPr>
    </w:pPr>
    <w:r w:rsidRPr="00583FB0">
      <w:rPr>
        <w:rFonts w:ascii="Verdana" w:hAnsi="Verdana"/>
        <w:sz w:val="20"/>
      </w:rPr>
      <w:t>Nárožní 2600/9a, 158 00 Praha 5</w:t>
    </w:r>
  </w:p>
  <w:p w:rsidR="002364FE" w:rsidRDefault="002364FE">
    <w:pPr>
      <w:pStyle w:val="Zhlav"/>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1706BD" w:rsidRDefault="002364FE" w:rsidP="0032047F">
    <w:pPr>
      <w:pStyle w:val="Zpat"/>
      <w:tabs>
        <w:tab w:val="left" w:pos="2265"/>
        <w:tab w:val="center" w:pos="4606"/>
      </w:tabs>
      <w:jc w:val="center"/>
      <w:rPr>
        <w:rFonts w:ascii="Verdana" w:hAnsi="Verdana"/>
        <w:b/>
        <w:bCs/>
        <w:color w:val="808080"/>
        <w:sz w:val="32"/>
        <w:szCs w:val="32"/>
      </w:rPr>
    </w:pPr>
    <w:r w:rsidRPr="001706BD">
      <w:rPr>
        <w:rFonts w:ascii="Verdana" w:hAnsi="Verdana"/>
        <w:b/>
        <w:bCs/>
        <w:color w:val="808080"/>
        <w:sz w:val="32"/>
        <w:szCs w:val="32"/>
      </w:rPr>
      <w:t>VYSOKÁ ŠKOLA EKONOMIE A MANAGEMENTU</w:t>
    </w:r>
  </w:p>
  <w:p w:rsidR="002364FE" w:rsidRDefault="002364FE" w:rsidP="0032047F">
    <w:pPr>
      <w:pStyle w:val="Zhlav"/>
      <w:jc w:val="center"/>
    </w:pPr>
    <w:r w:rsidRPr="001706BD">
      <w:rPr>
        <w:rFonts w:ascii="Verdana" w:hAnsi="Verdana"/>
        <w:b/>
        <w:bCs/>
        <w:color w:val="808080"/>
        <w:szCs w:val="24"/>
      </w:rPr>
      <w:t>Nárožní 2600/9a, 158 00 Praha 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4947CA" w:rsidRDefault="002364FE" w:rsidP="004947CA">
    <w:pPr>
      <w:pStyle w:val="Zhlav"/>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364FE" w:rsidRPr="001706BD" w:rsidRDefault="002364FE" w:rsidP="001706BD">
    <w:pPr>
      <w:pStyle w:val="Zpat"/>
      <w:tabs>
        <w:tab w:val="left" w:pos="2265"/>
        <w:tab w:val="center" w:pos="4606"/>
      </w:tabs>
      <w:jc w:val="center"/>
      <w:rPr>
        <w:rFonts w:ascii="Verdana" w:hAnsi="Verdana"/>
        <w:b/>
        <w:bCs/>
        <w:color w:val="808080"/>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8C5FA5"/>
    <w:multiLevelType w:val="hybridMultilevel"/>
    <w:tmpl w:val="2820B9F8"/>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nsid w:val="0E074F87"/>
    <w:multiLevelType w:val="hybridMultilevel"/>
    <w:tmpl w:val="480C45D4"/>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0E8D6854"/>
    <w:multiLevelType w:val="hybridMultilevel"/>
    <w:tmpl w:val="60E6CAF2"/>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14FC3E5C"/>
    <w:multiLevelType w:val="hybridMultilevel"/>
    <w:tmpl w:val="034AAA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19A20E93"/>
    <w:multiLevelType w:val="hybridMultilevel"/>
    <w:tmpl w:val="A6B859B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nsid w:val="1EA029C2"/>
    <w:multiLevelType w:val="hybridMultilevel"/>
    <w:tmpl w:val="4A006E98"/>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nsid w:val="246F6F2D"/>
    <w:multiLevelType w:val="hybridMultilevel"/>
    <w:tmpl w:val="D3FABB60"/>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nsid w:val="2BAE7B2F"/>
    <w:multiLevelType w:val="hybridMultilevel"/>
    <w:tmpl w:val="FB1606E6"/>
    <w:lvl w:ilvl="0" w:tplc="B6F09EF2">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nsid w:val="2D351585"/>
    <w:multiLevelType w:val="hybridMultilevel"/>
    <w:tmpl w:val="78500C8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nsid w:val="2D817454"/>
    <w:multiLevelType w:val="hybridMultilevel"/>
    <w:tmpl w:val="220C8A8E"/>
    <w:lvl w:ilvl="0" w:tplc="BE844AC8">
      <w:start w:val="1"/>
      <w:numFmt w:val="bullet"/>
      <w:pStyle w:val="Odrka2stupn"/>
      <w:lvlText w:val="-"/>
      <w:lvlJc w:val="left"/>
      <w:pPr>
        <w:ind w:left="1797" w:hanging="360"/>
      </w:pPr>
      <w:rPr>
        <w:rFonts w:ascii="Courier New" w:hAnsi="Courier New" w:hint="default"/>
      </w:rPr>
    </w:lvl>
    <w:lvl w:ilvl="1" w:tplc="04050003" w:tentative="1">
      <w:start w:val="1"/>
      <w:numFmt w:val="bullet"/>
      <w:lvlText w:val="o"/>
      <w:lvlJc w:val="left"/>
      <w:pPr>
        <w:ind w:left="2517" w:hanging="360"/>
      </w:pPr>
      <w:rPr>
        <w:rFonts w:ascii="Courier New" w:hAnsi="Courier New" w:cs="Courier New" w:hint="default"/>
      </w:rPr>
    </w:lvl>
    <w:lvl w:ilvl="2" w:tplc="04050005" w:tentative="1">
      <w:start w:val="1"/>
      <w:numFmt w:val="bullet"/>
      <w:lvlText w:val=""/>
      <w:lvlJc w:val="left"/>
      <w:pPr>
        <w:ind w:left="3237" w:hanging="360"/>
      </w:pPr>
      <w:rPr>
        <w:rFonts w:ascii="Wingdings" w:hAnsi="Wingdings" w:hint="default"/>
      </w:rPr>
    </w:lvl>
    <w:lvl w:ilvl="3" w:tplc="04050001" w:tentative="1">
      <w:start w:val="1"/>
      <w:numFmt w:val="bullet"/>
      <w:lvlText w:val=""/>
      <w:lvlJc w:val="left"/>
      <w:pPr>
        <w:ind w:left="3957" w:hanging="360"/>
      </w:pPr>
      <w:rPr>
        <w:rFonts w:ascii="Symbol" w:hAnsi="Symbol" w:hint="default"/>
      </w:rPr>
    </w:lvl>
    <w:lvl w:ilvl="4" w:tplc="04050003" w:tentative="1">
      <w:start w:val="1"/>
      <w:numFmt w:val="bullet"/>
      <w:lvlText w:val="o"/>
      <w:lvlJc w:val="left"/>
      <w:pPr>
        <w:ind w:left="4677" w:hanging="360"/>
      </w:pPr>
      <w:rPr>
        <w:rFonts w:ascii="Courier New" w:hAnsi="Courier New" w:cs="Courier New" w:hint="default"/>
      </w:rPr>
    </w:lvl>
    <w:lvl w:ilvl="5" w:tplc="04050005" w:tentative="1">
      <w:start w:val="1"/>
      <w:numFmt w:val="bullet"/>
      <w:lvlText w:val=""/>
      <w:lvlJc w:val="left"/>
      <w:pPr>
        <w:ind w:left="5397" w:hanging="360"/>
      </w:pPr>
      <w:rPr>
        <w:rFonts w:ascii="Wingdings" w:hAnsi="Wingdings" w:hint="default"/>
      </w:rPr>
    </w:lvl>
    <w:lvl w:ilvl="6" w:tplc="04050001" w:tentative="1">
      <w:start w:val="1"/>
      <w:numFmt w:val="bullet"/>
      <w:lvlText w:val=""/>
      <w:lvlJc w:val="left"/>
      <w:pPr>
        <w:ind w:left="6117" w:hanging="360"/>
      </w:pPr>
      <w:rPr>
        <w:rFonts w:ascii="Symbol" w:hAnsi="Symbol" w:hint="default"/>
      </w:rPr>
    </w:lvl>
    <w:lvl w:ilvl="7" w:tplc="04050003" w:tentative="1">
      <w:start w:val="1"/>
      <w:numFmt w:val="bullet"/>
      <w:lvlText w:val="o"/>
      <w:lvlJc w:val="left"/>
      <w:pPr>
        <w:ind w:left="6837" w:hanging="360"/>
      </w:pPr>
      <w:rPr>
        <w:rFonts w:ascii="Courier New" w:hAnsi="Courier New" w:cs="Courier New" w:hint="default"/>
      </w:rPr>
    </w:lvl>
    <w:lvl w:ilvl="8" w:tplc="04050005" w:tentative="1">
      <w:start w:val="1"/>
      <w:numFmt w:val="bullet"/>
      <w:lvlText w:val=""/>
      <w:lvlJc w:val="left"/>
      <w:pPr>
        <w:ind w:left="7557" w:hanging="360"/>
      </w:pPr>
      <w:rPr>
        <w:rFonts w:ascii="Wingdings" w:hAnsi="Wingdings" w:hint="default"/>
      </w:rPr>
    </w:lvl>
  </w:abstractNum>
  <w:abstractNum w:abstractNumId="10">
    <w:nsid w:val="2D8D23A6"/>
    <w:multiLevelType w:val="hybridMultilevel"/>
    <w:tmpl w:val="C610D766"/>
    <w:lvl w:ilvl="0" w:tplc="B6F09EF2">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nsid w:val="2FC550E8"/>
    <w:multiLevelType w:val="hybridMultilevel"/>
    <w:tmpl w:val="1AF6BE80"/>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nsid w:val="306F3CA1"/>
    <w:multiLevelType w:val="hybridMultilevel"/>
    <w:tmpl w:val="59D0106A"/>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35427403"/>
    <w:multiLevelType w:val="hybridMultilevel"/>
    <w:tmpl w:val="B10E162C"/>
    <w:lvl w:ilvl="0" w:tplc="1882B4C4">
      <w:start w:val="1"/>
      <w:numFmt w:val="bullet"/>
      <w:pStyle w:val="Odrka3stupn"/>
      <w:lvlText w:val="-"/>
      <w:lvlJc w:val="left"/>
      <w:pPr>
        <w:ind w:left="2081" w:hanging="360"/>
      </w:pPr>
      <w:rPr>
        <w:rFonts w:ascii="Courier New" w:hAnsi="Courier New" w:hint="default"/>
      </w:rPr>
    </w:lvl>
    <w:lvl w:ilvl="1" w:tplc="04050003" w:tentative="1">
      <w:start w:val="1"/>
      <w:numFmt w:val="bullet"/>
      <w:lvlText w:val="o"/>
      <w:lvlJc w:val="left"/>
      <w:pPr>
        <w:ind w:left="2801" w:hanging="360"/>
      </w:pPr>
      <w:rPr>
        <w:rFonts w:ascii="Courier New" w:hAnsi="Courier New" w:cs="Courier New" w:hint="default"/>
      </w:rPr>
    </w:lvl>
    <w:lvl w:ilvl="2" w:tplc="04050005" w:tentative="1">
      <w:start w:val="1"/>
      <w:numFmt w:val="bullet"/>
      <w:lvlText w:val=""/>
      <w:lvlJc w:val="left"/>
      <w:pPr>
        <w:ind w:left="3521" w:hanging="360"/>
      </w:pPr>
      <w:rPr>
        <w:rFonts w:ascii="Wingdings" w:hAnsi="Wingdings" w:hint="default"/>
      </w:rPr>
    </w:lvl>
    <w:lvl w:ilvl="3" w:tplc="04050001" w:tentative="1">
      <w:start w:val="1"/>
      <w:numFmt w:val="bullet"/>
      <w:lvlText w:val=""/>
      <w:lvlJc w:val="left"/>
      <w:pPr>
        <w:ind w:left="4241" w:hanging="360"/>
      </w:pPr>
      <w:rPr>
        <w:rFonts w:ascii="Symbol" w:hAnsi="Symbol" w:hint="default"/>
      </w:rPr>
    </w:lvl>
    <w:lvl w:ilvl="4" w:tplc="04050003" w:tentative="1">
      <w:start w:val="1"/>
      <w:numFmt w:val="bullet"/>
      <w:lvlText w:val="o"/>
      <w:lvlJc w:val="left"/>
      <w:pPr>
        <w:ind w:left="4961" w:hanging="360"/>
      </w:pPr>
      <w:rPr>
        <w:rFonts w:ascii="Courier New" w:hAnsi="Courier New" w:cs="Courier New" w:hint="default"/>
      </w:rPr>
    </w:lvl>
    <w:lvl w:ilvl="5" w:tplc="04050005" w:tentative="1">
      <w:start w:val="1"/>
      <w:numFmt w:val="bullet"/>
      <w:lvlText w:val=""/>
      <w:lvlJc w:val="left"/>
      <w:pPr>
        <w:ind w:left="5681" w:hanging="360"/>
      </w:pPr>
      <w:rPr>
        <w:rFonts w:ascii="Wingdings" w:hAnsi="Wingdings" w:hint="default"/>
      </w:rPr>
    </w:lvl>
    <w:lvl w:ilvl="6" w:tplc="04050001" w:tentative="1">
      <w:start w:val="1"/>
      <w:numFmt w:val="bullet"/>
      <w:lvlText w:val=""/>
      <w:lvlJc w:val="left"/>
      <w:pPr>
        <w:ind w:left="6401" w:hanging="360"/>
      </w:pPr>
      <w:rPr>
        <w:rFonts w:ascii="Symbol" w:hAnsi="Symbol" w:hint="default"/>
      </w:rPr>
    </w:lvl>
    <w:lvl w:ilvl="7" w:tplc="04050003" w:tentative="1">
      <w:start w:val="1"/>
      <w:numFmt w:val="bullet"/>
      <w:lvlText w:val="o"/>
      <w:lvlJc w:val="left"/>
      <w:pPr>
        <w:ind w:left="7121" w:hanging="360"/>
      </w:pPr>
      <w:rPr>
        <w:rFonts w:ascii="Courier New" w:hAnsi="Courier New" w:cs="Courier New" w:hint="default"/>
      </w:rPr>
    </w:lvl>
    <w:lvl w:ilvl="8" w:tplc="04050005" w:tentative="1">
      <w:start w:val="1"/>
      <w:numFmt w:val="bullet"/>
      <w:lvlText w:val=""/>
      <w:lvlJc w:val="left"/>
      <w:pPr>
        <w:ind w:left="7841" w:hanging="360"/>
      </w:pPr>
      <w:rPr>
        <w:rFonts w:ascii="Wingdings" w:hAnsi="Wingdings" w:hint="default"/>
      </w:rPr>
    </w:lvl>
  </w:abstractNum>
  <w:abstractNum w:abstractNumId="14">
    <w:nsid w:val="3D041397"/>
    <w:multiLevelType w:val="hybridMultilevel"/>
    <w:tmpl w:val="9202D4B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nsid w:val="43345299"/>
    <w:multiLevelType w:val="hybridMultilevel"/>
    <w:tmpl w:val="ECC4B7D2"/>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43571613"/>
    <w:multiLevelType w:val="hybridMultilevel"/>
    <w:tmpl w:val="347C06E6"/>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nsid w:val="43BB137B"/>
    <w:multiLevelType w:val="hybridMultilevel"/>
    <w:tmpl w:val="09704836"/>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43E02BB8"/>
    <w:multiLevelType w:val="hybridMultilevel"/>
    <w:tmpl w:val="E958827A"/>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471B138D"/>
    <w:multiLevelType w:val="hybridMultilevel"/>
    <w:tmpl w:val="9AA2BC8E"/>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nsid w:val="51BD786F"/>
    <w:multiLevelType w:val="hybridMultilevel"/>
    <w:tmpl w:val="1084D5B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nsid w:val="541E5428"/>
    <w:multiLevelType w:val="hybridMultilevel"/>
    <w:tmpl w:val="8B5245A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nsid w:val="56455B9F"/>
    <w:multiLevelType w:val="hybridMultilevel"/>
    <w:tmpl w:val="4208C272"/>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nsid w:val="5C7A0DBA"/>
    <w:multiLevelType w:val="hybridMultilevel"/>
    <w:tmpl w:val="BBEC0102"/>
    <w:lvl w:ilvl="0" w:tplc="B6F09EF2">
      <w:start w:val="1"/>
      <w:numFmt w:val="bullet"/>
      <w:lvlText w:val=""/>
      <w:lvlJc w:val="left"/>
      <w:pPr>
        <w:ind w:left="720" w:hanging="360"/>
      </w:pPr>
      <w:rPr>
        <w:rFonts w:ascii="Symbol" w:hAnsi="Symbol" w:hint="default"/>
      </w:rPr>
    </w:lvl>
    <w:lvl w:ilvl="1" w:tplc="B6F09EF2">
      <w:start w:val="1"/>
      <w:numFmt w:val="bullet"/>
      <w:lvlText w:val=""/>
      <w:lvlJc w:val="left"/>
      <w:pPr>
        <w:ind w:left="1440" w:hanging="360"/>
      </w:pPr>
      <w:rPr>
        <w:rFonts w:ascii="Symbol" w:hAnsi="Symbol"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nsid w:val="60416DC5"/>
    <w:multiLevelType w:val="hybridMultilevel"/>
    <w:tmpl w:val="36F820A2"/>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nsid w:val="632A7C0E"/>
    <w:multiLevelType w:val="hybridMultilevel"/>
    <w:tmpl w:val="D2B62238"/>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nsid w:val="64A66E5F"/>
    <w:multiLevelType w:val="hybridMultilevel"/>
    <w:tmpl w:val="E96C5CB4"/>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nsid w:val="68585193"/>
    <w:multiLevelType w:val="hybridMultilevel"/>
    <w:tmpl w:val="8078F14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nsid w:val="6CEF68F0"/>
    <w:multiLevelType w:val="hybridMultilevel"/>
    <w:tmpl w:val="1A9879E6"/>
    <w:lvl w:ilvl="0" w:tplc="B142AF12">
      <w:start w:val="1"/>
      <w:numFmt w:val="bullet"/>
      <w:pStyle w:val="Odrka1stupn"/>
      <w:lvlText w:val="-"/>
      <w:lvlJc w:val="left"/>
      <w:pPr>
        <w:ind w:left="720" w:hanging="360"/>
      </w:pPr>
      <w:rPr>
        <w:rFonts w:ascii="Courier New" w:hAnsi="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nsid w:val="6DE700DE"/>
    <w:multiLevelType w:val="hybridMultilevel"/>
    <w:tmpl w:val="7170660A"/>
    <w:lvl w:ilvl="0" w:tplc="B6F09EF2">
      <w:start w:val="1"/>
      <w:numFmt w:val="bullet"/>
      <w:lvlText w:val=""/>
      <w:lvlJc w:val="left"/>
      <w:pPr>
        <w:ind w:left="720" w:hanging="360"/>
      </w:pPr>
      <w:rPr>
        <w:rFonts w:ascii="Symbol" w:hAnsi="Symbol" w:hint="default"/>
      </w:rPr>
    </w:lvl>
    <w:lvl w:ilvl="1" w:tplc="1B18F042">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nsid w:val="6E9B72C5"/>
    <w:multiLevelType w:val="hybridMultilevel"/>
    <w:tmpl w:val="62283396"/>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nsid w:val="701A6FF2"/>
    <w:multiLevelType w:val="hybridMultilevel"/>
    <w:tmpl w:val="D5607440"/>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70454DE7"/>
    <w:multiLevelType w:val="hybridMultilevel"/>
    <w:tmpl w:val="C5DE905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nsid w:val="736C5312"/>
    <w:multiLevelType w:val="multilevel"/>
    <w:tmpl w:val="75BE90AC"/>
    <w:lvl w:ilvl="0">
      <w:start w:val="1"/>
      <w:numFmt w:val="decimal"/>
      <w:pStyle w:val="Nadpis1"/>
      <w:lvlText w:val="%1"/>
      <w:lvlJc w:val="left"/>
      <w:pPr>
        <w:ind w:left="360" w:hanging="360"/>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34">
    <w:nsid w:val="78D01DDC"/>
    <w:multiLevelType w:val="hybridMultilevel"/>
    <w:tmpl w:val="80C0E61C"/>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7B6B047A"/>
    <w:multiLevelType w:val="hybridMultilevel"/>
    <w:tmpl w:val="DC44C4E2"/>
    <w:lvl w:ilvl="0" w:tplc="B6F09EF2">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28"/>
  </w:num>
  <w:num w:numId="2">
    <w:abstractNumId w:val="9"/>
  </w:num>
  <w:num w:numId="3">
    <w:abstractNumId w:val="13"/>
  </w:num>
  <w:num w:numId="4">
    <w:abstractNumId w:val="33"/>
  </w:num>
  <w:num w:numId="5">
    <w:abstractNumId w:val="24"/>
  </w:num>
  <w:num w:numId="6">
    <w:abstractNumId w:val="12"/>
  </w:num>
  <w:num w:numId="7">
    <w:abstractNumId w:val="4"/>
  </w:num>
  <w:num w:numId="8">
    <w:abstractNumId w:val="27"/>
  </w:num>
  <w:num w:numId="9">
    <w:abstractNumId w:val="5"/>
  </w:num>
  <w:num w:numId="10">
    <w:abstractNumId w:val="6"/>
  </w:num>
  <w:num w:numId="11">
    <w:abstractNumId w:val="0"/>
  </w:num>
  <w:num w:numId="12">
    <w:abstractNumId w:val="21"/>
  </w:num>
  <w:num w:numId="13">
    <w:abstractNumId w:val="7"/>
  </w:num>
  <w:num w:numId="14">
    <w:abstractNumId w:val="31"/>
  </w:num>
  <w:num w:numId="15">
    <w:abstractNumId w:val="25"/>
  </w:num>
  <w:num w:numId="16">
    <w:abstractNumId w:val="15"/>
  </w:num>
  <w:num w:numId="17">
    <w:abstractNumId w:val="30"/>
  </w:num>
  <w:num w:numId="18">
    <w:abstractNumId w:val="26"/>
  </w:num>
  <w:num w:numId="19">
    <w:abstractNumId w:val="19"/>
  </w:num>
  <w:num w:numId="20">
    <w:abstractNumId w:val="29"/>
  </w:num>
  <w:num w:numId="21">
    <w:abstractNumId w:val="35"/>
  </w:num>
  <w:num w:numId="22">
    <w:abstractNumId w:val="18"/>
  </w:num>
  <w:num w:numId="23">
    <w:abstractNumId w:val="32"/>
  </w:num>
  <w:num w:numId="24">
    <w:abstractNumId w:val="17"/>
  </w:num>
  <w:num w:numId="25">
    <w:abstractNumId w:val="1"/>
  </w:num>
  <w:num w:numId="26">
    <w:abstractNumId w:val="3"/>
  </w:num>
  <w:num w:numId="27">
    <w:abstractNumId w:val="22"/>
  </w:num>
  <w:num w:numId="28">
    <w:abstractNumId w:val="16"/>
  </w:num>
  <w:num w:numId="29">
    <w:abstractNumId w:val="2"/>
  </w:num>
  <w:num w:numId="30">
    <w:abstractNumId w:val="14"/>
  </w:num>
  <w:num w:numId="31">
    <w:abstractNumId w:val="8"/>
  </w:num>
  <w:num w:numId="32">
    <w:abstractNumId w:val="11"/>
  </w:num>
  <w:num w:numId="33">
    <w:abstractNumId w:val="20"/>
  </w:num>
  <w:num w:numId="34">
    <w:abstractNumId w:val="10"/>
  </w:num>
  <w:num w:numId="35">
    <w:abstractNumId w:val="23"/>
  </w:num>
  <w:num w:numId="36">
    <w:abstractNumId w:val="34"/>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hideSpellingErrors/>
  <w:proofState w:spelling="clean"/>
  <w:attachedTemplate r:id="rId1"/>
  <w:stylePaneFormatFilter w:val="3001"/>
  <w:defaultTabStop w:val="709"/>
  <w:hyphenationZone w:val="425"/>
  <w:drawingGridHorizontalSpacing w:val="120"/>
  <w:displayHorizontalDrawingGridEvery w:val="0"/>
  <w:displayVerticalDrawingGridEvery w:val="0"/>
  <w:noPunctuationKerning/>
  <w:characterSpacingControl w:val="doNotCompress"/>
  <w:hdrShapeDefaults>
    <o:shapedefaults v:ext="edit" spidmax="122881">
      <o:colormenu v:ext="edit" strokecolor="none"/>
    </o:shapedefaults>
  </w:hdrShapeDefaults>
  <w:footnotePr>
    <w:footnote w:id="-1"/>
    <w:footnote w:id="0"/>
  </w:footnotePr>
  <w:endnotePr>
    <w:endnote w:id="-1"/>
    <w:endnote w:id="0"/>
  </w:endnotePr>
  <w:compat/>
  <w:rsids>
    <w:rsidRoot w:val="00D6720A"/>
    <w:rsid w:val="000047F2"/>
    <w:rsid w:val="000064C7"/>
    <w:rsid w:val="00007A10"/>
    <w:rsid w:val="00011C39"/>
    <w:rsid w:val="0001702C"/>
    <w:rsid w:val="00030F73"/>
    <w:rsid w:val="000317EA"/>
    <w:rsid w:val="00043AF3"/>
    <w:rsid w:val="00045555"/>
    <w:rsid w:val="000511C9"/>
    <w:rsid w:val="00054341"/>
    <w:rsid w:val="000556FA"/>
    <w:rsid w:val="00065351"/>
    <w:rsid w:val="0007535B"/>
    <w:rsid w:val="00075F9B"/>
    <w:rsid w:val="0007653B"/>
    <w:rsid w:val="00082E8B"/>
    <w:rsid w:val="00095D4E"/>
    <w:rsid w:val="00096C8B"/>
    <w:rsid w:val="00097434"/>
    <w:rsid w:val="000A4BE9"/>
    <w:rsid w:val="000A64BF"/>
    <w:rsid w:val="000B13F3"/>
    <w:rsid w:val="000B1404"/>
    <w:rsid w:val="000B73D2"/>
    <w:rsid w:val="000C736E"/>
    <w:rsid w:val="000D2F14"/>
    <w:rsid w:val="000D4D9D"/>
    <w:rsid w:val="000E157B"/>
    <w:rsid w:val="000F3725"/>
    <w:rsid w:val="000F444F"/>
    <w:rsid w:val="000F4683"/>
    <w:rsid w:val="000F680B"/>
    <w:rsid w:val="00107C60"/>
    <w:rsid w:val="00113F3C"/>
    <w:rsid w:val="00117EE0"/>
    <w:rsid w:val="00122A8E"/>
    <w:rsid w:val="0012770F"/>
    <w:rsid w:val="00131B77"/>
    <w:rsid w:val="00136ABA"/>
    <w:rsid w:val="00137CEA"/>
    <w:rsid w:val="0014355A"/>
    <w:rsid w:val="00144279"/>
    <w:rsid w:val="00145303"/>
    <w:rsid w:val="0015643C"/>
    <w:rsid w:val="001706BD"/>
    <w:rsid w:val="0018258C"/>
    <w:rsid w:val="001865BE"/>
    <w:rsid w:val="00191C73"/>
    <w:rsid w:val="00191D08"/>
    <w:rsid w:val="00193F3F"/>
    <w:rsid w:val="00194089"/>
    <w:rsid w:val="001A09FE"/>
    <w:rsid w:val="001A3E25"/>
    <w:rsid w:val="001A4686"/>
    <w:rsid w:val="001A54EF"/>
    <w:rsid w:val="001A6DE7"/>
    <w:rsid w:val="001B087D"/>
    <w:rsid w:val="001B3607"/>
    <w:rsid w:val="001B4BD3"/>
    <w:rsid w:val="001B6C51"/>
    <w:rsid w:val="001C00E1"/>
    <w:rsid w:val="001C04CD"/>
    <w:rsid w:val="001C3BAC"/>
    <w:rsid w:val="001C7CE7"/>
    <w:rsid w:val="001D2392"/>
    <w:rsid w:val="001D3CE7"/>
    <w:rsid w:val="001D5764"/>
    <w:rsid w:val="001F0352"/>
    <w:rsid w:val="001F3C88"/>
    <w:rsid w:val="001F70F2"/>
    <w:rsid w:val="00203A95"/>
    <w:rsid w:val="00205ECD"/>
    <w:rsid w:val="00206FBA"/>
    <w:rsid w:val="00215D91"/>
    <w:rsid w:val="00217F26"/>
    <w:rsid w:val="00220965"/>
    <w:rsid w:val="00220F4E"/>
    <w:rsid w:val="00225E28"/>
    <w:rsid w:val="00226589"/>
    <w:rsid w:val="0022723F"/>
    <w:rsid w:val="00230DD1"/>
    <w:rsid w:val="00234347"/>
    <w:rsid w:val="0023522F"/>
    <w:rsid w:val="00235BBF"/>
    <w:rsid w:val="002364FE"/>
    <w:rsid w:val="00237826"/>
    <w:rsid w:val="00242A9C"/>
    <w:rsid w:val="00245336"/>
    <w:rsid w:val="002504DE"/>
    <w:rsid w:val="00250D2B"/>
    <w:rsid w:val="0025128B"/>
    <w:rsid w:val="0026039B"/>
    <w:rsid w:val="00260F8F"/>
    <w:rsid w:val="00265875"/>
    <w:rsid w:val="00270EF8"/>
    <w:rsid w:val="002722C5"/>
    <w:rsid w:val="002756C5"/>
    <w:rsid w:val="0027607F"/>
    <w:rsid w:val="002850D8"/>
    <w:rsid w:val="002852FF"/>
    <w:rsid w:val="002A0724"/>
    <w:rsid w:val="002A2F1A"/>
    <w:rsid w:val="002A75D8"/>
    <w:rsid w:val="002B1680"/>
    <w:rsid w:val="002B205E"/>
    <w:rsid w:val="002B649B"/>
    <w:rsid w:val="002C2272"/>
    <w:rsid w:val="002C2B4F"/>
    <w:rsid w:val="002C45BA"/>
    <w:rsid w:val="002F08E4"/>
    <w:rsid w:val="002F0B50"/>
    <w:rsid w:val="002F5BA5"/>
    <w:rsid w:val="00302110"/>
    <w:rsid w:val="0030233D"/>
    <w:rsid w:val="00305529"/>
    <w:rsid w:val="003068D3"/>
    <w:rsid w:val="003131C7"/>
    <w:rsid w:val="00315A66"/>
    <w:rsid w:val="0032047F"/>
    <w:rsid w:val="00320E0F"/>
    <w:rsid w:val="003219A9"/>
    <w:rsid w:val="0032655D"/>
    <w:rsid w:val="003336A7"/>
    <w:rsid w:val="00341D50"/>
    <w:rsid w:val="0034269C"/>
    <w:rsid w:val="00361771"/>
    <w:rsid w:val="00363884"/>
    <w:rsid w:val="0036573D"/>
    <w:rsid w:val="00370F7F"/>
    <w:rsid w:val="003748ED"/>
    <w:rsid w:val="00377C51"/>
    <w:rsid w:val="00384C28"/>
    <w:rsid w:val="00393748"/>
    <w:rsid w:val="00394F70"/>
    <w:rsid w:val="003B3C54"/>
    <w:rsid w:val="003B4D2E"/>
    <w:rsid w:val="003B67D4"/>
    <w:rsid w:val="003B7F36"/>
    <w:rsid w:val="003C28B2"/>
    <w:rsid w:val="003C4AB8"/>
    <w:rsid w:val="003D3324"/>
    <w:rsid w:val="003D445E"/>
    <w:rsid w:val="003D6334"/>
    <w:rsid w:val="003E48C6"/>
    <w:rsid w:val="003F2A3C"/>
    <w:rsid w:val="00403536"/>
    <w:rsid w:val="00407C8B"/>
    <w:rsid w:val="0041199D"/>
    <w:rsid w:val="00412B9C"/>
    <w:rsid w:val="0041307F"/>
    <w:rsid w:val="00413EF9"/>
    <w:rsid w:val="00421F92"/>
    <w:rsid w:val="00434228"/>
    <w:rsid w:val="00437F26"/>
    <w:rsid w:val="00440EB2"/>
    <w:rsid w:val="00441F47"/>
    <w:rsid w:val="004465E3"/>
    <w:rsid w:val="00450DD8"/>
    <w:rsid w:val="004522E5"/>
    <w:rsid w:val="00456474"/>
    <w:rsid w:val="00456879"/>
    <w:rsid w:val="00462360"/>
    <w:rsid w:val="004705B8"/>
    <w:rsid w:val="00472479"/>
    <w:rsid w:val="004775C7"/>
    <w:rsid w:val="004903E2"/>
    <w:rsid w:val="004947CA"/>
    <w:rsid w:val="004A0656"/>
    <w:rsid w:val="004A78EA"/>
    <w:rsid w:val="004B44A0"/>
    <w:rsid w:val="004C3D83"/>
    <w:rsid w:val="004D32FD"/>
    <w:rsid w:val="004D42E8"/>
    <w:rsid w:val="004D56FA"/>
    <w:rsid w:val="004E7350"/>
    <w:rsid w:val="004F6BAB"/>
    <w:rsid w:val="004F6F3E"/>
    <w:rsid w:val="004F736F"/>
    <w:rsid w:val="00505B7C"/>
    <w:rsid w:val="0050642A"/>
    <w:rsid w:val="005074E0"/>
    <w:rsid w:val="005079BB"/>
    <w:rsid w:val="0051298C"/>
    <w:rsid w:val="005217CD"/>
    <w:rsid w:val="00522B1C"/>
    <w:rsid w:val="005260BD"/>
    <w:rsid w:val="00526CF9"/>
    <w:rsid w:val="00530BB8"/>
    <w:rsid w:val="00532BCE"/>
    <w:rsid w:val="00535282"/>
    <w:rsid w:val="005424BB"/>
    <w:rsid w:val="005435F9"/>
    <w:rsid w:val="00545C54"/>
    <w:rsid w:val="005557E1"/>
    <w:rsid w:val="00556E8E"/>
    <w:rsid w:val="0056002D"/>
    <w:rsid w:val="0056630B"/>
    <w:rsid w:val="00567188"/>
    <w:rsid w:val="0056797A"/>
    <w:rsid w:val="00567EF3"/>
    <w:rsid w:val="00570FBB"/>
    <w:rsid w:val="00581BA1"/>
    <w:rsid w:val="00591ADA"/>
    <w:rsid w:val="00597B01"/>
    <w:rsid w:val="005A1D74"/>
    <w:rsid w:val="005A33DD"/>
    <w:rsid w:val="005A593A"/>
    <w:rsid w:val="005A66CD"/>
    <w:rsid w:val="005B2EA5"/>
    <w:rsid w:val="005B3949"/>
    <w:rsid w:val="005B4629"/>
    <w:rsid w:val="005B560F"/>
    <w:rsid w:val="005B69BD"/>
    <w:rsid w:val="005B6CE4"/>
    <w:rsid w:val="005C061E"/>
    <w:rsid w:val="005C124B"/>
    <w:rsid w:val="005C41F4"/>
    <w:rsid w:val="005D17EC"/>
    <w:rsid w:val="005D5691"/>
    <w:rsid w:val="005D7110"/>
    <w:rsid w:val="005E408C"/>
    <w:rsid w:val="00600304"/>
    <w:rsid w:val="0060294C"/>
    <w:rsid w:val="006118CF"/>
    <w:rsid w:val="00617002"/>
    <w:rsid w:val="00617E6A"/>
    <w:rsid w:val="00622F49"/>
    <w:rsid w:val="00624561"/>
    <w:rsid w:val="006316EF"/>
    <w:rsid w:val="00634BEA"/>
    <w:rsid w:val="0064085E"/>
    <w:rsid w:val="00645065"/>
    <w:rsid w:val="006478CE"/>
    <w:rsid w:val="0065037D"/>
    <w:rsid w:val="006509E8"/>
    <w:rsid w:val="00655122"/>
    <w:rsid w:val="00657B16"/>
    <w:rsid w:val="00663BAA"/>
    <w:rsid w:val="006653FE"/>
    <w:rsid w:val="00674498"/>
    <w:rsid w:val="00690D9C"/>
    <w:rsid w:val="006929A0"/>
    <w:rsid w:val="006A0397"/>
    <w:rsid w:val="006A6766"/>
    <w:rsid w:val="006B122F"/>
    <w:rsid w:val="006B4457"/>
    <w:rsid w:val="006B4BAB"/>
    <w:rsid w:val="006B682C"/>
    <w:rsid w:val="006C3CAC"/>
    <w:rsid w:val="006E026D"/>
    <w:rsid w:val="006E144D"/>
    <w:rsid w:val="006E273B"/>
    <w:rsid w:val="006E4F07"/>
    <w:rsid w:val="006F1C24"/>
    <w:rsid w:val="006F36A3"/>
    <w:rsid w:val="006F38FE"/>
    <w:rsid w:val="007115D9"/>
    <w:rsid w:val="00711ED9"/>
    <w:rsid w:val="007219C7"/>
    <w:rsid w:val="00723C5F"/>
    <w:rsid w:val="0072466E"/>
    <w:rsid w:val="00730F46"/>
    <w:rsid w:val="00735877"/>
    <w:rsid w:val="00741679"/>
    <w:rsid w:val="00744888"/>
    <w:rsid w:val="00757690"/>
    <w:rsid w:val="00763509"/>
    <w:rsid w:val="00764528"/>
    <w:rsid w:val="0076553F"/>
    <w:rsid w:val="00765CBC"/>
    <w:rsid w:val="00770256"/>
    <w:rsid w:val="007711A5"/>
    <w:rsid w:val="00772D49"/>
    <w:rsid w:val="00782893"/>
    <w:rsid w:val="00783D36"/>
    <w:rsid w:val="00784057"/>
    <w:rsid w:val="0078685E"/>
    <w:rsid w:val="00793AB3"/>
    <w:rsid w:val="00793C59"/>
    <w:rsid w:val="007A1233"/>
    <w:rsid w:val="007A40AC"/>
    <w:rsid w:val="007A469B"/>
    <w:rsid w:val="007A573C"/>
    <w:rsid w:val="007A6987"/>
    <w:rsid w:val="007A6AB6"/>
    <w:rsid w:val="007B2B93"/>
    <w:rsid w:val="007B4C07"/>
    <w:rsid w:val="007C05E4"/>
    <w:rsid w:val="007D5C54"/>
    <w:rsid w:val="007E49A4"/>
    <w:rsid w:val="007E5C73"/>
    <w:rsid w:val="007E684B"/>
    <w:rsid w:val="007F05D2"/>
    <w:rsid w:val="007F1BB5"/>
    <w:rsid w:val="007F5302"/>
    <w:rsid w:val="008020C9"/>
    <w:rsid w:val="008076E6"/>
    <w:rsid w:val="00816BCC"/>
    <w:rsid w:val="00816C1E"/>
    <w:rsid w:val="00823C60"/>
    <w:rsid w:val="00831212"/>
    <w:rsid w:val="00832518"/>
    <w:rsid w:val="008329FF"/>
    <w:rsid w:val="00837C09"/>
    <w:rsid w:val="00845800"/>
    <w:rsid w:val="00851E1F"/>
    <w:rsid w:val="008539F6"/>
    <w:rsid w:val="0085537F"/>
    <w:rsid w:val="00861E7B"/>
    <w:rsid w:val="00862303"/>
    <w:rsid w:val="00876C47"/>
    <w:rsid w:val="00876F72"/>
    <w:rsid w:val="00887089"/>
    <w:rsid w:val="00891348"/>
    <w:rsid w:val="00893915"/>
    <w:rsid w:val="008A3733"/>
    <w:rsid w:val="008A5FFE"/>
    <w:rsid w:val="008B3978"/>
    <w:rsid w:val="008C3313"/>
    <w:rsid w:val="008C5013"/>
    <w:rsid w:val="008D396D"/>
    <w:rsid w:val="008D653D"/>
    <w:rsid w:val="008E2F65"/>
    <w:rsid w:val="008F27AE"/>
    <w:rsid w:val="008F3410"/>
    <w:rsid w:val="008F602B"/>
    <w:rsid w:val="008F6080"/>
    <w:rsid w:val="00901B3C"/>
    <w:rsid w:val="00903BDE"/>
    <w:rsid w:val="00904FBA"/>
    <w:rsid w:val="009100B3"/>
    <w:rsid w:val="009172D5"/>
    <w:rsid w:val="00917A4F"/>
    <w:rsid w:val="009217F2"/>
    <w:rsid w:val="009231A8"/>
    <w:rsid w:val="00931568"/>
    <w:rsid w:val="00932D76"/>
    <w:rsid w:val="00935A3F"/>
    <w:rsid w:val="00953D36"/>
    <w:rsid w:val="00953D3D"/>
    <w:rsid w:val="00954280"/>
    <w:rsid w:val="00955DEB"/>
    <w:rsid w:val="009565C1"/>
    <w:rsid w:val="009571CC"/>
    <w:rsid w:val="00957AE1"/>
    <w:rsid w:val="00961597"/>
    <w:rsid w:val="00963D6E"/>
    <w:rsid w:val="00966F52"/>
    <w:rsid w:val="0097157C"/>
    <w:rsid w:val="00982056"/>
    <w:rsid w:val="0098631A"/>
    <w:rsid w:val="009866F7"/>
    <w:rsid w:val="00990CF5"/>
    <w:rsid w:val="00996BAA"/>
    <w:rsid w:val="00997CB9"/>
    <w:rsid w:val="009A06FC"/>
    <w:rsid w:val="009A4C97"/>
    <w:rsid w:val="009A7198"/>
    <w:rsid w:val="009A7FF3"/>
    <w:rsid w:val="009B302F"/>
    <w:rsid w:val="009C5106"/>
    <w:rsid w:val="009D1954"/>
    <w:rsid w:val="009D23E3"/>
    <w:rsid w:val="009D348D"/>
    <w:rsid w:val="009D50A3"/>
    <w:rsid w:val="009D5CB2"/>
    <w:rsid w:val="009E0277"/>
    <w:rsid w:val="009E2406"/>
    <w:rsid w:val="009E4218"/>
    <w:rsid w:val="009F2E53"/>
    <w:rsid w:val="009F5476"/>
    <w:rsid w:val="00A058B2"/>
    <w:rsid w:val="00A073B3"/>
    <w:rsid w:val="00A073EF"/>
    <w:rsid w:val="00A074EB"/>
    <w:rsid w:val="00A101CA"/>
    <w:rsid w:val="00A1409A"/>
    <w:rsid w:val="00A15B7D"/>
    <w:rsid w:val="00A235F1"/>
    <w:rsid w:val="00A318A0"/>
    <w:rsid w:val="00A31C7B"/>
    <w:rsid w:val="00A46572"/>
    <w:rsid w:val="00A46C19"/>
    <w:rsid w:val="00A46F76"/>
    <w:rsid w:val="00A557E2"/>
    <w:rsid w:val="00A57EFA"/>
    <w:rsid w:val="00A63229"/>
    <w:rsid w:val="00A64AAD"/>
    <w:rsid w:val="00A7096A"/>
    <w:rsid w:val="00A716A1"/>
    <w:rsid w:val="00A71B27"/>
    <w:rsid w:val="00A75BE6"/>
    <w:rsid w:val="00A81108"/>
    <w:rsid w:val="00A82EC3"/>
    <w:rsid w:val="00A90358"/>
    <w:rsid w:val="00A93B0A"/>
    <w:rsid w:val="00A955F6"/>
    <w:rsid w:val="00AA3689"/>
    <w:rsid w:val="00AA3F5F"/>
    <w:rsid w:val="00AA6F57"/>
    <w:rsid w:val="00AA70FB"/>
    <w:rsid w:val="00AB128F"/>
    <w:rsid w:val="00AB5825"/>
    <w:rsid w:val="00AB5CC0"/>
    <w:rsid w:val="00AC50C5"/>
    <w:rsid w:val="00AD0935"/>
    <w:rsid w:val="00AD187B"/>
    <w:rsid w:val="00AD1EE2"/>
    <w:rsid w:val="00AE349D"/>
    <w:rsid w:val="00AF1F9D"/>
    <w:rsid w:val="00AF3B49"/>
    <w:rsid w:val="00AF7149"/>
    <w:rsid w:val="00B00C00"/>
    <w:rsid w:val="00B11637"/>
    <w:rsid w:val="00B11F03"/>
    <w:rsid w:val="00B13228"/>
    <w:rsid w:val="00B16D2E"/>
    <w:rsid w:val="00B16ED5"/>
    <w:rsid w:val="00B33AA5"/>
    <w:rsid w:val="00B366F4"/>
    <w:rsid w:val="00B37BC7"/>
    <w:rsid w:val="00B408CB"/>
    <w:rsid w:val="00B41D18"/>
    <w:rsid w:val="00B44634"/>
    <w:rsid w:val="00B44B89"/>
    <w:rsid w:val="00B457F4"/>
    <w:rsid w:val="00B464FC"/>
    <w:rsid w:val="00B55AB9"/>
    <w:rsid w:val="00B609A2"/>
    <w:rsid w:val="00B60B67"/>
    <w:rsid w:val="00B72334"/>
    <w:rsid w:val="00B8042A"/>
    <w:rsid w:val="00B878B5"/>
    <w:rsid w:val="00B9550B"/>
    <w:rsid w:val="00BA1381"/>
    <w:rsid w:val="00BA4739"/>
    <w:rsid w:val="00BA710F"/>
    <w:rsid w:val="00BB5120"/>
    <w:rsid w:val="00BB5D7A"/>
    <w:rsid w:val="00BC098C"/>
    <w:rsid w:val="00BC14F1"/>
    <w:rsid w:val="00BC1BA4"/>
    <w:rsid w:val="00BC4D78"/>
    <w:rsid w:val="00BD0C86"/>
    <w:rsid w:val="00BD1533"/>
    <w:rsid w:val="00BD3970"/>
    <w:rsid w:val="00BD7149"/>
    <w:rsid w:val="00BD7169"/>
    <w:rsid w:val="00BD7772"/>
    <w:rsid w:val="00BE1BBF"/>
    <w:rsid w:val="00BE47CF"/>
    <w:rsid w:val="00BE498C"/>
    <w:rsid w:val="00BE60E7"/>
    <w:rsid w:val="00BF0960"/>
    <w:rsid w:val="00BF0B9B"/>
    <w:rsid w:val="00BF33A4"/>
    <w:rsid w:val="00BF52FA"/>
    <w:rsid w:val="00BF64D9"/>
    <w:rsid w:val="00C02346"/>
    <w:rsid w:val="00C1342A"/>
    <w:rsid w:val="00C15AD4"/>
    <w:rsid w:val="00C2500C"/>
    <w:rsid w:val="00C303E5"/>
    <w:rsid w:val="00C51F45"/>
    <w:rsid w:val="00C54DC7"/>
    <w:rsid w:val="00C62B30"/>
    <w:rsid w:val="00C66815"/>
    <w:rsid w:val="00C72FD5"/>
    <w:rsid w:val="00C83096"/>
    <w:rsid w:val="00C83857"/>
    <w:rsid w:val="00C90850"/>
    <w:rsid w:val="00C91453"/>
    <w:rsid w:val="00C91C02"/>
    <w:rsid w:val="00CA18FD"/>
    <w:rsid w:val="00CA5CD4"/>
    <w:rsid w:val="00CB1B52"/>
    <w:rsid w:val="00CB6F5D"/>
    <w:rsid w:val="00CB7EFE"/>
    <w:rsid w:val="00CC2CD8"/>
    <w:rsid w:val="00CC52B0"/>
    <w:rsid w:val="00CD2B9F"/>
    <w:rsid w:val="00CD36D7"/>
    <w:rsid w:val="00CD7090"/>
    <w:rsid w:val="00CE0DFD"/>
    <w:rsid w:val="00CE541B"/>
    <w:rsid w:val="00CF775D"/>
    <w:rsid w:val="00D02EDA"/>
    <w:rsid w:val="00D04D8E"/>
    <w:rsid w:val="00D0659E"/>
    <w:rsid w:val="00D179FA"/>
    <w:rsid w:val="00D23352"/>
    <w:rsid w:val="00D24B82"/>
    <w:rsid w:val="00D302DC"/>
    <w:rsid w:val="00D31CD9"/>
    <w:rsid w:val="00D4232F"/>
    <w:rsid w:val="00D42561"/>
    <w:rsid w:val="00D43BD6"/>
    <w:rsid w:val="00D50D32"/>
    <w:rsid w:val="00D53B32"/>
    <w:rsid w:val="00D5735F"/>
    <w:rsid w:val="00D57FD4"/>
    <w:rsid w:val="00D63CE4"/>
    <w:rsid w:val="00D6720A"/>
    <w:rsid w:val="00D735E2"/>
    <w:rsid w:val="00D74A39"/>
    <w:rsid w:val="00D75B86"/>
    <w:rsid w:val="00D80224"/>
    <w:rsid w:val="00D8087C"/>
    <w:rsid w:val="00D8245E"/>
    <w:rsid w:val="00D867FF"/>
    <w:rsid w:val="00D90FFC"/>
    <w:rsid w:val="00D94D7D"/>
    <w:rsid w:val="00D977A7"/>
    <w:rsid w:val="00DA1337"/>
    <w:rsid w:val="00DA4A47"/>
    <w:rsid w:val="00DA57AC"/>
    <w:rsid w:val="00DB47B9"/>
    <w:rsid w:val="00DB48D3"/>
    <w:rsid w:val="00DC2701"/>
    <w:rsid w:val="00DC57FF"/>
    <w:rsid w:val="00DC632B"/>
    <w:rsid w:val="00DC6B57"/>
    <w:rsid w:val="00DD1F82"/>
    <w:rsid w:val="00DD24BC"/>
    <w:rsid w:val="00DD37C8"/>
    <w:rsid w:val="00DD551F"/>
    <w:rsid w:val="00DD6695"/>
    <w:rsid w:val="00DE1137"/>
    <w:rsid w:val="00DE31B2"/>
    <w:rsid w:val="00E01EBC"/>
    <w:rsid w:val="00E01F97"/>
    <w:rsid w:val="00E14DCF"/>
    <w:rsid w:val="00E2064A"/>
    <w:rsid w:val="00E20D59"/>
    <w:rsid w:val="00E25516"/>
    <w:rsid w:val="00E3327C"/>
    <w:rsid w:val="00E37E1C"/>
    <w:rsid w:val="00E418F0"/>
    <w:rsid w:val="00E4395C"/>
    <w:rsid w:val="00E46633"/>
    <w:rsid w:val="00E47FF1"/>
    <w:rsid w:val="00E54035"/>
    <w:rsid w:val="00E543E4"/>
    <w:rsid w:val="00E54E9C"/>
    <w:rsid w:val="00E55387"/>
    <w:rsid w:val="00E55D3D"/>
    <w:rsid w:val="00E65616"/>
    <w:rsid w:val="00E66880"/>
    <w:rsid w:val="00E75F48"/>
    <w:rsid w:val="00E767AB"/>
    <w:rsid w:val="00E77216"/>
    <w:rsid w:val="00E82303"/>
    <w:rsid w:val="00E86E13"/>
    <w:rsid w:val="00E9193C"/>
    <w:rsid w:val="00EA075E"/>
    <w:rsid w:val="00EA15C9"/>
    <w:rsid w:val="00EA6AA3"/>
    <w:rsid w:val="00EA7D56"/>
    <w:rsid w:val="00EB0C19"/>
    <w:rsid w:val="00EB513B"/>
    <w:rsid w:val="00EC2DBD"/>
    <w:rsid w:val="00EC2DDA"/>
    <w:rsid w:val="00EC7F8F"/>
    <w:rsid w:val="00ED48F9"/>
    <w:rsid w:val="00ED6E3B"/>
    <w:rsid w:val="00EE0032"/>
    <w:rsid w:val="00EE0C88"/>
    <w:rsid w:val="00EE410D"/>
    <w:rsid w:val="00EE7290"/>
    <w:rsid w:val="00EF2325"/>
    <w:rsid w:val="00EF42E4"/>
    <w:rsid w:val="00EF54F6"/>
    <w:rsid w:val="00EF6EBD"/>
    <w:rsid w:val="00EF7086"/>
    <w:rsid w:val="00EF7090"/>
    <w:rsid w:val="00EF7AF2"/>
    <w:rsid w:val="00F01EA9"/>
    <w:rsid w:val="00F05477"/>
    <w:rsid w:val="00F12E6A"/>
    <w:rsid w:val="00F162A2"/>
    <w:rsid w:val="00F1714B"/>
    <w:rsid w:val="00F177ED"/>
    <w:rsid w:val="00F25762"/>
    <w:rsid w:val="00F328B9"/>
    <w:rsid w:val="00F44471"/>
    <w:rsid w:val="00F4518F"/>
    <w:rsid w:val="00F47B37"/>
    <w:rsid w:val="00F53769"/>
    <w:rsid w:val="00F54320"/>
    <w:rsid w:val="00F57066"/>
    <w:rsid w:val="00F61245"/>
    <w:rsid w:val="00F72854"/>
    <w:rsid w:val="00F92AC3"/>
    <w:rsid w:val="00F95F06"/>
    <w:rsid w:val="00F97C20"/>
    <w:rsid w:val="00FA0496"/>
    <w:rsid w:val="00FA2631"/>
    <w:rsid w:val="00FA317D"/>
    <w:rsid w:val="00FA378F"/>
    <w:rsid w:val="00FB4225"/>
    <w:rsid w:val="00FB61D7"/>
    <w:rsid w:val="00FC4663"/>
    <w:rsid w:val="00FC4D1B"/>
    <w:rsid w:val="00FC58E7"/>
    <w:rsid w:val="00FC6287"/>
    <w:rsid w:val="00FD0E68"/>
    <w:rsid w:val="00FD1311"/>
    <w:rsid w:val="00FD3BAF"/>
    <w:rsid w:val="00FE3B68"/>
    <w:rsid w:val="00FE5657"/>
    <w:rsid w:val="00FF60AD"/>
    <w:rsid w:val="00FF795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lsdException w:name="heading 6" w:semiHidden="0" w:uiPriority="9" w:unhideWhenUsed="0"/>
    <w:lsdException w:name="heading 7" w:semiHidden="0" w:uiPriority="9" w:unhideWhenUsed="0"/>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0" w:qFormat="1"/>
    <w:lsdException w:name="footnote reference"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22A8E"/>
    <w:pPr>
      <w:spacing w:after="240" w:line="360" w:lineRule="auto"/>
      <w:jc w:val="both"/>
    </w:pPr>
    <w:rPr>
      <w:sz w:val="24"/>
    </w:rPr>
  </w:style>
  <w:style w:type="paragraph" w:styleId="Nadpis1">
    <w:name w:val="heading 1"/>
    <w:basedOn w:val="Normln"/>
    <w:next w:val="Nadpis2"/>
    <w:qFormat/>
    <w:rsid w:val="00723C5F"/>
    <w:pPr>
      <w:keepNext/>
      <w:numPr>
        <w:numId w:val="4"/>
      </w:numPr>
      <w:ind w:left="357" w:hanging="357"/>
      <w:jc w:val="left"/>
      <w:outlineLvl w:val="0"/>
    </w:pPr>
    <w:rPr>
      <w:b/>
      <w:bCs/>
      <w:sz w:val="32"/>
      <w:szCs w:val="40"/>
    </w:rPr>
  </w:style>
  <w:style w:type="paragraph" w:styleId="Nadpis2">
    <w:name w:val="heading 2"/>
    <w:basedOn w:val="Normln"/>
    <w:next w:val="Nadpis3"/>
    <w:qFormat/>
    <w:rsid w:val="00723C5F"/>
    <w:pPr>
      <w:keepNext/>
      <w:numPr>
        <w:ilvl w:val="1"/>
        <w:numId w:val="4"/>
      </w:numPr>
      <w:ind w:left="578" w:hanging="578"/>
      <w:jc w:val="left"/>
      <w:outlineLvl w:val="1"/>
    </w:pPr>
    <w:rPr>
      <w:b/>
      <w:bCs/>
      <w:sz w:val="28"/>
      <w:szCs w:val="24"/>
    </w:rPr>
  </w:style>
  <w:style w:type="paragraph" w:styleId="Nadpis3">
    <w:name w:val="heading 3"/>
    <w:basedOn w:val="Normln"/>
    <w:next w:val="Nadpis4"/>
    <w:qFormat/>
    <w:rsid w:val="00723C5F"/>
    <w:pPr>
      <w:keepNext/>
      <w:numPr>
        <w:ilvl w:val="2"/>
        <w:numId w:val="4"/>
      </w:numPr>
      <w:tabs>
        <w:tab w:val="left" w:pos="1304"/>
        <w:tab w:val="left" w:pos="1361"/>
      </w:tabs>
      <w:jc w:val="left"/>
      <w:outlineLvl w:val="2"/>
    </w:pPr>
    <w:rPr>
      <w:rFonts w:cs="Arial"/>
      <w:bCs/>
      <w:sz w:val="28"/>
      <w:szCs w:val="26"/>
    </w:rPr>
  </w:style>
  <w:style w:type="paragraph" w:styleId="Nadpis4">
    <w:name w:val="heading 4"/>
    <w:basedOn w:val="Normln"/>
    <w:next w:val="Nadpis5"/>
    <w:qFormat/>
    <w:rsid w:val="00723C5F"/>
    <w:pPr>
      <w:keepNext/>
      <w:numPr>
        <w:ilvl w:val="3"/>
        <w:numId w:val="4"/>
      </w:numPr>
      <w:ind w:left="862" w:hanging="862"/>
      <w:jc w:val="left"/>
      <w:outlineLvl w:val="3"/>
    </w:pPr>
    <w:rPr>
      <w:b/>
      <w:bCs/>
      <w:szCs w:val="28"/>
    </w:rPr>
  </w:style>
  <w:style w:type="paragraph" w:styleId="Nadpis5">
    <w:name w:val="heading 5"/>
    <w:basedOn w:val="Normln"/>
    <w:next w:val="Normln"/>
    <w:rsid w:val="002A0724"/>
    <w:pPr>
      <w:keepNext/>
      <w:numPr>
        <w:ilvl w:val="4"/>
        <w:numId w:val="4"/>
      </w:numPr>
      <w:spacing w:after="0"/>
      <w:ind w:left="1009" w:hanging="1009"/>
      <w:jc w:val="left"/>
      <w:outlineLvl w:val="4"/>
    </w:pPr>
    <w:rPr>
      <w:bCs/>
      <w:szCs w:val="24"/>
    </w:rPr>
  </w:style>
  <w:style w:type="paragraph" w:styleId="Nadpis6">
    <w:name w:val="heading 6"/>
    <w:aliases w:val="Nadpis obrázku"/>
    <w:basedOn w:val="Normln"/>
    <w:next w:val="Normln"/>
    <w:rsid w:val="008E2F65"/>
    <w:pPr>
      <w:keepNext/>
      <w:numPr>
        <w:ilvl w:val="5"/>
        <w:numId w:val="4"/>
      </w:numPr>
      <w:jc w:val="center"/>
      <w:outlineLvl w:val="5"/>
    </w:pPr>
    <w:rPr>
      <w:b/>
      <w:bCs/>
      <w:szCs w:val="24"/>
    </w:rPr>
  </w:style>
  <w:style w:type="paragraph" w:styleId="Nadpis7">
    <w:name w:val="heading 7"/>
    <w:basedOn w:val="Normln"/>
    <w:next w:val="Normln"/>
    <w:rsid w:val="008E2F65"/>
    <w:pPr>
      <w:keepNext/>
      <w:numPr>
        <w:ilvl w:val="6"/>
        <w:numId w:val="4"/>
      </w:numPr>
      <w:jc w:val="center"/>
      <w:outlineLvl w:val="6"/>
    </w:pPr>
  </w:style>
  <w:style w:type="paragraph" w:styleId="Nadpis8">
    <w:name w:val="heading 8"/>
    <w:basedOn w:val="Normln"/>
    <w:next w:val="Normln"/>
    <w:link w:val="Nadpis8Char"/>
    <w:uiPriority w:val="9"/>
    <w:semiHidden/>
    <w:unhideWhenUsed/>
    <w:qFormat/>
    <w:rsid w:val="00FE3B68"/>
    <w:pPr>
      <w:keepNext/>
      <w:keepLines/>
      <w:numPr>
        <w:ilvl w:val="7"/>
        <w:numId w:val="4"/>
      </w:numPr>
      <w:spacing w:before="200" w:after="0"/>
      <w:outlineLvl w:val="7"/>
    </w:pPr>
    <w:rPr>
      <w:rFonts w:ascii="Cambria" w:hAnsi="Cambria"/>
      <w:color w:val="404040"/>
      <w:sz w:val="20"/>
    </w:rPr>
  </w:style>
  <w:style w:type="paragraph" w:styleId="Nadpis9">
    <w:name w:val="heading 9"/>
    <w:basedOn w:val="Normln"/>
    <w:next w:val="Normln"/>
    <w:link w:val="Nadpis9Char"/>
    <w:uiPriority w:val="9"/>
    <w:semiHidden/>
    <w:unhideWhenUsed/>
    <w:qFormat/>
    <w:rsid w:val="00FE3B68"/>
    <w:pPr>
      <w:keepNext/>
      <w:keepLines/>
      <w:numPr>
        <w:ilvl w:val="8"/>
        <w:numId w:val="4"/>
      </w:numPr>
      <w:spacing w:before="200" w:after="0"/>
      <w:outlineLvl w:val="8"/>
    </w:pPr>
    <w:rPr>
      <w:rFonts w:ascii="Cambria" w:hAnsi="Cambria"/>
      <w:i/>
      <w:iCs/>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8Char">
    <w:name w:val="Nadpis 8 Char"/>
    <w:basedOn w:val="Standardnpsmoodstavce"/>
    <w:link w:val="Nadpis8"/>
    <w:uiPriority w:val="9"/>
    <w:semiHidden/>
    <w:rsid w:val="00FE3B68"/>
    <w:rPr>
      <w:rFonts w:ascii="Cambria" w:hAnsi="Cambria"/>
      <w:color w:val="404040"/>
    </w:rPr>
  </w:style>
  <w:style w:type="character" w:customStyle="1" w:styleId="Nadpis9Char">
    <w:name w:val="Nadpis 9 Char"/>
    <w:basedOn w:val="Standardnpsmoodstavce"/>
    <w:link w:val="Nadpis9"/>
    <w:uiPriority w:val="9"/>
    <w:semiHidden/>
    <w:rsid w:val="00FE3B68"/>
    <w:rPr>
      <w:rFonts w:ascii="Cambria" w:hAnsi="Cambria"/>
      <w:i/>
      <w:iCs/>
      <w:color w:val="404040"/>
    </w:rPr>
  </w:style>
  <w:style w:type="paragraph" w:customStyle="1" w:styleId="Textodstavce">
    <w:name w:val="Text odstavce"/>
    <w:basedOn w:val="Normln"/>
    <w:link w:val="TextodstavceChar"/>
    <w:rsid w:val="00113F3C"/>
  </w:style>
  <w:style w:type="character" w:customStyle="1" w:styleId="TextodstavceChar">
    <w:name w:val="Text odstavce Char"/>
    <w:basedOn w:val="Standardnpsmoodstavce"/>
    <w:link w:val="Textodstavce"/>
    <w:rsid w:val="00113F3C"/>
    <w:rPr>
      <w:sz w:val="24"/>
    </w:rPr>
  </w:style>
  <w:style w:type="paragraph" w:styleId="Textpoznpodarou">
    <w:name w:val="footnote text"/>
    <w:aliases w:val="Text pozn. pod čarou Char Char Char Char,Text pozn. pod čarou Char Char Char"/>
    <w:basedOn w:val="Normln"/>
    <w:link w:val="TextpoznpodarouChar"/>
    <w:semiHidden/>
    <w:rsid w:val="00E418F0"/>
    <w:pPr>
      <w:tabs>
        <w:tab w:val="left" w:pos="227"/>
      </w:tabs>
      <w:spacing w:after="0"/>
      <w:ind w:left="227" w:hanging="227"/>
    </w:pPr>
    <w:rPr>
      <w:sz w:val="20"/>
    </w:rPr>
  </w:style>
  <w:style w:type="character" w:customStyle="1" w:styleId="TextpoznpodarouChar">
    <w:name w:val="Text pozn. pod čarou Char"/>
    <w:aliases w:val="Text pozn. pod čarou Char Char Char Char Char,Text pozn. pod čarou Char Char Char Char1"/>
    <w:basedOn w:val="Standardnpsmoodstavce"/>
    <w:link w:val="Textpoznpodarou"/>
    <w:rsid w:val="00935A3F"/>
  </w:style>
  <w:style w:type="character" w:styleId="Znakapoznpodarou">
    <w:name w:val="footnote reference"/>
    <w:basedOn w:val="Standardnpsmoodstavce"/>
    <w:semiHidden/>
    <w:rsid w:val="00E418F0"/>
    <w:rPr>
      <w:vertAlign w:val="superscript"/>
    </w:rPr>
  </w:style>
  <w:style w:type="paragraph" w:styleId="Zhlav">
    <w:name w:val="header"/>
    <w:basedOn w:val="Normln"/>
    <w:link w:val="ZhlavChar"/>
    <w:unhideWhenUsed/>
    <w:rsid w:val="00990CF5"/>
    <w:pPr>
      <w:tabs>
        <w:tab w:val="center" w:pos="4536"/>
        <w:tab w:val="right" w:pos="9072"/>
      </w:tabs>
      <w:spacing w:after="0"/>
    </w:pPr>
  </w:style>
  <w:style w:type="character" w:customStyle="1" w:styleId="ZhlavChar">
    <w:name w:val="Záhlaví Char"/>
    <w:basedOn w:val="Standardnpsmoodstavce"/>
    <w:link w:val="Zhlav"/>
    <w:rsid w:val="00990CF5"/>
    <w:rPr>
      <w:sz w:val="24"/>
    </w:rPr>
  </w:style>
  <w:style w:type="paragraph" w:customStyle="1" w:styleId="Seznamtypa">
    <w:name w:val="Seznam typ=a"/>
    <w:basedOn w:val="Normln"/>
    <w:rsid w:val="00E418F0"/>
    <w:pPr>
      <w:tabs>
        <w:tab w:val="num" w:pos="360"/>
      </w:tabs>
      <w:ind w:left="360" w:hanging="360"/>
    </w:pPr>
    <w:rPr>
      <w:lang w:eastAsia="en-US"/>
    </w:rPr>
  </w:style>
  <w:style w:type="paragraph" w:styleId="Seznam">
    <w:name w:val="List"/>
    <w:aliases w:val="číslovaný"/>
    <w:basedOn w:val="Normln"/>
    <w:rsid w:val="004D32FD"/>
    <w:pPr>
      <w:tabs>
        <w:tab w:val="num" w:pos="360"/>
      </w:tabs>
      <w:ind w:left="357" w:hanging="357"/>
    </w:pPr>
  </w:style>
  <w:style w:type="character" w:styleId="slostrnky">
    <w:name w:val="page number"/>
    <w:basedOn w:val="Standardnpsmoodstavce"/>
    <w:rsid w:val="005C061E"/>
    <w:rPr>
      <w:rFonts w:ascii="Times New Roman" w:hAnsi="Times New Roman"/>
      <w:sz w:val="24"/>
    </w:rPr>
  </w:style>
  <w:style w:type="paragraph" w:customStyle="1" w:styleId="Tabulka-text">
    <w:name w:val="Tabulka - text"/>
    <w:basedOn w:val="Normln"/>
    <w:rsid w:val="0060294C"/>
    <w:pPr>
      <w:spacing w:after="0" w:line="240" w:lineRule="auto"/>
      <w:jc w:val="center"/>
    </w:pPr>
    <w:rPr>
      <w:sz w:val="22"/>
    </w:rPr>
  </w:style>
  <w:style w:type="paragraph" w:customStyle="1" w:styleId="Seznamliteratury">
    <w:name w:val="Seznam literatury"/>
    <w:basedOn w:val="Seznamtypa"/>
    <w:rsid w:val="004D32FD"/>
    <w:pPr>
      <w:spacing w:after="0"/>
      <w:ind w:left="357" w:hanging="357"/>
    </w:pPr>
  </w:style>
  <w:style w:type="paragraph" w:customStyle="1" w:styleId="Tabulka">
    <w:name w:val="Tabulka"/>
    <w:aliases w:val="graf,obrázek - číslo"/>
    <w:basedOn w:val="Tabulka-text"/>
    <w:next w:val="Tabulka-text"/>
    <w:rsid w:val="001F3C88"/>
    <w:pPr>
      <w:spacing w:before="360" w:after="120"/>
      <w:jc w:val="left"/>
    </w:pPr>
  </w:style>
  <w:style w:type="paragraph" w:styleId="Zpat">
    <w:name w:val="footer"/>
    <w:basedOn w:val="Normln"/>
    <w:link w:val="ZpatChar"/>
    <w:unhideWhenUsed/>
    <w:rsid w:val="00990CF5"/>
    <w:pPr>
      <w:tabs>
        <w:tab w:val="center" w:pos="4536"/>
        <w:tab w:val="right" w:pos="9072"/>
      </w:tabs>
      <w:spacing w:after="0"/>
    </w:pPr>
  </w:style>
  <w:style w:type="character" w:customStyle="1" w:styleId="ZpatChar">
    <w:name w:val="Zápatí Char"/>
    <w:basedOn w:val="Standardnpsmoodstavce"/>
    <w:link w:val="Zpat"/>
    <w:rsid w:val="00990CF5"/>
    <w:rPr>
      <w:sz w:val="24"/>
    </w:rPr>
  </w:style>
  <w:style w:type="paragraph" w:customStyle="1" w:styleId="Tabulka-pramen">
    <w:name w:val="Tabulka - pramen"/>
    <w:aliases w:val="legenda"/>
    <w:basedOn w:val="Normln"/>
    <w:rsid w:val="00CD7090"/>
    <w:pPr>
      <w:spacing w:before="120"/>
      <w:jc w:val="left"/>
    </w:pPr>
    <w:rPr>
      <w:bCs/>
      <w:sz w:val="22"/>
    </w:rPr>
  </w:style>
  <w:style w:type="paragraph" w:customStyle="1" w:styleId="Odstavecprograf">
    <w:name w:val="Odstavec pro graf"/>
    <w:basedOn w:val="Normln"/>
    <w:rsid w:val="004D32FD"/>
    <w:rPr>
      <w:sz w:val="20"/>
    </w:rPr>
  </w:style>
  <w:style w:type="paragraph" w:customStyle="1" w:styleId="Odrka3stupn">
    <w:name w:val="Odrážka 3. stupně"/>
    <w:basedOn w:val="Normln"/>
    <w:rsid w:val="00193F3F"/>
    <w:pPr>
      <w:numPr>
        <w:numId w:val="3"/>
      </w:numPr>
    </w:pPr>
  </w:style>
  <w:style w:type="paragraph" w:customStyle="1" w:styleId="Odrka1stupn">
    <w:name w:val="Odrážka 1. stupně"/>
    <w:basedOn w:val="Normln"/>
    <w:rsid w:val="000B73D2"/>
    <w:pPr>
      <w:numPr>
        <w:numId w:val="1"/>
      </w:numPr>
      <w:spacing w:after="0"/>
      <w:ind w:left="1066" w:hanging="357"/>
    </w:pPr>
  </w:style>
  <w:style w:type="character" w:styleId="Zstupntext">
    <w:name w:val="Placeholder Text"/>
    <w:basedOn w:val="Standardnpsmoodstavce"/>
    <w:uiPriority w:val="99"/>
    <w:semiHidden/>
    <w:rsid w:val="000A4BE9"/>
    <w:rPr>
      <w:color w:val="808080"/>
    </w:rPr>
  </w:style>
  <w:style w:type="character" w:styleId="Hypertextovodkaz">
    <w:name w:val="Hyperlink"/>
    <w:basedOn w:val="Standardnpsmoodstavce"/>
    <w:uiPriority w:val="99"/>
    <w:rsid w:val="00194089"/>
    <w:rPr>
      <w:rFonts w:ascii="Times New Roman" w:hAnsi="Times New Roman"/>
      <w:color w:val="0000FF"/>
      <w:sz w:val="24"/>
      <w:u w:val="single"/>
    </w:rPr>
  </w:style>
  <w:style w:type="paragraph" w:customStyle="1" w:styleId="Zdroj">
    <w:name w:val="Zdroj"/>
    <w:basedOn w:val="Normln"/>
    <w:rsid w:val="0085537F"/>
    <w:pPr>
      <w:jc w:val="left"/>
    </w:pPr>
    <w:rPr>
      <w:sz w:val="20"/>
    </w:rPr>
  </w:style>
  <w:style w:type="paragraph" w:styleId="Textbubliny">
    <w:name w:val="Balloon Text"/>
    <w:basedOn w:val="Normln"/>
    <w:semiHidden/>
    <w:rsid w:val="00E418F0"/>
    <w:rPr>
      <w:rFonts w:ascii="Tahoma" w:hAnsi="Tahoma" w:cs="Tahoma"/>
      <w:sz w:val="16"/>
      <w:szCs w:val="16"/>
    </w:rPr>
  </w:style>
  <w:style w:type="paragraph" w:customStyle="1" w:styleId="Keywords">
    <w:name w:val="Key words"/>
    <w:basedOn w:val="Normln"/>
    <w:rsid w:val="00194089"/>
    <w:pPr>
      <w:tabs>
        <w:tab w:val="num" w:pos="1304"/>
      </w:tabs>
      <w:ind w:left="1304" w:hanging="1304"/>
    </w:pPr>
    <w:rPr>
      <w:szCs w:val="24"/>
      <w:lang w:val="en-US"/>
    </w:rPr>
  </w:style>
  <w:style w:type="paragraph" w:customStyle="1" w:styleId="Klovslova">
    <w:name w:val="Klíčová slova:"/>
    <w:basedOn w:val="Normln"/>
    <w:rsid w:val="00194089"/>
    <w:pPr>
      <w:tabs>
        <w:tab w:val="num" w:pos="1531"/>
      </w:tabs>
      <w:spacing w:after="360"/>
      <w:ind w:left="1531" w:hanging="1531"/>
    </w:pPr>
    <w:rPr>
      <w:szCs w:val="24"/>
    </w:rPr>
  </w:style>
  <w:style w:type="paragraph" w:customStyle="1" w:styleId="AbstractSummary-nadpis">
    <w:name w:val="Abstract/Summary - nadpis"/>
    <w:basedOn w:val="Normln"/>
    <w:rsid w:val="00831212"/>
    <w:pPr>
      <w:tabs>
        <w:tab w:val="num" w:pos="0"/>
      </w:tabs>
      <w:spacing w:before="240"/>
      <w:jc w:val="left"/>
    </w:pPr>
    <w:rPr>
      <w:b/>
      <w:szCs w:val="24"/>
    </w:rPr>
  </w:style>
  <w:style w:type="paragraph" w:customStyle="1" w:styleId="AbstractSummary-text">
    <w:name w:val="Abstract/Summary - text"/>
    <w:basedOn w:val="Normln"/>
    <w:rsid w:val="00CE0DFD"/>
    <w:rPr>
      <w:szCs w:val="24"/>
      <w:lang w:val="en-US"/>
    </w:rPr>
  </w:style>
  <w:style w:type="paragraph" w:customStyle="1" w:styleId="JELclassification">
    <w:name w:val="JEL classification"/>
    <w:basedOn w:val="Normln"/>
    <w:rsid w:val="00194089"/>
    <w:pPr>
      <w:tabs>
        <w:tab w:val="num" w:pos="2041"/>
      </w:tabs>
      <w:spacing w:after="0"/>
      <w:ind w:left="2041" w:hanging="2041"/>
    </w:pPr>
    <w:rPr>
      <w:szCs w:val="24"/>
      <w:lang w:val="en-US"/>
    </w:rPr>
  </w:style>
  <w:style w:type="paragraph" w:styleId="Nadpisobsahu">
    <w:name w:val="TOC Heading"/>
    <w:basedOn w:val="Nadpis1"/>
    <w:next w:val="Normln"/>
    <w:uiPriority w:val="39"/>
    <w:unhideWhenUsed/>
    <w:qFormat/>
    <w:rsid w:val="00456474"/>
    <w:pPr>
      <w:keepLines/>
      <w:numPr>
        <w:numId w:val="0"/>
      </w:numPr>
      <w:spacing w:before="480" w:line="276" w:lineRule="auto"/>
      <w:outlineLvl w:val="9"/>
    </w:pPr>
    <w:rPr>
      <w:sz w:val="28"/>
      <w:szCs w:val="28"/>
      <w:lang w:eastAsia="en-US"/>
    </w:rPr>
  </w:style>
  <w:style w:type="paragraph" w:styleId="Obsah2">
    <w:name w:val="toc 2"/>
    <w:basedOn w:val="Normln"/>
    <w:next w:val="Normln"/>
    <w:autoRedefine/>
    <w:uiPriority w:val="39"/>
    <w:unhideWhenUsed/>
    <w:qFormat/>
    <w:rsid w:val="00BF64D9"/>
    <w:pPr>
      <w:tabs>
        <w:tab w:val="left" w:pos="880"/>
        <w:tab w:val="right" w:leader="dot" w:pos="8494"/>
      </w:tabs>
      <w:spacing w:after="100" w:line="276" w:lineRule="auto"/>
      <w:ind w:left="397" w:hanging="397"/>
      <w:jc w:val="left"/>
    </w:pPr>
    <w:rPr>
      <w:noProof/>
      <w:sz w:val="22"/>
      <w:szCs w:val="22"/>
      <w:lang w:eastAsia="en-US"/>
    </w:rPr>
  </w:style>
  <w:style w:type="paragraph" w:customStyle="1" w:styleId="Odrka2stupn">
    <w:name w:val="Odrážka 2. stupně"/>
    <w:basedOn w:val="Normln"/>
    <w:rsid w:val="000B73D2"/>
    <w:pPr>
      <w:numPr>
        <w:numId w:val="2"/>
      </w:numPr>
      <w:ind w:left="1604" w:hanging="357"/>
    </w:pPr>
  </w:style>
  <w:style w:type="paragraph" w:styleId="Obsah1">
    <w:name w:val="toc 1"/>
    <w:basedOn w:val="Normln"/>
    <w:next w:val="Normln"/>
    <w:autoRedefine/>
    <w:uiPriority w:val="39"/>
    <w:unhideWhenUsed/>
    <w:qFormat/>
    <w:rsid w:val="00FC6287"/>
    <w:pPr>
      <w:tabs>
        <w:tab w:val="left" w:pos="440"/>
        <w:tab w:val="right" w:leader="dot" w:pos="8494"/>
      </w:tabs>
      <w:spacing w:after="100" w:line="276" w:lineRule="auto"/>
      <w:ind w:left="284" w:hanging="284"/>
      <w:jc w:val="left"/>
    </w:pPr>
    <w:rPr>
      <w:szCs w:val="22"/>
      <w:lang w:eastAsia="en-US"/>
    </w:rPr>
  </w:style>
  <w:style w:type="paragraph" w:styleId="Obsah3">
    <w:name w:val="toc 3"/>
    <w:basedOn w:val="Normln"/>
    <w:next w:val="Normln"/>
    <w:autoRedefine/>
    <w:uiPriority w:val="39"/>
    <w:unhideWhenUsed/>
    <w:qFormat/>
    <w:rsid w:val="00BF64D9"/>
    <w:pPr>
      <w:tabs>
        <w:tab w:val="left" w:pos="1320"/>
        <w:tab w:val="right" w:leader="dot" w:pos="8494"/>
      </w:tabs>
      <w:spacing w:after="100" w:line="276" w:lineRule="auto"/>
      <w:ind w:left="680" w:hanging="680"/>
      <w:jc w:val="left"/>
    </w:pPr>
    <w:rPr>
      <w:sz w:val="22"/>
      <w:szCs w:val="22"/>
      <w:lang w:eastAsia="en-US"/>
    </w:rPr>
  </w:style>
  <w:style w:type="table" w:styleId="Mkatabulky">
    <w:name w:val="Table Grid"/>
    <w:basedOn w:val="Normlntabulka"/>
    <w:uiPriority w:val="59"/>
    <w:rsid w:val="00935A3F"/>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Zkladntextodsazen">
    <w:name w:val="Body Text Indent"/>
    <w:basedOn w:val="Normln"/>
    <w:link w:val="ZkladntextodsazenChar"/>
    <w:rsid w:val="00FA317D"/>
    <w:pPr>
      <w:spacing w:after="0"/>
    </w:pPr>
  </w:style>
  <w:style w:type="character" w:customStyle="1" w:styleId="ZkladntextodsazenChar">
    <w:name w:val="Základní text odsazený Char"/>
    <w:basedOn w:val="Standardnpsmoodstavce"/>
    <w:link w:val="Zkladntextodsazen"/>
    <w:rsid w:val="00FA317D"/>
    <w:rPr>
      <w:sz w:val="24"/>
    </w:rPr>
  </w:style>
  <w:style w:type="paragraph" w:styleId="Zkladntext">
    <w:name w:val="Body Text"/>
    <w:basedOn w:val="Normln"/>
    <w:link w:val="ZkladntextChar"/>
    <w:rsid w:val="00FA317D"/>
    <w:pPr>
      <w:spacing w:after="0"/>
    </w:pPr>
  </w:style>
  <w:style w:type="character" w:customStyle="1" w:styleId="ZkladntextChar">
    <w:name w:val="Základní text Char"/>
    <w:basedOn w:val="Standardnpsmoodstavce"/>
    <w:link w:val="Zkladntext"/>
    <w:rsid w:val="00FA317D"/>
    <w:rPr>
      <w:sz w:val="24"/>
    </w:rPr>
  </w:style>
  <w:style w:type="paragraph" w:styleId="Normlnweb">
    <w:name w:val="Normal (Web)"/>
    <w:basedOn w:val="Normln"/>
    <w:uiPriority w:val="99"/>
    <w:semiHidden/>
    <w:unhideWhenUsed/>
    <w:rsid w:val="0014355A"/>
    <w:pPr>
      <w:spacing w:before="100" w:beforeAutospacing="1" w:after="100" w:afterAutospacing="1"/>
      <w:jc w:val="left"/>
    </w:pPr>
    <w:rPr>
      <w:szCs w:val="24"/>
    </w:rPr>
  </w:style>
  <w:style w:type="paragraph" w:customStyle="1" w:styleId="Literatura-text">
    <w:name w:val="Literatura-text"/>
    <w:basedOn w:val="Normln"/>
    <w:qFormat/>
    <w:rsid w:val="00CE0DFD"/>
    <w:rPr>
      <w:sz w:val="22"/>
      <w:szCs w:val="22"/>
    </w:rPr>
  </w:style>
  <w:style w:type="paragraph" w:customStyle="1" w:styleId="Poznmkapodarou">
    <w:name w:val="Poznámka pod čarou"/>
    <w:qFormat/>
    <w:rsid w:val="00B13228"/>
    <w:pPr>
      <w:autoSpaceDE w:val="0"/>
      <w:autoSpaceDN w:val="0"/>
      <w:adjustRightInd w:val="0"/>
      <w:spacing w:line="312" w:lineRule="auto"/>
      <w:jc w:val="both"/>
    </w:pPr>
    <w:rPr>
      <w:sz w:val="16"/>
      <w:szCs w:val="16"/>
    </w:rPr>
  </w:style>
  <w:style w:type="paragraph" w:styleId="Nzev">
    <w:name w:val="Title"/>
    <w:basedOn w:val="Normln"/>
    <w:link w:val="NzevChar"/>
    <w:qFormat/>
    <w:rsid w:val="00B55AB9"/>
    <w:pPr>
      <w:spacing w:after="0" w:line="240" w:lineRule="auto"/>
      <w:jc w:val="center"/>
    </w:pPr>
    <w:rPr>
      <w:b/>
      <w:sz w:val="72"/>
    </w:rPr>
  </w:style>
  <w:style w:type="character" w:customStyle="1" w:styleId="NzevChar">
    <w:name w:val="Název Char"/>
    <w:basedOn w:val="Standardnpsmoodstavce"/>
    <w:link w:val="Nzev"/>
    <w:rsid w:val="00B55AB9"/>
    <w:rPr>
      <w:b/>
      <w:sz w:val="72"/>
    </w:rPr>
  </w:style>
  <w:style w:type="paragraph" w:customStyle="1" w:styleId="Formul">
    <w:name w:val="Formulář"/>
    <w:qFormat/>
    <w:rsid w:val="00B55AB9"/>
    <w:pPr>
      <w:jc w:val="center"/>
    </w:pPr>
    <w:rPr>
      <w:rFonts w:ascii="Verdana" w:hAnsi="Verdana"/>
      <w:b/>
      <w:bCs/>
      <w:caps/>
    </w:rPr>
  </w:style>
  <w:style w:type="paragraph" w:styleId="Odstavecseseznamem">
    <w:name w:val="List Paragraph"/>
    <w:basedOn w:val="Normln"/>
    <w:uiPriority w:val="34"/>
    <w:qFormat/>
    <w:rsid w:val="00505B7C"/>
    <w:pPr>
      <w:ind w:left="720"/>
      <w:contextualSpacing/>
    </w:pPr>
  </w:style>
</w:styles>
</file>

<file path=word/webSettings.xml><?xml version="1.0" encoding="utf-8"?>
<w:webSettings xmlns:r="http://schemas.openxmlformats.org/officeDocument/2006/relationships" xmlns:w="http://schemas.openxmlformats.org/wordprocessingml/2006/main">
  <w:divs>
    <w:div w:id="5405000">
      <w:bodyDiv w:val="1"/>
      <w:marLeft w:val="0"/>
      <w:marRight w:val="0"/>
      <w:marTop w:val="0"/>
      <w:marBottom w:val="0"/>
      <w:divBdr>
        <w:top w:val="none" w:sz="0" w:space="0" w:color="auto"/>
        <w:left w:val="none" w:sz="0" w:space="0" w:color="auto"/>
        <w:bottom w:val="none" w:sz="0" w:space="0" w:color="auto"/>
        <w:right w:val="none" w:sz="0" w:space="0" w:color="auto"/>
      </w:divBdr>
    </w:div>
    <w:div w:id="122240754">
      <w:bodyDiv w:val="1"/>
      <w:marLeft w:val="0"/>
      <w:marRight w:val="0"/>
      <w:marTop w:val="0"/>
      <w:marBottom w:val="0"/>
      <w:divBdr>
        <w:top w:val="none" w:sz="0" w:space="0" w:color="auto"/>
        <w:left w:val="none" w:sz="0" w:space="0" w:color="auto"/>
        <w:bottom w:val="none" w:sz="0" w:space="0" w:color="auto"/>
        <w:right w:val="none" w:sz="0" w:space="0" w:color="auto"/>
      </w:divBdr>
    </w:div>
    <w:div w:id="126440285">
      <w:bodyDiv w:val="1"/>
      <w:marLeft w:val="0"/>
      <w:marRight w:val="0"/>
      <w:marTop w:val="0"/>
      <w:marBottom w:val="0"/>
      <w:divBdr>
        <w:top w:val="none" w:sz="0" w:space="0" w:color="auto"/>
        <w:left w:val="none" w:sz="0" w:space="0" w:color="auto"/>
        <w:bottom w:val="none" w:sz="0" w:space="0" w:color="auto"/>
        <w:right w:val="none" w:sz="0" w:space="0" w:color="auto"/>
      </w:divBdr>
    </w:div>
    <w:div w:id="145705231">
      <w:bodyDiv w:val="1"/>
      <w:marLeft w:val="0"/>
      <w:marRight w:val="0"/>
      <w:marTop w:val="0"/>
      <w:marBottom w:val="0"/>
      <w:divBdr>
        <w:top w:val="none" w:sz="0" w:space="0" w:color="auto"/>
        <w:left w:val="none" w:sz="0" w:space="0" w:color="auto"/>
        <w:bottom w:val="none" w:sz="0" w:space="0" w:color="auto"/>
        <w:right w:val="none" w:sz="0" w:space="0" w:color="auto"/>
      </w:divBdr>
    </w:div>
    <w:div w:id="175390204">
      <w:bodyDiv w:val="1"/>
      <w:marLeft w:val="0"/>
      <w:marRight w:val="0"/>
      <w:marTop w:val="0"/>
      <w:marBottom w:val="0"/>
      <w:divBdr>
        <w:top w:val="none" w:sz="0" w:space="0" w:color="auto"/>
        <w:left w:val="none" w:sz="0" w:space="0" w:color="auto"/>
        <w:bottom w:val="none" w:sz="0" w:space="0" w:color="auto"/>
        <w:right w:val="none" w:sz="0" w:space="0" w:color="auto"/>
      </w:divBdr>
      <w:divsChild>
        <w:div w:id="268515671">
          <w:marLeft w:val="619"/>
          <w:marRight w:val="0"/>
          <w:marTop w:val="134"/>
          <w:marBottom w:val="0"/>
          <w:divBdr>
            <w:top w:val="none" w:sz="0" w:space="0" w:color="auto"/>
            <w:left w:val="none" w:sz="0" w:space="0" w:color="auto"/>
            <w:bottom w:val="none" w:sz="0" w:space="0" w:color="auto"/>
            <w:right w:val="none" w:sz="0" w:space="0" w:color="auto"/>
          </w:divBdr>
        </w:div>
        <w:div w:id="1360280352">
          <w:marLeft w:val="619"/>
          <w:marRight w:val="0"/>
          <w:marTop w:val="134"/>
          <w:marBottom w:val="0"/>
          <w:divBdr>
            <w:top w:val="none" w:sz="0" w:space="0" w:color="auto"/>
            <w:left w:val="none" w:sz="0" w:space="0" w:color="auto"/>
            <w:bottom w:val="none" w:sz="0" w:space="0" w:color="auto"/>
            <w:right w:val="none" w:sz="0" w:space="0" w:color="auto"/>
          </w:divBdr>
        </w:div>
        <w:div w:id="1400444738">
          <w:marLeft w:val="619"/>
          <w:marRight w:val="0"/>
          <w:marTop w:val="134"/>
          <w:marBottom w:val="0"/>
          <w:divBdr>
            <w:top w:val="none" w:sz="0" w:space="0" w:color="auto"/>
            <w:left w:val="none" w:sz="0" w:space="0" w:color="auto"/>
            <w:bottom w:val="none" w:sz="0" w:space="0" w:color="auto"/>
            <w:right w:val="none" w:sz="0" w:space="0" w:color="auto"/>
          </w:divBdr>
        </w:div>
        <w:div w:id="1441798438">
          <w:marLeft w:val="619"/>
          <w:marRight w:val="0"/>
          <w:marTop w:val="134"/>
          <w:marBottom w:val="0"/>
          <w:divBdr>
            <w:top w:val="none" w:sz="0" w:space="0" w:color="auto"/>
            <w:left w:val="none" w:sz="0" w:space="0" w:color="auto"/>
            <w:bottom w:val="none" w:sz="0" w:space="0" w:color="auto"/>
            <w:right w:val="none" w:sz="0" w:space="0" w:color="auto"/>
          </w:divBdr>
        </w:div>
        <w:div w:id="1505785361">
          <w:marLeft w:val="619"/>
          <w:marRight w:val="0"/>
          <w:marTop w:val="134"/>
          <w:marBottom w:val="0"/>
          <w:divBdr>
            <w:top w:val="none" w:sz="0" w:space="0" w:color="auto"/>
            <w:left w:val="none" w:sz="0" w:space="0" w:color="auto"/>
            <w:bottom w:val="none" w:sz="0" w:space="0" w:color="auto"/>
            <w:right w:val="none" w:sz="0" w:space="0" w:color="auto"/>
          </w:divBdr>
        </w:div>
        <w:div w:id="1576934084">
          <w:marLeft w:val="619"/>
          <w:marRight w:val="0"/>
          <w:marTop w:val="134"/>
          <w:marBottom w:val="0"/>
          <w:divBdr>
            <w:top w:val="none" w:sz="0" w:space="0" w:color="auto"/>
            <w:left w:val="none" w:sz="0" w:space="0" w:color="auto"/>
            <w:bottom w:val="none" w:sz="0" w:space="0" w:color="auto"/>
            <w:right w:val="none" w:sz="0" w:space="0" w:color="auto"/>
          </w:divBdr>
        </w:div>
      </w:divsChild>
    </w:div>
    <w:div w:id="199437362">
      <w:bodyDiv w:val="1"/>
      <w:marLeft w:val="0"/>
      <w:marRight w:val="0"/>
      <w:marTop w:val="0"/>
      <w:marBottom w:val="0"/>
      <w:divBdr>
        <w:top w:val="none" w:sz="0" w:space="0" w:color="auto"/>
        <w:left w:val="none" w:sz="0" w:space="0" w:color="auto"/>
        <w:bottom w:val="none" w:sz="0" w:space="0" w:color="auto"/>
        <w:right w:val="none" w:sz="0" w:space="0" w:color="auto"/>
      </w:divBdr>
      <w:divsChild>
        <w:div w:id="1294674440">
          <w:marLeft w:val="0"/>
          <w:marRight w:val="0"/>
          <w:marTop w:val="0"/>
          <w:marBottom w:val="0"/>
          <w:divBdr>
            <w:top w:val="none" w:sz="0" w:space="0" w:color="auto"/>
            <w:left w:val="none" w:sz="0" w:space="0" w:color="auto"/>
            <w:bottom w:val="none" w:sz="0" w:space="0" w:color="auto"/>
            <w:right w:val="none" w:sz="0" w:space="0" w:color="auto"/>
          </w:divBdr>
        </w:div>
      </w:divsChild>
    </w:div>
    <w:div w:id="294917708">
      <w:bodyDiv w:val="1"/>
      <w:marLeft w:val="0"/>
      <w:marRight w:val="0"/>
      <w:marTop w:val="0"/>
      <w:marBottom w:val="0"/>
      <w:divBdr>
        <w:top w:val="none" w:sz="0" w:space="0" w:color="auto"/>
        <w:left w:val="none" w:sz="0" w:space="0" w:color="auto"/>
        <w:bottom w:val="none" w:sz="0" w:space="0" w:color="auto"/>
        <w:right w:val="none" w:sz="0" w:space="0" w:color="auto"/>
      </w:divBdr>
    </w:div>
    <w:div w:id="315425475">
      <w:bodyDiv w:val="1"/>
      <w:marLeft w:val="0"/>
      <w:marRight w:val="0"/>
      <w:marTop w:val="0"/>
      <w:marBottom w:val="0"/>
      <w:divBdr>
        <w:top w:val="none" w:sz="0" w:space="0" w:color="auto"/>
        <w:left w:val="none" w:sz="0" w:space="0" w:color="auto"/>
        <w:bottom w:val="none" w:sz="0" w:space="0" w:color="auto"/>
        <w:right w:val="none" w:sz="0" w:space="0" w:color="auto"/>
      </w:divBdr>
    </w:div>
    <w:div w:id="435248262">
      <w:bodyDiv w:val="1"/>
      <w:marLeft w:val="0"/>
      <w:marRight w:val="0"/>
      <w:marTop w:val="0"/>
      <w:marBottom w:val="0"/>
      <w:divBdr>
        <w:top w:val="none" w:sz="0" w:space="0" w:color="auto"/>
        <w:left w:val="none" w:sz="0" w:space="0" w:color="auto"/>
        <w:bottom w:val="none" w:sz="0" w:space="0" w:color="auto"/>
        <w:right w:val="none" w:sz="0" w:space="0" w:color="auto"/>
      </w:divBdr>
    </w:div>
    <w:div w:id="444930476">
      <w:bodyDiv w:val="1"/>
      <w:marLeft w:val="0"/>
      <w:marRight w:val="0"/>
      <w:marTop w:val="0"/>
      <w:marBottom w:val="0"/>
      <w:divBdr>
        <w:top w:val="none" w:sz="0" w:space="0" w:color="auto"/>
        <w:left w:val="none" w:sz="0" w:space="0" w:color="auto"/>
        <w:bottom w:val="none" w:sz="0" w:space="0" w:color="auto"/>
        <w:right w:val="none" w:sz="0" w:space="0" w:color="auto"/>
      </w:divBdr>
    </w:div>
    <w:div w:id="455218313">
      <w:bodyDiv w:val="1"/>
      <w:marLeft w:val="0"/>
      <w:marRight w:val="0"/>
      <w:marTop w:val="0"/>
      <w:marBottom w:val="0"/>
      <w:divBdr>
        <w:top w:val="none" w:sz="0" w:space="0" w:color="auto"/>
        <w:left w:val="none" w:sz="0" w:space="0" w:color="auto"/>
        <w:bottom w:val="none" w:sz="0" w:space="0" w:color="auto"/>
        <w:right w:val="none" w:sz="0" w:space="0" w:color="auto"/>
      </w:divBdr>
    </w:div>
    <w:div w:id="499467387">
      <w:bodyDiv w:val="1"/>
      <w:marLeft w:val="0"/>
      <w:marRight w:val="0"/>
      <w:marTop w:val="0"/>
      <w:marBottom w:val="0"/>
      <w:divBdr>
        <w:top w:val="none" w:sz="0" w:space="0" w:color="auto"/>
        <w:left w:val="none" w:sz="0" w:space="0" w:color="auto"/>
        <w:bottom w:val="none" w:sz="0" w:space="0" w:color="auto"/>
        <w:right w:val="none" w:sz="0" w:space="0" w:color="auto"/>
      </w:divBdr>
      <w:divsChild>
        <w:div w:id="494607816">
          <w:marLeft w:val="0"/>
          <w:marRight w:val="0"/>
          <w:marTop w:val="0"/>
          <w:marBottom w:val="0"/>
          <w:divBdr>
            <w:top w:val="none" w:sz="0" w:space="0" w:color="auto"/>
            <w:left w:val="none" w:sz="0" w:space="0" w:color="auto"/>
            <w:bottom w:val="none" w:sz="0" w:space="0" w:color="auto"/>
            <w:right w:val="none" w:sz="0" w:space="0" w:color="auto"/>
          </w:divBdr>
        </w:div>
      </w:divsChild>
    </w:div>
    <w:div w:id="505635821">
      <w:bodyDiv w:val="1"/>
      <w:marLeft w:val="0"/>
      <w:marRight w:val="0"/>
      <w:marTop w:val="0"/>
      <w:marBottom w:val="0"/>
      <w:divBdr>
        <w:top w:val="none" w:sz="0" w:space="0" w:color="auto"/>
        <w:left w:val="none" w:sz="0" w:space="0" w:color="auto"/>
        <w:bottom w:val="none" w:sz="0" w:space="0" w:color="auto"/>
        <w:right w:val="none" w:sz="0" w:space="0" w:color="auto"/>
      </w:divBdr>
    </w:div>
    <w:div w:id="534658085">
      <w:bodyDiv w:val="1"/>
      <w:marLeft w:val="0"/>
      <w:marRight w:val="0"/>
      <w:marTop w:val="0"/>
      <w:marBottom w:val="0"/>
      <w:divBdr>
        <w:top w:val="none" w:sz="0" w:space="0" w:color="auto"/>
        <w:left w:val="none" w:sz="0" w:space="0" w:color="auto"/>
        <w:bottom w:val="none" w:sz="0" w:space="0" w:color="auto"/>
        <w:right w:val="none" w:sz="0" w:space="0" w:color="auto"/>
      </w:divBdr>
      <w:divsChild>
        <w:div w:id="1670328881">
          <w:marLeft w:val="0"/>
          <w:marRight w:val="0"/>
          <w:marTop w:val="0"/>
          <w:marBottom w:val="0"/>
          <w:divBdr>
            <w:top w:val="none" w:sz="0" w:space="0" w:color="auto"/>
            <w:left w:val="none" w:sz="0" w:space="0" w:color="auto"/>
            <w:bottom w:val="none" w:sz="0" w:space="0" w:color="auto"/>
            <w:right w:val="none" w:sz="0" w:space="0" w:color="auto"/>
          </w:divBdr>
        </w:div>
      </w:divsChild>
    </w:div>
    <w:div w:id="575668823">
      <w:bodyDiv w:val="1"/>
      <w:marLeft w:val="0"/>
      <w:marRight w:val="0"/>
      <w:marTop w:val="0"/>
      <w:marBottom w:val="0"/>
      <w:divBdr>
        <w:top w:val="none" w:sz="0" w:space="0" w:color="auto"/>
        <w:left w:val="none" w:sz="0" w:space="0" w:color="auto"/>
        <w:bottom w:val="none" w:sz="0" w:space="0" w:color="auto"/>
        <w:right w:val="none" w:sz="0" w:space="0" w:color="auto"/>
      </w:divBdr>
    </w:div>
    <w:div w:id="578295543">
      <w:bodyDiv w:val="1"/>
      <w:marLeft w:val="0"/>
      <w:marRight w:val="0"/>
      <w:marTop w:val="0"/>
      <w:marBottom w:val="0"/>
      <w:divBdr>
        <w:top w:val="none" w:sz="0" w:space="0" w:color="auto"/>
        <w:left w:val="none" w:sz="0" w:space="0" w:color="auto"/>
        <w:bottom w:val="none" w:sz="0" w:space="0" w:color="auto"/>
        <w:right w:val="none" w:sz="0" w:space="0" w:color="auto"/>
      </w:divBdr>
    </w:div>
    <w:div w:id="781873980">
      <w:bodyDiv w:val="1"/>
      <w:marLeft w:val="0"/>
      <w:marRight w:val="0"/>
      <w:marTop w:val="0"/>
      <w:marBottom w:val="0"/>
      <w:divBdr>
        <w:top w:val="none" w:sz="0" w:space="0" w:color="auto"/>
        <w:left w:val="none" w:sz="0" w:space="0" w:color="auto"/>
        <w:bottom w:val="none" w:sz="0" w:space="0" w:color="auto"/>
        <w:right w:val="none" w:sz="0" w:space="0" w:color="auto"/>
      </w:divBdr>
      <w:divsChild>
        <w:div w:id="1488596219">
          <w:marLeft w:val="0"/>
          <w:marRight w:val="0"/>
          <w:marTop w:val="0"/>
          <w:marBottom w:val="0"/>
          <w:divBdr>
            <w:top w:val="none" w:sz="0" w:space="0" w:color="auto"/>
            <w:left w:val="none" w:sz="0" w:space="0" w:color="auto"/>
            <w:bottom w:val="none" w:sz="0" w:space="0" w:color="auto"/>
            <w:right w:val="none" w:sz="0" w:space="0" w:color="auto"/>
          </w:divBdr>
        </w:div>
      </w:divsChild>
    </w:div>
    <w:div w:id="810515548">
      <w:bodyDiv w:val="1"/>
      <w:marLeft w:val="0"/>
      <w:marRight w:val="0"/>
      <w:marTop w:val="0"/>
      <w:marBottom w:val="0"/>
      <w:divBdr>
        <w:top w:val="none" w:sz="0" w:space="0" w:color="auto"/>
        <w:left w:val="none" w:sz="0" w:space="0" w:color="auto"/>
        <w:bottom w:val="none" w:sz="0" w:space="0" w:color="auto"/>
        <w:right w:val="none" w:sz="0" w:space="0" w:color="auto"/>
      </w:divBdr>
    </w:div>
    <w:div w:id="919828669">
      <w:bodyDiv w:val="1"/>
      <w:marLeft w:val="0"/>
      <w:marRight w:val="0"/>
      <w:marTop w:val="0"/>
      <w:marBottom w:val="0"/>
      <w:divBdr>
        <w:top w:val="none" w:sz="0" w:space="0" w:color="auto"/>
        <w:left w:val="none" w:sz="0" w:space="0" w:color="auto"/>
        <w:bottom w:val="none" w:sz="0" w:space="0" w:color="auto"/>
        <w:right w:val="none" w:sz="0" w:space="0" w:color="auto"/>
      </w:divBdr>
    </w:div>
    <w:div w:id="1265072889">
      <w:bodyDiv w:val="1"/>
      <w:marLeft w:val="0"/>
      <w:marRight w:val="0"/>
      <w:marTop w:val="0"/>
      <w:marBottom w:val="0"/>
      <w:divBdr>
        <w:top w:val="none" w:sz="0" w:space="0" w:color="auto"/>
        <w:left w:val="none" w:sz="0" w:space="0" w:color="auto"/>
        <w:bottom w:val="none" w:sz="0" w:space="0" w:color="auto"/>
        <w:right w:val="none" w:sz="0" w:space="0" w:color="auto"/>
      </w:divBdr>
    </w:div>
    <w:div w:id="1266695658">
      <w:bodyDiv w:val="1"/>
      <w:marLeft w:val="0"/>
      <w:marRight w:val="0"/>
      <w:marTop w:val="0"/>
      <w:marBottom w:val="0"/>
      <w:divBdr>
        <w:top w:val="none" w:sz="0" w:space="0" w:color="auto"/>
        <w:left w:val="none" w:sz="0" w:space="0" w:color="auto"/>
        <w:bottom w:val="none" w:sz="0" w:space="0" w:color="auto"/>
        <w:right w:val="none" w:sz="0" w:space="0" w:color="auto"/>
      </w:divBdr>
    </w:div>
    <w:div w:id="1462068900">
      <w:bodyDiv w:val="1"/>
      <w:marLeft w:val="0"/>
      <w:marRight w:val="0"/>
      <w:marTop w:val="0"/>
      <w:marBottom w:val="0"/>
      <w:divBdr>
        <w:top w:val="none" w:sz="0" w:space="0" w:color="auto"/>
        <w:left w:val="none" w:sz="0" w:space="0" w:color="auto"/>
        <w:bottom w:val="none" w:sz="0" w:space="0" w:color="auto"/>
        <w:right w:val="none" w:sz="0" w:space="0" w:color="auto"/>
      </w:divBdr>
      <w:divsChild>
        <w:div w:id="147288584">
          <w:marLeft w:val="1238"/>
          <w:marRight w:val="0"/>
          <w:marTop w:val="106"/>
          <w:marBottom w:val="0"/>
          <w:divBdr>
            <w:top w:val="none" w:sz="0" w:space="0" w:color="auto"/>
            <w:left w:val="none" w:sz="0" w:space="0" w:color="auto"/>
            <w:bottom w:val="none" w:sz="0" w:space="0" w:color="auto"/>
            <w:right w:val="none" w:sz="0" w:space="0" w:color="auto"/>
          </w:divBdr>
        </w:div>
        <w:div w:id="1005590585">
          <w:marLeft w:val="1238"/>
          <w:marRight w:val="0"/>
          <w:marTop w:val="106"/>
          <w:marBottom w:val="0"/>
          <w:divBdr>
            <w:top w:val="none" w:sz="0" w:space="0" w:color="auto"/>
            <w:left w:val="none" w:sz="0" w:space="0" w:color="auto"/>
            <w:bottom w:val="none" w:sz="0" w:space="0" w:color="auto"/>
            <w:right w:val="none" w:sz="0" w:space="0" w:color="auto"/>
          </w:divBdr>
        </w:div>
        <w:div w:id="1437746253">
          <w:marLeft w:val="1238"/>
          <w:marRight w:val="0"/>
          <w:marTop w:val="106"/>
          <w:marBottom w:val="0"/>
          <w:divBdr>
            <w:top w:val="none" w:sz="0" w:space="0" w:color="auto"/>
            <w:left w:val="none" w:sz="0" w:space="0" w:color="auto"/>
            <w:bottom w:val="none" w:sz="0" w:space="0" w:color="auto"/>
            <w:right w:val="none" w:sz="0" w:space="0" w:color="auto"/>
          </w:divBdr>
        </w:div>
        <w:div w:id="1673221233">
          <w:marLeft w:val="1238"/>
          <w:marRight w:val="0"/>
          <w:marTop w:val="106"/>
          <w:marBottom w:val="0"/>
          <w:divBdr>
            <w:top w:val="none" w:sz="0" w:space="0" w:color="auto"/>
            <w:left w:val="none" w:sz="0" w:space="0" w:color="auto"/>
            <w:bottom w:val="none" w:sz="0" w:space="0" w:color="auto"/>
            <w:right w:val="none" w:sz="0" w:space="0" w:color="auto"/>
          </w:divBdr>
        </w:div>
      </w:divsChild>
    </w:div>
    <w:div w:id="1504202524">
      <w:bodyDiv w:val="1"/>
      <w:marLeft w:val="0"/>
      <w:marRight w:val="0"/>
      <w:marTop w:val="0"/>
      <w:marBottom w:val="0"/>
      <w:divBdr>
        <w:top w:val="none" w:sz="0" w:space="0" w:color="auto"/>
        <w:left w:val="none" w:sz="0" w:space="0" w:color="auto"/>
        <w:bottom w:val="none" w:sz="0" w:space="0" w:color="auto"/>
        <w:right w:val="none" w:sz="0" w:space="0" w:color="auto"/>
      </w:divBdr>
    </w:div>
    <w:div w:id="1603955887">
      <w:bodyDiv w:val="1"/>
      <w:marLeft w:val="0"/>
      <w:marRight w:val="0"/>
      <w:marTop w:val="0"/>
      <w:marBottom w:val="0"/>
      <w:divBdr>
        <w:top w:val="none" w:sz="0" w:space="0" w:color="auto"/>
        <w:left w:val="none" w:sz="0" w:space="0" w:color="auto"/>
        <w:bottom w:val="none" w:sz="0" w:space="0" w:color="auto"/>
        <w:right w:val="none" w:sz="0" w:space="0" w:color="auto"/>
      </w:divBdr>
    </w:div>
    <w:div w:id="1691182013">
      <w:bodyDiv w:val="1"/>
      <w:marLeft w:val="0"/>
      <w:marRight w:val="0"/>
      <w:marTop w:val="0"/>
      <w:marBottom w:val="0"/>
      <w:divBdr>
        <w:top w:val="none" w:sz="0" w:space="0" w:color="auto"/>
        <w:left w:val="none" w:sz="0" w:space="0" w:color="auto"/>
        <w:bottom w:val="none" w:sz="0" w:space="0" w:color="auto"/>
        <w:right w:val="none" w:sz="0" w:space="0" w:color="auto"/>
      </w:divBdr>
    </w:div>
    <w:div w:id="1780029336">
      <w:bodyDiv w:val="1"/>
      <w:marLeft w:val="0"/>
      <w:marRight w:val="0"/>
      <w:marTop w:val="0"/>
      <w:marBottom w:val="0"/>
      <w:divBdr>
        <w:top w:val="none" w:sz="0" w:space="0" w:color="auto"/>
        <w:left w:val="none" w:sz="0" w:space="0" w:color="auto"/>
        <w:bottom w:val="none" w:sz="0" w:space="0" w:color="auto"/>
        <w:right w:val="none" w:sz="0" w:space="0" w:color="auto"/>
      </w:divBdr>
    </w:div>
    <w:div w:id="1849908640">
      <w:bodyDiv w:val="1"/>
      <w:marLeft w:val="0"/>
      <w:marRight w:val="0"/>
      <w:marTop w:val="0"/>
      <w:marBottom w:val="0"/>
      <w:divBdr>
        <w:top w:val="none" w:sz="0" w:space="0" w:color="auto"/>
        <w:left w:val="none" w:sz="0" w:space="0" w:color="auto"/>
        <w:bottom w:val="none" w:sz="0" w:space="0" w:color="auto"/>
        <w:right w:val="none" w:sz="0" w:space="0" w:color="auto"/>
      </w:divBdr>
    </w:div>
    <w:div w:id="1871844470">
      <w:bodyDiv w:val="1"/>
      <w:marLeft w:val="0"/>
      <w:marRight w:val="0"/>
      <w:marTop w:val="0"/>
      <w:marBottom w:val="0"/>
      <w:divBdr>
        <w:top w:val="none" w:sz="0" w:space="0" w:color="auto"/>
        <w:left w:val="none" w:sz="0" w:space="0" w:color="auto"/>
        <w:bottom w:val="none" w:sz="0" w:space="0" w:color="auto"/>
        <w:right w:val="none" w:sz="0" w:space="0" w:color="auto"/>
      </w:divBdr>
      <w:divsChild>
        <w:div w:id="666055563">
          <w:marLeft w:val="0"/>
          <w:marRight w:val="0"/>
          <w:marTop w:val="0"/>
          <w:marBottom w:val="0"/>
          <w:divBdr>
            <w:top w:val="none" w:sz="0" w:space="0" w:color="auto"/>
            <w:left w:val="none" w:sz="0" w:space="0" w:color="auto"/>
            <w:bottom w:val="none" w:sz="0" w:space="0" w:color="auto"/>
            <w:right w:val="none" w:sz="0" w:space="0" w:color="auto"/>
          </w:divBdr>
        </w:div>
      </w:divsChild>
    </w:div>
    <w:div w:id="1905487698">
      <w:bodyDiv w:val="1"/>
      <w:marLeft w:val="0"/>
      <w:marRight w:val="0"/>
      <w:marTop w:val="0"/>
      <w:marBottom w:val="0"/>
      <w:divBdr>
        <w:top w:val="none" w:sz="0" w:space="0" w:color="auto"/>
        <w:left w:val="none" w:sz="0" w:space="0" w:color="auto"/>
        <w:bottom w:val="none" w:sz="0" w:space="0" w:color="auto"/>
        <w:right w:val="none" w:sz="0" w:space="0" w:color="auto"/>
      </w:divBdr>
    </w:div>
    <w:div w:id="1908682585">
      <w:bodyDiv w:val="1"/>
      <w:marLeft w:val="0"/>
      <w:marRight w:val="0"/>
      <w:marTop w:val="0"/>
      <w:marBottom w:val="0"/>
      <w:divBdr>
        <w:top w:val="none" w:sz="0" w:space="0" w:color="auto"/>
        <w:left w:val="none" w:sz="0" w:space="0" w:color="auto"/>
        <w:bottom w:val="none" w:sz="0" w:space="0" w:color="auto"/>
        <w:right w:val="none" w:sz="0" w:space="0" w:color="auto"/>
      </w:divBdr>
    </w:div>
    <w:div w:id="1948728099">
      <w:bodyDiv w:val="1"/>
      <w:marLeft w:val="0"/>
      <w:marRight w:val="0"/>
      <w:marTop w:val="0"/>
      <w:marBottom w:val="0"/>
      <w:divBdr>
        <w:top w:val="none" w:sz="0" w:space="0" w:color="auto"/>
        <w:left w:val="none" w:sz="0" w:space="0" w:color="auto"/>
        <w:bottom w:val="none" w:sz="0" w:space="0" w:color="auto"/>
        <w:right w:val="none" w:sz="0" w:space="0" w:color="auto"/>
      </w:divBdr>
    </w:div>
    <w:div w:id="1975017656">
      <w:bodyDiv w:val="1"/>
      <w:marLeft w:val="0"/>
      <w:marRight w:val="0"/>
      <w:marTop w:val="0"/>
      <w:marBottom w:val="0"/>
      <w:divBdr>
        <w:top w:val="none" w:sz="0" w:space="0" w:color="auto"/>
        <w:left w:val="none" w:sz="0" w:space="0" w:color="auto"/>
        <w:bottom w:val="none" w:sz="0" w:space="0" w:color="auto"/>
        <w:right w:val="none" w:sz="0" w:space="0" w:color="auto"/>
      </w:divBdr>
    </w:div>
    <w:div w:id="1975870530">
      <w:bodyDiv w:val="1"/>
      <w:marLeft w:val="0"/>
      <w:marRight w:val="0"/>
      <w:marTop w:val="0"/>
      <w:marBottom w:val="0"/>
      <w:divBdr>
        <w:top w:val="none" w:sz="0" w:space="0" w:color="auto"/>
        <w:left w:val="none" w:sz="0" w:space="0" w:color="auto"/>
        <w:bottom w:val="none" w:sz="0" w:space="0" w:color="auto"/>
        <w:right w:val="none" w:sz="0" w:space="0" w:color="auto"/>
      </w:divBdr>
    </w:div>
    <w:div w:id="2030254201">
      <w:bodyDiv w:val="1"/>
      <w:marLeft w:val="0"/>
      <w:marRight w:val="0"/>
      <w:marTop w:val="0"/>
      <w:marBottom w:val="0"/>
      <w:divBdr>
        <w:top w:val="none" w:sz="0" w:space="0" w:color="auto"/>
        <w:left w:val="none" w:sz="0" w:space="0" w:color="auto"/>
        <w:bottom w:val="none" w:sz="0" w:space="0" w:color="auto"/>
        <w:right w:val="none" w:sz="0" w:space="0" w:color="auto"/>
      </w:divBdr>
    </w:div>
    <w:div w:id="2037660076">
      <w:bodyDiv w:val="1"/>
      <w:marLeft w:val="0"/>
      <w:marRight w:val="0"/>
      <w:marTop w:val="0"/>
      <w:marBottom w:val="0"/>
      <w:divBdr>
        <w:top w:val="none" w:sz="0" w:space="0" w:color="auto"/>
        <w:left w:val="none" w:sz="0" w:space="0" w:color="auto"/>
        <w:bottom w:val="none" w:sz="0" w:space="0" w:color="auto"/>
        <w:right w:val="none" w:sz="0" w:space="0" w:color="auto"/>
      </w:divBdr>
    </w:div>
    <w:div w:id="2056074016">
      <w:bodyDiv w:val="1"/>
      <w:marLeft w:val="0"/>
      <w:marRight w:val="0"/>
      <w:marTop w:val="0"/>
      <w:marBottom w:val="0"/>
      <w:divBdr>
        <w:top w:val="none" w:sz="0" w:space="0" w:color="auto"/>
        <w:left w:val="none" w:sz="0" w:space="0" w:color="auto"/>
        <w:bottom w:val="none" w:sz="0" w:space="0" w:color="auto"/>
        <w:right w:val="none" w:sz="0" w:space="0" w:color="auto"/>
      </w:divBdr>
      <w:divsChild>
        <w:div w:id="1352797341">
          <w:marLeft w:val="0"/>
          <w:marRight w:val="0"/>
          <w:marTop w:val="0"/>
          <w:marBottom w:val="0"/>
          <w:divBdr>
            <w:top w:val="none" w:sz="0" w:space="0" w:color="auto"/>
            <w:left w:val="none" w:sz="0" w:space="0" w:color="auto"/>
            <w:bottom w:val="none" w:sz="0" w:space="0" w:color="auto"/>
            <w:right w:val="none" w:sz="0" w:space="0" w:color="auto"/>
          </w:divBdr>
        </w:div>
      </w:divsChild>
    </w:div>
    <w:div w:id="2110156428">
      <w:bodyDiv w:val="1"/>
      <w:marLeft w:val="0"/>
      <w:marRight w:val="0"/>
      <w:marTop w:val="0"/>
      <w:marBottom w:val="0"/>
      <w:divBdr>
        <w:top w:val="none" w:sz="0" w:space="0" w:color="auto"/>
        <w:left w:val="none" w:sz="0" w:space="0" w:color="auto"/>
        <w:bottom w:val="none" w:sz="0" w:space="0" w:color="auto"/>
        <w:right w:val="none" w:sz="0" w:space="0" w:color="auto"/>
      </w:divBdr>
      <w:divsChild>
        <w:div w:id="1902519845">
          <w:marLeft w:val="1238"/>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chart" Target="charts/chart1.xml"/><Relationship Id="rId26" Type="http://schemas.openxmlformats.org/officeDocument/2006/relationships/chart" Target="charts/chart9.xml"/><Relationship Id="rId39"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hart" Target="charts/chart4.xml"/><Relationship Id="rId34" Type="http://schemas.openxmlformats.org/officeDocument/2006/relationships/chart" Target="charts/chart17.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oter" Target="footer6.xml"/><Relationship Id="rId25" Type="http://schemas.openxmlformats.org/officeDocument/2006/relationships/chart" Target="charts/chart8.xml"/><Relationship Id="rId33" Type="http://schemas.openxmlformats.org/officeDocument/2006/relationships/chart" Target="charts/chart16.xml"/><Relationship Id="rId38"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chart" Target="charts/chart3.xml"/><Relationship Id="rId29" Type="http://schemas.openxmlformats.org/officeDocument/2006/relationships/chart" Target="charts/chart12.xm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24" Type="http://schemas.openxmlformats.org/officeDocument/2006/relationships/chart" Target="charts/chart7.xml"/><Relationship Id="rId32" Type="http://schemas.openxmlformats.org/officeDocument/2006/relationships/chart" Target="charts/chart15.xml"/><Relationship Id="rId37" Type="http://schemas.openxmlformats.org/officeDocument/2006/relationships/chart" Target="charts/chart20.xml"/><Relationship Id="rId40"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chart" Target="charts/chart6.xml"/><Relationship Id="rId28" Type="http://schemas.openxmlformats.org/officeDocument/2006/relationships/chart" Target="charts/chart11.xml"/><Relationship Id="rId36" Type="http://schemas.openxmlformats.org/officeDocument/2006/relationships/chart" Target="charts/chart19.xml"/><Relationship Id="rId10" Type="http://schemas.openxmlformats.org/officeDocument/2006/relationships/header" Target="header1.xml"/><Relationship Id="rId19" Type="http://schemas.openxmlformats.org/officeDocument/2006/relationships/chart" Target="charts/chart2.xml"/><Relationship Id="rId31" Type="http://schemas.openxmlformats.org/officeDocument/2006/relationships/chart" Target="charts/chart14.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eader" Target="header3.xml"/><Relationship Id="rId22" Type="http://schemas.openxmlformats.org/officeDocument/2006/relationships/chart" Target="charts/chart5.xml"/><Relationship Id="rId27" Type="http://schemas.openxmlformats.org/officeDocument/2006/relationships/chart" Target="charts/chart10.xml"/><Relationship Id="rId30" Type="http://schemas.openxmlformats.org/officeDocument/2006/relationships/chart" Target="charts/chart13.xml"/><Relationship Id="rId35" Type="http://schemas.openxmlformats.org/officeDocument/2006/relationships/chart" Target="charts/chart18.xml"/></Relationships>
</file>

<file path=word/_rels/footer1.xml.rels><?xml version="1.0" encoding="UTF-8" standalone="yes"?>
<Relationships xmlns="http://schemas.openxmlformats.org/package/2006/relationships"><Relationship Id="rId1" Type="http://schemas.openxmlformats.org/officeDocument/2006/relationships/hyperlink" Target="http://www.vsem.cz"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trvymetal\Desktop\BP%20a%20DP\final\seminarni%20prace%202%20-%20jen%20telo%20textu.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xml"/></Relationships>
</file>

<file path=word/charts/_rels/chart10.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0.xml"/></Relationships>
</file>

<file path=word/charts/_rels/chart11.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1.xml"/></Relationships>
</file>

<file path=word/charts/_rels/chart12.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2.xml"/></Relationships>
</file>

<file path=word/charts/_rels/chart13.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3.xml"/></Relationships>
</file>

<file path=word/charts/_rels/chart14.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4.xml"/></Relationships>
</file>

<file path=word/charts/_rels/chart15.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5.xml"/></Relationships>
</file>

<file path=word/charts/_rels/chart16.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6.xml"/></Relationships>
</file>

<file path=word/charts/_rels/chart17.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7.xml"/></Relationships>
</file>

<file path=word/charts/_rels/chart18.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8.xml"/></Relationships>
</file>

<file path=word/charts/_rels/chart19.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19.xml"/></Relationships>
</file>

<file path=word/charts/_rels/chart2.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2.xml"/></Relationships>
</file>

<file path=word/charts/_rels/chart20.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20.xml"/></Relationships>
</file>

<file path=word/charts/_rels/chart3.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4.xml"/></Relationships>
</file>

<file path=word/charts/_rels/chart5.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5.xml"/></Relationships>
</file>

<file path=word/charts/_rels/chart6.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6.xml"/></Relationships>
</file>

<file path=word/charts/_rels/chart7.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7.xml"/></Relationships>
</file>

<file path=word/charts/_rels/chart8.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8.xml"/></Relationships>
</file>

<file path=word/charts/_rels/chart9.xml.rels><?xml version="1.0" encoding="UTF-8" standalone="yes"?>
<Relationships xmlns="http://schemas.openxmlformats.org/package/2006/relationships"><Relationship Id="rId2" Type="http://schemas.openxmlformats.org/officeDocument/2006/relationships/oleObject" Target="file:///d:\users\jfait\Dokumenty\Diamant\Vyber_DIAMAN_segmenty.xls" TargetMode="External"/><Relationship Id="rId1" Type="http://schemas.openxmlformats.org/officeDocument/2006/relationships/themeOverride" Target="../theme/themeOverride9.xm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do_30!$AL$5:$AL$17</c:f>
              <c:strCache>
                <c:ptCount val="13"/>
                <c:pt idx="0">
                  <c:v>10 000</c:v>
                </c:pt>
                <c:pt idx="1">
                  <c:v>10 001 - 49 000</c:v>
                </c:pt>
                <c:pt idx="2">
                  <c:v>50 000</c:v>
                </c:pt>
                <c:pt idx="3">
                  <c:v>50 001 - 99 000</c:v>
                </c:pt>
                <c:pt idx="4">
                  <c:v>100 000</c:v>
                </c:pt>
                <c:pt idx="5">
                  <c:v>101 000 - 149 000</c:v>
                </c:pt>
                <c:pt idx="6">
                  <c:v>150 000</c:v>
                </c:pt>
                <c:pt idx="7">
                  <c:v>151 000 - 199 000</c:v>
                </c:pt>
                <c:pt idx="8">
                  <c:v>200 000</c:v>
                </c:pt>
                <c:pt idx="9">
                  <c:v>201 000 - 299 000</c:v>
                </c:pt>
                <c:pt idx="10">
                  <c:v>300 000</c:v>
                </c:pt>
                <c:pt idx="11">
                  <c:v>301 000 - 500 000</c:v>
                </c:pt>
                <c:pt idx="12">
                  <c:v>500 000 +</c:v>
                </c:pt>
              </c:strCache>
            </c:strRef>
          </c:cat>
          <c:val>
            <c:numRef>
              <c:f>do_30!$AN$5:$AN$17</c:f>
              <c:numCache>
                <c:formatCode>General</c:formatCode>
                <c:ptCount val="13"/>
                <c:pt idx="0">
                  <c:v>3733</c:v>
                </c:pt>
                <c:pt idx="1">
                  <c:v>166</c:v>
                </c:pt>
                <c:pt idx="2">
                  <c:v>552</c:v>
                </c:pt>
                <c:pt idx="3">
                  <c:v>55</c:v>
                </c:pt>
                <c:pt idx="4">
                  <c:v>1621</c:v>
                </c:pt>
                <c:pt idx="5">
                  <c:v>13</c:v>
                </c:pt>
                <c:pt idx="6">
                  <c:v>646</c:v>
                </c:pt>
                <c:pt idx="7">
                  <c:v>16</c:v>
                </c:pt>
                <c:pt idx="8">
                  <c:v>520</c:v>
                </c:pt>
                <c:pt idx="9">
                  <c:v>66</c:v>
                </c:pt>
                <c:pt idx="10">
                  <c:v>1773</c:v>
                </c:pt>
                <c:pt idx="11">
                  <c:v>378</c:v>
                </c:pt>
                <c:pt idx="12">
                  <c:v>122</c:v>
                </c:pt>
              </c:numCache>
            </c:numRef>
          </c:val>
        </c:ser>
        <c:axId val="155881856"/>
        <c:axId val="155883392"/>
      </c:barChart>
      <c:catAx>
        <c:axId val="155881856"/>
        <c:scaling>
          <c:orientation val="minMax"/>
        </c:scaling>
        <c:axPos val="b"/>
        <c:numFmt formatCode="General" sourceLinked="1"/>
        <c:tickLblPos val="nextTo"/>
        <c:crossAx val="155883392"/>
        <c:crosses val="autoZero"/>
        <c:auto val="1"/>
        <c:lblAlgn val="ctr"/>
        <c:lblOffset val="100"/>
      </c:catAx>
      <c:valAx>
        <c:axId val="155883392"/>
        <c:scaling>
          <c:orientation val="minMax"/>
        </c:scaling>
        <c:axPos val="l"/>
        <c:majorGridlines/>
        <c:numFmt formatCode="#,##0" sourceLinked="0"/>
        <c:tickLblPos val="nextTo"/>
        <c:crossAx val="155881856"/>
        <c:crosses val="autoZero"/>
        <c:crossBetween val="between"/>
      </c:valAx>
    </c:plotArea>
    <c:plotVisOnly val="1"/>
    <c:dispBlanksAs val="gap"/>
  </c:chart>
  <c:externalData r:id="rId2"/>
</c:chartSpace>
</file>

<file path=word/charts/chart10.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numRef>
              <c:f>'31-40'!$AS$3:$AS$12</c:f>
              <c:numCache>
                <c:formatCode>General</c:formatCode>
                <c:ptCount val="10"/>
                <c:pt idx="0">
                  <c:v>31</c:v>
                </c:pt>
                <c:pt idx="1">
                  <c:v>32</c:v>
                </c:pt>
                <c:pt idx="2">
                  <c:v>33</c:v>
                </c:pt>
                <c:pt idx="3">
                  <c:v>34</c:v>
                </c:pt>
                <c:pt idx="4">
                  <c:v>35</c:v>
                </c:pt>
                <c:pt idx="5">
                  <c:v>36</c:v>
                </c:pt>
                <c:pt idx="6">
                  <c:v>37</c:v>
                </c:pt>
                <c:pt idx="7">
                  <c:v>38</c:v>
                </c:pt>
                <c:pt idx="8">
                  <c:v>39</c:v>
                </c:pt>
                <c:pt idx="9">
                  <c:v>40</c:v>
                </c:pt>
              </c:numCache>
            </c:numRef>
          </c:cat>
          <c:val>
            <c:numRef>
              <c:f>'31-40'!$AT$3:$AT$12</c:f>
              <c:numCache>
                <c:formatCode>General</c:formatCode>
                <c:ptCount val="10"/>
                <c:pt idx="0">
                  <c:v>487</c:v>
                </c:pt>
                <c:pt idx="1">
                  <c:v>590</c:v>
                </c:pt>
                <c:pt idx="2">
                  <c:v>581</c:v>
                </c:pt>
                <c:pt idx="3">
                  <c:v>610</c:v>
                </c:pt>
                <c:pt idx="4">
                  <c:v>569</c:v>
                </c:pt>
                <c:pt idx="5">
                  <c:v>622</c:v>
                </c:pt>
                <c:pt idx="6">
                  <c:v>600</c:v>
                </c:pt>
                <c:pt idx="7">
                  <c:v>642</c:v>
                </c:pt>
                <c:pt idx="8">
                  <c:v>552</c:v>
                </c:pt>
                <c:pt idx="9">
                  <c:v>521</c:v>
                </c:pt>
              </c:numCache>
            </c:numRef>
          </c:val>
        </c:ser>
        <c:axId val="157249536"/>
        <c:axId val="157251072"/>
      </c:barChart>
      <c:catAx>
        <c:axId val="157249536"/>
        <c:scaling>
          <c:orientation val="minMax"/>
        </c:scaling>
        <c:axPos val="b"/>
        <c:numFmt formatCode="General" sourceLinked="1"/>
        <c:tickLblPos val="nextTo"/>
        <c:crossAx val="157251072"/>
        <c:crosses val="autoZero"/>
        <c:auto val="1"/>
        <c:lblAlgn val="ctr"/>
        <c:lblOffset val="100"/>
      </c:catAx>
      <c:valAx>
        <c:axId val="157251072"/>
        <c:scaling>
          <c:orientation val="minMax"/>
        </c:scaling>
        <c:axPos val="l"/>
        <c:majorGridlines/>
        <c:numFmt formatCode="#,##0" sourceLinked="0"/>
        <c:tickLblPos val="nextTo"/>
        <c:crossAx val="157249536"/>
        <c:crosses val="autoZero"/>
        <c:crossBetween val="between"/>
      </c:valAx>
    </c:plotArea>
    <c:plotVisOnly val="1"/>
  </c:chart>
  <c:externalData r:id="rId2"/>
</c:chartSpace>
</file>

<file path=word/charts/chart11.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numRef>
              <c:f>'41-50'!$AS$3:$AS$12</c:f>
              <c:numCache>
                <c:formatCode>General</c:formatCode>
                <c:ptCount val="10"/>
                <c:pt idx="0">
                  <c:v>41</c:v>
                </c:pt>
                <c:pt idx="1">
                  <c:v>42</c:v>
                </c:pt>
                <c:pt idx="2">
                  <c:v>43</c:v>
                </c:pt>
                <c:pt idx="3">
                  <c:v>44</c:v>
                </c:pt>
                <c:pt idx="4">
                  <c:v>45</c:v>
                </c:pt>
                <c:pt idx="5">
                  <c:v>46</c:v>
                </c:pt>
                <c:pt idx="6">
                  <c:v>47</c:v>
                </c:pt>
                <c:pt idx="7">
                  <c:v>48</c:v>
                </c:pt>
                <c:pt idx="8">
                  <c:v>49</c:v>
                </c:pt>
                <c:pt idx="9">
                  <c:v>50</c:v>
                </c:pt>
              </c:numCache>
            </c:numRef>
          </c:cat>
          <c:val>
            <c:numRef>
              <c:f>'41-50'!$AT$3:$AT$12</c:f>
              <c:numCache>
                <c:formatCode>General</c:formatCode>
                <c:ptCount val="10"/>
                <c:pt idx="0">
                  <c:v>504</c:v>
                </c:pt>
                <c:pt idx="1">
                  <c:v>514</c:v>
                </c:pt>
                <c:pt idx="2">
                  <c:v>466</c:v>
                </c:pt>
                <c:pt idx="3">
                  <c:v>465</c:v>
                </c:pt>
                <c:pt idx="4">
                  <c:v>442</c:v>
                </c:pt>
                <c:pt idx="5">
                  <c:v>498</c:v>
                </c:pt>
                <c:pt idx="6">
                  <c:v>470</c:v>
                </c:pt>
                <c:pt idx="7">
                  <c:v>472</c:v>
                </c:pt>
                <c:pt idx="8">
                  <c:v>435</c:v>
                </c:pt>
                <c:pt idx="9">
                  <c:v>409</c:v>
                </c:pt>
              </c:numCache>
            </c:numRef>
          </c:val>
        </c:ser>
        <c:axId val="157274496"/>
        <c:axId val="157276032"/>
      </c:barChart>
      <c:catAx>
        <c:axId val="157274496"/>
        <c:scaling>
          <c:orientation val="minMax"/>
        </c:scaling>
        <c:axPos val="b"/>
        <c:numFmt formatCode="General" sourceLinked="1"/>
        <c:tickLblPos val="nextTo"/>
        <c:crossAx val="157276032"/>
        <c:crosses val="autoZero"/>
        <c:auto val="1"/>
        <c:lblAlgn val="ctr"/>
        <c:lblOffset val="100"/>
      </c:catAx>
      <c:valAx>
        <c:axId val="157276032"/>
        <c:scaling>
          <c:orientation val="minMax"/>
        </c:scaling>
        <c:axPos val="l"/>
        <c:majorGridlines/>
        <c:numFmt formatCode="#,##0" sourceLinked="0"/>
        <c:tickLblPos val="nextTo"/>
        <c:crossAx val="157274496"/>
        <c:crosses val="autoZero"/>
        <c:crossBetween val="between"/>
      </c:valAx>
    </c:plotArea>
    <c:plotVisOnly val="1"/>
  </c:chart>
  <c:externalData r:id="rId2"/>
</c:chartSpace>
</file>

<file path=word/charts/chart1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numRef>
              <c:f>'51+'!$AS$3:$AS$38</c:f>
              <c:numCache>
                <c:formatCode>General</c:formatCode>
                <c:ptCount val="36"/>
                <c:pt idx="0">
                  <c:v>51</c:v>
                </c:pt>
                <c:pt idx="1">
                  <c:v>52</c:v>
                </c:pt>
                <c:pt idx="2">
                  <c:v>53</c:v>
                </c:pt>
                <c:pt idx="3">
                  <c:v>54</c:v>
                </c:pt>
                <c:pt idx="4">
                  <c:v>55</c:v>
                </c:pt>
                <c:pt idx="5">
                  <c:v>56</c:v>
                </c:pt>
                <c:pt idx="6">
                  <c:v>57</c:v>
                </c:pt>
                <c:pt idx="7">
                  <c:v>58</c:v>
                </c:pt>
                <c:pt idx="8">
                  <c:v>59</c:v>
                </c:pt>
                <c:pt idx="9">
                  <c:v>60</c:v>
                </c:pt>
                <c:pt idx="10">
                  <c:v>61</c:v>
                </c:pt>
                <c:pt idx="11">
                  <c:v>62</c:v>
                </c:pt>
                <c:pt idx="12">
                  <c:v>63</c:v>
                </c:pt>
                <c:pt idx="13">
                  <c:v>64</c:v>
                </c:pt>
                <c:pt idx="14">
                  <c:v>65</c:v>
                </c:pt>
                <c:pt idx="15">
                  <c:v>66</c:v>
                </c:pt>
                <c:pt idx="16">
                  <c:v>67</c:v>
                </c:pt>
                <c:pt idx="17">
                  <c:v>68</c:v>
                </c:pt>
                <c:pt idx="18">
                  <c:v>69</c:v>
                </c:pt>
                <c:pt idx="19">
                  <c:v>70</c:v>
                </c:pt>
                <c:pt idx="20">
                  <c:v>71</c:v>
                </c:pt>
                <c:pt idx="21">
                  <c:v>72</c:v>
                </c:pt>
                <c:pt idx="22">
                  <c:v>73</c:v>
                </c:pt>
                <c:pt idx="23">
                  <c:v>74</c:v>
                </c:pt>
                <c:pt idx="24">
                  <c:v>75</c:v>
                </c:pt>
                <c:pt idx="25">
                  <c:v>76</c:v>
                </c:pt>
                <c:pt idx="26">
                  <c:v>77</c:v>
                </c:pt>
                <c:pt idx="27">
                  <c:v>78</c:v>
                </c:pt>
                <c:pt idx="28">
                  <c:v>79</c:v>
                </c:pt>
                <c:pt idx="29">
                  <c:v>80</c:v>
                </c:pt>
                <c:pt idx="30">
                  <c:v>81</c:v>
                </c:pt>
                <c:pt idx="31">
                  <c:v>82</c:v>
                </c:pt>
                <c:pt idx="32">
                  <c:v>83</c:v>
                </c:pt>
                <c:pt idx="33">
                  <c:v>84</c:v>
                </c:pt>
                <c:pt idx="34">
                  <c:v>85</c:v>
                </c:pt>
                <c:pt idx="35">
                  <c:v>86</c:v>
                </c:pt>
              </c:numCache>
            </c:numRef>
          </c:cat>
          <c:val>
            <c:numRef>
              <c:f>'51+'!$AT$3:$AT$38</c:f>
              <c:numCache>
                <c:formatCode>General</c:formatCode>
                <c:ptCount val="36"/>
                <c:pt idx="0">
                  <c:v>370</c:v>
                </c:pt>
                <c:pt idx="1">
                  <c:v>380</c:v>
                </c:pt>
                <c:pt idx="2">
                  <c:v>393</c:v>
                </c:pt>
                <c:pt idx="3">
                  <c:v>444</c:v>
                </c:pt>
                <c:pt idx="4">
                  <c:v>450</c:v>
                </c:pt>
                <c:pt idx="5">
                  <c:v>371</c:v>
                </c:pt>
                <c:pt idx="6">
                  <c:v>408</c:v>
                </c:pt>
                <c:pt idx="7">
                  <c:v>304</c:v>
                </c:pt>
                <c:pt idx="8">
                  <c:v>317</c:v>
                </c:pt>
                <c:pt idx="9">
                  <c:v>752</c:v>
                </c:pt>
                <c:pt idx="10">
                  <c:v>364</c:v>
                </c:pt>
                <c:pt idx="11">
                  <c:v>320</c:v>
                </c:pt>
                <c:pt idx="12">
                  <c:v>228</c:v>
                </c:pt>
                <c:pt idx="13">
                  <c:v>191</c:v>
                </c:pt>
                <c:pt idx="14">
                  <c:v>389</c:v>
                </c:pt>
                <c:pt idx="15">
                  <c:v>80</c:v>
                </c:pt>
                <c:pt idx="16">
                  <c:v>74</c:v>
                </c:pt>
                <c:pt idx="17">
                  <c:v>53</c:v>
                </c:pt>
                <c:pt idx="18">
                  <c:v>61</c:v>
                </c:pt>
                <c:pt idx="19">
                  <c:v>57</c:v>
                </c:pt>
                <c:pt idx="20">
                  <c:v>24</c:v>
                </c:pt>
                <c:pt idx="21">
                  <c:v>14</c:v>
                </c:pt>
                <c:pt idx="22">
                  <c:v>12</c:v>
                </c:pt>
                <c:pt idx="23">
                  <c:v>13</c:v>
                </c:pt>
                <c:pt idx="24">
                  <c:v>6</c:v>
                </c:pt>
                <c:pt idx="25">
                  <c:v>6</c:v>
                </c:pt>
                <c:pt idx="26">
                  <c:v>6</c:v>
                </c:pt>
                <c:pt idx="27">
                  <c:v>3</c:v>
                </c:pt>
                <c:pt idx="28">
                  <c:v>4</c:v>
                </c:pt>
                <c:pt idx="29">
                  <c:v>1</c:v>
                </c:pt>
                <c:pt idx="30">
                  <c:v>5</c:v>
                </c:pt>
                <c:pt idx="31">
                  <c:v>2</c:v>
                </c:pt>
                <c:pt idx="32">
                  <c:v>1</c:v>
                </c:pt>
                <c:pt idx="33">
                  <c:v>1</c:v>
                </c:pt>
                <c:pt idx="34">
                  <c:v>5</c:v>
                </c:pt>
                <c:pt idx="35">
                  <c:v>1</c:v>
                </c:pt>
              </c:numCache>
            </c:numRef>
          </c:val>
        </c:ser>
        <c:axId val="157426432"/>
        <c:axId val="157427968"/>
      </c:barChart>
      <c:catAx>
        <c:axId val="157426432"/>
        <c:scaling>
          <c:orientation val="minMax"/>
        </c:scaling>
        <c:axPos val="b"/>
        <c:numFmt formatCode="General" sourceLinked="1"/>
        <c:tickLblPos val="nextTo"/>
        <c:crossAx val="157427968"/>
        <c:crosses val="autoZero"/>
        <c:auto val="1"/>
        <c:lblAlgn val="ctr"/>
        <c:lblOffset val="100"/>
      </c:catAx>
      <c:valAx>
        <c:axId val="157427968"/>
        <c:scaling>
          <c:orientation val="minMax"/>
        </c:scaling>
        <c:axPos val="l"/>
        <c:majorGridlines/>
        <c:numFmt formatCode="#,##0" sourceLinked="0"/>
        <c:tickLblPos val="nextTo"/>
        <c:crossAx val="157426432"/>
        <c:crosses val="autoZero"/>
        <c:crossBetween val="between"/>
      </c:valAx>
    </c:plotArea>
    <c:plotVisOnly val="1"/>
  </c:chart>
  <c:externalData r:id="rId2"/>
</c:chartSpace>
</file>

<file path=word/charts/chart1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do_30!$AP$5:$AP$6</c:f>
              <c:strCache>
                <c:ptCount val="2"/>
                <c:pt idx="0">
                  <c:v>muž</c:v>
                </c:pt>
                <c:pt idx="1">
                  <c:v>ženy</c:v>
                </c:pt>
              </c:strCache>
            </c:strRef>
          </c:cat>
          <c:val>
            <c:numRef>
              <c:f>do_30!$AQ$5:$AQ$6</c:f>
              <c:numCache>
                <c:formatCode>General</c:formatCode>
                <c:ptCount val="2"/>
                <c:pt idx="0">
                  <c:v>5402</c:v>
                </c:pt>
                <c:pt idx="1">
                  <c:v>4259</c:v>
                </c:pt>
              </c:numCache>
            </c:numRef>
          </c:val>
        </c:ser>
        <c:axId val="157463296"/>
        <c:axId val="157464832"/>
      </c:barChart>
      <c:catAx>
        <c:axId val="157463296"/>
        <c:scaling>
          <c:orientation val="minMax"/>
        </c:scaling>
        <c:axPos val="b"/>
        <c:tickLblPos val="nextTo"/>
        <c:crossAx val="157464832"/>
        <c:crosses val="autoZero"/>
        <c:auto val="1"/>
        <c:lblAlgn val="ctr"/>
        <c:lblOffset val="100"/>
      </c:catAx>
      <c:valAx>
        <c:axId val="157464832"/>
        <c:scaling>
          <c:orientation val="minMax"/>
        </c:scaling>
        <c:axPos val="l"/>
        <c:majorGridlines/>
        <c:numFmt formatCode="#,##0" sourceLinked="0"/>
        <c:tickLblPos val="nextTo"/>
        <c:crossAx val="157463296"/>
        <c:crosses val="autoZero"/>
        <c:crossBetween val="between"/>
      </c:valAx>
    </c:plotArea>
    <c:plotVisOnly val="1"/>
  </c:chart>
  <c:externalData r:id="rId2"/>
</c:chartSpace>
</file>

<file path=word/charts/chart1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'31-40'!$AP$5:$AP$6</c:f>
              <c:strCache>
                <c:ptCount val="2"/>
                <c:pt idx="0">
                  <c:v>muž</c:v>
                </c:pt>
                <c:pt idx="1">
                  <c:v>ženy</c:v>
                </c:pt>
              </c:strCache>
            </c:strRef>
          </c:cat>
          <c:val>
            <c:numRef>
              <c:f>'31-40'!$AQ$5:$AQ$6</c:f>
              <c:numCache>
                <c:formatCode>General</c:formatCode>
                <c:ptCount val="2"/>
                <c:pt idx="0">
                  <c:v>3196</c:v>
                </c:pt>
                <c:pt idx="1">
                  <c:v>2578</c:v>
                </c:pt>
              </c:numCache>
            </c:numRef>
          </c:val>
        </c:ser>
        <c:axId val="157353088"/>
        <c:axId val="157354624"/>
      </c:barChart>
      <c:catAx>
        <c:axId val="157353088"/>
        <c:scaling>
          <c:orientation val="minMax"/>
        </c:scaling>
        <c:axPos val="b"/>
        <c:tickLblPos val="nextTo"/>
        <c:crossAx val="157354624"/>
        <c:crosses val="autoZero"/>
        <c:auto val="1"/>
        <c:lblAlgn val="ctr"/>
        <c:lblOffset val="100"/>
      </c:catAx>
      <c:valAx>
        <c:axId val="157354624"/>
        <c:scaling>
          <c:orientation val="minMax"/>
        </c:scaling>
        <c:axPos val="l"/>
        <c:majorGridlines/>
        <c:numFmt formatCode="#,##0" sourceLinked="0"/>
        <c:tickLblPos val="nextTo"/>
        <c:crossAx val="157353088"/>
        <c:crosses val="autoZero"/>
        <c:crossBetween val="between"/>
      </c:valAx>
    </c:plotArea>
    <c:plotVisOnly val="1"/>
  </c:chart>
  <c:externalData r:id="rId2"/>
</c:chartSpace>
</file>

<file path=word/charts/chart1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'41-50'!$AP$5:$AP$6</c:f>
              <c:strCache>
                <c:ptCount val="2"/>
                <c:pt idx="0">
                  <c:v>muž</c:v>
                </c:pt>
                <c:pt idx="1">
                  <c:v>ženy</c:v>
                </c:pt>
              </c:strCache>
            </c:strRef>
          </c:cat>
          <c:val>
            <c:numRef>
              <c:f>'41-50'!$AQ$5:$AQ$6</c:f>
              <c:numCache>
                <c:formatCode>General</c:formatCode>
                <c:ptCount val="2"/>
                <c:pt idx="0">
                  <c:v>2332</c:v>
                </c:pt>
                <c:pt idx="1">
                  <c:v>2343</c:v>
                </c:pt>
              </c:numCache>
            </c:numRef>
          </c:val>
        </c:ser>
        <c:axId val="157369856"/>
        <c:axId val="157371392"/>
      </c:barChart>
      <c:catAx>
        <c:axId val="157369856"/>
        <c:scaling>
          <c:orientation val="minMax"/>
        </c:scaling>
        <c:axPos val="b"/>
        <c:tickLblPos val="nextTo"/>
        <c:crossAx val="157371392"/>
        <c:crosses val="autoZero"/>
        <c:auto val="1"/>
        <c:lblAlgn val="ctr"/>
        <c:lblOffset val="100"/>
      </c:catAx>
      <c:valAx>
        <c:axId val="157371392"/>
        <c:scaling>
          <c:orientation val="minMax"/>
        </c:scaling>
        <c:axPos val="l"/>
        <c:majorGridlines/>
        <c:numFmt formatCode="#,##0" sourceLinked="0"/>
        <c:tickLblPos val="nextTo"/>
        <c:crossAx val="157369856"/>
        <c:crosses val="autoZero"/>
        <c:crossBetween val="between"/>
      </c:valAx>
    </c:plotArea>
    <c:plotVisOnly val="1"/>
  </c:chart>
  <c:externalData r:id="rId2"/>
</c:chartSpace>
</file>

<file path=word/charts/chart1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'51+'!$AP$5:$AP$6</c:f>
              <c:strCache>
                <c:ptCount val="2"/>
                <c:pt idx="0">
                  <c:v>muž</c:v>
                </c:pt>
                <c:pt idx="1">
                  <c:v>ženy</c:v>
                </c:pt>
              </c:strCache>
            </c:strRef>
          </c:cat>
          <c:val>
            <c:numRef>
              <c:f>'51+'!$AQ$5:$AQ$6</c:f>
              <c:numCache>
                <c:formatCode>General</c:formatCode>
                <c:ptCount val="2"/>
                <c:pt idx="0">
                  <c:v>3036</c:v>
                </c:pt>
                <c:pt idx="1">
                  <c:v>3074</c:v>
                </c:pt>
              </c:numCache>
            </c:numRef>
          </c:val>
        </c:ser>
        <c:axId val="157554560"/>
        <c:axId val="157556096"/>
      </c:barChart>
      <c:catAx>
        <c:axId val="157554560"/>
        <c:scaling>
          <c:orientation val="minMax"/>
        </c:scaling>
        <c:axPos val="b"/>
        <c:tickLblPos val="nextTo"/>
        <c:crossAx val="157556096"/>
        <c:crosses val="autoZero"/>
        <c:auto val="1"/>
        <c:lblAlgn val="ctr"/>
        <c:lblOffset val="100"/>
      </c:catAx>
      <c:valAx>
        <c:axId val="157556096"/>
        <c:scaling>
          <c:orientation val="minMax"/>
        </c:scaling>
        <c:axPos val="l"/>
        <c:majorGridlines/>
        <c:numFmt formatCode="#,##0" sourceLinked="0"/>
        <c:tickLblPos val="nextTo"/>
        <c:crossAx val="157554560"/>
        <c:crosses val="autoZero"/>
        <c:crossBetween val="between"/>
      </c:valAx>
    </c:plotArea>
    <c:plotVisOnly val="1"/>
  </c:chart>
  <c:externalData r:id="rId2"/>
</c:chartSpace>
</file>

<file path=word/charts/chart1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do_30!$AV$5:$AV$9</c:f>
              <c:strCache>
                <c:ptCount val="5"/>
                <c:pt idx="0">
                  <c:v>bez UPP</c:v>
                </c:pt>
                <c:pt idx="1">
                  <c:v>RS1</c:v>
                </c:pt>
                <c:pt idx="2">
                  <c:v>RS2</c:v>
                </c:pt>
                <c:pt idx="3">
                  <c:v>RS3</c:v>
                </c:pt>
                <c:pt idx="4">
                  <c:v>RS4</c:v>
                </c:pt>
              </c:strCache>
            </c:strRef>
          </c:cat>
          <c:val>
            <c:numRef>
              <c:f>do_30!$AW$5:$AW$9</c:f>
              <c:numCache>
                <c:formatCode>General</c:formatCode>
                <c:ptCount val="5"/>
                <c:pt idx="0">
                  <c:v>2099</c:v>
                </c:pt>
                <c:pt idx="1">
                  <c:v>6116</c:v>
                </c:pt>
                <c:pt idx="2">
                  <c:v>1421</c:v>
                </c:pt>
                <c:pt idx="3">
                  <c:v>21</c:v>
                </c:pt>
                <c:pt idx="4">
                  <c:v>4</c:v>
                </c:pt>
              </c:numCache>
            </c:numRef>
          </c:val>
        </c:ser>
        <c:axId val="157570944"/>
        <c:axId val="157572480"/>
      </c:barChart>
      <c:catAx>
        <c:axId val="157570944"/>
        <c:scaling>
          <c:orientation val="minMax"/>
        </c:scaling>
        <c:axPos val="b"/>
        <c:tickLblPos val="nextTo"/>
        <c:crossAx val="157572480"/>
        <c:crosses val="autoZero"/>
        <c:auto val="1"/>
        <c:lblAlgn val="ctr"/>
        <c:lblOffset val="100"/>
      </c:catAx>
      <c:valAx>
        <c:axId val="157572480"/>
        <c:scaling>
          <c:orientation val="minMax"/>
        </c:scaling>
        <c:axPos val="l"/>
        <c:majorGridlines/>
        <c:numFmt formatCode="#,##0" sourceLinked="0"/>
        <c:tickLblPos val="nextTo"/>
        <c:crossAx val="157570944"/>
        <c:crosses val="autoZero"/>
        <c:crossBetween val="between"/>
      </c:valAx>
    </c:plotArea>
    <c:plotVisOnly val="1"/>
  </c:chart>
  <c:externalData r:id="rId2"/>
</c:chartSpace>
</file>

<file path=word/charts/chart1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'31-40'!$AV$5:$AV$8</c:f>
              <c:strCache>
                <c:ptCount val="4"/>
                <c:pt idx="0">
                  <c:v>bez UPP</c:v>
                </c:pt>
                <c:pt idx="1">
                  <c:v>RS1</c:v>
                </c:pt>
                <c:pt idx="2">
                  <c:v>RS2</c:v>
                </c:pt>
                <c:pt idx="3">
                  <c:v>RS3</c:v>
                </c:pt>
              </c:strCache>
            </c:strRef>
          </c:cat>
          <c:val>
            <c:numRef>
              <c:f>'31-40'!$AW$5:$AW$8</c:f>
              <c:numCache>
                <c:formatCode>General</c:formatCode>
                <c:ptCount val="4"/>
                <c:pt idx="0">
                  <c:v>1579</c:v>
                </c:pt>
                <c:pt idx="1">
                  <c:v>2756</c:v>
                </c:pt>
                <c:pt idx="2">
                  <c:v>1410</c:v>
                </c:pt>
                <c:pt idx="3">
                  <c:v>29</c:v>
                </c:pt>
              </c:numCache>
            </c:numRef>
          </c:val>
        </c:ser>
        <c:axId val="157828992"/>
        <c:axId val="157830528"/>
      </c:barChart>
      <c:catAx>
        <c:axId val="157828992"/>
        <c:scaling>
          <c:orientation val="minMax"/>
        </c:scaling>
        <c:axPos val="b"/>
        <c:tickLblPos val="nextTo"/>
        <c:crossAx val="157830528"/>
        <c:crosses val="autoZero"/>
        <c:auto val="1"/>
        <c:lblAlgn val="ctr"/>
        <c:lblOffset val="100"/>
      </c:catAx>
      <c:valAx>
        <c:axId val="157830528"/>
        <c:scaling>
          <c:orientation val="minMax"/>
        </c:scaling>
        <c:axPos val="l"/>
        <c:majorGridlines/>
        <c:numFmt formatCode="#,##0" sourceLinked="0"/>
        <c:tickLblPos val="nextTo"/>
        <c:crossAx val="157828992"/>
        <c:crosses val="autoZero"/>
        <c:crossBetween val="between"/>
      </c:valAx>
    </c:plotArea>
    <c:plotVisOnly val="1"/>
  </c:chart>
  <c:externalData r:id="rId2"/>
</c:chartSpace>
</file>

<file path=word/charts/chart1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'41-50'!$AV$5:$AV$8</c:f>
              <c:strCache>
                <c:ptCount val="4"/>
                <c:pt idx="0">
                  <c:v>bez UPP</c:v>
                </c:pt>
                <c:pt idx="1">
                  <c:v>RS1</c:v>
                </c:pt>
                <c:pt idx="2">
                  <c:v>RS2</c:v>
                </c:pt>
                <c:pt idx="3">
                  <c:v>RS3</c:v>
                </c:pt>
              </c:strCache>
            </c:strRef>
          </c:cat>
          <c:val>
            <c:numRef>
              <c:f>'41-50'!$AW$5:$AW$8</c:f>
              <c:numCache>
                <c:formatCode>General</c:formatCode>
                <c:ptCount val="4"/>
                <c:pt idx="0">
                  <c:v>1472</c:v>
                </c:pt>
                <c:pt idx="1">
                  <c:v>2140</c:v>
                </c:pt>
                <c:pt idx="2">
                  <c:v>1045</c:v>
                </c:pt>
                <c:pt idx="3">
                  <c:v>18</c:v>
                </c:pt>
              </c:numCache>
            </c:numRef>
          </c:val>
        </c:ser>
        <c:axId val="157837568"/>
        <c:axId val="157855744"/>
      </c:barChart>
      <c:catAx>
        <c:axId val="157837568"/>
        <c:scaling>
          <c:orientation val="minMax"/>
        </c:scaling>
        <c:axPos val="b"/>
        <c:tickLblPos val="nextTo"/>
        <c:crossAx val="157855744"/>
        <c:crosses val="autoZero"/>
        <c:auto val="1"/>
        <c:lblAlgn val="ctr"/>
        <c:lblOffset val="100"/>
      </c:catAx>
      <c:valAx>
        <c:axId val="157855744"/>
        <c:scaling>
          <c:orientation val="minMax"/>
        </c:scaling>
        <c:axPos val="l"/>
        <c:majorGridlines/>
        <c:numFmt formatCode="#,##0" sourceLinked="0"/>
        <c:tickLblPos val="nextTo"/>
        <c:crossAx val="157837568"/>
        <c:crosses val="autoZero"/>
        <c:crossBetween val="between"/>
      </c:valAx>
    </c:plotArea>
    <c:plotVisOnly val="1"/>
  </c:chart>
  <c:externalData r:id="rId2"/>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'31-40'!$AL$5:$AL$17</c:f>
              <c:strCache>
                <c:ptCount val="13"/>
                <c:pt idx="0">
                  <c:v>10 000</c:v>
                </c:pt>
                <c:pt idx="1">
                  <c:v>10 001 - 49 000</c:v>
                </c:pt>
                <c:pt idx="2">
                  <c:v>50 000</c:v>
                </c:pt>
                <c:pt idx="3">
                  <c:v>50 001 - 99 000</c:v>
                </c:pt>
                <c:pt idx="4">
                  <c:v>100 000</c:v>
                </c:pt>
                <c:pt idx="5">
                  <c:v>101 000 - 149 000</c:v>
                </c:pt>
                <c:pt idx="6">
                  <c:v>150 000</c:v>
                </c:pt>
                <c:pt idx="7">
                  <c:v>151 000 - 199 000</c:v>
                </c:pt>
                <c:pt idx="8">
                  <c:v>200 000</c:v>
                </c:pt>
                <c:pt idx="9">
                  <c:v>201 000 - 299 000</c:v>
                </c:pt>
                <c:pt idx="10">
                  <c:v>300 000</c:v>
                </c:pt>
                <c:pt idx="11">
                  <c:v>301 000 - 500 000</c:v>
                </c:pt>
                <c:pt idx="12">
                  <c:v>500 000 +</c:v>
                </c:pt>
              </c:strCache>
            </c:strRef>
          </c:cat>
          <c:val>
            <c:numRef>
              <c:f>'31-40'!$AN$5:$AN$17</c:f>
              <c:numCache>
                <c:formatCode>General</c:formatCode>
                <c:ptCount val="13"/>
                <c:pt idx="0">
                  <c:v>1971</c:v>
                </c:pt>
                <c:pt idx="1">
                  <c:v>28</c:v>
                </c:pt>
                <c:pt idx="2">
                  <c:v>233</c:v>
                </c:pt>
                <c:pt idx="3">
                  <c:v>44</c:v>
                </c:pt>
                <c:pt idx="4">
                  <c:v>1010</c:v>
                </c:pt>
                <c:pt idx="5">
                  <c:v>16</c:v>
                </c:pt>
                <c:pt idx="6">
                  <c:v>400</c:v>
                </c:pt>
                <c:pt idx="7">
                  <c:v>13</c:v>
                </c:pt>
                <c:pt idx="8">
                  <c:v>481</c:v>
                </c:pt>
                <c:pt idx="9">
                  <c:v>117</c:v>
                </c:pt>
                <c:pt idx="10">
                  <c:v>906</c:v>
                </c:pt>
                <c:pt idx="11">
                  <c:v>417</c:v>
                </c:pt>
                <c:pt idx="12">
                  <c:v>137</c:v>
                </c:pt>
              </c:numCache>
            </c:numRef>
          </c:val>
        </c:ser>
        <c:axId val="155903104"/>
        <c:axId val="155904640"/>
      </c:barChart>
      <c:catAx>
        <c:axId val="155903104"/>
        <c:scaling>
          <c:orientation val="minMax"/>
        </c:scaling>
        <c:axPos val="b"/>
        <c:numFmt formatCode="General" sourceLinked="1"/>
        <c:tickLblPos val="nextTo"/>
        <c:crossAx val="155904640"/>
        <c:crosses val="autoZero"/>
        <c:auto val="1"/>
        <c:lblAlgn val="ctr"/>
        <c:lblOffset val="100"/>
      </c:catAx>
      <c:valAx>
        <c:axId val="155904640"/>
        <c:scaling>
          <c:orientation val="minMax"/>
        </c:scaling>
        <c:axPos val="l"/>
        <c:majorGridlines/>
        <c:numFmt formatCode="#,##0" sourceLinked="0"/>
        <c:tickLblPos val="nextTo"/>
        <c:crossAx val="155903104"/>
        <c:crosses val="autoZero"/>
        <c:crossBetween val="between"/>
      </c:valAx>
    </c:plotArea>
    <c:plotVisOnly val="1"/>
    <c:dispBlanksAs val="gap"/>
  </c:chart>
  <c:externalData r:id="rId2"/>
</c:chartSpace>
</file>

<file path=word/charts/chart20.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'51+'!$AV$5:$AV$9</c:f>
              <c:strCache>
                <c:ptCount val="5"/>
                <c:pt idx="0">
                  <c:v>bez UPP</c:v>
                </c:pt>
                <c:pt idx="1">
                  <c:v>RS1</c:v>
                </c:pt>
                <c:pt idx="2">
                  <c:v>RS2</c:v>
                </c:pt>
                <c:pt idx="3">
                  <c:v>RS3</c:v>
                </c:pt>
                <c:pt idx="4">
                  <c:v>RS5</c:v>
                </c:pt>
              </c:strCache>
            </c:strRef>
          </c:cat>
          <c:val>
            <c:numRef>
              <c:f>'51+'!$AW$5:$AW$9</c:f>
              <c:numCache>
                <c:formatCode>General</c:formatCode>
                <c:ptCount val="5"/>
                <c:pt idx="0">
                  <c:v>1433</c:v>
                </c:pt>
                <c:pt idx="1">
                  <c:v>3465</c:v>
                </c:pt>
                <c:pt idx="2">
                  <c:v>1126</c:v>
                </c:pt>
                <c:pt idx="3">
                  <c:v>13</c:v>
                </c:pt>
                <c:pt idx="4">
                  <c:v>73</c:v>
                </c:pt>
              </c:numCache>
            </c:numRef>
          </c:val>
        </c:ser>
        <c:axId val="157862528"/>
        <c:axId val="157761920"/>
      </c:barChart>
      <c:catAx>
        <c:axId val="157862528"/>
        <c:scaling>
          <c:orientation val="minMax"/>
        </c:scaling>
        <c:axPos val="b"/>
        <c:tickLblPos val="nextTo"/>
        <c:crossAx val="157761920"/>
        <c:crosses val="autoZero"/>
        <c:auto val="1"/>
        <c:lblAlgn val="ctr"/>
        <c:lblOffset val="100"/>
      </c:catAx>
      <c:valAx>
        <c:axId val="157761920"/>
        <c:scaling>
          <c:orientation val="minMax"/>
        </c:scaling>
        <c:axPos val="l"/>
        <c:majorGridlines/>
        <c:numFmt formatCode="#,##0" sourceLinked="0"/>
        <c:tickLblPos val="nextTo"/>
        <c:crossAx val="157862528"/>
        <c:crosses val="autoZero"/>
        <c:crossBetween val="between"/>
      </c:valAx>
    </c:plotArea>
    <c:plotVisOnly val="1"/>
  </c:chart>
  <c:externalData r:id="rId2"/>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'41-50'!$AL$5:$AL$17</c:f>
              <c:strCache>
                <c:ptCount val="13"/>
                <c:pt idx="0">
                  <c:v>10 000</c:v>
                </c:pt>
                <c:pt idx="1">
                  <c:v>10 001 - 49 000</c:v>
                </c:pt>
                <c:pt idx="2">
                  <c:v>50 000</c:v>
                </c:pt>
                <c:pt idx="3">
                  <c:v>50 001 - 99 000</c:v>
                </c:pt>
                <c:pt idx="4">
                  <c:v>100 000</c:v>
                </c:pt>
                <c:pt idx="5">
                  <c:v>101 000 - 149 000</c:v>
                </c:pt>
                <c:pt idx="6">
                  <c:v>150 000</c:v>
                </c:pt>
                <c:pt idx="7">
                  <c:v>151 000 - 199 000</c:v>
                </c:pt>
                <c:pt idx="8">
                  <c:v>200 000</c:v>
                </c:pt>
                <c:pt idx="9">
                  <c:v>201 000 - 299 000</c:v>
                </c:pt>
                <c:pt idx="10">
                  <c:v>300 000</c:v>
                </c:pt>
                <c:pt idx="11">
                  <c:v>301 000 - 500 000</c:v>
                </c:pt>
                <c:pt idx="12">
                  <c:v>500 000 +</c:v>
                </c:pt>
              </c:strCache>
            </c:strRef>
          </c:cat>
          <c:val>
            <c:numRef>
              <c:f>'41-50'!$AN$5:$AN$17</c:f>
              <c:numCache>
                <c:formatCode>General</c:formatCode>
                <c:ptCount val="13"/>
                <c:pt idx="0">
                  <c:v>1972</c:v>
                </c:pt>
                <c:pt idx="1">
                  <c:v>48</c:v>
                </c:pt>
                <c:pt idx="2">
                  <c:v>259</c:v>
                </c:pt>
                <c:pt idx="3">
                  <c:v>77</c:v>
                </c:pt>
                <c:pt idx="4">
                  <c:v>909</c:v>
                </c:pt>
                <c:pt idx="5">
                  <c:v>27</c:v>
                </c:pt>
                <c:pt idx="6">
                  <c:v>381</c:v>
                </c:pt>
                <c:pt idx="7">
                  <c:v>33</c:v>
                </c:pt>
                <c:pt idx="8">
                  <c:v>299</c:v>
                </c:pt>
                <c:pt idx="9">
                  <c:v>87</c:v>
                </c:pt>
                <c:pt idx="10">
                  <c:v>332</c:v>
                </c:pt>
                <c:pt idx="11">
                  <c:v>175</c:v>
                </c:pt>
                <c:pt idx="12">
                  <c:v>76</c:v>
                </c:pt>
              </c:numCache>
            </c:numRef>
          </c:val>
        </c:ser>
        <c:axId val="156743168"/>
        <c:axId val="156744704"/>
      </c:barChart>
      <c:catAx>
        <c:axId val="156743168"/>
        <c:scaling>
          <c:orientation val="minMax"/>
        </c:scaling>
        <c:axPos val="b"/>
        <c:numFmt formatCode="General" sourceLinked="1"/>
        <c:tickLblPos val="nextTo"/>
        <c:crossAx val="156744704"/>
        <c:crosses val="autoZero"/>
        <c:auto val="1"/>
        <c:lblAlgn val="ctr"/>
        <c:lblOffset val="100"/>
      </c:catAx>
      <c:valAx>
        <c:axId val="156744704"/>
        <c:scaling>
          <c:orientation val="minMax"/>
        </c:scaling>
        <c:axPos val="l"/>
        <c:majorGridlines/>
        <c:numFmt formatCode="#,##0" sourceLinked="0"/>
        <c:tickLblPos val="nextTo"/>
        <c:crossAx val="156743168"/>
        <c:crosses val="autoZero"/>
        <c:crossBetween val="between"/>
      </c:valAx>
    </c:plotArea>
    <c:plotVisOnly val="1"/>
    <c:dispBlanksAs val="gap"/>
  </c:chart>
  <c:externalData r:id="rId2"/>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'51+'!$AL$5:$AL$17</c:f>
              <c:strCache>
                <c:ptCount val="13"/>
                <c:pt idx="0">
                  <c:v>10 000</c:v>
                </c:pt>
                <c:pt idx="1">
                  <c:v>10 001 - 49 000</c:v>
                </c:pt>
                <c:pt idx="2">
                  <c:v>50 000</c:v>
                </c:pt>
                <c:pt idx="3">
                  <c:v>50 001 - 99 000</c:v>
                </c:pt>
                <c:pt idx="4">
                  <c:v>100 000</c:v>
                </c:pt>
                <c:pt idx="5">
                  <c:v>101 000 - 149 000</c:v>
                </c:pt>
                <c:pt idx="6">
                  <c:v>150 000</c:v>
                </c:pt>
                <c:pt idx="7">
                  <c:v>151 000 - 199 000</c:v>
                </c:pt>
                <c:pt idx="8">
                  <c:v>200 000</c:v>
                </c:pt>
                <c:pt idx="9">
                  <c:v>201 000 - 299 000</c:v>
                </c:pt>
                <c:pt idx="10">
                  <c:v>300 000</c:v>
                </c:pt>
                <c:pt idx="11">
                  <c:v>301 000 - 500 000</c:v>
                </c:pt>
                <c:pt idx="12">
                  <c:v>500 000 +</c:v>
                </c:pt>
              </c:strCache>
            </c:strRef>
          </c:cat>
          <c:val>
            <c:numRef>
              <c:f>'51+'!$AN$5:$AN$17</c:f>
              <c:numCache>
                <c:formatCode>General</c:formatCode>
                <c:ptCount val="13"/>
                <c:pt idx="0">
                  <c:v>3682</c:v>
                </c:pt>
                <c:pt idx="1">
                  <c:v>262</c:v>
                </c:pt>
                <c:pt idx="2">
                  <c:v>822</c:v>
                </c:pt>
                <c:pt idx="3">
                  <c:v>204</c:v>
                </c:pt>
                <c:pt idx="4">
                  <c:v>656</c:v>
                </c:pt>
                <c:pt idx="5">
                  <c:v>46</c:v>
                </c:pt>
                <c:pt idx="6">
                  <c:v>191</c:v>
                </c:pt>
                <c:pt idx="7">
                  <c:v>26</c:v>
                </c:pt>
                <c:pt idx="8">
                  <c:v>92</c:v>
                </c:pt>
                <c:pt idx="9">
                  <c:v>24</c:v>
                </c:pt>
                <c:pt idx="10">
                  <c:v>74</c:v>
                </c:pt>
                <c:pt idx="11">
                  <c:v>25</c:v>
                </c:pt>
                <c:pt idx="12">
                  <c:v>6</c:v>
                </c:pt>
              </c:numCache>
            </c:numRef>
          </c:val>
        </c:ser>
        <c:axId val="156174208"/>
        <c:axId val="156175744"/>
      </c:barChart>
      <c:catAx>
        <c:axId val="156174208"/>
        <c:scaling>
          <c:orientation val="minMax"/>
        </c:scaling>
        <c:axPos val="b"/>
        <c:numFmt formatCode="General" sourceLinked="1"/>
        <c:tickLblPos val="nextTo"/>
        <c:crossAx val="156175744"/>
        <c:crosses val="autoZero"/>
        <c:auto val="1"/>
        <c:lblAlgn val="ctr"/>
        <c:lblOffset val="100"/>
      </c:catAx>
      <c:valAx>
        <c:axId val="156175744"/>
        <c:scaling>
          <c:orientation val="minMax"/>
        </c:scaling>
        <c:axPos val="l"/>
        <c:majorGridlines/>
        <c:numFmt formatCode="#,##0" sourceLinked="0"/>
        <c:tickLblPos val="nextTo"/>
        <c:crossAx val="156174208"/>
        <c:crosses val="autoZero"/>
        <c:crossBetween val="between"/>
      </c:valAx>
    </c:plotArea>
    <c:plotVisOnly val="1"/>
    <c:dispBlanksAs val="gap"/>
  </c:chart>
  <c:externalData r:id="rId2"/>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do_30!$AH$5:$AH$13</c:f>
              <c:strCache>
                <c:ptCount val="9"/>
                <c:pt idx="0">
                  <c:v>0 - 3 600 Kč</c:v>
                </c:pt>
                <c:pt idx="1">
                  <c:v>3 601 - 6 000 Kč</c:v>
                </c:pt>
                <c:pt idx="2">
                  <c:v>6 001 - 12 000 Kč</c:v>
                </c:pt>
                <c:pt idx="3">
                  <c:v>12 001 - 18 000 Kč</c:v>
                </c:pt>
                <c:pt idx="4">
                  <c:v>18 001 - 24 000 Kč</c:v>
                </c:pt>
                <c:pt idx="5">
                  <c:v>24 001 - 30 000 Kč</c:v>
                </c:pt>
                <c:pt idx="6">
                  <c:v>30 001 - 36 000 Kč</c:v>
                </c:pt>
                <c:pt idx="7">
                  <c:v>36 001 - 48 000 Kč</c:v>
                </c:pt>
                <c:pt idx="8">
                  <c:v>48 000 Kč +</c:v>
                </c:pt>
              </c:strCache>
            </c:strRef>
          </c:cat>
          <c:val>
            <c:numRef>
              <c:f>do_30!$AJ$5:$AJ$13</c:f>
              <c:numCache>
                <c:formatCode>General</c:formatCode>
                <c:ptCount val="9"/>
                <c:pt idx="0">
                  <c:v>206</c:v>
                </c:pt>
                <c:pt idx="1">
                  <c:v>5784</c:v>
                </c:pt>
                <c:pt idx="2">
                  <c:v>2519</c:v>
                </c:pt>
                <c:pt idx="3">
                  <c:v>468</c:v>
                </c:pt>
                <c:pt idx="4">
                  <c:v>319</c:v>
                </c:pt>
                <c:pt idx="5">
                  <c:v>71</c:v>
                </c:pt>
                <c:pt idx="6">
                  <c:v>67</c:v>
                </c:pt>
                <c:pt idx="7">
                  <c:v>49</c:v>
                </c:pt>
                <c:pt idx="8">
                  <c:v>178</c:v>
                </c:pt>
              </c:numCache>
            </c:numRef>
          </c:val>
        </c:ser>
        <c:axId val="156227840"/>
        <c:axId val="157155328"/>
      </c:barChart>
      <c:catAx>
        <c:axId val="156227840"/>
        <c:scaling>
          <c:orientation val="minMax"/>
        </c:scaling>
        <c:axPos val="b"/>
        <c:tickLblPos val="nextTo"/>
        <c:crossAx val="157155328"/>
        <c:crosses val="autoZero"/>
        <c:auto val="1"/>
        <c:lblAlgn val="ctr"/>
        <c:lblOffset val="100"/>
      </c:catAx>
      <c:valAx>
        <c:axId val="157155328"/>
        <c:scaling>
          <c:orientation val="minMax"/>
        </c:scaling>
        <c:axPos val="l"/>
        <c:majorGridlines/>
        <c:numFmt formatCode="General" sourceLinked="1"/>
        <c:tickLblPos val="nextTo"/>
        <c:crossAx val="156227840"/>
        <c:crosses val="autoZero"/>
        <c:crossBetween val="between"/>
      </c:valAx>
    </c:plotArea>
    <c:plotVisOnly val="1"/>
  </c:chart>
  <c:externalData r:id="rId2"/>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'31-40'!$AH$5:$AH$13</c:f>
              <c:strCache>
                <c:ptCount val="9"/>
                <c:pt idx="0">
                  <c:v>0 - 3 600 Kč</c:v>
                </c:pt>
                <c:pt idx="1">
                  <c:v>3 601 - 6 000 Kč</c:v>
                </c:pt>
                <c:pt idx="2">
                  <c:v>6 001 - 12 000 Kč</c:v>
                </c:pt>
                <c:pt idx="3">
                  <c:v>12 001 - 18 000 Kč</c:v>
                </c:pt>
                <c:pt idx="4">
                  <c:v>18 001 - 24 000 Kč</c:v>
                </c:pt>
                <c:pt idx="5">
                  <c:v>24 001 - 30 000 Kč</c:v>
                </c:pt>
                <c:pt idx="6">
                  <c:v>30 001 - 36 000 Kč</c:v>
                </c:pt>
                <c:pt idx="7">
                  <c:v>36 001 - 48 000 Kč</c:v>
                </c:pt>
                <c:pt idx="8">
                  <c:v>48 000 Kč +</c:v>
                </c:pt>
              </c:strCache>
            </c:strRef>
          </c:cat>
          <c:val>
            <c:numRef>
              <c:f>'31-40'!$AJ$5:$AJ$13</c:f>
              <c:numCache>
                <c:formatCode>General</c:formatCode>
                <c:ptCount val="9"/>
                <c:pt idx="0">
                  <c:v>133</c:v>
                </c:pt>
                <c:pt idx="1">
                  <c:v>2977</c:v>
                </c:pt>
                <c:pt idx="2">
                  <c:v>1808</c:v>
                </c:pt>
                <c:pt idx="3">
                  <c:v>390</c:v>
                </c:pt>
                <c:pt idx="4">
                  <c:v>246</c:v>
                </c:pt>
                <c:pt idx="5">
                  <c:v>51</c:v>
                </c:pt>
                <c:pt idx="6">
                  <c:v>50</c:v>
                </c:pt>
                <c:pt idx="7">
                  <c:v>33</c:v>
                </c:pt>
                <c:pt idx="8">
                  <c:v>86</c:v>
                </c:pt>
              </c:numCache>
            </c:numRef>
          </c:val>
        </c:ser>
        <c:axId val="157162112"/>
        <c:axId val="157168000"/>
      </c:barChart>
      <c:catAx>
        <c:axId val="157162112"/>
        <c:scaling>
          <c:orientation val="minMax"/>
        </c:scaling>
        <c:axPos val="b"/>
        <c:tickLblPos val="nextTo"/>
        <c:crossAx val="157168000"/>
        <c:crosses val="autoZero"/>
        <c:auto val="1"/>
        <c:lblAlgn val="ctr"/>
        <c:lblOffset val="100"/>
      </c:catAx>
      <c:valAx>
        <c:axId val="157168000"/>
        <c:scaling>
          <c:orientation val="minMax"/>
        </c:scaling>
        <c:axPos val="l"/>
        <c:majorGridlines/>
        <c:numFmt formatCode="General" sourceLinked="1"/>
        <c:tickLblPos val="nextTo"/>
        <c:crossAx val="157162112"/>
        <c:crosses val="autoZero"/>
        <c:crossBetween val="between"/>
      </c:valAx>
    </c:plotArea>
    <c:plotVisOnly val="1"/>
  </c:chart>
  <c:externalData r:id="rId2"/>
</c:chartSpace>
</file>

<file path=word/charts/chart7.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'41-50'!$AH$5:$AH$13</c:f>
              <c:strCache>
                <c:ptCount val="9"/>
                <c:pt idx="0">
                  <c:v>0 - 3 600 Kč</c:v>
                </c:pt>
                <c:pt idx="1">
                  <c:v>3 601 - 6 000 Kč</c:v>
                </c:pt>
                <c:pt idx="2">
                  <c:v>6 001 - 12 000 Kč</c:v>
                </c:pt>
                <c:pt idx="3">
                  <c:v>12 001 - 18 000 Kč</c:v>
                </c:pt>
                <c:pt idx="4">
                  <c:v>18 001 - 24 000 Kč</c:v>
                </c:pt>
                <c:pt idx="5">
                  <c:v>24 001 - 30 000 Kč</c:v>
                </c:pt>
                <c:pt idx="6">
                  <c:v>30 001 - 36 000 Kč</c:v>
                </c:pt>
                <c:pt idx="7">
                  <c:v>36 001 - 48 000 Kč</c:v>
                </c:pt>
                <c:pt idx="8">
                  <c:v>48 000 Kč +</c:v>
                </c:pt>
              </c:strCache>
            </c:strRef>
          </c:cat>
          <c:val>
            <c:numRef>
              <c:f>'41-50'!$AJ$5:$AJ$13</c:f>
              <c:numCache>
                <c:formatCode>General</c:formatCode>
                <c:ptCount val="9"/>
                <c:pt idx="0">
                  <c:v>99</c:v>
                </c:pt>
                <c:pt idx="1">
                  <c:v>2267</c:v>
                </c:pt>
                <c:pt idx="2">
                  <c:v>1488</c:v>
                </c:pt>
                <c:pt idx="3">
                  <c:v>342</c:v>
                </c:pt>
                <c:pt idx="4">
                  <c:v>248</c:v>
                </c:pt>
                <c:pt idx="5">
                  <c:v>43</c:v>
                </c:pt>
                <c:pt idx="6">
                  <c:v>38</c:v>
                </c:pt>
                <c:pt idx="7">
                  <c:v>38</c:v>
                </c:pt>
                <c:pt idx="8">
                  <c:v>112</c:v>
                </c:pt>
              </c:numCache>
            </c:numRef>
          </c:val>
        </c:ser>
        <c:axId val="157182976"/>
        <c:axId val="157205248"/>
      </c:barChart>
      <c:catAx>
        <c:axId val="157182976"/>
        <c:scaling>
          <c:orientation val="minMax"/>
        </c:scaling>
        <c:axPos val="b"/>
        <c:tickLblPos val="nextTo"/>
        <c:crossAx val="157205248"/>
        <c:crosses val="autoZero"/>
        <c:auto val="1"/>
        <c:lblAlgn val="ctr"/>
        <c:lblOffset val="100"/>
      </c:catAx>
      <c:valAx>
        <c:axId val="157205248"/>
        <c:scaling>
          <c:orientation val="minMax"/>
        </c:scaling>
        <c:axPos val="l"/>
        <c:majorGridlines/>
        <c:numFmt formatCode="General" sourceLinked="1"/>
        <c:tickLblPos val="nextTo"/>
        <c:crossAx val="157182976"/>
        <c:crosses val="autoZero"/>
        <c:crossBetween val="between"/>
      </c:valAx>
    </c:plotArea>
    <c:plotVisOnly val="1"/>
  </c:chart>
  <c:externalData r:id="rId2"/>
</c:chartSpace>
</file>

<file path=word/charts/chart8.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strRef>
              <c:f>'51+'!$AH$5:$AH$13</c:f>
              <c:strCache>
                <c:ptCount val="9"/>
                <c:pt idx="0">
                  <c:v>0 - 3 600 Kč</c:v>
                </c:pt>
                <c:pt idx="1">
                  <c:v>3 601 - 6 000 Kč</c:v>
                </c:pt>
                <c:pt idx="2">
                  <c:v>6 001 - 12 000 Kč</c:v>
                </c:pt>
                <c:pt idx="3">
                  <c:v>12 001 - 18 000 Kč</c:v>
                </c:pt>
                <c:pt idx="4">
                  <c:v>18 001 - 24 000 Kč</c:v>
                </c:pt>
                <c:pt idx="5">
                  <c:v>24 001 - 30 000 Kč</c:v>
                </c:pt>
                <c:pt idx="6">
                  <c:v>30 001 - 36 000 Kč</c:v>
                </c:pt>
                <c:pt idx="7">
                  <c:v>36 001 - 48 000 Kč</c:v>
                </c:pt>
                <c:pt idx="8">
                  <c:v>48 000 Kč +</c:v>
                </c:pt>
              </c:strCache>
            </c:strRef>
          </c:cat>
          <c:val>
            <c:numRef>
              <c:f>'51+'!$AJ$5:$AJ$13</c:f>
              <c:numCache>
                <c:formatCode>General</c:formatCode>
                <c:ptCount val="9"/>
                <c:pt idx="0">
                  <c:v>92</c:v>
                </c:pt>
                <c:pt idx="1">
                  <c:v>3345</c:v>
                </c:pt>
                <c:pt idx="2">
                  <c:v>1881</c:v>
                </c:pt>
                <c:pt idx="3">
                  <c:v>394</c:v>
                </c:pt>
                <c:pt idx="4">
                  <c:v>195</c:v>
                </c:pt>
                <c:pt idx="5">
                  <c:v>50</c:v>
                </c:pt>
                <c:pt idx="6">
                  <c:v>36</c:v>
                </c:pt>
                <c:pt idx="7">
                  <c:v>24</c:v>
                </c:pt>
                <c:pt idx="8">
                  <c:v>93</c:v>
                </c:pt>
              </c:numCache>
            </c:numRef>
          </c:val>
        </c:ser>
        <c:axId val="157212032"/>
        <c:axId val="157299840"/>
      </c:barChart>
      <c:catAx>
        <c:axId val="157212032"/>
        <c:scaling>
          <c:orientation val="minMax"/>
        </c:scaling>
        <c:axPos val="b"/>
        <c:tickLblPos val="nextTo"/>
        <c:crossAx val="157299840"/>
        <c:crosses val="autoZero"/>
        <c:auto val="1"/>
        <c:lblAlgn val="ctr"/>
        <c:lblOffset val="100"/>
      </c:catAx>
      <c:valAx>
        <c:axId val="157299840"/>
        <c:scaling>
          <c:orientation val="minMax"/>
        </c:scaling>
        <c:axPos val="l"/>
        <c:majorGridlines/>
        <c:numFmt formatCode="General" sourceLinked="1"/>
        <c:tickLblPos val="nextTo"/>
        <c:crossAx val="157212032"/>
        <c:crosses val="autoZero"/>
        <c:crossBetween val="between"/>
      </c:valAx>
    </c:plotArea>
    <c:plotVisOnly val="1"/>
  </c:chart>
  <c:externalData r:id="rId2"/>
</c:chartSpace>
</file>

<file path=word/charts/chart9.xml><?xml version="1.0" encoding="utf-8"?>
<c:chartSpace xmlns:c="http://schemas.openxmlformats.org/drawingml/2006/chart" xmlns:a="http://schemas.openxmlformats.org/drawingml/2006/main" xmlns:r="http://schemas.openxmlformats.org/officeDocument/2006/relationships">
  <c:date1904 val="1"/>
  <c:lang val="cs-CZ"/>
  <c:clrMapOvr bg1="lt1" tx1="dk1" bg2="lt2" tx2="dk2" accent1="accent1" accent2="accent2" accent3="accent3" accent4="accent4" accent5="accent5" accent6="accent6" hlink="hlink" folHlink="folHlink"/>
  <c:chart>
    <c:autoTitleDeleted val="1"/>
    <c:plotArea>
      <c:layout/>
      <c:barChart>
        <c:barDir val="col"/>
        <c:grouping val="clustered"/>
        <c:ser>
          <c:idx val="0"/>
          <c:order val="0"/>
          <c:cat>
            <c:numRef>
              <c:f>do_30!$AS$3:$AS$18</c:f>
              <c:numCache>
                <c:formatCode>General</c:formatCode>
                <c:ptCount val="16"/>
                <c:pt idx="0">
                  <c:v>15</c:v>
                </c:pt>
                <c:pt idx="1">
                  <c:v>16</c:v>
                </c:pt>
                <c:pt idx="2">
                  <c:v>17</c:v>
                </c:pt>
                <c:pt idx="3">
                  <c:v>18</c:v>
                </c:pt>
                <c:pt idx="4">
                  <c:v>19</c:v>
                </c:pt>
                <c:pt idx="5">
                  <c:v>20</c:v>
                </c:pt>
                <c:pt idx="6">
                  <c:v>21</c:v>
                </c:pt>
                <c:pt idx="7">
                  <c:v>22</c:v>
                </c:pt>
                <c:pt idx="8">
                  <c:v>23</c:v>
                </c:pt>
                <c:pt idx="9">
                  <c:v>24</c:v>
                </c:pt>
                <c:pt idx="10">
                  <c:v>25</c:v>
                </c:pt>
                <c:pt idx="11">
                  <c:v>26</c:v>
                </c:pt>
                <c:pt idx="12">
                  <c:v>27</c:v>
                </c:pt>
                <c:pt idx="13">
                  <c:v>28</c:v>
                </c:pt>
                <c:pt idx="14">
                  <c:v>29</c:v>
                </c:pt>
                <c:pt idx="15">
                  <c:v>30</c:v>
                </c:pt>
              </c:numCache>
            </c:numRef>
          </c:cat>
          <c:val>
            <c:numRef>
              <c:f>do_30!$AT$3:$AT$18</c:f>
              <c:numCache>
                <c:formatCode>General</c:formatCode>
                <c:ptCount val="16"/>
                <c:pt idx="0">
                  <c:v>83</c:v>
                </c:pt>
                <c:pt idx="1">
                  <c:v>163</c:v>
                </c:pt>
                <c:pt idx="2">
                  <c:v>155</c:v>
                </c:pt>
                <c:pt idx="3">
                  <c:v>506</c:v>
                </c:pt>
                <c:pt idx="4">
                  <c:v>2015</c:v>
                </c:pt>
                <c:pt idx="5">
                  <c:v>588</c:v>
                </c:pt>
                <c:pt idx="6">
                  <c:v>634</c:v>
                </c:pt>
                <c:pt idx="7">
                  <c:v>576</c:v>
                </c:pt>
                <c:pt idx="8">
                  <c:v>630</c:v>
                </c:pt>
                <c:pt idx="9">
                  <c:v>622</c:v>
                </c:pt>
                <c:pt idx="10">
                  <c:v>633</c:v>
                </c:pt>
                <c:pt idx="11">
                  <c:v>622</c:v>
                </c:pt>
                <c:pt idx="12">
                  <c:v>653</c:v>
                </c:pt>
                <c:pt idx="13">
                  <c:v>690</c:v>
                </c:pt>
                <c:pt idx="14">
                  <c:v>553</c:v>
                </c:pt>
                <c:pt idx="15">
                  <c:v>538</c:v>
                </c:pt>
              </c:numCache>
            </c:numRef>
          </c:val>
        </c:ser>
        <c:axId val="157331456"/>
        <c:axId val="157332992"/>
      </c:barChart>
      <c:catAx>
        <c:axId val="157331456"/>
        <c:scaling>
          <c:orientation val="minMax"/>
        </c:scaling>
        <c:axPos val="b"/>
        <c:numFmt formatCode="General" sourceLinked="1"/>
        <c:tickLblPos val="nextTo"/>
        <c:crossAx val="157332992"/>
        <c:crosses val="autoZero"/>
        <c:auto val="1"/>
        <c:lblAlgn val="ctr"/>
        <c:lblOffset val="100"/>
      </c:catAx>
      <c:valAx>
        <c:axId val="157332992"/>
        <c:scaling>
          <c:orientation val="minMax"/>
        </c:scaling>
        <c:axPos val="l"/>
        <c:majorGridlines/>
        <c:numFmt formatCode="#,##0" sourceLinked="0"/>
        <c:tickLblPos val="nextTo"/>
        <c:crossAx val="157331456"/>
        <c:crosses val="autoZero"/>
        <c:crossBetween val="between"/>
      </c:valAx>
    </c:plotArea>
    <c:plotVisOnly val="1"/>
  </c:chart>
  <c:externalData r:id="rId2"/>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DefaultPlaceholder_22675703"/>
        <w:category>
          <w:name w:val="Obecné"/>
          <w:gallery w:val="placeholder"/>
        </w:category>
        <w:types>
          <w:type w:val="bbPlcHdr"/>
        </w:types>
        <w:behaviors>
          <w:behavior w:val="content"/>
        </w:behaviors>
        <w:guid w:val="{B96401DA-9042-499F-9D5D-3F9E68278642}"/>
      </w:docPartPr>
      <w:docPartBody>
        <w:p w:rsidR="006B46BE" w:rsidRDefault="00523715">
          <w:r w:rsidRPr="004D372E">
            <w:rPr>
              <w:rStyle w:val="Zstupntext"/>
            </w:rPr>
            <w:t>Klepněte sem a zadejte text.</w:t>
          </w:r>
        </w:p>
      </w:docPartBody>
    </w:docPart>
    <w:docPart>
      <w:docPartPr>
        <w:name w:val="D24EC7613F5C4889A5E79406FAFA9FCD"/>
        <w:category>
          <w:name w:val="Obecné"/>
          <w:gallery w:val="placeholder"/>
        </w:category>
        <w:types>
          <w:type w:val="bbPlcHdr"/>
        </w:types>
        <w:behaviors>
          <w:behavior w:val="content"/>
        </w:behaviors>
        <w:guid w:val="{8716FD47-A426-4939-B796-1FB38F7D287B}"/>
      </w:docPartPr>
      <w:docPartBody>
        <w:p w:rsidR="006B46BE" w:rsidRDefault="00523715" w:rsidP="00523715">
          <w:pPr>
            <w:pStyle w:val="D24EC7613F5C4889A5E79406FAFA9FCD"/>
          </w:pPr>
          <w:r w:rsidRPr="004D372E">
            <w:rPr>
              <w:rStyle w:val="Zstupntext"/>
            </w:rPr>
            <w:t>Zvolte položku.</w:t>
          </w:r>
        </w:p>
      </w:docPartBody>
    </w:docPart>
    <w:docPart>
      <w:docPartPr>
        <w:name w:val="C840E045410F4AC99C6C23D0C68FBB3A"/>
        <w:category>
          <w:name w:val="Obecné"/>
          <w:gallery w:val="placeholder"/>
        </w:category>
        <w:types>
          <w:type w:val="bbPlcHdr"/>
        </w:types>
        <w:behaviors>
          <w:behavior w:val="content"/>
        </w:behaviors>
        <w:guid w:val="{CA92A1B4-D660-446E-BD2C-BC5F15E619D7}"/>
      </w:docPartPr>
      <w:docPartBody>
        <w:p w:rsidR="006B46BE" w:rsidRDefault="00523715" w:rsidP="00523715">
          <w:pPr>
            <w:pStyle w:val="C840E045410F4AC99C6C23D0C68FBB3A"/>
          </w:pPr>
          <w:r w:rsidRPr="00C33043">
            <w:rPr>
              <w:rStyle w:val="Zstupntext"/>
            </w:rPr>
            <w:t>Klepněte sem a zadejte text.</w:t>
          </w:r>
        </w:p>
      </w:docPartBody>
    </w:docPart>
    <w:docPart>
      <w:docPartPr>
        <w:name w:val="A445062028944384986715B165E51251"/>
        <w:category>
          <w:name w:val="Obecné"/>
          <w:gallery w:val="placeholder"/>
        </w:category>
        <w:types>
          <w:type w:val="bbPlcHdr"/>
        </w:types>
        <w:behaviors>
          <w:behavior w:val="content"/>
        </w:behaviors>
        <w:guid w:val="{5D0E7411-CCCF-4F6A-A69C-2E52701D30E6}"/>
      </w:docPartPr>
      <w:docPartBody>
        <w:p w:rsidR="006B46BE" w:rsidRDefault="00523715" w:rsidP="00523715">
          <w:pPr>
            <w:pStyle w:val="A445062028944384986715B165E51251"/>
          </w:pPr>
          <w:r w:rsidRPr="00C33043">
            <w:rPr>
              <w:rStyle w:val="Zstupntext"/>
            </w:rPr>
            <w:t>Klepněte sem a zadejte text.</w:t>
          </w:r>
        </w:p>
      </w:docPartBody>
    </w:docPart>
    <w:docPart>
      <w:docPartPr>
        <w:name w:val="6B2CEC3688A743C2A84428C59BBC7235"/>
        <w:category>
          <w:name w:val="Obecné"/>
          <w:gallery w:val="placeholder"/>
        </w:category>
        <w:types>
          <w:type w:val="bbPlcHdr"/>
        </w:types>
        <w:behaviors>
          <w:behavior w:val="content"/>
        </w:behaviors>
        <w:guid w:val="{25889B57-FEFB-4BB1-B7E2-4E123E9B81FA}"/>
      </w:docPartPr>
      <w:docPartBody>
        <w:p w:rsidR="006B46BE" w:rsidRDefault="00523715" w:rsidP="00523715">
          <w:pPr>
            <w:pStyle w:val="6B2CEC3688A743C2A84428C59BBC7235"/>
          </w:pPr>
          <w:r w:rsidRPr="00C33043">
            <w:rPr>
              <w:rStyle w:val="Zstupntext"/>
            </w:rPr>
            <w:t>Klepněte sem a zadejte text.</w:t>
          </w:r>
        </w:p>
      </w:docPartBody>
    </w:docPart>
    <w:docPart>
      <w:docPartPr>
        <w:name w:val="B748D979AEAE4A25B5117D7B3C70EEED"/>
        <w:category>
          <w:name w:val="Obecné"/>
          <w:gallery w:val="placeholder"/>
        </w:category>
        <w:types>
          <w:type w:val="bbPlcHdr"/>
        </w:types>
        <w:behaviors>
          <w:behavior w:val="content"/>
        </w:behaviors>
        <w:guid w:val="{37386704-ADC5-45E1-85C0-50281C7AB5CB}"/>
      </w:docPartPr>
      <w:docPartBody>
        <w:p w:rsidR="00F15830" w:rsidRDefault="006B46BE" w:rsidP="006B46BE">
          <w:pPr>
            <w:pStyle w:val="B748D979AEAE4A25B5117D7B3C70EEED"/>
          </w:pPr>
          <w:r w:rsidRPr="00245310">
            <w:rPr>
              <w:rStyle w:val="Zstupntext"/>
            </w:rPr>
            <w:t>Zvolte položku.</w:t>
          </w:r>
        </w:p>
      </w:docPartBody>
    </w:docPart>
    <w:docPart>
      <w:docPartPr>
        <w:name w:val="3C7BAE2FE8954E09ADC1E63C5F88D47B"/>
        <w:category>
          <w:name w:val="Obecné"/>
          <w:gallery w:val="placeholder"/>
        </w:category>
        <w:types>
          <w:type w:val="bbPlcHdr"/>
        </w:types>
        <w:behaviors>
          <w:behavior w:val="content"/>
        </w:behaviors>
        <w:guid w:val="{24ADBF1D-8F2D-4FE6-B2E7-0540CC9E277F}"/>
      </w:docPartPr>
      <w:docPartBody>
        <w:p w:rsidR="008D33E9" w:rsidRDefault="008D33E9" w:rsidP="008D33E9">
          <w:pPr>
            <w:pStyle w:val="3C7BAE2FE8954E09ADC1E63C5F88D47B"/>
          </w:pPr>
          <w:r w:rsidRPr="004D372E">
            <w:rPr>
              <w:rStyle w:val="Zstupntext"/>
            </w:rPr>
            <w:t>Klepněte sem a zadejte text.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61002A87" w:usb1="80000000" w:usb2="00000008" w:usb3="00000000" w:csb0="000101F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523715"/>
    <w:rsid w:val="0007639E"/>
    <w:rsid w:val="000A14CD"/>
    <w:rsid w:val="00110257"/>
    <w:rsid w:val="00171D4C"/>
    <w:rsid w:val="002609B7"/>
    <w:rsid w:val="00275CC5"/>
    <w:rsid w:val="002B5CE6"/>
    <w:rsid w:val="003C352E"/>
    <w:rsid w:val="00430D20"/>
    <w:rsid w:val="00437055"/>
    <w:rsid w:val="00523715"/>
    <w:rsid w:val="00554D03"/>
    <w:rsid w:val="0058304A"/>
    <w:rsid w:val="00691AD4"/>
    <w:rsid w:val="006A28A9"/>
    <w:rsid w:val="006B46BE"/>
    <w:rsid w:val="00702D5C"/>
    <w:rsid w:val="00745CA0"/>
    <w:rsid w:val="0080478C"/>
    <w:rsid w:val="00845239"/>
    <w:rsid w:val="00866F46"/>
    <w:rsid w:val="008A2A62"/>
    <w:rsid w:val="008D33E9"/>
    <w:rsid w:val="00B31584"/>
    <w:rsid w:val="00B72CCC"/>
    <w:rsid w:val="00B94876"/>
    <w:rsid w:val="00C366D6"/>
    <w:rsid w:val="00CE1853"/>
    <w:rsid w:val="00D03A56"/>
    <w:rsid w:val="00D1264D"/>
    <w:rsid w:val="00D51085"/>
    <w:rsid w:val="00D539B1"/>
    <w:rsid w:val="00E6660F"/>
    <w:rsid w:val="00E92CD7"/>
    <w:rsid w:val="00EC4E83"/>
    <w:rsid w:val="00F04117"/>
    <w:rsid w:val="00F15830"/>
    <w:rsid w:val="00F456A1"/>
    <w:rsid w:val="00F522BC"/>
    <w:rsid w:val="00F6151B"/>
    <w:rsid w:val="00F93361"/>
    <w:rsid w:val="00FB74A6"/>
    <w:rsid w:val="00FD0922"/>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6B46BE"/>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uiPriority w:val="99"/>
    <w:semiHidden/>
    <w:rsid w:val="008D33E9"/>
    <w:rPr>
      <w:color w:val="808080"/>
    </w:rPr>
  </w:style>
  <w:style w:type="paragraph" w:customStyle="1" w:styleId="2160DEE6362B4ECEA0047D48FD8958D6">
    <w:name w:val="2160DEE6362B4ECEA0047D48FD8958D6"/>
    <w:rsid w:val="00523715"/>
  </w:style>
  <w:style w:type="paragraph" w:customStyle="1" w:styleId="E856A61034EF423484C56C355D7CD5BA">
    <w:name w:val="E856A61034EF423484C56C355D7CD5BA"/>
    <w:rsid w:val="00523715"/>
  </w:style>
  <w:style w:type="paragraph" w:customStyle="1" w:styleId="5AF639D2DEA2418B811142B6613EEA82">
    <w:name w:val="5AF639D2DEA2418B811142B6613EEA82"/>
    <w:rsid w:val="00523715"/>
  </w:style>
  <w:style w:type="paragraph" w:customStyle="1" w:styleId="24361103597B4793A60471C979F1DE0C">
    <w:name w:val="24361103597B4793A60471C979F1DE0C"/>
    <w:rsid w:val="00523715"/>
  </w:style>
  <w:style w:type="paragraph" w:customStyle="1" w:styleId="192AF5E9CFC64A3CA8312EA029314C76">
    <w:name w:val="192AF5E9CFC64A3CA8312EA029314C76"/>
    <w:rsid w:val="00523715"/>
  </w:style>
  <w:style w:type="paragraph" w:customStyle="1" w:styleId="D24EC7613F5C4889A5E79406FAFA9FCD">
    <w:name w:val="D24EC7613F5C4889A5E79406FAFA9FCD"/>
    <w:rsid w:val="00523715"/>
  </w:style>
  <w:style w:type="paragraph" w:customStyle="1" w:styleId="734F572EA89643119283A4B91D3AA117">
    <w:name w:val="734F572EA89643119283A4B91D3AA117"/>
    <w:rsid w:val="00523715"/>
  </w:style>
  <w:style w:type="paragraph" w:customStyle="1" w:styleId="B75B894499E24407B52DD2FB9BE201CE">
    <w:name w:val="B75B894499E24407B52DD2FB9BE201CE"/>
    <w:rsid w:val="00523715"/>
  </w:style>
  <w:style w:type="paragraph" w:customStyle="1" w:styleId="78580523348642F3BF094CAFC5FAD0AC">
    <w:name w:val="78580523348642F3BF094CAFC5FAD0AC"/>
    <w:rsid w:val="00523715"/>
  </w:style>
  <w:style w:type="paragraph" w:customStyle="1" w:styleId="848844C172C147B180A81BC46468F701">
    <w:name w:val="848844C172C147B180A81BC46468F701"/>
    <w:rsid w:val="00523715"/>
  </w:style>
  <w:style w:type="paragraph" w:customStyle="1" w:styleId="57C4E27FB86E487CA2D4C362DD7B7B42">
    <w:name w:val="57C4E27FB86E487CA2D4C362DD7B7B42"/>
    <w:rsid w:val="00523715"/>
  </w:style>
  <w:style w:type="paragraph" w:customStyle="1" w:styleId="4B7921595FBD48309971CD2E0F07D518">
    <w:name w:val="4B7921595FBD48309971CD2E0F07D518"/>
    <w:rsid w:val="00523715"/>
  </w:style>
  <w:style w:type="paragraph" w:customStyle="1" w:styleId="7A8A0736D35F4F64BAE5337B5B820467">
    <w:name w:val="7A8A0736D35F4F64BAE5337B5B820467"/>
    <w:rsid w:val="00523715"/>
  </w:style>
  <w:style w:type="paragraph" w:customStyle="1" w:styleId="3E5F79D5307E41539779935AA726D47A">
    <w:name w:val="3E5F79D5307E41539779935AA726D47A"/>
    <w:rsid w:val="00523715"/>
  </w:style>
  <w:style w:type="paragraph" w:customStyle="1" w:styleId="C840E045410F4AC99C6C23D0C68FBB3A">
    <w:name w:val="C840E045410F4AC99C6C23D0C68FBB3A"/>
    <w:rsid w:val="00523715"/>
  </w:style>
  <w:style w:type="paragraph" w:customStyle="1" w:styleId="A445062028944384986715B165E51251">
    <w:name w:val="A445062028944384986715B165E51251"/>
    <w:rsid w:val="00523715"/>
  </w:style>
  <w:style w:type="paragraph" w:customStyle="1" w:styleId="6B2CEC3688A743C2A84428C59BBC7235">
    <w:name w:val="6B2CEC3688A743C2A84428C59BBC7235"/>
    <w:rsid w:val="00523715"/>
  </w:style>
  <w:style w:type="paragraph" w:customStyle="1" w:styleId="EC8FB88CA5DB4CC098808A26879A220D">
    <w:name w:val="EC8FB88CA5DB4CC098808A26879A220D"/>
    <w:rsid w:val="00523715"/>
  </w:style>
  <w:style w:type="paragraph" w:customStyle="1" w:styleId="DFCBEB4893FB4F808AD3B3C39576912E">
    <w:name w:val="DFCBEB4893FB4F808AD3B3C39576912E"/>
    <w:rsid w:val="00523715"/>
  </w:style>
  <w:style w:type="paragraph" w:customStyle="1" w:styleId="476725DD6152437097096523F68CDB79">
    <w:name w:val="476725DD6152437097096523F68CDB79"/>
    <w:rsid w:val="00523715"/>
  </w:style>
  <w:style w:type="paragraph" w:customStyle="1" w:styleId="649C01049061409DBAA4097F1EBE8369">
    <w:name w:val="649C01049061409DBAA4097F1EBE8369"/>
    <w:rsid w:val="00523715"/>
  </w:style>
  <w:style w:type="paragraph" w:customStyle="1" w:styleId="D53A7C972CEB4C77B332312B4CD938F0">
    <w:name w:val="D53A7C972CEB4C77B332312B4CD938F0"/>
    <w:rsid w:val="006B46BE"/>
  </w:style>
  <w:style w:type="paragraph" w:customStyle="1" w:styleId="B748D979AEAE4A25B5117D7B3C70EEED">
    <w:name w:val="B748D979AEAE4A25B5117D7B3C70EEED"/>
    <w:rsid w:val="006B46BE"/>
  </w:style>
  <w:style w:type="paragraph" w:customStyle="1" w:styleId="3C7BAE2FE8954E09ADC1E63C5F88D47B">
    <w:name w:val="3C7BAE2FE8954E09ADC1E63C5F88D47B"/>
    <w:rsid w:val="008D33E9"/>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0.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1.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2.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3.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4.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5.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6.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7.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8.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19.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0.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7.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9.xml><?xml version="1.0" encoding="utf-8"?>
<a:themeOverride xmlns:a="http://schemas.openxmlformats.org/drawingml/2006/main">
  <a:clrScheme name="CP_TEMPLATE_COLORS">
    <a:dk1>
      <a:srgbClr val="003565"/>
    </a:dk1>
    <a:lt1>
      <a:srgbClr val="FFFFFF"/>
    </a:lt1>
    <a:dk2>
      <a:srgbClr val="003565"/>
    </a:dk2>
    <a:lt2>
      <a:srgbClr val="B1B1B1"/>
    </a:lt2>
    <a:accent1>
      <a:srgbClr val="A5C02A"/>
    </a:accent1>
    <a:accent2>
      <a:srgbClr val="F89112"/>
    </a:accent2>
    <a:accent3>
      <a:srgbClr val="00ABDB"/>
    </a:accent3>
    <a:accent4>
      <a:srgbClr val="AA63A2"/>
    </a:accent4>
    <a:accent5>
      <a:srgbClr val="1EC696"/>
    </a:accent5>
    <a:accent6>
      <a:srgbClr val="C63751"/>
    </a:accent6>
    <a:hlink>
      <a:srgbClr val="FFE400"/>
    </a:hlink>
    <a:folHlink>
      <a:srgbClr val="FFFFFF"/>
    </a:folHlink>
  </a:clrScheme>
  <a:fontScheme name="CP_TEMPLATE_FONT">
    <a:majorFont>
      <a:latin typeface="Arial"/>
      <a:ea typeface=""/>
      <a:cs typeface=""/>
    </a:majorFont>
    <a:minorFont>
      <a:latin typeface="Arial"/>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369D92FF-4B94-4907-BC37-22FE068FA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seminarni prace 2 - jen telo textu.dot</Template>
  <TotalTime>634</TotalTime>
  <Pages>63</Pages>
  <Words>11640</Words>
  <Characters>72331</Characters>
  <Application>Microsoft Office Word</Application>
  <DocSecurity>0</DocSecurity>
  <Lines>602</Lines>
  <Paragraphs>167</Paragraphs>
  <ScaleCrop>false</ScaleCrop>
  <HeadingPairs>
    <vt:vector size="2" baseType="variant">
      <vt:variant>
        <vt:lpstr>Název</vt:lpstr>
      </vt:variant>
      <vt:variant>
        <vt:i4>1</vt:i4>
      </vt:variant>
    </vt:vector>
  </HeadingPairs>
  <TitlesOfParts>
    <vt:vector size="1" baseType="lpstr">
      <vt:lpstr>Pojištění v České republice: nové produkty v pojišťovnictví v ČR</vt:lpstr>
    </vt:vector>
  </TitlesOfParts>
  <Company>VŠE</Company>
  <LinksUpToDate>false</LinksUpToDate>
  <CharactersWithSpaces>83804</CharactersWithSpaces>
  <SharedDoc>false</SharedDoc>
  <HLinks>
    <vt:vector size="78" baseType="variant">
      <vt:variant>
        <vt:i4>3997757</vt:i4>
      </vt:variant>
      <vt:variant>
        <vt:i4>69</vt:i4>
      </vt:variant>
      <vt:variant>
        <vt:i4>0</vt:i4>
      </vt:variant>
      <vt:variant>
        <vt:i4>5</vt:i4>
      </vt:variant>
      <vt:variant>
        <vt:lpwstr>http://epp.eurostat.ec.europa.eu/tgm/table.do?tab=table&amp;init=1&amp;plugin=1&amp;language=en&amp;pcode=tsieb</vt:lpwstr>
      </vt:variant>
      <vt:variant>
        <vt:lpwstr/>
      </vt:variant>
      <vt:variant>
        <vt:i4>1769577</vt:i4>
      </vt:variant>
      <vt:variant>
        <vt:i4>63</vt:i4>
      </vt:variant>
      <vt:variant>
        <vt:i4>0</vt:i4>
      </vt:variant>
      <vt:variant>
        <vt:i4>5</vt:i4>
      </vt:variant>
      <vt:variant>
        <vt:lpwstr>http://nui.epp.eurostat.ec.europa.eu/nui/show.do?dataset=bpca_m&amp;lang=en</vt:lpwstr>
      </vt:variant>
      <vt:variant>
        <vt:lpwstr/>
      </vt:variant>
      <vt:variant>
        <vt:i4>1376308</vt:i4>
      </vt:variant>
      <vt:variant>
        <vt:i4>56</vt:i4>
      </vt:variant>
      <vt:variant>
        <vt:i4>0</vt:i4>
      </vt:variant>
      <vt:variant>
        <vt:i4>5</vt:i4>
      </vt:variant>
      <vt:variant>
        <vt:lpwstr/>
      </vt:variant>
      <vt:variant>
        <vt:lpwstr>_Toc257291841</vt:lpwstr>
      </vt:variant>
      <vt:variant>
        <vt:i4>1376308</vt:i4>
      </vt:variant>
      <vt:variant>
        <vt:i4>50</vt:i4>
      </vt:variant>
      <vt:variant>
        <vt:i4>0</vt:i4>
      </vt:variant>
      <vt:variant>
        <vt:i4>5</vt:i4>
      </vt:variant>
      <vt:variant>
        <vt:lpwstr/>
      </vt:variant>
      <vt:variant>
        <vt:lpwstr>_Toc257291840</vt:lpwstr>
      </vt:variant>
      <vt:variant>
        <vt:i4>1179700</vt:i4>
      </vt:variant>
      <vt:variant>
        <vt:i4>44</vt:i4>
      </vt:variant>
      <vt:variant>
        <vt:i4>0</vt:i4>
      </vt:variant>
      <vt:variant>
        <vt:i4>5</vt:i4>
      </vt:variant>
      <vt:variant>
        <vt:lpwstr/>
      </vt:variant>
      <vt:variant>
        <vt:lpwstr>_Toc257291839</vt:lpwstr>
      </vt:variant>
      <vt:variant>
        <vt:i4>1179700</vt:i4>
      </vt:variant>
      <vt:variant>
        <vt:i4>38</vt:i4>
      </vt:variant>
      <vt:variant>
        <vt:i4>0</vt:i4>
      </vt:variant>
      <vt:variant>
        <vt:i4>5</vt:i4>
      </vt:variant>
      <vt:variant>
        <vt:lpwstr/>
      </vt:variant>
      <vt:variant>
        <vt:lpwstr>_Toc257291838</vt:lpwstr>
      </vt:variant>
      <vt:variant>
        <vt:i4>1179700</vt:i4>
      </vt:variant>
      <vt:variant>
        <vt:i4>32</vt:i4>
      </vt:variant>
      <vt:variant>
        <vt:i4>0</vt:i4>
      </vt:variant>
      <vt:variant>
        <vt:i4>5</vt:i4>
      </vt:variant>
      <vt:variant>
        <vt:lpwstr/>
      </vt:variant>
      <vt:variant>
        <vt:lpwstr>_Toc257291837</vt:lpwstr>
      </vt:variant>
      <vt:variant>
        <vt:i4>1179700</vt:i4>
      </vt:variant>
      <vt:variant>
        <vt:i4>26</vt:i4>
      </vt:variant>
      <vt:variant>
        <vt:i4>0</vt:i4>
      </vt:variant>
      <vt:variant>
        <vt:i4>5</vt:i4>
      </vt:variant>
      <vt:variant>
        <vt:lpwstr/>
      </vt:variant>
      <vt:variant>
        <vt:lpwstr>_Toc257291836</vt:lpwstr>
      </vt:variant>
      <vt:variant>
        <vt:i4>1179700</vt:i4>
      </vt:variant>
      <vt:variant>
        <vt:i4>20</vt:i4>
      </vt:variant>
      <vt:variant>
        <vt:i4>0</vt:i4>
      </vt:variant>
      <vt:variant>
        <vt:i4>5</vt:i4>
      </vt:variant>
      <vt:variant>
        <vt:lpwstr/>
      </vt:variant>
      <vt:variant>
        <vt:lpwstr>_Toc257291835</vt:lpwstr>
      </vt:variant>
      <vt:variant>
        <vt:i4>1179700</vt:i4>
      </vt:variant>
      <vt:variant>
        <vt:i4>14</vt:i4>
      </vt:variant>
      <vt:variant>
        <vt:i4>0</vt:i4>
      </vt:variant>
      <vt:variant>
        <vt:i4>5</vt:i4>
      </vt:variant>
      <vt:variant>
        <vt:lpwstr/>
      </vt:variant>
      <vt:variant>
        <vt:lpwstr>_Toc257291834</vt:lpwstr>
      </vt:variant>
      <vt:variant>
        <vt:i4>1179700</vt:i4>
      </vt:variant>
      <vt:variant>
        <vt:i4>8</vt:i4>
      </vt:variant>
      <vt:variant>
        <vt:i4>0</vt:i4>
      </vt:variant>
      <vt:variant>
        <vt:i4>5</vt:i4>
      </vt:variant>
      <vt:variant>
        <vt:lpwstr/>
      </vt:variant>
      <vt:variant>
        <vt:lpwstr>_Toc257291833</vt:lpwstr>
      </vt:variant>
      <vt:variant>
        <vt:i4>1179700</vt:i4>
      </vt:variant>
      <vt:variant>
        <vt:i4>2</vt:i4>
      </vt:variant>
      <vt:variant>
        <vt:i4>0</vt:i4>
      </vt:variant>
      <vt:variant>
        <vt:i4>5</vt:i4>
      </vt:variant>
      <vt:variant>
        <vt:lpwstr/>
      </vt:variant>
      <vt:variant>
        <vt:lpwstr>_Toc257291832</vt:lpwstr>
      </vt:variant>
      <vt:variant>
        <vt:i4>7077933</vt:i4>
      </vt:variant>
      <vt:variant>
        <vt:i4>0</vt:i4>
      </vt:variant>
      <vt:variant>
        <vt:i4>0</vt:i4>
      </vt:variant>
      <vt:variant>
        <vt:i4>5</vt:i4>
      </vt:variant>
      <vt:variant>
        <vt:lpwstr>http://www.vsem.cz/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Pojištění v České republice: nové produkty v pojišťovnictví v ČR</dc:title>
  <dc:creator>Vojtěch Fryč</dc:creator>
  <cp:lastModifiedBy>VFryc</cp:lastModifiedBy>
  <cp:revision>18</cp:revision>
  <cp:lastPrinted>2011-11-12T19:44:00Z</cp:lastPrinted>
  <dcterms:created xsi:type="dcterms:W3CDTF">2011-11-12T16:38:00Z</dcterms:created>
  <dcterms:modified xsi:type="dcterms:W3CDTF">2011-11-22T12:03:00Z</dcterms:modified>
</cp:coreProperties>
</file>