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50979E" w14:textId="37D51A5F" w:rsidR="00E7693B" w:rsidRDefault="00505740">
      <w:pPr>
        <w:jc w:val="center"/>
        <w:rPr>
          <w:rFonts w:ascii="Times New Roman" w:hAnsi="Times New Roman" w:cs="Times New Roman"/>
          <w:b/>
          <w:sz w:val="32"/>
          <w:szCs w:val="32"/>
        </w:rPr>
      </w:pPr>
      <w:bookmarkStart w:id="0" w:name="_Hlk167998618"/>
      <w:r>
        <w:rPr>
          <w:rFonts w:ascii="Times New Roman" w:hAnsi="Times New Roman" w:cs="Times New Roman"/>
          <w:b/>
          <w:sz w:val="32"/>
          <w:szCs w:val="32"/>
        </w:rPr>
        <w:t>CZECH UNIVERSITY OF LIFE SCIENCES</w:t>
      </w:r>
    </w:p>
    <w:p w14:paraId="2150979F" w14:textId="767022D2" w:rsidR="00E7693B" w:rsidRDefault="00E7693B">
      <w:pPr>
        <w:jc w:val="center"/>
        <w:rPr>
          <w:rFonts w:ascii="Times New Roman" w:hAnsi="Times New Roman" w:cs="Times New Roman"/>
          <w:b/>
          <w:sz w:val="32"/>
          <w:szCs w:val="32"/>
        </w:rPr>
      </w:pPr>
      <w:r w:rsidRPr="00505740">
        <w:rPr>
          <w:rFonts w:ascii="Times New Roman" w:hAnsi="Times New Roman" w:cs="Times New Roman"/>
          <w:b/>
          <w:sz w:val="32"/>
          <w:szCs w:val="32"/>
        </w:rPr>
        <w:t>Fa</w:t>
      </w:r>
      <w:r w:rsidR="006D5BCB">
        <w:rPr>
          <w:rFonts w:ascii="Times New Roman" w:hAnsi="Times New Roman" w:cs="Times New Roman"/>
          <w:b/>
          <w:sz w:val="32"/>
          <w:szCs w:val="32"/>
        </w:rPr>
        <w:t>c</w:t>
      </w:r>
      <w:r w:rsidRPr="00505740">
        <w:rPr>
          <w:rFonts w:ascii="Times New Roman" w:hAnsi="Times New Roman" w:cs="Times New Roman"/>
          <w:b/>
          <w:sz w:val="32"/>
          <w:szCs w:val="32"/>
        </w:rPr>
        <w:t>ult</w:t>
      </w:r>
      <w:r w:rsidR="00505740">
        <w:rPr>
          <w:rFonts w:ascii="Times New Roman" w:hAnsi="Times New Roman" w:cs="Times New Roman"/>
          <w:b/>
          <w:sz w:val="32"/>
          <w:szCs w:val="32"/>
        </w:rPr>
        <w:t>y of Agrobiology, Food and Natural Resources</w:t>
      </w:r>
    </w:p>
    <w:p w14:paraId="1773DA10" w14:textId="77777777" w:rsidR="00DD3DFE" w:rsidRDefault="00DD3DFE">
      <w:pPr>
        <w:jc w:val="center"/>
        <w:rPr>
          <w:rFonts w:ascii="Times New Roman" w:hAnsi="Times New Roman" w:cs="Times New Roman"/>
          <w:b/>
          <w:sz w:val="32"/>
          <w:szCs w:val="32"/>
        </w:rPr>
      </w:pPr>
    </w:p>
    <w:p w14:paraId="7CB22B3E" w14:textId="18200972" w:rsidR="00DD3DFE" w:rsidRDefault="00AB03D6">
      <w:pPr>
        <w:jc w:val="center"/>
        <w:rPr>
          <w:rFonts w:ascii="Times New Roman" w:hAnsi="Times New Roman" w:cs="Times New Roman"/>
          <w:b/>
          <w:sz w:val="32"/>
          <w:szCs w:val="32"/>
        </w:rPr>
      </w:pPr>
      <w:r>
        <w:rPr>
          <w:rFonts w:ascii="Times New Roman" w:hAnsi="Times New Roman" w:cs="Times New Roman"/>
          <w:noProof/>
        </w:rPr>
        <w:drawing>
          <wp:inline distT="0" distB="0" distL="0" distR="0" wp14:anchorId="353CDEC4" wp14:editId="5DC861BB">
            <wp:extent cx="1458410" cy="736652"/>
            <wp:effectExtent l="0" t="0" r="8890" b="6350"/>
            <wp:docPr id="681767852" name="Picture 2"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67852" name="Picture 2" descr="A black and white logo&#10;&#10;Description automatically generated"/>
                    <pic:cNvPicPr/>
                  </pic:nvPicPr>
                  <pic:blipFill rotWithShape="1">
                    <a:blip r:embed="rId11" cstate="print">
                      <a:extLst>
                        <a:ext uri="{28A0092B-C50C-407E-A947-70E740481C1C}">
                          <a14:useLocalDpi xmlns:a14="http://schemas.microsoft.com/office/drawing/2010/main" val="0"/>
                        </a:ext>
                      </a:extLst>
                    </a:blip>
                    <a:srcRect l="21307" t="24072" r="20403" b="24059"/>
                    <a:stretch/>
                  </pic:blipFill>
                  <pic:spPr bwMode="auto">
                    <a:xfrm>
                      <a:off x="0" y="0"/>
                      <a:ext cx="1491749" cy="753492"/>
                    </a:xfrm>
                    <a:prstGeom prst="rect">
                      <a:avLst/>
                    </a:prstGeom>
                    <a:ln>
                      <a:noFill/>
                    </a:ln>
                    <a:extLst>
                      <a:ext uri="{53640926-AAD7-44D8-BBD7-CCE9431645EC}">
                        <a14:shadowObscured xmlns:a14="http://schemas.microsoft.com/office/drawing/2010/main"/>
                      </a:ext>
                    </a:extLst>
                  </pic:spPr>
                </pic:pic>
              </a:graphicData>
            </a:graphic>
          </wp:inline>
        </w:drawing>
      </w:r>
    </w:p>
    <w:p w14:paraId="724A2D22" w14:textId="7FFAB6CB" w:rsidR="00DD3DFE" w:rsidRDefault="00DD3DFE">
      <w:pPr>
        <w:jc w:val="center"/>
        <w:rPr>
          <w:rFonts w:ascii="Times New Roman" w:hAnsi="Times New Roman" w:cs="Times New Roman"/>
          <w:b/>
          <w:sz w:val="32"/>
          <w:szCs w:val="32"/>
        </w:rPr>
      </w:pPr>
      <w:r>
        <w:rPr>
          <w:noProof/>
        </w:rPr>
        <w:drawing>
          <wp:anchor distT="0" distB="0" distL="114300" distR="114300" simplePos="0" relativeHeight="251659264" behindDoc="0" locked="0" layoutInCell="1" allowOverlap="1" wp14:anchorId="3BF46C35" wp14:editId="0FE81036">
            <wp:simplePos x="0" y="0"/>
            <wp:positionH relativeFrom="page">
              <wp:posOffset>5798820</wp:posOffset>
            </wp:positionH>
            <wp:positionV relativeFrom="page">
              <wp:posOffset>2661357</wp:posOffset>
            </wp:positionV>
            <wp:extent cx="1064871" cy="1472879"/>
            <wp:effectExtent l="0" t="0" r="2540" b="0"/>
            <wp:wrapNone/>
            <wp:docPr id="449002600" name="Logo_HIDE_1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_HIDE_1_2"/>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64871" cy="1472879"/>
                    </a:xfrm>
                    <a:prstGeom prst="rect">
                      <a:avLst/>
                    </a:prstGeom>
                    <a:noFill/>
                  </pic:spPr>
                </pic:pic>
              </a:graphicData>
            </a:graphic>
            <wp14:sizeRelH relativeFrom="margin">
              <wp14:pctWidth>0</wp14:pctWidth>
            </wp14:sizeRelH>
            <wp14:sizeRelV relativeFrom="margin">
              <wp14:pctHeight>0</wp14:pctHeight>
            </wp14:sizeRelV>
          </wp:anchor>
        </w:drawing>
      </w:r>
    </w:p>
    <w:p w14:paraId="4509171D" w14:textId="7AB87485" w:rsidR="00DD3DFE" w:rsidRDefault="00DD3DFE">
      <w:pPr>
        <w:jc w:val="center"/>
        <w:rPr>
          <w:rFonts w:ascii="Times New Roman" w:hAnsi="Times New Roman" w:cs="Times New Roman"/>
          <w:b/>
          <w:sz w:val="32"/>
          <w:szCs w:val="32"/>
        </w:rPr>
      </w:pPr>
    </w:p>
    <w:p w14:paraId="215097A1" w14:textId="64911CCB" w:rsidR="00E7693B" w:rsidRDefault="007E7EC2" w:rsidP="00E7693B">
      <w:pPr>
        <w:jc w:val="center"/>
        <w:rPr>
          <w:rFonts w:ascii="Times New Roman" w:hAnsi="Times New Roman" w:cs="Times New Roman"/>
          <w:b/>
          <w:sz w:val="32"/>
          <w:szCs w:val="32"/>
        </w:rPr>
      </w:pPr>
      <w:r>
        <w:rPr>
          <w:rFonts w:ascii="Times New Roman" w:hAnsi="Times New Roman" w:cs="Times New Roman"/>
          <w:b/>
          <w:sz w:val="32"/>
          <w:szCs w:val="32"/>
        </w:rPr>
        <w:t>UNIVERSITY OF COPENHAGEN</w:t>
      </w:r>
    </w:p>
    <w:p w14:paraId="29509C46" w14:textId="06340AD8" w:rsidR="007E7EC2" w:rsidRDefault="007E7EC2" w:rsidP="00E7693B">
      <w:pPr>
        <w:jc w:val="center"/>
        <w:rPr>
          <w:noProof/>
        </w:rPr>
      </w:pPr>
      <w:r>
        <w:rPr>
          <w:rFonts w:ascii="Times New Roman" w:hAnsi="Times New Roman" w:cs="Times New Roman"/>
          <w:b/>
          <w:sz w:val="32"/>
          <w:szCs w:val="32"/>
        </w:rPr>
        <w:t>Faculty of Science</w:t>
      </w:r>
      <w:r w:rsidR="00DD3DFE" w:rsidRPr="00DD3DFE">
        <w:rPr>
          <w:noProof/>
        </w:rPr>
        <w:t xml:space="preserve"> </w:t>
      </w:r>
    </w:p>
    <w:p w14:paraId="41C8860E" w14:textId="1590BA17" w:rsidR="00DD3DFE" w:rsidRPr="00E7693B" w:rsidRDefault="00DD3DFE" w:rsidP="00E7693B">
      <w:pPr>
        <w:jc w:val="center"/>
        <w:rPr>
          <w:rFonts w:ascii="Times New Roman" w:hAnsi="Times New Roman" w:cs="Times New Roman"/>
        </w:rPr>
      </w:pPr>
      <w:r>
        <w:rPr>
          <w:noProof/>
        </w:rPr>
        <mc:AlternateContent>
          <mc:Choice Requires="wps">
            <w:drawing>
              <wp:anchor distT="0" distB="0" distL="114300" distR="114300" simplePos="0" relativeHeight="251660288" behindDoc="0" locked="0" layoutInCell="1" allowOverlap="1" wp14:anchorId="2170A063" wp14:editId="6EBD9CD4">
                <wp:simplePos x="0" y="0"/>
                <wp:positionH relativeFrom="page">
                  <wp:posOffset>-68652</wp:posOffset>
                </wp:positionH>
                <wp:positionV relativeFrom="page">
                  <wp:posOffset>4027805</wp:posOffset>
                </wp:positionV>
                <wp:extent cx="7632065" cy="6985"/>
                <wp:effectExtent l="0" t="0" r="0" b="0"/>
                <wp:wrapNone/>
                <wp:docPr id="312101602" name="SD_Line_1_HID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32065" cy="6985"/>
                        </a:xfrm>
                        <a:prstGeom prst="rect">
                          <a:avLst/>
                        </a:prstGeom>
                        <a:solidFill>
                          <a:srgbClr val="901A1E"/>
                        </a:soli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552E776" id="SD_Line_1_HIDE" o:spid="_x0000_s1026" style="position:absolute;margin-left:-5.4pt;margin-top:317.15pt;width:600.95pt;height:.5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" fillcolor="#901a1e" stroked="f">
                <w10:wrap anchorx="page" anchory="page"/>
              </v:rect>
            </w:pict>
          </mc:Fallback>
        </mc:AlternateContent>
      </w:r>
    </w:p>
    <w:p w14:paraId="215097A2" w14:textId="6566DBDB" w:rsidR="00E7693B" w:rsidRPr="00496830" w:rsidRDefault="00E7693B">
      <w:pPr>
        <w:jc w:val="center"/>
        <w:rPr>
          <w:rFonts w:ascii="Times New Roman" w:hAnsi="Times New Roman" w:cs="Times New Roman"/>
          <w:lang w:val="hr-HR"/>
        </w:rPr>
      </w:pPr>
    </w:p>
    <w:p w14:paraId="215097A3" w14:textId="0F958916" w:rsidR="00E7693B" w:rsidRPr="00E7693B" w:rsidRDefault="00E7693B">
      <w:pPr>
        <w:jc w:val="center"/>
        <w:rPr>
          <w:rFonts w:ascii="Times New Roman" w:hAnsi="Times New Roman" w:cs="Times New Roman"/>
        </w:rPr>
      </w:pPr>
    </w:p>
    <w:p w14:paraId="215097AA" w14:textId="73BFC613" w:rsidR="00E7693B" w:rsidRPr="00E7693B" w:rsidRDefault="00E7693B" w:rsidP="00E7693B">
      <w:pPr>
        <w:jc w:val="center"/>
        <w:rPr>
          <w:rFonts w:ascii="Times New Roman" w:hAnsi="Times New Roman" w:cs="Times New Roman"/>
        </w:rPr>
      </w:pPr>
    </w:p>
    <w:p w14:paraId="215097AB" w14:textId="137A7105" w:rsidR="00E7693B" w:rsidRPr="006B61C5" w:rsidRDefault="00E7693B" w:rsidP="00403E28">
      <w:pPr>
        <w:spacing w:after="0"/>
        <w:jc w:val="center"/>
        <w:rPr>
          <w:rFonts w:ascii="Times New Roman" w:hAnsi="Times New Roman" w:cs="Times New Roman"/>
          <w:b/>
          <w:bCs/>
          <w:sz w:val="32"/>
          <w:szCs w:val="32"/>
        </w:rPr>
      </w:pPr>
      <w:r w:rsidRPr="006B61C5">
        <w:rPr>
          <w:rFonts w:ascii="Times New Roman" w:hAnsi="Times New Roman" w:cs="Times New Roman"/>
          <w:b/>
          <w:bCs/>
          <w:sz w:val="32"/>
          <w:szCs w:val="32"/>
        </w:rPr>
        <w:t xml:space="preserve">Plant </w:t>
      </w:r>
      <w:r w:rsidR="00505740">
        <w:rPr>
          <w:rFonts w:ascii="Times New Roman" w:hAnsi="Times New Roman" w:cs="Times New Roman"/>
          <w:b/>
          <w:bCs/>
          <w:sz w:val="32"/>
          <w:szCs w:val="32"/>
        </w:rPr>
        <w:t>d</w:t>
      </w:r>
      <w:r w:rsidRPr="006B61C5">
        <w:rPr>
          <w:rFonts w:ascii="Times New Roman" w:hAnsi="Times New Roman" w:cs="Times New Roman"/>
          <w:b/>
          <w:bCs/>
          <w:sz w:val="32"/>
          <w:szCs w:val="32"/>
        </w:rPr>
        <w:t xml:space="preserve">efence </w:t>
      </w:r>
      <w:r w:rsidR="00505740">
        <w:rPr>
          <w:rFonts w:ascii="Times New Roman" w:hAnsi="Times New Roman" w:cs="Times New Roman"/>
          <w:b/>
          <w:bCs/>
          <w:sz w:val="32"/>
          <w:szCs w:val="32"/>
        </w:rPr>
        <w:t>s</w:t>
      </w:r>
      <w:r w:rsidRPr="006B61C5">
        <w:rPr>
          <w:rFonts w:ascii="Times New Roman" w:hAnsi="Times New Roman" w:cs="Times New Roman"/>
          <w:b/>
          <w:bCs/>
          <w:sz w:val="32"/>
          <w:szCs w:val="32"/>
        </w:rPr>
        <w:t xml:space="preserve">ystem in </w:t>
      </w:r>
      <w:r w:rsidR="00505740">
        <w:rPr>
          <w:rFonts w:ascii="Times New Roman" w:hAnsi="Times New Roman" w:cs="Times New Roman"/>
          <w:b/>
          <w:bCs/>
          <w:sz w:val="32"/>
          <w:szCs w:val="32"/>
        </w:rPr>
        <w:t>m</w:t>
      </w:r>
      <w:r w:rsidRPr="006B61C5">
        <w:rPr>
          <w:rFonts w:ascii="Times New Roman" w:hAnsi="Times New Roman" w:cs="Times New Roman"/>
          <w:b/>
          <w:bCs/>
          <w:sz w:val="32"/>
          <w:szCs w:val="32"/>
        </w:rPr>
        <w:t xml:space="preserve">ultiple </w:t>
      </w:r>
      <w:r w:rsidR="00505740">
        <w:rPr>
          <w:rFonts w:ascii="Times New Roman" w:hAnsi="Times New Roman" w:cs="Times New Roman"/>
          <w:b/>
          <w:bCs/>
          <w:sz w:val="32"/>
          <w:szCs w:val="32"/>
        </w:rPr>
        <w:t>p</w:t>
      </w:r>
      <w:r w:rsidRPr="006B61C5">
        <w:rPr>
          <w:rFonts w:ascii="Times New Roman" w:hAnsi="Times New Roman" w:cs="Times New Roman"/>
          <w:b/>
          <w:bCs/>
          <w:sz w:val="32"/>
          <w:szCs w:val="32"/>
        </w:rPr>
        <w:t xml:space="preserve">arallel </w:t>
      </w:r>
      <w:r w:rsidR="00505740">
        <w:rPr>
          <w:rFonts w:ascii="Times New Roman" w:hAnsi="Times New Roman" w:cs="Times New Roman"/>
          <w:b/>
          <w:bCs/>
          <w:sz w:val="32"/>
          <w:szCs w:val="32"/>
        </w:rPr>
        <w:t>b</w:t>
      </w:r>
      <w:r w:rsidRPr="006B61C5">
        <w:rPr>
          <w:rFonts w:ascii="Times New Roman" w:hAnsi="Times New Roman" w:cs="Times New Roman"/>
          <w:b/>
          <w:bCs/>
          <w:sz w:val="32"/>
          <w:szCs w:val="32"/>
        </w:rPr>
        <w:t xml:space="preserve">iotic </w:t>
      </w:r>
      <w:r w:rsidR="00505740">
        <w:rPr>
          <w:rFonts w:ascii="Times New Roman" w:hAnsi="Times New Roman" w:cs="Times New Roman"/>
          <w:b/>
          <w:bCs/>
          <w:sz w:val="32"/>
          <w:szCs w:val="32"/>
        </w:rPr>
        <w:t>s</w:t>
      </w:r>
      <w:r w:rsidRPr="006B61C5">
        <w:rPr>
          <w:rFonts w:ascii="Times New Roman" w:hAnsi="Times New Roman" w:cs="Times New Roman"/>
          <w:b/>
          <w:bCs/>
          <w:sz w:val="32"/>
          <w:szCs w:val="32"/>
        </w:rPr>
        <w:t>tresses</w:t>
      </w:r>
    </w:p>
    <w:p w14:paraId="0BF734CD" w14:textId="77777777" w:rsidR="00E7693B" w:rsidRPr="009944C5" w:rsidRDefault="00E7693B" w:rsidP="00403E28">
      <w:pPr>
        <w:spacing w:after="0"/>
        <w:jc w:val="center"/>
        <w:rPr>
          <w:rFonts w:ascii="Times New Roman" w:hAnsi="Times New Roman" w:cs="Times New Roman"/>
        </w:rPr>
      </w:pPr>
    </w:p>
    <w:p w14:paraId="215097AD" w14:textId="6E3F8068" w:rsidR="00E7693B" w:rsidRPr="00505740" w:rsidRDefault="00A40BDE">
      <w:pPr>
        <w:jc w:val="center"/>
        <w:rPr>
          <w:rFonts w:ascii="Times New Roman" w:hAnsi="Times New Roman" w:cs="Times New Roman"/>
          <w:sz w:val="28"/>
          <w:szCs w:val="28"/>
        </w:rPr>
      </w:pPr>
      <w:r>
        <w:rPr>
          <w:rFonts w:ascii="Times New Roman" w:hAnsi="Times New Roman" w:cs="Times New Roman"/>
          <w:sz w:val="28"/>
          <w:szCs w:val="28"/>
        </w:rPr>
        <w:t>Doctoral dissertation</w:t>
      </w:r>
    </w:p>
    <w:p w14:paraId="215097AF" w14:textId="77777777" w:rsidR="00E7693B" w:rsidRPr="00505740" w:rsidRDefault="00E7693B">
      <w:pPr>
        <w:jc w:val="center"/>
        <w:rPr>
          <w:rFonts w:ascii="Times New Roman" w:hAnsi="Times New Roman" w:cs="Times New Roman"/>
        </w:rPr>
      </w:pPr>
    </w:p>
    <w:p w14:paraId="215097B0" w14:textId="77777777" w:rsidR="00E7693B" w:rsidRPr="00505740" w:rsidRDefault="00E7693B">
      <w:pPr>
        <w:jc w:val="center"/>
        <w:rPr>
          <w:rFonts w:ascii="Times New Roman" w:hAnsi="Times New Roman" w:cs="Times New Roman"/>
        </w:rPr>
      </w:pPr>
    </w:p>
    <w:p w14:paraId="215097B1" w14:textId="77777777" w:rsidR="00E7693B" w:rsidRPr="00505740" w:rsidRDefault="00E7693B">
      <w:pPr>
        <w:jc w:val="center"/>
        <w:rPr>
          <w:rFonts w:ascii="Times New Roman" w:hAnsi="Times New Roman" w:cs="Times New Roman"/>
        </w:rPr>
      </w:pPr>
    </w:p>
    <w:p w14:paraId="215097B7" w14:textId="5BEACD88" w:rsidR="00E7693B" w:rsidRPr="007F483E" w:rsidRDefault="00E7693B" w:rsidP="007F483E">
      <w:pPr>
        <w:rPr>
          <w:rFonts w:ascii="Times New Roman" w:hAnsi="Times New Roman" w:cs="Times New Roman"/>
          <w:sz w:val="28"/>
          <w:szCs w:val="28"/>
          <w:lang w:val="it-IT"/>
        </w:rPr>
      </w:pPr>
      <w:r w:rsidRPr="007F483E">
        <w:rPr>
          <w:rFonts w:ascii="Times New Roman" w:hAnsi="Times New Roman" w:cs="Times New Roman"/>
          <w:sz w:val="28"/>
          <w:szCs w:val="28"/>
        </w:rPr>
        <w:t>Aut</w:t>
      </w:r>
      <w:r w:rsidR="00505740" w:rsidRPr="007F483E">
        <w:rPr>
          <w:rFonts w:ascii="Times New Roman" w:hAnsi="Times New Roman" w:cs="Times New Roman"/>
          <w:sz w:val="28"/>
          <w:szCs w:val="28"/>
        </w:rPr>
        <w:t>h</w:t>
      </w:r>
      <w:r w:rsidRPr="007F483E">
        <w:rPr>
          <w:rFonts w:ascii="Times New Roman" w:hAnsi="Times New Roman" w:cs="Times New Roman"/>
          <w:sz w:val="28"/>
          <w:szCs w:val="28"/>
        </w:rPr>
        <w:t>or:</w:t>
      </w:r>
      <w:r w:rsidR="00505740" w:rsidRPr="007F483E">
        <w:rPr>
          <w:rFonts w:ascii="Times New Roman" w:hAnsi="Times New Roman" w:cs="Times New Roman"/>
          <w:sz w:val="28"/>
          <w:szCs w:val="28"/>
        </w:rPr>
        <w:t xml:space="preserve"> </w:t>
      </w:r>
      <w:r w:rsidR="00D90393">
        <w:rPr>
          <w:rFonts w:ascii="Times New Roman" w:hAnsi="Times New Roman" w:cs="Times New Roman"/>
          <w:b/>
          <w:sz w:val="28"/>
          <w:szCs w:val="28"/>
          <w:lang w:val="it-IT"/>
        </w:rPr>
        <w:t>M</w:t>
      </w:r>
      <w:r w:rsidR="00E65DA3">
        <w:rPr>
          <w:rFonts w:ascii="Times New Roman" w:hAnsi="Times New Roman" w:cs="Times New Roman"/>
          <w:b/>
          <w:sz w:val="28"/>
          <w:szCs w:val="28"/>
          <w:lang w:val="it-IT"/>
        </w:rPr>
        <w:t>Sc.</w:t>
      </w:r>
      <w:r w:rsidR="00D90393">
        <w:rPr>
          <w:rFonts w:ascii="Times New Roman" w:hAnsi="Times New Roman" w:cs="Times New Roman"/>
          <w:b/>
          <w:sz w:val="28"/>
          <w:szCs w:val="28"/>
          <w:lang w:val="it-IT"/>
        </w:rPr>
        <w:t xml:space="preserve"> agr.</w:t>
      </w:r>
      <w:r w:rsidR="00D90393">
        <w:rPr>
          <w:rFonts w:ascii="Times New Roman" w:hAnsi="Times New Roman" w:cs="Times New Roman"/>
          <w:b/>
          <w:sz w:val="28"/>
          <w:szCs w:val="28"/>
          <w:lang w:val="it-IT"/>
        </w:rPr>
        <w:t xml:space="preserve"> </w:t>
      </w:r>
      <w:r w:rsidRPr="007F483E">
        <w:rPr>
          <w:rFonts w:ascii="Times New Roman" w:hAnsi="Times New Roman" w:cs="Times New Roman"/>
          <w:b/>
          <w:sz w:val="28"/>
          <w:szCs w:val="28"/>
          <w:lang w:val="it-IT"/>
        </w:rPr>
        <w:t>Nikoleta Rubil</w:t>
      </w:r>
    </w:p>
    <w:p w14:paraId="215097B9" w14:textId="24B865C4" w:rsidR="00E7693B" w:rsidRPr="007F483E" w:rsidRDefault="00E7693B" w:rsidP="007F483E">
      <w:pPr>
        <w:rPr>
          <w:rFonts w:ascii="Times New Roman" w:hAnsi="Times New Roman" w:cs="Times New Roman"/>
          <w:sz w:val="28"/>
          <w:szCs w:val="28"/>
          <w:lang w:val="it-IT"/>
        </w:rPr>
      </w:pPr>
    </w:p>
    <w:p w14:paraId="215097BA" w14:textId="0E118DCE" w:rsidR="00E7693B" w:rsidRPr="00D2407C" w:rsidRDefault="007F483E" w:rsidP="007F483E">
      <w:pPr>
        <w:rPr>
          <w:rFonts w:ascii="Times New Roman" w:hAnsi="Times New Roman" w:cs="Times New Roman"/>
          <w:bCs/>
          <w:sz w:val="28"/>
          <w:szCs w:val="28"/>
        </w:rPr>
      </w:pPr>
      <w:r w:rsidRPr="007F483E">
        <w:rPr>
          <w:rFonts w:ascii="Times New Roman" w:hAnsi="Times New Roman" w:cs="Times New Roman"/>
          <w:sz w:val="28"/>
          <w:szCs w:val="28"/>
          <w:lang w:val="it-IT"/>
        </w:rPr>
        <w:t>S</w:t>
      </w:r>
      <w:r w:rsidR="00505740" w:rsidRPr="007F483E">
        <w:rPr>
          <w:rFonts w:ascii="Times New Roman" w:hAnsi="Times New Roman" w:cs="Times New Roman"/>
          <w:sz w:val="28"/>
          <w:szCs w:val="28"/>
          <w:lang w:val="it-IT"/>
        </w:rPr>
        <w:t>upervisor</w:t>
      </w:r>
      <w:r w:rsidR="00795693">
        <w:rPr>
          <w:rFonts w:ascii="Times New Roman" w:hAnsi="Times New Roman" w:cs="Times New Roman"/>
          <w:sz w:val="28"/>
          <w:szCs w:val="28"/>
          <w:lang w:val="it-IT"/>
        </w:rPr>
        <w:t>s</w:t>
      </w:r>
      <w:r w:rsidR="00E7693B" w:rsidRPr="007F483E">
        <w:rPr>
          <w:rFonts w:ascii="Times New Roman" w:hAnsi="Times New Roman" w:cs="Times New Roman"/>
          <w:sz w:val="28"/>
          <w:szCs w:val="28"/>
          <w:lang w:val="it-IT"/>
        </w:rPr>
        <w:t>:</w:t>
      </w:r>
      <w:r w:rsidR="00505740" w:rsidRPr="007F483E">
        <w:rPr>
          <w:rFonts w:ascii="Times New Roman" w:hAnsi="Times New Roman" w:cs="Times New Roman"/>
          <w:sz w:val="28"/>
          <w:szCs w:val="28"/>
          <w:lang w:val="it-IT"/>
        </w:rPr>
        <w:t xml:space="preserve"> </w:t>
      </w:r>
      <w:r w:rsidR="0047215D">
        <w:rPr>
          <w:rFonts w:ascii="Times New Roman" w:hAnsi="Times New Roman" w:cs="Times New Roman"/>
          <w:bCs/>
          <w:sz w:val="28"/>
          <w:szCs w:val="28"/>
          <w:lang w:val="it-IT"/>
        </w:rPr>
        <w:t>P</w:t>
      </w:r>
      <w:r w:rsidR="00E7693B" w:rsidRPr="00D2407C">
        <w:rPr>
          <w:rFonts w:ascii="Times New Roman" w:hAnsi="Times New Roman" w:cs="Times New Roman"/>
          <w:bCs/>
          <w:sz w:val="28"/>
          <w:szCs w:val="28"/>
          <w:lang w:val="it-IT"/>
        </w:rPr>
        <w:t xml:space="preserve">rof. Ing. </w:t>
      </w:r>
      <w:r w:rsidR="00E7693B" w:rsidRPr="00D2407C">
        <w:rPr>
          <w:rFonts w:ascii="Times New Roman" w:hAnsi="Times New Roman" w:cs="Times New Roman"/>
          <w:bCs/>
          <w:sz w:val="28"/>
          <w:szCs w:val="28"/>
        </w:rPr>
        <w:t xml:space="preserve">Pavel </w:t>
      </w:r>
      <w:proofErr w:type="spellStart"/>
      <w:r w:rsidR="00E7693B" w:rsidRPr="00D2407C">
        <w:rPr>
          <w:rFonts w:ascii="Times New Roman" w:hAnsi="Times New Roman" w:cs="Times New Roman"/>
          <w:bCs/>
          <w:sz w:val="28"/>
          <w:szCs w:val="28"/>
        </w:rPr>
        <w:t>Ryšánek</w:t>
      </w:r>
      <w:proofErr w:type="spellEnd"/>
      <w:r w:rsidR="00E7693B" w:rsidRPr="00D2407C">
        <w:rPr>
          <w:rFonts w:ascii="Times New Roman" w:hAnsi="Times New Roman" w:cs="Times New Roman"/>
          <w:bCs/>
          <w:sz w:val="28"/>
          <w:szCs w:val="28"/>
        </w:rPr>
        <w:t>, CSc.</w:t>
      </w:r>
    </w:p>
    <w:p w14:paraId="215097BC" w14:textId="279035AE" w:rsidR="00E7693B" w:rsidRPr="00D2407C" w:rsidRDefault="00795693" w:rsidP="00DD3DFE">
      <w:pPr>
        <w:spacing w:after="0"/>
        <w:rPr>
          <w:rFonts w:ascii="Times New Roman" w:hAnsi="Times New Roman" w:cs="Times New Roman"/>
          <w:bCs/>
          <w:sz w:val="28"/>
          <w:szCs w:val="28"/>
        </w:rPr>
      </w:pPr>
      <w:r w:rsidRPr="00D2407C">
        <w:rPr>
          <w:rFonts w:ascii="Times New Roman" w:hAnsi="Times New Roman" w:cs="Times New Roman"/>
          <w:bCs/>
          <w:sz w:val="28"/>
          <w:szCs w:val="28"/>
        </w:rPr>
        <w:t xml:space="preserve">                     </w:t>
      </w:r>
      <w:r w:rsidR="0047215D">
        <w:rPr>
          <w:rFonts w:ascii="Times New Roman" w:hAnsi="Times New Roman" w:cs="Times New Roman"/>
          <w:bCs/>
          <w:sz w:val="28"/>
          <w:szCs w:val="28"/>
        </w:rPr>
        <w:t>P</w:t>
      </w:r>
      <w:r w:rsidR="00E7693B" w:rsidRPr="00D2407C">
        <w:rPr>
          <w:rFonts w:ascii="Times New Roman" w:hAnsi="Times New Roman" w:cs="Times New Roman"/>
          <w:bCs/>
          <w:sz w:val="28"/>
          <w:szCs w:val="28"/>
        </w:rPr>
        <w:t>rof. Meike Burow, PhD</w:t>
      </w:r>
      <w:r w:rsidRPr="00D2407C">
        <w:rPr>
          <w:rFonts w:ascii="Times New Roman" w:hAnsi="Times New Roman" w:cs="Times New Roman"/>
          <w:bCs/>
          <w:sz w:val="28"/>
          <w:szCs w:val="28"/>
        </w:rPr>
        <w:t>.</w:t>
      </w:r>
    </w:p>
    <w:p w14:paraId="1A3608A3" w14:textId="77777777" w:rsidR="0076379F" w:rsidRPr="00DD3DFE" w:rsidRDefault="0076379F" w:rsidP="00795693">
      <w:pPr>
        <w:rPr>
          <w:rFonts w:ascii="Times New Roman" w:hAnsi="Times New Roman" w:cs="Times New Roman"/>
          <w:bCs/>
          <w:sz w:val="28"/>
          <w:szCs w:val="28"/>
        </w:rPr>
      </w:pPr>
    </w:p>
    <w:p w14:paraId="54B5B635" w14:textId="51C6F9E0" w:rsidR="00DD3DFE" w:rsidRDefault="00505740" w:rsidP="007F483E">
      <w:pPr>
        <w:spacing w:line="360" w:lineRule="auto"/>
        <w:rPr>
          <w:rFonts w:ascii="Times New Roman" w:hAnsi="Times New Roman" w:cs="Times New Roman"/>
          <w:bCs/>
          <w:sz w:val="28"/>
          <w:szCs w:val="28"/>
        </w:rPr>
      </w:pPr>
      <w:r w:rsidRPr="007F483E">
        <w:rPr>
          <w:rFonts w:ascii="Times New Roman" w:hAnsi="Times New Roman" w:cs="Times New Roman"/>
          <w:sz w:val="28"/>
          <w:szCs w:val="28"/>
        </w:rPr>
        <w:t>Co</w:t>
      </w:r>
      <w:r w:rsidR="00795693">
        <w:rPr>
          <w:rFonts w:ascii="Times New Roman" w:hAnsi="Times New Roman" w:cs="Times New Roman"/>
          <w:sz w:val="28"/>
          <w:szCs w:val="28"/>
        </w:rPr>
        <w:t>nsultant</w:t>
      </w:r>
      <w:r w:rsidR="00E7693B" w:rsidRPr="007F483E">
        <w:rPr>
          <w:rFonts w:ascii="Times New Roman" w:hAnsi="Times New Roman" w:cs="Times New Roman"/>
          <w:sz w:val="28"/>
          <w:szCs w:val="28"/>
        </w:rPr>
        <w:t>:</w:t>
      </w:r>
      <w:r w:rsidR="007F483E" w:rsidRPr="007F483E">
        <w:rPr>
          <w:rFonts w:ascii="Times New Roman" w:hAnsi="Times New Roman" w:cs="Times New Roman"/>
          <w:sz w:val="28"/>
          <w:szCs w:val="28"/>
        </w:rPr>
        <w:t xml:space="preserve"> </w:t>
      </w:r>
      <w:r w:rsidR="0047215D">
        <w:rPr>
          <w:rFonts w:ascii="Times New Roman" w:hAnsi="Times New Roman" w:cs="Times New Roman"/>
          <w:bCs/>
          <w:sz w:val="28"/>
          <w:szCs w:val="28"/>
        </w:rPr>
        <w:t>D</w:t>
      </w:r>
      <w:r w:rsidR="00E7693B" w:rsidRPr="00D2407C">
        <w:rPr>
          <w:rFonts w:ascii="Times New Roman" w:hAnsi="Times New Roman" w:cs="Times New Roman"/>
          <w:bCs/>
          <w:sz w:val="28"/>
          <w:szCs w:val="28"/>
        </w:rPr>
        <w:t xml:space="preserve">oc. Ing. Lenka </w:t>
      </w:r>
      <w:proofErr w:type="spellStart"/>
      <w:r w:rsidR="00E7693B" w:rsidRPr="00D2407C">
        <w:rPr>
          <w:rFonts w:ascii="Times New Roman" w:hAnsi="Times New Roman" w:cs="Times New Roman"/>
          <w:bCs/>
          <w:sz w:val="28"/>
          <w:szCs w:val="28"/>
        </w:rPr>
        <w:t>Burketová</w:t>
      </w:r>
      <w:proofErr w:type="spellEnd"/>
      <w:r w:rsidR="00E7693B" w:rsidRPr="00D2407C">
        <w:rPr>
          <w:rFonts w:ascii="Times New Roman" w:hAnsi="Times New Roman" w:cs="Times New Roman"/>
          <w:bCs/>
          <w:sz w:val="28"/>
          <w:szCs w:val="28"/>
        </w:rPr>
        <w:t xml:space="preserve">, </w:t>
      </w:r>
      <w:proofErr w:type="spellStart"/>
      <w:r w:rsidR="00E7693B" w:rsidRPr="00D2407C">
        <w:rPr>
          <w:rFonts w:ascii="Times New Roman" w:hAnsi="Times New Roman" w:cs="Times New Roman"/>
          <w:bCs/>
          <w:sz w:val="28"/>
          <w:szCs w:val="28"/>
        </w:rPr>
        <w:t>CSc</w:t>
      </w:r>
      <w:proofErr w:type="spellEnd"/>
      <w:r w:rsidR="00E7693B" w:rsidRPr="00D2407C">
        <w:rPr>
          <w:rFonts w:ascii="Times New Roman" w:hAnsi="Times New Roman" w:cs="Times New Roman"/>
          <w:bCs/>
          <w:sz w:val="28"/>
          <w:szCs w:val="28"/>
        </w:rPr>
        <w:t>., Institute of Experimental Botany CAS</w:t>
      </w:r>
    </w:p>
    <w:p w14:paraId="4C93AD1E" w14:textId="77777777" w:rsidR="00DD3DFE" w:rsidRPr="00DD3DFE" w:rsidRDefault="00DD3DFE" w:rsidP="007F483E">
      <w:pPr>
        <w:spacing w:line="360" w:lineRule="auto"/>
        <w:rPr>
          <w:rFonts w:ascii="Times New Roman" w:hAnsi="Times New Roman" w:cs="Times New Roman"/>
          <w:bCs/>
          <w:sz w:val="28"/>
          <w:szCs w:val="28"/>
        </w:rPr>
      </w:pPr>
    </w:p>
    <w:p w14:paraId="215097C8" w14:textId="7121D1CE" w:rsidR="00E7693B" w:rsidRPr="00E7693B" w:rsidRDefault="00E7693B">
      <w:pPr>
        <w:jc w:val="center"/>
        <w:rPr>
          <w:rFonts w:ascii="Times New Roman" w:hAnsi="Times New Roman" w:cs="Times New Roman"/>
          <w:b/>
          <w:sz w:val="32"/>
          <w:szCs w:val="32"/>
        </w:rPr>
        <w:sectPr w:rsidR="00E7693B" w:rsidRPr="00E7693B">
          <w:footerReference w:type="first" r:id="rId13"/>
          <w:pgSz w:w="11907" w:h="16840"/>
          <w:pgMar w:top="851" w:right="1418" w:bottom="1134" w:left="1418" w:header="708" w:footer="1134" w:gutter="0"/>
          <w:pgNumType w:start="1"/>
          <w:cols w:space="720"/>
          <w:titlePg/>
        </w:sectPr>
      </w:pPr>
      <w:r w:rsidRPr="00E7693B">
        <w:rPr>
          <w:rFonts w:ascii="Times New Roman" w:hAnsi="Times New Roman" w:cs="Times New Roman"/>
          <w:b/>
          <w:sz w:val="32"/>
          <w:szCs w:val="32"/>
        </w:rPr>
        <w:t>Pra</w:t>
      </w:r>
      <w:r w:rsidR="00505740">
        <w:rPr>
          <w:rFonts w:ascii="Times New Roman" w:hAnsi="Times New Roman" w:cs="Times New Roman"/>
          <w:b/>
          <w:sz w:val="32"/>
          <w:szCs w:val="32"/>
        </w:rPr>
        <w:t>gue</w:t>
      </w:r>
      <w:r w:rsidRPr="00E7693B">
        <w:rPr>
          <w:rFonts w:ascii="Times New Roman" w:hAnsi="Times New Roman" w:cs="Times New Roman"/>
          <w:b/>
          <w:sz w:val="32"/>
          <w:szCs w:val="32"/>
        </w:rPr>
        <w:t xml:space="preserve"> 202</w:t>
      </w:r>
      <w:r w:rsidR="002F5BAD">
        <w:rPr>
          <w:rFonts w:ascii="Times New Roman" w:hAnsi="Times New Roman" w:cs="Times New Roman"/>
          <w:b/>
          <w:sz w:val="32"/>
          <w:szCs w:val="32"/>
        </w:rPr>
        <w:t>4</w:t>
      </w:r>
      <w:bookmarkEnd w:id="0"/>
    </w:p>
    <w:p w14:paraId="215097C9" w14:textId="77777777" w:rsidR="00E7693B" w:rsidRPr="00E7693B" w:rsidRDefault="00E7693B" w:rsidP="00FE16F8">
      <w:pPr>
        <w:spacing w:after="0" w:line="360" w:lineRule="auto"/>
        <w:jc w:val="both"/>
        <w:rPr>
          <w:rFonts w:ascii="Times New Roman" w:hAnsi="Times New Roman" w:cs="Times New Roman"/>
          <w:b/>
          <w:sz w:val="28"/>
          <w:szCs w:val="28"/>
        </w:rPr>
      </w:pPr>
      <w:r w:rsidRPr="00E7693B">
        <w:rPr>
          <w:rFonts w:ascii="Times New Roman" w:hAnsi="Times New Roman" w:cs="Times New Roman"/>
          <w:b/>
          <w:sz w:val="28"/>
          <w:szCs w:val="28"/>
        </w:rPr>
        <w:lastRenderedPageBreak/>
        <w:t>Abstract</w:t>
      </w:r>
    </w:p>
    <w:p w14:paraId="215097CA" w14:textId="77777777" w:rsidR="00E7693B" w:rsidRPr="00E7693B" w:rsidRDefault="00E7693B" w:rsidP="00FE16F8">
      <w:pPr>
        <w:spacing w:after="0" w:line="360" w:lineRule="auto"/>
        <w:jc w:val="both"/>
        <w:rPr>
          <w:rFonts w:ascii="Times New Roman" w:hAnsi="Times New Roman" w:cs="Times New Roman"/>
          <w:b/>
        </w:rPr>
      </w:pPr>
    </w:p>
    <w:p w14:paraId="215097CB" w14:textId="3ECED6DB" w:rsidR="00E7693B" w:rsidRPr="00E7693B" w:rsidRDefault="00E7693B" w:rsidP="00FE16F8">
      <w:pPr>
        <w:spacing w:after="0" w:line="360" w:lineRule="auto"/>
        <w:ind w:firstLine="720"/>
        <w:jc w:val="both"/>
        <w:rPr>
          <w:rFonts w:ascii="Times New Roman" w:hAnsi="Times New Roman" w:cs="Times New Roman"/>
          <w:bCs/>
          <w:sz w:val="24"/>
          <w:szCs w:val="24"/>
        </w:rPr>
      </w:pPr>
      <w:r w:rsidRPr="00E7693B">
        <w:rPr>
          <w:rFonts w:ascii="Times New Roman" w:hAnsi="Times New Roman" w:cs="Times New Roman"/>
          <w:bCs/>
          <w:sz w:val="24"/>
          <w:szCs w:val="24"/>
        </w:rPr>
        <w:t xml:space="preserve">Dual and multiple plant interactions with fungi and insect pests frequently occur in nature. Plants respond to such biotic stresses by activating distinct defence mechanisms; however, little is known about how plants cope with multiple stresses, and how symbiotic associations affect the subsequent fungal infections. The goal of such </w:t>
      </w:r>
      <w:proofErr w:type="spellStart"/>
      <w:r w:rsidRPr="00E7693B">
        <w:rPr>
          <w:rFonts w:ascii="Times New Roman" w:hAnsi="Times New Roman" w:cs="Times New Roman"/>
          <w:bCs/>
          <w:sz w:val="24"/>
          <w:szCs w:val="24"/>
        </w:rPr>
        <w:t>phytopathological</w:t>
      </w:r>
      <w:proofErr w:type="spellEnd"/>
      <w:r w:rsidRPr="00E7693B">
        <w:rPr>
          <w:rFonts w:ascii="Times New Roman" w:hAnsi="Times New Roman" w:cs="Times New Roman"/>
          <w:bCs/>
          <w:sz w:val="24"/>
          <w:szCs w:val="24"/>
        </w:rPr>
        <w:t xml:space="preserve"> studies is to better understand plant defence strategies and unravel sustainable and eco-friendly alternatives to chemical pesticides. Another way is usage of plant elicitors which can boost plant defence and make plants resistant to subsequent attacke</w:t>
      </w:r>
      <w:r w:rsidR="00755BFE">
        <w:rPr>
          <w:rFonts w:ascii="Times New Roman" w:hAnsi="Times New Roman" w:cs="Times New Roman"/>
          <w:bCs/>
          <w:sz w:val="24"/>
          <w:szCs w:val="24"/>
        </w:rPr>
        <w:t xml:space="preserve">rs. Firstly, I </w:t>
      </w:r>
      <w:r w:rsidRPr="00E7693B">
        <w:rPr>
          <w:rFonts w:ascii="Times New Roman" w:hAnsi="Times New Roman" w:cs="Times New Roman"/>
          <w:bCs/>
          <w:sz w:val="24"/>
          <w:szCs w:val="24"/>
        </w:rPr>
        <w:t>developed a choice test system to study the preference of insect pests to different leaf treatments</w:t>
      </w:r>
      <w:r w:rsidR="00F70D57">
        <w:rPr>
          <w:rFonts w:ascii="Times New Roman" w:hAnsi="Times New Roman" w:cs="Times New Roman"/>
          <w:bCs/>
          <w:sz w:val="24"/>
          <w:szCs w:val="24"/>
        </w:rPr>
        <w:t xml:space="preserve">, </w:t>
      </w:r>
      <w:r w:rsidR="00F4342F">
        <w:rPr>
          <w:rFonts w:ascii="Times New Roman" w:hAnsi="Times New Roman" w:cs="Times New Roman"/>
          <w:bCs/>
          <w:sz w:val="24"/>
          <w:szCs w:val="24"/>
        </w:rPr>
        <w:t xml:space="preserve">as </w:t>
      </w:r>
      <w:r w:rsidR="00F70D57">
        <w:rPr>
          <w:rFonts w:ascii="Times New Roman" w:hAnsi="Times New Roman" w:cs="Times New Roman"/>
          <w:bCs/>
          <w:sz w:val="24"/>
          <w:szCs w:val="24"/>
        </w:rPr>
        <w:t>described in Chapter 5.1.</w:t>
      </w:r>
    </w:p>
    <w:p w14:paraId="215097CC" w14:textId="5B27C241" w:rsidR="00E7693B" w:rsidRPr="00E7693B" w:rsidRDefault="00E7693B" w:rsidP="00FE16F8">
      <w:pPr>
        <w:spacing w:after="0" w:line="360" w:lineRule="auto"/>
        <w:ind w:firstLine="720"/>
        <w:jc w:val="both"/>
        <w:rPr>
          <w:rFonts w:ascii="Times New Roman" w:hAnsi="Times New Roman" w:cs="Times New Roman"/>
          <w:bCs/>
          <w:sz w:val="24"/>
          <w:szCs w:val="24"/>
        </w:rPr>
      </w:pPr>
      <w:r w:rsidRPr="00E7693B">
        <w:rPr>
          <w:rFonts w:ascii="Times New Roman" w:hAnsi="Times New Roman" w:cs="Times New Roman"/>
          <w:bCs/>
          <w:sz w:val="24"/>
          <w:szCs w:val="24"/>
        </w:rPr>
        <w:t xml:space="preserve">In </w:t>
      </w:r>
      <w:r w:rsidR="008453ED">
        <w:rPr>
          <w:rFonts w:ascii="Times New Roman" w:hAnsi="Times New Roman" w:cs="Times New Roman"/>
          <w:bCs/>
          <w:sz w:val="24"/>
          <w:szCs w:val="24"/>
        </w:rPr>
        <w:t>C</w:t>
      </w:r>
      <w:r w:rsidRPr="00E7693B">
        <w:rPr>
          <w:rFonts w:ascii="Times New Roman" w:hAnsi="Times New Roman" w:cs="Times New Roman"/>
          <w:bCs/>
          <w:sz w:val="24"/>
          <w:szCs w:val="24"/>
        </w:rPr>
        <w:t xml:space="preserve">hapter </w:t>
      </w:r>
      <w:r w:rsidR="008453ED">
        <w:rPr>
          <w:rFonts w:ascii="Times New Roman" w:hAnsi="Times New Roman" w:cs="Times New Roman"/>
          <w:bCs/>
          <w:sz w:val="24"/>
          <w:szCs w:val="24"/>
        </w:rPr>
        <w:t>5.2,</w:t>
      </w:r>
      <w:r w:rsidRPr="00E7693B">
        <w:rPr>
          <w:rFonts w:ascii="Times New Roman" w:hAnsi="Times New Roman" w:cs="Times New Roman"/>
          <w:bCs/>
          <w:sz w:val="24"/>
          <w:szCs w:val="24"/>
        </w:rPr>
        <w:t xml:space="preserve"> </w:t>
      </w:r>
      <w:r w:rsidR="00965E3D">
        <w:rPr>
          <w:rFonts w:ascii="Times New Roman" w:hAnsi="Times New Roman" w:cs="Times New Roman"/>
          <w:bCs/>
          <w:sz w:val="24"/>
          <w:szCs w:val="24"/>
        </w:rPr>
        <w:t>I</w:t>
      </w:r>
      <w:r w:rsidRPr="00E7693B">
        <w:rPr>
          <w:rFonts w:ascii="Times New Roman" w:hAnsi="Times New Roman" w:cs="Times New Roman"/>
          <w:bCs/>
          <w:sz w:val="24"/>
          <w:szCs w:val="24"/>
        </w:rPr>
        <w:t xml:space="preserve"> hypothesised that the combined interaction of fungal infection caused by </w:t>
      </w:r>
      <w:r w:rsidRPr="00E7693B">
        <w:rPr>
          <w:rFonts w:ascii="Times New Roman" w:hAnsi="Times New Roman" w:cs="Times New Roman"/>
          <w:bCs/>
          <w:i/>
          <w:iCs/>
          <w:sz w:val="24"/>
          <w:szCs w:val="24"/>
        </w:rPr>
        <w:t xml:space="preserve">Leptosphaeria </w:t>
      </w:r>
      <w:proofErr w:type="spellStart"/>
      <w:r w:rsidRPr="00E7693B">
        <w:rPr>
          <w:rFonts w:ascii="Times New Roman" w:hAnsi="Times New Roman" w:cs="Times New Roman"/>
          <w:bCs/>
          <w:i/>
          <w:iCs/>
          <w:sz w:val="24"/>
          <w:szCs w:val="24"/>
        </w:rPr>
        <w:t>maculans</w:t>
      </w:r>
      <w:proofErr w:type="spellEnd"/>
      <w:r w:rsidRPr="00E7693B">
        <w:rPr>
          <w:rFonts w:ascii="Times New Roman" w:hAnsi="Times New Roman" w:cs="Times New Roman"/>
          <w:bCs/>
          <w:i/>
          <w:iCs/>
          <w:sz w:val="24"/>
          <w:szCs w:val="24"/>
        </w:rPr>
        <w:t xml:space="preserve"> </w:t>
      </w:r>
      <w:r w:rsidRPr="00E7693B">
        <w:rPr>
          <w:rFonts w:ascii="Times New Roman" w:hAnsi="Times New Roman" w:cs="Times New Roman"/>
          <w:bCs/>
          <w:sz w:val="24"/>
          <w:szCs w:val="24"/>
        </w:rPr>
        <w:t xml:space="preserve">could alter oilseed rape palatability to </w:t>
      </w:r>
      <w:proofErr w:type="spellStart"/>
      <w:r w:rsidRPr="00E7693B">
        <w:rPr>
          <w:rFonts w:ascii="Times New Roman" w:hAnsi="Times New Roman" w:cs="Times New Roman"/>
          <w:bCs/>
          <w:i/>
          <w:iCs/>
          <w:sz w:val="24"/>
          <w:szCs w:val="24"/>
        </w:rPr>
        <w:t>Plutella</w:t>
      </w:r>
      <w:proofErr w:type="spellEnd"/>
      <w:r w:rsidRPr="00E7693B">
        <w:rPr>
          <w:rFonts w:ascii="Times New Roman" w:hAnsi="Times New Roman" w:cs="Times New Roman"/>
          <w:bCs/>
          <w:i/>
          <w:iCs/>
          <w:sz w:val="24"/>
          <w:szCs w:val="24"/>
        </w:rPr>
        <w:t xml:space="preserve"> </w:t>
      </w:r>
      <w:proofErr w:type="spellStart"/>
      <w:r w:rsidRPr="00E7693B">
        <w:rPr>
          <w:rFonts w:ascii="Times New Roman" w:hAnsi="Times New Roman" w:cs="Times New Roman"/>
          <w:bCs/>
          <w:i/>
          <w:iCs/>
          <w:sz w:val="24"/>
          <w:szCs w:val="24"/>
        </w:rPr>
        <w:t>xylostella</w:t>
      </w:r>
      <w:proofErr w:type="spellEnd"/>
      <w:r w:rsidRPr="00E7693B">
        <w:rPr>
          <w:rFonts w:ascii="Times New Roman" w:hAnsi="Times New Roman" w:cs="Times New Roman"/>
          <w:bCs/>
          <w:i/>
          <w:iCs/>
          <w:sz w:val="24"/>
          <w:szCs w:val="24"/>
        </w:rPr>
        <w:t xml:space="preserve"> </w:t>
      </w:r>
      <w:r w:rsidRPr="00E7693B">
        <w:rPr>
          <w:rFonts w:ascii="Times New Roman" w:hAnsi="Times New Roman" w:cs="Times New Roman"/>
          <w:bCs/>
          <w:sz w:val="24"/>
          <w:szCs w:val="24"/>
        </w:rPr>
        <w:t xml:space="preserve">caterpillars or </w:t>
      </w:r>
      <w:proofErr w:type="spellStart"/>
      <w:r w:rsidRPr="00E7693B">
        <w:rPr>
          <w:rFonts w:ascii="Times New Roman" w:hAnsi="Times New Roman" w:cs="Times New Roman"/>
          <w:bCs/>
          <w:i/>
          <w:iCs/>
          <w:sz w:val="24"/>
          <w:szCs w:val="24"/>
        </w:rPr>
        <w:t>Brevicoryne</w:t>
      </w:r>
      <w:proofErr w:type="spellEnd"/>
      <w:r w:rsidRPr="00E7693B">
        <w:rPr>
          <w:rFonts w:ascii="Times New Roman" w:hAnsi="Times New Roman" w:cs="Times New Roman"/>
          <w:bCs/>
          <w:i/>
          <w:iCs/>
          <w:sz w:val="24"/>
          <w:szCs w:val="24"/>
        </w:rPr>
        <w:t xml:space="preserve"> </w:t>
      </w:r>
      <w:proofErr w:type="spellStart"/>
      <w:r w:rsidRPr="00E7693B">
        <w:rPr>
          <w:rFonts w:ascii="Times New Roman" w:hAnsi="Times New Roman" w:cs="Times New Roman"/>
          <w:bCs/>
          <w:i/>
          <w:iCs/>
          <w:sz w:val="24"/>
          <w:szCs w:val="24"/>
        </w:rPr>
        <w:t>brassice</w:t>
      </w:r>
      <w:proofErr w:type="spellEnd"/>
      <w:r w:rsidRPr="00E7693B">
        <w:rPr>
          <w:rFonts w:ascii="Times New Roman" w:hAnsi="Times New Roman" w:cs="Times New Roman"/>
          <w:bCs/>
          <w:i/>
          <w:iCs/>
          <w:sz w:val="24"/>
          <w:szCs w:val="24"/>
        </w:rPr>
        <w:t xml:space="preserve"> </w:t>
      </w:r>
      <w:r w:rsidRPr="00E7693B">
        <w:rPr>
          <w:rFonts w:ascii="Times New Roman" w:hAnsi="Times New Roman" w:cs="Times New Roman"/>
          <w:bCs/>
          <w:sz w:val="24"/>
          <w:szCs w:val="24"/>
        </w:rPr>
        <w:t xml:space="preserve">aphids. Feeding preference tests were complemented by analyses of defence gene transcription, and levels of glucosinolates (GLSs) and volatile organic compounds (VOCs) in inoculated and non-inoculated leaves to determine the possible cause of insect choice. </w:t>
      </w:r>
      <w:r w:rsidR="00965E3D">
        <w:rPr>
          <w:rFonts w:ascii="Times New Roman" w:hAnsi="Times New Roman" w:cs="Times New Roman"/>
          <w:bCs/>
          <w:sz w:val="24"/>
          <w:szCs w:val="24"/>
        </w:rPr>
        <w:t>I</w:t>
      </w:r>
      <w:r w:rsidRPr="00E7693B">
        <w:rPr>
          <w:rFonts w:ascii="Times New Roman" w:hAnsi="Times New Roman" w:cs="Times New Roman"/>
          <w:bCs/>
          <w:sz w:val="24"/>
          <w:szCs w:val="24"/>
        </w:rPr>
        <w:t xml:space="preserve"> confirmed that caterpillars and aphids prefer true leaves of oilseed rape to cotyledons; therefore true leaves were used for all further experiments involving oilseed rape. Leaves inoculated with </w:t>
      </w:r>
      <w:r w:rsidRPr="00E7693B">
        <w:rPr>
          <w:rFonts w:ascii="Times New Roman" w:hAnsi="Times New Roman" w:cs="Times New Roman"/>
          <w:bCs/>
          <w:i/>
          <w:iCs/>
          <w:sz w:val="24"/>
          <w:szCs w:val="24"/>
        </w:rPr>
        <w:t xml:space="preserve">L. </w:t>
      </w:r>
      <w:proofErr w:type="spellStart"/>
      <w:r w:rsidRPr="00E7693B">
        <w:rPr>
          <w:rFonts w:ascii="Times New Roman" w:hAnsi="Times New Roman" w:cs="Times New Roman"/>
          <w:bCs/>
          <w:i/>
          <w:iCs/>
          <w:sz w:val="24"/>
          <w:szCs w:val="24"/>
        </w:rPr>
        <w:t>maculans</w:t>
      </w:r>
      <w:proofErr w:type="spellEnd"/>
      <w:r w:rsidRPr="00E7693B">
        <w:rPr>
          <w:rFonts w:ascii="Times New Roman" w:hAnsi="Times New Roman" w:cs="Times New Roman"/>
          <w:bCs/>
          <w:i/>
          <w:iCs/>
          <w:sz w:val="24"/>
          <w:szCs w:val="24"/>
        </w:rPr>
        <w:t xml:space="preserve"> </w:t>
      </w:r>
      <w:r w:rsidRPr="00E7693B">
        <w:rPr>
          <w:rFonts w:ascii="Times New Roman" w:hAnsi="Times New Roman" w:cs="Times New Roman"/>
          <w:bCs/>
          <w:sz w:val="24"/>
          <w:szCs w:val="24"/>
        </w:rPr>
        <w:t xml:space="preserve">were more palatable to </w:t>
      </w:r>
      <w:r w:rsidRPr="00E7693B">
        <w:rPr>
          <w:rFonts w:ascii="Times New Roman" w:hAnsi="Times New Roman" w:cs="Times New Roman"/>
          <w:bCs/>
          <w:i/>
          <w:iCs/>
          <w:sz w:val="24"/>
          <w:szCs w:val="24"/>
        </w:rPr>
        <w:t xml:space="preserve">P. </w:t>
      </w:r>
      <w:proofErr w:type="spellStart"/>
      <w:r w:rsidRPr="00E7693B">
        <w:rPr>
          <w:rFonts w:ascii="Times New Roman" w:hAnsi="Times New Roman" w:cs="Times New Roman"/>
          <w:bCs/>
          <w:i/>
          <w:iCs/>
          <w:sz w:val="24"/>
          <w:szCs w:val="24"/>
        </w:rPr>
        <w:t>xylostella</w:t>
      </w:r>
      <w:proofErr w:type="spellEnd"/>
      <w:r w:rsidRPr="00E7693B">
        <w:rPr>
          <w:rFonts w:ascii="Times New Roman" w:hAnsi="Times New Roman" w:cs="Times New Roman"/>
          <w:bCs/>
          <w:i/>
          <w:iCs/>
          <w:sz w:val="24"/>
          <w:szCs w:val="24"/>
        </w:rPr>
        <w:t xml:space="preserve"> </w:t>
      </w:r>
      <w:r w:rsidRPr="00E7693B">
        <w:rPr>
          <w:rFonts w:ascii="Times New Roman" w:hAnsi="Times New Roman" w:cs="Times New Roman"/>
          <w:bCs/>
          <w:sz w:val="24"/>
          <w:szCs w:val="24"/>
        </w:rPr>
        <w:t xml:space="preserve">caterpillars in the early stage of disease development (3 days post inoculation, dpi), whereas the preference disappeared in the later stage (7 dpi). On the other hand, there was no preference of </w:t>
      </w:r>
      <w:r w:rsidRPr="00E7693B">
        <w:rPr>
          <w:rFonts w:ascii="Times New Roman" w:hAnsi="Times New Roman" w:cs="Times New Roman"/>
          <w:bCs/>
          <w:i/>
          <w:iCs/>
          <w:sz w:val="24"/>
          <w:szCs w:val="24"/>
        </w:rPr>
        <w:t xml:space="preserve">B. </w:t>
      </w:r>
      <w:proofErr w:type="spellStart"/>
      <w:r w:rsidRPr="00E7693B">
        <w:rPr>
          <w:rFonts w:ascii="Times New Roman" w:hAnsi="Times New Roman" w:cs="Times New Roman"/>
          <w:bCs/>
          <w:i/>
          <w:iCs/>
          <w:sz w:val="24"/>
          <w:szCs w:val="24"/>
        </w:rPr>
        <w:t>brassicae</w:t>
      </w:r>
      <w:proofErr w:type="spellEnd"/>
      <w:r w:rsidRPr="00E7693B">
        <w:rPr>
          <w:rFonts w:ascii="Times New Roman" w:hAnsi="Times New Roman" w:cs="Times New Roman"/>
          <w:bCs/>
          <w:i/>
          <w:iCs/>
          <w:sz w:val="24"/>
          <w:szCs w:val="24"/>
        </w:rPr>
        <w:t xml:space="preserve"> </w:t>
      </w:r>
      <w:r w:rsidRPr="00E7693B">
        <w:rPr>
          <w:rFonts w:ascii="Times New Roman" w:hAnsi="Times New Roman" w:cs="Times New Roman"/>
          <w:bCs/>
          <w:sz w:val="24"/>
          <w:szCs w:val="24"/>
        </w:rPr>
        <w:t xml:space="preserve">aphids at 3 dpi; however, </w:t>
      </w:r>
      <w:r w:rsidRPr="00E7693B">
        <w:rPr>
          <w:rFonts w:ascii="Times New Roman" w:hAnsi="Times New Roman" w:cs="Times New Roman"/>
          <w:bCs/>
          <w:i/>
          <w:iCs/>
          <w:sz w:val="24"/>
          <w:szCs w:val="24"/>
        </w:rPr>
        <w:t xml:space="preserve">L. </w:t>
      </w:r>
      <w:proofErr w:type="spellStart"/>
      <w:r w:rsidRPr="00E7693B">
        <w:rPr>
          <w:rFonts w:ascii="Times New Roman" w:hAnsi="Times New Roman" w:cs="Times New Roman"/>
          <w:bCs/>
          <w:i/>
          <w:iCs/>
          <w:sz w:val="24"/>
          <w:szCs w:val="24"/>
        </w:rPr>
        <w:t>maculans</w:t>
      </w:r>
      <w:proofErr w:type="spellEnd"/>
      <w:r w:rsidRPr="00E7693B">
        <w:rPr>
          <w:rFonts w:ascii="Times New Roman" w:hAnsi="Times New Roman" w:cs="Times New Roman"/>
          <w:bCs/>
          <w:i/>
          <w:iCs/>
          <w:sz w:val="24"/>
          <w:szCs w:val="24"/>
        </w:rPr>
        <w:t xml:space="preserve"> </w:t>
      </w:r>
      <w:r w:rsidRPr="00E7693B">
        <w:rPr>
          <w:rFonts w:ascii="Times New Roman" w:hAnsi="Times New Roman" w:cs="Times New Roman"/>
          <w:bCs/>
          <w:sz w:val="24"/>
          <w:szCs w:val="24"/>
        </w:rPr>
        <w:t>leaves were less palatable to aphids at 7 dpi. These differences in insect preference could be caused by the underlying mechanisms leading to changes in metabolic composition.</w:t>
      </w:r>
    </w:p>
    <w:p w14:paraId="215097CD" w14:textId="26750FE1" w:rsidR="00E7693B" w:rsidRPr="00E7693B" w:rsidRDefault="00E7693B" w:rsidP="00FE16F8">
      <w:pPr>
        <w:spacing w:after="0" w:line="360" w:lineRule="auto"/>
        <w:ind w:firstLine="720"/>
        <w:jc w:val="both"/>
        <w:rPr>
          <w:rFonts w:ascii="Times New Roman" w:hAnsi="Times New Roman" w:cs="Times New Roman"/>
          <w:bCs/>
          <w:sz w:val="24"/>
          <w:szCs w:val="24"/>
        </w:rPr>
      </w:pPr>
      <w:r w:rsidRPr="00E7693B">
        <w:rPr>
          <w:rFonts w:ascii="Times New Roman" w:hAnsi="Times New Roman" w:cs="Times New Roman"/>
          <w:bCs/>
          <w:sz w:val="24"/>
          <w:szCs w:val="24"/>
        </w:rPr>
        <w:t xml:space="preserve">In Chapter </w:t>
      </w:r>
      <w:r w:rsidR="008453ED">
        <w:rPr>
          <w:rFonts w:ascii="Times New Roman" w:hAnsi="Times New Roman" w:cs="Times New Roman"/>
          <w:bCs/>
          <w:sz w:val="24"/>
          <w:szCs w:val="24"/>
        </w:rPr>
        <w:t>5.3</w:t>
      </w:r>
      <w:r w:rsidR="00F70D57">
        <w:rPr>
          <w:rFonts w:ascii="Times New Roman" w:hAnsi="Times New Roman" w:cs="Times New Roman"/>
          <w:bCs/>
          <w:sz w:val="24"/>
          <w:szCs w:val="24"/>
        </w:rPr>
        <w:t>,</w:t>
      </w:r>
      <w:r w:rsidRPr="00E7693B">
        <w:rPr>
          <w:rFonts w:ascii="Times New Roman" w:hAnsi="Times New Roman" w:cs="Times New Roman"/>
          <w:bCs/>
          <w:sz w:val="24"/>
          <w:szCs w:val="24"/>
        </w:rPr>
        <w:t xml:space="preserve"> </w:t>
      </w:r>
      <w:r w:rsidR="00965E3D">
        <w:rPr>
          <w:rFonts w:ascii="Times New Roman" w:hAnsi="Times New Roman" w:cs="Times New Roman"/>
          <w:bCs/>
          <w:sz w:val="24"/>
          <w:szCs w:val="24"/>
        </w:rPr>
        <w:t>I</w:t>
      </w:r>
      <w:r w:rsidRPr="00E7693B">
        <w:rPr>
          <w:rFonts w:ascii="Times New Roman" w:hAnsi="Times New Roman" w:cs="Times New Roman"/>
          <w:bCs/>
          <w:sz w:val="24"/>
          <w:szCs w:val="24"/>
        </w:rPr>
        <w:t xml:space="preserve"> hypothesized that specific resistance inducers can alter oilseed rape palatability to </w:t>
      </w:r>
      <w:r w:rsidRPr="00E7693B">
        <w:rPr>
          <w:rFonts w:ascii="Times New Roman" w:hAnsi="Times New Roman" w:cs="Times New Roman"/>
          <w:bCs/>
          <w:i/>
          <w:iCs/>
          <w:sz w:val="24"/>
          <w:szCs w:val="24"/>
        </w:rPr>
        <w:t xml:space="preserve">P. </w:t>
      </w:r>
      <w:proofErr w:type="spellStart"/>
      <w:r w:rsidRPr="00E7693B">
        <w:rPr>
          <w:rFonts w:ascii="Times New Roman" w:hAnsi="Times New Roman" w:cs="Times New Roman"/>
          <w:bCs/>
          <w:i/>
          <w:iCs/>
          <w:sz w:val="24"/>
          <w:szCs w:val="24"/>
        </w:rPr>
        <w:t>xylostella</w:t>
      </w:r>
      <w:proofErr w:type="spellEnd"/>
      <w:r w:rsidRPr="00E7693B">
        <w:rPr>
          <w:rFonts w:ascii="Times New Roman" w:hAnsi="Times New Roman" w:cs="Times New Roman"/>
          <w:bCs/>
          <w:i/>
          <w:iCs/>
          <w:sz w:val="24"/>
          <w:szCs w:val="24"/>
        </w:rPr>
        <w:t xml:space="preserve"> </w:t>
      </w:r>
      <w:r w:rsidRPr="00E7693B">
        <w:rPr>
          <w:rFonts w:ascii="Times New Roman" w:hAnsi="Times New Roman" w:cs="Times New Roman"/>
          <w:bCs/>
          <w:sz w:val="24"/>
          <w:szCs w:val="24"/>
        </w:rPr>
        <w:t xml:space="preserve">caterpillars. Indeed, leaves directly treated with benzothiadiazole (BTH) and </w:t>
      </w:r>
      <w:proofErr w:type="spellStart"/>
      <w:r w:rsidRPr="00E7693B">
        <w:rPr>
          <w:rFonts w:ascii="Times New Roman" w:hAnsi="Times New Roman" w:cs="Times New Roman"/>
          <w:bCs/>
          <w:sz w:val="24"/>
          <w:szCs w:val="24"/>
        </w:rPr>
        <w:t>ulvan</w:t>
      </w:r>
      <w:proofErr w:type="spellEnd"/>
      <w:r w:rsidRPr="00E7693B">
        <w:rPr>
          <w:rFonts w:ascii="Times New Roman" w:hAnsi="Times New Roman" w:cs="Times New Roman"/>
          <w:bCs/>
          <w:sz w:val="24"/>
          <w:szCs w:val="24"/>
        </w:rPr>
        <w:t xml:space="preserve"> were less palatable to caterpillars. Further studies need to be done to unravel this cause of larval choice.</w:t>
      </w:r>
    </w:p>
    <w:p w14:paraId="215097CE" w14:textId="73EEF24B" w:rsidR="00E7693B" w:rsidRPr="00E7693B" w:rsidRDefault="00965E3D" w:rsidP="00FE16F8">
      <w:pPr>
        <w:spacing w:after="0" w:line="36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In </w:t>
      </w:r>
      <w:r w:rsidR="00E7693B" w:rsidRPr="00E7693B">
        <w:rPr>
          <w:rFonts w:ascii="Times New Roman" w:hAnsi="Times New Roman" w:cs="Times New Roman"/>
          <w:bCs/>
          <w:sz w:val="24"/>
          <w:szCs w:val="24"/>
        </w:rPr>
        <w:t xml:space="preserve">Chapter </w:t>
      </w:r>
      <w:r w:rsidR="008453ED">
        <w:rPr>
          <w:rFonts w:ascii="Times New Roman" w:hAnsi="Times New Roman" w:cs="Times New Roman"/>
          <w:bCs/>
          <w:sz w:val="24"/>
          <w:szCs w:val="24"/>
        </w:rPr>
        <w:t>5.4</w:t>
      </w:r>
      <w:r w:rsidR="00F70D57">
        <w:rPr>
          <w:rFonts w:ascii="Times New Roman" w:hAnsi="Times New Roman" w:cs="Times New Roman"/>
          <w:bCs/>
          <w:sz w:val="24"/>
          <w:szCs w:val="24"/>
        </w:rPr>
        <w:t>,</w:t>
      </w:r>
      <w:r w:rsidR="00E7693B" w:rsidRPr="00E7693B">
        <w:rPr>
          <w:rFonts w:ascii="Times New Roman" w:hAnsi="Times New Roman" w:cs="Times New Roman"/>
          <w:bCs/>
          <w:sz w:val="24"/>
          <w:szCs w:val="24"/>
        </w:rPr>
        <w:t xml:space="preserve"> </w:t>
      </w:r>
      <w:r>
        <w:rPr>
          <w:rFonts w:ascii="Times New Roman" w:hAnsi="Times New Roman" w:cs="Times New Roman"/>
          <w:bCs/>
          <w:sz w:val="24"/>
          <w:szCs w:val="24"/>
        </w:rPr>
        <w:t>I focused</w:t>
      </w:r>
      <w:r w:rsidR="00E7693B" w:rsidRPr="00E7693B">
        <w:rPr>
          <w:rFonts w:ascii="Times New Roman" w:hAnsi="Times New Roman" w:cs="Times New Roman"/>
          <w:bCs/>
          <w:sz w:val="24"/>
          <w:szCs w:val="24"/>
        </w:rPr>
        <w:t xml:space="preserve"> on </w:t>
      </w:r>
      <w:r>
        <w:rPr>
          <w:rFonts w:ascii="Times New Roman" w:hAnsi="Times New Roman" w:cs="Times New Roman"/>
          <w:bCs/>
          <w:sz w:val="24"/>
          <w:szCs w:val="24"/>
        </w:rPr>
        <w:t xml:space="preserve">the </w:t>
      </w:r>
      <w:r w:rsidR="00E7693B" w:rsidRPr="00E7693B">
        <w:rPr>
          <w:rFonts w:ascii="Times New Roman" w:hAnsi="Times New Roman" w:cs="Times New Roman"/>
          <w:bCs/>
          <w:sz w:val="24"/>
          <w:szCs w:val="24"/>
        </w:rPr>
        <w:t xml:space="preserve">activation of salicylic acid (SA) and </w:t>
      </w:r>
      <w:proofErr w:type="spellStart"/>
      <w:r w:rsidR="00E7693B" w:rsidRPr="00E7693B">
        <w:rPr>
          <w:rFonts w:ascii="Times New Roman" w:hAnsi="Times New Roman" w:cs="Times New Roman"/>
          <w:bCs/>
          <w:sz w:val="24"/>
          <w:szCs w:val="24"/>
        </w:rPr>
        <w:t>jasmonic</w:t>
      </w:r>
      <w:proofErr w:type="spellEnd"/>
      <w:r w:rsidR="00E7693B" w:rsidRPr="00E7693B">
        <w:rPr>
          <w:rFonts w:ascii="Times New Roman" w:hAnsi="Times New Roman" w:cs="Times New Roman"/>
          <w:bCs/>
          <w:sz w:val="24"/>
          <w:szCs w:val="24"/>
        </w:rPr>
        <w:t xml:space="preserve"> acid (JA) </w:t>
      </w:r>
      <w:proofErr w:type="spellStart"/>
      <w:r w:rsidR="00E7693B" w:rsidRPr="00E7693B">
        <w:rPr>
          <w:rFonts w:ascii="Times New Roman" w:hAnsi="Times New Roman" w:cs="Times New Roman"/>
          <w:bCs/>
          <w:sz w:val="24"/>
          <w:szCs w:val="24"/>
        </w:rPr>
        <w:t>signaling</w:t>
      </w:r>
      <w:proofErr w:type="spellEnd"/>
      <w:r w:rsidR="00E7693B" w:rsidRPr="00E7693B">
        <w:rPr>
          <w:rFonts w:ascii="Times New Roman" w:hAnsi="Times New Roman" w:cs="Times New Roman"/>
          <w:bCs/>
          <w:sz w:val="24"/>
          <w:szCs w:val="24"/>
        </w:rPr>
        <w:t xml:space="preserve"> in </w:t>
      </w:r>
      <w:r w:rsidR="00E7693B" w:rsidRPr="00E7693B">
        <w:rPr>
          <w:rFonts w:ascii="Times New Roman" w:hAnsi="Times New Roman" w:cs="Times New Roman"/>
          <w:bCs/>
          <w:i/>
          <w:iCs/>
          <w:sz w:val="24"/>
          <w:szCs w:val="24"/>
        </w:rPr>
        <w:t xml:space="preserve">Arabidopsis </w:t>
      </w:r>
      <w:r w:rsidR="00E7693B" w:rsidRPr="00E7693B">
        <w:rPr>
          <w:rFonts w:ascii="Times New Roman" w:hAnsi="Times New Roman" w:cs="Times New Roman"/>
          <w:bCs/>
          <w:sz w:val="24"/>
          <w:szCs w:val="24"/>
        </w:rPr>
        <w:t xml:space="preserve">leaves during </w:t>
      </w:r>
      <w:r w:rsidR="00E7693B" w:rsidRPr="00E7693B">
        <w:rPr>
          <w:rFonts w:ascii="Times New Roman" w:hAnsi="Times New Roman" w:cs="Times New Roman"/>
          <w:bCs/>
          <w:i/>
          <w:iCs/>
          <w:sz w:val="24"/>
          <w:szCs w:val="24"/>
        </w:rPr>
        <w:t xml:space="preserve">B. </w:t>
      </w:r>
      <w:proofErr w:type="spellStart"/>
      <w:r w:rsidR="00E7693B" w:rsidRPr="00E7693B">
        <w:rPr>
          <w:rFonts w:ascii="Times New Roman" w:hAnsi="Times New Roman" w:cs="Times New Roman"/>
          <w:bCs/>
          <w:i/>
          <w:iCs/>
          <w:sz w:val="24"/>
          <w:szCs w:val="24"/>
        </w:rPr>
        <w:t>brassicae</w:t>
      </w:r>
      <w:proofErr w:type="spellEnd"/>
      <w:r w:rsidR="00E7693B" w:rsidRPr="00E7693B">
        <w:rPr>
          <w:rFonts w:ascii="Times New Roman" w:hAnsi="Times New Roman" w:cs="Times New Roman"/>
          <w:bCs/>
          <w:i/>
          <w:iCs/>
          <w:sz w:val="24"/>
          <w:szCs w:val="24"/>
        </w:rPr>
        <w:t xml:space="preserve"> </w:t>
      </w:r>
      <w:r w:rsidR="00E7693B" w:rsidRPr="00E7693B">
        <w:rPr>
          <w:rFonts w:ascii="Times New Roman" w:hAnsi="Times New Roman" w:cs="Times New Roman"/>
          <w:bCs/>
          <w:sz w:val="24"/>
          <w:szCs w:val="24"/>
        </w:rPr>
        <w:t xml:space="preserve">infestation in high </w:t>
      </w:r>
      <w:proofErr w:type="spellStart"/>
      <w:r w:rsidR="00E7693B" w:rsidRPr="00E7693B">
        <w:rPr>
          <w:rFonts w:ascii="Times New Roman" w:hAnsi="Times New Roman" w:cs="Times New Roman"/>
          <w:bCs/>
          <w:sz w:val="24"/>
          <w:szCs w:val="24"/>
        </w:rPr>
        <w:t>spatio</w:t>
      </w:r>
      <w:proofErr w:type="spellEnd"/>
      <w:r w:rsidR="00E7693B" w:rsidRPr="00E7693B">
        <w:rPr>
          <w:rFonts w:ascii="Times New Roman" w:hAnsi="Times New Roman" w:cs="Times New Roman"/>
          <w:bCs/>
          <w:sz w:val="24"/>
          <w:szCs w:val="24"/>
        </w:rPr>
        <w:t xml:space="preserve">-temporal resolution. </w:t>
      </w:r>
      <w:r w:rsidR="00323FAE" w:rsidRPr="00323FAE">
        <w:rPr>
          <w:rFonts w:ascii="Times New Roman" w:hAnsi="Times New Roman" w:cs="Times New Roman"/>
          <w:bCs/>
          <w:sz w:val="24"/>
          <w:szCs w:val="24"/>
        </w:rPr>
        <w:t xml:space="preserve">Despite the increasing understanding of transcriptomic changes upon infestation, </w:t>
      </w:r>
      <w:r w:rsidR="00323FAE" w:rsidRPr="00323FAE">
        <w:rPr>
          <w:rFonts w:ascii="Times New Roman" w:hAnsi="Times New Roman" w:cs="Times New Roman"/>
          <w:bCs/>
          <w:sz w:val="24"/>
          <w:szCs w:val="24"/>
        </w:rPr>
        <w:lastRenderedPageBreak/>
        <w:t>discrepancies in results frequently arise due to variations in sampling methodologies. To address this issue, I employed genetically encoded fluorescent biosensors, histochemistry, and quantitative reverse transcription PCR (</w:t>
      </w:r>
      <w:proofErr w:type="spellStart"/>
      <w:r w:rsidR="00323FAE" w:rsidRPr="00323FAE">
        <w:rPr>
          <w:rFonts w:ascii="Times New Roman" w:hAnsi="Times New Roman" w:cs="Times New Roman"/>
          <w:bCs/>
          <w:sz w:val="24"/>
          <w:szCs w:val="24"/>
        </w:rPr>
        <w:t>qRT</w:t>
      </w:r>
      <w:proofErr w:type="spellEnd"/>
      <w:r w:rsidR="00323FAE" w:rsidRPr="00323FAE">
        <w:rPr>
          <w:rFonts w:ascii="Times New Roman" w:hAnsi="Times New Roman" w:cs="Times New Roman"/>
          <w:bCs/>
          <w:sz w:val="24"/>
          <w:szCs w:val="24"/>
        </w:rPr>
        <w:t xml:space="preserve">-PCR) techniques to accurately </w:t>
      </w:r>
      <w:r w:rsidR="00323FAE">
        <w:rPr>
          <w:rFonts w:ascii="Times New Roman" w:hAnsi="Times New Roman" w:cs="Times New Roman"/>
          <w:bCs/>
          <w:sz w:val="24"/>
          <w:szCs w:val="24"/>
        </w:rPr>
        <w:t>trace</w:t>
      </w:r>
      <w:r w:rsidR="00323FAE" w:rsidRPr="00323FAE">
        <w:rPr>
          <w:rFonts w:ascii="Times New Roman" w:hAnsi="Times New Roman" w:cs="Times New Roman"/>
          <w:bCs/>
          <w:sz w:val="24"/>
          <w:szCs w:val="24"/>
        </w:rPr>
        <w:t xml:space="preserve"> the activation patterns of distinct branches of phytohormonal </w:t>
      </w:r>
      <w:proofErr w:type="spellStart"/>
      <w:r w:rsidR="00323FAE" w:rsidRPr="00323FAE">
        <w:rPr>
          <w:rFonts w:ascii="Times New Roman" w:hAnsi="Times New Roman" w:cs="Times New Roman"/>
          <w:bCs/>
          <w:sz w:val="24"/>
          <w:szCs w:val="24"/>
        </w:rPr>
        <w:t>signaling</w:t>
      </w:r>
      <w:proofErr w:type="spellEnd"/>
      <w:r w:rsidR="00323FAE" w:rsidRPr="00323FAE">
        <w:rPr>
          <w:rFonts w:ascii="Times New Roman" w:hAnsi="Times New Roman" w:cs="Times New Roman"/>
          <w:bCs/>
          <w:sz w:val="24"/>
          <w:szCs w:val="24"/>
        </w:rPr>
        <w:t>.</w:t>
      </w:r>
      <w:r w:rsidR="00E7693B" w:rsidRPr="00E7693B">
        <w:rPr>
          <w:rFonts w:ascii="Times New Roman" w:hAnsi="Times New Roman" w:cs="Times New Roman"/>
          <w:bCs/>
          <w:sz w:val="24"/>
          <w:szCs w:val="24"/>
        </w:rPr>
        <w:t xml:space="preserve"> </w:t>
      </w:r>
      <w:r>
        <w:rPr>
          <w:rFonts w:ascii="Times New Roman" w:hAnsi="Times New Roman" w:cs="Times New Roman"/>
          <w:bCs/>
          <w:sz w:val="24"/>
          <w:szCs w:val="24"/>
        </w:rPr>
        <w:t xml:space="preserve">I observed </w:t>
      </w:r>
      <w:r w:rsidR="00E7693B" w:rsidRPr="00E7693B">
        <w:rPr>
          <w:rFonts w:ascii="Times New Roman" w:hAnsi="Times New Roman" w:cs="Times New Roman"/>
          <w:bCs/>
          <w:sz w:val="24"/>
          <w:szCs w:val="24"/>
        </w:rPr>
        <w:t xml:space="preserve">a rapid induction of SA and JA </w:t>
      </w:r>
      <w:proofErr w:type="spellStart"/>
      <w:r w:rsidR="00E7693B" w:rsidRPr="00E7693B">
        <w:rPr>
          <w:rFonts w:ascii="Times New Roman" w:hAnsi="Times New Roman" w:cs="Times New Roman"/>
          <w:bCs/>
          <w:sz w:val="24"/>
          <w:szCs w:val="24"/>
        </w:rPr>
        <w:t>signaling</w:t>
      </w:r>
      <w:proofErr w:type="spellEnd"/>
      <w:r w:rsidR="00E7693B" w:rsidRPr="00E7693B">
        <w:rPr>
          <w:rFonts w:ascii="Times New Roman" w:hAnsi="Times New Roman" w:cs="Times New Roman"/>
          <w:bCs/>
          <w:sz w:val="24"/>
          <w:szCs w:val="24"/>
        </w:rPr>
        <w:t xml:space="preserve"> in cells surrounding stylet puncture, co-localizing with callose deposition. For both </w:t>
      </w:r>
      <w:r w:rsidR="00E7693B" w:rsidRPr="00E7693B">
        <w:rPr>
          <w:rFonts w:ascii="Times New Roman" w:hAnsi="Times New Roman" w:cs="Times New Roman"/>
          <w:bCs/>
          <w:i/>
          <w:iCs/>
          <w:sz w:val="24"/>
          <w:szCs w:val="24"/>
        </w:rPr>
        <w:t>PR1</w:t>
      </w:r>
      <w:r w:rsidR="00E7693B" w:rsidRPr="00E7693B">
        <w:rPr>
          <w:rFonts w:ascii="Times New Roman" w:hAnsi="Times New Roman" w:cs="Times New Roman"/>
          <w:bCs/>
          <w:sz w:val="24"/>
          <w:szCs w:val="24"/>
        </w:rPr>
        <w:t xml:space="preserve"> and </w:t>
      </w:r>
      <w:r w:rsidR="00E7693B" w:rsidRPr="00E7693B">
        <w:rPr>
          <w:rFonts w:ascii="Times New Roman" w:hAnsi="Times New Roman" w:cs="Times New Roman"/>
          <w:bCs/>
          <w:i/>
          <w:iCs/>
          <w:sz w:val="24"/>
          <w:szCs w:val="24"/>
        </w:rPr>
        <w:t>JAZ10</w:t>
      </w:r>
      <w:r w:rsidR="00755BFE">
        <w:rPr>
          <w:rFonts w:ascii="Times New Roman" w:hAnsi="Times New Roman" w:cs="Times New Roman"/>
          <w:bCs/>
          <w:sz w:val="24"/>
          <w:szCs w:val="24"/>
        </w:rPr>
        <w:t xml:space="preserve"> </w:t>
      </w:r>
      <w:r w:rsidR="00E7693B" w:rsidRPr="00E7693B">
        <w:rPr>
          <w:rFonts w:ascii="Times New Roman" w:hAnsi="Times New Roman" w:cs="Times New Roman"/>
          <w:bCs/>
          <w:sz w:val="24"/>
          <w:szCs w:val="24"/>
        </w:rPr>
        <w:t xml:space="preserve">activation </w:t>
      </w:r>
      <w:r w:rsidR="00755BFE">
        <w:rPr>
          <w:rFonts w:ascii="Times New Roman" w:hAnsi="Times New Roman" w:cs="Times New Roman"/>
          <w:bCs/>
          <w:sz w:val="24"/>
          <w:szCs w:val="24"/>
        </w:rPr>
        <w:t xml:space="preserve">was detected </w:t>
      </w:r>
      <w:r w:rsidR="00E7693B" w:rsidRPr="00E7693B">
        <w:rPr>
          <w:rFonts w:ascii="Times New Roman" w:hAnsi="Times New Roman" w:cs="Times New Roman"/>
          <w:bCs/>
          <w:sz w:val="24"/>
          <w:szCs w:val="24"/>
        </w:rPr>
        <w:t xml:space="preserve">at 24 </w:t>
      </w:r>
      <w:proofErr w:type="spellStart"/>
      <w:r w:rsidR="00E7693B" w:rsidRPr="00E7693B">
        <w:rPr>
          <w:rFonts w:ascii="Times New Roman" w:hAnsi="Times New Roman" w:cs="Times New Roman"/>
          <w:bCs/>
          <w:sz w:val="24"/>
          <w:szCs w:val="24"/>
        </w:rPr>
        <w:t>hpi</w:t>
      </w:r>
      <w:proofErr w:type="spellEnd"/>
      <w:r w:rsidR="00E7693B" w:rsidRPr="00E7693B">
        <w:rPr>
          <w:rFonts w:ascii="Times New Roman" w:hAnsi="Times New Roman" w:cs="Times New Roman"/>
          <w:bCs/>
          <w:sz w:val="24"/>
          <w:szCs w:val="24"/>
        </w:rPr>
        <w:t xml:space="preserve">, increasing and spreading along the veins until 72 </w:t>
      </w:r>
      <w:proofErr w:type="spellStart"/>
      <w:r w:rsidR="00E7693B" w:rsidRPr="00E7693B">
        <w:rPr>
          <w:rFonts w:ascii="Times New Roman" w:hAnsi="Times New Roman" w:cs="Times New Roman"/>
          <w:bCs/>
          <w:sz w:val="24"/>
          <w:szCs w:val="24"/>
        </w:rPr>
        <w:t>hpi</w:t>
      </w:r>
      <w:proofErr w:type="spellEnd"/>
      <w:r w:rsidR="00E7693B" w:rsidRPr="00E7693B">
        <w:rPr>
          <w:rFonts w:ascii="Times New Roman" w:hAnsi="Times New Roman" w:cs="Times New Roman"/>
          <w:bCs/>
          <w:sz w:val="24"/>
          <w:szCs w:val="24"/>
        </w:rPr>
        <w:t xml:space="preserve"> and, to a lesser extent, within the epidermal pavement cells. The SA </w:t>
      </w:r>
      <w:proofErr w:type="spellStart"/>
      <w:r w:rsidR="00E7693B" w:rsidRPr="00E7693B">
        <w:rPr>
          <w:rFonts w:ascii="Times New Roman" w:hAnsi="Times New Roman" w:cs="Times New Roman"/>
          <w:bCs/>
          <w:sz w:val="24"/>
          <w:szCs w:val="24"/>
        </w:rPr>
        <w:t>signaling</w:t>
      </w:r>
      <w:proofErr w:type="spellEnd"/>
      <w:r w:rsidR="00E7693B" w:rsidRPr="00E7693B">
        <w:rPr>
          <w:rFonts w:ascii="Times New Roman" w:hAnsi="Times New Roman" w:cs="Times New Roman"/>
          <w:bCs/>
          <w:sz w:val="24"/>
          <w:szCs w:val="24"/>
        </w:rPr>
        <w:t xml:space="preserve"> wave appeared in parallel with JA-associated, and continued to increase in time. </w:t>
      </w:r>
      <w:r w:rsidR="00755BFE">
        <w:rPr>
          <w:rFonts w:ascii="Times New Roman" w:hAnsi="Times New Roman" w:cs="Times New Roman"/>
          <w:bCs/>
          <w:sz w:val="24"/>
          <w:szCs w:val="24"/>
        </w:rPr>
        <w:t>These</w:t>
      </w:r>
      <w:r w:rsidR="00E7693B" w:rsidRPr="00E7693B">
        <w:rPr>
          <w:rFonts w:ascii="Times New Roman" w:hAnsi="Times New Roman" w:cs="Times New Roman"/>
          <w:bCs/>
          <w:sz w:val="24"/>
          <w:szCs w:val="24"/>
        </w:rPr>
        <w:t xml:space="preserve"> results first show a local activation of SA- and JA-related responses after stylet penetration of </w:t>
      </w:r>
      <w:r w:rsidR="00E7693B" w:rsidRPr="00E7693B">
        <w:rPr>
          <w:rFonts w:ascii="Times New Roman" w:hAnsi="Times New Roman" w:cs="Times New Roman"/>
          <w:bCs/>
          <w:i/>
          <w:iCs/>
          <w:sz w:val="24"/>
          <w:szCs w:val="24"/>
        </w:rPr>
        <w:t>Arabidopsis</w:t>
      </w:r>
      <w:r w:rsidR="00E7693B" w:rsidRPr="00E7693B">
        <w:rPr>
          <w:rFonts w:ascii="Times New Roman" w:hAnsi="Times New Roman" w:cs="Times New Roman"/>
          <w:bCs/>
          <w:sz w:val="24"/>
          <w:szCs w:val="24"/>
        </w:rPr>
        <w:t xml:space="preserve"> leaves and bring a detailed insight into the </w:t>
      </w:r>
      <w:proofErr w:type="spellStart"/>
      <w:r w:rsidR="00E7693B" w:rsidRPr="00E7693B">
        <w:rPr>
          <w:rFonts w:ascii="Times New Roman" w:hAnsi="Times New Roman" w:cs="Times New Roman"/>
          <w:bCs/>
          <w:sz w:val="24"/>
          <w:szCs w:val="24"/>
        </w:rPr>
        <w:t>spatio</w:t>
      </w:r>
      <w:proofErr w:type="spellEnd"/>
      <w:r w:rsidR="00E7693B" w:rsidRPr="00E7693B">
        <w:rPr>
          <w:rFonts w:ascii="Times New Roman" w:hAnsi="Times New Roman" w:cs="Times New Roman"/>
          <w:bCs/>
          <w:sz w:val="24"/>
          <w:szCs w:val="24"/>
        </w:rPr>
        <w:t>-temporal complexity of plant defence activation during specialist aphid attack.</w:t>
      </w:r>
    </w:p>
    <w:p w14:paraId="215097CF" w14:textId="30D212FF" w:rsidR="00E7693B" w:rsidRPr="00E7693B" w:rsidRDefault="00E7693B" w:rsidP="00FE16F8">
      <w:pPr>
        <w:spacing w:after="0" w:line="360" w:lineRule="auto"/>
        <w:ind w:firstLine="720"/>
        <w:jc w:val="both"/>
        <w:rPr>
          <w:rFonts w:ascii="Times New Roman" w:hAnsi="Times New Roman" w:cs="Times New Roman"/>
          <w:bCs/>
          <w:sz w:val="24"/>
          <w:szCs w:val="24"/>
        </w:rPr>
      </w:pPr>
      <w:r w:rsidRPr="00E7693B">
        <w:rPr>
          <w:rFonts w:ascii="Times New Roman" w:hAnsi="Times New Roman" w:cs="Times New Roman"/>
          <w:bCs/>
          <w:sz w:val="24"/>
          <w:szCs w:val="24"/>
        </w:rPr>
        <w:t xml:space="preserve">In Chapter </w:t>
      </w:r>
      <w:r w:rsidR="008453ED">
        <w:rPr>
          <w:rFonts w:ascii="Times New Roman" w:hAnsi="Times New Roman" w:cs="Times New Roman"/>
          <w:bCs/>
          <w:sz w:val="24"/>
          <w:szCs w:val="24"/>
        </w:rPr>
        <w:t>5.5</w:t>
      </w:r>
      <w:r w:rsidR="00F70D57">
        <w:rPr>
          <w:rFonts w:ascii="Times New Roman" w:hAnsi="Times New Roman" w:cs="Times New Roman"/>
          <w:bCs/>
          <w:sz w:val="24"/>
          <w:szCs w:val="24"/>
        </w:rPr>
        <w:t>,</w:t>
      </w:r>
      <w:r w:rsidRPr="00E7693B">
        <w:rPr>
          <w:rFonts w:ascii="Times New Roman" w:hAnsi="Times New Roman" w:cs="Times New Roman"/>
          <w:bCs/>
          <w:sz w:val="24"/>
          <w:szCs w:val="24"/>
        </w:rPr>
        <w:t xml:space="preserve"> </w:t>
      </w:r>
      <w:r w:rsidR="00965E3D">
        <w:rPr>
          <w:rFonts w:ascii="Times New Roman" w:hAnsi="Times New Roman" w:cs="Times New Roman"/>
          <w:bCs/>
          <w:sz w:val="24"/>
          <w:szCs w:val="24"/>
        </w:rPr>
        <w:t>I</w:t>
      </w:r>
      <w:r w:rsidRPr="00E7693B">
        <w:rPr>
          <w:rFonts w:ascii="Times New Roman" w:hAnsi="Times New Roman" w:cs="Times New Roman"/>
          <w:bCs/>
          <w:sz w:val="24"/>
          <w:szCs w:val="24"/>
        </w:rPr>
        <w:t xml:space="preserve"> hypothesized that root association </w:t>
      </w:r>
      <w:r w:rsidR="00655F8E">
        <w:rPr>
          <w:rFonts w:ascii="Times New Roman" w:hAnsi="Times New Roman" w:cs="Times New Roman"/>
          <w:bCs/>
          <w:sz w:val="24"/>
          <w:szCs w:val="24"/>
        </w:rPr>
        <w:t>with</w:t>
      </w:r>
      <w:r w:rsidRPr="00E7693B">
        <w:rPr>
          <w:rFonts w:ascii="Times New Roman" w:hAnsi="Times New Roman" w:cs="Times New Roman"/>
          <w:bCs/>
          <w:sz w:val="24"/>
          <w:szCs w:val="24"/>
        </w:rPr>
        <w:t xml:space="preserve"> a plant-beneficial fungus </w:t>
      </w:r>
      <w:r w:rsidRPr="00E7693B">
        <w:rPr>
          <w:rFonts w:ascii="Times New Roman" w:hAnsi="Times New Roman" w:cs="Times New Roman"/>
          <w:bCs/>
          <w:i/>
          <w:iCs/>
          <w:sz w:val="24"/>
          <w:szCs w:val="24"/>
        </w:rPr>
        <w:t xml:space="preserve">Metarhizium </w:t>
      </w:r>
      <w:proofErr w:type="spellStart"/>
      <w:r w:rsidRPr="00E7693B">
        <w:rPr>
          <w:rFonts w:ascii="Times New Roman" w:hAnsi="Times New Roman" w:cs="Times New Roman"/>
          <w:bCs/>
          <w:i/>
          <w:iCs/>
          <w:sz w:val="24"/>
          <w:szCs w:val="24"/>
        </w:rPr>
        <w:t>robertsii</w:t>
      </w:r>
      <w:proofErr w:type="spellEnd"/>
      <w:r w:rsidRPr="00E7693B">
        <w:rPr>
          <w:rFonts w:ascii="Times New Roman" w:hAnsi="Times New Roman" w:cs="Times New Roman"/>
          <w:bCs/>
          <w:sz w:val="24"/>
          <w:szCs w:val="24"/>
        </w:rPr>
        <w:t xml:space="preserve"> will prime the plant for defence against subsequent </w:t>
      </w:r>
      <w:r w:rsidRPr="00E7693B">
        <w:rPr>
          <w:rFonts w:ascii="Times New Roman" w:hAnsi="Times New Roman" w:cs="Times New Roman"/>
          <w:bCs/>
          <w:i/>
          <w:iCs/>
          <w:sz w:val="24"/>
          <w:szCs w:val="24"/>
        </w:rPr>
        <w:t xml:space="preserve">L. </w:t>
      </w:r>
      <w:proofErr w:type="spellStart"/>
      <w:r w:rsidRPr="00E7693B">
        <w:rPr>
          <w:rFonts w:ascii="Times New Roman" w:hAnsi="Times New Roman" w:cs="Times New Roman"/>
          <w:bCs/>
          <w:i/>
          <w:iCs/>
          <w:sz w:val="24"/>
          <w:szCs w:val="24"/>
        </w:rPr>
        <w:t>maculans</w:t>
      </w:r>
      <w:proofErr w:type="spellEnd"/>
      <w:r w:rsidRPr="00E7693B">
        <w:rPr>
          <w:rFonts w:ascii="Times New Roman" w:hAnsi="Times New Roman" w:cs="Times New Roman"/>
          <w:bCs/>
          <w:i/>
          <w:iCs/>
          <w:sz w:val="24"/>
          <w:szCs w:val="24"/>
        </w:rPr>
        <w:t xml:space="preserve"> </w:t>
      </w:r>
      <w:r w:rsidRPr="00E7693B">
        <w:rPr>
          <w:rFonts w:ascii="Times New Roman" w:hAnsi="Times New Roman" w:cs="Times New Roman"/>
          <w:bCs/>
          <w:sz w:val="24"/>
          <w:szCs w:val="24"/>
        </w:rPr>
        <w:t xml:space="preserve">infection. However, </w:t>
      </w:r>
      <w:r w:rsidR="00965E3D">
        <w:rPr>
          <w:rFonts w:ascii="Times New Roman" w:hAnsi="Times New Roman" w:cs="Times New Roman"/>
          <w:bCs/>
          <w:sz w:val="24"/>
          <w:szCs w:val="24"/>
        </w:rPr>
        <w:t>I</w:t>
      </w:r>
      <w:r w:rsidRPr="00E7693B">
        <w:rPr>
          <w:rFonts w:ascii="Times New Roman" w:hAnsi="Times New Roman" w:cs="Times New Roman"/>
          <w:bCs/>
          <w:sz w:val="24"/>
          <w:szCs w:val="24"/>
        </w:rPr>
        <w:t xml:space="preserve"> observed that symbiotic association by </w:t>
      </w:r>
      <w:r w:rsidRPr="00E7693B">
        <w:rPr>
          <w:rFonts w:ascii="Times New Roman" w:hAnsi="Times New Roman" w:cs="Times New Roman"/>
          <w:bCs/>
          <w:i/>
          <w:iCs/>
          <w:sz w:val="24"/>
          <w:szCs w:val="24"/>
        </w:rPr>
        <w:t xml:space="preserve">M. </w:t>
      </w:r>
      <w:proofErr w:type="spellStart"/>
      <w:r w:rsidRPr="00E7693B">
        <w:rPr>
          <w:rFonts w:ascii="Times New Roman" w:hAnsi="Times New Roman" w:cs="Times New Roman"/>
          <w:bCs/>
          <w:i/>
          <w:iCs/>
          <w:sz w:val="24"/>
          <w:szCs w:val="24"/>
        </w:rPr>
        <w:t>robertsii</w:t>
      </w:r>
      <w:proofErr w:type="spellEnd"/>
      <w:r w:rsidRPr="00E7693B">
        <w:rPr>
          <w:rFonts w:ascii="Times New Roman" w:hAnsi="Times New Roman" w:cs="Times New Roman"/>
          <w:bCs/>
          <w:i/>
          <w:iCs/>
          <w:sz w:val="24"/>
          <w:szCs w:val="24"/>
        </w:rPr>
        <w:t xml:space="preserve"> </w:t>
      </w:r>
      <w:r w:rsidRPr="00E7693B">
        <w:rPr>
          <w:rFonts w:ascii="Times New Roman" w:hAnsi="Times New Roman" w:cs="Times New Roman"/>
          <w:bCs/>
          <w:sz w:val="24"/>
          <w:szCs w:val="24"/>
        </w:rPr>
        <w:t>supported the infe</w:t>
      </w:r>
      <w:r w:rsidR="00965E3D">
        <w:rPr>
          <w:rFonts w:ascii="Times New Roman" w:hAnsi="Times New Roman" w:cs="Times New Roman"/>
          <w:bCs/>
          <w:sz w:val="24"/>
          <w:szCs w:val="24"/>
        </w:rPr>
        <w:t>ction compared to control group; additionally,</w:t>
      </w:r>
      <w:r w:rsidRPr="00E7693B">
        <w:rPr>
          <w:rFonts w:ascii="Times New Roman" w:hAnsi="Times New Roman" w:cs="Times New Roman"/>
          <w:bCs/>
          <w:sz w:val="24"/>
          <w:szCs w:val="24"/>
        </w:rPr>
        <w:t xml:space="preserve"> plants were susceptible when treated with 0.05 % Triton X compared to water treatment. This might be due to observed changes in phytohormonal </w:t>
      </w:r>
      <w:proofErr w:type="spellStart"/>
      <w:r w:rsidRPr="00E7693B">
        <w:rPr>
          <w:rFonts w:ascii="Times New Roman" w:hAnsi="Times New Roman" w:cs="Times New Roman"/>
          <w:bCs/>
          <w:sz w:val="24"/>
          <w:szCs w:val="24"/>
        </w:rPr>
        <w:t>signaling</w:t>
      </w:r>
      <w:proofErr w:type="spellEnd"/>
      <w:r w:rsidRPr="00E7693B">
        <w:rPr>
          <w:rFonts w:ascii="Times New Roman" w:hAnsi="Times New Roman" w:cs="Times New Roman"/>
          <w:bCs/>
          <w:sz w:val="24"/>
          <w:szCs w:val="24"/>
        </w:rPr>
        <w:t xml:space="preserve"> responses, as </w:t>
      </w:r>
      <w:r w:rsidRPr="00E7693B">
        <w:rPr>
          <w:rFonts w:ascii="Times New Roman" w:hAnsi="Times New Roman" w:cs="Times New Roman"/>
          <w:bCs/>
          <w:i/>
          <w:iCs/>
          <w:sz w:val="24"/>
          <w:szCs w:val="24"/>
        </w:rPr>
        <w:t xml:space="preserve">M. </w:t>
      </w:r>
      <w:proofErr w:type="spellStart"/>
      <w:r w:rsidRPr="00E7693B">
        <w:rPr>
          <w:rFonts w:ascii="Times New Roman" w:hAnsi="Times New Roman" w:cs="Times New Roman"/>
          <w:bCs/>
          <w:i/>
          <w:iCs/>
          <w:sz w:val="24"/>
          <w:szCs w:val="24"/>
        </w:rPr>
        <w:t>robertsii</w:t>
      </w:r>
      <w:proofErr w:type="spellEnd"/>
      <w:r w:rsidRPr="00E7693B">
        <w:rPr>
          <w:rFonts w:ascii="Times New Roman" w:hAnsi="Times New Roman" w:cs="Times New Roman"/>
          <w:bCs/>
          <w:i/>
          <w:iCs/>
          <w:sz w:val="24"/>
          <w:szCs w:val="24"/>
        </w:rPr>
        <w:t xml:space="preserve"> </w:t>
      </w:r>
      <w:r w:rsidRPr="00E7693B">
        <w:rPr>
          <w:rFonts w:ascii="Times New Roman" w:hAnsi="Times New Roman" w:cs="Times New Roman"/>
          <w:bCs/>
          <w:sz w:val="24"/>
          <w:szCs w:val="24"/>
        </w:rPr>
        <w:t xml:space="preserve">and 0.05 % Triton X activated JA </w:t>
      </w:r>
      <w:proofErr w:type="spellStart"/>
      <w:r w:rsidRPr="00E7693B">
        <w:rPr>
          <w:rFonts w:ascii="Times New Roman" w:hAnsi="Times New Roman" w:cs="Times New Roman"/>
          <w:bCs/>
          <w:sz w:val="24"/>
          <w:szCs w:val="24"/>
        </w:rPr>
        <w:t>signaling</w:t>
      </w:r>
      <w:proofErr w:type="spellEnd"/>
      <w:r w:rsidRPr="00E7693B">
        <w:rPr>
          <w:rFonts w:ascii="Times New Roman" w:hAnsi="Times New Roman" w:cs="Times New Roman"/>
          <w:bCs/>
          <w:sz w:val="24"/>
          <w:szCs w:val="24"/>
        </w:rPr>
        <w:t xml:space="preserve"> and suppressed the activation of ET and oxidative stress responses.</w:t>
      </w:r>
    </w:p>
    <w:p w14:paraId="215097D0" w14:textId="77777777" w:rsidR="00E7693B" w:rsidRPr="00E7693B" w:rsidRDefault="00E7693B" w:rsidP="00FE16F8">
      <w:pPr>
        <w:spacing w:after="0" w:line="360" w:lineRule="auto"/>
        <w:jc w:val="both"/>
        <w:rPr>
          <w:rFonts w:ascii="Times New Roman" w:hAnsi="Times New Roman" w:cs="Times New Roman"/>
          <w:sz w:val="24"/>
          <w:szCs w:val="24"/>
        </w:rPr>
      </w:pPr>
    </w:p>
    <w:p w14:paraId="215097D2" w14:textId="2B2EDC9C" w:rsidR="00E7693B" w:rsidRPr="00E7693B" w:rsidRDefault="00E7693B" w:rsidP="00FE16F8">
      <w:pPr>
        <w:spacing w:line="360" w:lineRule="auto"/>
        <w:jc w:val="both"/>
        <w:rPr>
          <w:rFonts w:ascii="Times New Roman" w:hAnsi="Times New Roman" w:cs="Times New Roman"/>
          <w:sz w:val="24"/>
          <w:szCs w:val="24"/>
        </w:rPr>
      </w:pPr>
      <w:r w:rsidRPr="00E7693B">
        <w:rPr>
          <w:rFonts w:ascii="Times New Roman" w:hAnsi="Times New Roman" w:cs="Times New Roman"/>
          <w:b/>
          <w:bCs/>
          <w:sz w:val="24"/>
          <w:szCs w:val="24"/>
        </w:rPr>
        <w:t>Keywords</w:t>
      </w:r>
      <w:r w:rsidR="00FE16F8">
        <w:rPr>
          <w:rFonts w:ascii="Times New Roman" w:hAnsi="Times New Roman" w:cs="Times New Roman"/>
          <w:sz w:val="24"/>
          <w:szCs w:val="24"/>
        </w:rPr>
        <w:t xml:space="preserve">: </w:t>
      </w:r>
      <w:r w:rsidR="009D0ABF">
        <w:rPr>
          <w:rFonts w:ascii="Times New Roman" w:hAnsi="Times New Roman" w:cs="Times New Roman"/>
          <w:sz w:val="24"/>
          <w:szCs w:val="24"/>
        </w:rPr>
        <w:t xml:space="preserve">elicitors, </w:t>
      </w:r>
      <w:r w:rsidR="00241E45">
        <w:rPr>
          <w:rFonts w:ascii="Times New Roman" w:hAnsi="Times New Roman" w:cs="Times New Roman"/>
          <w:sz w:val="24"/>
          <w:szCs w:val="24"/>
        </w:rPr>
        <w:t xml:space="preserve">glucosinolates, </w:t>
      </w:r>
      <w:r w:rsidR="009D0ABF">
        <w:rPr>
          <w:rFonts w:ascii="Times New Roman" w:hAnsi="Times New Roman" w:cs="Times New Roman"/>
          <w:sz w:val="24"/>
          <w:szCs w:val="24"/>
        </w:rPr>
        <w:t xml:space="preserve">herbivores, </w:t>
      </w:r>
      <w:r w:rsidR="00241E45">
        <w:rPr>
          <w:rFonts w:ascii="Times New Roman" w:hAnsi="Times New Roman" w:cs="Times New Roman"/>
          <w:sz w:val="24"/>
          <w:szCs w:val="24"/>
        </w:rPr>
        <w:t xml:space="preserve">pathogens, phytohormones, </w:t>
      </w:r>
      <w:r w:rsidR="00E572F6">
        <w:rPr>
          <w:rFonts w:ascii="Times New Roman" w:hAnsi="Times New Roman" w:cs="Times New Roman"/>
          <w:sz w:val="24"/>
          <w:szCs w:val="24"/>
        </w:rPr>
        <w:t>plant interactions, symbionts, volatiles</w:t>
      </w:r>
    </w:p>
    <w:p w14:paraId="36390F8B" w14:textId="33CE0C6C" w:rsidR="00E572F6" w:rsidRDefault="00E7693B">
      <w:pPr>
        <w:rPr>
          <w:rFonts w:ascii="Times New Roman" w:hAnsi="Times New Roman" w:cs="Times New Roman"/>
          <w:b/>
          <w:sz w:val="28"/>
          <w:szCs w:val="28"/>
        </w:rPr>
      </w:pPr>
      <w:r w:rsidRPr="00E7693B">
        <w:rPr>
          <w:rFonts w:ascii="Times New Roman" w:hAnsi="Times New Roman" w:cs="Times New Roman"/>
        </w:rPr>
        <w:br w:type="page"/>
      </w:r>
      <w:r w:rsidR="00E572F6" w:rsidRPr="00E572F6">
        <w:rPr>
          <w:rFonts w:ascii="Times New Roman" w:hAnsi="Times New Roman" w:cs="Times New Roman"/>
          <w:b/>
          <w:color w:val="1F1F1F"/>
          <w:sz w:val="28"/>
          <w:szCs w:val="28"/>
          <w:shd w:val="clear" w:color="auto" w:fill="FFFFFF"/>
        </w:rPr>
        <w:lastRenderedPageBreak/>
        <w:t>ACKNOWLEDGEMENT</w:t>
      </w:r>
      <w:r w:rsidR="00057FB0">
        <w:rPr>
          <w:rFonts w:ascii="Times New Roman" w:hAnsi="Times New Roman" w:cs="Times New Roman"/>
          <w:b/>
          <w:sz w:val="28"/>
          <w:szCs w:val="28"/>
        </w:rPr>
        <w:t>S</w:t>
      </w:r>
    </w:p>
    <w:p w14:paraId="199D9BDD" w14:textId="77777777" w:rsidR="00057FB0" w:rsidRDefault="00057FB0">
      <w:pPr>
        <w:rPr>
          <w:rFonts w:ascii="Times New Roman" w:hAnsi="Times New Roman" w:cs="Times New Roman"/>
          <w:b/>
          <w:sz w:val="24"/>
          <w:szCs w:val="24"/>
        </w:rPr>
      </w:pPr>
    </w:p>
    <w:p w14:paraId="7341294B" w14:textId="3A74C749" w:rsidR="002F4923" w:rsidRPr="002F4923" w:rsidRDefault="002F4923" w:rsidP="002F4923">
      <w:pPr>
        <w:spacing w:line="360" w:lineRule="auto"/>
        <w:jc w:val="both"/>
        <w:rPr>
          <w:rFonts w:ascii="Times New Roman" w:hAnsi="Times New Roman" w:cs="Times New Roman"/>
          <w:bCs/>
          <w:sz w:val="24"/>
          <w:szCs w:val="24"/>
        </w:rPr>
      </w:pPr>
      <w:r w:rsidRPr="002F4923">
        <w:rPr>
          <w:rFonts w:ascii="Times New Roman" w:hAnsi="Times New Roman" w:cs="Times New Roman"/>
          <w:bCs/>
          <w:sz w:val="24"/>
          <w:szCs w:val="24"/>
        </w:rPr>
        <w:t xml:space="preserve">First and foremost, I would like to express my heartfelt gratitude to my </w:t>
      </w:r>
      <w:r w:rsidR="00607DC8">
        <w:rPr>
          <w:rFonts w:ascii="Times New Roman" w:hAnsi="Times New Roman" w:cs="Times New Roman"/>
          <w:bCs/>
          <w:sz w:val="24"/>
          <w:szCs w:val="24"/>
        </w:rPr>
        <w:t>mentor</w:t>
      </w:r>
      <w:r w:rsidRPr="002F4923">
        <w:rPr>
          <w:rFonts w:ascii="Times New Roman" w:hAnsi="Times New Roman" w:cs="Times New Roman"/>
          <w:bCs/>
          <w:sz w:val="24"/>
          <w:szCs w:val="24"/>
        </w:rPr>
        <w:t>, Lenka. Without her unwavering support and guidance, this PhD journey and the completion of this thesis would not have been possible. Lenka provided me with the opportunity to undertake an internship during and after my Master’s studies in the Laboratory of Pathological Plant Physiology at IEB, which ultimately led me to pursue a PhD. Thank you, Lenka, for your invaluable mentorship and warm collaboration.</w:t>
      </w:r>
    </w:p>
    <w:p w14:paraId="25DA0C1F" w14:textId="77777777" w:rsidR="002F4923" w:rsidRPr="002F4923" w:rsidRDefault="002F4923" w:rsidP="002F4923">
      <w:pPr>
        <w:spacing w:line="360" w:lineRule="auto"/>
        <w:jc w:val="both"/>
        <w:rPr>
          <w:rFonts w:ascii="Times New Roman" w:hAnsi="Times New Roman" w:cs="Times New Roman"/>
          <w:bCs/>
          <w:sz w:val="24"/>
          <w:szCs w:val="24"/>
        </w:rPr>
      </w:pPr>
      <w:r w:rsidRPr="002F4923">
        <w:rPr>
          <w:rFonts w:ascii="Times New Roman" w:hAnsi="Times New Roman" w:cs="Times New Roman"/>
          <w:bCs/>
          <w:sz w:val="24"/>
          <w:szCs w:val="24"/>
        </w:rPr>
        <w:t xml:space="preserve">I am also deeply grateful to my supervisor from ČZU, Prof. </w:t>
      </w:r>
      <w:proofErr w:type="spellStart"/>
      <w:r w:rsidRPr="002F4923">
        <w:rPr>
          <w:rFonts w:ascii="Times New Roman" w:hAnsi="Times New Roman" w:cs="Times New Roman"/>
          <w:bCs/>
          <w:sz w:val="24"/>
          <w:szCs w:val="24"/>
        </w:rPr>
        <w:t>Ryšanek</w:t>
      </w:r>
      <w:proofErr w:type="spellEnd"/>
      <w:r w:rsidRPr="002F4923">
        <w:rPr>
          <w:rFonts w:ascii="Times New Roman" w:hAnsi="Times New Roman" w:cs="Times New Roman"/>
          <w:bCs/>
          <w:sz w:val="24"/>
          <w:szCs w:val="24"/>
        </w:rPr>
        <w:t>. His encouragement and willingness to assist with any issues I encountered were crucial to this journey's success.</w:t>
      </w:r>
    </w:p>
    <w:p w14:paraId="390FCE10" w14:textId="77777777" w:rsidR="002F4923" w:rsidRPr="002F4923" w:rsidRDefault="002F4923" w:rsidP="002F4923">
      <w:pPr>
        <w:spacing w:line="360" w:lineRule="auto"/>
        <w:jc w:val="both"/>
        <w:rPr>
          <w:rFonts w:ascii="Times New Roman" w:hAnsi="Times New Roman" w:cs="Times New Roman"/>
          <w:bCs/>
          <w:sz w:val="24"/>
          <w:szCs w:val="24"/>
        </w:rPr>
      </w:pPr>
      <w:r w:rsidRPr="002F4923">
        <w:rPr>
          <w:rFonts w:ascii="Times New Roman" w:hAnsi="Times New Roman" w:cs="Times New Roman"/>
          <w:bCs/>
          <w:sz w:val="24"/>
          <w:szCs w:val="24"/>
        </w:rPr>
        <w:t>My warmest thanks go to my Danish supervisor, Thure, who provided guidance and encouragement both before and during my stay in Copenhagen. Thure’s mentorship extended beyond scientific advice, helping me maintain my mental well-being when challenges arose.</w:t>
      </w:r>
    </w:p>
    <w:p w14:paraId="2E611C9F" w14:textId="77777777" w:rsidR="002F4923" w:rsidRPr="002F4923" w:rsidRDefault="002F4923" w:rsidP="002F4923">
      <w:pPr>
        <w:spacing w:line="360" w:lineRule="auto"/>
        <w:jc w:val="both"/>
        <w:rPr>
          <w:rFonts w:ascii="Times New Roman" w:hAnsi="Times New Roman" w:cs="Times New Roman"/>
          <w:bCs/>
          <w:sz w:val="24"/>
          <w:szCs w:val="24"/>
        </w:rPr>
      </w:pPr>
      <w:r w:rsidRPr="002F4923">
        <w:rPr>
          <w:rFonts w:ascii="Times New Roman" w:hAnsi="Times New Roman" w:cs="Times New Roman"/>
          <w:bCs/>
          <w:sz w:val="24"/>
          <w:szCs w:val="24"/>
        </w:rPr>
        <w:t>Special thanks are due to Meike, who became my supervisor after Thure’s retirement. I highly appreciate your constructive feedback on my PhD thesis.</w:t>
      </w:r>
    </w:p>
    <w:p w14:paraId="5E93CD50" w14:textId="77777777" w:rsidR="002F4923" w:rsidRPr="002F4923" w:rsidRDefault="002F4923" w:rsidP="002F4923">
      <w:pPr>
        <w:spacing w:line="360" w:lineRule="auto"/>
        <w:jc w:val="both"/>
        <w:rPr>
          <w:rFonts w:ascii="Times New Roman" w:hAnsi="Times New Roman" w:cs="Times New Roman"/>
          <w:bCs/>
          <w:sz w:val="24"/>
          <w:szCs w:val="24"/>
        </w:rPr>
      </w:pPr>
      <w:r w:rsidRPr="002F4923">
        <w:rPr>
          <w:rFonts w:ascii="Times New Roman" w:hAnsi="Times New Roman" w:cs="Times New Roman"/>
          <w:bCs/>
          <w:sz w:val="24"/>
          <w:szCs w:val="24"/>
        </w:rPr>
        <w:t xml:space="preserve">I am immensely grateful to my colleagues who supported me throughout this journey. I share the credit of my work with Bara, Tania, Morgane, </w:t>
      </w:r>
      <w:proofErr w:type="spellStart"/>
      <w:r w:rsidRPr="002F4923">
        <w:rPr>
          <w:rFonts w:ascii="Times New Roman" w:hAnsi="Times New Roman" w:cs="Times New Roman"/>
          <w:bCs/>
          <w:sz w:val="24"/>
          <w:szCs w:val="24"/>
        </w:rPr>
        <w:t>Romča</w:t>
      </w:r>
      <w:proofErr w:type="spellEnd"/>
      <w:r w:rsidRPr="002F4923">
        <w:rPr>
          <w:rFonts w:ascii="Times New Roman" w:hAnsi="Times New Roman" w:cs="Times New Roman"/>
          <w:bCs/>
          <w:sz w:val="24"/>
          <w:szCs w:val="24"/>
        </w:rPr>
        <w:t>, and others whose assistance with lab work and collaboration led to some wonderful publications. Additionally, I extend my gratitude to all my colleagues from SOBI at the Faculty of Science in Copenhagen, who made my stay there so enjoyable. I will always cherish those memories.</w:t>
      </w:r>
    </w:p>
    <w:p w14:paraId="67384FD3" w14:textId="54CE8359" w:rsidR="002F4923" w:rsidRPr="002F4923" w:rsidRDefault="002F4923" w:rsidP="002F4923">
      <w:pPr>
        <w:spacing w:line="360" w:lineRule="auto"/>
        <w:jc w:val="both"/>
        <w:rPr>
          <w:rFonts w:ascii="Times New Roman" w:hAnsi="Times New Roman" w:cs="Times New Roman"/>
          <w:bCs/>
          <w:sz w:val="24"/>
          <w:szCs w:val="24"/>
        </w:rPr>
      </w:pPr>
      <w:r w:rsidRPr="002F4923">
        <w:rPr>
          <w:rFonts w:ascii="Times New Roman" w:hAnsi="Times New Roman" w:cs="Times New Roman"/>
          <w:bCs/>
          <w:sz w:val="24"/>
          <w:szCs w:val="24"/>
        </w:rPr>
        <w:t>My deepest gratitude goes to my parents, my sister, and my entire family</w:t>
      </w:r>
      <w:r w:rsidR="00F067F7">
        <w:rPr>
          <w:rFonts w:ascii="Times New Roman" w:hAnsi="Times New Roman" w:cs="Times New Roman"/>
          <w:bCs/>
          <w:sz w:val="24"/>
          <w:szCs w:val="24"/>
        </w:rPr>
        <w:t xml:space="preserve"> and friends</w:t>
      </w:r>
      <w:r w:rsidRPr="002F4923">
        <w:rPr>
          <w:rFonts w:ascii="Times New Roman" w:hAnsi="Times New Roman" w:cs="Times New Roman"/>
          <w:bCs/>
          <w:sz w:val="24"/>
          <w:szCs w:val="24"/>
        </w:rPr>
        <w:t xml:space="preserve">, whose emotional support sustained me throughout these years. Their understanding, especially when I couldn’t </w:t>
      </w:r>
      <w:r w:rsidR="00F067F7">
        <w:rPr>
          <w:rFonts w:ascii="Times New Roman" w:hAnsi="Times New Roman" w:cs="Times New Roman"/>
          <w:bCs/>
          <w:sz w:val="24"/>
          <w:szCs w:val="24"/>
        </w:rPr>
        <w:t>come home for holidays</w:t>
      </w:r>
      <w:r w:rsidRPr="002F4923">
        <w:rPr>
          <w:rFonts w:ascii="Times New Roman" w:hAnsi="Times New Roman" w:cs="Times New Roman"/>
          <w:bCs/>
          <w:sz w:val="24"/>
          <w:szCs w:val="24"/>
        </w:rPr>
        <w:t xml:space="preserve"> due to my experiments or the need to care for my insects, was invaluable. Without their support, this achievement would not have been possible.</w:t>
      </w:r>
    </w:p>
    <w:p w14:paraId="765B42B7" w14:textId="2A6D0326" w:rsidR="002F4923" w:rsidRPr="002F4923" w:rsidRDefault="002F4923" w:rsidP="002F4923">
      <w:pPr>
        <w:spacing w:line="360" w:lineRule="auto"/>
        <w:jc w:val="both"/>
        <w:rPr>
          <w:rFonts w:ascii="Times New Roman" w:hAnsi="Times New Roman" w:cs="Times New Roman"/>
          <w:bCs/>
          <w:sz w:val="24"/>
          <w:szCs w:val="24"/>
        </w:rPr>
      </w:pPr>
      <w:r w:rsidRPr="002F4923">
        <w:rPr>
          <w:rFonts w:ascii="Times New Roman" w:hAnsi="Times New Roman" w:cs="Times New Roman"/>
          <w:bCs/>
          <w:sz w:val="24"/>
          <w:szCs w:val="24"/>
        </w:rPr>
        <w:t xml:space="preserve">Lastly, I want to thank my partner for his </w:t>
      </w:r>
      <w:r w:rsidR="00612B85">
        <w:rPr>
          <w:rFonts w:ascii="Times New Roman" w:hAnsi="Times New Roman" w:cs="Times New Roman"/>
          <w:bCs/>
          <w:sz w:val="24"/>
          <w:szCs w:val="24"/>
        </w:rPr>
        <w:t xml:space="preserve">unwavering </w:t>
      </w:r>
      <w:r w:rsidRPr="002F4923">
        <w:rPr>
          <w:rFonts w:ascii="Times New Roman" w:hAnsi="Times New Roman" w:cs="Times New Roman"/>
          <w:bCs/>
          <w:sz w:val="24"/>
          <w:szCs w:val="24"/>
        </w:rPr>
        <w:t>support during the writing process, especially as our baby eagerly kicks from within, perhaps cheering for her mama.</w:t>
      </w:r>
    </w:p>
    <w:p w14:paraId="261B6A5B" w14:textId="77777777" w:rsidR="002F4923" w:rsidRPr="002F4923" w:rsidRDefault="002F4923" w:rsidP="002F4923">
      <w:pPr>
        <w:spacing w:line="360" w:lineRule="auto"/>
        <w:jc w:val="both"/>
        <w:rPr>
          <w:rFonts w:ascii="Times New Roman" w:hAnsi="Times New Roman" w:cs="Times New Roman"/>
          <w:bCs/>
          <w:sz w:val="24"/>
          <w:szCs w:val="24"/>
        </w:rPr>
      </w:pPr>
      <w:r w:rsidRPr="002F4923">
        <w:rPr>
          <w:rFonts w:ascii="Times New Roman" w:hAnsi="Times New Roman" w:cs="Times New Roman"/>
          <w:bCs/>
          <w:sz w:val="24"/>
          <w:szCs w:val="24"/>
        </w:rPr>
        <w:t>This has been a wonderful journey, and I am excited about what the future holds.</w:t>
      </w:r>
    </w:p>
    <w:p w14:paraId="215097D3" w14:textId="3C7E00EE" w:rsidR="00E572F6" w:rsidRPr="00E572F6" w:rsidRDefault="00E572F6" w:rsidP="002F4923">
      <w:pPr>
        <w:spacing w:line="360" w:lineRule="auto"/>
        <w:jc w:val="both"/>
        <w:rPr>
          <w:rFonts w:ascii="Times New Roman" w:hAnsi="Times New Roman" w:cs="Times New Roman"/>
          <w:b/>
          <w:sz w:val="28"/>
          <w:szCs w:val="28"/>
        </w:rPr>
      </w:pPr>
      <w:r w:rsidRPr="00E572F6">
        <w:rPr>
          <w:rFonts w:ascii="Times New Roman" w:hAnsi="Times New Roman" w:cs="Times New Roman"/>
          <w:b/>
          <w:sz w:val="28"/>
          <w:szCs w:val="28"/>
        </w:rPr>
        <w:br w:type="page"/>
      </w:r>
    </w:p>
    <w:p w14:paraId="1720D5AB" w14:textId="77777777" w:rsidR="009B25B3" w:rsidRPr="001C52A3" w:rsidRDefault="00E7693B" w:rsidP="009B25B3">
      <w:pPr>
        <w:rPr>
          <w:rFonts w:ascii="Times New Roman" w:hAnsi="Times New Roman" w:cs="Times New Roman"/>
          <w:b/>
          <w:bCs/>
          <w:sz w:val="28"/>
          <w:szCs w:val="28"/>
          <w:lang w:val="hr-HR"/>
        </w:rPr>
      </w:pPr>
      <w:r w:rsidRPr="009B25B3">
        <w:rPr>
          <w:rFonts w:ascii="Times New Roman" w:hAnsi="Times New Roman" w:cs="Times New Roman"/>
          <w:b/>
          <w:bCs/>
          <w:sz w:val="28"/>
          <w:szCs w:val="28"/>
        </w:rPr>
        <w:lastRenderedPageBreak/>
        <w:t>Table of contents</w:t>
      </w:r>
    </w:p>
    <w:sdt>
      <w:sdtPr>
        <w:id w:val="580026822"/>
        <w:docPartObj>
          <w:docPartGallery w:val="Table of Contents"/>
          <w:docPartUnique/>
        </w:docPartObj>
      </w:sdtPr>
      <w:sdtEndPr>
        <w:rPr>
          <w:rFonts w:ascii="Times New Roman" w:hAnsi="Times New Roman" w:cs="Times New Roman"/>
          <w:b/>
          <w:bCs/>
          <w:noProof/>
          <w:sz w:val="24"/>
          <w:szCs w:val="24"/>
        </w:rPr>
      </w:sdtEndPr>
      <w:sdtContent>
        <w:p w14:paraId="56FFE7CB" w14:textId="5618F94D" w:rsidR="006B61C5" w:rsidRPr="004827FC" w:rsidRDefault="006B61C5" w:rsidP="009B25B3">
          <w:pPr>
            <w:spacing w:after="0" w:line="360" w:lineRule="auto"/>
            <w:jc w:val="both"/>
            <w:rPr>
              <w:rFonts w:ascii="Times New Roman" w:hAnsi="Times New Roman" w:cs="Times New Roman"/>
              <w:sz w:val="24"/>
              <w:szCs w:val="24"/>
            </w:rPr>
          </w:pPr>
        </w:p>
        <w:p w14:paraId="0A575D3A" w14:textId="0DC93A87" w:rsidR="007F3766" w:rsidRPr="007F3766" w:rsidRDefault="009B25B3">
          <w:pPr>
            <w:pStyle w:val="TOC1"/>
            <w:tabs>
              <w:tab w:val="left" w:pos="440"/>
              <w:tab w:val="right" w:leader="dot" w:pos="9061"/>
            </w:tabs>
            <w:rPr>
              <w:rFonts w:ascii="Times New Roman" w:hAnsi="Times New Roman" w:cs="Times New Roman"/>
              <w:noProof/>
              <w:kern w:val="2"/>
              <w:sz w:val="24"/>
              <w:szCs w:val="24"/>
              <w:lang w:eastAsia="en-GB"/>
              <w14:ligatures w14:val="standardContextual"/>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\o "1-5" \h \z \u </w:instrText>
          </w:r>
          <w:r>
            <w:rPr>
              <w:rFonts w:ascii="Times New Roman" w:hAnsi="Times New Roman" w:cs="Times New Roman"/>
              <w:sz w:val="24"/>
              <w:szCs w:val="24"/>
            </w:rPr>
            <w:fldChar w:fldCharType="separate"/>
          </w:r>
          <w:hyperlink w:anchor="_Toc167977575" w:history="1">
            <w:r w:rsidR="007F3766" w:rsidRPr="007F3766">
              <w:rPr>
                <w:rStyle w:val="Hyperlink"/>
                <w:rFonts w:ascii="Times New Roman" w:hAnsi="Times New Roman" w:cs="Times New Roman"/>
                <w:noProof/>
                <w:sz w:val="24"/>
                <w:szCs w:val="24"/>
              </w:rPr>
              <w:t>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General introduction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_Toc167977575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9</w:t>
            </w:r>
            <w:r w:rsidR="007F3766" w:rsidRPr="007F3766">
              <w:rPr>
                <w:rFonts w:ascii="Times New Roman" w:hAnsi="Times New Roman" w:cs="Times New Roman"/>
                <w:noProof/>
                <w:webHidden/>
                <w:sz w:val="24"/>
                <w:szCs w:val="24"/>
              </w:rPr>
              <w:fldChar w:fldCharType="end"/>
            </w:r>
          </w:hyperlink>
        </w:p>
        <w:p w14:paraId="54A020F5" w14:textId="6EA2E693" w:rsidR="007F3766" w:rsidRPr="007F3766" w:rsidRDefault="008054C1">
          <w:pPr>
            <w:pStyle w:val="TOC1"/>
            <w:tabs>
              <w:tab w:val="left" w:pos="440"/>
              <w:tab w:val="right" w:leader="dot" w:pos="9061"/>
            </w:tabs>
            <w:rPr>
              <w:rFonts w:ascii="Times New Roman" w:hAnsi="Times New Roman" w:cs="Times New Roman"/>
              <w:noProof/>
              <w:kern w:val="2"/>
              <w:sz w:val="24"/>
              <w:szCs w:val="24"/>
              <w:lang w:eastAsia="en-GB"/>
              <w14:ligatures w14:val="standardContextual"/>
            </w:rPr>
          </w:pPr>
          <w:hyperlink w:anchor="_Toc167977576" w:history="1">
            <w:r w:rsidR="007F3766" w:rsidRPr="007F3766">
              <w:rPr>
                <w:rStyle w:val="Hyperlink"/>
                <w:rFonts w:ascii="Times New Roman" w:hAnsi="Times New Roman" w:cs="Times New Roman"/>
                <w:noProof/>
                <w:sz w:val="24"/>
                <w:szCs w:val="24"/>
              </w:rPr>
              <w:t>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Literature review</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_Toc167977576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11</w:t>
            </w:r>
            <w:r w:rsidR="007F3766" w:rsidRPr="007F3766">
              <w:rPr>
                <w:rFonts w:ascii="Times New Roman" w:hAnsi="Times New Roman" w:cs="Times New Roman"/>
                <w:noProof/>
                <w:webHidden/>
                <w:sz w:val="24"/>
                <w:szCs w:val="24"/>
              </w:rPr>
              <w:fldChar w:fldCharType="end"/>
            </w:r>
          </w:hyperlink>
        </w:p>
        <w:p w14:paraId="1E1D3B43" w14:textId="6531D1EA"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577" w:history="1">
            <w:r w:rsidR="007F3766" w:rsidRPr="007F3766">
              <w:rPr>
                <w:rStyle w:val="Hyperlink"/>
                <w:rFonts w:ascii="Times New Roman" w:hAnsi="Times New Roman" w:cs="Times New Roman"/>
                <w:iCs/>
                <w:noProof/>
                <w:sz w:val="24"/>
                <w:szCs w:val="24"/>
              </w:rPr>
              <w:t>2.1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Plant immunity</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_Toc167977577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11</w:t>
            </w:r>
            <w:r w:rsidR="007F3766" w:rsidRPr="007F3766">
              <w:rPr>
                <w:rFonts w:ascii="Times New Roman" w:hAnsi="Times New Roman" w:cs="Times New Roman"/>
                <w:noProof/>
                <w:webHidden/>
                <w:sz w:val="24"/>
                <w:szCs w:val="24"/>
              </w:rPr>
              <w:fldChar w:fldCharType="end"/>
            </w:r>
          </w:hyperlink>
        </w:p>
        <w:p w14:paraId="62772E2A" w14:textId="449E5BC7"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578" w:history="1">
            <w:r w:rsidR="007F3766" w:rsidRPr="007F3766">
              <w:rPr>
                <w:rStyle w:val="Hyperlink"/>
                <w:rFonts w:ascii="Times New Roman" w:hAnsi="Times New Roman" w:cs="Times New Roman"/>
                <w:noProof/>
                <w:sz w:val="24"/>
                <w:szCs w:val="24"/>
              </w:rPr>
              <w:t>2.1.1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PAMP-/MAMP-triggered immunity (PTI/MTI) and effector-triggered immunity (ETI)</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_Toc167977578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13</w:t>
            </w:r>
            <w:r w:rsidR="007F3766" w:rsidRPr="007F3766">
              <w:rPr>
                <w:rFonts w:ascii="Times New Roman" w:hAnsi="Times New Roman" w:cs="Times New Roman"/>
                <w:noProof/>
                <w:webHidden/>
                <w:sz w:val="24"/>
                <w:szCs w:val="24"/>
              </w:rPr>
              <w:fldChar w:fldCharType="end"/>
            </w:r>
          </w:hyperlink>
        </w:p>
        <w:p w14:paraId="1132DD46" w14:textId="7D489CE6"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579" w:history="1">
            <w:r w:rsidR="007F3766" w:rsidRPr="007F3766">
              <w:rPr>
                <w:rStyle w:val="Hyperlink"/>
                <w:rFonts w:ascii="Times New Roman" w:hAnsi="Times New Roman" w:cs="Times New Roman"/>
                <w:noProof/>
                <w:sz w:val="24"/>
                <w:szCs w:val="24"/>
              </w:rPr>
              <w:t>2.1.2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HAMP-triggered immunity (HTI) and effector-triggered immunity (ETI)</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_Toc167977579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14</w:t>
            </w:r>
            <w:r w:rsidR="007F3766" w:rsidRPr="007F3766">
              <w:rPr>
                <w:rFonts w:ascii="Times New Roman" w:hAnsi="Times New Roman" w:cs="Times New Roman"/>
                <w:noProof/>
                <w:webHidden/>
                <w:sz w:val="24"/>
                <w:szCs w:val="24"/>
              </w:rPr>
              <w:fldChar w:fldCharType="end"/>
            </w:r>
          </w:hyperlink>
        </w:p>
        <w:p w14:paraId="675F7C00" w14:textId="65770D41"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580" w:history="1">
            <w:r w:rsidR="007F3766" w:rsidRPr="007F3766">
              <w:rPr>
                <w:rStyle w:val="Hyperlink"/>
                <w:rFonts w:ascii="Times New Roman" w:hAnsi="Times New Roman" w:cs="Times New Roman"/>
                <w:noProof/>
                <w:sz w:val="24"/>
                <w:szCs w:val="24"/>
              </w:rPr>
              <w:t>2.1.3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Phytohormonal signaling</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_Toc167977580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15</w:t>
            </w:r>
            <w:r w:rsidR="007F3766" w:rsidRPr="007F3766">
              <w:rPr>
                <w:rFonts w:ascii="Times New Roman" w:hAnsi="Times New Roman" w:cs="Times New Roman"/>
                <w:noProof/>
                <w:webHidden/>
                <w:sz w:val="24"/>
                <w:szCs w:val="24"/>
              </w:rPr>
              <w:fldChar w:fldCharType="end"/>
            </w:r>
          </w:hyperlink>
        </w:p>
        <w:p w14:paraId="55250755" w14:textId="1213BE2F"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581" w:history="1">
            <w:r w:rsidR="007F3766" w:rsidRPr="007F3766">
              <w:rPr>
                <w:rStyle w:val="Hyperlink"/>
                <w:rFonts w:ascii="Times New Roman" w:hAnsi="Times New Roman" w:cs="Times New Roman"/>
                <w:noProof/>
                <w:sz w:val="24"/>
                <w:szCs w:val="24"/>
              </w:rPr>
              <w:t>2.1.3.1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Salicylic acid</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_Toc167977581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15</w:t>
            </w:r>
            <w:r w:rsidR="007F3766" w:rsidRPr="007F3766">
              <w:rPr>
                <w:rFonts w:ascii="Times New Roman" w:hAnsi="Times New Roman" w:cs="Times New Roman"/>
                <w:noProof/>
                <w:webHidden/>
                <w:sz w:val="24"/>
                <w:szCs w:val="24"/>
              </w:rPr>
              <w:fldChar w:fldCharType="end"/>
            </w:r>
          </w:hyperlink>
        </w:p>
        <w:p w14:paraId="089720F9" w14:textId="64B898DE"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582" w:history="1">
            <w:r w:rsidR="007F3766" w:rsidRPr="007F3766">
              <w:rPr>
                <w:rStyle w:val="Hyperlink"/>
                <w:rFonts w:ascii="Times New Roman" w:hAnsi="Times New Roman" w:cs="Times New Roman"/>
                <w:noProof/>
                <w:sz w:val="24"/>
                <w:szCs w:val="24"/>
              </w:rPr>
              <w:t>2.1.3.2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Jasmonic acid</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_Toc167977582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16</w:t>
            </w:r>
            <w:r w:rsidR="007F3766" w:rsidRPr="007F3766">
              <w:rPr>
                <w:rFonts w:ascii="Times New Roman" w:hAnsi="Times New Roman" w:cs="Times New Roman"/>
                <w:noProof/>
                <w:webHidden/>
                <w:sz w:val="24"/>
                <w:szCs w:val="24"/>
              </w:rPr>
              <w:fldChar w:fldCharType="end"/>
            </w:r>
          </w:hyperlink>
        </w:p>
        <w:p w14:paraId="28D8A2D0" w14:textId="1DC5AE2C"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583" w:history="1">
            <w:r w:rsidR="007F3766" w:rsidRPr="007F3766">
              <w:rPr>
                <w:rStyle w:val="Hyperlink"/>
                <w:rFonts w:ascii="Times New Roman" w:hAnsi="Times New Roman" w:cs="Times New Roman"/>
                <w:noProof/>
                <w:sz w:val="24"/>
                <w:szCs w:val="24"/>
              </w:rPr>
              <w:t>2.1.3.3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Ethylene</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_Toc167977583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17</w:t>
            </w:r>
            <w:r w:rsidR="007F3766" w:rsidRPr="007F3766">
              <w:rPr>
                <w:rFonts w:ascii="Times New Roman" w:hAnsi="Times New Roman" w:cs="Times New Roman"/>
                <w:noProof/>
                <w:webHidden/>
                <w:sz w:val="24"/>
                <w:szCs w:val="24"/>
              </w:rPr>
              <w:fldChar w:fldCharType="end"/>
            </w:r>
          </w:hyperlink>
        </w:p>
        <w:p w14:paraId="19EABB70" w14:textId="7430238B"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584" w:history="1">
            <w:r w:rsidR="007F3766" w:rsidRPr="007F3766">
              <w:rPr>
                <w:rStyle w:val="Hyperlink"/>
                <w:rFonts w:ascii="Times New Roman" w:hAnsi="Times New Roman" w:cs="Times New Roman"/>
                <w:noProof/>
                <w:sz w:val="24"/>
                <w:szCs w:val="24"/>
              </w:rPr>
              <w:t>2.1.3.4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Phytohormonal crosstalk</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_Toc167977584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18</w:t>
            </w:r>
            <w:r w:rsidR="007F3766" w:rsidRPr="007F3766">
              <w:rPr>
                <w:rFonts w:ascii="Times New Roman" w:hAnsi="Times New Roman" w:cs="Times New Roman"/>
                <w:noProof/>
                <w:webHidden/>
                <w:sz w:val="24"/>
                <w:szCs w:val="24"/>
              </w:rPr>
              <w:fldChar w:fldCharType="end"/>
            </w:r>
          </w:hyperlink>
        </w:p>
        <w:p w14:paraId="5D25822A" w14:textId="5913EBCF"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585" w:history="1">
            <w:r w:rsidR="007F3766" w:rsidRPr="007F3766">
              <w:rPr>
                <w:rStyle w:val="Hyperlink"/>
                <w:rFonts w:ascii="Times New Roman" w:hAnsi="Times New Roman" w:cs="Times New Roman"/>
                <w:noProof/>
                <w:sz w:val="24"/>
                <w:szCs w:val="24"/>
              </w:rPr>
              <w:t>2.1.4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Secondary plant metabolites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_Toc167977585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19</w:t>
            </w:r>
            <w:r w:rsidR="007F3766" w:rsidRPr="007F3766">
              <w:rPr>
                <w:rFonts w:ascii="Times New Roman" w:hAnsi="Times New Roman" w:cs="Times New Roman"/>
                <w:noProof/>
                <w:webHidden/>
                <w:sz w:val="24"/>
                <w:szCs w:val="24"/>
              </w:rPr>
              <w:fldChar w:fldCharType="end"/>
            </w:r>
          </w:hyperlink>
        </w:p>
        <w:p w14:paraId="02FF743B" w14:textId="7A5FB317"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586" w:history="1">
            <w:r w:rsidR="007F3766" w:rsidRPr="007F3766">
              <w:rPr>
                <w:rStyle w:val="Hyperlink"/>
                <w:rFonts w:ascii="Times New Roman" w:hAnsi="Times New Roman" w:cs="Times New Roman"/>
                <w:noProof/>
                <w:sz w:val="24"/>
                <w:szCs w:val="24"/>
              </w:rPr>
              <w:t>2.1.4.1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Glucosinolates (GLSs)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_Toc167977586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19</w:t>
            </w:r>
            <w:r w:rsidR="007F3766" w:rsidRPr="007F3766">
              <w:rPr>
                <w:rFonts w:ascii="Times New Roman" w:hAnsi="Times New Roman" w:cs="Times New Roman"/>
                <w:noProof/>
                <w:webHidden/>
                <w:sz w:val="24"/>
                <w:szCs w:val="24"/>
              </w:rPr>
              <w:fldChar w:fldCharType="end"/>
            </w:r>
          </w:hyperlink>
        </w:p>
        <w:p w14:paraId="1D1AAF49" w14:textId="29D3BA63"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587" w:history="1">
            <w:r w:rsidR="007F3766" w:rsidRPr="007F3766">
              <w:rPr>
                <w:rStyle w:val="Hyperlink"/>
                <w:rFonts w:ascii="Times New Roman" w:hAnsi="Times New Roman" w:cs="Times New Roman"/>
                <w:noProof/>
                <w:sz w:val="24"/>
                <w:szCs w:val="24"/>
              </w:rPr>
              <w:t>2.1.4.2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Glucosinolate-myrosinase system</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_Toc167977587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22</w:t>
            </w:r>
            <w:r w:rsidR="007F3766" w:rsidRPr="007F3766">
              <w:rPr>
                <w:rFonts w:ascii="Times New Roman" w:hAnsi="Times New Roman" w:cs="Times New Roman"/>
                <w:noProof/>
                <w:webHidden/>
                <w:sz w:val="24"/>
                <w:szCs w:val="24"/>
              </w:rPr>
              <w:fldChar w:fldCharType="end"/>
            </w:r>
          </w:hyperlink>
        </w:p>
        <w:p w14:paraId="23C351AD" w14:textId="7D2AF45C"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588" w:history="1">
            <w:r w:rsidR="007F3766" w:rsidRPr="007F3766">
              <w:rPr>
                <w:rStyle w:val="Hyperlink"/>
                <w:rFonts w:ascii="Times New Roman" w:hAnsi="Times New Roman" w:cs="Times New Roman"/>
                <w:noProof/>
                <w:sz w:val="24"/>
                <w:szCs w:val="24"/>
              </w:rPr>
              <w:t>2.1.4.3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Regulation of glucosinolate synthesis by phytohormones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_Toc167977588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23</w:t>
            </w:r>
            <w:r w:rsidR="007F3766" w:rsidRPr="007F3766">
              <w:rPr>
                <w:rFonts w:ascii="Times New Roman" w:hAnsi="Times New Roman" w:cs="Times New Roman"/>
                <w:noProof/>
                <w:webHidden/>
                <w:sz w:val="24"/>
                <w:szCs w:val="24"/>
              </w:rPr>
              <w:fldChar w:fldCharType="end"/>
            </w:r>
          </w:hyperlink>
        </w:p>
        <w:p w14:paraId="17210F46" w14:textId="74BED9E0"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589" w:history="1">
            <w:r w:rsidR="007F3766" w:rsidRPr="007F3766">
              <w:rPr>
                <w:rStyle w:val="Hyperlink"/>
                <w:rFonts w:ascii="Times New Roman" w:hAnsi="Times New Roman" w:cs="Times New Roman"/>
                <w:noProof/>
                <w:sz w:val="24"/>
                <w:szCs w:val="24"/>
              </w:rPr>
              <w:t>2.1.5</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Induced resistance and “priming”</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_Toc167977589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24</w:t>
            </w:r>
            <w:r w:rsidR="007F3766" w:rsidRPr="007F3766">
              <w:rPr>
                <w:rFonts w:ascii="Times New Roman" w:hAnsi="Times New Roman" w:cs="Times New Roman"/>
                <w:noProof/>
                <w:webHidden/>
                <w:sz w:val="24"/>
                <w:szCs w:val="24"/>
              </w:rPr>
              <w:fldChar w:fldCharType="end"/>
            </w:r>
          </w:hyperlink>
        </w:p>
        <w:p w14:paraId="6A53B776" w14:textId="58C12E9E"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590" w:history="1">
            <w:r w:rsidR="007F3766" w:rsidRPr="007F3766">
              <w:rPr>
                <w:rStyle w:val="Hyperlink"/>
                <w:rFonts w:ascii="Times New Roman" w:hAnsi="Times New Roman" w:cs="Times New Roman"/>
                <w:noProof/>
                <w:sz w:val="24"/>
                <w:szCs w:val="24"/>
              </w:rPr>
              <w:t>2.1.5.1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Organismal stimulants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_Toc167977590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24</w:t>
            </w:r>
            <w:r w:rsidR="007F3766" w:rsidRPr="007F3766">
              <w:rPr>
                <w:rFonts w:ascii="Times New Roman" w:hAnsi="Times New Roman" w:cs="Times New Roman"/>
                <w:noProof/>
                <w:webHidden/>
                <w:sz w:val="24"/>
                <w:szCs w:val="24"/>
              </w:rPr>
              <w:fldChar w:fldCharType="end"/>
            </w:r>
          </w:hyperlink>
        </w:p>
        <w:p w14:paraId="28B20B33" w14:textId="07E2127A"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591" w:history="1">
            <w:r w:rsidR="007F3766" w:rsidRPr="007F3766">
              <w:rPr>
                <w:rStyle w:val="Hyperlink"/>
                <w:rFonts w:ascii="Times New Roman" w:hAnsi="Times New Roman" w:cs="Times New Roman"/>
                <w:noProof/>
                <w:sz w:val="24"/>
                <w:szCs w:val="24"/>
              </w:rPr>
              <w:t>2.1.5.2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Elicitors and chemical stimulants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_Toc167977591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25</w:t>
            </w:r>
            <w:r w:rsidR="007F3766" w:rsidRPr="007F3766">
              <w:rPr>
                <w:rFonts w:ascii="Times New Roman" w:hAnsi="Times New Roman" w:cs="Times New Roman"/>
                <w:noProof/>
                <w:webHidden/>
                <w:sz w:val="24"/>
                <w:szCs w:val="24"/>
              </w:rPr>
              <w:fldChar w:fldCharType="end"/>
            </w:r>
          </w:hyperlink>
        </w:p>
        <w:p w14:paraId="51647B7E" w14:textId="154A8B58"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592" w:history="1">
            <w:r w:rsidR="007F3766" w:rsidRPr="007F3766">
              <w:rPr>
                <w:rStyle w:val="Hyperlink"/>
                <w:rFonts w:ascii="Times New Roman" w:hAnsi="Times New Roman" w:cs="Times New Roman"/>
                <w:noProof/>
                <w:sz w:val="24"/>
                <w:szCs w:val="24"/>
              </w:rPr>
              <w:t>2.1.5.3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Plant association with beneficial organisms in the rhizosphere</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_Toc167977592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26</w:t>
            </w:r>
            <w:r w:rsidR="007F3766" w:rsidRPr="007F3766">
              <w:rPr>
                <w:rFonts w:ascii="Times New Roman" w:hAnsi="Times New Roman" w:cs="Times New Roman"/>
                <w:noProof/>
                <w:webHidden/>
                <w:sz w:val="24"/>
                <w:szCs w:val="24"/>
              </w:rPr>
              <w:fldChar w:fldCharType="end"/>
            </w:r>
          </w:hyperlink>
        </w:p>
        <w:p w14:paraId="16E2740E" w14:textId="41351763"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593" w:history="1">
            <w:r w:rsidR="007F3766" w:rsidRPr="007F3766">
              <w:rPr>
                <w:rStyle w:val="Hyperlink"/>
                <w:rFonts w:ascii="Times New Roman" w:hAnsi="Times New Roman" w:cs="Times New Roman"/>
                <w:noProof/>
                <w:sz w:val="24"/>
                <w:szCs w:val="24"/>
              </w:rPr>
              <w:t>2.1.5.4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Plant-associated entomopathogenic fungi</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_Toc167977593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28</w:t>
            </w:r>
            <w:r w:rsidR="007F3766" w:rsidRPr="007F3766">
              <w:rPr>
                <w:rFonts w:ascii="Times New Roman" w:hAnsi="Times New Roman" w:cs="Times New Roman"/>
                <w:noProof/>
                <w:webHidden/>
                <w:sz w:val="24"/>
                <w:szCs w:val="24"/>
              </w:rPr>
              <w:fldChar w:fldCharType="end"/>
            </w:r>
          </w:hyperlink>
        </w:p>
        <w:p w14:paraId="088B0A6A" w14:textId="1D79B709" w:rsidR="007F3766" w:rsidRPr="007F3766" w:rsidRDefault="008054C1">
          <w:pPr>
            <w:pStyle w:val="TOC5"/>
            <w:tabs>
              <w:tab w:val="left" w:pos="1959"/>
              <w:tab w:val="right" w:leader="dot" w:pos="9061"/>
            </w:tabs>
            <w:rPr>
              <w:rFonts w:ascii="Times New Roman" w:hAnsi="Times New Roman" w:cs="Times New Roman"/>
              <w:noProof/>
              <w:kern w:val="2"/>
              <w:sz w:val="24"/>
              <w:szCs w:val="24"/>
              <w:lang w:eastAsia="en-GB"/>
              <w14:ligatures w14:val="standardContextual"/>
            </w:rPr>
          </w:pPr>
          <w:hyperlink w:anchor="_Toc167977594" w:history="1">
            <w:r w:rsidR="007F3766" w:rsidRPr="007F3766">
              <w:rPr>
                <w:rStyle w:val="Hyperlink"/>
                <w:rFonts w:ascii="Times New Roman" w:hAnsi="Times New Roman" w:cs="Times New Roman"/>
                <w:noProof/>
                <w:sz w:val="24"/>
                <w:szCs w:val="24"/>
              </w:rPr>
              <w:t>2.1.5.4.1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i/>
                <w:iCs/>
                <w:noProof/>
                <w:sz w:val="24"/>
                <w:szCs w:val="24"/>
              </w:rPr>
              <w:t>Metarhizium</w:t>
            </w:r>
            <w:r w:rsidR="007F3766" w:rsidRPr="007F3766">
              <w:rPr>
                <w:rStyle w:val="Hyperlink"/>
                <w:rFonts w:ascii="Times New Roman" w:hAnsi="Times New Roman" w:cs="Times New Roman"/>
                <w:noProof/>
                <w:sz w:val="24"/>
                <w:szCs w:val="24"/>
              </w:rPr>
              <w:t xml:space="preserve"> spp.</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_Toc167977594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29</w:t>
            </w:r>
            <w:r w:rsidR="007F3766" w:rsidRPr="007F3766">
              <w:rPr>
                <w:rFonts w:ascii="Times New Roman" w:hAnsi="Times New Roman" w:cs="Times New Roman"/>
                <w:noProof/>
                <w:webHidden/>
                <w:sz w:val="24"/>
                <w:szCs w:val="24"/>
              </w:rPr>
              <w:fldChar w:fldCharType="end"/>
            </w:r>
          </w:hyperlink>
        </w:p>
        <w:p w14:paraId="591B495E" w14:textId="13046A88"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595" w:history="1">
            <w:r w:rsidR="007F3766" w:rsidRPr="007F3766">
              <w:rPr>
                <w:rStyle w:val="Hyperlink"/>
                <w:rFonts w:ascii="Times New Roman" w:hAnsi="Times New Roman" w:cs="Times New Roman"/>
                <w:iCs/>
                <w:noProof/>
                <w:sz w:val="24"/>
                <w:szCs w:val="24"/>
              </w:rPr>
              <w:t>2.2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Hemibiotrophic fungal pathogen </w:t>
            </w:r>
            <w:r w:rsidR="007F3766" w:rsidRPr="007F3766">
              <w:rPr>
                <w:rStyle w:val="Hyperlink"/>
                <w:rFonts w:ascii="Times New Roman" w:hAnsi="Times New Roman" w:cs="Times New Roman"/>
                <w:i/>
                <w:iCs/>
                <w:noProof/>
                <w:sz w:val="24"/>
                <w:szCs w:val="24"/>
              </w:rPr>
              <w:t>Leptosphaeria maculans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_Toc167977595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31</w:t>
            </w:r>
            <w:r w:rsidR="007F3766" w:rsidRPr="007F3766">
              <w:rPr>
                <w:rFonts w:ascii="Times New Roman" w:hAnsi="Times New Roman" w:cs="Times New Roman"/>
                <w:noProof/>
                <w:webHidden/>
                <w:sz w:val="24"/>
                <w:szCs w:val="24"/>
              </w:rPr>
              <w:fldChar w:fldCharType="end"/>
            </w:r>
          </w:hyperlink>
        </w:p>
        <w:p w14:paraId="06DA7238" w14:textId="250117FE"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596" w:history="1">
            <w:r w:rsidR="007F3766" w:rsidRPr="007F3766">
              <w:rPr>
                <w:rStyle w:val="Hyperlink"/>
                <w:rFonts w:ascii="Times New Roman" w:hAnsi="Times New Roman" w:cs="Times New Roman"/>
                <w:noProof/>
                <w:sz w:val="24"/>
                <w:szCs w:val="24"/>
              </w:rPr>
              <w:t>2.2.1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Taxonomy of </w:t>
            </w:r>
            <w:r w:rsidR="007F3766" w:rsidRPr="007F3766">
              <w:rPr>
                <w:rStyle w:val="Hyperlink"/>
                <w:rFonts w:ascii="Times New Roman" w:hAnsi="Times New Roman" w:cs="Times New Roman"/>
                <w:i/>
                <w:noProof/>
                <w:sz w:val="24"/>
                <w:szCs w:val="24"/>
              </w:rPr>
              <w:t>Leptosphaeria maculans</w:t>
            </w:r>
            <w:r w:rsidR="007F3766" w:rsidRPr="007F3766">
              <w:rPr>
                <w:rStyle w:val="Hyperlink"/>
                <w:rFonts w:ascii="Times New Roman" w:hAnsi="Times New Roman" w:cs="Times New Roman"/>
                <w:noProof/>
                <w:sz w:val="24"/>
                <w:szCs w:val="24"/>
              </w:rPr>
              <w:t xml:space="preserve"> and its life cycle</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_Toc167977596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31</w:t>
            </w:r>
            <w:r w:rsidR="007F3766" w:rsidRPr="007F3766">
              <w:rPr>
                <w:rFonts w:ascii="Times New Roman" w:hAnsi="Times New Roman" w:cs="Times New Roman"/>
                <w:noProof/>
                <w:webHidden/>
                <w:sz w:val="24"/>
                <w:szCs w:val="24"/>
              </w:rPr>
              <w:fldChar w:fldCharType="end"/>
            </w:r>
          </w:hyperlink>
        </w:p>
        <w:p w14:paraId="055C845F" w14:textId="0D1CFE00"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597" w:history="1">
            <w:r w:rsidR="007F3766" w:rsidRPr="007F3766">
              <w:rPr>
                <w:rStyle w:val="Hyperlink"/>
                <w:rFonts w:ascii="Times New Roman" w:hAnsi="Times New Roman" w:cs="Times New Roman"/>
                <w:noProof/>
                <w:sz w:val="24"/>
                <w:szCs w:val="24"/>
              </w:rPr>
              <w:t>2.2.2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i/>
                <w:noProof/>
                <w:sz w:val="24"/>
                <w:szCs w:val="24"/>
              </w:rPr>
              <w:t>Leptosphaeria maculans</w:t>
            </w:r>
            <w:r w:rsidR="007F3766" w:rsidRPr="007F3766">
              <w:rPr>
                <w:rStyle w:val="Hyperlink"/>
                <w:rFonts w:ascii="Times New Roman" w:hAnsi="Times New Roman" w:cs="Times New Roman"/>
                <w:noProof/>
                <w:sz w:val="24"/>
                <w:szCs w:val="24"/>
              </w:rPr>
              <w:t xml:space="preserve"> interaction with </w:t>
            </w:r>
            <w:r w:rsidR="007F3766" w:rsidRPr="007F3766">
              <w:rPr>
                <w:rStyle w:val="Hyperlink"/>
                <w:rFonts w:ascii="Times New Roman" w:hAnsi="Times New Roman" w:cs="Times New Roman"/>
                <w:i/>
                <w:noProof/>
                <w:sz w:val="24"/>
                <w:szCs w:val="24"/>
              </w:rPr>
              <w:t>Brassica</w:t>
            </w:r>
            <w:r w:rsidR="007F3766" w:rsidRPr="007F3766">
              <w:rPr>
                <w:rStyle w:val="Hyperlink"/>
                <w:rFonts w:ascii="Times New Roman" w:hAnsi="Times New Roman" w:cs="Times New Roman"/>
                <w:noProof/>
                <w:sz w:val="24"/>
                <w:szCs w:val="24"/>
              </w:rPr>
              <w:t xml:space="preserve"> </w:t>
            </w:r>
            <w:r w:rsidR="007F3766" w:rsidRPr="007F3766">
              <w:rPr>
                <w:rStyle w:val="Hyperlink"/>
                <w:rFonts w:ascii="Times New Roman" w:hAnsi="Times New Roman" w:cs="Times New Roman"/>
                <w:i/>
                <w:iCs/>
                <w:noProof/>
                <w:sz w:val="24"/>
                <w:szCs w:val="24"/>
              </w:rPr>
              <w:t>napus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_Toc167977597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32</w:t>
            </w:r>
            <w:r w:rsidR="007F3766" w:rsidRPr="007F3766">
              <w:rPr>
                <w:rFonts w:ascii="Times New Roman" w:hAnsi="Times New Roman" w:cs="Times New Roman"/>
                <w:noProof/>
                <w:webHidden/>
                <w:sz w:val="24"/>
                <w:szCs w:val="24"/>
              </w:rPr>
              <w:fldChar w:fldCharType="end"/>
            </w:r>
          </w:hyperlink>
        </w:p>
        <w:p w14:paraId="494EE290" w14:textId="05EDF6A0"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598" w:history="1">
            <w:r w:rsidR="007F3766" w:rsidRPr="007F3766">
              <w:rPr>
                <w:rStyle w:val="Hyperlink"/>
                <w:rFonts w:ascii="Times New Roman" w:hAnsi="Times New Roman" w:cs="Times New Roman"/>
                <w:iCs/>
                <w:noProof/>
                <w:sz w:val="24"/>
                <w:szCs w:val="24"/>
              </w:rPr>
              <w:t>2.3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Chewing insect herbivores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_Toc167977598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35</w:t>
            </w:r>
            <w:r w:rsidR="007F3766" w:rsidRPr="007F3766">
              <w:rPr>
                <w:rFonts w:ascii="Times New Roman" w:hAnsi="Times New Roman" w:cs="Times New Roman"/>
                <w:noProof/>
                <w:webHidden/>
                <w:sz w:val="24"/>
                <w:szCs w:val="24"/>
              </w:rPr>
              <w:fldChar w:fldCharType="end"/>
            </w:r>
          </w:hyperlink>
        </w:p>
        <w:p w14:paraId="72569509" w14:textId="4B78EF05"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599" w:history="1">
            <w:r w:rsidR="007F3766" w:rsidRPr="007F3766">
              <w:rPr>
                <w:rStyle w:val="Hyperlink"/>
                <w:rFonts w:ascii="Times New Roman" w:hAnsi="Times New Roman" w:cs="Times New Roman"/>
                <w:noProof/>
                <w:sz w:val="24"/>
                <w:szCs w:val="24"/>
              </w:rPr>
              <w:t>2.3.1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i/>
                <w:noProof/>
                <w:sz w:val="24"/>
                <w:szCs w:val="24"/>
              </w:rPr>
              <w:t>Plutella xylostella</w:t>
            </w:r>
            <w:r w:rsidR="007F3766" w:rsidRPr="007F3766">
              <w:rPr>
                <w:rStyle w:val="Hyperlink"/>
                <w:rFonts w:ascii="Times New Roman" w:hAnsi="Times New Roman" w:cs="Times New Roman"/>
                <w:noProof/>
                <w:sz w:val="24"/>
                <w:szCs w:val="24"/>
              </w:rPr>
              <w:t xml:space="preserve"> and its life cycle</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_Toc167977599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35</w:t>
            </w:r>
            <w:r w:rsidR="007F3766" w:rsidRPr="007F3766">
              <w:rPr>
                <w:rFonts w:ascii="Times New Roman" w:hAnsi="Times New Roman" w:cs="Times New Roman"/>
                <w:noProof/>
                <w:webHidden/>
                <w:sz w:val="24"/>
                <w:szCs w:val="24"/>
              </w:rPr>
              <w:fldChar w:fldCharType="end"/>
            </w:r>
          </w:hyperlink>
        </w:p>
        <w:p w14:paraId="7EA07B98" w14:textId="4F7B1778"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00" w:history="1">
            <w:r w:rsidR="007F3766" w:rsidRPr="007F3766">
              <w:rPr>
                <w:rStyle w:val="Hyperlink"/>
                <w:rFonts w:ascii="Times New Roman" w:hAnsi="Times New Roman" w:cs="Times New Roman"/>
                <w:noProof/>
                <w:sz w:val="24"/>
                <w:szCs w:val="24"/>
              </w:rPr>
              <w:t>2.3.2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i/>
                <w:iCs/>
                <w:noProof/>
                <w:sz w:val="24"/>
                <w:szCs w:val="24"/>
              </w:rPr>
              <w:t>Plutella xylostella</w:t>
            </w:r>
            <w:r w:rsidR="007F3766" w:rsidRPr="007F3766">
              <w:rPr>
                <w:rStyle w:val="Hyperlink"/>
                <w:rFonts w:ascii="Times New Roman" w:hAnsi="Times New Roman" w:cs="Times New Roman"/>
                <w:noProof/>
                <w:sz w:val="24"/>
                <w:szCs w:val="24"/>
              </w:rPr>
              <w:t xml:space="preserve"> interaction with </w:t>
            </w:r>
            <w:r w:rsidR="007F3766" w:rsidRPr="007F3766">
              <w:rPr>
                <w:rStyle w:val="Hyperlink"/>
                <w:rFonts w:ascii="Times New Roman" w:hAnsi="Times New Roman" w:cs="Times New Roman"/>
                <w:i/>
                <w:iCs/>
                <w:noProof/>
                <w:sz w:val="24"/>
                <w:szCs w:val="24"/>
              </w:rPr>
              <w:t>Brassica</w:t>
            </w:r>
            <w:r w:rsidR="007F3766" w:rsidRPr="007F3766">
              <w:rPr>
                <w:rStyle w:val="Hyperlink"/>
                <w:rFonts w:ascii="Times New Roman" w:hAnsi="Times New Roman" w:cs="Times New Roman"/>
                <w:noProof/>
                <w:sz w:val="24"/>
                <w:szCs w:val="24"/>
              </w:rPr>
              <w:t xml:space="preserve"> crops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_Toc167977600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37</w:t>
            </w:r>
            <w:r w:rsidR="007F3766" w:rsidRPr="007F3766">
              <w:rPr>
                <w:rFonts w:ascii="Times New Roman" w:hAnsi="Times New Roman" w:cs="Times New Roman"/>
                <w:noProof/>
                <w:webHidden/>
                <w:sz w:val="24"/>
                <w:szCs w:val="24"/>
              </w:rPr>
              <w:fldChar w:fldCharType="end"/>
            </w:r>
          </w:hyperlink>
        </w:p>
        <w:p w14:paraId="6DB263D6" w14:textId="7B4F4FD1"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01" w:history="1">
            <w:r w:rsidR="007F3766" w:rsidRPr="007F3766">
              <w:rPr>
                <w:rStyle w:val="Hyperlink"/>
                <w:rFonts w:ascii="Times New Roman" w:hAnsi="Times New Roman" w:cs="Times New Roman"/>
                <w:iCs/>
                <w:noProof/>
                <w:sz w:val="24"/>
                <w:szCs w:val="24"/>
              </w:rPr>
              <w:t>2.4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Piercing-sucking insect herbivores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_Toc167977601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38</w:t>
            </w:r>
            <w:r w:rsidR="007F3766" w:rsidRPr="007F3766">
              <w:rPr>
                <w:rFonts w:ascii="Times New Roman" w:hAnsi="Times New Roman" w:cs="Times New Roman"/>
                <w:noProof/>
                <w:webHidden/>
                <w:sz w:val="24"/>
                <w:szCs w:val="24"/>
              </w:rPr>
              <w:fldChar w:fldCharType="end"/>
            </w:r>
          </w:hyperlink>
        </w:p>
        <w:p w14:paraId="6FACFF0D" w14:textId="5F42C579"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02" w:history="1">
            <w:r w:rsidR="007F3766" w:rsidRPr="007F3766">
              <w:rPr>
                <w:rStyle w:val="Hyperlink"/>
                <w:rFonts w:ascii="Times New Roman" w:hAnsi="Times New Roman" w:cs="Times New Roman"/>
                <w:noProof/>
                <w:sz w:val="24"/>
                <w:szCs w:val="24"/>
              </w:rPr>
              <w:t>2.4.1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i/>
                <w:iCs/>
                <w:noProof/>
                <w:sz w:val="24"/>
                <w:szCs w:val="24"/>
              </w:rPr>
              <w:t>Brevicoryne brassicae</w:t>
            </w:r>
            <w:r w:rsidR="007F3766" w:rsidRPr="007F3766">
              <w:rPr>
                <w:rStyle w:val="Hyperlink"/>
                <w:rFonts w:ascii="Times New Roman" w:hAnsi="Times New Roman" w:cs="Times New Roman"/>
                <w:noProof/>
                <w:sz w:val="24"/>
                <w:szCs w:val="24"/>
              </w:rPr>
              <w:t xml:space="preserve"> and its life cycle</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_Toc167977602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38</w:t>
            </w:r>
            <w:r w:rsidR="007F3766" w:rsidRPr="007F3766">
              <w:rPr>
                <w:rFonts w:ascii="Times New Roman" w:hAnsi="Times New Roman" w:cs="Times New Roman"/>
                <w:noProof/>
                <w:webHidden/>
                <w:sz w:val="24"/>
                <w:szCs w:val="24"/>
              </w:rPr>
              <w:fldChar w:fldCharType="end"/>
            </w:r>
          </w:hyperlink>
        </w:p>
        <w:p w14:paraId="5AC18EBB" w14:textId="23637F10"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03" w:history="1">
            <w:r w:rsidR="007F3766" w:rsidRPr="007F3766">
              <w:rPr>
                <w:rStyle w:val="Hyperlink"/>
                <w:rFonts w:ascii="Times New Roman" w:hAnsi="Times New Roman" w:cs="Times New Roman"/>
                <w:noProof/>
                <w:sz w:val="24"/>
                <w:szCs w:val="24"/>
              </w:rPr>
              <w:t>2.4.2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i/>
                <w:iCs/>
                <w:noProof/>
                <w:sz w:val="24"/>
                <w:szCs w:val="24"/>
              </w:rPr>
              <w:t>Brevicoryne brassicae</w:t>
            </w:r>
            <w:r w:rsidR="007F3766" w:rsidRPr="007F3766">
              <w:rPr>
                <w:rStyle w:val="Hyperlink"/>
                <w:rFonts w:ascii="Times New Roman" w:hAnsi="Times New Roman" w:cs="Times New Roman"/>
                <w:noProof/>
                <w:sz w:val="24"/>
                <w:szCs w:val="24"/>
              </w:rPr>
              <w:t xml:space="preserve"> interaction with </w:t>
            </w:r>
            <w:r w:rsidR="007F3766" w:rsidRPr="007F3766">
              <w:rPr>
                <w:rStyle w:val="Hyperlink"/>
                <w:rFonts w:ascii="Times New Roman" w:hAnsi="Times New Roman" w:cs="Times New Roman"/>
                <w:i/>
                <w:iCs/>
                <w:noProof/>
                <w:sz w:val="24"/>
                <w:szCs w:val="24"/>
              </w:rPr>
              <w:t>Brassica</w:t>
            </w:r>
            <w:r w:rsidR="007F3766" w:rsidRPr="007F3766">
              <w:rPr>
                <w:rStyle w:val="Hyperlink"/>
                <w:rFonts w:ascii="Times New Roman" w:hAnsi="Times New Roman" w:cs="Times New Roman"/>
                <w:noProof/>
                <w:sz w:val="24"/>
                <w:szCs w:val="24"/>
              </w:rPr>
              <w:t xml:space="preserve"> crops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_Toc167977603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39</w:t>
            </w:r>
            <w:r w:rsidR="007F3766" w:rsidRPr="007F3766">
              <w:rPr>
                <w:rFonts w:ascii="Times New Roman" w:hAnsi="Times New Roman" w:cs="Times New Roman"/>
                <w:noProof/>
                <w:webHidden/>
                <w:sz w:val="24"/>
                <w:szCs w:val="24"/>
              </w:rPr>
              <w:fldChar w:fldCharType="end"/>
            </w:r>
          </w:hyperlink>
        </w:p>
        <w:p w14:paraId="4E8D8342" w14:textId="30D49EE3" w:rsidR="007F3766" w:rsidRPr="007F3766" w:rsidRDefault="008054C1">
          <w:pPr>
            <w:pStyle w:val="TOC1"/>
            <w:tabs>
              <w:tab w:val="left" w:pos="440"/>
              <w:tab w:val="right" w:leader="dot" w:pos="9061"/>
            </w:tabs>
            <w:rPr>
              <w:rFonts w:ascii="Times New Roman" w:hAnsi="Times New Roman" w:cs="Times New Roman"/>
              <w:noProof/>
              <w:kern w:val="2"/>
              <w:sz w:val="24"/>
              <w:szCs w:val="24"/>
              <w:lang w:eastAsia="en-GB"/>
              <w14:ligatures w14:val="standardContextual"/>
            </w:rPr>
          </w:pPr>
          <w:hyperlink w:anchor="_Toc167977604" w:history="1">
            <w:r w:rsidR="007F3766" w:rsidRPr="007F3766">
              <w:rPr>
                <w:rStyle w:val="Hyperlink"/>
                <w:rFonts w:ascii="Times New Roman" w:hAnsi="Times New Roman" w:cs="Times New Roman"/>
                <w:noProof/>
                <w:sz w:val="24"/>
                <w:szCs w:val="24"/>
              </w:rPr>
              <w:t>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Scientific hypothesis and objectives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_Toc167977604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41</w:t>
            </w:r>
            <w:r w:rsidR="007F3766" w:rsidRPr="007F3766">
              <w:rPr>
                <w:rFonts w:ascii="Times New Roman" w:hAnsi="Times New Roman" w:cs="Times New Roman"/>
                <w:noProof/>
                <w:webHidden/>
                <w:sz w:val="24"/>
                <w:szCs w:val="24"/>
              </w:rPr>
              <w:fldChar w:fldCharType="end"/>
            </w:r>
          </w:hyperlink>
        </w:p>
        <w:p w14:paraId="25F16753" w14:textId="1E423D32" w:rsidR="007F3766" w:rsidRPr="007F3766" w:rsidRDefault="008054C1">
          <w:pPr>
            <w:pStyle w:val="TOC1"/>
            <w:tabs>
              <w:tab w:val="left" w:pos="440"/>
              <w:tab w:val="right" w:leader="dot" w:pos="9061"/>
            </w:tabs>
            <w:rPr>
              <w:rFonts w:ascii="Times New Roman" w:hAnsi="Times New Roman" w:cs="Times New Roman"/>
              <w:noProof/>
              <w:kern w:val="2"/>
              <w:sz w:val="24"/>
              <w:szCs w:val="24"/>
              <w:lang w:eastAsia="en-GB"/>
              <w14:ligatures w14:val="standardContextual"/>
            </w:rPr>
          </w:pPr>
          <w:hyperlink w:anchor="_Toc167977605" w:history="1">
            <w:r w:rsidR="007F3766" w:rsidRPr="007F3766">
              <w:rPr>
                <w:rStyle w:val="Hyperlink"/>
                <w:rFonts w:ascii="Times New Roman" w:hAnsi="Times New Roman" w:cs="Times New Roman"/>
                <w:noProof/>
                <w:sz w:val="24"/>
                <w:szCs w:val="24"/>
              </w:rPr>
              <w:t>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Materials and methods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_Toc167977605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42</w:t>
            </w:r>
            <w:r w:rsidR="007F3766" w:rsidRPr="007F3766">
              <w:rPr>
                <w:rFonts w:ascii="Times New Roman" w:hAnsi="Times New Roman" w:cs="Times New Roman"/>
                <w:noProof/>
                <w:webHidden/>
                <w:sz w:val="24"/>
                <w:szCs w:val="24"/>
              </w:rPr>
              <w:fldChar w:fldCharType="end"/>
            </w:r>
          </w:hyperlink>
        </w:p>
        <w:p w14:paraId="3915A7A8" w14:textId="1FE293B0"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06" w:history="1">
            <w:r w:rsidR="007F3766" w:rsidRPr="007F3766">
              <w:rPr>
                <w:rStyle w:val="Hyperlink"/>
                <w:rFonts w:ascii="Times New Roman" w:hAnsi="Times New Roman" w:cs="Times New Roman"/>
                <w:iCs/>
                <w:noProof/>
                <w:sz w:val="24"/>
                <w:szCs w:val="24"/>
              </w:rPr>
              <w:t>4.1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Plant material</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_Toc167977606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42</w:t>
            </w:r>
            <w:r w:rsidR="007F3766" w:rsidRPr="007F3766">
              <w:rPr>
                <w:rFonts w:ascii="Times New Roman" w:hAnsi="Times New Roman" w:cs="Times New Roman"/>
                <w:noProof/>
                <w:webHidden/>
                <w:sz w:val="24"/>
                <w:szCs w:val="24"/>
              </w:rPr>
              <w:fldChar w:fldCharType="end"/>
            </w:r>
          </w:hyperlink>
        </w:p>
        <w:p w14:paraId="0ECD9CF8" w14:textId="4422286F"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07" w:history="1">
            <w:r w:rsidR="007F3766" w:rsidRPr="007F3766">
              <w:rPr>
                <w:rStyle w:val="Hyperlink"/>
                <w:rFonts w:ascii="Times New Roman" w:hAnsi="Times New Roman" w:cs="Times New Roman"/>
                <w:iCs/>
                <w:noProof/>
                <w:sz w:val="24"/>
                <w:szCs w:val="24"/>
              </w:rPr>
              <w:t>4.2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Fungal inoculants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_Toc167977607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43</w:t>
            </w:r>
            <w:r w:rsidR="007F3766" w:rsidRPr="007F3766">
              <w:rPr>
                <w:rFonts w:ascii="Times New Roman" w:hAnsi="Times New Roman" w:cs="Times New Roman"/>
                <w:noProof/>
                <w:webHidden/>
                <w:sz w:val="24"/>
                <w:szCs w:val="24"/>
              </w:rPr>
              <w:fldChar w:fldCharType="end"/>
            </w:r>
          </w:hyperlink>
        </w:p>
        <w:p w14:paraId="010B8DC5" w14:textId="65287E4E"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08" w:history="1">
            <w:r w:rsidR="007F3766" w:rsidRPr="007F3766">
              <w:rPr>
                <w:rStyle w:val="Hyperlink"/>
                <w:rFonts w:ascii="Times New Roman" w:hAnsi="Times New Roman" w:cs="Times New Roman"/>
                <w:iCs/>
                <w:noProof/>
                <w:sz w:val="24"/>
                <w:szCs w:val="24"/>
              </w:rPr>
              <w:t>4.3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Insects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_Toc167977608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44</w:t>
            </w:r>
            <w:r w:rsidR="007F3766" w:rsidRPr="007F3766">
              <w:rPr>
                <w:rFonts w:ascii="Times New Roman" w:hAnsi="Times New Roman" w:cs="Times New Roman"/>
                <w:noProof/>
                <w:webHidden/>
                <w:sz w:val="24"/>
                <w:szCs w:val="24"/>
              </w:rPr>
              <w:fldChar w:fldCharType="end"/>
            </w:r>
          </w:hyperlink>
        </w:p>
        <w:p w14:paraId="334A7078" w14:textId="6E4CFD5C"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09" w:history="1">
            <w:r w:rsidR="007F3766" w:rsidRPr="007F3766">
              <w:rPr>
                <w:rStyle w:val="Hyperlink"/>
                <w:rFonts w:ascii="Times New Roman" w:hAnsi="Times New Roman" w:cs="Times New Roman"/>
                <w:iCs/>
                <w:noProof/>
                <w:sz w:val="24"/>
                <w:szCs w:val="24"/>
              </w:rPr>
              <w:t>4.4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Plant elicitors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_Toc167977609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44</w:t>
            </w:r>
            <w:r w:rsidR="007F3766" w:rsidRPr="007F3766">
              <w:rPr>
                <w:rFonts w:ascii="Times New Roman" w:hAnsi="Times New Roman" w:cs="Times New Roman"/>
                <w:noProof/>
                <w:webHidden/>
                <w:sz w:val="24"/>
                <w:szCs w:val="24"/>
              </w:rPr>
              <w:fldChar w:fldCharType="end"/>
            </w:r>
          </w:hyperlink>
        </w:p>
        <w:p w14:paraId="49C98462" w14:textId="1D56EAE6"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10" w:history="1">
            <w:r w:rsidR="007F3766" w:rsidRPr="007F3766">
              <w:rPr>
                <w:rStyle w:val="Hyperlink"/>
                <w:rFonts w:ascii="Times New Roman" w:hAnsi="Times New Roman" w:cs="Times New Roman"/>
                <w:iCs/>
                <w:noProof/>
                <w:sz w:val="24"/>
                <w:szCs w:val="24"/>
              </w:rPr>
              <w:t>4.5</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RNA isolation and gene transcription analysis of plant defence and signaling</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_Toc167977610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45</w:t>
            </w:r>
            <w:r w:rsidR="007F3766" w:rsidRPr="007F3766">
              <w:rPr>
                <w:rFonts w:ascii="Times New Roman" w:hAnsi="Times New Roman" w:cs="Times New Roman"/>
                <w:noProof/>
                <w:webHidden/>
                <w:sz w:val="24"/>
                <w:szCs w:val="24"/>
              </w:rPr>
              <w:fldChar w:fldCharType="end"/>
            </w:r>
          </w:hyperlink>
        </w:p>
        <w:p w14:paraId="52E8924F" w14:textId="46CBAF7B"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11" w:history="1">
            <w:r w:rsidR="007F3766" w:rsidRPr="007F3766">
              <w:rPr>
                <w:rStyle w:val="Hyperlink"/>
                <w:rFonts w:ascii="Times New Roman" w:hAnsi="Times New Roman" w:cs="Times New Roman"/>
                <w:iCs/>
                <w:noProof/>
                <w:sz w:val="24"/>
                <w:szCs w:val="24"/>
              </w:rPr>
              <w:t>4.6</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Glucosinolate (GLS) analysis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_Toc167977611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49</w:t>
            </w:r>
            <w:r w:rsidR="007F3766" w:rsidRPr="007F3766">
              <w:rPr>
                <w:rFonts w:ascii="Times New Roman" w:hAnsi="Times New Roman" w:cs="Times New Roman"/>
                <w:noProof/>
                <w:webHidden/>
                <w:sz w:val="24"/>
                <w:szCs w:val="24"/>
              </w:rPr>
              <w:fldChar w:fldCharType="end"/>
            </w:r>
          </w:hyperlink>
        </w:p>
        <w:p w14:paraId="3F41B5AB" w14:textId="22E882DC"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12" w:history="1">
            <w:r w:rsidR="007F3766" w:rsidRPr="007F3766">
              <w:rPr>
                <w:rStyle w:val="Hyperlink"/>
                <w:rFonts w:ascii="Times New Roman" w:hAnsi="Times New Roman" w:cs="Times New Roman"/>
                <w:iCs/>
                <w:noProof/>
                <w:sz w:val="24"/>
                <w:szCs w:val="24"/>
              </w:rPr>
              <w:t>4.7</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Volatile organic compound (VOC) analysis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_Toc167977612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49</w:t>
            </w:r>
            <w:r w:rsidR="007F3766" w:rsidRPr="007F3766">
              <w:rPr>
                <w:rFonts w:ascii="Times New Roman" w:hAnsi="Times New Roman" w:cs="Times New Roman"/>
                <w:noProof/>
                <w:webHidden/>
                <w:sz w:val="24"/>
                <w:szCs w:val="24"/>
              </w:rPr>
              <w:fldChar w:fldCharType="end"/>
            </w:r>
          </w:hyperlink>
        </w:p>
        <w:p w14:paraId="56E33A36" w14:textId="54380236"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13" w:history="1">
            <w:r w:rsidR="007F3766" w:rsidRPr="007F3766">
              <w:rPr>
                <w:rStyle w:val="Hyperlink"/>
                <w:rFonts w:ascii="Times New Roman" w:hAnsi="Times New Roman" w:cs="Times New Roman"/>
                <w:iCs/>
                <w:noProof/>
                <w:sz w:val="24"/>
                <w:szCs w:val="24"/>
              </w:rPr>
              <w:t>4.8</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Imaging of defence gene activation and fungal mycelium formation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_Toc167977613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51</w:t>
            </w:r>
            <w:r w:rsidR="007F3766" w:rsidRPr="007F3766">
              <w:rPr>
                <w:rFonts w:ascii="Times New Roman" w:hAnsi="Times New Roman" w:cs="Times New Roman"/>
                <w:noProof/>
                <w:webHidden/>
                <w:sz w:val="24"/>
                <w:szCs w:val="24"/>
              </w:rPr>
              <w:fldChar w:fldCharType="end"/>
            </w:r>
          </w:hyperlink>
        </w:p>
        <w:p w14:paraId="663D0255" w14:textId="07DBF7AF"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14" w:history="1">
            <w:r w:rsidR="007F3766" w:rsidRPr="007F3766">
              <w:rPr>
                <w:rStyle w:val="Hyperlink"/>
                <w:rFonts w:ascii="Times New Roman" w:hAnsi="Times New Roman" w:cs="Times New Roman"/>
                <w:iCs/>
                <w:noProof/>
                <w:sz w:val="24"/>
                <w:szCs w:val="24"/>
              </w:rPr>
              <w:t>4.9</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Histochemical staining for GUS activity and callose deposition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_Toc167977614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52</w:t>
            </w:r>
            <w:r w:rsidR="007F3766" w:rsidRPr="007F3766">
              <w:rPr>
                <w:rFonts w:ascii="Times New Roman" w:hAnsi="Times New Roman" w:cs="Times New Roman"/>
                <w:noProof/>
                <w:webHidden/>
                <w:sz w:val="24"/>
                <w:szCs w:val="24"/>
              </w:rPr>
              <w:fldChar w:fldCharType="end"/>
            </w:r>
          </w:hyperlink>
        </w:p>
        <w:p w14:paraId="4D8F531D" w14:textId="1A652168"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15" w:history="1">
            <w:r w:rsidR="007F3766" w:rsidRPr="007F3766">
              <w:rPr>
                <w:rStyle w:val="Hyperlink"/>
                <w:rFonts w:ascii="Times New Roman" w:hAnsi="Times New Roman" w:cs="Times New Roman"/>
                <w:iCs/>
                <w:noProof/>
                <w:sz w:val="24"/>
                <w:szCs w:val="24"/>
              </w:rPr>
              <w:t>4.10</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Root colonization test on selective media</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_Toc167977615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52</w:t>
            </w:r>
            <w:r w:rsidR="007F3766" w:rsidRPr="007F3766">
              <w:rPr>
                <w:rFonts w:ascii="Times New Roman" w:hAnsi="Times New Roman" w:cs="Times New Roman"/>
                <w:noProof/>
                <w:webHidden/>
                <w:sz w:val="24"/>
                <w:szCs w:val="24"/>
              </w:rPr>
              <w:fldChar w:fldCharType="end"/>
            </w:r>
          </w:hyperlink>
        </w:p>
        <w:p w14:paraId="0E747061" w14:textId="28254D17"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16" w:history="1">
            <w:r w:rsidR="007F3766" w:rsidRPr="007F3766">
              <w:rPr>
                <w:rStyle w:val="Hyperlink"/>
                <w:rFonts w:ascii="Times New Roman" w:hAnsi="Times New Roman" w:cs="Times New Roman"/>
                <w:iCs/>
                <w:noProof/>
                <w:sz w:val="24"/>
                <w:szCs w:val="24"/>
              </w:rPr>
              <w:t>4.11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Statistical analyses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_Toc167977616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53</w:t>
            </w:r>
            <w:r w:rsidR="007F3766" w:rsidRPr="007F3766">
              <w:rPr>
                <w:rFonts w:ascii="Times New Roman" w:hAnsi="Times New Roman" w:cs="Times New Roman"/>
                <w:noProof/>
                <w:webHidden/>
                <w:sz w:val="24"/>
                <w:szCs w:val="24"/>
              </w:rPr>
              <w:fldChar w:fldCharType="end"/>
            </w:r>
          </w:hyperlink>
        </w:p>
        <w:p w14:paraId="240801D9" w14:textId="5C704C16" w:rsidR="007F3766" w:rsidRPr="007F3766" w:rsidRDefault="008054C1">
          <w:pPr>
            <w:pStyle w:val="TOC1"/>
            <w:tabs>
              <w:tab w:val="left" w:pos="440"/>
              <w:tab w:val="right" w:leader="dot" w:pos="9061"/>
            </w:tabs>
            <w:rPr>
              <w:rFonts w:ascii="Times New Roman" w:hAnsi="Times New Roman" w:cs="Times New Roman"/>
              <w:noProof/>
              <w:kern w:val="2"/>
              <w:sz w:val="24"/>
              <w:szCs w:val="24"/>
              <w:lang w:eastAsia="en-GB"/>
              <w14:ligatures w14:val="standardContextual"/>
            </w:rPr>
          </w:pPr>
          <w:hyperlink w:anchor="_Toc167977617" w:history="1">
            <w:r w:rsidR="007F3766" w:rsidRPr="007F3766">
              <w:rPr>
                <w:rStyle w:val="Hyperlink"/>
                <w:rFonts w:ascii="Times New Roman" w:hAnsi="Times New Roman" w:cs="Times New Roman"/>
                <w:noProof/>
                <w:sz w:val="24"/>
                <w:szCs w:val="24"/>
              </w:rPr>
              <w:t>5</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Individual studies and their results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_Toc167977617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55</w:t>
            </w:r>
            <w:r w:rsidR="007F3766" w:rsidRPr="007F3766">
              <w:rPr>
                <w:rFonts w:ascii="Times New Roman" w:hAnsi="Times New Roman" w:cs="Times New Roman"/>
                <w:noProof/>
                <w:webHidden/>
                <w:sz w:val="24"/>
                <w:szCs w:val="24"/>
              </w:rPr>
              <w:fldChar w:fldCharType="end"/>
            </w:r>
          </w:hyperlink>
        </w:p>
        <w:p w14:paraId="623B95AE" w14:textId="07BB63F1"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18" w:history="1">
            <w:r w:rsidR="007F3766" w:rsidRPr="007F3766">
              <w:rPr>
                <w:rStyle w:val="Hyperlink"/>
                <w:rFonts w:ascii="Times New Roman" w:hAnsi="Times New Roman" w:cs="Times New Roman"/>
                <w:iCs/>
                <w:noProof/>
                <w:sz w:val="24"/>
                <w:szCs w:val="24"/>
              </w:rPr>
              <w:t>5.1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Development of a feeding choice test method for studying leaf palatability for </w:t>
            </w:r>
            <w:r w:rsidR="007F3766" w:rsidRPr="007F3766">
              <w:rPr>
                <w:rStyle w:val="Hyperlink"/>
                <w:rFonts w:ascii="Times New Roman" w:hAnsi="Times New Roman" w:cs="Times New Roman"/>
                <w:i/>
                <w:noProof/>
                <w:sz w:val="24"/>
                <w:szCs w:val="24"/>
              </w:rPr>
              <w:t xml:space="preserve">Plutella xylostella </w:t>
            </w:r>
            <w:r w:rsidR="007F3766" w:rsidRPr="007F3766">
              <w:rPr>
                <w:rStyle w:val="Hyperlink"/>
                <w:rFonts w:ascii="Times New Roman" w:hAnsi="Times New Roman" w:cs="Times New Roman"/>
                <w:noProof/>
                <w:sz w:val="24"/>
                <w:szCs w:val="24"/>
              </w:rPr>
              <w:t>caterpillars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_Toc167977618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55</w:t>
            </w:r>
            <w:r w:rsidR="007F3766" w:rsidRPr="007F3766">
              <w:rPr>
                <w:rFonts w:ascii="Times New Roman" w:hAnsi="Times New Roman" w:cs="Times New Roman"/>
                <w:noProof/>
                <w:webHidden/>
                <w:sz w:val="24"/>
                <w:szCs w:val="24"/>
              </w:rPr>
              <w:fldChar w:fldCharType="end"/>
            </w:r>
          </w:hyperlink>
        </w:p>
        <w:p w14:paraId="22EA28BA" w14:textId="7FD6FF6E"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19" w:history="1">
            <w:r w:rsidR="007F3766" w:rsidRPr="007F3766">
              <w:rPr>
                <w:rStyle w:val="Hyperlink"/>
                <w:rFonts w:ascii="Times New Roman" w:hAnsi="Times New Roman" w:cs="Times New Roman"/>
                <w:noProof/>
                <w:sz w:val="24"/>
                <w:szCs w:val="24"/>
              </w:rPr>
              <w:t>5.1.1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Development of a T-tube connected vial system</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_Toc167977619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55</w:t>
            </w:r>
            <w:r w:rsidR="007F3766" w:rsidRPr="007F3766">
              <w:rPr>
                <w:rFonts w:ascii="Times New Roman" w:hAnsi="Times New Roman" w:cs="Times New Roman"/>
                <w:noProof/>
                <w:webHidden/>
                <w:sz w:val="24"/>
                <w:szCs w:val="24"/>
              </w:rPr>
              <w:fldChar w:fldCharType="end"/>
            </w:r>
          </w:hyperlink>
        </w:p>
        <w:p w14:paraId="0C292C5C" w14:textId="2FE38459"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20" w:history="1">
            <w:r w:rsidR="007F3766" w:rsidRPr="007F3766">
              <w:rPr>
                <w:rStyle w:val="Hyperlink"/>
                <w:rFonts w:ascii="Times New Roman" w:hAnsi="Times New Roman" w:cs="Times New Roman"/>
                <w:noProof/>
                <w:sz w:val="24"/>
                <w:szCs w:val="24"/>
              </w:rPr>
              <w:t>5.1.2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Testing the reliability of the vial system using natural insecticides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_Toc167977620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55</w:t>
            </w:r>
            <w:r w:rsidR="007F3766" w:rsidRPr="007F3766">
              <w:rPr>
                <w:rFonts w:ascii="Times New Roman" w:hAnsi="Times New Roman" w:cs="Times New Roman"/>
                <w:noProof/>
                <w:webHidden/>
                <w:sz w:val="24"/>
                <w:szCs w:val="24"/>
              </w:rPr>
              <w:fldChar w:fldCharType="end"/>
            </w:r>
          </w:hyperlink>
        </w:p>
        <w:p w14:paraId="22976F29" w14:textId="64380461"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21" w:history="1">
            <w:r w:rsidR="007F3766" w:rsidRPr="007F3766">
              <w:rPr>
                <w:rStyle w:val="Hyperlink"/>
                <w:rFonts w:ascii="Times New Roman" w:hAnsi="Times New Roman" w:cs="Times New Roman"/>
                <w:iCs/>
                <w:noProof/>
                <w:sz w:val="24"/>
                <w:szCs w:val="24"/>
              </w:rPr>
              <w:t>5.2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Can </w:t>
            </w:r>
            <w:r w:rsidR="007F3766" w:rsidRPr="007F3766">
              <w:rPr>
                <w:rStyle w:val="Hyperlink"/>
                <w:rFonts w:ascii="Times New Roman" w:hAnsi="Times New Roman" w:cs="Times New Roman"/>
                <w:i/>
                <w:noProof/>
                <w:sz w:val="24"/>
                <w:szCs w:val="24"/>
              </w:rPr>
              <w:t>Leptosphaeria maculans</w:t>
            </w:r>
            <w:r w:rsidR="007F3766" w:rsidRPr="007F3766">
              <w:rPr>
                <w:rStyle w:val="Hyperlink"/>
                <w:rFonts w:ascii="Times New Roman" w:hAnsi="Times New Roman" w:cs="Times New Roman"/>
                <w:noProof/>
                <w:sz w:val="24"/>
                <w:szCs w:val="24"/>
              </w:rPr>
              <w:t xml:space="preserve"> infection alter palatability of oilseed rape for</w:t>
            </w:r>
            <w:r w:rsidR="007F3766" w:rsidRPr="007F3766">
              <w:rPr>
                <w:rStyle w:val="Hyperlink"/>
                <w:rFonts w:ascii="Times New Roman" w:hAnsi="Times New Roman" w:cs="Times New Roman"/>
                <w:i/>
                <w:noProof/>
                <w:sz w:val="24"/>
                <w:szCs w:val="24"/>
              </w:rPr>
              <w:t xml:space="preserve"> Plutella xylostella</w:t>
            </w:r>
            <w:r w:rsidR="007F3766" w:rsidRPr="007F3766">
              <w:rPr>
                <w:rStyle w:val="Hyperlink"/>
                <w:rFonts w:ascii="Times New Roman" w:hAnsi="Times New Roman" w:cs="Times New Roman"/>
                <w:noProof/>
                <w:sz w:val="24"/>
                <w:szCs w:val="24"/>
              </w:rPr>
              <w:t xml:space="preserve"> caterpillars and </w:t>
            </w:r>
            <w:r w:rsidR="007F3766" w:rsidRPr="007F3766">
              <w:rPr>
                <w:rStyle w:val="Hyperlink"/>
                <w:rFonts w:ascii="Times New Roman" w:hAnsi="Times New Roman" w:cs="Times New Roman"/>
                <w:i/>
                <w:noProof/>
                <w:sz w:val="24"/>
                <w:szCs w:val="24"/>
              </w:rPr>
              <w:t xml:space="preserve">Brevicoryne brassicae </w:t>
            </w:r>
            <w:r w:rsidR="007F3766" w:rsidRPr="007F3766">
              <w:rPr>
                <w:rStyle w:val="Hyperlink"/>
                <w:rFonts w:ascii="Times New Roman" w:hAnsi="Times New Roman" w:cs="Times New Roman"/>
                <w:noProof/>
                <w:sz w:val="24"/>
                <w:szCs w:val="24"/>
              </w:rPr>
              <w:t>aphids?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_Toc167977621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58</w:t>
            </w:r>
            <w:r w:rsidR="007F3766" w:rsidRPr="007F3766">
              <w:rPr>
                <w:rFonts w:ascii="Times New Roman" w:hAnsi="Times New Roman" w:cs="Times New Roman"/>
                <w:noProof/>
                <w:webHidden/>
                <w:sz w:val="24"/>
                <w:szCs w:val="24"/>
              </w:rPr>
              <w:fldChar w:fldCharType="end"/>
            </w:r>
          </w:hyperlink>
        </w:p>
        <w:p w14:paraId="2690320A" w14:textId="0EF105EB"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22" w:history="1">
            <w:r w:rsidR="007F3766" w:rsidRPr="007F3766">
              <w:rPr>
                <w:rStyle w:val="Hyperlink"/>
                <w:rFonts w:ascii="Times New Roman" w:hAnsi="Times New Roman" w:cs="Times New Roman"/>
                <w:noProof/>
                <w:sz w:val="24"/>
                <w:szCs w:val="24"/>
              </w:rPr>
              <w:t>5.2.1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Introduction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_Toc167977622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58</w:t>
            </w:r>
            <w:r w:rsidR="007F3766" w:rsidRPr="007F3766">
              <w:rPr>
                <w:rFonts w:ascii="Times New Roman" w:hAnsi="Times New Roman" w:cs="Times New Roman"/>
                <w:noProof/>
                <w:webHidden/>
                <w:sz w:val="24"/>
                <w:szCs w:val="24"/>
              </w:rPr>
              <w:fldChar w:fldCharType="end"/>
            </w:r>
          </w:hyperlink>
        </w:p>
        <w:p w14:paraId="04DC81AD" w14:textId="01952A9C"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23" w:history="1">
            <w:r w:rsidR="007F3766" w:rsidRPr="007F3766">
              <w:rPr>
                <w:rStyle w:val="Hyperlink"/>
                <w:rFonts w:ascii="Times New Roman" w:hAnsi="Times New Roman" w:cs="Times New Roman"/>
                <w:noProof/>
                <w:sz w:val="24"/>
                <w:szCs w:val="24"/>
              </w:rPr>
              <w:t>5.2.2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Experimental design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_Toc167977623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58</w:t>
            </w:r>
            <w:r w:rsidR="007F3766" w:rsidRPr="007F3766">
              <w:rPr>
                <w:rFonts w:ascii="Times New Roman" w:hAnsi="Times New Roman" w:cs="Times New Roman"/>
                <w:noProof/>
                <w:webHidden/>
                <w:sz w:val="24"/>
                <w:szCs w:val="24"/>
              </w:rPr>
              <w:fldChar w:fldCharType="end"/>
            </w:r>
          </w:hyperlink>
        </w:p>
        <w:p w14:paraId="1A678DBC" w14:textId="043A9905"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24" w:history="1">
            <w:r w:rsidR="007F3766" w:rsidRPr="007F3766">
              <w:rPr>
                <w:rStyle w:val="Hyperlink"/>
                <w:rFonts w:ascii="Times New Roman" w:hAnsi="Times New Roman" w:cs="Times New Roman"/>
                <w:noProof/>
                <w:sz w:val="24"/>
                <w:szCs w:val="24"/>
              </w:rPr>
              <w:t>5.2.3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Results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_Toc167977624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60</w:t>
            </w:r>
            <w:r w:rsidR="007F3766" w:rsidRPr="007F3766">
              <w:rPr>
                <w:rFonts w:ascii="Times New Roman" w:hAnsi="Times New Roman" w:cs="Times New Roman"/>
                <w:noProof/>
                <w:webHidden/>
                <w:sz w:val="24"/>
                <w:szCs w:val="24"/>
              </w:rPr>
              <w:fldChar w:fldCharType="end"/>
            </w:r>
          </w:hyperlink>
        </w:p>
        <w:p w14:paraId="11B52E81" w14:textId="291561A7"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25" w:history="1">
            <w:r w:rsidR="007F3766" w:rsidRPr="007F3766">
              <w:rPr>
                <w:rStyle w:val="Hyperlink"/>
                <w:rFonts w:ascii="Times New Roman" w:hAnsi="Times New Roman" w:cs="Times New Roman"/>
                <w:noProof/>
                <w:sz w:val="24"/>
                <w:szCs w:val="24"/>
              </w:rPr>
              <w:t>5.2.3.1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i/>
                <w:noProof/>
                <w:sz w:val="24"/>
                <w:szCs w:val="24"/>
              </w:rPr>
              <w:t xml:space="preserve">Plutella xylostella </w:t>
            </w:r>
            <w:r w:rsidR="007F3766" w:rsidRPr="007F3766">
              <w:rPr>
                <w:rStyle w:val="Hyperlink"/>
                <w:rFonts w:ascii="Times New Roman" w:hAnsi="Times New Roman" w:cs="Times New Roman"/>
                <w:noProof/>
                <w:sz w:val="24"/>
                <w:szCs w:val="24"/>
              </w:rPr>
              <w:t xml:space="preserve">caterpillars and </w:t>
            </w:r>
            <w:r w:rsidR="007F3766" w:rsidRPr="007F3766">
              <w:rPr>
                <w:rStyle w:val="Hyperlink"/>
                <w:rFonts w:ascii="Times New Roman" w:hAnsi="Times New Roman" w:cs="Times New Roman"/>
                <w:i/>
                <w:noProof/>
                <w:sz w:val="24"/>
                <w:szCs w:val="24"/>
              </w:rPr>
              <w:t xml:space="preserve">Brevicoryne brassicae </w:t>
            </w:r>
            <w:r w:rsidR="007F3766" w:rsidRPr="007F3766">
              <w:rPr>
                <w:rStyle w:val="Hyperlink"/>
                <w:rFonts w:ascii="Times New Roman" w:hAnsi="Times New Roman" w:cs="Times New Roman"/>
                <w:noProof/>
                <w:sz w:val="24"/>
                <w:szCs w:val="24"/>
              </w:rPr>
              <w:t>aphids prefer true leaves to cotyledons of oilseed rape</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_Toc167977625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60</w:t>
            </w:r>
            <w:r w:rsidR="007F3766" w:rsidRPr="007F3766">
              <w:rPr>
                <w:rFonts w:ascii="Times New Roman" w:hAnsi="Times New Roman" w:cs="Times New Roman"/>
                <w:noProof/>
                <w:webHidden/>
                <w:sz w:val="24"/>
                <w:szCs w:val="24"/>
              </w:rPr>
              <w:fldChar w:fldCharType="end"/>
            </w:r>
          </w:hyperlink>
        </w:p>
        <w:p w14:paraId="6EC5D018" w14:textId="7FFBFC3B"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26" w:history="1">
            <w:r w:rsidR="007F3766" w:rsidRPr="007F3766">
              <w:rPr>
                <w:rStyle w:val="Hyperlink"/>
                <w:rFonts w:ascii="Times New Roman" w:hAnsi="Times New Roman" w:cs="Times New Roman"/>
                <w:noProof/>
                <w:sz w:val="24"/>
                <w:szCs w:val="24"/>
              </w:rPr>
              <w:t>5.2.3.2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Inoculation of oilseed rape leaves with </w:t>
            </w:r>
            <w:r w:rsidR="007F3766" w:rsidRPr="007F3766">
              <w:rPr>
                <w:rStyle w:val="Hyperlink"/>
                <w:rFonts w:ascii="Times New Roman" w:hAnsi="Times New Roman" w:cs="Times New Roman"/>
                <w:i/>
                <w:noProof/>
                <w:sz w:val="24"/>
                <w:szCs w:val="24"/>
              </w:rPr>
              <w:t xml:space="preserve">Leptosphaeria maculans </w:t>
            </w:r>
            <w:r w:rsidR="007F3766" w:rsidRPr="007F3766">
              <w:rPr>
                <w:rStyle w:val="Hyperlink"/>
                <w:rFonts w:ascii="Times New Roman" w:hAnsi="Times New Roman" w:cs="Times New Roman"/>
                <w:noProof/>
                <w:sz w:val="24"/>
                <w:szCs w:val="24"/>
              </w:rPr>
              <w:t xml:space="preserve">changes the preference of </w:t>
            </w:r>
            <w:r w:rsidR="007F3766" w:rsidRPr="007F3766">
              <w:rPr>
                <w:rStyle w:val="Hyperlink"/>
                <w:rFonts w:ascii="Times New Roman" w:hAnsi="Times New Roman" w:cs="Times New Roman"/>
                <w:i/>
                <w:noProof/>
                <w:sz w:val="24"/>
                <w:szCs w:val="24"/>
              </w:rPr>
              <w:t>Plutella xylostella</w:t>
            </w:r>
            <w:r w:rsidR="007F3766" w:rsidRPr="007F3766">
              <w:rPr>
                <w:rStyle w:val="Hyperlink"/>
                <w:rFonts w:ascii="Times New Roman" w:hAnsi="Times New Roman" w:cs="Times New Roman"/>
                <w:noProof/>
                <w:sz w:val="24"/>
                <w:szCs w:val="24"/>
              </w:rPr>
              <w:t xml:space="preserve"> caterpillars during the early stage of fungal infection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_Toc167977626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62</w:t>
            </w:r>
            <w:r w:rsidR="007F3766" w:rsidRPr="007F3766">
              <w:rPr>
                <w:rFonts w:ascii="Times New Roman" w:hAnsi="Times New Roman" w:cs="Times New Roman"/>
                <w:noProof/>
                <w:webHidden/>
                <w:sz w:val="24"/>
                <w:szCs w:val="24"/>
              </w:rPr>
              <w:fldChar w:fldCharType="end"/>
            </w:r>
          </w:hyperlink>
        </w:p>
        <w:p w14:paraId="35CD22A1" w14:textId="3B560534"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27" w:history="1">
            <w:r w:rsidR="007F3766" w:rsidRPr="007F3766">
              <w:rPr>
                <w:rStyle w:val="Hyperlink"/>
                <w:rFonts w:ascii="Times New Roman" w:hAnsi="Times New Roman" w:cs="Times New Roman"/>
                <w:noProof/>
                <w:sz w:val="24"/>
                <w:szCs w:val="24"/>
              </w:rPr>
              <w:t>5.2.3.3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Inoculation of oilseed rape leaves with </w:t>
            </w:r>
            <w:r w:rsidR="007F3766" w:rsidRPr="007F3766">
              <w:rPr>
                <w:rStyle w:val="Hyperlink"/>
                <w:rFonts w:ascii="Times New Roman" w:hAnsi="Times New Roman" w:cs="Times New Roman"/>
                <w:i/>
                <w:noProof/>
                <w:sz w:val="24"/>
                <w:szCs w:val="24"/>
              </w:rPr>
              <w:t xml:space="preserve">Leptosphaeria maculans </w:t>
            </w:r>
            <w:r w:rsidR="007F3766" w:rsidRPr="007F3766">
              <w:rPr>
                <w:rStyle w:val="Hyperlink"/>
                <w:rFonts w:ascii="Times New Roman" w:hAnsi="Times New Roman" w:cs="Times New Roman"/>
                <w:noProof/>
                <w:sz w:val="24"/>
                <w:szCs w:val="24"/>
              </w:rPr>
              <w:t xml:space="preserve">changes the preference of </w:t>
            </w:r>
            <w:r w:rsidR="007F3766" w:rsidRPr="007F3766">
              <w:rPr>
                <w:rStyle w:val="Hyperlink"/>
                <w:rFonts w:ascii="Times New Roman" w:hAnsi="Times New Roman" w:cs="Times New Roman"/>
                <w:i/>
                <w:noProof/>
                <w:sz w:val="24"/>
                <w:szCs w:val="24"/>
              </w:rPr>
              <w:t>Brevicoryne brassicae</w:t>
            </w:r>
            <w:r w:rsidR="007F3766" w:rsidRPr="007F3766">
              <w:rPr>
                <w:rStyle w:val="Hyperlink"/>
                <w:rFonts w:ascii="Times New Roman" w:hAnsi="Times New Roman" w:cs="Times New Roman"/>
                <w:noProof/>
                <w:sz w:val="24"/>
                <w:szCs w:val="24"/>
              </w:rPr>
              <w:t xml:space="preserve"> aphids during the later stage of fungal infection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_Toc167977627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64</w:t>
            </w:r>
            <w:r w:rsidR="007F3766" w:rsidRPr="007F3766">
              <w:rPr>
                <w:rFonts w:ascii="Times New Roman" w:hAnsi="Times New Roman" w:cs="Times New Roman"/>
                <w:noProof/>
                <w:webHidden/>
                <w:sz w:val="24"/>
                <w:szCs w:val="24"/>
              </w:rPr>
              <w:fldChar w:fldCharType="end"/>
            </w:r>
          </w:hyperlink>
        </w:p>
        <w:p w14:paraId="19B64259" w14:textId="55FBFB67"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28" w:history="1">
            <w:r w:rsidR="007F3766" w:rsidRPr="007F3766">
              <w:rPr>
                <w:rStyle w:val="Hyperlink"/>
                <w:rFonts w:ascii="Times New Roman" w:hAnsi="Times New Roman" w:cs="Times New Roman"/>
                <w:noProof/>
                <w:sz w:val="24"/>
                <w:szCs w:val="24"/>
              </w:rPr>
              <w:t>5.2.3.4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Activation of signaling pathways in oilseed rape</w:t>
            </w:r>
            <w:r w:rsidR="007F3766" w:rsidRPr="007F3766">
              <w:rPr>
                <w:rStyle w:val="Hyperlink"/>
                <w:rFonts w:ascii="Times New Roman" w:hAnsi="Times New Roman" w:cs="Times New Roman"/>
                <w:i/>
                <w:noProof/>
                <w:sz w:val="24"/>
                <w:szCs w:val="24"/>
              </w:rPr>
              <w:t xml:space="preserve"> </w:t>
            </w:r>
            <w:r w:rsidR="007F3766" w:rsidRPr="007F3766">
              <w:rPr>
                <w:rStyle w:val="Hyperlink"/>
                <w:rFonts w:ascii="Times New Roman" w:hAnsi="Times New Roman" w:cs="Times New Roman"/>
                <w:noProof/>
                <w:sz w:val="24"/>
                <w:szCs w:val="24"/>
              </w:rPr>
              <w:t xml:space="preserve">leaves inoculated with </w:t>
            </w:r>
            <w:r w:rsidR="007F3766" w:rsidRPr="007F3766">
              <w:rPr>
                <w:rStyle w:val="Hyperlink"/>
                <w:rFonts w:ascii="Times New Roman" w:hAnsi="Times New Roman" w:cs="Times New Roman"/>
                <w:i/>
                <w:noProof/>
                <w:sz w:val="24"/>
                <w:szCs w:val="24"/>
              </w:rPr>
              <w:t>Leptosphaeria maculans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_Toc167977628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65</w:t>
            </w:r>
            <w:r w:rsidR="007F3766" w:rsidRPr="007F3766">
              <w:rPr>
                <w:rFonts w:ascii="Times New Roman" w:hAnsi="Times New Roman" w:cs="Times New Roman"/>
                <w:noProof/>
                <w:webHidden/>
                <w:sz w:val="24"/>
                <w:szCs w:val="24"/>
              </w:rPr>
              <w:fldChar w:fldCharType="end"/>
            </w:r>
          </w:hyperlink>
        </w:p>
        <w:p w14:paraId="001C0B3B" w14:textId="7AB8A6D9"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29" w:history="1">
            <w:r w:rsidR="007F3766" w:rsidRPr="007F3766">
              <w:rPr>
                <w:rStyle w:val="Hyperlink"/>
                <w:rFonts w:ascii="Times New Roman" w:hAnsi="Times New Roman" w:cs="Times New Roman"/>
                <w:noProof/>
                <w:sz w:val="24"/>
                <w:szCs w:val="24"/>
              </w:rPr>
              <w:t>5.2.3.5</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Inoculation with </w:t>
            </w:r>
            <w:r w:rsidR="007F3766" w:rsidRPr="007F3766">
              <w:rPr>
                <w:rStyle w:val="Hyperlink"/>
                <w:rFonts w:ascii="Times New Roman" w:hAnsi="Times New Roman" w:cs="Times New Roman"/>
                <w:i/>
                <w:noProof/>
                <w:sz w:val="24"/>
                <w:szCs w:val="24"/>
              </w:rPr>
              <w:t>Leptosphaeria maculans</w:t>
            </w:r>
            <w:r w:rsidR="007F3766" w:rsidRPr="007F3766">
              <w:rPr>
                <w:rStyle w:val="Hyperlink"/>
                <w:rFonts w:ascii="Times New Roman" w:hAnsi="Times New Roman" w:cs="Times New Roman"/>
                <w:noProof/>
                <w:sz w:val="24"/>
                <w:szCs w:val="24"/>
              </w:rPr>
              <w:t xml:space="preserve"> and subsequent infestation by </w:t>
            </w:r>
            <w:r w:rsidR="007F3766" w:rsidRPr="007F3766">
              <w:rPr>
                <w:rStyle w:val="Hyperlink"/>
                <w:rFonts w:ascii="Times New Roman" w:hAnsi="Times New Roman" w:cs="Times New Roman"/>
                <w:i/>
                <w:noProof/>
                <w:sz w:val="24"/>
                <w:szCs w:val="24"/>
              </w:rPr>
              <w:t>Plutella xylostella</w:t>
            </w:r>
            <w:r w:rsidR="007F3766" w:rsidRPr="007F3766">
              <w:rPr>
                <w:rStyle w:val="Hyperlink"/>
                <w:rFonts w:ascii="Times New Roman" w:hAnsi="Times New Roman" w:cs="Times New Roman"/>
                <w:noProof/>
                <w:sz w:val="24"/>
                <w:szCs w:val="24"/>
              </w:rPr>
              <w:t xml:space="preserve"> caterpillars alters the GLS profile in oilseed rape</w:t>
            </w:r>
            <w:r w:rsidR="007F3766" w:rsidRPr="007F3766">
              <w:rPr>
                <w:rStyle w:val="Hyperlink"/>
                <w:rFonts w:ascii="Times New Roman" w:hAnsi="Times New Roman" w:cs="Times New Roman"/>
                <w:i/>
                <w:noProof/>
                <w:sz w:val="24"/>
                <w:szCs w:val="24"/>
              </w:rPr>
              <w:t xml:space="preserve"> </w:t>
            </w:r>
            <w:r w:rsidR="007F3766" w:rsidRPr="007F3766">
              <w:rPr>
                <w:rStyle w:val="Hyperlink"/>
                <w:rFonts w:ascii="Times New Roman" w:hAnsi="Times New Roman" w:cs="Times New Roman"/>
                <w:noProof/>
                <w:sz w:val="24"/>
                <w:szCs w:val="24"/>
              </w:rPr>
              <w:t>leaves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_Toc167977629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67</w:t>
            </w:r>
            <w:r w:rsidR="007F3766" w:rsidRPr="007F3766">
              <w:rPr>
                <w:rFonts w:ascii="Times New Roman" w:hAnsi="Times New Roman" w:cs="Times New Roman"/>
                <w:noProof/>
                <w:webHidden/>
                <w:sz w:val="24"/>
                <w:szCs w:val="24"/>
              </w:rPr>
              <w:fldChar w:fldCharType="end"/>
            </w:r>
          </w:hyperlink>
        </w:p>
        <w:p w14:paraId="4EE78111" w14:textId="427F21CB"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30" w:history="1">
            <w:r w:rsidR="007F3766" w:rsidRPr="007F3766">
              <w:rPr>
                <w:rStyle w:val="Hyperlink"/>
                <w:rFonts w:ascii="Times New Roman" w:hAnsi="Times New Roman" w:cs="Times New Roman"/>
                <w:noProof/>
                <w:sz w:val="24"/>
                <w:szCs w:val="24"/>
              </w:rPr>
              <w:t>5.2.3.6</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Inoculation with </w:t>
            </w:r>
            <w:r w:rsidR="007F3766" w:rsidRPr="007F3766">
              <w:rPr>
                <w:rStyle w:val="Hyperlink"/>
                <w:rFonts w:ascii="Times New Roman" w:hAnsi="Times New Roman" w:cs="Times New Roman"/>
                <w:i/>
                <w:noProof/>
                <w:sz w:val="24"/>
                <w:szCs w:val="24"/>
              </w:rPr>
              <w:t>Leptosphaeria maculans</w:t>
            </w:r>
            <w:r w:rsidR="007F3766" w:rsidRPr="007F3766">
              <w:rPr>
                <w:rStyle w:val="Hyperlink"/>
                <w:rFonts w:ascii="Times New Roman" w:hAnsi="Times New Roman" w:cs="Times New Roman"/>
                <w:noProof/>
                <w:sz w:val="24"/>
                <w:szCs w:val="24"/>
              </w:rPr>
              <w:t xml:space="preserve"> alters the volatile organic compound (VOC) profile in oilseed rape</w:t>
            </w:r>
            <w:r w:rsidR="007F3766" w:rsidRPr="007F3766">
              <w:rPr>
                <w:rStyle w:val="Hyperlink"/>
                <w:rFonts w:ascii="Times New Roman" w:hAnsi="Times New Roman" w:cs="Times New Roman"/>
                <w:i/>
                <w:noProof/>
                <w:sz w:val="24"/>
                <w:szCs w:val="24"/>
              </w:rPr>
              <w:t xml:space="preserve"> </w:t>
            </w:r>
            <w:r w:rsidR="007F3766" w:rsidRPr="007F3766">
              <w:rPr>
                <w:rStyle w:val="Hyperlink"/>
                <w:rFonts w:ascii="Times New Roman" w:hAnsi="Times New Roman" w:cs="Times New Roman"/>
                <w:noProof/>
                <w:sz w:val="24"/>
                <w:szCs w:val="24"/>
              </w:rPr>
              <w:t>leaves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_Toc167977630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76</w:t>
            </w:r>
            <w:r w:rsidR="007F3766" w:rsidRPr="007F3766">
              <w:rPr>
                <w:rFonts w:ascii="Times New Roman" w:hAnsi="Times New Roman" w:cs="Times New Roman"/>
                <w:noProof/>
                <w:webHidden/>
                <w:sz w:val="24"/>
                <w:szCs w:val="24"/>
              </w:rPr>
              <w:fldChar w:fldCharType="end"/>
            </w:r>
          </w:hyperlink>
        </w:p>
        <w:p w14:paraId="224F5095" w14:textId="17DC93EF"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31" w:history="1">
            <w:r w:rsidR="007F3766" w:rsidRPr="007F3766">
              <w:rPr>
                <w:rStyle w:val="Hyperlink"/>
                <w:rFonts w:ascii="Times New Roman" w:hAnsi="Times New Roman" w:cs="Times New Roman"/>
                <w:noProof/>
                <w:sz w:val="24"/>
                <w:szCs w:val="24"/>
              </w:rPr>
              <w:t>5.2.4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Discussion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_Toc167977631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82</w:t>
            </w:r>
            <w:r w:rsidR="007F3766" w:rsidRPr="007F3766">
              <w:rPr>
                <w:rFonts w:ascii="Times New Roman" w:hAnsi="Times New Roman" w:cs="Times New Roman"/>
                <w:noProof/>
                <w:webHidden/>
                <w:sz w:val="24"/>
                <w:szCs w:val="24"/>
              </w:rPr>
              <w:fldChar w:fldCharType="end"/>
            </w:r>
          </w:hyperlink>
        </w:p>
        <w:p w14:paraId="57D3191A" w14:textId="701DE51E"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32" w:history="1">
            <w:r w:rsidR="007F3766" w:rsidRPr="007F3766">
              <w:rPr>
                <w:rStyle w:val="Hyperlink"/>
                <w:rFonts w:ascii="Times New Roman" w:hAnsi="Times New Roman" w:cs="Times New Roman"/>
                <w:iCs/>
                <w:noProof/>
                <w:sz w:val="24"/>
                <w:szCs w:val="24"/>
              </w:rPr>
              <w:t>5.3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Can resistance inducers alter palatability of oilseed rape for</w:t>
            </w:r>
            <w:r w:rsidR="007F3766" w:rsidRPr="007F3766">
              <w:rPr>
                <w:rStyle w:val="Hyperlink"/>
                <w:rFonts w:ascii="Times New Roman" w:hAnsi="Times New Roman" w:cs="Times New Roman"/>
                <w:i/>
                <w:noProof/>
                <w:sz w:val="24"/>
                <w:szCs w:val="24"/>
              </w:rPr>
              <w:t xml:space="preserve"> Plutella xylostella</w:t>
            </w:r>
            <w:r w:rsidR="007F3766" w:rsidRPr="007F3766">
              <w:rPr>
                <w:rStyle w:val="Hyperlink"/>
                <w:rFonts w:ascii="Times New Roman" w:hAnsi="Times New Roman" w:cs="Times New Roman"/>
                <w:noProof/>
                <w:sz w:val="24"/>
                <w:szCs w:val="24"/>
              </w:rPr>
              <w:t xml:space="preserve"> caterpillars?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_Toc167977632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87</w:t>
            </w:r>
            <w:r w:rsidR="007F3766" w:rsidRPr="007F3766">
              <w:rPr>
                <w:rFonts w:ascii="Times New Roman" w:hAnsi="Times New Roman" w:cs="Times New Roman"/>
                <w:noProof/>
                <w:webHidden/>
                <w:sz w:val="24"/>
                <w:szCs w:val="24"/>
              </w:rPr>
              <w:fldChar w:fldCharType="end"/>
            </w:r>
          </w:hyperlink>
        </w:p>
        <w:p w14:paraId="5876E465" w14:textId="7C069BAD"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33" w:history="1">
            <w:r w:rsidR="007F3766" w:rsidRPr="007F3766">
              <w:rPr>
                <w:rStyle w:val="Hyperlink"/>
                <w:rFonts w:ascii="Times New Roman" w:hAnsi="Times New Roman" w:cs="Times New Roman"/>
                <w:noProof/>
                <w:sz w:val="24"/>
                <w:szCs w:val="24"/>
              </w:rPr>
              <w:t>5.3.1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Introduction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_Toc167977633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87</w:t>
            </w:r>
            <w:r w:rsidR="007F3766" w:rsidRPr="007F3766">
              <w:rPr>
                <w:rFonts w:ascii="Times New Roman" w:hAnsi="Times New Roman" w:cs="Times New Roman"/>
                <w:noProof/>
                <w:webHidden/>
                <w:sz w:val="24"/>
                <w:szCs w:val="24"/>
              </w:rPr>
              <w:fldChar w:fldCharType="end"/>
            </w:r>
          </w:hyperlink>
        </w:p>
        <w:p w14:paraId="6424CA62" w14:textId="26642C05"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34" w:history="1">
            <w:r w:rsidR="007F3766" w:rsidRPr="007F3766">
              <w:rPr>
                <w:rStyle w:val="Hyperlink"/>
                <w:rFonts w:ascii="Times New Roman" w:hAnsi="Times New Roman" w:cs="Times New Roman"/>
                <w:noProof/>
                <w:sz w:val="24"/>
                <w:szCs w:val="24"/>
              </w:rPr>
              <w:t>5.3.2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Experimental design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_Toc167977634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87</w:t>
            </w:r>
            <w:r w:rsidR="007F3766" w:rsidRPr="007F3766">
              <w:rPr>
                <w:rFonts w:ascii="Times New Roman" w:hAnsi="Times New Roman" w:cs="Times New Roman"/>
                <w:noProof/>
                <w:webHidden/>
                <w:sz w:val="24"/>
                <w:szCs w:val="24"/>
              </w:rPr>
              <w:fldChar w:fldCharType="end"/>
            </w:r>
          </w:hyperlink>
        </w:p>
        <w:p w14:paraId="72750DAE" w14:textId="5E965ABB"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35" w:history="1">
            <w:r w:rsidR="007F3766" w:rsidRPr="007F3766">
              <w:rPr>
                <w:rStyle w:val="Hyperlink"/>
                <w:rFonts w:ascii="Times New Roman" w:hAnsi="Times New Roman" w:cs="Times New Roman"/>
                <w:noProof/>
                <w:sz w:val="24"/>
                <w:szCs w:val="24"/>
              </w:rPr>
              <w:t>5.3.3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Results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_Toc167977635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88</w:t>
            </w:r>
            <w:r w:rsidR="007F3766" w:rsidRPr="007F3766">
              <w:rPr>
                <w:rFonts w:ascii="Times New Roman" w:hAnsi="Times New Roman" w:cs="Times New Roman"/>
                <w:noProof/>
                <w:webHidden/>
                <w:sz w:val="24"/>
                <w:szCs w:val="24"/>
              </w:rPr>
              <w:fldChar w:fldCharType="end"/>
            </w:r>
          </w:hyperlink>
        </w:p>
        <w:p w14:paraId="0F9AC4A0" w14:textId="7725CD5F"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36" w:history="1">
            <w:r w:rsidR="007F3766" w:rsidRPr="007F3766">
              <w:rPr>
                <w:rStyle w:val="Hyperlink"/>
                <w:rFonts w:ascii="Times New Roman" w:hAnsi="Times New Roman" w:cs="Times New Roman"/>
                <w:noProof/>
                <w:sz w:val="24"/>
                <w:szCs w:val="24"/>
              </w:rPr>
              <w:t>5.3.3.1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Benzothiadiazole (BTH) induces </w:t>
            </w:r>
            <w:r w:rsidR="007F3766" w:rsidRPr="007F3766">
              <w:rPr>
                <w:rStyle w:val="Hyperlink"/>
                <w:rFonts w:ascii="Times New Roman" w:hAnsi="Times New Roman" w:cs="Times New Roman"/>
                <w:i/>
                <w:noProof/>
                <w:sz w:val="24"/>
                <w:szCs w:val="24"/>
              </w:rPr>
              <w:t xml:space="preserve">PR1 </w:t>
            </w:r>
            <w:r w:rsidR="007F3766" w:rsidRPr="007F3766">
              <w:rPr>
                <w:rStyle w:val="Hyperlink"/>
                <w:rFonts w:ascii="Times New Roman" w:hAnsi="Times New Roman" w:cs="Times New Roman"/>
                <w:noProof/>
                <w:sz w:val="24"/>
                <w:szCs w:val="24"/>
              </w:rPr>
              <w:t>gene transcription in the systemic true leaves of oilseed rape</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_Toc167977636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88</w:t>
            </w:r>
            <w:r w:rsidR="007F3766" w:rsidRPr="007F3766">
              <w:rPr>
                <w:rFonts w:ascii="Times New Roman" w:hAnsi="Times New Roman" w:cs="Times New Roman"/>
                <w:noProof/>
                <w:webHidden/>
                <w:sz w:val="24"/>
                <w:szCs w:val="24"/>
              </w:rPr>
              <w:fldChar w:fldCharType="end"/>
            </w:r>
          </w:hyperlink>
        </w:p>
        <w:p w14:paraId="3F75DDB4" w14:textId="6552925E"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37" w:history="1">
            <w:r w:rsidR="007F3766" w:rsidRPr="007F3766">
              <w:rPr>
                <w:rStyle w:val="Hyperlink"/>
                <w:rFonts w:ascii="Times New Roman" w:hAnsi="Times New Roman" w:cs="Times New Roman"/>
                <w:noProof/>
                <w:sz w:val="24"/>
                <w:szCs w:val="24"/>
              </w:rPr>
              <w:t>5.3.3.2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The method of oilseed rape leaf infiltration by BTH affects the palatability for </w:t>
            </w:r>
            <w:r w:rsidR="007F3766" w:rsidRPr="007F3766">
              <w:rPr>
                <w:rStyle w:val="Hyperlink"/>
                <w:rFonts w:ascii="Times New Roman" w:hAnsi="Times New Roman" w:cs="Times New Roman"/>
                <w:i/>
                <w:noProof/>
                <w:sz w:val="24"/>
                <w:szCs w:val="24"/>
              </w:rPr>
              <w:t>Plutella xylostella</w:t>
            </w:r>
            <w:r w:rsidR="007F3766" w:rsidRPr="007F3766">
              <w:rPr>
                <w:rStyle w:val="Hyperlink"/>
                <w:rFonts w:ascii="Times New Roman" w:hAnsi="Times New Roman" w:cs="Times New Roman"/>
                <w:noProof/>
                <w:sz w:val="24"/>
                <w:szCs w:val="24"/>
              </w:rPr>
              <w:t xml:space="preserve"> caterpillars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_Toc167977637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89</w:t>
            </w:r>
            <w:r w:rsidR="007F3766" w:rsidRPr="007F3766">
              <w:rPr>
                <w:rFonts w:ascii="Times New Roman" w:hAnsi="Times New Roman" w:cs="Times New Roman"/>
                <w:noProof/>
                <w:webHidden/>
                <w:sz w:val="24"/>
                <w:szCs w:val="24"/>
              </w:rPr>
              <w:fldChar w:fldCharType="end"/>
            </w:r>
          </w:hyperlink>
        </w:p>
        <w:p w14:paraId="27C72958" w14:textId="6578DA71"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38" w:history="1">
            <w:r w:rsidR="007F3766" w:rsidRPr="007F3766">
              <w:rPr>
                <w:rStyle w:val="Hyperlink"/>
                <w:rFonts w:ascii="Times New Roman" w:hAnsi="Times New Roman" w:cs="Times New Roman"/>
                <w:noProof/>
                <w:sz w:val="24"/>
                <w:szCs w:val="24"/>
              </w:rPr>
              <w:t>5.3.3.3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Treatment of oilseed rape</w:t>
            </w:r>
            <w:r w:rsidR="007F3766" w:rsidRPr="007F3766">
              <w:rPr>
                <w:rStyle w:val="Hyperlink"/>
                <w:rFonts w:ascii="Times New Roman" w:hAnsi="Times New Roman" w:cs="Times New Roman"/>
                <w:i/>
                <w:noProof/>
                <w:sz w:val="24"/>
                <w:szCs w:val="24"/>
              </w:rPr>
              <w:t xml:space="preserve"> </w:t>
            </w:r>
            <w:r w:rsidR="007F3766" w:rsidRPr="007F3766">
              <w:rPr>
                <w:rStyle w:val="Hyperlink"/>
                <w:rFonts w:ascii="Times New Roman" w:hAnsi="Times New Roman" w:cs="Times New Roman"/>
                <w:noProof/>
                <w:sz w:val="24"/>
                <w:szCs w:val="24"/>
              </w:rPr>
              <w:t xml:space="preserve">leaves with ulvan alters the preference of </w:t>
            </w:r>
            <w:r w:rsidR="007F3766" w:rsidRPr="007F3766">
              <w:rPr>
                <w:rStyle w:val="Hyperlink"/>
                <w:rFonts w:ascii="Times New Roman" w:hAnsi="Times New Roman" w:cs="Times New Roman"/>
                <w:i/>
                <w:noProof/>
                <w:sz w:val="24"/>
                <w:szCs w:val="24"/>
              </w:rPr>
              <w:t xml:space="preserve">Plutella xylostella </w:t>
            </w:r>
            <w:r w:rsidR="007F3766" w:rsidRPr="007F3766">
              <w:rPr>
                <w:rStyle w:val="Hyperlink"/>
                <w:rFonts w:ascii="Times New Roman" w:hAnsi="Times New Roman" w:cs="Times New Roman"/>
                <w:noProof/>
                <w:sz w:val="24"/>
                <w:szCs w:val="24"/>
              </w:rPr>
              <w:t>caterpillars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_Toc167977638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91</w:t>
            </w:r>
            <w:r w:rsidR="007F3766" w:rsidRPr="007F3766">
              <w:rPr>
                <w:rFonts w:ascii="Times New Roman" w:hAnsi="Times New Roman" w:cs="Times New Roman"/>
                <w:noProof/>
                <w:webHidden/>
                <w:sz w:val="24"/>
                <w:szCs w:val="24"/>
              </w:rPr>
              <w:fldChar w:fldCharType="end"/>
            </w:r>
          </w:hyperlink>
        </w:p>
        <w:p w14:paraId="1E89DE7A" w14:textId="6C1E27A5"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39" w:history="1">
            <w:r w:rsidR="007F3766" w:rsidRPr="007F3766">
              <w:rPr>
                <w:rStyle w:val="Hyperlink"/>
                <w:rFonts w:ascii="Times New Roman" w:hAnsi="Times New Roman" w:cs="Times New Roman"/>
                <w:noProof/>
                <w:sz w:val="24"/>
                <w:szCs w:val="24"/>
              </w:rPr>
              <w:t>5.3.4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Discussion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_Toc167977639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92</w:t>
            </w:r>
            <w:r w:rsidR="007F3766" w:rsidRPr="007F3766">
              <w:rPr>
                <w:rFonts w:ascii="Times New Roman" w:hAnsi="Times New Roman" w:cs="Times New Roman"/>
                <w:noProof/>
                <w:webHidden/>
                <w:sz w:val="24"/>
                <w:szCs w:val="24"/>
              </w:rPr>
              <w:fldChar w:fldCharType="end"/>
            </w:r>
          </w:hyperlink>
        </w:p>
        <w:p w14:paraId="2A28A911" w14:textId="4CCCDCF3"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40" w:history="1">
            <w:r w:rsidR="007F3766" w:rsidRPr="007F3766">
              <w:rPr>
                <w:rStyle w:val="Hyperlink"/>
                <w:rFonts w:ascii="Times New Roman" w:hAnsi="Times New Roman" w:cs="Times New Roman"/>
                <w:iCs/>
                <w:noProof/>
                <w:sz w:val="24"/>
                <w:szCs w:val="24"/>
              </w:rPr>
              <w:t>5.4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Activation of defence signaling responses in </w:t>
            </w:r>
            <w:r w:rsidR="007F3766" w:rsidRPr="007F3766">
              <w:rPr>
                <w:rStyle w:val="Hyperlink"/>
                <w:rFonts w:ascii="Times New Roman" w:hAnsi="Times New Roman" w:cs="Times New Roman"/>
                <w:i/>
                <w:noProof/>
                <w:sz w:val="24"/>
                <w:szCs w:val="24"/>
              </w:rPr>
              <w:t xml:space="preserve">Arabidopsis thaliana </w:t>
            </w:r>
            <w:r w:rsidR="007F3766" w:rsidRPr="007F3766">
              <w:rPr>
                <w:rStyle w:val="Hyperlink"/>
                <w:rFonts w:ascii="Times New Roman" w:hAnsi="Times New Roman" w:cs="Times New Roman"/>
                <w:noProof/>
                <w:sz w:val="24"/>
                <w:szCs w:val="24"/>
              </w:rPr>
              <w:t xml:space="preserve">during </w:t>
            </w:r>
            <w:r w:rsidR="007F3766" w:rsidRPr="007F3766">
              <w:rPr>
                <w:rStyle w:val="Hyperlink"/>
                <w:rFonts w:ascii="Times New Roman" w:hAnsi="Times New Roman" w:cs="Times New Roman"/>
                <w:i/>
                <w:noProof/>
                <w:sz w:val="24"/>
                <w:szCs w:val="24"/>
              </w:rPr>
              <w:t xml:space="preserve">Brevicoryne brassicae </w:t>
            </w:r>
            <w:r w:rsidR="007F3766" w:rsidRPr="007F3766">
              <w:rPr>
                <w:rStyle w:val="Hyperlink"/>
                <w:rFonts w:ascii="Times New Roman" w:hAnsi="Times New Roman" w:cs="Times New Roman"/>
                <w:noProof/>
                <w:sz w:val="24"/>
                <w:szCs w:val="24"/>
              </w:rPr>
              <w:t>feeding</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_Toc167977640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94</w:t>
            </w:r>
            <w:r w:rsidR="007F3766" w:rsidRPr="007F3766">
              <w:rPr>
                <w:rFonts w:ascii="Times New Roman" w:hAnsi="Times New Roman" w:cs="Times New Roman"/>
                <w:noProof/>
                <w:webHidden/>
                <w:sz w:val="24"/>
                <w:szCs w:val="24"/>
              </w:rPr>
              <w:fldChar w:fldCharType="end"/>
            </w:r>
          </w:hyperlink>
        </w:p>
        <w:p w14:paraId="74EAB43C" w14:textId="7C1457E7"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41" w:history="1">
            <w:r w:rsidR="007F3766" w:rsidRPr="007F3766">
              <w:rPr>
                <w:rStyle w:val="Hyperlink"/>
                <w:rFonts w:ascii="Times New Roman" w:hAnsi="Times New Roman" w:cs="Times New Roman"/>
                <w:noProof/>
                <w:sz w:val="24"/>
                <w:szCs w:val="24"/>
              </w:rPr>
              <w:t>5.4.1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Introduction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_Toc167977641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94</w:t>
            </w:r>
            <w:r w:rsidR="007F3766" w:rsidRPr="007F3766">
              <w:rPr>
                <w:rFonts w:ascii="Times New Roman" w:hAnsi="Times New Roman" w:cs="Times New Roman"/>
                <w:noProof/>
                <w:webHidden/>
                <w:sz w:val="24"/>
                <w:szCs w:val="24"/>
              </w:rPr>
              <w:fldChar w:fldCharType="end"/>
            </w:r>
          </w:hyperlink>
        </w:p>
        <w:p w14:paraId="6B115170" w14:textId="64D199C5"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42" w:history="1">
            <w:r w:rsidR="007F3766" w:rsidRPr="007F3766">
              <w:rPr>
                <w:rStyle w:val="Hyperlink"/>
                <w:rFonts w:ascii="Times New Roman" w:hAnsi="Times New Roman" w:cs="Times New Roman"/>
                <w:noProof/>
                <w:sz w:val="24"/>
                <w:szCs w:val="24"/>
              </w:rPr>
              <w:t>5.4.2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Experimental design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_Toc167977642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94</w:t>
            </w:r>
            <w:r w:rsidR="007F3766" w:rsidRPr="007F3766">
              <w:rPr>
                <w:rFonts w:ascii="Times New Roman" w:hAnsi="Times New Roman" w:cs="Times New Roman"/>
                <w:noProof/>
                <w:webHidden/>
                <w:sz w:val="24"/>
                <w:szCs w:val="24"/>
              </w:rPr>
              <w:fldChar w:fldCharType="end"/>
            </w:r>
          </w:hyperlink>
        </w:p>
        <w:p w14:paraId="126E2868" w14:textId="53E70B82"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43" w:history="1">
            <w:r w:rsidR="007F3766" w:rsidRPr="007F3766">
              <w:rPr>
                <w:rStyle w:val="Hyperlink"/>
                <w:rFonts w:ascii="Times New Roman" w:hAnsi="Times New Roman" w:cs="Times New Roman"/>
                <w:noProof/>
                <w:sz w:val="24"/>
                <w:szCs w:val="24"/>
              </w:rPr>
              <w:t>5.4.3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Results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_Toc167977643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95</w:t>
            </w:r>
            <w:r w:rsidR="007F3766" w:rsidRPr="007F3766">
              <w:rPr>
                <w:rFonts w:ascii="Times New Roman" w:hAnsi="Times New Roman" w:cs="Times New Roman"/>
                <w:noProof/>
                <w:webHidden/>
                <w:sz w:val="24"/>
                <w:szCs w:val="24"/>
              </w:rPr>
              <w:fldChar w:fldCharType="end"/>
            </w:r>
          </w:hyperlink>
        </w:p>
        <w:p w14:paraId="2710D4DB" w14:textId="6D90A3B6"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44" w:history="1">
            <w:r w:rsidR="007F3766" w:rsidRPr="007F3766">
              <w:rPr>
                <w:rStyle w:val="Hyperlink"/>
                <w:rFonts w:ascii="Times New Roman" w:hAnsi="Times New Roman" w:cs="Times New Roman"/>
                <w:noProof/>
                <w:sz w:val="24"/>
                <w:szCs w:val="24"/>
              </w:rPr>
              <w:t>5.4.3.1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i/>
                <w:noProof/>
                <w:sz w:val="24"/>
                <w:szCs w:val="24"/>
              </w:rPr>
              <w:t xml:space="preserve">Brevicoryne brassicae </w:t>
            </w:r>
            <w:r w:rsidR="007F3766" w:rsidRPr="007F3766">
              <w:rPr>
                <w:rStyle w:val="Hyperlink"/>
                <w:rFonts w:ascii="Times New Roman" w:hAnsi="Times New Roman" w:cs="Times New Roman"/>
                <w:noProof/>
                <w:sz w:val="24"/>
                <w:szCs w:val="24"/>
              </w:rPr>
              <w:t xml:space="preserve">regulates the transcription of genes involved in SA, JA and ET signaling and triggers callose deposition in </w:t>
            </w:r>
            <w:r w:rsidR="007F3766" w:rsidRPr="007F3766">
              <w:rPr>
                <w:rStyle w:val="Hyperlink"/>
                <w:rFonts w:ascii="Times New Roman" w:hAnsi="Times New Roman" w:cs="Times New Roman"/>
                <w:i/>
                <w:noProof/>
                <w:sz w:val="24"/>
                <w:szCs w:val="24"/>
              </w:rPr>
              <w:t>Arabidopsis thaliana</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_Toc167977644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95</w:t>
            </w:r>
            <w:r w:rsidR="007F3766" w:rsidRPr="007F3766">
              <w:rPr>
                <w:rFonts w:ascii="Times New Roman" w:hAnsi="Times New Roman" w:cs="Times New Roman"/>
                <w:noProof/>
                <w:webHidden/>
                <w:sz w:val="24"/>
                <w:szCs w:val="24"/>
              </w:rPr>
              <w:fldChar w:fldCharType="end"/>
            </w:r>
          </w:hyperlink>
        </w:p>
        <w:p w14:paraId="4BC29C71" w14:textId="5EC92753"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45" w:history="1">
            <w:r w:rsidR="007F3766" w:rsidRPr="007F3766">
              <w:rPr>
                <w:rStyle w:val="Hyperlink"/>
                <w:rFonts w:ascii="Times New Roman" w:hAnsi="Times New Roman" w:cs="Times New Roman"/>
                <w:noProof/>
                <w:sz w:val="24"/>
                <w:szCs w:val="24"/>
              </w:rPr>
              <w:t>5.4.4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Discussion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_Toc167977645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102</w:t>
            </w:r>
            <w:r w:rsidR="007F3766" w:rsidRPr="007F3766">
              <w:rPr>
                <w:rFonts w:ascii="Times New Roman" w:hAnsi="Times New Roman" w:cs="Times New Roman"/>
                <w:noProof/>
                <w:webHidden/>
                <w:sz w:val="24"/>
                <w:szCs w:val="24"/>
              </w:rPr>
              <w:fldChar w:fldCharType="end"/>
            </w:r>
          </w:hyperlink>
        </w:p>
        <w:p w14:paraId="03F86E73" w14:textId="3E70FDBA" w:rsidR="007F3766" w:rsidRPr="007F3766" w:rsidRDefault="008054C1">
          <w:pPr>
            <w:pStyle w:val="TOC2"/>
            <w:tabs>
              <w:tab w:val="left" w:pos="880"/>
              <w:tab w:val="right" w:leader="dot" w:pos="9061"/>
            </w:tabs>
            <w:rPr>
              <w:rFonts w:ascii="Times New Roman" w:hAnsi="Times New Roman" w:cs="Times New Roman"/>
              <w:noProof/>
              <w:kern w:val="2"/>
              <w:sz w:val="24"/>
              <w:szCs w:val="24"/>
              <w:lang w:eastAsia="en-GB"/>
              <w14:ligatures w14:val="standardContextual"/>
            </w:rPr>
          </w:pPr>
          <w:hyperlink w:anchor="_Toc167977646" w:history="1">
            <w:r w:rsidR="007F3766" w:rsidRPr="007F3766">
              <w:rPr>
                <w:rStyle w:val="Hyperlink"/>
                <w:rFonts w:ascii="Times New Roman" w:hAnsi="Times New Roman" w:cs="Times New Roman"/>
                <w:iCs/>
                <w:noProof/>
                <w:sz w:val="24"/>
                <w:szCs w:val="24"/>
              </w:rPr>
              <w:t>5.5</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Can </w:t>
            </w:r>
            <w:r w:rsidR="007F3766" w:rsidRPr="007F3766">
              <w:rPr>
                <w:rStyle w:val="Hyperlink"/>
                <w:rFonts w:ascii="Times New Roman" w:hAnsi="Times New Roman" w:cs="Times New Roman"/>
                <w:i/>
                <w:noProof/>
                <w:sz w:val="24"/>
                <w:szCs w:val="24"/>
              </w:rPr>
              <w:t>Metarhizium robertsii</w:t>
            </w:r>
            <w:r w:rsidR="007F3766" w:rsidRPr="007F3766">
              <w:rPr>
                <w:rStyle w:val="Hyperlink"/>
                <w:rFonts w:ascii="Times New Roman" w:hAnsi="Times New Roman" w:cs="Times New Roman"/>
                <w:noProof/>
                <w:sz w:val="24"/>
                <w:szCs w:val="24"/>
              </w:rPr>
              <w:t xml:space="preserve"> prime cauliflower for defence against </w:t>
            </w:r>
            <w:r w:rsidR="007F3766" w:rsidRPr="007F3766">
              <w:rPr>
                <w:rStyle w:val="Hyperlink"/>
                <w:rFonts w:ascii="Times New Roman" w:hAnsi="Times New Roman" w:cs="Times New Roman"/>
                <w:i/>
                <w:noProof/>
                <w:sz w:val="24"/>
                <w:szCs w:val="24"/>
              </w:rPr>
              <w:t>Leptosphaeria maculans</w:t>
            </w:r>
            <w:r w:rsidR="007F3766" w:rsidRPr="007F3766">
              <w:rPr>
                <w:rStyle w:val="Hyperlink"/>
                <w:rFonts w:ascii="Times New Roman" w:hAnsi="Times New Roman" w:cs="Times New Roman"/>
                <w:noProof/>
                <w:sz w:val="24"/>
                <w:szCs w:val="24"/>
              </w:rPr>
              <w:t>?</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_Toc167977646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106</w:t>
            </w:r>
            <w:r w:rsidR="007F3766" w:rsidRPr="007F3766">
              <w:rPr>
                <w:rFonts w:ascii="Times New Roman" w:hAnsi="Times New Roman" w:cs="Times New Roman"/>
                <w:noProof/>
                <w:webHidden/>
                <w:sz w:val="24"/>
                <w:szCs w:val="24"/>
              </w:rPr>
              <w:fldChar w:fldCharType="end"/>
            </w:r>
          </w:hyperlink>
        </w:p>
        <w:p w14:paraId="6CB1EB9F" w14:textId="3673639F"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47" w:history="1">
            <w:r w:rsidR="007F3766" w:rsidRPr="007F3766">
              <w:rPr>
                <w:rStyle w:val="Hyperlink"/>
                <w:rFonts w:ascii="Times New Roman" w:hAnsi="Times New Roman" w:cs="Times New Roman"/>
                <w:noProof/>
                <w:sz w:val="24"/>
                <w:szCs w:val="24"/>
              </w:rPr>
              <w:t>5.5.1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Introduction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_Toc167977647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106</w:t>
            </w:r>
            <w:r w:rsidR="007F3766" w:rsidRPr="007F3766">
              <w:rPr>
                <w:rFonts w:ascii="Times New Roman" w:hAnsi="Times New Roman" w:cs="Times New Roman"/>
                <w:noProof/>
                <w:webHidden/>
                <w:sz w:val="24"/>
                <w:szCs w:val="24"/>
              </w:rPr>
              <w:fldChar w:fldCharType="end"/>
            </w:r>
          </w:hyperlink>
        </w:p>
        <w:p w14:paraId="00A9154C" w14:textId="3750140F"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48" w:history="1">
            <w:r w:rsidR="007F3766" w:rsidRPr="007F3766">
              <w:rPr>
                <w:rStyle w:val="Hyperlink"/>
                <w:rFonts w:ascii="Times New Roman" w:hAnsi="Times New Roman" w:cs="Times New Roman"/>
                <w:noProof/>
                <w:sz w:val="24"/>
                <w:szCs w:val="24"/>
              </w:rPr>
              <w:t>5.5.2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Experimental design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_Toc167977648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106</w:t>
            </w:r>
            <w:r w:rsidR="007F3766" w:rsidRPr="007F3766">
              <w:rPr>
                <w:rFonts w:ascii="Times New Roman" w:hAnsi="Times New Roman" w:cs="Times New Roman"/>
                <w:noProof/>
                <w:webHidden/>
                <w:sz w:val="24"/>
                <w:szCs w:val="24"/>
              </w:rPr>
              <w:fldChar w:fldCharType="end"/>
            </w:r>
          </w:hyperlink>
        </w:p>
        <w:p w14:paraId="71A2B2B0" w14:textId="224D3B54"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49" w:history="1">
            <w:r w:rsidR="007F3766" w:rsidRPr="007F3766">
              <w:rPr>
                <w:rStyle w:val="Hyperlink"/>
                <w:rFonts w:ascii="Times New Roman" w:hAnsi="Times New Roman" w:cs="Times New Roman"/>
                <w:noProof/>
                <w:sz w:val="24"/>
                <w:szCs w:val="24"/>
              </w:rPr>
              <w:t>5.5.3</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Results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_Toc167977649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108</w:t>
            </w:r>
            <w:r w:rsidR="007F3766" w:rsidRPr="007F3766">
              <w:rPr>
                <w:rFonts w:ascii="Times New Roman" w:hAnsi="Times New Roman" w:cs="Times New Roman"/>
                <w:noProof/>
                <w:webHidden/>
                <w:sz w:val="24"/>
                <w:szCs w:val="24"/>
              </w:rPr>
              <w:fldChar w:fldCharType="end"/>
            </w:r>
          </w:hyperlink>
        </w:p>
        <w:p w14:paraId="09ADFEFB" w14:textId="305BAC8E"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50" w:history="1">
            <w:r w:rsidR="007F3766" w:rsidRPr="007F3766">
              <w:rPr>
                <w:rStyle w:val="Hyperlink"/>
                <w:rFonts w:ascii="Times New Roman" w:hAnsi="Times New Roman" w:cs="Times New Roman"/>
                <w:noProof/>
                <w:sz w:val="24"/>
                <w:szCs w:val="24"/>
              </w:rPr>
              <w:t>5.5.3.1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i/>
                <w:noProof/>
                <w:sz w:val="24"/>
                <w:szCs w:val="24"/>
              </w:rPr>
              <w:t>Metarhizium robertsii</w:t>
            </w:r>
            <w:r w:rsidR="007F3766" w:rsidRPr="007F3766">
              <w:rPr>
                <w:rStyle w:val="Hyperlink"/>
                <w:rFonts w:ascii="Times New Roman" w:hAnsi="Times New Roman" w:cs="Times New Roman"/>
                <w:noProof/>
                <w:sz w:val="24"/>
                <w:szCs w:val="24"/>
              </w:rPr>
              <w:t xml:space="preserve"> successfully colonizes roots of cauliflower plants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_Toc167977650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108</w:t>
            </w:r>
            <w:r w:rsidR="007F3766" w:rsidRPr="007F3766">
              <w:rPr>
                <w:rFonts w:ascii="Times New Roman" w:hAnsi="Times New Roman" w:cs="Times New Roman"/>
                <w:noProof/>
                <w:webHidden/>
                <w:sz w:val="24"/>
                <w:szCs w:val="24"/>
              </w:rPr>
              <w:fldChar w:fldCharType="end"/>
            </w:r>
          </w:hyperlink>
        </w:p>
        <w:p w14:paraId="731B978E" w14:textId="7D403FBB" w:rsidR="007F3766" w:rsidRPr="007F3766" w:rsidRDefault="008054C1">
          <w:pPr>
            <w:pStyle w:val="TOC4"/>
            <w:tabs>
              <w:tab w:val="left" w:pos="1680"/>
              <w:tab w:val="right" w:leader="dot" w:pos="9061"/>
            </w:tabs>
            <w:rPr>
              <w:rFonts w:ascii="Times New Roman" w:hAnsi="Times New Roman" w:cs="Times New Roman"/>
              <w:noProof/>
              <w:kern w:val="2"/>
              <w:sz w:val="24"/>
              <w:szCs w:val="24"/>
              <w:lang w:eastAsia="en-GB"/>
              <w14:ligatures w14:val="standardContextual"/>
            </w:rPr>
          </w:pPr>
          <w:hyperlink w:anchor="_Toc167977651" w:history="1">
            <w:r w:rsidR="007F3766" w:rsidRPr="007F3766">
              <w:rPr>
                <w:rStyle w:val="Hyperlink"/>
                <w:rFonts w:ascii="Times New Roman" w:hAnsi="Times New Roman" w:cs="Times New Roman"/>
                <w:noProof/>
                <w:sz w:val="24"/>
                <w:szCs w:val="24"/>
              </w:rPr>
              <w:t>5.5.3.2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 xml:space="preserve">Successful disease development by </w:t>
            </w:r>
            <w:r w:rsidR="007F3766" w:rsidRPr="007F3766">
              <w:rPr>
                <w:rStyle w:val="Hyperlink"/>
                <w:rFonts w:ascii="Times New Roman" w:hAnsi="Times New Roman" w:cs="Times New Roman"/>
                <w:i/>
                <w:noProof/>
                <w:sz w:val="24"/>
                <w:szCs w:val="24"/>
              </w:rPr>
              <w:t xml:space="preserve">Leptosphaeria maculans </w:t>
            </w:r>
            <w:r w:rsidR="007F3766" w:rsidRPr="007F3766">
              <w:rPr>
                <w:rStyle w:val="Hyperlink"/>
                <w:rFonts w:ascii="Times New Roman" w:hAnsi="Times New Roman" w:cs="Times New Roman"/>
                <w:noProof/>
                <w:sz w:val="24"/>
                <w:szCs w:val="24"/>
              </w:rPr>
              <w:t>highly dependent on the inoculation method and leaf stage</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_Toc167977651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108</w:t>
            </w:r>
            <w:r w:rsidR="007F3766" w:rsidRPr="007F3766">
              <w:rPr>
                <w:rFonts w:ascii="Times New Roman" w:hAnsi="Times New Roman" w:cs="Times New Roman"/>
                <w:noProof/>
                <w:webHidden/>
                <w:sz w:val="24"/>
                <w:szCs w:val="24"/>
              </w:rPr>
              <w:fldChar w:fldCharType="end"/>
            </w:r>
          </w:hyperlink>
        </w:p>
        <w:p w14:paraId="04922185" w14:textId="53707C76" w:rsidR="007F3766" w:rsidRPr="007F3766" w:rsidRDefault="008054C1">
          <w:pPr>
            <w:pStyle w:val="TOC5"/>
            <w:tabs>
              <w:tab w:val="left" w:pos="1959"/>
              <w:tab w:val="right" w:leader="dot" w:pos="9061"/>
            </w:tabs>
            <w:rPr>
              <w:rFonts w:ascii="Times New Roman" w:hAnsi="Times New Roman" w:cs="Times New Roman"/>
              <w:noProof/>
              <w:kern w:val="2"/>
              <w:sz w:val="24"/>
              <w:szCs w:val="24"/>
              <w:lang w:eastAsia="en-GB"/>
              <w14:ligatures w14:val="standardContextual"/>
            </w:rPr>
          </w:pPr>
          <w:hyperlink w:anchor="_Toc167977652" w:history="1">
            <w:r w:rsidR="007F3766" w:rsidRPr="007F3766">
              <w:rPr>
                <w:rStyle w:val="Hyperlink"/>
                <w:rFonts w:ascii="Times New Roman" w:hAnsi="Times New Roman" w:cs="Times New Roman"/>
                <w:noProof/>
                <w:sz w:val="24"/>
                <w:szCs w:val="24"/>
              </w:rPr>
              <w:t>5.5.3.2.1</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i/>
                <w:noProof/>
                <w:sz w:val="24"/>
                <w:szCs w:val="24"/>
              </w:rPr>
              <w:t>Leptosphaeria maculans</w:t>
            </w:r>
            <w:r w:rsidR="007F3766" w:rsidRPr="007F3766">
              <w:rPr>
                <w:rStyle w:val="Hyperlink"/>
                <w:rFonts w:ascii="Times New Roman" w:hAnsi="Times New Roman" w:cs="Times New Roman"/>
                <w:noProof/>
                <w:sz w:val="24"/>
                <w:szCs w:val="24"/>
              </w:rPr>
              <w:t xml:space="preserve"> infection in the true leaves of cauliflower</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_Toc167977652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108</w:t>
            </w:r>
            <w:r w:rsidR="007F3766" w:rsidRPr="007F3766">
              <w:rPr>
                <w:rFonts w:ascii="Times New Roman" w:hAnsi="Times New Roman" w:cs="Times New Roman"/>
                <w:noProof/>
                <w:webHidden/>
                <w:sz w:val="24"/>
                <w:szCs w:val="24"/>
              </w:rPr>
              <w:fldChar w:fldCharType="end"/>
            </w:r>
          </w:hyperlink>
        </w:p>
        <w:p w14:paraId="751C9366" w14:textId="143DA809" w:rsidR="007F3766" w:rsidRPr="007F3766" w:rsidRDefault="008054C1">
          <w:pPr>
            <w:pStyle w:val="TOC5"/>
            <w:tabs>
              <w:tab w:val="left" w:pos="1959"/>
              <w:tab w:val="right" w:leader="dot" w:pos="9061"/>
            </w:tabs>
            <w:rPr>
              <w:rFonts w:ascii="Times New Roman" w:hAnsi="Times New Roman" w:cs="Times New Roman"/>
              <w:noProof/>
              <w:kern w:val="2"/>
              <w:sz w:val="24"/>
              <w:szCs w:val="24"/>
              <w:lang w:eastAsia="en-GB"/>
              <w14:ligatures w14:val="standardContextual"/>
            </w:rPr>
          </w:pPr>
          <w:hyperlink w:anchor="_Toc167977653" w:history="1">
            <w:r w:rsidR="007F3766" w:rsidRPr="007F3766">
              <w:rPr>
                <w:rStyle w:val="Hyperlink"/>
                <w:rFonts w:ascii="Times New Roman" w:hAnsi="Times New Roman" w:cs="Times New Roman"/>
                <w:noProof/>
                <w:sz w:val="24"/>
                <w:szCs w:val="24"/>
              </w:rPr>
              <w:t>5.5.3.2.2</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i/>
                <w:noProof/>
                <w:sz w:val="24"/>
                <w:szCs w:val="24"/>
              </w:rPr>
              <w:t>Leptosphaeria maculans</w:t>
            </w:r>
            <w:r w:rsidR="007F3766" w:rsidRPr="007F3766">
              <w:rPr>
                <w:rStyle w:val="Hyperlink"/>
                <w:rFonts w:ascii="Times New Roman" w:hAnsi="Times New Roman" w:cs="Times New Roman"/>
                <w:noProof/>
                <w:sz w:val="24"/>
                <w:szCs w:val="24"/>
              </w:rPr>
              <w:t xml:space="preserve"> infection in the cotyledons of cauliflower</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_Toc167977653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121</w:t>
            </w:r>
            <w:r w:rsidR="007F3766" w:rsidRPr="007F3766">
              <w:rPr>
                <w:rFonts w:ascii="Times New Roman" w:hAnsi="Times New Roman" w:cs="Times New Roman"/>
                <w:noProof/>
                <w:webHidden/>
                <w:sz w:val="24"/>
                <w:szCs w:val="24"/>
              </w:rPr>
              <w:fldChar w:fldCharType="end"/>
            </w:r>
          </w:hyperlink>
        </w:p>
        <w:p w14:paraId="644FB713" w14:textId="481D824E" w:rsidR="007F3766" w:rsidRPr="007F3766" w:rsidRDefault="008054C1">
          <w:pPr>
            <w:pStyle w:val="TOC3"/>
            <w:tabs>
              <w:tab w:val="left" w:pos="1200"/>
            </w:tabs>
            <w:rPr>
              <w:rFonts w:ascii="Times New Roman" w:hAnsi="Times New Roman" w:cs="Times New Roman"/>
              <w:noProof/>
              <w:kern w:val="2"/>
              <w:sz w:val="24"/>
              <w:szCs w:val="24"/>
              <w:lang w:eastAsia="en-GB"/>
              <w14:ligatures w14:val="standardContextual"/>
            </w:rPr>
          </w:pPr>
          <w:hyperlink w:anchor="_Toc167977654" w:history="1">
            <w:r w:rsidR="007F3766" w:rsidRPr="007F3766">
              <w:rPr>
                <w:rStyle w:val="Hyperlink"/>
                <w:rFonts w:ascii="Times New Roman" w:hAnsi="Times New Roman" w:cs="Times New Roman"/>
                <w:noProof/>
                <w:sz w:val="24"/>
                <w:szCs w:val="24"/>
              </w:rPr>
              <w:t>5.5.4</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Discussion</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_Toc167977654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124</w:t>
            </w:r>
            <w:r w:rsidR="007F3766" w:rsidRPr="007F3766">
              <w:rPr>
                <w:rFonts w:ascii="Times New Roman" w:hAnsi="Times New Roman" w:cs="Times New Roman"/>
                <w:noProof/>
                <w:webHidden/>
                <w:sz w:val="24"/>
                <w:szCs w:val="24"/>
              </w:rPr>
              <w:fldChar w:fldCharType="end"/>
            </w:r>
          </w:hyperlink>
        </w:p>
        <w:p w14:paraId="612F3A07" w14:textId="7FFD48BA" w:rsidR="007F3766" w:rsidRPr="007F3766" w:rsidRDefault="008054C1">
          <w:pPr>
            <w:pStyle w:val="TOC1"/>
            <w:tabs>
              <w:tab w:val="left" w:pos="440"/>
              <w:tab w:val="right" w:leader="dot" w:pos="9061"/>
            </w:tabs>
            <w:rPr>
              <w:rFonts w:ascii="Times New Roman" w:hAnsi="Times New Roman" w:cs="Times New Roman"/>
              <w:noProof/>
              <w:kern w:val="2"/>
              <w:sz w:val="24"/>
              <w:szCs w:val="24"/>
              <w:lang w:eastAsia="en-GB"/>
              <w14:ligatures w14:val="standardContextual"/>
            </w:rPr>
          </w:pPr>
          <w:hyperlink w:anchor="_Toc167977655" w:history="1">
            <w:r w:rsidR="007F3766" w:rsidRPr="007F3766">
              <w:rPr>
                <w:rStyle w:val="Hyperlink"/>
                <w:rFonts w:ascii="Times New Roman" w:hAnsi="Times New Roman" w:cs="Times New Roman"/>
                <w:noProof/>
                <w:sz w:val="24"/>
                <w:szCs w:val="24"/>
              </w:rPr>
              <w:t>6</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Conclusions and recommendation for scientific and technical development</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_Toc167977655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126</w:t>
            </w:r>
            <w:r w:rsidR="007F3766" w:rsidRPr="007F3766">
              <w:rPr>
                <w:rFonts w:ascii="Times New Roman" w:hAnsi="Times New Roman" w:cs="Times New Roman"/>
                <w:noProof/>
                <w:webHidden/>
                <w:sz w:val="24"/>
                <w:szCs w:val="24"/>
              </w:rPr>
              <w:fldChar w:fldCharType="end"/>
            </w:r>
          </w:hyperlink>
        </w:p>
        <w:p w14:paraId="6BD20E7C" w14:textId="3FFD5343" w:rsidR="007F3766" w:rsidRDefault="008054C1">
          <w:pPr>
            <w:pStyle w:val="TOC1"/>
            <w:tabs>
              <w:tab w:val="left" w:pos="440"/>
              <w:tab w:val="right" w:leader="dot" w:pos="9061"/>
            </w:tabs>
            <w:rPr>
              <w:noProof/>
              <w:kern w:val="2"/>
              <w:sz w:val="24"/>
              <w:szCs w:val="24"/>
              <w:lang w:eastAsia="en-GB"/>
              <w14:ligatures w14:val="standardContextual"/>
            </w:rPr>
          </w:pPr>
          <w:hyperlink w:anchor="_Toc167977656" w:history="1">
            <w:r w:rsidR="007F3766" w:rsidRPr="007F3766">
              <w:rPr>
                <w:rStyle w:val="Hyperlink"/>
                <w:rFonts w:ascii="Times New Roman" w:hAnsi="Times New Roman" w:cs="Times New Roman"/>
                <w:noProof/>
                <w:sz w:val="24"/>
                <w:szCs w:val="24"/>
              </w:rPr>
              <w:t>7</w:t>
            </w:r>
            <w:r w:rsidR="007F3766" w:rsidRPr="007F3766">
              <w:rPr>
                <w:rFonts w:ascii="Times New Roman" w:hAnsi="Times New Roman" w:cs="Times New Roman"/>
                <w:noProof/>
                <w:kern w:val="2"/>
                <w:sz w:val="24"/>
                <w:szCs w:val="24"/>
                <w:lang w:eastAsia="en-GB"/>
                <w14:ligatures w14:val="standardContextual"/>
              </w:rPr>
              <w:tab/>
            </w:r>
            <w:r w:rsidR="007F3766" w:rsidRPr="007F3766">
              <w:rPr>
                <w:rStyle w:val="Hyperlink"/>
                <w:rFonts w:ascii="Times New Roman" w:hAnsi="Times New Roman" w:cs="Times New Roman"/>
                <w:noProof/>
                <w:sz w:val="24"/>
                <w:szCs w:val="24"/>
              </w:rPr>
              <w:t>References</w:t>
            </w:r>
            <w:r w:rsidR="007F3766" w:rsidRPr="007F3766">
              <w:rPr>
                <w:rFonts w:ascii="Times New Roman" w:hAnsi="Times New Roman" w:cs="Times New Roman"/>
                <w:noProof/>
                <w:webHidden/>
                <w:sz w:val="24"/>
                <w:szCs w:val="24"/>
              </w:rPr>
              <w:tab/>
            </w:r>
            <w:r w:rsidR="007F3766" w:rsidRPr="007F3766">
              <w:rPr>
                <w:rFonts w:ascii="Times New Roman" w:hAnsi="Times New Roman" w:cs="Times New Roman"/>
                <w:noProof/>
                <w:webHidden/>
                <w:sz w:val="24"/>
                <w:szCs w:val="24"/>
              </w:rPr>
              <w:fldChar w:fldCharType="begin"/>
            </w:r>
            <w:r w:rsidR="007F3766" w:rsidRPr="007F3766">
              <w:rPr>
                <w:rFonts w:ascii="Times New Roman" w:hAnsi="Times New Roman" w:cs="Times New Roman"/>
                <w:noProof/>
                <w:webHidden/>
                <w:sz w:val="24"/>
                <w:szCs w:val="24"/>
              </w:rPr>
              <w:instrText xml:space="preserve"> PAGEREF _Toc167977656 \h </w:instrText>
            </w:r>
            <w:r w:rsidR="007F3766" w:rsidRPr="007F3766">
              <w:rPr>
                <w:rFonts w:ascii="Times New Roman" w:hAnsi="Times New Roman" w:cs="Times New Roman"/>
                <w:noProof/>
                <w:webHidden/>
                <w:sz w:val="24"/>
                <w:szCs w:val="24"/>
              </w:rPr>
            </w:r>
            <w:r w:rsidR="007F3766" w:rsidRPr="007F3766">
              <w:rPr>
                <w:rFonts w:ascii="Times New Roman" w:hAnsi="Times New Roman" w:cs="Times New Roman"/>
                <w:noProof/>
                <w:webHidden/>
                <w:sz w:val="24"/>
                <w:szCs w:val="24"/>
              </w:rPr>
              <w:fldChar w:fldCharType="separate"/>
            </w:r>
            <w:r w:rsidR="00E65DA3">
              <w:rPr>
                <w:rFonts w:ascii="Times New Roman" w:hAnsi="Times New Roman" w:cs="Times New Roman"/>
                <w:noProof/>
                <w:webHidden/>
                <w:sz w:val="24"/>
                <w:szCs w:val="24"/>
              </w:rPr>
              <w:t>128</w:t>
            </w:r>
            <w:r w:rsidR="007F3766" w:rsidRPr="007F3766">
              <w:rPr>
                <w:rFonts w:ascii="Times New Roman" w:hAnsi="Times New Roman" w:cs="Times New Roman"/>
                <w:noProof/>
                <w:webHidden/>
                <w:sz w:val="24"/>
                <w:szCs w:val="24"/>
              </w:rPr>
              <w:fldChar w:fldCharType="end"/>
            </w:r>
          </w:hyperlink>
        </w:p>
        <w:p w14:paraId="21509828" w14:textId="7482931F" w:rsidR="00E7693B" w:rsidRPr="006B61C5" w:rsidRDefault="009B25B3">
          <w:pPr>
            <w:rPr>
              <w:rFonts w:ascii="Times New Roman" w:hAnsi="Times New Roman" w:cs="Times New Roman"/>
              <w:sz w:val="24"/>
              <w:szCs w:val="24"/>
            </w:rPr>
            <w:sectPr w:rsidR="00E7693B" w:rsidRPr="006B61C5">
              <w:footerReference w:type="default" r:id="rId14"/>
              <w:footerReference w:type="first" r:id="rId15"/>
              <w:pgSz w:w="11907" w:h="16840"/>
              <w:pgMar w:top="1701" w:right="1418" w:bottom="1134" w:left="1418" w:header="709" w:footer="1134" w:gutter="0"/>
              <w:cols w:space="720"/>
              <w:titlePg/>
            </w:sectPr>
          </w:pPr>
          <w:r>
            <w:rPr>
              <w:rFonts w:ascii="Times New Roman" w:hAnsi="Times New Roman" w:cs="Times New Roman"/>
              <w:sz w:val="24"/>
              <w:szCs w:val="24"/>
            </w:rPr>
            <w:fldChar w:fldCharType="end"/>
          </w:r>
        </w:p>
      </w:sdtContent>
    </w:sdt>
    <w:p w14:paraId="354F6DE1" w14:textId="77777777" w:rsidR="00F02FAA" w:rsidRDefault="00F02FAA" w:rsidP="00F80341">
      <w:pPr>
        <w:spacing w:line="480" w:lineRule="auto"/>
        <w:jc w:val="center"/>
        <w:rPr>
          <w:rFonts w:ascii="Times New Roman" w:hAnsi="Times New Roman" w:cs="Times New Roman"/>
          <w:b/>
          <w:bCs/>
          <w:iCs/>
          <w:sz w:val="28"/>
          <w:szCs w:val="28"/>
        </w:rPr>
      </w:pPr>
    </w:p>
    <w:p w14:paraId="7E0F0265" w14:textId="77777777" w:rsidR="009B25B3" w:rsidRPr="00BC0E09" w:rsidRDefault="009B25B3" w:rsidP="00F80341">
      <w:pPr>
        <w:spacing w:line="480" w:lineRule="auto"/>
        <w:jc w:val="center"/>
        <w:rPr>
          <w:rFonts w:ascii="Times New Roman" w:hAnsi="Times New Roman" w:cs="Times New Roman"/>
          <w:b/>
          <w:bCs/>
          <w:iCs/>
          <w:sz w:val="28"/>
          <w:szCs w:val="28"/>
        </w:rPr>
      </w:pPr>
    </w:p>
    <w:p w14:paraId="5E37FC71" w14:textId="5FBF9720" w:rsidR="00F02FAA" w:rsidRPr="00BC0E09" w:rsidRDefault="00E7693B" w:rsidP="00BC0E09">
      <w:pPr>
        <w:spacing w:line="480" w:lineRule="auto"/>
        <w:jc w:val="center"/>
        <w:rPr>
          <w:rFonts w:ascii="Times New Roman" w:hAnsi="Times New Roman" w:cs="Times New Roman"/>
          <w:b/>
          <w:bCs/>
          <w:iCs/>
          <w:sz w:val="28"/>
          <w:szCs w:val="28"/>
        </w:rPr>
      </w:pPr>
      <w:r w:rsidRPr="00BC0E09">
        <w:rPr>
          <w:rFonts w:ascii="Times New Roman" w:hAnsi="Times New Roman" w:cs="Times New Roman"/>
          <w:b/>
          <w:bCs/>
          <w:iCs/>
          <w:sz w:val="28"/>
          <w:szCs w:val="28"/>
        </w:rPr>
        <w:t>“Each step that we make in the more intimate knowledge of nature leads us to the entrance of new labyrinths.”</w:t>
      </w:r>
    </w:p>
    <w:p w14:paraId="1E907388" w14:textId="77777777" w:rsidR="00BC0E09" w:rsidRDefault="00BC0E09" w:rsidP="00BC0E09">
      <w:pPr>
        <w:spacing w:line="480" w:lineRule="auto"/>
        <w:jc w:val="center"/>
        <w:rPr>
          <w:rFonts w:ascii="Times New Roman" w:hAnsi="Times New Roman" w:cs="Times New Roman"/>
          <w:sz w:val="28"/>
          <w:szCs w:val="28"/>
        </w:rPr>
      </w:pPr>
    </w:p>
    <w:p w14:paraId="2924B206" w14:textId="1B6729E9" w:rsidR="00BC0E09" w:rsidRDefault="00BC0E09" w:rsidP="00BC0E09">
      <w:pPr>
        <w:spacing w:line="360" w:lineRule="auto"/>
        <w:jc w:val="right"/>
        <w:rPr>
          <w:rFonts w:ascii="Times New Roman" w:hAnsi="Times New Roman" w:cs="Times New Roman"/>
          <w:sz w:val="28"/>
          <w:szCs w:val="28"/>
        </w:rPr>
      </w:pPr>
      <w:r>
        <w:rPr>
          <w:rFonts w:ascii="Times New Roman" w:hAnsi="Times New Roman" w:cs="Times New Roman"/>
          <w:sz w:val="28"/>
          <w:szCs w:val="28"/>
        </w:rPr>
        <w:t xml:space="preserve">̶  </w:t>
      </w:r>
      <w:r w:rsidR="00F05C7E">
        <w:rPr>
          <w:rFonts w:ascii="Times New Roman" w:hAnsi="Times New Roman" w:cs="Times New Roman"/>
          <w:sz w:val="28"/>
          <w:szCs w:val="28"/>
        </w:rPr>
        <w:t>Alexander von Humbolt, 1845</w:t>
      </w:r>
      <w:r>
        <w:rPr>
          <w:rFonts w:ascii="Times New Roman" w:hAnsi="Times New Roman" w:cs="Times New Roman"/>
          <w:sz w:val="28"/>
          <w:szCs w:val="28"/>
        </w:rPr>
        <w:t xml:space="preserve">; </w:t>
      </w:r>
    </w:p>
    <w:p w14:paraId="7ECA3F20" w14:textId="16A20F1F" w:rsidR="00F02FAA" w:rsidRPr="00BC0E09" w:rsidRDefault="00BC0E09" w:rsidP="00BC0E09">
      <w:pPr>
        <w:spacing w:line="360" w:lineRule="auto"/>
        <w:jc w:val="right"/>
        <w:rPr>
          <w:rFonts w:ascii="Times New Roman" w:hAnsi="Times New Roman" w:cs="Times New Roman"/>
          <w:i/>
          <w:iCs/>
          <w:sz w:val="24"/>
          <w:szCs w:val="24"/>
        </w:rPr>
      </w:pPr>
      <w:r w:rsidRPr="00BC0E09">
        <w:rPr>
          <w:rFonts w:ascii="Times New Roman" w:hAnsi="Times New Roman" w:cs="Times New Roman"/>
          <w:sz w:val="24"/>
          <w:szCs w:val="24"/>
        </w:rPr>
        <w:t xml:space="preserve">quoted in </w:t>
      </w:r>
      <w:r w:rsidR="00F02FAA" w:rsidRPr="00BC0E09">
        <w:rPr>
          <w:rFonts w:ascii="Times New Roman" w:hAnsi="Times New Roman" w:cs="Times New Roman"/>
          <w:sz w:val="24"/>
          <w:szCs w:val="24"/>
        </w:rPr>
        <w:t>M</w:t>
      </w:r>
      <w:r w:rsidRPr="00BC0E09">
        <w:rPr>
          <w:rFonts w:ascii="Times New Roman" w:hAnsi="Times New Roman" w:cs="Times New Roman"/>
          <w:sz w:val="24"/>
          <w:szCs w:val="24"/>
        </w:rPr>
        <w:t xml:space="preserve">erlin </w:t>
      </w:r>
      <w:r w:rsidR="00F02FAA" w:rsidRPr="00BC0E09">
        <w:rPr>
          <w:rFonts w:ascii="Times New Roman" w:hAnsi="Times New Roman" w:cs="Times New Roman"/>
          <w:sz w:val="24"/>
          <w:szCs w:val="24"/>
        </w:rPr>
        <w:t>Sheldrake</w:t>
      </w:r>
      <w:r w:rsidRPr="00BC0E09">
        <w:rPr>
          <w:rFonts w:ascii="Times New Roman" w:hAnsi="Times New Roman" w:cs="Times New Roman"/>
          <w:sz w:val="24"/>
          <w:szCs w:val="24"/>
        </w:rPr>
        <w:t>’s</w:t>
      </w:r>
      <w:r w:rsidRPr="00BC0E09">
        <w:rPr>
          <w:rFonts w:ascii="Times New Roman" w:hAnsi="Times New Roman" w:cs="Times New Roman"/>
          <w:i/>
          <w:iCs/>
          <w:sz w:val="24"/>
          <w:szCs w:val="24"/>
        </w:rPr>
        <w:t xml:space="preserve"> </w:t>
      </w:r>
      <w:r w:rsidR="00F02FAA" w:rsidRPr="00BC0E09">
        <w:rPr>
          <w:rFonts w:ascii="Times New Roman" w:hAnsi="Times New Roman" w:cs="Times New Roman"/>
          <w:i/>
          <w:iCs/>
          <w:sz w:val="24"/>
          <w:szCs w:val="24"/>
        </w:rPr>
        <w:t xml:space="preserve">Entangled </w:t>
      </w:r>
      <w:r>
        <w:rPr>
          <w:rFonts w:ascii="Times New Roman" w:hAnsi="Times New Roman" w:cs="Times New Roman"/>
          <w:i/>
          <w:iCs/>
          <w:sz w:val="24"/>
          <w:szCs w:val="24"/>
        </w:rPr>
        <w:t>L</w:t>
      </w:r>
      <w:r w:rsidR="00F02FAA" w:rsidRPr="00BC0E09">
        <w:rPr>
          <w:rFonts w:ascii="Times New Roman" w:hAnsi="Times New Roman" w:cs="Times New Roman"/>
          <w:i/>
          <w:iCs/>
          <w:sz w:val="24"/>
          <w:szCs w:val="24"/>
        </w:rPr>
        <w:t xml:space="preserve">ife: How </w:t>
      </w:r>
      <w:r>
        <w:rPr>
          <w:rFonts w:ascii="Times New Roman" w:hAnsi="Times New Roman" w:cs="Times New Roman"/>
          <w:i/>
          <w:iCs/>
          <w:sz w:val="24"/>
          <w:szCs w:val="24"/>
        </w:rPr>
        <w:t>F</w:t>
      </w:r>
      <w:r w:rsidR="00F02FAA" w:rsidRPr="00BC0E09">
        <w:rPr>
          <w:rFonts w:ascii="Times New Roman" w:hAnsi="Times New Roman" w:cs="Times New Roman"/>
          <w:i/>
          <w:iCs/>
          <w:sz w:val="24"/>
          <w:szCs w:val="24"/>
        </w:rPr>
        <w:t xml:space="preserve">ungi </w:t>
      </w:r>
      <w:r>
        <w:rPr>
          <w:rFonts w:ascii="Times New Roman" w:hAnsi="Times New Roman" w:cs="Times New Roman"/>
          <w:i/>
          <w:iCs/>
          <w:sz w:val="24"/>
          <w:szCs w:val="24"/>
        </w:rPr>
        <w:t>M</w:t>
      </w:r>
      <w:r w:rsidR="00F02FAA" w:rsidRPr="00BC0E09">
        <w:rPr>
          <w:rFonts w:ascii="Times New Roman" w:hAnsi="Times New Roman" w:cs="Times New Roman"/>
          <w:i/>
          <w:iCs/>
          <w:sz w:val="24"/>
          <w:szCs w:val="24"/>
        </w:rPr>
        <w:t xml:space="preserve">ake </w:t>
      </w:r>
      <w:r>
        <w:rPr>
          <w:rFonts w:ascii="Times New Roman" w:hAnsi="Times New Roman" w:cs="Times New Roman"/>
          <w:i/>
          <w:iCs/>
          <w:sz w:val="24"/>
          <w:szCs w:val="24"/>
        </w:rPr>
        <w:t>O</w:t>
      </w:r>
      <w:r w:rsidR="00F02FAA" w:rsidRPr="00BC0E09">
        <w:rPr>
          <w:rFonts w:ascii="Times New Roman" w:hAnsi="Times New Roman" w:cs="Times New Roman"/>
          <w:i/>
          <w:iCs/>
          <w:sz w:val="24"/>
          <w:szCs w:val="24"/>
        </w:rPr>
        <w:t xml:space="preserve">ur </w:t>
      </w:r>
      <w:r>
        <w:rPr>
          <w:rFonts w:ascii="Times New Roman" w:hAnsi="Times New Roman" w:cs="Times New Roman"/>
          <w:i/>
          <w:iCs/>
          <w:sz w:val="24"/>
          <w:szCs w:val="24"/>
        </w:rPr>
        <w:t>W</w:t>
      </w:r>
      <w:r w:rsidR="00F02FAA" w:rsidRPr="00BC0E09">
        <w:rPr>
          <w:rFonts w:ascii="Times New Roman" w:hAnsi="Times New Roman" w:cs="Times New Roman"/>
          <w:i/>
          <w:iCs/>
          <w:sz w:val="24"/>
          <w:szCs w:val="24"/>
        </w:rPr>
        <w:t xml:space="preserve">orlds, </w:t>
      </w:r>
      <w:r>
        <w:rPr>
          <w:rFonts w:ascii="Times New Roman" w:hAnsi="Times New Roman" w:cs="Times New Roman"/>
          <w:i/>
          <w:iCs/>
          <w:sz w:val="24"/>
          <w:szCs w:val="24"/>
        </w:rPr>
        <w:t>C</w:t>
      </w:r>
      <w:r w:rsidR="00F02FAA" w:rsidRPr="00BC0E09">
        <w:rPr>
          <w:rFonts w:ascii="Times New Roman" w:hAnsi="Times New Roman" w:cs="Times New Roman"/>
          <w:i/>
          <w:iCs/>
          <w:sz w:val="24"/>
          <w:szCs w:val="24"/>
        </w:rPr>
        <w:t xml:space="preserve">hange </w:t>
      </w:r>
      <w:r>
        <w:rPr>
          <w:rFonts w:ascii="Times New Roman" w:hAnsi="Times New Roman" w:cs="Times New Roman"/>
          <w:i/>
          <w:iCs/>
          <w:sz w:val="24"/>
          <w:szCs w:val="24"/>
        </w:rPr>
        <w:t>O</w:t>
      </w:r>
      <w:r w:rsidR="00F02FAA" w:rsidRPr="00BC0E09">
        <w:rPr>
          <w:rFonts w:ascii="Times New Roman" w:hAnsi="Times New Roman" w:cs="Times New Roman"/>
          <w:i/>
          <w:iCs/>
          <w:sz w:val="24"/>
          <w:szCs w:val="24"/>
        </w:rPr>
        <w:t xml:space="preserve">ur </w:t>
      </w:r>
      <w:r>
        <w:rPr>
          <w:rFonts w:ascii="Times New Roman" w:hAnsi="Times New Roman" w:cs="Times New Roman"/>
          <w:i/>
          <w:iCs/>
          <w:sz w:val="24"/>
          <w:szCs w:val="24"/>
        </w:rPr>
        <w:t>M</w:t>
      </w:r>
      <w:r w:rsidR="00F02FAA" w:rsidRPr="00BC0E09">
        <w:rPr>
          <w:rFonts w:ascii="Times New Roman" w:hAnsi="Times New Roman" w:cs="Times New Roman"/>
          <w:i/>
          <w:iCs/>
          <w:sz w:val="24"/>
          <w:szCs w:val="24"/>
        </w:rPr>
        <w:t>inds</w:t>
      </w:r>
      <w:r>
        <w:rPr>
          <w:rFonts w:ascii="Times New Roman" w:hAnsi="Times New Roman" w:cs="Times New Roman"/>
          <w:i/>
          <w:iCs/>
          <w:sz w:val="24"/>
          <w:szCs w:val="24"/>
        </w:rPr>
        <w:t>,</w:t>
      </w:r>
      <w:r w:rsidR="00F02FAA" w:rsidRPr="00BC0E09">
        <w:rPr>
          <w:rFonts w:ascii="Times New Roman" w:hAnsi="Times New Roman" w:cs="Times New Roman"/>
          <w:i/>
          <w:iCs/>
          <w:sz w:val="24"/>
          <w:szCs w:val="24"/>
        </w:rPr>
        <w:t xml:space="preserve"> and </w:t>
      </w:r>
      <w:r>
        <w:rPr>
          <w:rFonts w:ascii="Times New Roman" w:hAnsi="Times New Roman" w:cs="Times New Roman"/>
          <w:i/>
          <w:iCs/>
          <w:sz w:val="24"/>
          <w:szCs w:val="24"/>
        </w:rPr>
        <w:t>S</w:t>
      </w:r>
      <w:r w:rsidR="00F02FAA" w:rsidRPr="00BC0E09">
        <w:rPr>
          <w:rFonts w:ascii="Times New Roman" w:hAnsi="Times New Roman" w:cs="Times New Roman"/>
          <w:i/>
          <w:iCs/>
          <w:sz w:val="24"/>
          <w:szCs w:val="24"/>
        </w:rPr>
        <w:t xml:space="preserve">hape </w:t>
      </w:r>
      <w:r>
        <w:rPr>
          <w:rFonts w:ascii="Times New Roman" w:hAnsi="Times New Roman" w:cs="Times New Roman"/>
          <w:i/>
          <w:iCs/>
          <w:sz w:val="24"/>
          <w:szCs w:val="24"/>
        </w:rPr>
        <w:t>O</w:t>
      </w:r>
      <w:r w:rsidR="00F02FAA" w:rsidRPr="00BC0E09">
        <w:rPr>
          <w:rFonts w:ascii="Times New Roman" w:hAnsi="Times New Roman" w:cs="Times New Roman"/>
          <w:i/>
          <w:iCs/>
          <w:sz w:val="24"/>
          <w:szCs w:val="24"/>
        </w:rPr>
        <w:t xml:space="preserve">ur </w:t>
      </w:r>
      <w:r>
        <w:rPr>
          <w:rFonts w:ascii="Times New Roman" w:hAnsi="Times New Roman" w:cs="Times New Roman"/>
          <w:i/>
          <w:iCs/>
          <w:sz w:val="24"/>
          <w:szCs w:val="24"/>
        </w:rPr>
        <w:t>F</w:t>
      </w:r>
      <w:r w:rsidR="00F02FAA" w:rsidRPr="00BC0E09">
        <w:rPr>
          <w:rFonts w:ascii="Times New Roman" w:hAnsi="Times New Roman" w:cs="Times New Roman"/>
          <w:i/>
          <w:iCs/>
          <w:sz w:val="24"/>
          <w:szCs w:val="24"/>
        </w:rPr>
        <w:t>utures</w:t>
      </w:r>
    </w:p>
    <w:p w14:paraId="2150982C" w14:textId="77777777" w:rsidR="00E7693B" w:rsidRPr="00E7693B" w:rsidRDefault="00E7693B">
      <w:pPr>
        <w:rPr>
          <w:rFonts w:ascii="Times New Roman" w:hAnsi="Times New Roman" w:cs="Times New Roman"/>
          <w:b/>
        </w:rPr>
      </w:pPr>
      <w:r w:rsidRPr="00E7693B">
        <w:rPr>
          <w:rFonts w:ascii="Times New Roman" w:hAnsi="Times New Roman" w:cs="Times New Roman"/>
        </w:rPr>
        <w:br w:type="page"/>
      </w:r>
    </w:p>
    <w:p w14:paraId="2150982D" w14:textId="33558C43" w:rsidR="00E7693B" w:rsidRPr="00E7693B" w:rsidRDefault="004E1BDA" w:rsidP="00E7693B">
      <w:pPr>
        <w:pStyle w:val="Heading1"/>
      </w:pPr>
      <w:bookmarkStart w:id="1" w:name="_Toc167977575"/>
      <w:r>
        <w:lastRenderedPageBreak/>
        <w:t>General i</w:t>
      </w:r>
      <w:r w:rsidR="00E7693B" w:rsidRPr="00E7693B">
        <w:t>ntroduction</w:t>
      </w:r>
      <w:bookmarkEnd w:id="1"/>
    </w:p>
    <w:p w14:paraId="124CA35B" w14:textId="77777777" w:rsidR="00B91720" w:rsidRDefault="00B91720" w:rsidP="003001BB">
      <w:pPr>
        <w:spacing w:after="0" w:line="360" w:lineRule="auto"/>
        <w:rPr>
          <w:rFonts w:ascii="Times New Roman" w:hAnsi="Times New Roman" w:cs="Times New Roman"/>
          <w:color w:val="000000"/>
          <w:sz w:val="24"/>
          <w:szCs w:val="24"/>
        </w:rPr>
      </w:pPr>
    </w:p>
    <w:p w14:paraId="44159922" w14:textId="74280FF7" w:rsidR="00B05FFF" w:rsidRDefault="00E40208" w:rsidP="00E55C3E">
      <w:pPr>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The intricate interplay between plants and their biotic associates, ranging from</w:t>
      </w:r>
      <w:r w:rsidR="00B71669">
        <w:rPr>
          <w:rFonts w:ascii="Times New Roman" w:hAnsi="Times New Roman" w:cs="Times New Roman"/>
          <w:color w:val="000000"/>
          <w:sz w:val="24"/>
          <w:szCs w:val="24"/>
        </w:rPr>
        <w:t xml:space="preserve"> antagonists </w:t>
      </w:r>
      <w:r>
        <w:rPr>
          <w:rFonts w:ascii="Times New Roman" w:hAnsi="Times New Roman" w:cs="Times New Roman"/>
          <w:color w:val="000000"/>
          <w:sz w:val="24"/>
          <w:szCs w:val="24"/>
        </w:rPr>
        <w:t xml:space="preserve">such as insect pests and fungal pathogens </w:t>
      </w:r>
      <w:r w:rsidR="00B71669">
        <w:rPr>
          <w:rFonts w:ascii="Times New Roman" w:hAnsi="Times New Roman" w:cs="Times New Roman"/>
          <w:color w:val="000000"/>
          <w:sz w:val="24"/>
          <w:szCs w:val="24"/>
        </w:rPr>
        <w:t xml:space="preserve">and mutualists </w:t>
      </w:r>
      <w:r>
        <w:rPr>
          <w:rFonts w:ascii="Times New Roman" w:hAnsi="Times New Roman" w:cs="Times New Roman"/>
          <w:color w:val="000000"/>
          <w:sz w:val="24"/>
          <w:szCs w:val="24"/>
        </w:rPr>
        <w:t xml:space="preserve">such as beneficial microbes, plays a fundamental role in </w:t>
      </w:r>
      <w:r w:rsidR="00B71669">
        <w:rPr>
          <w:rFonts w:ascii="Times New Roman" w:hAnsi="Times New Roman" w:cs="Times New Roman"/>
          <w:color w:val="000000"/>
          <w:sz w:val="24"/>
          <w:szCs w:val="24"/>
        </w:rPr>
        <w:t>shap</w:t>
      </w:r>
      <w:r>
        <w:rPr>
          <w:rFonts w:ascii="Times New Roman" w:hAnsi="Times New Roman" w:cs="Times New Roman"/>
          <w:color w:val="000000"/>
          <w:sz w:val="24"/>
          <w:szCs w:val="24"/>
        </w:rPr>
        <w:t>ing</w:t>
      </w:r>
      <w:r w:rsidR="00B71669">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plant </w:t>
      </w:r>
      <w:r w:rsidR="00B71669">
        <w:rPr>
          <w:rFonts w:ascii="Times New Roman" w:hAnsi="Times New Roman" w:cs="Times New Roman"/>
          <w:color w:val="000000"/>
          <w:sz w:val="24"/>
          <w:szCs w:val="24"/>
        </w:rPr>
        <w:t>health and productivity</w:t>
      </w:r>
      <w:r>
        <w:rPr>
          <w:rFonts w:ascii="Times New Roman" w:hAnsi="Times New Roman" w:cs="Times New Roman"/>
          <w:color w:val="000000"/>
          <w:sz w:val="24"/>
          <w:szCs w:val="24"/>
        </w:rPr>
        <w:t xml:space="preserve"> and ecosystem functioning.</w:t>
      </w:r>
      <w:r w:rsidR="00FB64CE">
        <w:rPr>
          <w:rFonts w:ascii="Times New Roman" w:hAnsi="Times New Roman" w:cs="Times New Roman"/>
          <w:color w:val="000000"/>
          <w:sz w:val="24"/>
          <w:szCs w:val="24"/>
        </w:rPr>
        <w:t xml:space="preserve"> </w:t>
      </w:r>
      <w:r w:rsidR="00B05FFF" w:rsidRPr="00B05FFF">
        <w:rPr>
          <w:rFonts w:ascii="Times New Roman" w:hAnsi="Times New Roman" w:cs="Times New Roman"/>
          <w:color w:val="000000"/>
          <w:sz w:val="24"/>
          <w:szCs w:val="24"/>
        </w:rPr>
        <w:t>Antagonists</w:t>
      </w:r>
      <w:r w:rsidR="007F5E85">
        <w:rPr>
          <w:rFonts w:ascii="Times New Roman" w:hAnsi="Times New Roman" w:cs="Times New Roman"/>
          <w:color w:val="000000"/>
          <w:sz w:val="24"/>
          <w:szCs w:val="24"/>
        </w:rPr>
        <w:t xml:space="preserve"> </w:t>
      </w:r>
      <w:r w:rsidR="00B05FFF" w:rsidRPr="00B05FFF">
        <w:rPr>
          <w:rFonts w:ascii="Times New Roman" w:hAnsi="Times New Roman" w:cs="Times New Roman"/>
          <w:color w:val="000000"/>
          <w:sz w:val="24"/>
          <w:szCs w:val="24"/>
        </w:rPr>
        <w:t>pose significant threats to plant health, often leading to reduced yields and economic losses. Conversely, mutualistic associations confer numerous benefits to plants, such as enhanced nutrient uptake, disease resistance, and reproductive success.</w:t>
      </w:r>
      <w:r w:rsidR="007F5E85">
        <w:rPr>
          <w:rFonts w:ascii="Times New Roman" w:hAnsi="Times New Roman" w:cs="Times New Roman"/>
          <w:color w:val="000000"/>
          <w:sz w:val="24"/>
          <w:szCs w:val="24"/>
        </w:rPr>
        <w:t xml:space="preserve"> </w:t>
      </w:r>
      <w:r w:rsidR="00B05FFF" w:rsidRPr="00B05FFF">
        <w:rPr>
          <w:rFonts w:ascii="Times New Roman" w:hAnsi="Times New Roman" w:cs="Times New Roman"/>
          <w:color w:val="000000"/>
          <w:sz w:val="24"/>
          <w:szCs w:val="24"/>
        </w:rPr>
        <w:t>The profound understanding of these relationships is central to the development of effective strategies for pest and disease management, as well as for harnessing the potential of beneficial organisms to promote plant health and productivity. By deciphering the mechanisms underlying plant interactions with both antagonists and mutualists, novel targets for sustainable agricultural practices</w:t>
      </w:r>
      <w:r w:rsidR="007F5E85">
        <w:rPr>
          <w:rFonts w:ascii="Times New Roman" w:hAnsi="Times New Roman" w:cs="Times New Roman"/>
          <w:color w:val="000000"/>
          <w:sz w:val="24"/>
          <w:szCs w:val="24"/>
        </w:rPr>
        <w:t xml:space="preserve"> can be identified</w:t>
      </w:r>
      <w:r w:rsidR="00B05FFF" w:rsidRPr="00B05FFF">
        <w:rPr>
          <w:rFonts w:ascii="Times New Roman" w:hAnsi="Times New Roman" w:cs="Times New Roman"/>
          <w:color w:val="000000"/>
          <w:sz w:val="24"/>
          <w:szCs w:val="24"/>
        </w:rPr>
        <w:t>, minimizing the reliance on chemical inputs and maximizing ecosystem services provided by beneficial organisms.</w:t>
      </w:r>
      <w:r w:rsidR="007F5E85">
        <w:rPr>
          <w:rFonts w:ascii="Times New Roman" w:hAnsi="Times New Roman" w:cs="Times New Roman"/>
          <w:color w:val="000000"/>
          <w:sz w:val="24"/>
          <w:szCs w:val="24"/>
        </w:rPr>
        <w:t xml:space="preserve"> </w:t>
      </w:r>
      <w:r w:rsidR="007F5E85" w:rsidRPr="007F5E85">
        <w:rPr>
          <w:rFonts w:ascii="Times New Roman" w:hAnsi="Times New Roman" w:cs="Times New Roman"/>
          <w:color w:val="000000"/>
          <w:sz w:val="24"/>
          <w:szCs w:val="24"/>
        </w:rPr>
        <w:t xml:space="preserve">In addition to mutualistic microbes, there exists a spectrum of compounds capable of inducing resistance in plants, potentially serving as effective alternatives to chemical pesticides. </w:t>
      </w:r>
      <w:r w:rsidR="00B54939">
        <w:rPr>
          <w:rFonts w:ascii="Times New Roman" w:hAnsi="Times New Roman" w:cs="Times New Roman"/>
          <w:color w:val="000000"/>
          <w:sz w:val="24"/>
          <w:szCs w:val="24"/>
        </w:rPr>
        <w:t>A</w:t>
      </w:r>
      <w:r w:rsidR="007F5E85" w:rsidRPr="007F5E85">
        <w:rPr>
          <w:rFonts w:ascii="Times New Roman" w:hAnsi="Times New Roman" w:cs="Times New Roman"/>
          <w:color w:val="000000"/>
          <w:sz w:val="24"/>
          <w:szCs w:val="24"/>
        </w:rPr>
        <w:t xml:space="preserve"> comprehensive investigation into the mechanisms underlying the action of these compounds is imperative for their integration into agricultural strategies aimed at enhancing plant resilience and minimizing environmental impact.</w:t>
      </w:r>
    </w:p>
    <w:p w14:paraId="7FE9F0AF" w14:textId="3909140F" w:rsidR="00B91720" w:rsidRDefault="0039587B" w:rsidP="003C2CA8">
      <w:pPr>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Plant interactions with other organisms</w:t>
      </w:r>
      <w:r w:rsidR="003001BB" w:rsidRPr="00BB742A">
        <w:rPr>
          <w:rFonts w:ascii="Times New Roman" w:hAnsi="Times New Roman" w:cs="Times New Roman"/>
          <w:color w:val="000000"/>
          <w:sz w:val="24"/>
          <w:szCs w:val="24"/>
        </w:rPr>
        <w:t xml:space="preserve"> activate diverse components </w:t>
      </w:r>
      <w:r w:rsidR="0064516A">
        <w:rPr>
          <w:rFonts w:ascii="Times New Roman" w:hAnsi="Times New Roman" w:cs="Times New Roman"/>
          <w:sz w:val="24"/>
          <w:szCs w:val="24"/>
        </w:rPr>
        <w:t>within</w:t>
      </w:r>
      <w:r w:rsidR="003001BB" w:rsidRPr="00BB742A">
        <w:rPr>
          <w:rFonts w:ascii="Times New Roman" w:hAnsi="Times New Roman" w:cs="Times New Roman"/>
          <w:sz w:val="24"/>
          <w:szCs w:val="24"/>
        </w:rPr>
        <w:t xml:space="preserve"> the plant</w:t>
      </w:r>
      <w:r w:rsidR="003001BB" w:rsidRPr="00BB742A">
        <w:rPr>
          <w:rFonts w:ascii="Times New Roman" w:hAnsi="Times New Roman" w:cs="Times New Roman"/>
          <w:color w:val="000000"/>
          <w:sz w:val="24"/>
          <w:szCs w:val="24"/>
        </w:rPr>
        <w:t xml:space="preserve"> immune system</w:t>
      </w:r>
      <w:r w:rsidR="00B05FFF">
        <w:rPr>
          <w:rFonts w:ascii="Times New Roman" w:hAnsi="Times New Roman" w:cs="Times New Roman"/>
          <w:color w:val="000000"/>
          <w:sz w:val="24"/>
          <w:szCs w:val="24"/>
        </w:rPr>
        <w:t xml:space="preserve">, </w:t>
      </w:r>
      <w:r w:rsidR="0064516A">
        <w:rPr>
          <w:rFonts w:ascii="Times New Roman" w:hAnsi="Times New Roman" w:cs="Times New Roman"/>
          <w:color w:val="000000"/>
          <w:sz w:val="24"/>
          <w:szCs w:val="24"/>
        </w:rPr>
        <w:t>including</w:t>
      </w:r>
      <w:r w:rsidR="00B05FF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phytohormonal </w:t>
      </w:r>
      <w:proofErr w:type="spellStart"/>
      <w:r>
        <w:rPr>
          <w:rFonts w:ascii="Times New Roman" w:hAnsi="Times New Roman" w:cs="Times New Roman"/>
          <w:color w:val="000000"/>
          <w:sz w:val="24"/>
          <w:szCs w:val="24"/>
        </w:rPr>
        <w:t>signaling</w:t>
      </w:r>
      <w:proofErr w:type="spellEnd"/>
      <w:r>
        <w:rPr>
          <w:rFonts w:ascii="Times New Roman" w:hAnsi="Times New Roman" w:cs="Times New Roman"/>
          <w:color w:val="000000"/>
          <w:sz w:val="24"/>
          <w:szCs w:val="24"/>
        </w:rPr>
        <w:t xml:space="preserve"> responses, </w:t>
      </w:r>
      <w:r w:rsidR="0064516A">
        <w:rPr>
          <w:rFonts w:ascii="Times New Roman" w:hAnsi="Times New Roman" w:cs="Times New Roman"/>
          <w:color w:val="000000"/>
          <w:sz w:val="24"/>
          <w:szCs w:val="24"/>
        </w:rPr>
        <w:t xml:space="preserve">the </w:t>
      </w:r>
      <w:r>
        <w:rPr>
          <w:rFonts w:ascii="Times New Roman" w:hAnsi="Times New Roman" w:cs="Times New Roman"/>
          <w:color w:val="000000"/>
          <w:sz w:val="24"/>
          <w:szCs w:val="24"/>
        </w:rPr>
        <w:t>production of secondary metabolites</w:t>
      </w:r>
      <w:r w:rsidR="0064516A">
        <w:rPr>
          <w:rFonts w:ascii="Times New Roman" w:hAnsi="Times New Roman" w:cs="Times New Roman"/>
          <w:color w:val="000000"/>
          <w:sz w:val="24"/>
          <w:szCs w:val="24"/>
        </w:rPr>
        <w:t>,</w:t>
      </w:r>
      <w:r>
        <w:rPr>
          <w:rFonts w:ascii="Times New Roman" w:hAnsi="Times New Roman" w:cs="Times New Roman"/>
          <w:color w:val="000000"/>
          <w:sz w:val="24"/>
          <w:szCs w:val="24"/>
        </w:rPr>
        <w:t xml:space="preserve"> and volatile organic compounds. </w:t>
      </w:r>
      <w:r w:rsidR="0064516A">
        <w:rPr>
          <w:rFonts w:ascii="Times New Roman" w:hAnsi="Times New Roman" w:cs="Times New Roman"/>
          <w:color w:val="000000"/>
          <w:sz w:val="24"/>
          <w:szCs w:val="24"/>
        </w:rPr>
        <w:t>Despite the prevalence of m</w:t>
      </w:r>
      <w:r>
        <w:rPr>
          <w:rFonts w:ascii="Times New Roman" w:hAnsi="Times New Roman" w:cs="Times New Roman"/>
          <w:color w:val="000000"/>
          <w:sz w:val="24"/>
          <w:szCs w:val="24"/>
        </w:rPr>
        <w:t xml:space="preserve">ultiple parallel biotic stresses </w:t>
      </w:r>
      <w:r w:rsidR="0064516A">
        <w:rPr>
          <w:rFonts w:ascii="Times New Roman" w:hAnsi="Times New Roman" w:cs="Times New Roman"/>
          <w:color w:val="000000"/>
          <w:sz w:val="24"/>
          <w:szCs w:val="24"/>
        </w:rPr>
        <w:t>in the plant kingdom, our</w:t>
      </w:r>
      <w:r>
        <w:rPr>
          <w:rFonts w:ascii="Times New Roman" w:hAnsi="Times New Roman" w:cs="Times New Roman"/>
          <w:color w:val="000000"/>
          <w:sz w:val="24"/>
          <w:szCs w:val="24"/>
        </w:rPr>
        <w:t xml:space="preserve"> understanding</w:t>
      </w:r>
      <w:r w:rsidR="0064516A">
        <w:rPr>
          <w:rFonts w:ascii="Times New Roman" w:hAnsi="Times New Roman" w:cs="Times New Roman"/>
          <w:color w:val="000000"/>
          <w:sz w:val="24"/>
          <w:szCs w:val="24"/>
        </w:rPr>
        <w:t xml:space="preserve"> of these interactions remains</w:t>
      </w:r>
      <w:r>
        <w:rPr>
          <w:rFonts w:ascii="Times New Roman" w:hAnsi="Times New Roman" w:cs="Times New Roman"/>
          <w:color w:val="000000"/>
          <w:sz w:val="24"/>
          <w:szCs w:val="24"/>
        </w:rPr>
        <w:t xml:space="preserve"> limited. </w:t>
      </w:r>
      <w:r w:rsidR="0064516A" w:rsidRPr="0064516A">
        <w:rPr>
          <w:rFonts w:ascii="Times New Roman" w:hAnsi="Times New Roman" w:cs="Times New Roman"/>
          <w:color w:val="000000"/>
          <w:sz w:val="24"/>
          <w:szCs w:val="24"/>
        </w:rPr>
        <w:t xml:space="preserve">Therefore, there is a pressing need to expand our knowledge base, particularly regarding the relationships between different types of pathogens (biotrophs, </w:t>
      </w:r>
      <w:proofErr w:type="spellStart"/>
      <w:r w:rsidR="0064516A" w:rsidRPr="0064516A">
        <w:rPr>
          <w:rFonts w:ascii="Times New Roman" w:hAnsi="Times New Roman" w:cs="Times New Roman"/>
          <w:color w:val="000000"/>
          <w:sz w:val="24"/>
          <w:szCs w:val="24"/>
        </w:rPr>
        <w:t>necrotrophs</w:t>
      </w:r>
      <w:proofErr w:type="spellEnd"/>
      <w:r w:rsidR="0064516A" w:rsidRPr="0064516A">
        <w:rPr>
          <w:rFonts w:ascii="Times New Roman" w:hAnsi="Times New Roman" w:cs="Times New Roman"/>
          <w:color w:val="000000"/>
          <w:sz w:val="24"/>
          <w:szCs w:val="24"/>
        </w:rPr>
        <w:t xml:space="preserve">, </w:t>
      </w:r>
      <w:proofErr w:type="spellStart"/>
      <w:r w:rsidR="0064516A" w:rsidRPr="0064516A">
        <w:rPr>
          <w:rFonts w:ascii="Times New Roman" w:hAnsi="Times New Roman" w:cs="Times New Roman"/>
          <w:color w:val="000000"/>
          <w:sz w:val="24"/>
          <w:szCs w:val="24"/>
        </w:rPr>
        <w:t>hemibiotrophs</w:t>
      </w:r>
      <w:proofErr w:type="spellEnd"/>
      <w:r w:rsidR="0064516A" w:rsidRPr="0064516A">
        <w:rPr>
          <w:rFonts w:ascii="Times New Roman" w:hAnsi="Times New Roman" w:cs="Times New Roman"/>
          <w:color w:val="000000"/>
          <w:sz w:val="24"/>
          <w:szCs w:val="24"/>
        </w:rPr>
        <w:t>) and specific categories of insect herbivores (chewing, sucking)</w:t>
      </w:r>
      <w:r w:rsidR="003C2CA8">
        <w:rPr>
          <w:rFonts w:ascii="Times New Roman" w:hAnsi="Times New Roman" w:cs="Times New Roman"/>
          <w:color w:val="000000"/>
          <w:sz w:val="24"/>
          <w:szCs w:val="24"/>
        </w:rPr>
        <w:t>, and plant mutualists</w:t>
      </w:r>
      <w:r w:rsidR="0064516A" w:rsidRPr="0064516A">
        <w:rPr>
          <w:rFonts w:ascii="Times New Roman" w:hAnsi="Times New Roman" w:cs="Times New Roman"/>
          <w:color w:val="000000"/>
          <w:sz w:val="24"/>
          <w:szCs w:val="24"/>
        </w:rPr>
        <w:t xml:space="preserve">. It is crucial to elucidate how infection by fungal pathogens, for instance, may alter plant susceptibility to insect pests, and </w:t>
      </w:r>
      <w:r w:rsidR="0064516A">
        <w:rPr>
          <w:rFonts w:ascii="Times New Roman" w:hAnsi="Times New Roman" w:cs="Times New Roman"/>
          <w:i/>
          <w:iCs/>
          <w:color w:val="000000"/>
          <w:sz w:val="24"/>
          <w:szCs w:val="24"/>
        </w:rPr>
        <w:t xml:space="preserve">vice </w:t>
      </w:r>
      <w:r w:rsidR="0064516A" w:rsidRPr="0064516A">
        <w:rPr>
          <w:rFonts w:ascii="Times New Roman" w:hAnsi="Times New Roman" w:cs="Times New Roman"/>
          <w:i/>
          <w:iCs/>
          <w:color w:val="000000"/>
          <w:sz w:val="24"/>
          <w:szCs w:val="24"/>
        </w:rPr>
        <w:t>versa</w:t>
      </w:r>
      <w:r w:rsidR="0064516A">
        <w:rPr>
          <w:rFonts w:ascii="Times New Roman" w:hAnsi="Times New Roman" w:cs="Times New Roman"/>
          <w:i/>
          <w:iCs/>
          <w:color w:val="000000"/>
          <w:sz w:val="24"/>
          <w:szCs w:val="24"/>
        </w:rPr>
        <w:t>.</w:t>
      </w:r>
      <w:r w:rsidR="003C2CA8">
        <w:rPr>
          <w:rFonts w:ascii="Times New Roman" w:hAnsi="Times New Roman" w:cs="Times New Roman"/>
          <w:color w:val="000000"/>
          <w:sz w:val="24"/>
          <w:szCs w:val="24"/>
        </w:rPr>
        <w:t xml:space="preserve"> Moreover, there is a need to delve deeper into the interactions between plant pathogens and plant mutualists. </w:t>
      </w:r>
      <w:r w:rsidR="0064516A" w:rsidRPr="0064516A">
        <w:rPr>
          <w:rFonts w:ascii="Times New Roman" w:hAnsi="Times New Roman" w:cs="Times New Roman"/>
          <w:color w:val="000000"/>
          <w:sz w:val="24"/>
          <w:szCs w:val="24"/>
        </w:rPr>
        <w:t>Such insights are essential for devising tailored strategies for pest and disease management in agriculture</w:t>
      </w:r>
      <w:r w:rsidR="003001BB" w:rsidRPr="00BB742A">
        <w:rPr>
          <w:rFonts w:ascii="Times New Roman" w:hAnsi="Times New Roman" w:cs="Times New Roman"/>
          <w:color w:val="000000"/>
          <w:sz w:val="24"/>
          <w:szCs w:val="24"/>
        </w:rPr>
        <w:t>.</w:t>
      </w:r>
    </w:p>
    <w:p w14:paraId="16F0B825" w14:textId="70520F08" w:rsidR="00651897" w:rsidRDefault="00F3776A" w:rsidP="00651897">
      <w:pPr>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To </w:t>
      </w:r>
      <w:r w:rsidR="00E353C4">
        <w:rPr>
          <w:rFonts w:ascii="Times New Roman" w:hAnsi="Times New Roman" w:cs="Times New Roman"/>
          <w:color w:val="000000"/>
          <w:sz w:val="24"/>
          <w:szCs w:val="24"/>
        </w:rPr>
        <w:t>gain a comprehensive understanding of</w:t>
      </w:r>
      <w:r w:rsidR="005C1E7A">
        <w:rPr>
          <w:rFonts w:ascii="Times New Roman" w:hAnsi="Times New Roman" w:cs="Times New Roman"/>
          <w:color w:val="000000"/>
          <w:sz w:val="24"/>
          <w:szCs w:val="24"/>
        </w:rPr>
        <w:t xml:space="preserve"> </w:t>
      </w:r>
      <w:r w:rsidR="00C97282">
        <w:rPr>
          <w:rFonts w:ascii="Times New Roman" w:hAnsi="Times New Roman" w:cs="Times New Roman"/>
          <w:color w:val="000000"/>
          <w:sz w:val="24"/>
          <w:szCs w:val="24"/>
        </w:rPr>
        <w:t>tripartite</w:t>
      </w:r>
      <w:r w:rsidR="005C1E7A">
        <w:rPr>
          <w:rFonts w:ascii="Times New Roman" w:hAnsi="Times New Roman" w:cs="Times New Roman"/>
          <w:color w:val="000000"/>
          <w:sz w:val="24"/>
          <w:szCs w:val="24"/>
        </w:rPr>
        <w:t xml:space="preserve"> interactions </w:t>
      </w:r>
      <w:r w:rsidR="00E353C4">
        <w:rPr>
          <w:rFonts w:ascii="Times New Roman" w:hAnsi="Times New Roman" w:cs="Times New Roman"/>
          <w:color w:val="000000"/>
          <w:sz w:val="24"/>
          <w:szCs w:val="24"/>
        </w:rPr>
        <w:t>involving</w:t>
      </w:r>
      <w:r w:rsidR="005C1E7A">
        <w:rPr>
          <w:rFonts w:ascii="Times New Roman" w:hAnsi="Times New Roman" w:cs="Times New Roman"/>
          <w:color w:val="000000"/>
          <w:sz w:val="24"/>
          <w:szCs w:val="24"/>
        </w:rPr>
        <w:t xml:space="preserve"> plants, fungal pathogens and insect herbivores</w:t>
      </w:r>
      <w:r w:rsidR="00E353C4">
        <w:rPr>
          <w:rFonts w:ascii="Times New Roman" w:hAnsi="Times New Roman" w:cs="Times New Roman"/>
          <w:color w:val="000000"/>
          <w:sz w:val="24"/>
          <w:szCs w:val="24"/>
        </w:rPr>
        <w:t>, my research</w:t>
      </w:r>
      <w:r w:rsidR="005C1E7A">
        <w:rPr>
          <w:rFonts w:ascii="Times New Roman" w:hAnsi="Times New Roman" w:cs="Times New Roman"/>
          <w:color w:val="000000"/>
          <w:sz w:val="24"/>
          <w:szCs w:val="24"/>
        </w:rPr>
        <w:t xml:space="preserve"> focus</w:t>
      </w:r>
      <w:r w:rsidR="00E353C4">
        <w:rPr>
          <w:rFonts w:ascii="Times New Roman" w:hAnsi="Times New Roman" w:cs="Times New Roman"/>
          <w:color w:val="000000"/>
          <w:sz w:val="24"/>
          <w:szCs w:val="24"/>
        </w:rPr>
        <w:t>es</w:t>
      </w:r>
      <w:r w:rsidR="005C1E7A">
        <w:rPr>
          <w:rFonts w:ascii="Times New Roman" w:hAnsi="Times New Roman" w:cs="Times New Roman"/>
          <w:color w:val="000000"/>
          <w:sz w:val="24"/>
          <w:szCs w:val="24"/>
        </w:rPr>
        <w:t xml:space="preserve"> on </w:t>
      </w:r>
      <w:r w:rsidR="00E353C4">
        <w:rPr>
          <w:rFonts w:ascii="Times New Roman" w:hAnsi="Times New Roman" w:cs="Times New Roman"/>
          <w:color w:val="000000"/>
          <w:sz w:val="24"/>
          <w:szCs w:val="24"/>
        </w:rPr>
        <w:t>investigating</w:t>
      </w:r>
      <w:r w:rsidR="005C1E7A">
        <w:rPr>
          <w:rFonts w:ascii="Times New Roman" w:hAnsi="Times New Roman" w:cs="Times New Roman"/>
          <w:color w:val="000000"/>
          <w:sz w:val="24"/>
          <w:szCs w:val="24"/>
        </w:rPr>
        <w:t xml:space="preserve"> </w:t>
      </w:r>
      <w:r w:rsidR="00E353C4">
        <w:rPr>
          <w:rFonts w:ascii="Times New Roman" w:hAnsi="Times New Roman" w:cs="Times New Roman"/>
          <w:color w:val="000000"/>
          <w:sz w:val="24"/>
          <w:szCs w:val="24"/>
        </w:rPr>
        <w:t>how</w:t>
      </w:r>
      <w:r w:rsidR="005C1E7A">
        <w:rPr>
          <w:rFonts w:ascii="Times New Roman" w:hAnsi="Times New Roman" w:cs="Times New Roman"/>
          <w:color w:val="000000"/>
          <w:sz w:val="24"/>
          <w:szCs w:val="24"/>
        </w:rPr>
        <w:t xml:space="preserve"> infection by </w:t>
      </w:r>
      <w:r w:rsidR="005C1E7A">
        <w:rPr>
          <w:rFonts w:ascii="Times New Roman" w:hAnsi="Times New Roman" w:cs="Times New Roman"/>
          <w:color w:val="000000"/>
          <w:sz w:val="24"/>
          <w:szCs w:val="24"/>
        </w:rPr>
        <w:lastRenderedPageBreak/>
        <w:t xml:space="preserve">the </w:t>
      </w:r>
      <w:proofErr w:type="spellStart"/>
      <w:r w:rsidR="005C1E7A">
        <w:rPr>
          <w:rFonts w:ascii="Times New Roman" w:hAnsi="Times New Roman" w:cs="Times New Roman"/>
          <w:color w:val="000000"/>
          <w:sz w:val="24"/>
          <w:szCs w:val="24"/>
        </w:rPr>
        <w:t>hemibiotrophic</w:t>
      </w:r>
      <w:proofErr w:type="spellEnd"/>
      <w:r w:rsidR="005C1E7A">
        <w:rPr>
          <w:rFonts w:ascii="Times New Roman" w:hAnsi="Times New Roman" w:cs="Times New Roman"/>
          <w:color w:val="000000"/>
          <w:sz w:val="24"/>
          <w:szCs w:val="24"/>
        </w:rPr>
        <w:t xml:space="preserve"> pathogen </w:t>
      </w:r>
      <w:r w:rsidR="005C1E7A">
        <w:rPr>
          <w:rFonts w:ascii="Times New Roman" w:hAnsi="Times New Roman" w:cs="Times New Roman"/>
          <w:i/>
          <w:iCs/>
          <w:color w:val="000000"/>
          <w:sz w:val="24"/>
          <w:szCs w:val="24"/>
        </w:rPr>
        <w:t xml:space="preserve">Leptosphaeria </w:t>
      </w:r>
      <w:proofErr w:type="spellStart"/>
      <w:r w:rsidR="005C1E7A">
        <w:rPr>
          <w:rFonts w:ascii="Times New Roman" w:hAnsi="Times New Roman" w:cs="Times New Roman"/>
          <w:i/>
          <w:iCs/>
          <w:color w:val="000000"/>
          <w:sz w:val="24"/>
          <w:szCs w:val="24"/>
        </w:rPr>
        <w:t>maculans</w:t>
      </w:r>
      <w:proofErr w:type="spellEnd"/>
      <w:r w:rsidR="005C1E7A">
        <w:rPr>
          <w:rFonts w:ascii="Times New Roman" w:hAnsi="Times New Roman" w:cs="Times New Roman"/>
          <w:i/>
          <w:iCs/>
          <w:color w:val="000000"/>
          <w:sz w:val="24"/>
          <w:szCs w:val="24"/>
        </w:rPr>
        <w:t xml:space="preserve"> </w:t>
      </w:r>
      <w:r w:rsidR="00E353C4">
        <w:rPr>
          <w:rFonts w:ascii="Times New Roman" w:hAnsi="Times New Roman" w:cs="Times New Roman"/>
          <w:color w:val="000000"/>
          <w:sz w:val="24"/>
          <w:szCs w:val="24"/>
        </w:rPr>
        <w:t>influences</w:t>
      </w:r>
      <w:r w:rsidR="005C1E7A">
        <w:rPr>
          <w:rFonts w:ascii="Times New Roman" w:hAnsi="Times New Roman" w:cs="Times New Roman"/>
          <w:color w:val="000000"/>
          <w:sz w:val="24"/>
          <w:szCs w:val="24"/>
        </w:rPr>
        <w:t xml:space="preserve"> the palatability of oilseed rape plants to </w:t>
      </w:r>
      <w:r w:rsidR="00E353C4">
        <w:rPr>
          <w:rFonts w:ascii="Times New Roman" w:hAnsi="Times New Roman" w:cs="Times New Roman"/>
          <w:color w:val="000000"/>
          <w:sz w:val="24"/>
          <w:szCs w:val="24"/>
        </w:rPr>
        <w:t xml:space="preserve">the </w:t>
      </w:r>
      <w:r w:rsidR="005C1E7A">
        <w:rPr>
          <w:rFonts w:ascii="Times New Roman" w:hAnsi="Times New Roman" w:cs="Times New Roman"/>
          <w:color w:val="000000"/>
          <w:sz w:val="24"/>
          <w:szCs w:val="24"/>
        </w:rPr>
        <w:t xml:space="preserve">chewing insect herbivore </w:t>
      </w:r>
      <w:proofErr w:type="spellStart"/>
      <w:r w:rsidR="005C1E7A">
        <w:rPr>
          <w:rFonts w:ascii="Times New Roman" w:hAnsi="Times New Roman" w:cs="Times New Roman"/>
          <w:i/>
          <w:iCs/>
          <w:color w:val="000000"/>
          <w:sz w:val="24"/>
          <w:szCs w:val="24"/>
        </w:rPr>
        <w:t>Plutella</w:t>
      </w:r>
      <w:proofErr w:type="spellEnd"/>
      <w:r w:rsidR="005C1E7A">
        <w:rPr>
          <w:rFonts w:ascii="Times New Roman" w:hAnsi="Times New Roman" w:cs="Times New Roman"/>
          <w:i/>
          <w:iCs/>
          <w:color w:val="000000"/>
          <w:sz w:val="24"/>
          <w:szCs w:val="24"/>
        </w:rPr>
        <w:t xml:space="preserve"> </w:t>
      </w:r>
      <w:proofErr w:type="spellStart"/>
      <w:r w:rsidR="005C1E7A">
        <w:rPr>
          <w:rFonts w:ascii="Times New Roman" w:hAnsi="Times New Roman" w:cs="Times New Roman"/>
          <w:i/>
          <w:iCs/>
          <w:color w:val="000000"/>
          <w:sz w:val="24"/>
          <w:szCs w:val="24"/>
        </w:rPr>
        <w:t>xylostella</w:t>
      </w:r>
      <w:proofErr w:type="spellEnd"/>
      <w:r w:rsidR="001A707E">
        <w:rPr>
          <w:rFonts w:ascii="Times New Roman" w:hAnsi="Times New Roman" w:cs="Times New Roman"/>
          <w:color w:val="000000"/>
          <w:sz w:val="24"/>
          <w:szCs w:val="24"/>
        </w:rPr>
        <w:t>.</w:t>
      </w:r>
      <w:r w:rsidR="005C1E7A" w:rsidRPr="005C1E7A">
        <w:rPr>
          <w:rFonts w:ascii="Times New Roman" w:hAnsi="Times New Roman" w:cs="Times New Roman"/>
          <w:color w:val="000000"/>
          <w:sz w:val="24"/>
          <w:szCs w:val="24"/>
        </w:rPr>
        <w:t xml:space="preserve"> </w:t>
      </w:r>
      <w:r w:rsidR="00E353C4" w:rsidRPr="00E353C4">
        <w:rPr>
          <w:rFonts w:ascii="Times New Roman" w:hAnsi="Times New Roman" w:cs="Times New Roman"/>
          <w:color w:val="000000"/>
          <w:sz w:val="24"/>
          <w:szCs w:val="24"/>
        </w:rPr>
        <w:t xml:space="preserve">Specifically, I examine the alterations in phytohormonal </w:t>
      </w:r>
      <w:proofErr w:type="spellStart"/>
      <w:r w:rsidR="00E353C4" w:rsidRPr="00E353C4">
        <w:rPr>
          <w:rFonts w:ascii="Times New Roman" w:hAnsi="Times New Roman" w:cs="Times New Roman"/>
          <w:color w:val="000000"/>
          <w:sz w:val="24"/>
          <w:szCs w:val="24"/>
        </w:rPr>
        <w:t>signaling</w:t>
      </w:r>
      <w:proofErr w:type="spellEnd"/>
      <w:r w:rsidR="00E353C4" w:rsidRPr="00E353C4">
        <w:rPr>
          <w:rFonts w:ascii="Times New Roman" w:hAnsi="Times New Roman" w:cs="Times New Roman"/>
          <w:color w:val="000000"/>
          <w:sz w:val="24"/>
          <w:szCs w:val="24"/>
        </w:rPr>
        <w:t xml:space="preserve"> responses, conduct analyses of glucosinolate content, and investigate volatile profiles.</w:t>
      </w:r>
      <w:r w:rsidR="00E353C4">
        <w:rPr>
          <w:rFonts w:ascii="Times New Roman" w:hAnsi="Times New Roman" w:cs="Times New Roman"/>
          <w:color w:val="000000"/>
          <w:sz w:val="24"/>
          <w:szCs w:val="24"/>
        </w:rPr>
        <w:t xml:space="preserve"> </w:t>
      </w:r>
      <w:r w:rsidR="001A707E" w:rsidRPr="001A707E">
        <w:rPr>
          <w:rFonts w:ascii="Times New Roman" w:hAnsi="Times New Roman" w:cs="Times New Roman"/>
          <w:color w:val="000000"/>
          <w:sz w:val="24"/>
          <w:szCs w:val="24"/>
        </w:rPr>
        <w:t xml:space="preserve">In order to facilitate </w:t>
      </w:r>
      <w:r w:rsidR="001A707E">
        <w:rPr>
          <w:rFonts w:ascii="Times New Roman" w:hAnsi="Times New Roman" w:cs="Times New Roman"/>
          <w:color w:val="000000"/>
          <w:sz w:val="24"/>
          <w:szCs w:val="24"/>
        </w:rPr>
        <w:t>th</w:t>
      </w:r>
      <w:r w:rsidR="001A707E" w:rsidRPr="001A707E">
        <w:rPr>
          <w:rFonts w:ascii="Times New Roman" w:hAnsi="Times New Roman" w:cs="Times New Roman"/>
          <w:color w:val="000000"/>
          <w:sz w:val="24"/>
          <w:szCs w:val="24"/>
        </w:rPr>
        <w:t>e</w:t>
      </w:r>
      <w:r w:rsidR="001A707E">
        <w:rPr>
          <w:rFonts w:ascii="Times New Roman" w:hAnsi="Times New Roman" w:cs="Times New Roman"/>
          <w:color w:val="000000"/>
          <w:sz w:val="24"/>
          <w:szCs w:val="24"/>
        </w:rPr>
        <w:t xml:space="preserve"> thorough e</w:t>
      </w:r>
      <w:r w:rsidR="001A707E" w:rsidRPr="001A707E">
        <w:rPr>
          <w:rFonts w:ascii="Times New Roman" w:hAnsi="Times New Roman" w:cs="Times New Roman"/>
          <w:color w:val="000000"/>
          <w:sz w:val="24"/>
          <w:szCs w:val="24"/>
        </w:rPr>
        <w:t>xploration of this study, the methodology for conducting insect choice test experiments was established in advance.</w:t>
      </w:r>
      <w:r w:rsidR="00BA7BB0">
        <w:rPr>
          <w:rFonts w:ascii="Times New Roman" w:hAnsi="Times New Roman" w:cs="Times New Roman"/>
          <w:color w:val="000000"/>
          <w:sz w:val="24"/>
          <w:szCs w:val="24"/>
        </w:rPr>
        <w:t xml:space="preserve"> </w:t>
      </w:r>
      <w:r w:rsidR="00A03483" w:rsidRPr="00A03483">
        <w:rPr>
          <w:rFonts w:ascii="Times New Roman" w:hAnsi="Times New Roman" w:cs="Times New Roman"/>
          <w:color w:val="000000"/>
          <w:sz w:val="24"/>
          <w:szCs w:val="24"/>
        </w:rPr>
        <w:t>Subsequently, the investigation delve</w:t>
      </w:r>
      <w:r w:rsidR="00A03483">
        <w:rPr>
          <w:rFonts w:ascii="Times New Roman" w:hAnsi="Times New Roman" w:cs="Times New Roman"/>
          <w:color w:val="000000"/>
          <w:sz w:val="24"/>
          <w:szCs w:val="24"/>
        </w:rPr>
        <w:t>s</w:t>
      </w:r>
      <w:r w:rsidR="00A03483" w:rsidRPr="00A03483">
        <w:rPr>
          <w:rFonts w:ascii="Times New Roman" w:hAnsi="Times New Roman" w:cs="Times New Roman"/>
          <w:color w:val="000000"/>
          <w:sz w:val="24"/>
          <w:szCs w:val="24"/>
        </w:rPr>
        <w:t xml:space="preserve"> into elucidating the impact of specific resistance inducers on the palatability of oilseed rape plants to </w:t>
      </w:r>
      <w:r w:rsidR="00A03483" w:rsidRPr="00A03483">
        <w:rPr>
          <w:rFonts w:ascii="Times New Roman" w:hAnsi="Times New Roman" w:cs="Times New Roman"/>
          <w:i/>
          <w:iCs/>
          <w:color w:val="000000"/>
          <w:sz w:val="24"/>
          <w:szCs w:val="24"/>
        </w:rPr>
        <w:t>P</w:t>
      </w:r>
      <w:r w:rsidR="00B0377A">
        <w:rPr>
          <w:rFonts w:ascii="Times New Roman" w:hAnsi="Times New Roman" w:cs="Times New Roman"/>
          <w:i/>
          <w:iCs/>
          <w:color w:val="000000"/>
          <w:sz w:val="24"/>
          <w:szCs w:val="24"/>
        </w:rPr>
        <w:t>.</w:t>
      </w:r>
      <w:r w:rsidR="00A03483" w:rsidRPr="00A03483">
        <w:rPr>
          <w:rFonts w:ascii="Times New Roman" w:hAnsi="Times New Roman" w:cs="Times New Roman"/>
          <w:i/>
          <w:iCs/>
          <w:color w:val="000000"/>
          <w:sz w:val="24"/>
          <w:szCs w:val="24"/>
        </w:rPr>
        <w:t xml:space="preserve"> </w:t>
      </w:r>
      <w:proofErr w:type="spellStart"/>
      <w:r w:rsidR="00A03483" w:rsidRPr="00A03483">
        <w:rPr>
          <w:rFonts w:ascii="Times New Roman" w:hAnsi="Times New Roman" w:cs="Times New Roman"/>
          <w:i/>
          <w:iCs/>
          <w:color w:val="000000"/>
          <w:sz w:val="24"/>
          <w:szCs w:val="24"/>
        </w:rPr>
        <w:t>xylostella</w:t>
      </w:r>
      <w:proofErr w:type="spellEnd"/>
      <w:r w:rsidR="00A03483">
        <w:rPr>
          <w:rFonts w:ascii="Times New Roman" w:hAnsi="Times New Roman" w:cs="Times New Roman"/>
          <w:color w:val="000000"/>
          <w:sz w:val="24"/>
          <w:szCs w:val="24"/>
        </w:rPr>
        <w:t>.</w:t>
      </w:r>
      <w:r w:rsidR="00A03483">
        <w:rPr>
          <w:rFonts w:ascii="Times New Roman" w:hAnsi="Times New Roman" w:cs="Times New Roman"/>
          <w:i/>
          <w:iCs/>
          <w:color w:val="000000"/>
          <w:sz w:val="24"/>
          <w:szCs w:val="24"/>
        </w:rPr>
        <w:t xml:space="preserve"> </w:t>
      </w:r>
      <w:r w:rsidR="00BA7BB0">
        <w:rPr>
          <w:rFonts w:ascii="Times New Roman" w:hAnsi="Times New Roman" w:cs="Times New Roman"/>
          <w:color w:val="000000"/>
          <w:sz w:val="24"/>
          <w:szCs w:val="24"/>
        </w:rPr>
        <w:t xml:space="preserve">Moreover, </w:t>
      </w:r>
      <w:r w:rsidR="00A03483">
        <w:rPr>
          <w:rFonts w:ascii="Times New Roman" w:hAnsi="Times New Roman" w:cs="Times New Roman"/>
          <w:color w:val="000000"/>
          <w:sz w:val="24"/>
          <w:szCs w:val="24"/>
        </w:rPr>
        <w:t xml:space="preserve">the research continues on </w:t>
      </w:r>
      <w:r w:rsidR="00BA7BB0">
        <w:rPr>
          <w:rFonts w:ascii="Times New Roman" w:hAnsi="Times New Roman" w:cs="Times New Roman"/>
          <w:color w:val="000000"/>
          <w:sz w:val="24"/>
          <w:szCs w:val="24"/>
        </w:rPr>
        <w:t>spatial analyses</w:t>
      </w:r>
      <w:r w:rsidR="00A03483">
        <w:rPr>
          <w:rFonts w:ascii="Times New Roman" w:hAnsi="Times New Roman" w:cs="Times New Roman"/>
          <w:color w:val="000000"/>
          <w:sz w:val="24"/>
          <w:szCs w:val="24"/>
        </w:rPr>
        <w:t xml:space="preserve"> aimed at investigating</w:t>
      </w:r>
      <w:r w:rsidR="00BA7BB0">
        <w:rPr>
          <w:rFonts w:ascii="Times New Roman" w:hAnsi="Times New Roman" w:cs="Times New Roman"/>
          <w:color w:val="000000"/>
          <w:sz w:val="24"/>
          <w:szCs w:val="24"/>
        </w:rPr>
        <w:t xml:space="preserve"> phytohormonal </w:t>
      </w:r>
      <w:proofErr w:type="spellStart"/>
      <w:r w:rsidR="00BA7BB0">
        <w:rPr>
          <w:rFonts w:ascii="Times New Roman" w:hAnsi="Times New Roman" w:cs="Times New Roman"/>
          <w:color w:val="000000"/>
          <w:sz w:val="24"/>
          <w:szCs w:val="24"/>
        </w:rPr>
        <w:t>signaling</w:t>
      </w:r>
      <w:proofErr w:type="spellEnd"/>
      <w:r w:rsidR="00BA7BB0">
        <w:rPr>
          <w:rFonts w:ascii="Times New Roman" w:hAnsi="Times New Roman" w:cs="Times New Roman"/>
          <w:color w:val="000000"/>
          <w:sz w:val="24"/>
          <w:szCs w:val="24"/>
        </w:rPr>
        <w:t xml:space="preserve"> responses </w:t>
      </w:r>
      <w:r w:rsidR="00A03483">
        <w:rPr>
          <w:rFonts w:ascii="Times New Roman" w:hAnsi="Times New Roman" w:cs="Times New Roman"/>
          <w:color w:val="000000"/>
          <w:sz w:val="24"/>
          <w:szCs w:val="24"/>
        </w:rPr>
        <w:t xml:space="preserve">elicited </w:t>
      </w:r>
      <w:r w:rsidR="00BA7BB0">
        <w:rPr>
          <w:rFonts w:ascii="Times New Roman" w:hAnsi="Times New Roman" w:cs="Times New Roman"/>
          <w:color w:val="000000"/>
          <w:sz w:val="24"/>
          <w:szCs w:val="24"/>
        </w:rPr>
        <w:t>during attack</w:t>
      </w:r>
      <w:r w:rsidR="00A03483">
        <w:rPr>
          <w:rFonts w:ascii="Times New Roman" w:hAnsi="Times New Roman" w:cs="Times New Roman"/>
          <w:color w:val="000000"/>
          <w:sz w:val="24"/>
          <w:szCs w:val="24"/>
        </w:rPr>
        <w:t>s</w:t>
      </w:r>
      <w:r w:rsidR="00BA7BB0">
        <w:rPr>
          <w:rFonts w:ascii="Times New Roman" w:hAnsi="Times New Roman" w:cs="Times New Roman"/>
          <w:color w:val="000000"/>
          <w:sz w:val="24"/>
          <w:szCs w:val="24"/>
        </w:rPr>
        <w:t xml:space="preserve"> by piercing-sucking insect herbivores</w:t>
      </w:r>
      <w:r w:rsidR="00A03483">
        <w:rPr>
          <w:rFonts w:ascii="Times New Roman" w:hAnsi="Times New Roman" w:cs="Times New Roman"/>
          <w:color w:val="000000"/>
          <w:sz w:val="24"/>
          <w:szCs w:val="24"/>
        </w:rPr>
        <w:t>. The</w:t>
      </w:r>
      <w:r w:rsidR="00BA7BB0">
        <w:rPr>
          <w:rFonts w:ascii="Times New Roman" w:hAnsi="Times New Roman" w:cs="Times New Roman"/>
          <w:color w:val="000000"/>
          <w:sz w:val="24"/>
          <w:szCs w:val="24"/>
        </w:rPr>
        <w:t xml:space="preserve"> specific focus </w:t>
      </w:r>
      <w:r w:rsidR="00A03483">
        <w:rPr>
          <w:rFonts w:ascii="Times New Roman" w:hAnsi="Times New Roman" w:cs="Times New Roman"/>
          <w:color w:val="000000"/>
          <w:sz w:val="24"/>
          <w:szCs w:val="24"/>
        </w:rPr>
        <w:t xml:space="preserve">is </w:t>
      </w:r>
      <w:r w:rsidR="00BA7BB0">
        <w:rPr>
          <w:rFonts w:ascii="Times New Roman" w:hAnsi="Times New Roman" w:cs="Times New Roman"/>
          <w:color w:val="000000"/>
          <w:sz w:val="24"/>
          <w:szCs w:val="24"/>
        </w:rPr>
        <w:t xml:space="preserve">on </w:t>
      </w:r>
      <w:r w:rsidR="00A03483">
        <w:rPr>
          <w:rFonts w:ascii="Times New Roman" w:hAnsi="Times New Roman" w:cs="Times New Roman"/>
          <w:color w:val="000000"/>
          <w:sz w:val="24"/>
          <w:szCs w:val="24"/>
        </w:rPr>
        <w:t xml:space="preserve">the dynamics of </w:t>
      </w:r>
      <w:r w:rsidR="00BA7BB0">
        <w:rPr>
          <w:rFonts w:ascii="Times New Roman" w:hAnsi="Times New Roman" w:cs="Times New Roman"/>
          <w:color w:val="000000"/>
          <w:sz w:val="24"/>
          <w:szCs w:val="24"/>
        </w:rPr>
        <w:t xml:space="preserve">salicylic and </w:t>
      </w:r>
      <w:proofErr w:type="spellStart"/>
      <w:r w:rsidR="00BA7BB0">
        <w:rPr>
          <w:rFonts w:ascii="Times New Roman" w:hAnsi="Times New Roman" w:cs="Times New Roman"/>
          <w:color w:val="000000"/>
          <w:sz w:val="24"/>
          <w:szCs w:val="24"/>
        </w:rPr>
        <w:t>jasmonic</w:t>
      </w:r>
      <w:proofErr w:type="spellEnd"/>
      <w:r w:rsidR="00BA7BB0">
        <w:rPr>
          <w:rFonts w:ascii="Times New Roman" w:hAnsi="Times New Roman" w:cs="Times New Roman"/>
          <w:color w:val="000000"/>
          <w:sz w:val="24"/>
          <w:szCs w:val="24"/>
        </w:rPr>
        <w:t xml:space="preserve"> acid </w:t>
      </w:r>
      <w:proofErr w:type="spellStart"/>
      <w:r w:rsidR="00BA7BB0">
        <w:rPr>
          <w:rFonts w:ascii="Times New Roman" w:hAnsi="Times New Roman" w:cs="Times New Roman"/>
          <w:color w:val="000000"/>
          <w:sz w:val="24"/>
          <w:szCs w:val="24"/>
        </w:rPr>
        <w:t>signaling</w:t>
      </w:r>
      <w:proofErr w:type="spellEnd"/>
      <w:r w:rsidR="00BA7BB0">
        <w:rPr>
          <w:rFonts w:ascii="Times New Roman" w:hAnsi="Times New Roman" w:cs="Times New Roman"/>
          <w:color w:val="000000"/>
          <w:sz w:val="24"/>
          <w:szCs w:val="24"/>
        </w:rPr>
        <w:t xml:space="preserve"> during </w:t>
      </w:r>
      <w:proofErr w:type="spellStart"/>
      <w:r w:rsidR="00BA7BB0">
        <w:rPr>
          <w:rFonts w:ascii="Times New Roman" w:hAnsi="Times New Roman" w:cs="Times New Roman"/>
          <w:i/>
          <w:iCs/>
          <w:color w:val="000000"/>
          <w:sz w:val="24"/>
          <w:szCs w:val="24"/>
        </w:rPr>
        <w:t>Brevicoryne</w:t>
      </w:r>
      <w:proofErr w:type="spellEnd"/>
      <w:r w:rsidR="00BA7BB0">
        <w:rPr>
          <w:rFonts w:ascii="Times New Roman" w:hAnsi="Times New Roman" w:cs="Times New Roman"/>
          <w:i/>
          <w:iCs/>
          <w:color w:val="000000"/>
          <w:sz w:val="24"/>
          <w:szCs w:val="24"/>
        </w:rPr>
        <w:t xml:space="preserve"> </w:t>
      </w:r>
      <w:proofErr w:type="spellStart"/>
      <w:r w:rsidR="00BA7BB0">
        <w:rPr>
          <w:rFonts w:ascii="Times New Roman" w:hAnsi="Times New Roman" w:cs="Times New Roman"/>
          <w:i/>
          <w:iCs/>
          <w:color w:val="000000"/>
          <w:sz w:val="24"/>
          <w:szCs w:val="24"/>
        </w:rPr>
        <w:t>brassicae</w:t>
      </w:r>
      <w:proofErr w:type="spellEnd"/>
      <w:r w:rsidR="00BA7BB0">
        <w:rPr>
          <w:rFonts w:ascii="Times New Roman" w:hAnsi="Times New Roman" w:cs="Times New Roman"/>
          <w:i/>
          <w:iCs/>
          <w:color w:val="000000"/>
          <w:sz w:val="24"/>
          <w:szCs w:val="24"/>
        </w:rPr>
        <w:t xml:space="preserve"> </w:t>
      </w:r>
      <w:r w:rsidR="00BA7BB0">
        <w:rPr>
          <w:rFonts w:ascii="Times New Roman" w:hAnsi="Times New Roman" w:cs="Times New Roman"/>
          <w:color w:val="000000"/>
          <w:sz w:val="24"/>
          <w:szCs w:val="24"/>
        </w:rPr>
        <w:t xml:space="preserve">feeding in </w:t>
      </w:r>
      <w:r w:rsidR="00BA7BB0">
        <w:rPr>
          <w:rFonts w:ascii="Times New Roman" w:hAnsi="Times New Roman" w:cs="Times New Roman"/>
          <w:i/>
          <w:iCs/>
          <w:color w:val="000000"/>
          <w:sz w:val="24"/>
          <w:szCs w:val="24"/>
        </w:rPr>
        <w:t>Arabidopsis thaliana</w:t>
      </w:r>
      <w:r w:rsidR="00BA7BB0" w:rsidRPr="00BA7BB0">
        <w:rPr>
          <w:rFonts w:ascii="Times New Roman" w:hAnsi="Times New Roman" w:cs="Times New Roman"/>
          <w:color w:val="000000"/>
          <w:sz w:val="24"/>
          <w:szCs w:val="24"/>
        </w:rPr>
        <w:t>.</w:t>
      </w:r>
      <w:r w:rsidR="00BA7BB0">
        <w:rPr>
          <w:rFonts w:ascii="Times New Roman" w:hAnsi="Times New Roman" w:cs="Times New Roman"/>
          <w:i/>
          <w:iCs/>
          <w:color w:val="000000"/>
          <w:sz w:val="24"/>
          <w:szCs w:val="24"/>
        </w:rPr>
        <w:t xml:space="preserve"> </w:t>
      </w:r>
      <w:r w:rsidR="00BA7BB0" w:rsidRPr="00BA7BB0">
        <w:rPr>
          <w:rFonts w:ascii="Times New Roman" w:hAnsi="Times New Roman" w:cs="Times New Roman"/>
          <w:color w:val="000000"/>
          <w:sz w:val="24"/>
          <w:szCs w:val="24"/>
        </w:rPr>
        <w:t>This pioneering investigation offers unprecedented insights into plant responses at the sites of aphid feeding, shedding light on previously unexplored aspects of plant-aphid interactions.</w:t>
      </w:r>
      <w:r w:rsidR="004C7625">
        <w:rPr>
          <w:rFonts w:ascii="Times New Roman" w:hAnsi="Times New Roman" w:cs="Times New Roman"/>
          <w:color w:val="000000"/>
          <w:sz w:val="24"/>
          <w:szCs w:val="24"/>
        </w:rPr>
        <w:t xml:space="preserve"> </w:t>
      </w:r>
      <w:r w:rsidR="00B0377A">
        <w:rPr>
          <w:rFonts w:ascii="Times New Roman" w:hAnsi="Times New Roman" w:cs="Times New Roman"/>
          <w:color w:val="000000"/>
          <w:sz w:val="24"/>
          <w:szCs w:val="24"/>
        </w:rPr>
        <w:t xml:space="preserve">Advancing my </w:t>
      </w:r>
      <w:r w:rsidR="004C7625">
        <w:rPr>
          <w:rFonts w:ascii="Times New Roman" w:hAnsi="Times New Roman" w:cs="Times New Roman"/>
          <w:color w:val="000000"/>
          <w:sz w:val="24"/>
          <w:szCs w:val="24"/>
          <w:lang w:val="hr-HR"/>
        </w:rPr>
        <w:t>research</w:t>
      </w:r>
      <w:r w:rsidR="00B0377A">
        <w:rPr>
          <w:rFonts w:ascii="Times New Roman" w:hAnsi="Times New Roman" w:cs="Times New Roman"/>
          <w:color w:val="000000"/>
          <w:sz w:val="24"/>
          <w:szCs w:val="24"/>
          <w:lang w:val="hr-HR"/>
        </w:rPr>
        <w:t xml:space="preserve">, I delve deeper into </w:t>
      </w:r>
      <w:r w:rsidR="00C97282">
        <w:rPr>
          <w:rFonts w:ascii="Times New Roman" w:hAnsi="Times New Roman" w:cs="Times New Roman"/>
          <w:color w:val="000000"/>
          <w:sz w:val="24"/>
          <w:szCs w:val="24"/>
          <w:lang w:val="hr-HR"/>
        </w:rPr>
        <w:t>tripartite</w:t>
      </w:r>
      <w:r w:rsidR="004C7625">
        <w:rPr>
          <w:rFonts w:ascii="Times New Roman" w:hAnsi="Times New Roman" w:cs="Times New Roman"/>
          <w:color w:val="000000"/>
          <w:sz w:val="24"/>
          <w:szCs w:val="24"/>
          <w:lang w:val="hr-HR"/>
        </w:rPr>
        <w:t xml:space="preserve"> interactions, </w:t>
      </w:r>
      <w:r w:rsidR="00061D5A" w:rsidRPr="00061D5A">
        <w:rPr>
          <w:rFonts w:ascii="Times New Roman" w:hAnsi="Times New Roman" w:cs="Times New Roman"/>
          <w:color w:val="000000"/>
          <w:sz w:val="24"/>
          <w:szCs w:val="24"/>
        </w:rPr>
        <w:t xml:space="preserve">particularly examining the intricate relationship between plant roots and beneficial fungi, and its impact on </w:t>
      </w:r>
      <w:r w:rsidR="002E3355">
        <w:rPr>
          <w:rFonts w:ascii="Times New Roman" w:hAnsi="Times New Roman" w:cs="Times New Roman"/>
          <w:color w:val="000000"/>
          <w:sz w:val="24"/>
          <w:szCs w:val="24"/>
        </w:rPr>
        <w:t xml:space="preserve">plant </w:t>
      </w:r>
      <w:r w:rsidR="00061D5A" w:rsidRPr="00061D5A">
        <w:rPr>
          <w:rFonts w:ascii="Times New Roman" w:hAnsi="Times New Roman" w:cs="Times New Roman"/>
          <w:color w:val="000000"/>
          <w:sz w:val="24"/>
          <w:szCs w:val="24"/>
        </w:rPr>
        <w:t xml:space="preserve">susceptibility to </w:t>
      </w:r>
      <w:r w:rsidR="00061D5A" w:rsidRPr="00061D5A">
        <w:rPr>
          <w:rFonts w:ascii="Times New Roman" w:hAnsi="Times New Roman" w:cs="Times New Roman"/>
          <w:i/>
          <w:iCs/>
          <w:color w:val="000000"/>
          <w:sz w:val="24"/>
          <w:szCs w:val="24"/>
        </w:rPr>
        <w:t xml:space="preserve">L. </w:t>
      </w:r>
      <w:proofErr w:type="spellStart"/>
      <w:r w:rsidR="00061D5A" w:rsidRPr="00061D5A">
        <w:rPr>
          <w:rFonts w:ascii="Times New Roman" w:hAnsi="Times New Roman" w:cs="Times New Roman"/>
          <w:i/>
          <w:iCs/>
          <w:color w:val="000000"/>
          <w:sz w:val="24"/>
          <w:szCs w:val="24"/>
        </w:rPr>
        <w:t>maculans</w:t>
      </w:r>
      <w:proofErr w:type="spellEnd"/>
      <w:r w:rsidR="00061D5A" w:rsidRPr="00061D5A">
        <w:rPr>
          <w:rFonts w:ascii="Times New Roman" w:hAnsi="Times New Roman" w:cs="Times New Roman"/>
          <w:color w:val="000000"/>
          <w:sz w:val="24"/>
          <w:szCs w:val="24"/>
        </w:rPr>
        <w:t xml:space="preserve"> infection. This focused investigation aims to illuminate the dynamics at play within this</w:t>
      </w:r>
      <w:r w:rsidR="002E3355">
        <w:rPr>
          <w:rFonts w:ascii="Times New Roman" w:hAnsi="Times New Roman" w:cs="Times New Roman"/>
          <w:color w:val="000000"/>
          <w:sz w:val="24"/>
          <w:szCs w:val="24"/>
        </w:rPr>
        <w:t xml:space="preserve"> complex biological system</w:t>
      </w:r>
      <w:r w:rsidR="00061D5A" w:rsidRPr="00061D5A">
        <w:rPr>
          <w:rFonts w:ascii="Times New Roman" w:hAnsi="Times New Roman" w:cs="Times New Roman"/>
          <w:color w:val="000000"/>
          <w:sz w:val="24"/>
          <w:szCs w:val="24"/>
        </w:rPr>
        <w:t>.</w:t>
      </w:r>
    </w:p>
    <w:p w14:paraId="5DC1D696" w14:textId="3E98889B" w:rsidR="00773FD2" w:rsidRPr="00651897" w:rsidRDefault="00651897" w:rsidP="00651897">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152286BE" w14:textId="2E4D5CB5" w:rsidR="00B91720" w:rsidRDefault="00B91720" w:rsidP="00B91720">
      <w:pPr>
        <w:pStyle w:val="Heading1"/>
      </w:pPr>
      <w:bookmarkStart w:id="2" w:name="_Toc167977576"/>
      <w:r>
        <w:lastRenderedPageBreak/>
        <w:t>Literature review</w:t>
      </w:r>
      <w:bookmarkEnd w:id="2"/>
    </w:p>
    <w:p w14:paraId="6DED0BA6" w14:textId="1DFBBE1D" w:rsidR="004435F1" w:rsidRDefault="004435F1" w:rsidP="00C97282">
      <w:pPr>
        <w:spacing w:after="0"/>
        <w:rPr>
          <w:rFonts w:ascii="Times New Roman" w:hAnsi="Times New Roman" w:cs="Times New Roman"/>
          <w:sz w:val="24"/>
          <w:szCs w:val="24"/>
        </w:rPr>
      </w:pPr>
    </w:p>
    <w:p w14:paraId="0C4FEE4F" w14:textId="6845151E" w:rsidR="00F16D14" w:rsidRPr="00F16D14" w:rsidRDefault="00F16D14" w:rsidP="00F16D14">
      <w:pPr>
        <w:spacing w:after="0" w:line="360" w:lineRule="auto"/>
        <w:ind w:firstLine="720"/>
        <w:jc w:val="both"/>
        <w:rPr>
          <w:rFonts w:ascii="Times New Roman" w:hAnsi="Times New Roman" w:cs="Times New Roman"/>
          <w:sz w:val="24"/>
          <w:szCs w:val="24"/>
        </w:rPr>
      </w:pPr>
      <w:r w:rsidRPr="00F16D14">
        <w:rPr>
          <w:rFonts w:ascii="Times New Roman" w:hAnsi="Times New Roman" w:cs="Times New Roman"/>
          <w:sz w:val="24"/>
          <w:szCs w:val="24"/>
        </w:rPr>
        <w:t xml:space="preserve">In the realm of ecological dynamics, plants engage in intricate interactions with pathogens, herbivores, and other organisms, giving rise to complex </w:t>
      </w:r>
      <w:r>
        <w:rPr>
          <w:rFonts w:ascii="Times New Roman" w:hAnsi="Times New Roman" w:cs="Times New Roman"/>
          <w:sz w:val="24"/>
          <w:szCs w:val="24"/>
        </w:rPr>
        <w:t>tripartite</w:t>
      </w:r>
      <w:r w:rsidRPr="00F16D14">
        <w:rPr>
          <w:rFonts w:ascii="Times New Roman" w:hAnsi="Times New Roman" w:cs="Times New Roman"/>
          <w:sz w:val="24"/>
          <w:szCs w:val="24"/>
        </w:rPr>
        <w:t xml:space="preserve"> relationships. Central to these interactions is the activation of plant immunity mechanisms and associated </w:t>
      </w:r>
      <w:proofErr w:type="spellStart"/>
      <w:r w:rsidRPr="00F16D14">
        <w:rPr>
          <w:rFonts w:ascii="Times New Roman" w:hAnsi="Times New Roman" w:cs="Times New Roman"/>
          <w:sz w:val="24"/>
          <w:szCs w:val="24"/>
        </w:rPr>
        <w:t>signaling</w:t>
      </w:r>
      <w:proofErr w:type="spellEnd"/>
      <w:r w:rsidRPr="00F16D14">
        <w:rPr>
          <w:rFonts w:ascii="Times New Roman" w:hAnsi="Times New Roman" w:cs="Times New Roman"/>
          <w:sz w:val="24"/>
          <w:szCs w:val="24"/>
        </w:rPr>
        <w:t xml:space="preserve"> pathways. When faced with pathogens or herbivores, plants initiate a series of molecular responses aimed at defending against invasion. However, the outcome of these interactions is multifaceted, as the activation of plant immunity can have dual effects, either enhancing resistance to subsequent attackers or potentially increasing susceptibility. The intricacies of these interactions are influenced by various factors, including the specific nature of the assailant, the timing of the </w:t>
      </w:r>
      <w:r>
        <w:rPr>
          <w:rFonts w:ascii="Times New Roman" w:hAnsi="Times New Roman" w:cs="Times New Roman"/>
          <w:sz w:val="24"/>
          <w:szCs w:val="24"/>
        </w:rPr>
        <w:t xml:space="preserve">immune </w:t>
      </w:r>
      <w:r w:rsidRPr="00F16D14">
        <w:rPr>
          <w:rFonts w:ascii="Times New Roman" w:hAnsi="Times New Roman" w:cs="Times New Roman"/>
          <w:sz w:val="24"/>
          <w:szCs w:val="24"/>
        </w:rPr>
        <w:t xml:space="preserve">response, and the overall health and resilience of the plant. Understanding the dynamics of plant immunity and its impact on susceptibility to subsequent attackers is crucial for elucidating the broader ecological dynamics of </w:t>
      </w:r>
      <w:r>
        <w:rPr>
          <w:rFonts w:ascii="Times New Roman" w:hAnsi="Times New Roman" w:cs="Times New Roman"/>
          <w:sz w:val="24"/>
          <w:szCs w:val="24"/>
        </w:rPr>
        <w:t>tripartite</w:t>
      </w:r>
      <w:r w:rsidRPr="00F16D14">
        <w:rPr>
          <w:rFonts w:ascii="Times New Roman" w:hAnsi="Times New Roman" w:cs="Times New Roman"/>
          <w:sz w:val="24"/>
          <w:szCs w:val="24"/>
        </w:rPr>
        <w:t xml:space="preserve"> interactions and devising strategies to enhance plant defen</w:t>
      </w:r>
      <w:r>
        <w:rPr>
          <w:rFonts w:ascii="Times New Roman" w:hAnsi="Times New Roman" w:cs="Times New Roman"/>
          <w:sz w:val="24"/>
          <w:szCs w:val="24"/>
        </w:rPr>
        <w:t>c</w:t>
      </w:r>
      <w:r w:rsidRPr="00F16D14">
        <w:rPr>
          <w:rFonts w:ascii="Times New Roman" w:hAnsi="Times New Roman" w:cs="Times New Roman"/>
          <w:sz w:val="24"/>
          <w:szCs w:val="24"/>
        </w:rPr>
        <w:t>es in natural and agricultural settings.</w:t>
      </w:r>
    </w:p>
    <w:p w14:paraId="2E452625" w14:textId="77777777" w:rsidR="00B91720" w:rsidRPr="000256EA" w:rsidRDefault="00B91720" w:rsidP="00632B4B">
      <w:pPr>
        <w:spacing w:after="0"/>
        <w:rPr>
          <w:rFonts w:ascii="Times New Roman" w:hAnsi="Times New Roman" w:cs="Times New Roman"/>
          <w:sz w:val="24"/>
          <w:szCs w:val="24"/>
        </w:rPr>
      </w:pPr>
    </w:p>
    <w:p w14:paraId="2150982F" w14:textId="77777777" w:rsidR="00E7693B" w:rsidRPr="00E7693B" w:rsidRDefault="00E7693B" w:rsidP="00175250">
      <w:pPr>
        <w:pStyle w:val="Heading2"/>
      </w:pPr>
      <w:bookmarkStart w:id="3" w:name="_Toc167977577"/>
      <w:r w:rsidRPr="00E7693B">
        <w:t>Plant immunity</w:t>
      </w:r>
      <w:bookmarkEnd w:id="3"/>
    </w:p>
    <w:p w14:paraId="21509830" w14:textId="77777777" w:rsidR="00E7693B" w:rsidRPr="00E7693B" w:rsidRDefault="00E7693B" w:rsidP="00632B4B">
      <w:pPr>
        <w:spacing w:after="0" w:line="360" w:lineRule="auto"/>
        <w:jc w:val="both"/>
        <w:rPr>
          <w:rFonts w:ascii="Times New Roman" w:hAnsi="Times New Roman" w:cs="Times New Roman"/>
        </w:rPr>
      </w:pPr>
    </w:p>
    <w:p w14:paraId="21509831" w14:textId="313F0AA8" w:rsidR="00E7693B" w:rsidRPr="00E7693B" w:rsidRDefault="007A5E38" w:rsidP="005B4B6A">
      <w:pPr>
        <w:pBdr>
          <w:top w:val="nil"/>
          <w:left w:val="nil"/>
          <w:bottom w:val="nil"/>
          <w:right w:val="nil"/>
          <w:between w:val="nil"/>
        </w:pBdr>
        <w:spacing w:line="360" w:lineRule="auto"/>
        <w:ind w:firstLine="576"/>
        <w:jc w:val="both"/>
        <w:rPr>
          <w:rFonts w:ascii="Times New Roman" w:hAnsi="Times New Roman" w:cs="Times New Roman"/>
          <w:color w:val="000000"/>
          <w:sz w:val="24"/>
          <w:szCs w:val="24"/>
        </w:rPr>
      </w:pPr>
      <w:r w:rsidRPr="007A5E38">
        <w:rPr>
          <w:rFonts w:ascii="Times New Roman" w:hAnsi="Times New Roman" w:cs="Times New Roman"/>
          <w:color w:val="000000"/>
          <w:sz w:val="24"/>
          <w:szCs w:val="24"/>
        </w:rPr>
        <w:t xml:space="preserve">The intricate interactions between plants and a diverse array of organisms, encompassing both antagonistic and mutualistic relationships, </w:t>
      </w:r>
      <w:r>
        <w:rPr>
          <w:rFonts w:ascii="Times New Roman" w:hAnsi="Times New Roman" w:cs="Times New Roman"/>
          <w:color w:val="000000"/>
          <w:sz w:val="24"/>
          <w:szCs w:val="24"/>
        </w:rPr>
        <w:t>trigger</w:t>
      </w:r>
      <w:r w:rsidRPr="007A5E38">
        <w:rPr>
          <w:rFonts w:ascii="Times New Roman" w:hAnsi="Times New Roman" w:cs="Times New Roman"/>
          <w:color w:val="000000"/>
          <w:sz w:val="24"/>
          <w:szCs w:val="24"/>
        </w:rPr>
        <w:t xml:space="preserve"> </w:t>
      </w:r>
      <w:r>
        <w:rPr>
          <w:rFonts w:ascii="Times New Roman" w:hAnsi="Times New Roman" w:cs="Times New Roman"/>
          <w:color w:val="000000"/>
          <w:sz w:val="24"/>
          <w:szCs w:val="24"/>
        </w:rPr>
        <w:t>remarkable</w:t>
      </w:r>
      <w:r w:rsidRPr="007A5E38">
        <w:rPr>
          <w:rFonts w:ascii="Times New Roman" w:hAnsi="Times New Roman" w:cs="Times New Roman"/>
          <w:color w:val="000000"/>
          <w:sz w:val="24"/>
          <w:szCs w:val="24"/>
        </w:rPr>
        <w:t xml:space="preserve"> alterations on physiological and molecular scales.</w:t>
      </w:r>
      <w:r>
        <w:rPr>
          <w:rFonts w:ascii="Times New Roman" w:hAnsi="Times New Roman" w:cs="Times New Roman"/>
          <w:color w:val="000000"/>
          <w:sz w:val="24"/>
          <w:szCs w:val="24"/>
        </w:rPr>
        <w:t xml:space="preserve"> </w:t>
      </w:r>
      <w:r w:rsidR="00E7693B" w:rsidRPr="00E7693B">
        <w:rPr>
          <w:rFonts w:ascii="Times New Roman" w:hAnsi="Times New Roman" w:cs="Times New Roman"/>
          <w:color w:val="000000"/>
          <w:sz w:val="24"/>
          <w:szCs w:val="24"/>
        </w:rPr>
        <w:t xml:space="preserve">As a first-layer protection against pathogens and pests, plants have formed defence structures such as trichomes and waxes, </w:t>
      </w:r>
      <w:r w:rsidR="00E7693B" w:rsidRPr="00E7693B">
        <w:rPr>
          <w:rFonts w:ascii="Times New Roman" w:hAnsi="Times New Roman" w:cs="Times New Roman"/>
          <w:sz w:val="24"/>
          <w:szCs w:val="24"/>
        </w:rPr>
        <w:t xml:space="preserve">as well as production of toxic chemicals such as alkaloids, terpenoids and phenols </w:t>
      </w:r>
      <w:r w:rsidR="00E7693B" w:rsidRPr="00E7693B">
        <w:rPr>
          <w:rFonts w:ascii="Times New Roman" w:hAnsi="Times New Roman" w:cs="Times New Roman"/>
          <w:color w:val="000000"/>
          <w:sz w:val="24"/>
          <w:szCs w:val="24"/>
        </w:rPr>
        <w:t xml:space="preserve">that are generally effective against non-adapted attackers. However, to cope with aggressors that adapted to plant mechanical and chemical </w:t>
      </w:r>
      <w:r w:rsidR="00E7693B" w:rsidRPr="00E7693B">
        <w:rPr>
          <w:rFonts w:ascii="Times New Roman" w:hAnsi="Times New Roman" w:cs="Times New Roman"/>
          <w:sz w:val="24"/>
          <w:szCs w:val="24"/>
        </w:rPr>
        <w:t>barriers</w:t>
      </w:r>
      <w:r w:rsidR="00E7693B" w:rsidRPr="00E7693B">
        <w:rPr>
          <w:rFonts w:ascii="Times New Roman" w:hAnsi="Times New Roman" w:cs="Times New Roman"/>
          <w:color w:val="000000"/>
          <w:sz w:val="24"/>
          <w:szCs w:val="24"/>
        </w:rPr>
        <w:t xml:space="preserve">, plants had to develop more complicated strategies, jointly termed as innate immunity. Plant cells recognize pathogen/microbe and herbivore signals, or microbe/herbivore damage signals, </w:t>
      </w:r>
      <w:r w:rsidR="00E7693B" w:rsidRPr="00E7693B">
        <w:rPr>
          <w:rFonts w:ascii="Times New Roman" w:hAnsi="Times New Roman" w:cs="Times New Roman"/>
          <w:i/>
          <w:color w:val="000000"/>
          <w:sz w:val="24"/>
          <w:szCs w:val="24"/>
        </w:rPr>
        <w:t>i.e.</w:t>
      </w:r>
      <w:r w:rsidR="00E7693B" w:rsidRPr="00E7693B">
        <w:rPr>
          <w:rFonts w:ascii="Times New Roman" w:hAnsi="Times New Roman" w:cs="Times New Roman"/>
          <w:color w:val="000000"/>
          <w:sz w:val="24"/>
          <w:szCs w:val="24"/>
        </w:rPr>
        <w:t xml:space="preserve"> pathogen-/microbe-, herbivore- or damage-associated molecular patterns (PAMPs/MAMPs, HAMPs or DAMPs) </w:t>
      </w:r>
      <w:r w:rsidR="00E7693B" w:rsidRPr="00E7693B">
        <w:rPr>
          <w:rFonts w:ascii="Times New Roman" w:hAnsi="Times New Roman" w:cs="Times New Roman"/>
          <w:sz w:val="24"/>
          <w:szCs w:val="24"/>
        </w:rPr>
        <w:t>such as microbial components (</w:t>
      </w:r>
      <w:r w:rsidR="00E7693B" w:rsidRPr="00E7693B">
        <w:rPr>
          <w:rFonts w:ascii="Times New Roman" w:hAnsi="Times New Roman" w:cs="Times New Roman"/>
          <w:i/>
          <w:sz w:val="24"/>
          <w:szCs w:val="24"/>
        </w:rPr>
        <w:t xml:space="preserve">e.g. </w:t>
      </w:r>
      <w:r w:rsidR="00E7693B" w:rsidRPr="00E7693B">
        <w:rPr>
          <w:rFonts w:ascii="Times New Roman" w:hAnsi="Times New Roman" w:cs="Times New Roman"/>
          <w:sz w:val="24"/>
          <w:szCs w:val="24"/>
        </w:rPr>
        <w:t xml:space="preserve">flagellin, chitin) or plant cell wall components, </w:t>
      </w:r>
      <w:r w:rsidR="00E7693B" w:rsidRPr="00E7693B">
        <w:rPr>
          <w:rFonts w:ascii="Times New Roman" w:hAnsi="Times New Roman" w:cs="Times New Roman"/>
          <w:color w:val="000000"/>
          <w:sz w:val="24"/>
          <w:szCs w:val="24"/>
        </w:rPr>
        <w:t>through pattern recognition receptors (PRRs) such as plasma-membrane bound proteins (</w:t>
      </w:r>
      <w:r w:rsidR="00E7693B" w:rsidRPr="00E7693B">
        <w:rPr>
          <w:rFonts w:ascii="Times New Roman" w:hAnsi="Times New Roman" w:cs="Times New Roman"/>
          <w:i/>
          <w:color w:val="000000"/>
          <w:sz w:val="24"/>
          <w:szCs w:val="24"/>
        </w:rPr>
        <w:t xml:space="preserve">e.g. </w:t>
      </w:r>
      <w:r w:rsidR="00E7693B" w:rsidRPr="00E7693B">
        <w:rPr>
          <w:rFonts w:ascii="Times New Roman" w:hAnsi="Times New Roman" w:cs="Times New Roman"/>
          <w:color w:val="000000"/>
          <w:sz w:val="24"/>
          <w:szCs w:val="24"/>
        </w:rPr>
        <w:t xml:space="preserve">receptor-like kinases, RLKs), and start the activation of defence reactions. These reactions are known as PAMP-/MAMP-triggered immunity (PTI/MTI), HAMP-triggered immunity (HTI) or DAMP-triggered immunity (DTI), collectively termed as </w:t>
      </w:r>
      <w:r w:rsidR="00E7693B" w:rsidRPr="00E7693B">
        <w:rPr>
          <w:rFonts w:ascii="Times New Roman" w:hAnsi="Times New Roman" w:cs="Times New Roman"/>
          <w:color w:val="000000"/>
          <w:sz w:val="24"/>
          <w:szCs w:val="24"/>
        </w:rPr>
        <w:lastRenderedPageBreak/>
        <w:t>pattern-triggered immunity (PTI). After perceiving elicitors from a biotic stressor, an arms race between a plant and attacker is triggered, since attackers have also evolved to fight host defence responses</w:t>
      </w:r>
      <w:r w:rsidR="00137B11">
        <w:rPr>
          <w:rFonts w:ascii="Times New Roman" w:hAnsi="Times New Roman" w:cs="Times New Roman"/>
          <w:color w:val="000000"/>
          <w:sz w:val="24"/>
          <w:szCs w:val="24"/>
        </w:rPr>
        <w:t xml:space="preserve"> </w:t>
      </w:r>
      <w:r w:rsidR="00137B11">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{"citationID":"43heHX8h","properties":{"formattedCitation":"(Delaunois et al., 2014; Jones and Dangl, 2006)","plainCitation":"(Delaunois et al., 2014; Jones and Dangl, 2006)","noteIndex":0},"citationItems":[{"id":228,"uris":["http://zotero.org/users/10895598/items/83N755CZ"],"itemData":{"id":228,"type":"article-journal","container-title":"Frontiers in Plant Science","DOI":"10.3389/fpls.2014.00249","ISSN":"1664-462X","journalAbbreviation":"Front. Plant Sci.","source":"DOI.org (Crossref)","title":"Uncovering plant-pathogen crosstalk through apoplastic proteomic studies","URL":"http://journal.frontiersin.org/article/10.3389/fpls.2014.00249/abstract","volume":"5","author":[{"family":"Delaunois","given":"Bertrand"},{"family":"Jeandet","given":"Philippe"},{"family":"Clément","given":"Christophe"},{"family":"Baillieul","given":"Fabienne"},{"family":"Dorey","given":"Stephan"},{"family":"Cordelier","given":"Sylvain"}],"accessed":{"date-parts":[["2022",1,10]]},"issued":{"date-parts":[["2014",6,3]]}}},{"id":55,"uris":["http://zotero.org/users/10895598/items/VW5F5BNG"],"itemData":{"id":55,"type":"article-journal","container-title":"Nature","DOI":"10.1038/nature05286","ISSN":"0028-0836, 1476-4687","issue":"7117","journalAbbreviation":"Nature","language":"en","page":"323-329","source":"DOI.org (Crossref)","title":"The plant immune system","volume":"444","author":[{"family":"Jones","given":"Jonathan D. G."},{"family":"Dangl","given":"Jeffery L."}],"issued":{"date-parts":[["2006",11]]}}}],"schema":"https://github.com/citation-style-language/schema/raw/master/csl-citation.json"} </w:instrText>
      </w:r>
      <w:r w:rsidR="00137B11">
        <w:rPr>
          <w:rFonts w:ascii="Times New Roman" w:hAnsi="Times New Roman" w:cs="Times New Roman"/>
          <w:color w:val="000000"/>
          <w:sz w:val="24"/>
          <w:szCs w:val="24"/>
        </w:rPr>
        <w:fldChar w:fldCharType="separate"/>
      </w:r>
      <w:r w:rsidR="00137B11" w:rsidRPr="00137B11">
        <w:rPr>
          <w:rFonts w:ascii="Times New Roman" w:hAnsi="Times New Roman" w:cs="Times New Roman"/>
          <w:sz w:val="24"/>
        </w:rPr>
        <w:t>(Delaunois et al., 2014; Jones and Dangl, 2006)</w:t>
      </w:r>
      <w:r w:rsidR="00137B11">
        <w:rPr>
          <w:rFonts w:ascii="Times New Roman" w:hAnsi="Times New Roman" w:cs="Times New Roman"/>
          <w:color w:val="000000"/>
          <w:sz w:val="24"/>
          <w:szCs w:val="24"/>
        </w:rPr>
        <w:fldChar w:fldCharType="end"/>
      </w:r>
      <w:r w:rsidR="00E7693B" w:rsidRPr="00E7693B">
        <w:rPr>
          <w:rFonts w:ascii="Times New Roman" w:hAnsi="Times New Roman" w:cs="Times New Roman"/>
          <w:color w:val="000000"/>
          <w:sz w:val="24"/>
          <w:szCs w:val="24"/>
        </w:rPr>
        <w:t xml:space="preserve">. Successful pathogens or insect herbivores, as well as mutualistic microbes can suppress or </w:t>
      </w:r>
      <w:r w:rsidR="00E7693B" w:rsidRPr="00E7693B">
        <w:rPr>
          <w:rFonts w:ascii="Times New Roman" w:hAnsi="Times New Roman" w:cs="Times New Roman"/>
          <w:sz w:val="24"/>
          <w:szCs w:val="24"/>
        </w:rPr>
        <w:t>minimise</w:t>
      </w:r>
      <w:r w:rsidR="00E7693B" w:rsidRPr="00E7693B">
        <w:rPr>
          <w:rFonts w:ascii="Times New Roman" w:hAnsi="Times New Roman" w:cs="Times New Roman"/>
          <w:color w:val="000000"/>
          <w:sz w:val="24"/>
          <w:szCs w:val="24"/>
        </w:rPr>
        <w:t xml:space="preserve"> PTI via effector proteins</w:t>
      </w:r>
      <w:r w:rsidR="00E7693B" w:rsidRPr="00E7693B">
        <w:rPr>
          <w:rFonts w:ascii="Times New Roman" w:hAnsi="Times New Roman" w:cs="Times New Roman"/>
          <w:sz w:val="24"/>
          <w:szCs w:val="24"/>
        </w:rPr>
        <w:t>,</w:t>
      </w:r>
      <w:r w:rsidR="00E7693B" w:rsidRPr="00E7693B">
        <w:rPr>
          <w:rFonts w:ascii="Times New Roman" w:hAnsi="Times New Roman" w:cs="Times New Roman"/>
          <w:color w:val="000000"/>
          <w:sz w:val="24"/>
          <w:szCs w:val="24"/>
        </w:rPr>
        <w:t xml:space="preserve"> which have forced host plants to develop resistance genes (</w:t>
      </w:r>
      <w:r w:rsidR="00E7693B" w:rsidRPr="00E7693B">
        <w:rPr>
          <w:rFonts w:ascii="Times New Roman" w:hAnsi="Times New Roman" w:cs="Times New Roman"/>
          <w:i/>
          <w:color w:val="000000"/>
          <w:sz w:val="24"/>
          <w:szCs w:val="24"/>
        </w:rPr>
        <w:t xml:space="preserve">R </w:t>
      </w:r>
      <w:r w:rsidR="00E7693B" w:rsidRPr="00E7693B">
        <w:rPr>
          <w:rFonts w:ascii="Times New Roman" w:hAnsi="Times New Roman" w:cs="Times New Roman"/>
          <w:color w:val="000000"/>
          <w:sz w:val="24"/>
          <w:szCs w:val="24"/>
        </w:rPr>
        <w:t xml:space="preserve">genes) coding for </w:t>
      </w:r>
      <w:r w:rsidR="00E7693B" w:rsidRPr="006B61C5">
        <w:rPr>
          <w:rFonts w:ascii="Times New Roman" w:hAnsi="Times New Roman" w:cs="Times New Roman"/>
          <w:color w:val="000000"/>
          <w:sz w:val="24"/>
          <w:szCs w:val="24"/>
        </w:rPr>
        <w:t>R</w:t>
      </w:r>
      <w:r w:rsidR="00E7693B" w:rsidRPr="00E7693B">
        <w:rPr>
          <w:rFonts w:ascii="Times New Roman" w:hAnsi="Times New Roman" w:cs="Times New Roman"/>
          <w:i/>
          <w:color w:val="000000"/>
          <w:sz w:val="24"/>
          <w:szCs w:val="24"/>
        </w:rPr>
        <w:t xml:space="preserve"> </w:t>
      </w:r>
      <w:r w:rsidR="00E7693B" w:rsidRPr="00E7693B">
        <w:rPr>
          <w:rFonts w:ascii="Times New Roman" w:hAnsi="Times New Roman" w:cs="Times New Roman"/>
          <w:color w:val="000000"/>
          <w:sz w:val="24"/>
          <w:szCs w:val="24"/>
        </w:rPr>
        <w:t xml:space="preserve">proteins, </w:t>
      </w:r>
      <w:r w:rsidR="00E7693B" w:rsidRPr="00E7693B">
        <w:rPr>
          <w:rFonts w:ascii="Times New Roman" w:hAnsi="Times New Roman" w:cs="Times New Roman"/>
          <w:i/>
          <w:color w:val="000000"/>
          <w:sz w:val="24"/>
          <w:szCs w:val="24"/>
        </w:rPr>
        <w:t>e.g.</w:t>
      </w:r>
      <w:r w:rsidR="00E7693B" w:rsidRPr="00E7693B">
        <w:rPr>
          <w:rFonts w:ascii="Times New Roman" w:hAnsi="Times New Roman" w:cs="Times New Roman"/>
          <w:color w:val="000000"/>
          <w:sz w:val="24"/>
          <w:szCs w:val="24"/>
        </w:rPr>
        <w:t xml:space="preserve"> nucleotide-binding leucine-rich repeat (NB-LRR) proteins </w:t>
      </w:r>
      <w:r w:rsidR="0014730A">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{"citationID":"ZLtL541Y","properties":{"formattedCitation":"(Tsuda et al., 2013)","plainCitation":"(Tsuda et al., 2013)","noteIndex":0},"citationItems":[{"id":280,"uris":["http://zotero.org/users/10895598/items/5HD29A97"],"itemData":{"id":280,"type":"article-journal","container-title":"PLoS Genetics","DOI":"10.1371/journal.pgen.1004015","ISSN":"1553-7404","issue":"12","journalAbbreviation":"PLoS Genet","language":"en","page":"e1004015","source":"DOI.org (Crossref)","title":"Dual regulation of gene expression mediated by extended MAPK activation and salicylic acid contributes to robust innate immunity in &lt;i&gt;Arabidopsis thaliana&lt;/i&gt;","volume":"9","author":[{"family":"Tsuda","given":"Kenichi"},{"family":"Mine","given":"Akira"},{"family":"Bethke","given":"Gerit"},{"family":"Igarashi","given":"Daisuke"},{"family":"Botanga","given":"Christopher J."},{"family":"Tsuda","given":"Yayoi"},{"family":"Glazebrook","given":"Jane"},{"family":"Sato","given":"Masanao"},{"family":"Katagiri","given":"Fumiaki"}],"editor":[{"family":"Hirt","given":"Heribert"}],"issued":{"date-parts":[["2013",12,12]]}}}],"schema":"https://github.com/citation-style-language/schema/raw/master/csl-citation.json"} </w:instrText>
      </w:r>
      <w:r w:rsidR="0014730A">
        <w:rPr>
          <w:rFonts w:ascii="Times New Roman" w:hAnsi="Times New Roman" w:cs="Times New Roman"/>
          <w:color w:val="000000"/>
          <w:sz w:val="24"/>
          <w:szCs w:val="24"/>
        </w:rPr>
        <w:fldChar w:fldCharType="separate"/>
      </w:r>
      <w:r w:rsidR="0014730A" w:rsidRPr="0014730A">
        <w:rPr>
          <w:rFonts w:ascii="Times New Roman" w:hAnsi="Times New Roman" w:cs="Times New Roman"/>
          <w:sz w:val="24"/>
        </w:rPr>
        <w:t>(Tsuda et al., 2013)</w:t>
      </w:r>
      <w:r w:rsidR="0014730A">
        <w:rPr>
          <w:rFonts w:ascii="Times New Roman" w:hAnsi="Times New Roman" w:cs="Times New Roman"/>
          <w:color w:val="000000"/>
          <w:sz w:val="24"/>
          <w:szCs w:val="24"/>
        </w:rPr>
        <w:fldChar w:fldCharType="end"/>
      </w:r>
      <w:r w:rsidR="00E7693B" w:rsidRPr="00E7693B">
        <w:rPr>
          <w:rFonts w:ascii="Times New Roman" w:hAnsi="Times New Roman" w:cs="Times New Roman"/>
          <w:color w:val="000000"/>
          <w:sz w:val="24"/>
          <w:szCs w:val="24"/>
        </w:rPr>
        <w:t>, that are able to detect effectors and therefore activate effector-triggered immunity (ETI). Depending on the type of the attacker (</w:t>
      </w:r>
      <w:r w:rsidR="00E7693B" w:rsidRPr="00E7693B">
        <w:rPr>
          <w:rFonts w:ascii="Times New Roman" w:hAnsi="Times New Roman" w:cs="Times New Roman"/>
          <w:i/>
          <w:color w:val="000000"/>
          <w:sz w:val="24"/>
          <w:szCs w:val="24"/>
        </w:rPr>
        <w:t xml:space="preserve">e.g. </w:t>
      </w:r>
      <w:r w:rsidR="00E7693B" w:rsidRPr="00E7693B">
        <w:rPr>
          <w:rFonts w:ascii="Times New Roman" w:hAnsi="Times New Roman" w:cs="Times New Roman"/>
          <w:color w:val="000000"/>
          <w:sz w:val="24"/>
          <w:szCs w:val="24"/>
        </w:rPr>
        <w:t xml:space="preserve">pathogen, insect herbivore, beneficial microbe), as well as the lifestyle of the pathogen or the feeding guild of an insect, distinct elicitors and effectors are secreted and therefore different plant immunity responses are </w:t>
      </w:r>
      <w:r w:rsidR="009F6107">
        <w:rPr>
          <w:rFonts w:ascii="Times New Roman" w:hAnsi="Times New Roman" w:cs="Times New Roman"/>
          <w:color w:val="000000"/>
          <w:sz w:val="24"/>
          <w:szCs w:val="24"/>
        </w:rPr>
        <w:t>induced, such as cell wall and cuticle enhancement</w:t>
      </w:r>
      <w:r w:rsidR="00B8347C">
        <w:rPr>
          <w:rFonts w:ascii="Times New Roman" w:hAnsi="Times New Roman" w:cs="Times New Roman"/>
          <w:color w:val="000000"/>
          <w:sz w:val="24"/>
          <w:szCs w:val="24"/>
        </w:rPr>
        <w:t>, and</w:t>
      </w:r>
      <w:r w:rsidR="009F6107">
        <w:rPr>
          <w:rFonts w:ascii="Times New Roman" w:hAnsi="Times New Roman" w:cs="Times New Roman"/>
          <w:color w:val="000000"/>
          <w:sz w:val="24"/>
          <w:szCs w:val="24"/>
        </w:rPr>
        <w:t xml:space="preserve"> the activation of defence pathways</w:t>
      </w:r>
      <w:r w:rsidR="00E7693B" w:rsidRPr="00E7693B">
        <w:rPr>
          <w:rFonts w:ascii="Times New Roman" w:hAnsi="Times New Roman" w:cs="Times New Roman"/>
          <w:color w:val="000000"/>
          <w:sz w:val="24"/>
          <w:szCs w:val="24"/>
        </w:rPr>
        <w:t>.</w:t>
      </w:r>
    </w:p>
    <w:p w14:paraId="21509832" w14:textId="5A889011" w:rsidR="00E7693B" w:rsidRPr="00E7693B" w:rsidRDefault="002B6780" w:rsidP="002B6780">
      <w:pPr>
        <w:pBdr>
          <w:top w:val="nil"/>
          <w:left w:val="nil"/>
          <w:bottom w:val="nil"/>
          <w:right w:val="nil"/>
          <w:between w:val="nil"/>
        </w:pBdr>
        <w:spacing w:line="360" w:lineRule="auto"/>
        <w:ind w:firstLine="576"/>
        <w:jc w:val="center"/>
        <w:rPr>
          <w:rFonts w:ascii="Times New Roman" w:hAnsi="Times New Roman" w:cs="Times New Roman"/>
          <w:color w:val="000000"/>
        </w:rPr>
      </w:pPr>
      <w:r>
        <w:rPr>
          <w:rFonts w:ascii="Times New Roman" w:hAnsi="Times New Roman" w:cs="Times New Roman"/>
          <w:noProof/>
          <w:color w:val="000000"/>
          <w:lang w:val="en-US"/>
        </w:rPr>
        <w:drawing>
          <wp:inline distT="0" distB="0" distL="0" distR="0" wp14:anchorId="3E981A6C" wp14:editId="6F3BA83F">
            <wp:extent cx="3495555" cy="2772242"/>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66520" cy="2828522"/>
                    </a:xfrm>
                    <a:prstGeom prst="rect">
                      <a:avLst/>
                    </a:prstGeom>
                  </pic:spPr>
                </pic:pic>
              </a:graphicData>
            </a:graphic>
          </wp:inline>
        </w:drawing>
      </w:r>
    </w:p>
    <w:p w14:paraId="21509833" w14:textId="77777777" w:rsidR="00E7693B" w:rsidRPr="00E7693B" w:rsidRDefault="00E7693B" w:rsidP="00632B4B">
      <w:pPr>
        <w:spacing w:before="240" w:after="0" w:line="360" w:lineRule="auto"/>
        <w:jc w:val="both"/>
        <w:rPr>
          <w:rFonts w:ascii="Times New Roman" w:hAnsi="Times New Roman" w:cs="Times New Roman"/>
          <w:color w:val="000000"/>
        </w:rPr>
      </w:pPr>
      <w:r w:rsidRPr="00E7693B">
        <w:rPr>
          <w:rFonts w:ascii="Times New Roman" w:hAnsi="Times New Roman" w:cs="Times New Roman"/>
          <w:b/>
        </w:rPr>
        <w:t xml:space="preserve">Figure 1. </w:t>
      </w:r>
      <w:r w:rsidRPr="00E7693B">
        <w:rPr>
          <w:rFonts w:ascii="Times New Roman" w:hAnsi="Times New Roman" w:cs="Times New Roman"/>
        </w:rPr>
        <w:t>Activation of plant defence mechanisms after exposure to various biotic stresses. Plant perceives attacker-emitted molecules (MAMPs, HAMPs, DAMPs) by multiple receptors, such as PRR proteins and activates a cascade of responses in cytosol (rise of Ca</w:t>
      </w:r>
      <w:r w:rsidRPr="00E7693B">
        <w:rPr>
          <w:rFonts w:ascii="Times New Roman" w:hAnsi="Times New Roman" w:cs="Times New Roman"/>
          <w:vertAlign w:val="superscript"/>
        </w:rPr>
        <w:t>2+</w:t>
      </w:r>
      <w:r w:rsidRPr="00E7693B">
        <w:rPr>
          <w:rFonts w:ascii="Times New Roman" w:hAnsi="Times New Roman" w:cs="Times New Roman"/>
        </w:rPr>
        <w:t xml:space="preserve">, ROS outburst, MAPK synthesis). That further triggers the phytohormonal biosynthesis, which leads to activation of downstream stress-responsive genes. Abbreviations: MAMPs = microbe-associated molecular patterns; OS = oral secretions; HAMPs = herbivore-associated molecular patterns; DAMPs = damage-associated molecular patterns; PRRs = pattern recognition receptors; ROS = reactive oxygen species; MAPKs = mitogen-activated protein kinases; BR = </w:t>
      </w:r>
      <w:proofErr w:type="spellStart"/>
      <w:r w:rsidRPr="00E7693B">
        <w:rPr>
          <w:rFonts w:ascii="Times New Roman" w:hAnsi="Times New Roman" w:cs="Times New Roman"/>
        </w:rPr>
        <w:t>brassinosteroid</w:t>
      </w:r>
      <w:proofErr w:type="spellEnd"/>
      <w:r w:rsidRPr="00E7693B">
        <w:rPr>
          <w:rFonts w:ascii="Times New Roman" w:hAnsi="Times New Roman" w:cs="Times New Roman"/>
        </w:rPr>
        <w:t xml:space="preserve">; SA = salicylic acid; JA = </w:t>
      </w:r>
      <w:proofErr w:type="spellStart"/>
      <w:r w:rsidRPr="00E7693B">
        <w:rPr>
          <w:rFonts w:ascii="Times New Roman" w:hAnsi="Times New Roman" w:cs="Times New Roman"/>
        </w:rPr>
        <w:t>jasmonic</w:t>
      </w:r>
      <w:proofErr w:type="spellEnd"/>
      <w:r w:rsidRPr="00E7693B">
        <w:rPr>
          <w:rFonts w:ascii="Times New Roman" w:hAnsi="Times New Roman" w:cs="Times New Roman"/>
        </w:rPr>
        <w:t xml:space="preserve"> acid; ET = ethylene; GA = gibberellin; CK = cytokinin; ABA = abscisic acid.</w:t>
      </w:r>
    </w:p>
    <w:p w14:paraId="21509834" w14:textId="77777777" w:rsidR="00E7693B" w:rsidRPr="00E7693B" w:rsidRDefault="00E7693B" w:rsidP="00632B4B">
      <w:pPr>
        <w:spacing w:after="0" w:line="360" w:lineRule="auto"/>
        <w:jc w:val="both"/>
        <w:rPr>
          <w:rFonts w:ascii="Times New Roman" w:hAnsi="Times New Roman" w:cs="Times New Roman"/>
        </w:rPr>
      </w:pPr>
    </w:p>
    <w:p w14:paraId="21509835" w14:textId="77777777" w:rsidR="00E7693B" w:rsidRPr="00E7693B" w:rsidRDefault="00E7693B" w:rsidP="006B61C5">
      <w:pPr>
        <w:pStyle w:val="Heading3"/>
      </w:pPr>
      <w:bookmarkStart w:id="4" w:name="_Toc167977578"/>
      <w:r w:rsidRPr="00E7693B">
        <w:lastRenderedPageBreak/>
        <w:t>PAMP-/MAMP-triggered immunity (PTI/MTI) and effector-triggered immunity (ETI)</w:t>
      </w:r>
      <w:bookmarkEnd w:id="4"/>
    </w:p>
    <w:p w14:paraId="21509836" w14:textId="77777777" w:rsidR="00E7693B" w:rsidRPr="00E7693B" w:rsidRDefault="00E7693B">
      <w:pPr>
        <w:spacing w:line="360" w:lineRule="auto"/>
        <w:rPr>
          <w:rFonts w:ascii="Times New Roman" w:hAnsi="Times New Roman" w:cs="Times New Roman"/>
        </w:rPr>
      </w:pPr>
    </w:p>
    <w:p w14:paraId="21509837" w14:textId="7007C21D" w:rsidR="00E7693B" w:rsidRPr="00E7693B" w:rsidRDefault="00E7693B" w:rsidP="0014730A">
      <w:pPr>
        <w:pBdr>
          <w:top w:val="nil"/>
          <w:left w:val="nil"/>
          <w:bottom w:val="nil"/>
          <w:right w:val="nil"/>
          <w:between w:val="nil"/>
        </w:pBdr>
        <w:spacing w:after="0" w:line="360" w:lineRule="auto"/>
        <w:ind w:firstLine="720"/>
        <w:jc w:val="both"/>
        <w:rPr>
          <w:rFonts w:ascii="Times New Roman" w:hAnsi="Times New Roman" w:cs="Times New Roman"/>
          <w:color w:val="000000"/>
          <w:sz w:val="24"/>
          <w:szCs w:val="24"/>
        </w:rPr>
      </w:pPr>
      <w:r w:rsidRPr="00E7693B">
        <w:rPr>
          <w:rFonts w:ascii="Times New Roman" w:hAnsi="Times New Roman" w:cs="Times New Roman"/>
          <w:color w:val="000000"/>
          <w:sz w:val="24"/>
          <w:szCs w:val="24"/>
        </w:rPr>
        <w:t>When plant</w:t>
      </w:r>
      <w:r w:rsidRPr="00E7693B">
        <w:rPr>
          <w:rFonts w:ascii="Times New Roman" w:hAnsi="Times New Roman" w:cs="Times New Roman"/>
          <w:sz w:val="24"/>
          <w:szCs w:val="24"/>
        </w:rPr>
        <w:t xml:space="preserve">s are attacked by </w:t>
      </w:r>
      <w:r w:rsidRPr="00E7693B">
        <w:rPr>
          <w:rFonts w:ascii="Times New Roman" w:hAnsi="Times New Roman" w:cs="Times New Roman"/>
          <w:color w:val="000000"/>
          <w:sz w:val="24"/>
          <w:szCs w:val="24"/>
        </w:rPr>
        <w:t xml:space="preserve">pathogens or microbes, they </w:t>
      </w:r>
      <w:r w:rsidRPr="00E7693B">
        <w:rPr>
          <w:rFonts w:ascii="Times New Roman" w:hAnsi="Times New Roman" w:cs="Times New Roman"/>
          <w:sz w:val="24"/>
          <w:szCs w:val="24"/>
        </w:rPr>
        <w:t xml:space="preserve">get in contact with PAMPs or </w:t>
      </w:r>
      <w:r w:rsidRPr="00E7693B">
        <w:rPr>
          <w:rFonts w:ascii="Times New Roman" w:hAnsi="Times New Roman" w:cs="Times New Roman"/>
          <w:color w:val="000000"/>
          <w:sz w:val="24"/>
          <w:szCs w:val="24"/>
        </w:rPr>
        <w:t xml:space="preserve">MAMPs, conserved microbial elicitors such as flagellin from bacterial flagella, or chitin present in fungal cell walls. Many PAMPs and MAMPs have already been described, and they generally belong to a group of proteins, carbohydrates or lipids </w:t>
      </w:r>
      <w:r w:rsidR="0014730A">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{"citationID":"VhHssjWD","properties":{"formattedCitation":"(Newman et al., 2013)","plainCitation":"(Newman et al., 2013)","noteIndex":0},"citationItems":[{"id":298,"uris":["http://zotero.org/users/10895598/items/HPDGHU74"],"itemData":{"id":298,"type":"article-journal","container-title":"Frontiers in Plant Science","DOI":"10.3389/fpls.2013.00139","ISSN":"1664-462X","journalAbbreviation":"Front. Plant Sci.","source":"DOI.org (Crossref)","title":"MAMP (microbe-associated molecular pattern) triggered immunity in plants","URL":"http://journal.frontiersin.org/article/10.3389/fpls.2013.00139/abstract","volume":"4","author":[{"family":"Newman","given":"Mari-Anne"},{"family":"Sundelin","given":"Thomas"},{"family":"Nielsen","given":"Jon T."},{"family":"Erbs","given":"Gitte"}],"accessed":{"date-parts":[["2022",5,29]]},"issued":{"date-parts":[["2013"]]}}}],"schema":"https://github.com/citation-style-language/schema/raw/master/csl-citation.json"} </w:instrText>
      </w:r>
      <w:r w:rsidR="0014730A">
        <w:rPr>
          <w:rFonts w:ascii="Times New Roman" w:hAnsi="Times New Roman" w:cs="Times New Roman"/>
          <w:sz w:val="24"/>
          <w:szCs w:val="24"/>
        </w:rPr>
        <w:fldChar w:fldCharType="separate"/>
      </w:r>
      <w:r w:rsidR="0014730A" w:rsidRPr="0014730A">
        <w:rPr>
          <w:rFonts w:ascii="Times New Roman" w:hAnsi="Times New Roman" w:cs="Times New Roman"/>
          <w:sz w:val="24"/>
        </w:rPr>
        <w:t>(Newman et al., 2013)</w:t>
      </w:r>
      <w:r w:rsidR="0014730A">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Moreover,</w:t>
      </w:r>
      <w:r w:rsidRPr="00E7693B">
        <w:rPr>
          <w:rFonts w:ascii="Times New Roman" w:hAnsi="Times New Roman" w:cs="Times New Roman"/>
          <w:sz w:val="24"/>
          <w:szCs w:val="24"/>
        </w:rPr>
        <w:t xml:space="preserve"> </w:t>
      </w:r>
      <w:r w:rsidRPr="00E7693B">
        <w:rPr>
          <w:rFonts w:ascii="Times New Roman" w:hAnsi="Times New Roman" w:cs="Times New Roman"/>
          <w:color w:val="000000"/>
          <w:sz w:val="24"/>
          <w:szCs w:val="24"/>
        </w:rPr>
        <w:t>as a response to tissue injury</w:t>
      </w:r>
      <w:r w:rsidRPr="00E7693B">
        <w:rPr>
          <w:rFonts w:ascii="Times New Roman" w:hAnsi="Times New Roman" w:cs="Times New Roman"/>
          <w:sz w:val="24"/>
          <w:szCs w:val="24"/>
        </w:rPr>
        <w:t>, plants are alarmed by so-called “danger” signals or DAMPs</w:t>
      </w:r>
      <w:r w:rsidRPr="00E7693B">
        <w:rPr>
          <w:rFonts w:ascii="Times New Roman" w:hAnsi="Times New Roman" w:cs="Times New Roman"/>
          <w:color w:val="000000"/>
          <w:sz w:val="24"/>
          <w:szCs w:val="24"/>
        </w:rPr>
        <w:t xml:space="preserve">. </w:t>
      </w:r>
      <w:r w:rsidRPr="00E7693B">
        <w:rPr>
          <w:rFonts w:ascii="Times New Roman" w:hAnsi="Times New Roman" w:cs="Times New Roman"/>
          <w:sz w:val="24"/>
          <w:szCs w:val="24"/>
        </w:rPr>
        <w:t>The c</w:t>
      </w:r>
      <w:r w:rsidRPr="00E7693B">
        <w:rPr>
          <w:rFonts w:ascii="Times New Roman" w:hAnsi="Times New Roman" w:cs="Times New Roman"/>
          <w:color w:val="000000"/>
          <w:sz w:val="24"/>
          <w:szCs w:val="24"/>
        </w:rPr>
        <w:t>omponents o</w:t>
      </w:r>
      <w:r w:rsidRPr="00E7693B">
        <w:rPr>
          <w:rFonts w:ascii="Times New Roman" w:hAnsi="Times New Roman" w:cs="Times New Roman"/>
          <w:sz w:val="24"/>
          <w:szCs w:val="24"/>
        </w:rPr>
        <w:t>f the plant cell wall, such as o</w:t>
      </w:r>
      <w:r w:rsidRPr="00E7693B">
        <w:rPr>
          <w:rFonts w:ascii="Times New Roman" w:hAnsi="Times New Roman" w:cs="Times New Roman"/>
          <w:color w:val="000000"/>
          <w:sz w:val="24"/>
          <w:szCs w:val="24"/>
        </w:rPr>
        <w:t xml:space="preserve">ligogalacturonides and </w:t>
      </w:r>
      <w:proofErr w:type="spellStart"/>
      <w:r w:rsidRPr="00E7693B">
        <w:rPr>
          <w:rFonts w:ascii="Times New Roman" w:hAnsi="Times New Roman" w:cs="Times New Roman"/>
          <w:color w:val="000000"/>
          <w:sz w:val="24"/>
          <w:szCs w:val="24"/>
        </w:rPr>
        <w:t>cutin</w:t>
      </w:r>
      <w:proofErr w:type="spellEnd"/>
      <w:r w:rsidRPr="00E7693B">
        <w:rPr>
          <w:rFonts w:ascii="Times New Roman" w:hAnsi="Times New Roman" w:cs="Times New Roman"/>
          <w:color w:val="000000"/>
          <w:sz w:val="24"/>
          <w:szCs w:val="24"/>
        </w:rPr>
        <w:t xml:space="preserve">, or peptides </w:t>
      </w:r>
      <w:r w:rsidRPr="00E7693B">
        <w:rPr>
          <w:rFonts w:ascii="Times New Roman" w:hAnsi="Times New Roman" w:cs="Times New Roman"/>
          <w:sz w:val="24"/>
          <w:szCs w:val="24"/>
        </w:rPr>
        <w:t xml:space="preserve">present </w:t>
      </w:r>
      <w:r w:rsidRPr="00E7693B">
        <w:rPr>
          <w:rFonts w:ascii="Times New Roman" w:hAnsi="Times New Roman" w:cs="Times New Roman"/>
          <w:color w:val="000000"/>
          <w:sz w:val="24"/>
          <w:szCs w:val="24"/>
        </w:rPr>
        <w:t xml:space="preserve">in the cytoplasm may act as such endogenous elicitors of plant defence </w:t>
      </w:r>
      <w:r w:rsidR="0014730A">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{"citationID":"XvxgoMah","properties":{"formattedCitation":"(Lotze et al., 2007)","plainCitation":"(Lotze et al., 2007)","noteIndex":0},"citationItems":[{"id":359,"uris":["http://zotero.org/users/10895598/items/HC7MG5ZR"],"itemData":{"id":359,"type":"article-journal","container-title":"Immunological Reviews","DOI":"10.1111/j.1600-065X.2007.00579.x","ISSN":"0105-2896, 1600-065X","issue":"1","journalAbbreviation":"Immunol Rev","language":"en","page":"60-81","source":"DOI.org (Crossref)","title":"The grateful dead: damage-associated molecular pattern molecules and reduction/oxidation regulate immunity","title-short":"The grateful dead","volume":"220","author":[{"family":"Lotze","given":"Michael T."},{"family":"Zeh","given":"Herbert J."},{"family":"Rubartelli","given":"Anna"},{"family":"Sparvero","given":"Louis J."},{"family":"Amoscato","given":"Andrew A."},{"family":"Washburn","given":"Newell R."},{"family":"DeVera","given":"Michael E."},{"family":"Liang","given":"Xiaoyan"},{"family":"Tör","given":"Mahmut"},{"family":"Billiar","given":"Timothy"}],"issued":{"date-parts":[["2007",12]]}}}],"schema":"https://github.com/citation-style-language/schema/raw/master/csl-citation.json"} </w:instrText>
      </w:r>
      <w:r w:rsidR="0014730A">
        <w:rPr>
          <w:rFonts w:ascii="Times New Roman" w:hAnsi="Times New Roman" w:cs="Times New Roman"/>
          <w:sz w:val="24"/>
          <w:szCs w:val="24"/>
        </w:rPr>
        <w:fldChar w:fldCharType="separate"/>
      </w:r>
      <w:r w:rsidR="0014730A" w:rsidRPr="0014730A">
        <w:rPr>
          <w:rFonts w:ascii="Times New Roman" w:hAnsi="Times New Roman" w:cs="Times New Roman"/>
          <w:sz w:val="24"/>
        </w:rPr>
        <w:t>(Lotze et al., 2007)</w:t>
      </w:r>
      <w:r w:rsidR="0014730A">
        <w:rPr>
          <w:rFonts w:ascii="Times New Roman" w:hAnsi="Times New Roman" w:cs="Times New Roman"/>
          <w:sz w:val="24"/>
          <w:szCs w:val="24"/>
        </w:rPr>
        <w:fldChar w:fldCharType="end"/>
      </w:r>
      <w:r w:rsidRPr="00E7693B">
        <w:rPr>
          <w:rFonts w:ascii="Times New Roman" w:hAnsi="Times New Roman" w:cs="Times New Roman"/>
          <w:color w:val="000000"/>
          <w:sz w:val="24"/>
          <w:szCs w:val="24"/>
        </w:rPr>
        <w:t>.</w:t>
      </w:r>
      <w:r w:rsidRPr="00E7693B">
        <w:rPr>
          <w:rFonts w:ascii="Times New Roman" w:hAnsi="Times New Roman" w:cs="Times New Roman"/>
          <w:sz w:val="24"/>
          <w:szCs w:val="24"/>
        </w:rPr>
        <w:t xml:space="preserve"> </w:t>
      </w:r>
      <w:r w:rsidR="0059599C">
        <w:rPr>
          <w:rFonts w:ascii="Times New Roman" w:hAnsi="Times New Roman" w:cs="Times New Roman"/>
          <w:sz w:val="24"/>
          <w:szCs w:val="24"/>
        </w:rPr>
        <w:t>The p</w:t>
      </w:r>
      <w:r w:rsidRPr="00E7693B">
        <w:rPr>
          <w:rFonts w:ascii="Times New Roman" w:hAnsi="Times New Roman" w:cs="Times New Roman"/>
          <w:color w:val="000000"/>
          <w:sz w:val="24"/>
          <w:szCs w:val="24"/>
        </w:rPr>
        <w:t xml:space="preserve">lant </w:t>
      </w:r>
      <w:r w:rsidRPr="00E7693B">
        <w:rPr>
          <w:rFonts w:ascii="Times New Roman" w:hAnsi="Times New Roman" w:cs="Times New Roman"/>
          <w:sz w:val="24"/>
          <w:szCs w:val="24"/>
        </w:rPr>
        <w:t xml:space="preserve">perceives </w:t>
      </w:r>
      <w:r w:rsidRPr="00E7693B">
        <w:rPr>
          <w:rFonts w:ascii="Times New Roman" w:hAnsi="Times New Roman" w:cs="Times New Roman"/>
          <w:color w:val="000000"/>
          <w:sz w:val="24"/>
          <w:szCs w:val="24"/>
        </w:rPr>
        <w:t xml:space="preserve">MAMPs and DAMPs by PRRs: </w:t>
      </w:r>
      <w:r w:rsidRPr="00E7693B">
        <w:rPr>
          <w:rFonts w:ascii="Times New Roman" w:hAnsi="Times New Roman" w:cs="Times New Roman"/>
          <w:i/>
          <w:color w:val="000000"/>
          <w:sz w:val="24"/>
          <w:szCs w:val="24"/>
        </w:rPr>
        <w:t xml:space="preserve">e.g. </w:t>
      </w:r>
      <w:r w:rsidRPr="00E7693B">
        <w:rPr>
          <w:rFonts w:ascii="Times New Roman" w:hAnsi="Times New Roman" w:cs="Times New Roman"/>
          <w:color w:val="000000"/>
          <w:sz w:val="24"/>
          <w:szCs w:val="24"/>
        </w:rPr>
        <w:t xml:space="preserve">chitin elicitor receptor kinase 1 (CERK1) </w:t>
      </w:r>
      <w:r w:rsidRPr="00E7693B">
        <w:rPr>
          <w:rFonts w:ascii="Times New Roman" w:hAnsi="Times New Roman" w:cs="Times New Roman"/>
          <w:sz w:val="24"/>
          <w:szCs w:val="24"/>
        </w:rPr>
        <w:t>recognizes</w:t>
      </w:r>
      <w:r w:rsidRPr="00E7693B">
        <w:rPr>
          <w:rFonts w:ascii="Times New Roman" w:hAnsi="Times New Roman" w:cs="Times New Roman"/>
          <w:color w:val="000000"/>
          <w:sz w:val="24"/>
          <w:szCs w:val="24"/>
        </w:rPr>
        <w:t xml:space="preserve"> fungal chitin and bacterial </w:t>
      </w:r>
      <w:r w:rsidRPr="00E7693B">
        <w:rPr>
          <w:rFonts w:ascii="Times New Roman" w:hAnsi="Times New Roman" w:cs="Times New Roman"/>
          <w:sz w:val="24"/>
          <w:szCs w:val="24"/>
        </w:rPr>
        <w:t>peptidoglycan</w:t>
      </w:r>
      <w:r w:rsidRPr="00E7693B">
        <w:rPr>
          <w:rFonts w:ascii="Times New Roman" w:hAnsi="Times New Roman" w:cs="Times New Roman"/>
          <w:color w:val="000000"/>
          <w:sz w:val="24"/>
          <w:szCs w:val="24"/>
        </w:rPr>
        <w:t xml:space="preserve"> </w:t>
      </w:r>
      <w:r w:rsidR="0014730A">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{"citationID":"wvbiRWqu","properties":{"formattedCitation":"(Miya et al., 2007; Willmann et al., 2011)","plainCitation":"(Miya et al., 2007; Willmann et al., 2011)","noteIndex":0},"citationItems":[{"id":349,"uris":["http://zotero.org/users/10895598/items/KJAZRCC6"],"itemData":{"id":349,"type":"article-journal","abstract":"Chitin is a major component of fungal cell walls and serves as a microbe-associated molecular pattern (MAMP) for the detection of various potential pathogens in innate immune systems of both plants and animals. We recently showed that chitin elicitor-binding protein (CEBiP), plasma membrane glycoprotein with LysM motifs, functions as a cell surface receptor for chitin elicitor in rice. The predicted structure of CEBiP does not contain any intracellular domains, suggesting that an additional component(s) is required for signaling through the plasma membrane into the cytoplasm. Here, we identified a receptor-like kinase, designated CERK1, which is essential for chitin elicitor signaling in\n              Arabidopsis\n              . The KO mutants for\n              CERK1\n              completely lost the ability to respond to the chitin elicitor, including MAPK activation, reactive oxygen species generation, and gene expression. Disease resistance of the KO mutant against an incompatible fungus,\n              Alternaria brassicicola\n              , was partly impaired. Complementation with the WT\n              CERK1\n              gene showed\n              cerk1\n              mutations were responsible for the mutant phenotypes. CERK1 is a plasma membrane protein containing three LysM motifs in the extracellular domain and an intracellular Ser/Thr kinase domain with autophosphorylation/myelin basic protein kinase activity, suggesting that CERK1 plays a critical role in fungal MAMP perception in plants.","container-title":"Proceedings of the National Academy of Sciences","DOI":"10.1073/pnas.0705147104","ISSN":"0027-8424, 1091-6490","issue":"49","journalAbbreviation":"Proc. Natl. Acad. Sci. U.S.A.","language":"en","page":"19613-19618","source":"DOI.org (Crossref)","title":"CERK1, a LysM receptor kinase, is essential for chitin elicitor signaling in &lt;i&gt;Arabidopsis&lt;/i&gt;","volume":"104","author":[{"family":"Miya","given":"Ayako"},{"family":"Albert","given":"Premkumar"},{"family":"Shinya","given":"Tomonori"},{"family":"Desaki","given":"Yoshitake"},{"family":"Ichimura","given":"Kazuya"},{"family":"Shirasu","given":"Ken"},{"family":"Narusaka","given":"Yoshihiro"},{"family":"Kawakami","given":"Naoto"},{"family":"Kaku","given":"Hanae"},{"family":"Shibuya","given":"Naoto"}],"issued":{"date-parts":[["2007",12,4]]}}},{"id":347,"uris":["http://zotero.org/users/10895598/items/RAV8DXKB"],"itemData":{"id":347,"type":"article-journal","abstract":"Recognition of microbial patterns by host pattern recognition receptors is a key step in immune activation in multicellular eukaryotes. Peptidoglycans (PGNs) are major components of bacterial cell walls that possess immunity-stimulating activities in metazoans and plants. Here we show that PGN sensing and immunity to bacterial infection in\n              Arabidopsis thaliana\n              requires three lysin-motif (LysM) domain proteins. LYM1 and LYM3 are plasma membrane proteins that physically interact with PGNs and mediate\n              Arabidopsis\n              sensitivity to structurally different PGNs from Gram-negative and Gram-positive bacteria.\n              lym1\n              and\n              lym3\n              mutants lack PGN-induced changes in transcriptome activity patterns, but respond to fungus-derived chitin, a pattern structurally related to PGNs, in a wild-type manner. Notably,\n              lym1\n              ,\n              lym3\n              , and\n              lym3 lym1\n              mutant genotypes exhibit supersusceptibility to infection with virulent\n              Pseudomonas syringae\n              pathovar\n              tomato\n              DC3000. Defects in basal immunity in\n              lym3 lym1\n              double mutants resemble those observed in\n              lym1\n              and\n              lym3\n              single mutants, suggesting that both proteins are part of the same recognition system. We further show that deletion of CERK1, a LysM receptor kinase that had previously been implicated in chitin perception and immunity to fungal infection in\n              Arabidopsis\n              , phenocopies defects observed in\n              lym1\n              and\n              lym3\n              mutants, such as peptidoglycan insensitivity and enhanced susceptibility to bacterial infection. Altogether, our findings suggest that plants share with metazoans the ability to recognize bacterial PGNs. However, as\n              Arabidopsis\n              LysM domain proteins LYM1, LYM3, and CERK1 form a PGN recognition system that is unrelated to metazoan PGN receptors, we propose that lineage-specific PGN perception systems have arisen through convergent evolution.","container-title":"Proceedings of the National Academy of Sciences","DOI":"10.1073/pnas.1112862108","ISSN":"0027-8424, 1091-6490","issue":"49","journalAbbreviation":"Proc. Natl. Acad. Sci. U.S.A.","language":"en","page":"19824-19829","source":"DOI.org (Crossref)","title":"&lt;i&gt;Arabidopsis&lt;/i&gt; lysin-motif proteins LYM1 LYM3 CERK1 mediate bacterial peptidoglycan sensing and immunity to bacterial infection","volume":"108","author":[{"family":"Willmann","given":"Roland"},{"family":"Lajunen","given":"Heini M."},{"family":"Erbs","given":"Gitte"},{"family":"Newman","given":"Mari-Anne"},{"family":"Kolb","given":"Dagmar"},{"family":"Tsuda","given":"Kenichi"},{"family":"Katagiri","given":"Fumiaki"},{"family":"Fliegmann","given":"Judith"},{"family":"Bono","given":"Jean-Jacques"},{"family":"Cullimore","given":"Julie V."},{"family":"Jehle","given":"Anna K."},{"family":"Götz","given":"Friedrich"},{"family":"Kulik","given":"Andreas"},{"family":"Molinaro","given":"Antonio"},{"family":"Lipka","given":"Volker"},{"family":"Gust","given":"Andrea A."},{"family":"Nürnberger","given":"Thorsten"}],"issued":{"date-parts":[["2011",12,6]]}}}],"schema":"https://github.com/citation-style-language/schema/raw/master/csl-citation.json"} </w:instrText>
      </w:r>
      <w:r w:rsidR="0014730A">
        <w:rPr>
          <w:rFonts w:ascii="Times New Roman" w:hAnsi="Times New Roman" w:cs="Times New Roman"/>
          <w:sz w:val="24"/>
          <w:szCs w:val="24"/>
        </w:rPr>
        <w:fldChar w:fldCharType="separate"/>
      </w:r>
      <w:r w:rsidR="0014730A" w:rsidRPr="0014730A">
        <w:rPr>
          <w:rFonts w:ascii="Times New Roman" w:hAnsi="Times New Roman" w:cs="Times New Roman"/>
          <w:sz w:val="24"/>
        </w:rPr>
        <w:t>(Miya et al., 2007; Willmann et al., 2011)</w:t>
      </w:r>
      <w:r w:rsidR="0014730A">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xml:space="preserve">, and initiates early plant defence </w:t>
      </w:r>
      <w:proofErr w:type="spellStart"/>
      <w:r w:rsidRPr="00E7693B">
        <w:rPr>
          <w:rFonts w:ascii="Times New Roman" w:hAnsi="Times New Roman" w:cs="Times New Roman"/>
          <w:color w:val="000000"/>
          <w:sz w:val="24"/>
          <w:szCs w:val="24"/>
        </w:rPr>
        <w:t>signaling</w:t>
      </w:r>
      <w:proofErr w:type="spellEnd"/>
      <w:r w:rsidRPr="00E7693B">
        <w:rPr>
          <w:rFonts w:ascii="Times New Roman" w:hAnsi="Times New Roman" w:cs="Times New Roman"/>
          <w:color w:val="000000"/>
          <w:sz w:val="24"/>
          <w:szCs w:val="24"/>
        </w:rPr>
        <w:t xml:space="preserve"> events. Firstly, outflow of plasma membrane K</w:t>
      </w:r>
      <w:r w:rsidRPr="00E7693B">
        <w:rPr>
          <w:rFonts w:ascii="Times New Roman" w:hAnsi="Times New Roman" w:cs="Times New Roman"/>
          <w:color w:val="000000"/>
          <w:sz w:val="24"/>
          <w:szCs w:val="24"/>
          <w:vertAlign w:val="superscript"/>
        </w:rPr>
        <w:t xml:space="preserve">+ </w:t>
      </w:r>
      <w:r w:rsidRPr="00E7693B">
        <w:rPr>
          <w:rFonts w:ascii="Times New Roman" w:hAnsi="Times New Roman" w:cs="Times New Roman"/>
          <w:color w:val="000000"/>
          <w:sz w:val="24"/>
          <w:szCs w:val="24"/>
        </w:rPr>
        <w:t>and rise in cytosolic Ca</w:t>
      </w:r>
      <w:r w:rsidRPr="00E7693B">
        <w:rPr>
          <w:rFonts w:ascii="Times New Roman" w:hAnsi="Times New Roman" w:cs="Times New Roman"/>
          <w:color w:val="000000"/>
          <w:sz w:val="24"/>
          <w:szCs w:val="24"/>
          <w:vertAlign w:val="superscript"/>
        </w:rPr>
        <w:t>2+</w:t>
      </w:r>
      <w:r w:rsidRPr="00E7693B">
        <w:rPr>
          <w:rFonts w:ascii="Times New Roman" w:hAnsi="Times New Roman" w:cs="Times New Roman"/>
          <w:color w:val="000000"/>
          <w:sz w:val="24"/>
          <w:szCs w:val="24"/>
        </w:rPr>
        <w:t xml:space="preserve"> occurs, followed by reactive oxygen species (ROS) production, </w:t>
      </w:r>
      <w:r w:rsidRPr="00E7693B">
        <w:rPr>
          <w:rFonts w:ascii="Times New Roman" w:hAnsi="Times New Roman" w:cs="Times New Roman"/>
          <w:i/>
          <w:color w:val="000000"/>
          <w:sz w:val="24"/>
          <w:szCs w:val="24"/>
        </w:rPr>
        <w:t>i.e.</w:t>
      </w:r>
      <w:r w:rsidRPr="00E7693B">
        <w:rPr>
          <w:rFonts w:ascii="Times New Roman" w:hAnsi="Times New Roman" w:cs="Times New Roman"/>
          <w:color w:val="000000"/>
          <w:sz w:val="24"/>
          <w:szCs w:val="24"/>
        </w:rPr>
        <w:t xml:space="preserve"> “the oxidative burst” that involves production of hydrogen peroxide (H</w:t>
      </w:r>
      <w:r w:rsidRPr="00E7693B">
        <w:rPr>
          <w:rFonts w:ascii="Times New Roman" w:hAnsi="Times New Roman" w:cs="Times New Roman"/>
          <w:color w:val="000000"/>
          <w:sz w:val="24"/>
          <w:szCs w:val="24"/>
          <w:vertAlign w:val="subscript"/>
        </w:rPr>
        <w:t>2</w:t>
      </w:r>
      <w:r w:rsidRPr="00E7693B">
        <w:rPr>
          <w:rFonts w:ascii="Times New Roman" w:hAnsi="Times New Roman" w:cs="Times New Roman"/>
          <w:color w:val="000000"/>
          <w:sz w:val="24"/>
          <w:szCs w:val="24"/>
        </w:rPr>
        <w:t>O</w:t>
      </w:r>
      <w:r w:rsidRPr="00E7693B">
        <w:rPr>
          <w:rFonts w:ascii="Times New Roman" w:hAnsi="Times New Roman" w:cs="Times New Roman"/>
          <w:color w:val="000000"/>
          <w:sz w:val="24"/>
          <w:szCs w:val="24"/>
          <w:vertAlign w:val="subscript"/>
        </w:rPr>
        <w:t>2</w:t>
      </w:r>
      <w:r w:rsidRPr="00E7693B">
        <w:rPr>
          <w:rFonts w:ascii="Times New Roman" w:hAnsi="Times New Roman" w:cs="Times New Roman"/>
          <w:color w:val="000000"/>
          <w:sz w:val="24"/>
          <w:szCs w:val="24"/>
        </w:rPr>
        <w:t>), singlet oxygen (</w:t>
      </w:r>
      <w:r w:rsidRPr="00E7693B">
        <w:rPr>
          <w:rFonts w:ascii="Times New Roman" w:hAnsi="Times New Roman" w:cs="Times New Roman"/>
          <w:color w:val="000000"/>
          <w:sz w:val="24"/>
          <w:szCs w:val="24"/>
          <w:vertAlign w:val="superscript"/>
        </w:rPr>
        <w:t>1</w:t>
      </w:r>
      <w:r w:rsidRPr="00E7693B">
        <w:rPr>
          <w:rFonts w:ascii="Times New Roman" w:hAnsi="Times New Roman" w:cs="Times New Roman"/>
          <w:color w:val="000000"/>
          <w:sz w:val="24"/>
          <w:szCs w:val="24"/>
        </w:rPr>
        <w:t>O</w:t>
      </w:r>
      <w:r w:rsidRPr="00E7693B">
        <w:rPr>
          <w:rFonts w:ascii="Times New Roman" w:hAnsi="Times New Roman" w:cs="Times New Roman"/>
          <w:color w:val="000000"/>
          <w:sz w:val="24"/>
          <w:szCs w:val="24"/>
          <w:vertAlign w:val="subscript"/>
        </w:rPr>
        <w:t>2</w:t>
      </w:r>
      <w:r w:rsidRPr="00E7693B">
        <w:rPr>
          <w:rFonts w:ascii="Times New Roman" w:hAnsi="Times New Roman" w:cs="Times New Roman"/>
          <w:color w:val="000000"/>
          <w:sz w:val="24"/>
          <w:szCs w:val="24"/>
        </w:rPr>
        <w:t>), hydroxyl radical (OH</w:t>
      </w:r>
      <w:r w:rsidRPr="00E7693B">
        <w:rPr>
          <w:rFonts w:ascii="Times New Roman" w:hAnsi="Times New Roman" w:cs="Times New Roman"/>
          <w:color w:val="000000"/>
          <w:sz w:val="24"/>
          <w:szCs w:val="24"/>
          <w:vertAlign w:val="superscript"/>
        </w:rPr>
        <w:t>.</w:t>
      </w:r>
      <w:r w:rsidRPr="00E7693B">
        <w:rPr>
          <w:rFonts w:ascii="Times New Roman" w:hAnsi="Times New Roman" w:cs="Times New Roman"/>
          <w:color w:val="000000"/>
          <w:sz w:val="24"/>
          <w:szCs w:val="24"/>
        </w:rPr>
        <w:t>) and superoxide anion radical (O</w:t>
      </w:r>
      <w:r w:rsidRPr="00E7693B">
        <w:rPr>
          <w:rFonts w:ascii="Times New Roman" w:hAnsi="Times New Roman" w:cs="Times New Roman"/>
          <w:color w:val="000000"/>
          <w:sz w:val="24"/>
          <w:szCs w:val="24"/>
          <w:vertAlign w:val="subscript"/>
        </w:rPr>
        <w:t>2</w:t>
      </w:r>
      <w:r w:rsidRPr="00E7693B">
        <w:rPr>
          <w:rFonts w:ascii="Times New Roman" w:hAnsi="Times New Roman" w:cs="Times New Roman"/>
          <w:color w:val="000000"/>
          <w:sz w:val="24"/>
          <w:szCs w:val="24"/>
          <w:vertAlign w:val="superscript"/>
        </w:rPr>
        <w:t>.</w:t>
      </w:r>
      <w:r w:rsidRPr="00E7693B">
        <w:rPr>
          <w:rFonts w:ascii="Times New Roman" w:hAnsi="Times New Roman" w:cs="Times New Roman"/>
          <w:color w:val="000000"/>
          <w:sz w:val="24"/>
          <w:szCs w:val="24"/>
        </w:rPr>
        <w:t xml:space="preserve">) </w:t>
      </w:r>
      <w:r w:rsidR="0014730A">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{"citationID":"PiLtw47I","properties":{"formattedCitation":"(Gadjev et al., 2006; Verma et al., 2016)","plainCitation":"(Gadjev et al., 2006; Verma et al., 2016)","noteIndex":0},"citationItems":[{"id":221,"uris":["http://zotero.org/users/10895598/items/EGLABWDR"],"itemData":{"id":221,"type":"article-journal","abstract":"Abstract\n            Reactive oxygen species (ROS) are key players in the regulation of plant development, stress responses, and programmed cell death. Previous studies indicated that depending on the type of ROS (hydrogen peroxide, superoxide, or singlet oxygen) or its subcellular production site (plastidic, cytosolic, peroxisomal, or apoplastic), a different physiological, biochemical, and molecular response is provoked. We used transcriptome data generated from ROS-related microarray experiments to assess the specificity of ROS-driven transcript expression. Data sets obtained by exogenous application of oxidative stress-causing agents (methyl viologen, Alternaria alternata toxin, 3-aminotriazole, and ozone) and from a mutant (fluorescent) and transgenic plants, in which the activity of an individual antioxidant enzyme was perturbed (catalase, cytosolic ascorbate peroxidase, and copper/zinc superoxide dismutase), were compared. In total, the abundance of nearly 26,000 transcripts of Arabidopsis (Arabidopsis thaliana) was monitored in response to different ROS. Overall, 8,056, 5,312, and 3,925 transcripts showed at least a 3-, 4-, or 5-fold change in expression, respectively. In addition to marker transcripts that were specifically regulated by hydrogen peroxide, superoxide, or singlet oxygen, several transcripts were identified as general oxidative stress response markers because their steady-state levels were at least 5-fold elevated in most experiments. We also assessed the expression characteristics of all annotated transcription factors and inferred new candidate regulatory transcripts that could be responsible for orchestrating the specific transcriptomic signatures triggered by different ROS. Our analysis provides a framework that will assist future efforts to address the impact of ROS signals within environmental stress conditions and elucidate the molecular mechanisms of the oxidative stress response in plants.","container-title":"Plant Physiology","DOI":"10.1104/pp.106.078717","ISSN":"1532-2548, 0032-0889","issue":"2","language":"en","page":"436-445","source":"DOI.org (Crossref)","title":"Transcriptomic footprints disclose specificity of reactive oxygen species signaling in &lt;i&gt;Arabidopsis&lt;/i&gt;","volume":"141","author":[{"family":"Gadjev","given":"Ilya"},{"family":"Vanderauwera","given":"Sandy"},{"family":"Gechev","given":"Tsanko S."},{"family":"Laloi","given":"Christophe"},{"family":"Minkov","given":"Ivan N."},{"family":"Shulaev","given":"Vladimir"},{"family":"Apel","given":"Klaus"},{"family":"Inzé","given":"Dirk"},{"family":"Mittler","given":"Ron"},{"family":"Van Breusegem","given":"Frank"}],"issued":{"date-parts":[["2006",6,1]]}}},{"id":223,"uris":["http://zotero.org/users/10895598/items/RAC7RLJB"],"itemData":{"id":223,"type":"article-journal","container-title":"BMC Plant Biology","DOI":"10.1186/s12870-016-0771-y","ISSN":"1471-2229","issue":"1","journalAbbreviation":"BMC Plant Biol","language":"en","page":"86","source":"DOI.org (Crossref)","title":"Plant hormone-mediated regulation of stress responses","volume":"16","author":[{"family":"Verma","given":"Vivek"},{"family":"Ravindran","given":"Pratibha"},{"family":"Kumar","given":"Prakash P."}],"issued":{"date-parts":[["2016",12]]}}}],"schema":"https://github.com/citation-style-language/schema/raw/master/csl-citation.json"} </w:instrText>
      </w:r>
      <w:r w:rsidR="0014730A">
        <w:rPr>
          <w:rFonts w:ascii="Times New Roman" w:hAnsi="Times New Roman" w:cs="Times New Roman"/>
          <w:sz w:val="24"/>
          <w:szCs w:val="24"/>
        </w:rPr>
        <w:fldChar w:fldCharType="separate"/>
      </w:r>
      <w:r w:rsidR="0014730A" w:rsidRPr="0014730A">
        <w:rPr>
          <w:rFonts w:ascii="Times New Roman" w:hAnsi="Times New Roman" w:cs="Times New Roman"/>
          <w:sz w:val="24"/>
        </w:rPr>
        <w:t>(Gadjev et al., 2006; Verma et al., 2016)</w:t>
      </w:r>
      <w:r w:rsidR="0014730A">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Moreover, Ca</w:t>
      </w:r>
      <w:r w:rsidRPr="00E7693B">
        <w:rPr>
          <w:rFonts w:ascii="Times New Roman" w:hAnsi="Times New Roman" w:cs="Times New Roman"/>
          <w:color w:val="000000"/>
          <w:sz w:val="24"/>
          <w:szCs w:val="24"/>
          <w:vertAlign w:val="superscript"/>
        </w:rPr>
        <w:t>2+</w:t>
      </w:r>
      <w:r w:rsidRPr="00E7693B">
        <w:rPr>
          <w:rFonts w:ascii="Times New Roman" w:hAnsi="Times New Roman" w:cs="Times New Roman"/>
          <w:color w:val="000000"/>
          <w:sz w:val="24"/>
          <w:szCs w:val="24"/>
        </w:rPr>
        <w:t>-dependent protein kinases (CDPKs) and mitogen-activated protein kinases (MAPKs) are being accumulated. These events trigger a major transcriptional reprogramming leading to defence gene activation and accumulation of different proteins, such as pathogenesis-related (PR) proteins. Some of them have enzym</w:t>
      </w:r>
      <w:r w:rsidRPr="00E7693B">
        <w:rPr>
          <w:rFonts w:ascii="Times New Roman" w:hAnsi="Times New Roman" w:cs="Times New Roman"/>
          <w:sz w:val="24"/>
          <w:szCs w:val="24"/>
        </w:rPr>
        <w:t xml:space="preserve">e </w:t>
      </w:r>
      <w:r w:rsidRPr="00E7693B">
        <w:rPr>
          <w:rFonts w:ascii="Times New Roman" w:hAnsi="Times New Roman" w:cs="Times New Roman"/>
          <w:color w:val="000000"/>
          <w:sz w:val="24"/>
          <w:szCs w:val="24"/>
        </w:rPr>
        <w:t>activities</w:t>
      </w:r>
      <w:r w:rsidRPr="00E7693B">
        <w:rPr>
          <w:rFonts w:ascii="Times New Roman" w:hAnsi="Times New Roman" w:cs="Times New Roman"/>
          <w:sz w:val="24"/>
          <w:szCs w:val="24"/>
        </w:rPr>
        <w:t xml:space="preserve">, </w:t>
      </w:r>
      <w:r w:rsidRPr="00E7693B">
        <w:rPr>
          <w:rFonts w:ascii="Times New Roman" w:hAnsi="Times New Roman" w:cs="Times New Roman"/>
          <w:i/>
          <w:sz w:val="24"/>
          <w:szCs w:val="24"/>
        </w:rPr>
        <w:t xml:space="preserve">e.g. </w:t>
      </w:r>
      <w:r w:rsidRPr="00E7693B">
        <w:rPr>
          <w:rFonts w:ascii="Times New Roman" w:hAnsi="Times New Roman" w:cs="Times New Roman"/>
          <w:color w:val="000000"/>
          <w:sz w:val="24"/>
          <w:szCs w:val="24"/>
        </w:rPr>
        <w:t xml:space="preserve">chitinases which degrade microbial cell walls. Further, protein construction of physical barriers in the form of cell wall polymers is triggered, such as β-glucan callose, at the site of pathogen penetration into the plant tissue </w:t>
      </w:r>
      <w:r w:rsidR="0014730A">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{"citationID":"fum5sJgY","properties":{"formattedCitation":"(Delaunois et al., 2014; Ferreira et al., 2007)","plainCitation":"(Delaunois et al., 2014; Ferreira et al., 2007)","noteIndex":0},"citationItems":[{"id":228,"uris":["http://zotero.org/users/10895598/items/83N755CZ"],"itemData":{"id":228,"type":"article-journal","container-title":"Frontiers in Plant Science","DOI":"10.3389/fpls.2014.00249","ISSN":"1664-462X","journalAbbreviation":"Front. Plant Sci.","source":"DOI.org (Crossref)","title":"Uncovering plant-pathogen crosstalk through apoplastic proteomic studies","URL":"http://journal.frontiersin.org/article/10.3389/fpls.2014.00249/abstract","volume":"5","author":[{"family":"Delaunois","given":"Bertrand"},{"family":"Jeandet","given":"Philippe"},{"family":"Clément","given":"Christophe"},{"family":"Baillieul","given":"Fabienne"},{"family":"Dorey","given":"Stephan"},{"family":"Cordelier","given":"Sylvain"}],"accessed":{"date-parts":[["2022",1,10]]},"issued":{"date-parts":[["2014",6,3]]}}},{"id":225,"uris":["http://zotero.org/users/10895598/items/QKQCXWN7"],"itemData":{"id":225,"type":"article-journal","container-title":"Molecular Plant Pathology","DOI":"10.1111/j.1364-3703.2007.00419.x","ISSN":"1464-6722, 1364-3703","issue":"5","journalAbbreviation":"Mol Plant Pathol","language":"en","page":"677-700","source":"DOI.org (Crossref)","title":"The role of plant defence proteins in fungal pathogenesis","volume":"8","author":[{"family":"Ferreira","given":"Ricardo B."},{"family":"Monteiro","given":"Sara"},{"family":"Freitas","given":"Regina"},{"family":"Santos","given":"Cláudia N."},{"family":"Chen","given":"Zhenjia"},{"family":"Batista","given":"Luís M."},{"family":"Duarte","given":"João"},{"family":"Borges","given":"Alexandre"},{"family":"Teixeira","given":"Artur R."}],"issued":{"date-parts":[["2007",9]]}}}],"schema":"https://github.com/citation-style-language/schema/raw/master/csl-citation.json"} </w:instrText>
      </w:r>
      <w:r w:rsidR="0014730A">
        <w:rPr>
          <w:rFonts w:ascii="Times New Roman" w:hAnsi="Times New Roman" w:cs="Times New Roman"/>
          <w:sz w:val="24"/>
          <w:szCs w:val="24"/>
        </w:rPr>
        <w:fldChar w:fldCharType="separate"/>
      </w:r>
      <w:r w:rsidR="0014730A" w:rsidRPr="0014730A">
        <w:rPr>
          <w:rFonts w:ascii="Times New Roman" w:hAnsi="Times New Roman" w:cs="Times New Roman"/>
          <w:sz w:val="24"/>
        </w:rPr>
        <w:t>(Delaunois et al., 2014; Ferreira et al., 2007)</w:t>
      </w:r>
      <w:r w:rsidR="0014730A">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xml:space="preserve">. This defence machinery is orchestrated by specific </w:t>
      </w:r>
      <w:proofErr w:type="spellStart"/>
      <w:r w:rsidRPr="00E7693B">
        <w:rPr>
          <w:rFonts w:ascii="Times New Roman" w:hAnsi="Times New Roman" w:cs="Times New Roman"/>
          <w:color w:val="000000"/>
          <w:sz w:val="24"/>
          <w:szCs w:val="24"/>
        </w:rPr>
        <w:t>signaling</w:t>
      </w:r>
      <w:proofErr w:type="spellEnd"/>
      <w:r w:rsidRPr="00E7693B">
        <w:rPr>
          <w:rFonts w:ascii="Times New Roman" w:hAnsi="Times New Roman" w:cs="Times New Roman"/>
          <w:color w:val="000000"/>
          <w:sz w:val="24"/>
          <w:szCs w:val="24"/>
        </w:rPr>
        <w:t xml:space="preserve"> pathways in which phytohormone</w:t>
      </w:r>
      <w:r w:rsidR="0014730A">
        <w:rPr>
          <w:rFonts w:ascii="Times New Roman" w:hAnsi="Times New Roman" w:cs="Times New Roman"/>
          <w:color w:val="000000"/>
          <w:sz w:val="24"/>
          <w:szCs w:val="24"/>
        </w:rPr>
        <w:t>s play a central role (Fig. 1).</w:t>
      </w:r>
    </w:p>
    <w:p w14:paraId="21509838" w14:textId="05679911" w:rsidR="00E7693B" w:rsidRPr="00E7693B" w:rsidRDefault="00E7693B" w:rsidP="00632B4B">
      <w:pPr>
        <w:pBdr>
          <w:top w:val="nil"/>
          <w:left w:val="nil"/>
          <w:bottom w:val="nil"/>
          <w:right w:val="nil"/>
          <w:between w:val="nil"/>
        </w:pBdr>
        <w:spacing w:after="0" w:line="360" w:lineRule="auto"/>
        <w:ind w:firstLine="720"/>
        <w:jc w:val="both"/>
        <w:rPr>
          <w:rFonts w:ascii="Times New Roman" w:hAnsi="Times New Roman" w:cs="Times New Roman"/>
          <w:color w:val="000000"/>
          <w:sz w:val="24"/>
          <w:szCs w:val="24"/>
        </w:rPr>
      </w:pPr>
      <w:r w:rsidRPr="00E7693B">
        <w:rPr>
          <w:rFonts w:ascii="Times New Roman" w:hAnsi="Times New Roman" w:cs="Times New Roman"/>
          <w:color w:val="000000"/>
          <w:sz w:val="24"/>
          <w:szCs w:val="24"/>
        </w:rPr>
        <w:t xml:space="preserve">To suppress plant immune responses, or PTI/MTI, and promote their virulence, pathogens </w:t>
      </w:r>
      <w:r w:rsidRPr="00E7693B">
        <w:rPr>
          <w:rFonts w:ascii="Times New Roman" w:hAnsi="Times New Roman" w:cs="Times New Roman"/>
          <w:sz w:val="24"/>
          <w:szCs w:val="24"/>
        </w:rPr>
        <w:t xml:space="preserve">deliver </w:t>
      </w:r>
      <w:r w:rsidRPr="00E7693B">
        <w:rPr>
          <w:rFonts w:ascii="Times New Roman" w:hAnsi="Times New Roman" w:cs="Times New Roman"/>
          <w:color w:val="000000"/>
          <w:sz w:val="24"/>
          <w:szCs w:val="24"/>
        </w:rPr>
        <w:t>an arsenal of effector proteins into plant cells. This ability to conquer plant resistance distinguishes harmful from non-harmful microbes. However, plants recognize delivered effectors by intracellular immune receptors encoded by many resistance</w:t>
      </w:r>
      <w:r w:rsidRPr="00E7693B">
        <w:rPr>
          <w:rFonts w:ascii="Times New Roman" w:hAnsi="Times New Roman" w:cs="Times New Roman"/>
          <w:i/>
          <w:color w:val="000000"/>
          <w:sz w:val="24"/>
          <w:szCs w:val="24"/>
        </w:rPr>
        <w:t xml:space="preserve"> </w:t>
      </w:r>
      <w:r w:rsidRPr="00E7693B">
        <w:rPr>
          <w:rFonts w:ascii="Times New Roman" w:hAnsi="Times New Roman" w:cs="Times New Roman"/>
          <w:color w:val="000000"/>
          <w:sz w:val="24"/>
          <w:szCs w:val="24"/>
        </w:rPr>
        <w:t>(</w:t>
      </w:r>
      <w:r w:rsidRPr="00E7693B">
        <w:rPr>
          <w:rFonts w:ascii="Times New Roman" w:hAnsi="Times New Roman" w:cs="Times New Roman"/>
          <w:i/>
          <w:color w:val="000000"/>
          <w:sz w:val="24"/>
          <w:szCs w:val="24"/>
        </w:rPr>
        <w:t>R</w:t>
      </w:r>
      <w:r w:rsidRPr="00E7693B">
        <w:rPr>
          <w:rFonts w:ascii="Times New Roman" w:hAnsi="Times New Roman" w:cs="Times New Roman"/>
          <w:color w:val="000000"/>
          <w:sz w:val="24"/>
          <w:szCs w:val="24"/>
        </w:rPr>
        <w:t>)</w:t>
      </w:r>
      <w:r w:rsidRPr="00E7693B">
        <w:rPr>
          <w:rFonts w:ascii="Times New Roman" w:hAnsi="Times New Roman" w:cs="Times New Roman"/>
          <w:i/>
          <w:color w:val="000000"/>
          <w:sz w:val="24"/>
          <w:szCs w:val="24"/>
        </w:rPr>
        <w:t xml:space="preserve"> </w:t>
      </w:r>
      <w:r w:rsidRPr="00E7693B">
        <w:rPr>
          <w:rFonts w:ascii="Times New Roman" w:hAnsi="Times New Roman" w:cs="Times New Roman"/>
          <w:color w:val="000000"/>
          <w:sz w:val="24"/>
          <w:szCs w:val="24"/>
        </w:rPr>
        <w:t xml:space="preserve">genes. If a plant carries </w:t>
      </w:r>
      <w:r w:rsidRPr="00E7693B">
        <w:rPr>
          <w:rFonts w:ascii="Times New Roman" w:hAnsi="Times New Roman" w:cs="Times New Roman"/>
          <w:i/>
          <w:color w:val="000000"/>
          <w:sz w:val="24"/>
          <w:szCs w:val="24"/>
        </w:rPr>
        <w:t xml:space="preserve">R </w:t>
      </w:r>
      <w:r w:rsidRPr="00E7693B">
        <w:rPr>
          <w:rFonts w:ascii="Times New Roman" w:hAnsi="Times New Roman" w:cs="Times New Roman"/>
          <w:color w:val="000000"/>
          <w:sz w:val="24"/>
          <w:szCs w:val="24"/>
        </w:rPr>
        <w:t xml:space="preserve">gene </w:t>
      </w:r>
      <w:r w:rsidRPr="00E7693B">
        <w:rPr>
          <w:rFonts w:ascii="Times New Roman" w:hAnsi="Times New Roman" w:cs="Times New Roman"/>
          <w:sz w:val="24"/>
          <w:szCs w:val="24"/>
        </w:rPr>
        <w:t xml:space="preserve">encoding a receptor to the </w:t>
      </w:r>
      <w:r w:rsidRPr="00E7693B">
        <w:rPr>
          <w:rFonts w:ascii="Times New Roman" w:hAnsi="Times New Roman" w:cs="Times New Roman"/>
          <w:color w:val="000000"/>
          <w:sz w:val="24"/>
          <w:szCs w:val="24"/>
        </w:rPr>
        <w:t xml:space="preserve">perceived effector, this will result in incompatible </w:t>
      </w:r>
      <w:r w:rsidRPr="00E7693B">
        <w:rPr>
          <w:rFonts w:ascii="Times New Roman" w:hAnsi="Times New Roman" w:cs="Times New Roman"/>
          <w:sz w:val="24"/>
          <w:szCs w:val="24"/>
        </w:rPr>
        <w:t>(</w:t>
      </w:r>
      <w:r w:rsidRPr="00E7693B">
        <w:rPr>
          <w:rFonts w:ascii="Times New Roman" w:hAnsi="Times New Roman" w:cs="Times New Roman"/>
          <w:color w:val="000000"/>
          <w:sz w:val="24"/>
          <w:szCs w:val="24"/>
        </w:rPr>
        <w:t xml:space="preserve">avirulent) interaction and induction of ETI. The perceived effector is then termed as avirulent </w:t>
      </w:r>
      <w:r w:rsidRPr="00E7693B">
        <w:rPr>
          <w:rFonts w:ascii="Times New Roman" w:hAnsi="Times New Roman" w:cs="Times New Roman"/>
          <w:sz w:val="24"/>
          <w:szCs w:val="24"/>
        </w:rPr>
        <w:t>(</w:t>
      </w:r>
      <w:proofErr w:type="spellStart"/>
      <w:r w:rsidRPr="00E7693B">
        <w:rPr>
          <w:rFonts w:ascii="Times New Roman" w:hAnsi="Times New Roman" w:cs="Times New Roman"/>
          <w:i/>
          <w:color w:val="000000"/>
          <w:sz w:val="24"/>
          <w:szCs w:val="24"/>
        </w:rPr>
        <w:t>Avr</w:t>
      </w:r>
      <w:proofErr w:type="spellEnd"/>
      <w:r w:rsidRPr="00E7693B">
        <w:rPr>
          <w:rFonts w:ascii="Times New Roman" w:hAnsi="Times New Roman" w:cs="Times New Roman"/>
          <w:color w:val="000000"/>
          <w:sz w:val="24"/>
          <w:szCs w:val="24"/>
        </w:rPr>
        <w:t>)</w:t>
      </w:r>
      <w:r w:rsidRPr="00E7693B">
        <w:rPr>
          <w:rFonts w:ascii="Times New Roman" w:hAnsi="Times New Roman" w:cs="Times New Roman"/>
          <w:i/>
          <w:color w:val="000000"/>
          <w:sz w:val="24"/>
          <w:szCs w:val="24"/>
        </w:rPr>
        <w:t xml:space="preserve"> </w:t>
      </w:r>
      <w:r w:rsidRPr="00E7693B">
        <w:rPr>
          <w:rFonts w:ascii="Times New Roman" w:hAnsi="Times New Roman" w:cs="Times New Roman"/>
          <w:color w:val="000000"/>
          <w:sz w:val="24"/>
          <w:szCs w:val="24"/>
        </w:rPr>
        <w:t xml:space="preserve">gene, or avirulent </w:t>
      </w:r>
      <w:r w:rsidRPr="00E7693B">
        <w:rPr>
          <w:rFonts w:ascii="Times New Roman" w:hAnsi="Times New Roman" w:cs="Times New Roman"/>
          <w:sz w:val="24"/>
          <w:szCs w:val="24"/>
        </w:rPr>
        <w:t>(</w:t>
      </w:r>
      <w:proofErr w:type="spellStart"/>
      <w:r w:rsidRPr="00E7693B">
        <w:rPr>
          <w:rFonts w:ascii="Times New Roman" w:hAnsi="Times New Roman" w:cs="Times New Roman"/>
          <w:color w:val="000000"/>
          <w:sz w:val="24"/>
          <w:szCs w:val="24"/>
        </w:rPr>
        <w:t>Avr</w:t>
      </w:r>
      <w:proofErr w:type="spellEnd"/>
      <w:r w:rsidRPr="00E7693B">
        <w:rPr>
          <w:rFonts w:ascii="Times New Roman" w:hAnsi="Times New Roman" w:cs="Times New Roman"/>
          <w:sz w:val="24"/>
          <w:szCs w:val="24"/>
        </w:rPr>
        <w:t>)</w:t>
      </w:r>
      <w:r w:rsidRPr="00E7693B">
        <w:rPr>
          <w:rFonts w:ascii="Times New Roman" w:hAnsi="Times New Roman" w:cs="Times New Roman"/>
          <w:i/>
          <w:color w:val="000000"/>
          <w:sz w:val="24"/>
          <w:szCs w:val="24"/>
        </w:rPr>
        <w:t xml:space="preserve"> </w:t>
      </w:r>
      <w:r w:rsidRPr="00E7693B">
        <w:rPr>
          <w:rFonts w:ascii="Times New Roman" w:hAnsi="Times New Roman" w:cs="Times New Roman"/>
          <w:color w:val="000000"/>
          <w:sz w:val="24"/>
          <w:szCs w:val="24"/>
        </w:rPr>
        <w:t xml:space="preserve">protein </w:t>
      </w:r>
      <w:r w:rsidR="0014730A">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{"citationID":"dgIjzS0q","properties":{"formattedCitation":"(Jones and Dangl, 2006)","plainCitation":"(Jones and Dangl, 2006)","noteIndex":0},"citationItems":[{"id":55,"uris":["http://zotero.org/users/10895598/items/VW5F5BNG"],"itemData":{"id":55,"type":"article-journal","container-title":"Nature","DOI":"10.1038/nature05286","ISSN":"0028-0836, 1476-4687","issue":"7117","journalAbbreviation":"Nature","language":"en","page":"323-329","source":"DOI.org (Crossref)","title":"The plant immune system","volume":"444","author":[{"family":"Jones","given":"Jonathan D. G."},{"family":"Dangl","given":"Jeffery L."}],"issued":{"date-parts":[["2006",11]]}}}],"schema":"https://github.com/citation-style-language/schema/raw/master/csl-citation.json"} </w:instrText>
      </w:r>
      <w:r w:rsidR="0014730A">
        <w:rPr>
          <w:rFonts w:ascii="Times New Roman" w:hAnsi="Times New Roman" w:cs="Times New Roman"/>
          <w:sz w:val="24"/>
          <w:szCs w:val="24"/>
        </w:rPr>
        <w:fldChar w:fldCharType="separate"/>
      </w:r>
      <w:r w:rsidR="0014730A" w:rsidRPr="0014730A">
        <w:rPr>
          <w:rFonts w:ascii="Times New Roman" w:hAnsi="Times New Roman" w:cs="Times New Roman"/>
          <w:sz w:val="24"/>
        </w:rPr>
        <w:t>(Jones and Dangl, 2006)</w:t>
      </w:r>
      <w:r w:rsidR="0014730A">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xml:space="preserve">. Further activated </w:t>
      </w:r>
      <w:r w:rsidRPr="00E7693B">
        <w:rPr>
          <w:rFonts w:ascii="Times New Roman" w:hAnsi="Times New Roman" w:cs="Times New Roman"/>
          <w:color w:val="000000"/>
          <w:sz w:val="24"/>
          <w:szCs w:val="24"/>
        </w:rPr>
        <w:lastRenderedPageBreak/>
        <w:t xml:space="preserve">mechanisms are similar to those of </w:t>
      </w:r>
      <w:r w:rsidRPr="00E7693B">
        <w:rPr>
          <w:rFonts w:ascii="Times New Roman" w:hAnsi="Times New Roman" w:cs="Times New Roman"/>
          <w:sz w:val="24"/>
          <w:szCs w:val="24"/>
        </w:rPr>
        <w:t>PTI/</w:t>
      </w:r>
      <w:r w:rsidRPr="00E7693B">
        <w:rPr>
          <w:rFonts w:ascii="Times New Roman" w:hAnsi="Times New Roman" w:cs="Times New Roman"/>
          <w:color w:val="000000"/>
          <w:sz w:val="24"/>
          <w:szCs w:val="24"/>
        </w:rPr>
        <w:t>MTI described above; in addition, to restrict the pathogen growth, ETI is</w:t>
      </w:r>
      <w:r w:rsidRPr="00E7693B">
        <w:rPr>
          <w:rFonts w:ascii="Times New Roman" w:hAnsi="Times New Roman" w:cs="Times New Roman"/>
          <w:sz w:val="24"/>
          <w:szCs w:val="24"/>
        </w:rPr>
        <w:t xml:space="preserve"> </w:t>
      </w:r>
      <w:r w:rsidRPr="00E7693B">
        <w:rPr>
          <w:rFonts w:ascii="Times New Roman" w:hAnsi="Times New Roman" w:cs="Times New Roman"/>
          <w:color w:val="000000"/>
          <w:sz w:val="24"/>
          <w:szCs w:val="24"/>
        </w:rPr>
        <w:t>followed b</w:t>
      </w:r>
      <w:r w:rsidRPr="00E7693B">
        <w:rPr>
          <w:rFonts w:ascii="Times New Roman" w:hAnsi="Times New Roman" w:cs="Times New Roman"/>
          <w:sz w:val="24"/>
          <w:szCs w:val="24"/>
        </w:rPr>
        <w:t xml:space="preserve">y </w:t>
      </w:r>
      <w:r w:rsidRPr="00E7693B">
        <w:rPr>
          <w:rFonts w:ascii="Times New Roman" w:hAnsi="Times New Roman" w:cs="Times New Roman"/>
          <w:color w:val="000000"/>
          <w:sz w:val="24"/>
          <w:szCs w:val="24"/>
        </w:rPr>
        <w:t>a hypersensitive response (HR) leading to a cell death locali</w:t>
      </w:r>
      <w:r w:rsidRPr="00E7693B">
        <w:rPr>
          <w:rFonts w:ascii="Times New Roman" w:hAnsi="Times New Roman" w:cs="Times New Roman"/>
          <w:sz w:val="24"/>
          <w:szCs w:val="24"/>
        </w:rPr>
        <w:t>s</w:t>
      </w:r>
      <w:r w:rsidRPr="00E7693B">
        <w:rPr>
          <w:rFonts w:ascii="Times New Roman" w:hAnsi="Times New Roman" w:cs="Times New Roman"/>
          <w:color w:val="000000"/>
          <w:sz w:val="24"/>
          <w:szCs w:val="24"/>
        </w:rPr>
        <w:t xml:space="preserve">ed at the infection site </w:t>
      </w:r>
      <w:r w:rsidR="0014730A">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{"citationID":"rrH0COvW","properties":{"formattedCitation":"(Dodds and Rathjen, 2010; Jones and Dangl, 2006)","plainCitation":"(Dodds and Rathjen, 2010; Jones and Dangl, 2006)","noteIndex":0},"citationItems":[{"id":300,"uris":["http://zotero.org/users/10895598/items/5YIDUARV"],"itemData":{"id":300,"type":"article-journal","container-title":"Nature Reviews Genetics","DOI":"10.1038/nrg2812","ISSN":"1471-0056, 1471-0064","issue":"8","journalAbbreviation":"Nat Rev Genet","language":"en","page":"539-548","source":"DOI.org (Crossref)","title":"Plant immunity: towards an integrated view of plant–pathogen interactions","title-short":"Plant immunity","volume":"11","author":[{"family":"Dodds","given":"Peter N."},{"family":"Rathjen","given":"John P."}],"issued":{"date-parts":[["2010",8]]}}},{"id":55,"uris":["http://zotero.org/users/10895598/items/VW5F5BNG"],"itemData":{"id":55,"type":"article-journal","container-title":"Nature","DOI":"10.1038/nature05286","ISSN":"0028-0836, 1476-4687","issue":"7117","journalAbbreviation":"Nature","language":"en","page":"323-329","source":"DOI.org (Crossref)","title":"The plant immune system","volume":"444","author":[{"family":"Jones","given":"Jonathan D. G."},{"family":"Dangl","given":"Jeffery L."}],"issued":{"date-parts":[["2006",11]]}}}],"schema":"https://github.com/citation-style-language/schema/raw/master/csl-citation.json"} </w:instrText>
      </w:r>
      <w:r w:rsidR="0014730A">
        <w:rPr>
          <w:rFonts w:ascii="Times New Roman" w:hAnsi="Times New Roman" w:cs="Times New Roman"/>
          <w:sz w:val="24"/>
          <w:szCs w:val="24"/>
        </w:rPr>
        <w:fldChar w:fldCharType="separate"/>
      </w:r>
      <w:r w:rsidR="0014730A" w:rsidRPr="0014730A">
        <w:rPr>
          <w:rFonts w:ascii="Times New Roman" w:hAnsi="Times New Roman" w:cs="Times New Roman"/>
          <w:sz w:val="24"/>
        </w:rPr>
        <w:t>(Dodds and Rathjen, 2010; Jones and Dangl, 2006)</w:t>
      </w:r>
      <w:r w:rsidR="0014730A">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xml:space="preserve">. On the other hand, if a pathogen does not contain the </w:t>
      </w:r>
      <w:proofErr w:type="spellStart"/>
      <w:r w:rsidRPr="00E7693B">
        <w:rPr>
          <w:rFonts w:ascii="Times New Roman" w:hAnsi="Times New Roman" w:cs="Times New Roman"/>
          <w:i/>
          <w:color w:val="000000"/>
          <w:sz w:val="24"/>
          <w:szCs w:val="24"/>
        </w:rPr>
        <w:t>Avr</w:t>
      </w:r>
      <w:proofErr w:type="spellEnd"/>
      <w:r w:rsidRPr="00E7693B">
        <w:rPr>
          <w:rFonts w:ascii="Times New Roman" w:hAnsi="Times New Roman" w:cs="Times New Roman"/>
          <w:i/>
          <w:color w:val="000000"/>
          <w:sz w:val="24"/>
          <w:szCs w:val="24"/>
        </w:rPr>
        <w:t xml:space="preserve"> </w:t>
      </w:r>
      <w:r w:rsidRPr="00E7693B">
        <w:rPr>
          <w:rFonts w:ascii="Times New Roman" w:hAnsi="Times New Roman" w:cs="Times New Roman"/>
          <w:color w:val="000000"/>
          <w:sz w:val="24"/>
          <w:szCs w:val="24"/>
        </w:rPr>
        <w:t>gene, the interaction between the pathogen and the host will then be compatible (</w:t>
      </w:r>
      <w:r w:rsidRPr="00E7693B">
        <w:rPr>
          <w:rFonts w:ascii="Times New Roman" w:hAnsi="Times New Roman" w:cs="Times New Roman"/>
          <w:sz w:val="24"/>
          <w:szCs w:val="24"/>
        </w:rPr>
        <w:t>virulent)</w:t>
      </w:r>
      <w:r w:rsidRPr="00E7693B">
        <w:rPr>
          <w:rFonts w:ascii="Times New Roman" w:hAnsi="Times New Roman" w:cs="Times New Roman"/>
          <w:color w:val="000000"/>
          <w:sz w:val="24"/>
          <w:szCs w:val="24"/>
        </w:rPr>
        <w:t>; therefore, p</w:t>
      </w:r>
      <w:r w:rsidRPr="00E7693B">
        <w:rPr>
          <w:rFonts w:ascii="Times New Roman" w:hAnsi="Times New Roman" w:cs="Times New Roman"/>
          <w:sz w:val="24"/>
          <w:szCs w:val="24"/>
        </w:rPr>
        <w:t xml:space="preserve">athogen virulence is generally controlled by mutations or loss of </w:t>
      </w:r>
      <w:proofErr w:type="spellStart"/>
      <w:r w:rsidRPr="00E7693B">
        <w:rPr>
          <w:rFonts w:ascii="Times New Roman" w:hAnsi="Times New Roman" w:cs="Times New Roman"/>
          <w:i/>
          <w:sz w:val="24"/>
          <w:szCs w:val="24"/>
        </w:rPr>
        <w:t>Avr</w:t>
      </w:r>
      <w:proofErr w:type="spellEnd"/>
      <w:r w:rsidRPr="00E7693B">
        <w:rPr>
          <w:rFonts w:ascii="Times New Roman" w:hAnsi="Times New Roman" w:cs="Times New Roman"/>
          <w:sz w:val="24"/>
          <w:szCs w:val="24"/>
        </w:rPr>
        <w:t xml:space="preserve"> genes, which results in disease development </w:t>
      </w:r>
      <w:r w:rsidR="0014730A">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{"citationID":"bEmo8Jxb","properties":{"formattedCitation":"(Petit\\uc0\\u8208{}Houdenot et al., 2019)","plainCitation":"(Petit‐Houdenot et al., 2019)","noteIndex":0},"citationItems":[{"id":562,"uris":["http://zotero.org/users/10895598/items/VKIC9QRI"],"itemData":{"id":562,"type":"article-journal","container-title":"New Phytologist","DOI":"10.1111/nph.15762","ISSN":"0028-646X, 1469-8137","issue":"1","journalAbbreviation":"New Phytologist","language":"en","page":"397-411","source":"DOI.org (Crossref)","title":"A two genes – for – one gene interaction between &lt;i&gt;Leptosphaeria maculans&lt;/i&gt; and &lt;i&gt;Brassica napus&lt;/i&gt;","volume":"223","author":[{"family":"Petit‐Houdenot","given":"Yohann"},{"family":"Degrave","given":"Alexandre"},{"family":"Meyer","given":"Michel"},{"family":"Blaise","given":"Françoise"},{"family":"Ollivier","given":"Bénédicte"},{"family":"Marais","given":"Claire‐Line"},{"family":"Jauneau","given":"Alain"},{"family":"Audran","given":"Corinne"},{"family":"Rivas","given":"Susana"},{"family":"Veneault‐Fourrey","given":"Claire"},{"family":"Brun","given":"Hortense"},{"family":"Rouxel","given":"Thierry"},{"family":"Fudal","given":"Isabelle"},{"family":"Balesdent","given":"Marie‐Hélène"}],"issued":{"date-parts":[["2019",7]]}}}],"schema":"https://github.com/citation-style-language/schema/raw/master/csl-citation.json"} </w:instrText>
      </w:r>
      <w:r w:rsidR="0014730A">
        <w:rPr>
          <w:rFonts w:ascii="Times New Roman" w:hAnsi="Times New Roman" w:cs="Times New Roman"/>
          <w:sz w:val="24"/>
          <w:szCs w:val="24"/>
        </w:rPr>
        <w:fldChar w:fldCharType="separate"/>
      </w:r>
      <w:r w:rsidR="0014730A" w:rsidRPr="0014730A">
        <w:rPr>
          <w:rFonts w:ascii="Times New Roman" w:hAnsi="Times New Roman" w:cs="Times New Roman"/>
          <w:sz w:val="24"/>
          <w:szCs w:val="24"/>
        </w:rPr>
        <w:t>(Petit‐Houdenot et al., 2019)</w:t>
      </w:r>
      <w:r w:rsidR="0014730A">
        <w:rPr>
          <w:rFonts w:ascii="Times New Roman" w:hAnsi="Times New Roman" w:cs="Times New Roman"/>
          <w:sz w:val="24"/>
          <w:szCs w:val="24"/>
        </w:rPr>
        <w:fldChar w:fldCharType="end"/>
      </w:r>
      <w:r w:rsidRPr="00E7693B">
        <w:rPr>
          <w:rFonts w:ascii="Times New Roman" w:hAnsi="Times New Roman" w:cs="Times New Roman"/>
          <w:sz w:val="24"/>
          <w:szCs w:val="24"/>
        </w:rPr>
        <w:t xml:space="preserve">. </w:t>
      </w:r>
      <w:r w:rsidRPr="00E7693B">
        <w:rPr>
          <w:rFonts w:ascii="Times New Roman" w:hAnsi="Times New Roman" w:cs="Times New Roman"/>
          <w:color w:val="000000"/>
          <w:sz w:val="24"/>
          <w:szCs w:val="24"/>
        </w:rPr>
        <w:t xml:space="preserve">Nonetheless, for the infection to get established, efficient secretion of microbial effectors inside the plant is essential. For instance, pathogenic fungi have developed different lifestyles and therefore formed distinct effector systems. Such lifestyles can be biotrophic, </w:t>
      </w:r>
      <w:r w:rsidRPr="00E7693B">
        <w:rPr>
          <w:rFonts w:ascii="Times New Roman" w:hAnsi="Times New Roman" w:cs="Times New Roman"/>
          <w:i/>
          <w:color w:val="000000"/>
          <w:sz w:val="24"/>
          <w:szCs w:val="24"/>
        </w:rPr>
        <w:t xml:space="preserve">i.e. </w:t>
      </w:r>
      <w:r w:rsidRPr="00E7693B">
        <w:rPr>
          <w:rFonts w:ascii="Times New Roman" w:hAnsi="Times New Roman" w:cs="Times New Roman"/>
          <w:color w:val="000000"/>
          <w:sz w:val="24"/>
          <w:szCs w:val="24"/>
        </w:rPr>
        <w:t xml:space="preserve">pathogens thriving on the living host plant; necrotrophic, </w:t>
      </w:r>
      <w:r w:rsidRPr="00E7693B">
        <w:rPr>
          <w:rFonts w:ascii="Times New Roman" w:hAnsi="Times New Roman" w:cs="Times New Roman"/>
          <w:i/>
          <w:color w:val="000000"/>
          <w:sz w:val="24"/>
          <w:szCs w:val="24"/>
        </w:rPr>
        <w:t xml:space="preserve">i.e. </w:t>
      </w:r>
      <w:r w:rsidRPr="00E7693B">
        <w:rPr>
          <w:rFonts w:ascii="Times New Roman" w:hAnsi="Times New Roman" w:cs="Times New Roman"/>
          <w:color w:val="000000"/>
          <w:sz w:val="24"/>
          <w:szCs w:val="24"/>
        </w:rPr>
        <w:t xml:space="preserve">pathogens killing the host and obtaining nutrients from dead cells; and </w:t>
      </w:r>
      <w:proofErr w:type="spellStart"/>
      <w:r w:rsidRPr="00E7693B">
        <w:rPr>
          <w:rFonts w:ascii="Times New Roman" w:hAnsi="Times New Roman" w:cs="Times New Roman"/>
          <w:color w:val="000000"/>
          <w:sz w:val="24"/>
          <w:szCs w:val="24"/>
        </w:rPr>
        <w:t>hemibiotrophic</w:t>
      </w:r>
      <w:proofErr w:type="spellEnd"/>
      <w:r w:rsidRPr="00E7693B">
        <w:rPr>
          <w:rFonts w:ascii="Times New Roman" w:hAnsi="Times New Roman" w:cs="Times New Roman"/>
          <w:color w:val="000000"/>
          <w:sz w:val="24"/>
          <w:szCs w:val="24"/>
        </w:rPr>
        <w:t xml:space="preserve">, </w:t>
      </w:r>
      <w:r w:rsidRPr="00E7693B">
        <w:rPr>
          <w:rFonts w:ascii="Times New Roman" w:hAnsi="Times New Roman" w:cs="Times New Roman"/>
          <w:i/>
          <w:color w:val="000000"/>
          <w:sz w:val="24"/>
          <w:szCs w:val="24"/>
        </w:rPr>
        <w:t xml:space="preserve">i.e. </w:t>
      </w:r>
      <w:r w:rsidRPr="00E7693B">
        <w:rPr>
          <w:rFonts w:ascii="Times New Roman" w:hAnsi="Times New Roman" w:cs="Times New Roman"/>
          <w:color w:val="000000"/>
          <w:sz w:val="24"/>
          <w:szCs w:val="24"/>
        </w:rPr>
        <w:t xml:space="preserve">pathogens infecting living plant cells during the initial part of their lifecycle </w:t>
      </w:r>
      <w:r w:rsidRPr="00E7693B">
        <w:rPr>
          <w:rFonts w:ascii="Times New Roman" w:hAnsi="Times New Roman" w:cs="Times New Roman"/>
          <w:sz w:val="24"/>
          <w:szCs w:val="24"/>
        </w:rPr>
        <w:t>and later switching to the necrotrophic stage.</w:t>
      </w:r>
      <w:r w:rsidRPr="00E7693B">
        <w:rPr>
          <w:rFonts w:ascii="Times New Roman" w:hAnsi="Times New Roman" w:cs="Times New Roman"/>
          <w:color w:val="000000"/>
          <w:sz w:val="24"/>
          <w:szCs w:val="24"/>
        </w:rPr>
        <w:t xml:space="preserve"> Biotrophs and </w:t>
      </w:r>
      <w:proofErr w:type="spellStart"/>
      <w:r w:rsidRPr="00E7693B">
        <w:rPr>
          <w:rFonts w:ascii="Times New Roman" w:hAnsi="Times New Roman" w:cs="Times New Roman"/>
          <w:color w:val="000000"/>
          <w:sz w:val="24"/>
          <w:szCs w:val="24"/>
        </w:rPr>
        <w:t>hemibiotrophs</w:t>
      </w:r>
      <w:proofErr w:type="spellEnd"/>
      <w:r w:rsidRPr="00E7693B">
        <w:rPr>
          <w:rFonts w:ascii="Times New Roman" w:hAnsi="Times New Roman" w:cs="Times New Roman"/>
          <w:color w:val="000000"/>
          <w:sz w:val="24"/>
          <w:szCs w:val="24"/>
        </w:rPr>
        <w:t xml:space="preserve"> evolved to penetrate cytoplasm and deliver effectors via infection structures, such as haustoria </w:t>
      </w:r>
      <w:r w:rsidR="0014730A">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{"citationID":"S8OiDS5X","properties":{"formattedCitation":"(Selin et al., 2016)","plainCitation":"(Selin et al., 2016)","noteIndex":0},"citationItems":[{"id":302,"uris":["http://zotero.org/users/10895598/items/7JZU7DS4"],"itemData":{"id":302,"type":"article-journal","container-title":"Frontiers in Microbiology","DOI":"10.3389/fmicb.2016.00600","ISSN":"1664-302X","journalAbbreviation":"Front. Microbiol.","source":"DOI.org (Crossref)","title":"Elucidating the role of effectors in plant-fungal interactions: progress and challenges","title-short":"Elucidating the Role of Effectors in Plant-Fungal Interactions","URL":"http://journal.frontiersin.org/Article/10.3389/fmicb.2016.00600/abstract","volume":"7","author":[{"family":"Selin","given":"Carrie"},{"family":"Kievit","given":"Teresa R.","non-dropping-particle":"de"},{"family":"Belmonte","given":"Mark F."},{"family":"Fernando","given":"W. G. Dilantha"}],"accessed":{"date-parts":[["2022",5,29]]},"issued":{"date-parts":[["2016",4,27]]}}}],"schema":"https://github.com/citation-style-language/schema/raw/master/csl-citation.json"} </w:instrText>
      </w:r>
      <w:r w:rsidR="0014730A">
        <w:rPr>
          <w:rFonts w:ascii="Times New Roman" w:hAnsi="Times New Roman" w:cs="Times New Roman"/>
          <w:sz w:val="24"/>
          <w:szCs w:val="24"/>
        </w:rPr>
        <w:fldChar w:fldCharType="separate"/>
      </w:r>
      <w:r w:rsidR="0014730A" w:rsidRPr="0014730A">
        <w:rPr>
          <w:rFonts w:ascii="Times New Roman" w:hAnsi="Times New Roman" w:cs="Times New Roman"/>
          <w:sz w:val="24"/>
        </w:rPr>
        <w:t>(Selin et al., 2016)</w:t>
      </w:r>
      <w:r w:rsidR="0014730A">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Less is known about effectors secreted by</w:t>
      </w:r>
      <w:r w:rsidRPr="00E7693B">
        <w:rPr>
          <w:rFonts w:ascii="Times New Roman" w:hAnsi="Times New Roman" w:cs="Times New Roman"/>
          <w:i/>
          <w:color w:val="000000"/>
          <w:sz w:val="24"/>
          <w:szCs w:val="24"/>
        </w:rPr>
        <w:t xml:space="preserve"> </w:t>
      </w:r>
      <w:proofErr w:type="spellStart"/>
      <w:r w:rsidRPr="00E7693B">
        <w:rPr>
          <w:rFonts w:ascii="Times New Roman" w:hAnsi="Times New Roman" w:cs="Times New Roman"/>
          <w:color w:val="000000"/>
          <w:sz w:val="24"/>
          <w:szCs w:val="24"/>
        </w:rPr>
        <w:t>necrotrophs</w:t>
      </w:r>
      <w:proofErr w:type="spellEnd"/>
      <w:r w:rsidRPr="00E7693B">
        <w:rPr>
          <w:rFonts w:ascii="Times New Roman" w:hAnsi="Times New Roman" w:cs="Times New Roman"/>
          <w:color w:val="000000"/>
          <w:sz w:val="24"/>
          <w:szCs w:val="24"/>
        </w:rPr>
        <w:t xml:space="preserve"> and </w:t>
      </w:r>
      <w:proofErr w:type="spellStart"/>
      <w:r w:rsidRPr="00E7693B">
        <w:rPr>
          <w:rFonts w:ascii="Times New Roman" w:hAnsi="Times New Roman" w:cs="Times New Roman"/>
          <w:color w:val="000000"/>
          <w:sz w:val="24"/>
          <w:szCs w:val="24"/>
        </w:rPr>
        <w:t>hemibiotrophs</w:t>
      </w:r>
      <w:proofErr w:type="spellEnd"/>
      <w:r w:rsidRPr="00E7693B">
        <w:rPr>
          <w:rFonts w:ascii="Times New Roman" w:hAnsi="Times New Roman" w:cs="Times New Roman"/>
          <w:color w:val="000000"/>
          <w:sz w:val="24"/>
          <w:szCs w:val="24"/>
        </w:rPr>
        <w:t xml:space="preserve"> turning to necrotrophic phase during pathogenesis. However, it is suggested that both necrotrophic and</w:t>
      </w:r>
      <w:r w:rsidRPr="00E7693B">
        <w:rPr>
          <w:rFonts w:ascii="Times New Roman" w:hAnsi="Times New Roman" w:cs="Times New Roman"/>
          <w:sz w:val="24"/>
          <w:szCs w:val="24"/>
        </w:rPr>
        <w:t xml:space="preserve"> </w:t>
      </w:r>
      <w:proofErr w:type="spellStart"/>
      <w:r w:rsidRPr="00E7693B">
        <w:rPr>
          <w:rFonts w:ascii="Times New Roman" w:hAnsi="Times New Roman" w:cs="Times New Roman"/>
          <w:color w:val="000000"/>
          <w:sz w:val="24"/>
          <w:szCs w:val="24"/>
        </w:rPr>
        <w:t>hemibiotrophic</w:t>
      </w:r>
      <w:proofErr w:type="spellEnd"/>
      <w:r w:rsidRPr="00E7693B">
        <w:rPr>
          <w:rFonts w:ascii="Times New Roman" w:hAnsi="Times New Roman" w:cs="Times New Roman"/>
          <w:color w:val="000000"/>
          <w:sz w:val="24"/>
          <w:szCs w:val="24"/>
        </w:rPr>
        <w:t xml:space="preserve"> pathogens secrete effectors to </w:t>
      </w:r>
      <w:r w:rsidRPr="00E7693B">
        <w:rPr>
          <w:rFonts w:ascii="Times New Roman" w:hAnsi="Times New Roman" w:cs="Times New Roman"/>
          <w:sz w:val="24"/>
          <w:szCs w:val="24"/>
        </w:rPr>
        <w:t xml:space="preserve">manipulate </w:t>
      </w:r>
      <w:r w:rsidRPr="00E7693B">
        <w:rPr>
          <w:rFonts w:ascii="Times New Roman" w:hAnsi="Times New Roman" w:cs="Times New Roman"/>
          <w:color w:val="000000"/>
          <w:sz w:val="24"/>
          <w:szCs w:val="24"/>
        </w:rPr>
        <w:t>plant HR and cell death and use these event</w:t>
      </w:r>
      <w:r w:rsidRPr="00E7693B">
        <w:rPr>
          <w:rFonts w:ascii="Times New Roman" w:hAnsi="Times New Roman" w:cs="Times New Roman"/>
          <w:sz w:val="24"/>
          <w:szCs w:val="24"/>
        </w:rPr>
        <w:t xml:space="preserve">s for </w:t>
      </w:r>
      <w:r w:rsidRPr="00E7693B">
        <w:rPr>
          <w:rFonts w:ascii="Times New Roman" w:hAnsi="Times New Roman" w:cs="Times New Roman"/>
          <w:color w:val="000000"/>
          <w:sz w:val="24"/>
          <w:szCs w:val="24"/>
        </w:rPr>
        <w:t xml:space="preserve">their own benefit, which is then rightly termed as effector-triggered susceptibility (ETS; </w:t>
      </w:r>
      <w:r w:rsidR="0014730A">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{"citationID":"CqRk0UTh","properties":{"formattedCitation":"(Shao et al., 2021)","plainCitation":"(Shao et al., 2021)","dontUpdate":true,"noteIndex":0},"citationItems":[{"id":306,"uris":["http://zotero.org/users/10895598/items/U3HRNA39"],"itemData":{"id":306,"type":"article-journal","abstract":"Plant diseases caused by necrotrophic fungal pathogens result in large economic losses in field crop production worldwide. Effectors are important players of plant-pathogen interaction and deployed by pathogens to facilitate plant colonization and nutrient acquisition. Compared to biotrophic and hemibiotrophic fungal pathogens, effector biology is poorly understood for necrotrophic fungal pathogens. Recent bioinformatics advances have accelerated the prediction and discovery of effectors from necrotrophic fungi, and their functional context is currently being clarified. In this review we examine effectors utilized by necrotrophic fungi and hemibiotrophic fungi in the latter stages of disease development, including plant cell death manipulation. We define “effectors” as secreted proteins and other molecules that affect plant physiology in ways that contribute to disease establishment and progression. Studying and understanding the mechanisms of necrotrophic effectors is critical for identifying avenues of genetic intervention that could lead to improved resistance to these pathogens in plants.","container-title":"Frontiers in Plant Science","DOI":"10.3389/fpls.2021.687713","ISSN":"1664-462X","journalAbbreviation":"Front. Plant Sci.","page":"687713","source":"DOI.org (Crossref)","title":"Effectors of plant necrotrophic fungi","volume":"12","author":[{"family":"Shao","given":"Dandan"},{"family":"Smith","given":"Damon L."},{"family":"Kabbage","given":"Mehdi"},{"family":"Roth","given":"Mitchell G."}],"issued":{"date-parts":[["2021",6,4]]}}}],"schema":"https://github.com/citation-style-language/schema/raw/master/csl-citation.json"} </w:instrText>
      </w:r>
      <w:r w:rsidR="0014730A">
        <w:rPr>
          <w:rFonts w:ascii="Times New Roman" w:hAnsi="Times New Roman" w:cs="Times New Roman"/>
          <w:sz w:val="24"/>
          <w:szCs w:val="24"/>
        </w:rPr>
        <w:fldChar w:fldCharType="separate"/>
      </w:r>
      <w:r w:rsidR="0014730A" w:rsidRPr="0014730A">
        <w:rPr>
          <w:rFonts w:ascii="Times New Roman" w:hAnsi="Times New Roman" w:cs="Times New Roman"/>
          <w:sz w:val="24"/>
        </w:rPr>
        <w:t>Shao et al., 2021)</w:t>
      </w:r>
      <w:r w:rsidR="0014730A">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These necrotrophic/</w:t>
      </w:r>
      <w:proofErr w:type="spellStart"/>
      <w:r w:rsidRPr="00E7693B">
        <w:rPr>
          <w:rFonts w:ascii="Times New Roman" w:hAnsi="Times New Roman" w:cs="Times New Roman"/>
          <w:color w:val="000000"/>
          <w:sz w:val="24"/>
          <w:szCs w:val="24"/>
        </w:rPr>
        <w:t>hemibio</w:t>
      </w:r>
      <w:r w:rsidRPr="00E7693B">
        <w:rPr>
          <w:rFonts w:ascii="Times New Roman" w:hAnsi="Times New Roman" w:cs="Times New Roman"/>
          <w:sz w:val="24"/>
          <w:szCs w:val="24"/>
        </w:rPr>
        <w:t>trophic</w:t>
      </w:r>
      <w:proofErr w:type="spellEnd"/>
      <w:r w:rsidRPr="00E7693B">
        <w:rPr>
          <w:rFonts w:ascii="Times New Roman" w:hAnsi="Times New Roman" w:cs="Times New Roman"/>
          <w:color w:val="000000"/>
          <w:sz w:val="24"/>
          <w:szCs w:val="24"/>
        </w:rPr>
        <w:t xml:space="preserve">-secreted effectors are usually small proteins or secondary metabolites </w:t>
      </w:r>
      <w:r w:rsidR="0014730A">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{"citationID":"pOZhxV53","properties":{"formattedCitation":"(Tan et al., 2010)","plainCitation":"(Tan et al., 2010)","noteIndex":0},"citationItems":[{"id":360,"uris":["http://zotero.org/users/10895598/items/XYLKDQJM"],"itemData":{"id":360,"type":"article-journal","abstract":"The host–pathogen interface can be considered as a biological battlefront. Molecules produced by both the pathogen and the host are critical factors determining the outcome of the interaction. Recent studies have revealed that an increasing number of necrotrophic fungal pathogens produce small proteinaceous effectors that are able to function as virulence factors. These molecules can cause tissue death in host plants that possess dominant sensitivity genes, leading to subsequent pathogen colonisation. Such effectors are only found in necrotrophic fungi, yet their roles in virulence are poorly understood. However, several recent key studies of necrotrophic effectors from two wheat (Triticum aestivum L.) pathogens, Pyrenophora tritici-repentis (Died.) Drechs. and Stagonospora nodorum (Berk.) Castell. &amp; Germano, have shed light upon how these effector proteins serve to disable the host from the inside out.","container-title":"Functional Plant Biology","DOI":"10.1071/FP10067","ISSN":"1445-4408","issue":"10","journalAbbreviation":"Functional Plant Biol.","language":"en","page":"907","source":"DOI.org (Crossref)","title":"Proteinaceous necrotrophic effectors in fungal virulence","volume":"37","author":[{"family":"Tan","given":"Kar-Chun"},{"family":"Oliver","given":"Richard P."},{"family":"Solomon","given":"Peter S."},{"family":"Moffat","given":"Caroline S."}],"issued":{"date-parts":[["2010"]]}}}],"schema":"https://github.com/citation-style-language/schema/raw/master/csl-citation.json"} </w:instrText>
      </w:r>
      <w:r w:rsidR="0014730A">
        <w:rPr>
          <w:rFonts w:ascii="Times New Roman" w:hAnsi="Times New Roman" w:cs="Times New Roman"/>
          <w:sz w:val="24"/>
          <w:szCs w:val="24"/>
        </w:rPr>
        <w:fldChar w:fldCharType="separate"/>
      </w:r>
      <w:r w:rsidR="0014730A" w:rsidRPr="0014730A">
        <w:rPr>
          <w:rFonts w:ascii="Times New Roman" w:hAnsi="Times New Roman" w:cs="Times New Roman"/>
          <w:sz w:val="24"/>
        </w:rPr>
        <w:t>(Tan et al., 2010)</w:t>
      </w:r>
      <w:r w:rsidR="0014730A">
        <w:rPr>
          <w:rFonts w:ascii="Times New Roman" w:hAnsi="Times New Roman" w:cs="Times New Roman"/>
          <w:sz w:val="24"/>
          <w:szCs w:val="24"/>
        </w:rPr>
        <w:fldChar w:fldCharType="end"/>
      </w:r>
      <w:r w:rsidRPr="00E7693B">
        <w:rPr>
          <w:rFonts w:ascii="Times New Roman" w:hAnsi="Times New Roman" w:cs="Times New Roman"/>
          <w:color w:val="000000"/>
          <w:sz w:val="24"/>
          <w:szCs w:val="24"/>
        </w:rPr>
        <w:t>.</w:t>
      </w:r>
    </w:p>
    <w:p w14:paraId="21509839" w14:textId="77777777" w:rsidR="00E7693B" w:rsidRPr="00E7693B" w:rsidRDefault="00E7693B" w:rsidP="00632B4B">
      <w:pPr>
        <w:pBdr>
          <w:top w:val="nil"/>
          <w:left w:val="nil"/>
          <w:bottom w:val="nil"/>
          <w:right w:val="nil"/>
          <w:between w:val="nil"/>
        </w:pBdr>
        <w:spacing w:after="0" w:line="360" w:lineRule="auto"/>
        <w:jc w:val="both"/>
        <w:rPr>
          <w:rFonts w:ascii="Times New Roman" w:hAnsi="Times New Roman" w:cs="Times New Roman"/>
          <w:color w:val="000000"/>
        </w:rPr>
      </w:pPr>
    </w:p>
    <w:p w14:paraId="2A22E7A2" w14:textId="77777777" w:rsidR="00007653" w:rsidRPr="00E7693B" w:rsidRDefault="00007653" w:rsidP="006B61C5">
      <w:pPr>
        <w:pStyle w:val="Heading3"/>
      </w:pPr>
      <w:bookmarkStart w:id="5" w:name="_Toc167977579"/>
      <w:r w:rsidRPr="00E7693B">
        <w:t>HAMP-triggered immunity (HTI) and effector-triggered immunity (ETI)</w:t>
      </w:r>
      <w:bookmarkEnd w:id="5"/>
    </w:p>
    <w:p w14:paraId="181CF4B1" w14:textId="77777777" w:rsidR="00007653" w:rsidRPr="00E7693B" w:rsidRDefault="00007653" w:rsidP="00007653">
      <w:pPr>
        <w:spacing w:after="0" w:line="360" w:lineRule="auto"/>
        <w:rPr>
          <w:rFonts w:ascii="Times New Roman" w:hAnsi="Times New Roman" w:cs="Times New Roman"/>
        </w:rPr>
      </w:pPr>
    </w:p>
    <w:p w14:paraId="29E3DEAD" w14:textId="77777777" w:rsidR="00007653" w:rsidRPr="00632B4B" w:rsidRDefault="00007653" w:rsidP="00007653">
      <w:pPr>
        <w:pBdr>
          <w:top w:val="nil"/>
          <w:left w:val="nil"/>
          <w:bottom w:val="nil"/>
          <w:right w:val="nil"/>
          <w:between w:val="nil"/>
        </w:pBdr>
        <w:spacing w:after="0" w:line="360" w:lineRule="auto"/>
        <w:ind w:firstLine="720"/>
        <w:jc w:val="both"/>
        <w:rPr>
          <w:rFonts w:ascii="Times New Roman" w:hAnsi="Times New Roman" w:cs="Times New Roman"/>
          <w:color w:val="000000"/>
          <w:sz w:val="24"/>
          <w:szCs w:val="24"/>
        </w:rPr>
      </w:pPr>
      <w:r w:rsidRPr="00632B4B">
        <w:rPr>
          <w:rFonts w:ascii="Times New Roman" w:hAnsi="Times New Roman" w:cs="Times New Roman"/>
          <w:color w:val="000000"/>
          <w:sz w:val="24"/>
          <w:szCs w:val="24"/>
        </w:rPr>
        <w:t>Upon feeding, insect herbivores elicit HAMPs, a</w:t>
      </w:r>
      <w:r>
        <w:rPr>
          <w:rFonts w:ascii="Times New Roman" w:hAnsi="Times New Roman" w:cs="Times New Roman"/>
          <w:color w:val="000000"/>
          <w:sz w:val="24"/>
          <w:szCs w:val="24"/>
        </w:rPr>
        <w:t xml:space="preserve"> multitude</w:t>
      </w:r>
      <w:r w:rsidRPr="00632B4B">
        <w:rPr>
          <w:rFonts w:ascii="Times New Roman" w:hAnsi="Times New Roman" w:cs="Times New Roman"/>
          <w:color w:val="000000"/>
          <w:sz w:val="24"/>
          <w:szCs w:val="24"/>
        </w:rPr>
        <w:t xml:space="preserve"> of cues present in their oral secretions (OS), cuticle, oviposition secretions, frass or honeydew secreted by some insects. HAMPs generally refer to insect-derived compounds which operate as elicitors, causing the activation of plant defence mechanisms, whereas</w:t>
      </w:r>
      <w:r w:rsidRPr="00632B4B">
        <w:rPr>
          <w:rFonts w:ascii="Times New Roman" w:hAnsi="Times New Roman" w:cs="Times New Roman"/>
          <w:sz w:val="24"/>
          <w:szCs w:val="24"/>
        </w:rPr>
        <w:t xml:space="preserve"> similarly to pathogens, insects also produce effectors,</w:t>
      </w:r>
      <w:r w:rsidRPr="00632B4B">
        <w:rPr>
          <w:rFonts w:ascii="Times New Roman" w:hAnsi="Times New Roman" w:cs="Times New Roman"/>
          <w:color w:val="000000"/>
          <w:sz w:val="24"/>
          <w:szCs w:val="24"/>
        </w:rPr>
        <w:t xml:space="preserve"> the other group of compounds able to disrupt plant </w:t>
      </w:r>
      <w:proofErr w:type="spellStart"/>
      <w:r w:rsidRPr="00632B4B">
        <w:rPr>
          <w:rFonts w:ascii="Times New Roman" w:hAnsi="Times New Roman" w:cs="Times New Roman"/>
          <w:color w:val="000000"/>
          <w:sz w:val="24"/>
          <w:szCs w:val="24"/>
        </w:rPr>
        <w:t>signaling</w:t>
      </w:r>
      <w:proofErr w:type="spellEnd"/>
      <w:r w:rsidRPr="00632B4B">
        <w:rPr>
          <w:rFonts w:ascii="Times New Roman" w:hAnsi="Times New Roman" w:cs="Times New Roman"/>
          <w:color w:val="000000"/>
          <w:sz w:val="24"/>
          <w:szCs w:val="24"/>
        </w:rPr>
        <w:t xml:space="preserve"> responses</w:t>
      </w:r>
      <w:r w:rsidRPr="00632B4B">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{"citationID":"LOAWDD1e","properties":{"formattedCitation":"(Jones et al., 2021)","plainCitation":"(Jones et al., 2021)","noteIndex":0},"citationItems":[{"id":308,"uris":["http://zotero.org/users/10895598/items/QTXLGHIM"],"itemData":{"id":308,"type":"article-journal","container-title":"Plant Molecular Biology","DOI":"10.1007/s11103-021-01203-2","ISSN":"0167-4412, 1573-5028","journalAbbreviation":"Plant Mol Biol","language":"en","source":"DOI.org (Crossref)","title":"The dual function of elicitors and effectors from insects: reviewing the ‘arms race’ against plant defenses","title-short":"The dual function of elicitors and effectors from insects","URL":"https://link.springer.com/10.1007/s11103-021-01203-2","author":[{"family":"Jones","given":"Anne C."},{"family":"Felton","given":"Gary W."},{"family":"Tumlinson","given":"James H."}],"accessed":{"date-parts":[["2022",5,31]]},"issued":{"date-parts":[["2021",10,7]]}}}],"schema":"https://github.com/citation-style-language/schema/raw/master/csl-citation.json"} </w:instrText>
      </w:r>
      <w:r>
        <w:rPr>
          <w:rFonts w:ascii="Times New Roman" w:hAnsi="Times New Roman" w:cs="Times New Roman"/>
          <w:sz w:val="24"/>
          <w:szCs w:val="24"/>
        </w:rPr>
        <w:fldChar w:fldCharType="separate"/>
      </w:r>
      <w:r w:rsidRPr="00632B4B">
        <w:rPr>
          <w:rFonts w:ascii="Times New Roman" w:hAnsi="Times New Roman" w:cs="Times New Roman"/>
          <w:sz w:val="24"/>
        </w:rPr>
        <w:t>(Jones et al., 2021)</w:t>
      </w:r>
      <w:r>
        <w:rPr>
          <w:rFonts w:ascii="Times New Roman" w:hAnsi="Times New Roman" w:cs="Times New Roman"/>
          <w:sz w:val="24"/>
          <w:szCs w:val="24"/>
        </w:rPr>
        <w:fldChar w:fldCharType="end"/>
      </w:r>
      <w:r w:rsidRPr="00632B4B">
        <w:rPr>
          <w:rFonts w:ascii="Times New Roman" w:hAnsi="Times New Roman" w:cs="Times New Roman"/>
          <w:color w:val="000000"/>
          <w:sz w:val="24"/>
          <w:szCs w:val="24"/>
        </w:rPr>
        <w:t xml:space="preserve">. However, some compounds can act as both elicitors and effectors, which is dependent on plant species and a type of insect herbivore. Elicitor and effector delivery </w:t>
      </w:r>
      <w:r w:rsidRPr="00632B4B">
        <w:rPr>
          <w:rFonts w:ascii="Times New Roman" w:hAnsi="Times New Roman" w:cs="Times New Roman"/>
          <w:sz w:val="24"/>
          <w:szCs w:val="24"/>
        </w:rPr>
        <w:t>systems</w:t>
      </w:r>
      <w:r w:rsidRPr="00632B4B">
        <w:rPr>
          <w:rFonts w:ascii="Times New Roman" w:hAnsi="Times New Roman" w:cs="Times New Roman"/>
          <w:color w:val="000000"/>
          <w:sz w:val="24"/>
          <w:szCs w:val="24"/>
        </w:rPr>
        <w:t xml:space="preserve"> vary between insect herbivores and depend mainly on the insect feeding guild, since both groups of compounds are primarily secreted through insect OS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ZOTERO_ITEM CSL_CITATION {"citationID":"dHFnZd1n","properties":{"formattedCitation":"(Erb and Reymond, 2019; Jones et al., 2021; Rodriguez and Bos, 2013)","plainCitation":"(Erb and Reymond, 2019; Jones et al., 2021; Rodriguez and Bos, 2013)","noteIndex":0},"citationItems":[{"id":343,"uris":["http://zotero.org/users/10895598/items/XA89Z5L3"],"itemData":{"id":343,"type":"article-journal","abstract":"Diverse molecular processes regulate the interactions between plants and insect herbivores. Here, we review genes and proteins that are involved in plant–herbivore interactions and discuss how their discovery has structured the current standard model of plant–herbivore interactions. Plants perceive damage-associated and, possibly, herbivore-associated molecular patterns via receptors that activate early signaling components such as Ca\n              2+\n              , reactive oxygen species, and MAP kinases. Specific defense reprogramming proceeds via signaling networks that include phytohormones, secondary metabolites, and transcription factors. Local and systemic regulation of toxins, defense proteins, physical barriers, and tolerance traits protect plants against herbivores. Herbivores counteract plant defenses through biochemical defense deactivation, effector-mediated suppression of defense signaling, and chemically controlled behavioral changes. The molecular basis of plant–herbivore interactions is now well established for model systems. Expanding molecular approaches to unexplored dimensions of plant–insect interactions should be a future priority.","container-title":"Annual Review of Plant Biology","DOI":"10.1146/annurev-arplant-050718-095910","ISSN":"1543-5008, 1545-2123","issue":"1","journalAbbreviation":"Annu. Rev. Plant Biol.","language":"en","page":"527-557","source":"DOI.org (Crossref)","title":"Molecular interactions between plants and insect herbivores","volume":"70","author":[{"family":"Erb","given":"Matthias"},{"family":"Reymond","given":"Philippe"}],"issued":{"date-parts":[["2019",4,29]]}}},{"id":308,"uris":["http://zotero.org/users/10895598/items/QTXLGHIM"],"itemData":{"id":308,"type":"article-journal","container-title":"Plant Molecular Biology","DOI":"10.1007/s11103-021-01203-2","ISSN":"0167-4412, 1573-5028","journalAbbreviation":"Plant Mol Biol","language":"en","source":"DOI.org (Crossref)","title":"The dual function of elicitors and effectors from insects: reviewing the ‘arms race’ against plant defenses","title-short":"The dual function of elicitors and effectors from insects","URL":"https://link.springer.com/10.1007/s11103-021-01203-2","author":[{"family":"Jones","given":"Anne C."},{"family":"Felton","given":"Gary W."},{"family":"Tumlinson","given":"James H."}],"accessed":{"date-parts":[["2022",5,31]]},"issued":{"date-parts":[["2021",10,7]]}}},{"id":311,"uris":["http://zotero.org/users/10895598/items/85RTRQRV"],"itemData":{"id":311,"type":"article-journal","abstract":"In recent years, immense progress has been made toward understanding the functions of effectors from a range of plant pathogens, such as oomycetes, fungi, bacteria, and nematodes. Like plant pathogens, aphids form close associations with host plants, featuring signal exchange between the two organisms. While feeding and probing, aphids deliver effector proteins mixed with saliva directly into the host–stylet interface. With the increasing availability of aphid genome and transcriptome sequence data, aphid effector biology is emerging as a new and exciting area of research. In this review, we provide an overview of recent advances in the aphid effector biology field and highlight some of the current questions.","container-title":"Molecular Plant-Microbe Interactions®","DOI":"10.1094/MPMI-05-12-0119-FI","ISSN":"0894-0282, 1943-7706","issue":"1","journalAbbreviation":"MPMI","language":"en","page":"25-30","source":"DOI.org (Crossref)","title":"Toward understanding the role of aphid effectors in plant infestation","volume":"26","author":[{"family":"Rodriguez","given":"Patricia A."},{"family":"Bos","given":"Jorunn I. B."}],"issued":{"date-parts":[["2013",1]]}}}],"schema":"https://github.com/citation-style-language/schema/raw/master/csl-citation.json"} </w:instrText>
      </w:r>
      <w:r>
        <w:rPr>
          <w:rFonts w:ascii="Times New Roman" w:hAnsi="Times New Roman" w:cs="Times New Roman"/>
          <w:color w:val="000000"/>
          <w:sz w:val="24"/>
          <w:szCs w:val="24"/>
        </w:rPr>
        <w:fldChar w:fldCharType="separate"/>
      </w:r>
      <w:r w:rsidRPr="00632B4B">
        <w:rPr>
          <w:rFonts w:ascii="Times New Roman" w:hAnsi="Times New Roman" w:cs="Times New Roman"/>
          <w:sz w:val="24"/>
        </w:rPr>
        <w:t>(Erb and Reymond, 2019; Jones et al., 2021; Rodriguez and Bos, 2013)</w:t>
      </w:r>
      <w:r>
        <w:rPr>
          <w:rFonts w:ascii="Times New Roman" w:hAnsi="Times New Roman" w:cs="Times New Roman"/>
          <w:color w:val="000000"/>
          <w:sz w:val="24"/>
          <w:szCs w:val="24"/>
        </w:rPr>
        <w:fldChar w:fldCharType="end"/>
      </w:r>
      <w:r w:rsidRPr="00632B4B">
        <w:rPr>
          <w:rFonts w:ascii="Times New Roman" w:hAnsi="Times New Roman" w:cs="Times New Roman"/>
          <w:color w:val="000000"/>
          <w:sz w:val="24"/>
          <w:szCs w:val="24"/>
        </w:rPr>
        <w:t>. Two main insect feeding guilds are leaf chewers (</w:t>
      </w:r>
      <w:r w:rsidRPr="00632B4B">
        <w:rPr>
          <w:rFonts w:ascii="Times New Roman" w:hAnsi="Times New Roman" w:cs="Times New Roman"/>
          <w:i/>
          <w:color w:val="000000"/>
          <w:sz w:val="24"/>
          <w:szCs w:val="24"/>
        </w:rPr>
        <w:t>e.g.</w:t>
      </w:r>
      <w:r w:rsidRPr="00632B4B">
        <w:rPr>
          <w:rFonts w:ascii="Times New Roman" w:hAnsi="Times New Roman" w:cs="Times New Roman"/>
          <w:color w:val="000000"/>
          <w:sz w:val="24"/>
          <w:szCs w:val="24"/>
        </w:rPr>
        <w:t xml:space="preserve"> </w:t>
      </w:r>
      <w:r w:rsidRPr="00632B4B">
        <w:rPr>
          <w:rFonts w:ascii="Times New Roman" w:hAnsi="Times New Roman" w:cs="Times New Roman"/>
          <w:color w:val="000000"/>
          <w:sz w:val="24"/>
          <w:szCs w:val="24"/>
        </w:rPr>
        <w:lastRenderedPageBreak/>
        <w:t>caterpillars of various Lepidoptera species) and piercing-sucking/phloem sap feeders (</w:t>
      </w:r>
      <w:r w:rsidRPr="00632B4B">
        <w:rPr>
          <w:rFonts w:ascii="Times New Roman" w:hAnsi="Times New Roman" w:cs="Times New Roman"/>
          <w:i/>
          <w:color w:val="000000"/>
          <w:sz w:val="24"/>
          <w:szCs w:val="24"/>
        </w:rPr>
        <w:t>e.g.</w:t>
      </w:r>
      <w:r w:rsidRPr="00632B4B">
        <w:rPr>
          <w:rFonts w:ascii="Times New Roman" w:hAnsi="Times New Roman" w:cs="Times New Roman"/>
          <w:color w:val="000000"/>
          <w:sz w:val="24"/>
          <w:szCs w:val="24"/>
        </w:rPr>
        <w:t xml:space="preserve"> aphids in </w:t>
      </w:r>
      <w:r>
        <w:rPr>
          <w:rFonts w:ascii="Times New Roman" w:hAnsi="Times New Roman" w:cs="Times New Roman"/>
          <w:color w:val="000000"/>
          <w:sz w:val="24"/>
          <w:szCs w:val="24"/>
        </w:rPr>
        <w:t xml:space="preserve">the </w:t>
      </w:r>
      <w:r w:rsidRPr="00632B4B">
        <w:rPr>
          <w:rFonts w:ascii="Times New Roman" w:hAnsi="Times New Roman" w:cs="Times New Roman"/>
          <w:color w:val="000000"/>
          <w:sz w:val="24"/>
          <w:szCs w:val="24"/>
        </w:rPr>
        <w:t xml:space="preserve">order </w:t>
      </w:r>
      <w:proofErr w:type="spellStart"/>
      <w:r w:rsidRPr="00632B4B">
        <w:rPr>
          <w:rFonts w:ascii="Times New Roman" w:hAnsi="Times New Roman" w:cs="Times New Roman"/>
          <w:color w:val="000000"/>
          <w:sz w:val="24"/>
          <w:szCs w:val="24"/>
        </w:rPr>
        <w:t>Homoptera</w:t>
      </w:r>
      <w:proofErr w:type="spellEnd"/>
      <w:r w:rsidRPr="00632B4B">
        <w:rPr>
          <w:rFonts w:ascii="Times New Roman" w:hAnsi="Times New Roman" w:cs="Times New Roman"/>
          <w:color w:val="000000"/>
          <w:sz w:val="24"/>
          <w:szCs w:val="24"/>
        </w:rPr>
        <w:t>).</w:t>
      </w:r>
    </w:p>
    <w:p w14:paraId="25E26B6A" w14:textId="77777777" w:rsidR="00007653" w:rsidRPr="00632B4B" w:rsidRDefault="00007653" w:rsidP="00007653">
      <w:pPr>
        <w:pBdr>
          <w:top w:val="nil"/>
          <w:left w:val="nil"/>
          <w:bottom w:val="nil"/>
          <w:right w:val="nil"/>
          <w:between w:val="nil"/>
        </w:pBdr>
        <w:spacing w:after="0" w:line="360" w:lineRule="auto"/>
        <w:jc w:val="both"/>
        <w:rPr>
          <w:rFonts w:ascii="Times New Roman" w:hAnsi="Times New Roman" w:cs="Times New Roman"/>
          <w:sz w:val="24"/>
          <w:szCs w:val="24"/>
        </w:rPr>
      </w:pPr>
    </w:p>
    <w:p w14:paraId="633EDFD3" w14:textId="77777777" w:rsidR="00007653" w:rsidRPr="00E7693B" w:rsidRDefault="00007653" w:rsidP="006B61C5">
      <w:pPr>
        <w:pStyle w:val="Heading3"/>
      </w:pPr>
      <w:bookmarkStart w:id="6" w:name="_Toc167977580"/>
      <w:r w:rsidRPr="00E7693B">
        <w:t xml:space="preserve">Phytohormonal </w:t>
      </w:r>
      <w:proofErr w:type="spellStart"/>
      <w:r w:rsidRPr="00E7693B">
        <w:t>signaling</w:t>
      </w:r>
      <w:bookmarkEnd w:id="6"/>
      <w:proofErr w:type="spellEnd"/>
      <w:r w:rsidRPr="00E7693B">
        <w:t xml:space="preserve"> </w:t>
      </w:r>
    </w:p>
    <w:p w14:paraId="7E1D9796" w14:textId="77777777" w:rsidR="00007653" w:rsidRPr="00595453" w:rsidRDefault="00007653" w:rsidP="00007653">
      <w:pPr>
        <w:spacing w:after="0" w:line="360" w:lineRule="auto"/>
        <w:jc w:val="both"/>
        <w:rPr>
          <w:rFonts w:ascii="Times New Roman" w:hAnsi="Times New Roman" w:cs="Times New Roman"/>
          <w:sz w:val="24"/>
          <w:szCs w:val="24"/>
        </w:rPr>
      </w:pPr>
    </w:p>
    <w:p w14:paraId="504D51F3" w14:textId="77777777" w:rsidR="00007653" w:rsidRPr="00595453" w:rsidRDefault="00007653" w:rsidP="00007653">
      <w:pPr>
        <w:spacing w:after="0" w:line="360" w:lineRule="auto"/>
        <w:ind w:firstLine="708"/>
        <w:jc w:val="both"/>
        <w:rPr>
          <w:rFonts w:ascii="Times New Roman" w:hAnsi="Times New Roman" w:cs="Times New Roman"/>
          <w:sz w:val="24"/>
          <w:szCs w:val="24"/>
        </w:rPr>
      </w:pPr>
      <w:r w:rsidRPr="00595453">
        <w:rPr>
          <w:rFonts w:ascii="Times New Roman" w:hAnsi="Times New Roman" w:cs="Times New Roman"/>
          <w:sz w:val="24"/>
          <w:szCs w:val="24"/>
        </w:rPr>
        <w:t xml:space="preserve">Phytohormones are essential for the regulation of plant growth, development, reproduction, as well as in biotic and abiotic stresses. Salicylic acid (SA), </w:t>
      </w:r>
      <w:proofErr w:type="spellStart"/>
      <w:r w:rsidRPr="00595453">
        <w:rPr>
          <w:rFonts w:ascii="Times New Roman" w:hAnsi="Times New Roman" w:cs="Times New Roman"/>
          <w:sz w:val="24"/>
          <w:szCs w:val="24"/>
        </w:rPr>
        <w:t>jasmonic</w:t>
      </w:r>
      <w:proofErr w:type="spellEnd"/>
      <w:r w:rsidRPr="00595453">
        <w:rPr>
          <w:rFonts w:ascii="Times New Roman" w:hAnsi="Times New Roman" w:cs="Times New Roman"/>
          <w:sz w:val="24"/>
          <w:szCs w:val="24"/>
        </w:rPr>
        <w:t xml:space="preserve"> acid (JA) and ethylene (ET) take the main part of the plant defence chain. Other hormones, such as abscisic acid (ABA), auxin</w:t>
      </w:r>
      <w:r>
        <w:rPr>
          <w:rFonts w:ascii="Times New Roman" w:hAnsi="Times New Roman" w:cs="Times New Roman"/>
          <w:sz w:val="24"/>
          <w:szCs w:val="24"/>
        </w:rPr>
        <w:t>s</w:t>
      </w:r>
      <w:r w:rsidRPr="00595453">
        <w:rPr>
          <w:rFonts w:ascii="Times New Roman" w:hAnsi="Times New Roman" w:cs="Times New Roman"/>
          <w:sz w:val="24"/>
          <w:szCs w:val="24"/>
        </w:rPr>
        <w:t xml:space="preserve">, gibberellic acid (GA), </w:t>
      </w:r>
      <w:proofErr w:type="spellStart"/>
      <w:r w:rsidRPr="00595453">
        <w:rPr>
          <w:rFonts w:ascii="Times New Roman" w:hAnsi="Times New Roman" w:cs="Times New Roman"/>
          <w:sz w:val="24"/>
          <w:szCs w:val="24"/>
        </w:rPr>
        <w:t>cytokinins</w:t>
      </w:r>
      <w:proofErr w:type="spellEnd"/>
      <w:r w:rsidRPr="00595453">
        <w:rPr>
          <w:rFonts w:ascii="Times New Roman" w:hAnsi="Times New Roman" w:cs="Times New Roman"/>
          <w:sz w:val="24"/>
          <w:szCs w:val="24"/>
        </w:rPr>
        <w:t xml:space="preserve"> (CKs), </w:t>
      </w:r>
      <w:proofErr w:type="spellStart"/>
      <w:r w:rsidRPr="00595453">
        <w:rPr>
          <w:rFonts w:ascii="Times New Roman" w:hAnsi="Times New Roman" w:cs="Times New Roman"/>
          <w:sz w:val="24"/>
          <w:szCs w:val="24"/>
        </w:rPr>
        <w:t>brassinosteroids</w:t>
      </w:r>
      <w:proofErr w:type="spellEnd"/>
      <w:r w:rsidRPr="00595453">
        <w:rPr>
          <w:rFonts w:ascii="Times New Roman" w:hAnsi="Times New Roman" w:cs="Times New Roman"/>
          <w:sz w:val="24"/>
          <w:szCs w:val="24"/>
        </w:rPr>
        <w:t xml:space="preserve"> (BRs)</w:t>
      </w:r>
      <w:r>
        <w:rPr>
          <w:rFonts w:ascii="Times New Roman" w:hAnsi="Times New Roman" w:cs="Times New Roman"/>
          <w:sz w:val="24"/>
          <w:szCs w:val="24"/>
        </w:rPr>
        <w:t>,</w:t>
      </w:r>
      <w:r w:rsidRPr="00595453">
        <w:rPr>
          <w:rFonts w:ascii="Times New Roman" w:hAnsi="Times New Roman" w:cs="Times New Roman"/>
          <w:sz w:val="24"/>
          <w:szCs w:val="24"/>
        </w:rPr>
        <w:t xml:space="preserve">peptide hormones </w:t>
      </w:r>
      <w:r>
        <w:rPr>
          <w:rFonts w:ascii="Times New Roman" w:hAnsi="Times New Roman" w:cs="Times New Roman"/>
          <w:sz w:val="24"/>
          <w:szCs w:val="24"/>
        </w:rPr>
        <w:t xml:space="preserve">and </w:t>
      </w:r>
      <w:proofErr w:type="spellStart"/>
      <w:r>
        <w:rPr>
          <w:rFonts w:ascii="Times New Roman" w:hAnsi="Times New Roman" w:cs="Times New Roman"/>
          <w:sz w:val="24"/>
          <w:szCs w:val="24"/>
        </w:rPr>
        <w:t>strigolactones</w:t>
      </w:r>
      <w:proofErr w:type="spellEnd"/>
      <w:r>
        <w:rPr>
          <w:rFonts w:ascii="Times New Roman" w:hAnsi="Times New Roman" w:cs="Times New Roman"/>
          <w:sz w:val="24"/>
          <w:szCs w:val="24"/>
        </w:rPr>
        <w:t xml:space="preserve"> </w:t>
      </w:r>
      <w:r w:rsidRPr="00595453">
        <w:rPr>
          <w:rFonts w:ascii="Times New Roman" w:hAnsi="Times New Roman" w:cs="Times New Roman"/>
          <w:sz w:val="24"/>
          <w:szCs w:val="24"/>
        </w:rPr>
        <w:t xml:space="preserve">are considered as hormones that fine-tune plant defence responses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{"citationID":"bZaeSCX6","properties":{"formattedCitation":"(Pieterse et al., 2012; Torres\\uc0\\u8208{}Vera et al., 2014)","plainCitation":"(Pieterse et al., 2012; Torres‐Vera et al., 2014)","noteIndex":0},"citationItems":[{"id":226,"uris":["http://zotero.org/users/10895598/items/VCT53VQV"],"itemData":{"id":226,"type":"article-journal","abstract":"Plant hormones have pivotal roles in the regulation of plant growth, development, and reproduction. Additionally, they emerged as cellular signal molecules with key functions in the regulation of immune responses to microbial pathogens, insect herbivores, and beneficial microbes. Their signaling pathways are interconnected in a complex network, which provides plants with an enormous regulatory potential to rapidly adapt to their biotic environment and to utilize their limited resources for growth and survival in a cost-efficient manner. Plants activate their immune system to counteract attack by pathogens or herbivorous insects. Intriguingly, successful plant enemies evolved ingenious mechanisms to rewire the plant's hormone signaling circuitry to suppress or evade host immunity. Evidence is emerging that beneficial root-inhabiting microbes also hijack the hormone-regulated immune signaling network to establish a prolonged mutualistic association, highlighting the central role of plant hormones in the regulation of plant growth and survival.","container-title":"Annual Review of Cell and Developmental Biology","DOI":"10.1146/annurev-cellbio-092910-154055","ISSN":"1081-0706, 1530-8995","issue":"1","journalAbbreviation":"Annu. Rev. Cell Dev. Biol.","language":"en","page":"489-521","source":"DOI.org (Crossref)","title":"Hormonal modulation of plant immunity","volume":"28","author":[{"family":"Pieterse","given":"Corné M.J."},{"family":"Van der Does","given":"Dieuwertje"},{"family":"Zamioudis","given":"Christos"},{"family":"Leon-Reyes","given":"Antonio"},{"family":"Van Wees","given":"Saskia C.M."}],"issued":{"date-parts":[["2012",11,10]]}}},{"id":702,"uris":["http://zotero.org/users/10895598/items/FUM9UKHG"],"itemData":{"id":702,"type":"article-journal","abstract":"Summary\n            \n              Strigolactones are multifunctional molecules involved in several processes outside and within the plant. As signalling molecules in the rhizosphere, they favour the establishment of arbuscular mycorrhizal symbiosis, but they also act as host detection cues for root parasitic plants. As phytohormones, they are involved in the regulation of plant architecture, adventitious rooting, secondary growth and reproductive development, and novel roles are emerging continuously. In the present study, the possible involvement of strigolactones in plant defence responses was investigated. For this purpose, the resistance/susceptibility of the strigolactone‐deficient tomato mutant\n              \n                S\n                lccd8\n              \n              against the foliar fungal pathogens\n              \n                B\n                otrytis cinerea\n              \n              and\n              \n                A\n                lternaria alternata\n              \n              was assessed.\n              Slccd8\n              was more susceptible to both pathogens, pointing to a new role for strigolactones in plant defence. A reduction in the content of the defence‐related hormones jasmonic acid, salicylic acid and abscisic acid was detected by high‐performance liquid chromatography coupled to tandem mass spectrometry in the\n              \n                S\n                lccd8\n              \n              mutant, suggesting that hormone homeostasis is altered in the mutant. Moreover, the expression level of the jasmonate‐dependent gene\n              \n                PinII\n              \n              , involved in the resistance of tomato to\n              \n                B\n                . cinerea\n              \n              , was lower than in the corresponding wild‐type. We propose here that strigolactones play a role in the regulation of plant defences through their interaction with other defence‐related hormones, especially with the jasmonic acid signalling pathway.","container-title":"Molecular Plant Pathology","DOI":"10.1111/mpp.12074","ISSN":"1464-6722, 1364-3703","issue":"2","journalAbbreviation":"Molecular Plant Pathology","language":"en","page":"211-216","source":"DOI.org (Crossref)","title":"Do strigolactones contribute to plant defence?","volume":"15","author":[{"family":"Torres‐Vera","given":"Rocío"},{"family":"García","given":"Juan M."},{"family":"Pozo","given":"María J."},{"family":"López‐Ráez","given":"Juan A."}],"issued":{"date-parts":[["2014",2]]}}}],"schema":"https://github.com/citation-style-language/schema/raw/master/csl-citation.json"} </w:instrText>
      </w:r>
      <w:r>
        <w:rPr>
          <w:rFonts w:ascii="Times New Roman" w:hAnsi="Times New Roman" w:cs="Times New Roman"/>
          <w:sz w:val="24"/>
          <w:szCs w:val="24"/>
        </w:rPr>
        <w:fldChar w:fldCharType="separate"/>
      </w:r>
      <w:r w:rsidRPr="00CA52BB">
        <w:rPr>
          <w:rFonts w:ascii="Times New Roman" w:hAnsi="Times New Roman" w:cs="Times New Roman"/>
          <w:sz w:val="24"/>
          <w:szCs w:val="24"/>
        </w:rPr>
        <w:t>(Pieterse et al., 2012; Torres‐Vera et al., 2014)</w:t>
      </w:r>
      <w:r>
        <w:rPr>
          <w:rFonts w:ascii="Times New Roman" w:hAnsi="Times New Roman" w:cs="Times New Roman"/>
          <w:sz w:val="24"/>
          <w:szCs w:val="24"/>
        </w:rPr>
        <w:fldChar w:fldCharType="end"/>
      </w:r>
      <w:r w:rsidRPr="00595453">
        <w:rPr>
          <w:rFonts w:ascii="Times New Roman" w:hAnsi="Times New Roman" w:cs="Times New Roman"/>
          <w:sz w:val="24"/>
          <w:szCs w:val="24"/>
        </w:rPr>
        <w:t>. As shown in Fig.</w:t>
      </w:r>
      <w:r>
        <w:rPr>
          <w:rFonts w:ascii="Times New Roman" w:hAnsi="Times New Roman" w:cs="Times New Roman"/>
          <w:sz w:val="24"/>
          <w:szCs w:val="24"/>
        </w:rPr>
        <w:t xml:space="preserve"> </w:t>
      </w:r>
      <w:r w:rsidRPr="00595453">
        <w:rPr>
          <w:rFonts w:ascii="Times New Roman" w:hAnsi="Times New Roman" w:cs="Times New Roman"/>
          <w:sz w:val="24"/>
          <w:szCs w:val="24"/>
        </w:rPr>
        <w:t>1, when a plant is exposed to biotic stress</w:t>
      </w:r>
      <w:r>
        <w:rPr>
          <w:rFonts w:ascii="Times New Roman" w:hAnsi="Times New Roman" w:cs="Times New Roman"/>
          <w:sz w:val="24"/>
          <w:szCs w:val="24"/>
        </w:rPr>
        <w:t>es</w:t>
      </w:r>
      <w:r w:rsidRPr="00595453">
        <w:rPr>
          <w:rFonts w:ascii="Times New Roman" w:hAnsi="Times New Roman" w:cs="Times New Roman"/>
          <w:sz w:val="24"/>
          <w:szCs w:val="24"/>
        </w:rPr>
        <w:t>, various defence reactions are initially activated that trigger the phytohormonal biosynthesis.</w:t>
      </w:r>
    </w:p>
    <w:p w14:paraId="414DA5E1" w14:textId="77777777" w:rsidR="00007653" w:rsidRPr="00595453" w:rsidRDefault="00007653" w:rsidP="00007653">
      <w:pPr>
        <w:spacing w:after="0" w:line="360" w:lineRule="auto"/>
        <w:ind w:firstLine="708"/>
        <w:jc w:val="both"/>
        <w:rPr>
          <w:rFonts w:ascii="Times New Roman" w:hAnsi="Times New Roman" w:cs="Times New Roman"/>
          <w:sz w:val="24"/>
          <w:szCs w:val="24"/>
        </w:rPr>
      </w:pPr>
    </w:p>
    <w:p w14:paraId="5AE170F8" w14:textId="77777777" w:rsidR="00007653" w:rsidRPr="00E7693B" w:rsidRDefault="00007653" w:rsidP="006B61C5">
      <w:pPr>
        <w:pStyle w:val="Heading4"/>
      </w:pPr>
      <w:bookmarkStart w:id="7" w:name="_Toc167977581"/>
      <w:r w:rsidRPr="00E7693B">
        <w:t>Salicylic acid</w:t>
      </w:r>
      <w:bookmarkEnd w:id="7"/>
    </w:p>
    <w:p w14:paraId="15B7B7D5" w14:textId="77777777" w:rsidR="00007653" w:rsidRPr="00595453" w:rsidRDefault="00007653" w:rsidP="00007653">
      <w:pPr>
        <w:spacing w:after="0" w:line="360" w:lineRule="auto"/>
        <w:ind w:firstLine="708"/>
        <w:jc w:val="both"/>
        <w:rPr>
          <w:rFonts w:ascii="Times New Roman" w:hAnsi="Times New Roman" w:cs="Times New Roman"/>
          <w:sz w:val="24"/>
          <w:szCs w:val="24"/>
        </w:rPr>
      </w:pPr>
    </w:p>
    <w:p w14:paraId="441422C5" w14:textId="1FD1CB32" w:rsidR="00007653" w:rsidRPr="00595453" w:rsidRDefault="00007653" w:rsidP="00007653">
      <w:pPr>
        <w:spacing w:after="0" w:line="360" w:lineRule="auto"/>
        <w:ind w:firstLine="708"/>
        <w:jc w:val="both"/>
        <w:rPr>
          <w:rFonts w:ascii="Times New Roman" w:hAnsi="Times New Roman" w:cs="Times New Roman"/>
          <w:sz w:val="24"/>
          <w:szCs w:val="24"/>
        </w:rPr>
      </w:pPr>
      <w:r w:rsidRPr="00595453">
        <w:rPr>
          <w:rFonts w:ascii="Times New Roman" w:hAnsi="Times New Roman" w:cs="Times New Roman"/>
          <w:sz w:val="24"/>
          <w:szCs w:val="24"/>
        </w:rPr>
        <w:t xml:space="preserve">Salicylic acid (SA) is one of the main plant hormones involved in both local and systemic acquired resistance (LAR and SAR) to plant pathogens and insect pests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{"citationID":"J9kHCQY2","properties":{"formattedCitation":"(Ding and Ding, 2020; Durrant and Dong, 2004; Vlot et al., 2009)","plainCitation":"(Ding and Ding, 2020; Durrant and Dong, 2004; Vlot et al., 2009)","noteIndex":0},"citationItems":[{"id":608,"uris":["http://zotero.org/users/10895598/items/WSLXK5R7"],"itemData":{"id":608,"type":"article-journal","container-title":"Trends in Plant Science","DOI":"10.1016/j.tplants.2020.01.004","ISSN":"13601385","issue":"6","journalAbbreviation":"Trends in Plant Science","language":"en","page":"549-565","source":"DOI.org (Crossref)","title":"Stories of salicylic acid: a plant defense hormone","title-short":"Stories of Salicylic Acid","volume":"25","author":[{"family":"Ding","given":"Pingtao"},{"family":"Ding","given":"Yuli"}],"issued":{"date-parts":[["2020",6]]}}},{"id":169,"uris":["http://zotero.org/users/10895598/items/44EUPVXM"],"itemData":{"id":169,"type":"article-journal","container-title":"Annual Review of Phytopathology","DOI":"10.1146/annurev.phyto.42.040803.140421","ISSN":"0066-4286, 1545-2107","issue":"1","journalAbbreviation":"Annu. Rev. Phytopathol.","language":"en","page":"185-209","source":"DOI.org (Crossref)","title":"Systemic acquired resistance","volume":"42","author":[{"family":"Durrant","given":"W.E."},{"family":"Dong","given":"X."}],"issued":{"date-parts":[["2004",9]]}}},{"id":609,"uris":["http://zotero.org/users/10895598/items/RBDEC6BS"],"itemData":{"id":609,"type":"article-journal","abstract":"For more than 200 years, the plant hormone salicylic acid (SA) has been studied for its medicinal use in humans. However, its extensive signaling role in plants, particularly in defense against pathogens, has only become evident during the past 20 years. This review surveys how SA in plants regulates both local disease resistance mechanisms, including host cell death and defense gene expression, and systemic acquired resistance (SAR). Genetic studies reveal an increasingly complex network of proteins required for SA-mediated defense signaling, and this process is amplified by several regulatory feedback loops. The interaction between the SA signaling pathway and those regulated by other plant hormones and/or defense signals is also discussed.","container-title":"Annual Review of Phytopathology","DOI":"10.1146/annurev.phyto.050908.135202","ISSN":"0066-4286, 1545-2107","issue":"1","journalAbbreviation":"Annu. Rev. Phytopathol.","language":"en","page":"177-206","source":"DOI.org (Crossref)","title":"Salicylic acid, a multifaceted hormone to combat disease","volume":"47","author":[{"family":"Vlot","given":"A. Corina"},{"family":"Dempsey","given":"D'Maris Amick"},{"family":"Klessig","given":"Daniel F."}],"issued":{"date-parts":[["2009",9,1]]}}}],"schema":"https://github.com/citation-style-language/schema/raw/master/csl-citation.json"}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rPr>
        <w:t>(Ding and Ding, 2020; Durrant and Dong, 2004; Vlot et al., 2009)</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SA is also involved in control of biochemical and physiological processes in plants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{"citationID":"14MMfJzu","properties":{"formattedCitation":"(Rivas-San Vicente and Plasencia, 2011)","plainCitation":"(Rivas-San Vicente and Plasencia, 2011)","noteIndex":0},"citationItems":[{"id":610,"uris":["http://zotero.org/users/10895598/items/YQ3L7Z8F"],"itemData":{"id":610,"type":"article-journal","container-title":"Journal of Experimental Botany","DOI":"10.1093/jxb/err031","ISSN":"0022-0957, 1460-2431","issue":"10","journalAbbreviation":"Journal of Experimental Botany","language":"en","page":"3321-3338","source":"DOI.org (Crossref)","title":"Salicylic acid beyond defence: its role in plant growth and development","title-short":"Salicylic acid beyond defence","volume":"62","author":[{"family":"Rivas-San Vicente","given":"M."},{"family":"Plasencia","given":"J."}],"issued":{"date-parts":[["2011",6,1]]}}}],"schema":"https://github.com/citation-style-language/schema/raw/master/csl-citation.json"}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rPr>
        <w:t>(Rivas-San Vicente and Plasencia, 2011)</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The biosynthesis of SA as a phenolic compound can occur via two distinct enzymatic branches: </w:t>
      </w:r>
      <w:proofErr w:type="spellStart"/>
      <w:r w:rsidRPr="00595453">
        <w:rPr>
          <w:rFonts w:ascii="Times New Roman" w:hAnsi="Times New Roman" w:cs="Times New Roman"/>
          <w:sz w:val="24"/>
          <w:szCs w:val="24"/>
        </w:rPr>
        <w:t>isochorismate</w:t>
      </w:r>
      <w:proofErr w:type="spellEnd"/>
      <w:r w:rsidRPr="00595453">
        <w:rPr>
          <w:rFonts w:ascii="Times New Roman" w:hAnsi="Times New Roman" w:cs="Times New Roman"/>
          <w:sz w:val="24"/>
          <w:szCs w:val="24"/>
        </w:rPr>
        <w:t xml:space="preserve"> synthase (ICS) and phenylalanine ammonia lyase (PAL). These two pathways are both originating from chorismic acid (</w:t>
      </w:r>
      <w:proofErr w:type="spellStart"/>
      <w:r w:rsidRPr="00595453">
        <w:rPr>
          <w:rFonts w:ascii="Times New Roman" w:hAnsi="Times New Roman" w:cs="Times New Roman"/>
          <w:sz w:val="24"/>
          <w:szCs w:val="24"/>
        </w:rPr>
        <w:t>chorismate</w:t>
      </w:r>
      <w:proofErr w:type="spellEnd"/>
      <w:r w:rsidRPr="00595453">
        <w:rPr>
          <w:rFonts w:ascii="Times New Roman" w:hAnsi="Times New Roman" w:cs="Times New Roman"/>
          <w:sz w:val="24"/>
          <w:szCs w:val="24"/>
        </w:rPr>
        <w:t xml:space="preserve">), the end product of metabolic shikimic acid (shikimate) pathway (Fig. </w:t>
      </w:r>
      <w:r w:rsidR="008172D6">
        <w:rPr>
          <w:rFonts w:ascii="Times New Roman" w:hAnsi="Times New Roman" w:cs="Times New Roman"/>
          <w:sz w:val="24"/>
          <w:szCs w:val="24"/>
        </w:rPr>
        <w:t>2</w:t>
      </w:r>
      <w:r w:rsidRPr="00595453">
        <w:rPr>
          <w:rFonts w:ascii="Times New Roman" w:hAnsi="Times New Roman" w:cs="Times New Roman"/>
          <w:sz w:val="24"/>
          <w:szCs w:val="24"/>
        </w:rPr>
        <w:t xml:space="preserve">A). SA biosynthesis has been well-studied in a model plant </w:t>
      </w:r>
      <w:r w:rsidRPr="00595453">
        <w:rPr>
          <w:rFonts w:ascii="Times New Roman" w:hAnsi="Times New Roman" w:cs="Times New Roman"/>
          <w:i/>
          <w:sz w:val="24"/>
          <w:szCs w:val="24"/>
        </w:rPr>
        <w:t xml:space="preserve">A. thaliana </w:t>
      </w:r>
      <w:r>
        <w:rPr>
          <w:rFonts w:ascii="Times New Roman" w:hAnsi="Times New Roman" w:cs="Times New Roman"/>
          <w:i/>
          <w:sz w:val="24"/>
          <w:szCs w:val="24"/>
        </w:rPr>
        <w:fldChar w:fldCharType="begin"/>
      </w:r>
      <w:r>
        <w:rPr>
          <w:rFonts w:ascii="Times New Roman" w:hAnsi="Times New Roman" w:cs="Times New Roman"/>
          <w:i/>
          <w:sz w:val="24"/>
          <w:szCs w:val="24"/>
        </w:rPr>
        <w:instrText xml:space="preserve"> ADDIN ZOTERO_ITEM CSL_CITATION {"citationID":"gLFQzC5l","properties":{"formattedCitation":"(Dempsey et al., 2011; Janda and Ruelland, 2015; Lefevere et al., 2020)","plainCitation":"(Dempsey et al., 2011; Janda and Ruelland, 2015; Lefevere et al., 2020)","noteIndex":0},"citationItems":[{"id":282,"uris":["http://zotero.org/users/10895598/items/WR5CQ96I"],"itemData":{"id":282,"type":"article-journal","container-title":"The Arabidopsis Book","DOI":"10.1199/tab.0156","ISSN":"1543-8120, 1543-8120","journalAbbreviation":"The Arabidopsis Book","language":"en","page":"e0156","source":"DOI.org (Crossref)","title":"Salicylic acid biosynthesis and metabolism","volume":"9","author":[{"family":"Dempsey","given":"D'Maris Amick"},{"family":"Vlot","given":"A. Corina"},{"family":"Wildermuth","given":"Mary C."},{"family":"Klessig","given":"Daniel F."}],"issued":{"date-parts":[["2011",1]]}}},{"id":278,"uris":["http://zotero.org/users/10895598/items/UJAKTEBD"],"itemData":{"id":278,"type":"article-journal","container-title":"Environmental and Experimental Botany","DOI":"10.1016/j.envexpbot.2014.07.003","ISSN":"00988472","journalAbbreviation":"Environmental and Experimental Botany","language":"en","page":"117-128","source":"DOI.org (Crossref)","title":"Magical mystery tour: Salicylic acid signalling","title-short":"Magical mystery tour","volume":"114","author":[{"family":"Janda","given":"Martin"},{"family":"Ruelland","given":"Eric"}],"issued":{"date-parts":[["2015",6]]}}},{"id":207,"uris":["http://zotero.org/users/10895598/items/ITJ78HIV"],"itemData":{"id":207,"type":"article-journal","container-title":"Frontiers in Plant Science","DOI":"10.3389/fpls.2020.00338","ISSN":"1664-462X","journalAbbreviation":"Front. Plant Sci.","page":"338","source":"DOI.org (Crossref)","title":"Salicylic acid biosynthesis in plants","volume":"11","author":[{"family":"Lefevere","given":"Hannes"},{"family":"Bauters","given":"Lander"},{"family":"Gheysen","given":"Godelieve"}],"issued":{"date-parts":[["2020",4,17]]}}}],"schema":"https://github.com/citation-style-language/schema/raw/master/csl-citation.json"} </w:instrText>
      </w:r>
      <w:r>
        <w:rPr>
          <w:rFonts w:ascii="Times New Roman" w:hAnsi="Times New Roman" w:cs="Times New Roman"/>
          <w:i/>
          <w:sz w:val="24"/>
          <w:szCs w:val="24"/>
        </w:rPr>
        <w:fldChar w:fldCharType="separate"/>
      </w:r>
      <w:r w:rsidRPr="00595453">
        <w:rPr>
          <w:rFonts w:ascii="Times New Roman" w:hAnsi="Times New Roman" w:cs="Times New Roman"/>
          <w:sz w:val="24"/>
        </w:rPr>
        <w:t>(Dempsey et al., 2011; Janda and Ruelland, 2015; Lefevere et al., 2020)</w:t>
      </w:r>
      <w:r>
        <w:rPr>
          <w:rFonts w:ascii="Times New Roman" w:hAnsi="Times New Roman" w:cs="Times New Roman"/>
          <w:i/>
          <w:sz w:val="24"/>
          <w:szCs w:val="24"/>
        </w:rPr>
        <w:fldChar w:fldCharType="end"/>
      </w:r>
      <w:r w:rsidRPr="00595453">
        <w:rPr>
          <w:rFonts w:ascii="Times New Roman" w:hAnsi="Times New Roman" w:cs="Times New Roman"/>
          <w:sz w:val="24"/>
          <w:szCs w:val="24"/>
        </w:rPr>
        <w:t xml:space="preserve">, and ICS pathway has been found to be the main one in plant response to pathogens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{"citationID":"Ud4tGmCj","properties":{"formattedCitation":"(Wildermuth et al., 2001)","plainCitation":"(Wildermuth et al., 2001)","noteIndex":0},"citationItems":[{"id":287,"uris":["http://zotero.org/users/10895598/items/JT3CUAEI"],"itemData":{"id":287,"type":"article-journal","container-title":"Nature","DOI":"10.1038/35107108","ISSN":"0028-0836, 1476-4687","issue":"6863","journalAbbreviation":"Nature","language":"en","page":"562-565","source":"DOI.org (Crossref)","title":"Isochorismate synthase is required to synthesize salicylic acid for plant defence","volume":"414","author":[{"family":"Wildermuth","given":"Mary C."},{"family":"Dewdney","given":"Julia"},{"family":"Wu","given":"Gang"},{"family":"Ausubel","given":"Frederick M."}],"issued":{"date-parts":[["2001",11,29]]}}}],"schema":"https://github.com/citation-style-language/schema/raw/master/csl-citation.json"}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rPr>
        <w:t>(Wildermuth et al., 2001)</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Two </w:t>
      </w:r>
      <w:r w:rsidRPr="00595453">
        <w:rPr>
          <w:rFonts w:ascii="Times New Roman" w:hAnsi="Times New Roman" w:cs="Times New Roman"/>
          <w:i/>
          <w:iCs/>
          <w:sz w:val="24"/>
          <w:szCs w:val="24"/>
        </w:rPr>
        <w:t>ICS</w:t>
      </w:r>
      <w:r w:rsidRPr="00595453">
        <w:rPr>
          <w:rFonts w:ascii="Times New Roman" w:hAnsi="Times New Roman" w:cs="Times New Roman"/>
          <w:sz w:val="24"/>
          <w:szCs w:val="24"/>
        </w:rPr>
        <w:t xml:space="preserve"> genes, </w:t>
      </w:r>
      <w:r w:rsidRPr="00595453">
        <w:rPr>
          <w:rFonts w:ascii="Times New Roman" w:hAnsi="Times New Roman" w:cs="Times New Roman"/>
          <w:i/>
          <w:sz w:val="24"/>
          <w:szCs w:val="24"/>
        </w:rPr>
        <w:t xml:space="preserve">ICS1 </w:t>
      </w:r>
      <w:r w:rsidRPr="00595453">
        <w:rPr>
          <w:rFonts w:ascii="Times New Roman" w:hAnsi="Times New Roman" w:cs="Times New Roman"/>
          <w:sz w:val="24"/>
          <w:szCs w:val="24"/>
        </w:rPr>
        <w:t xml:space="preserve">and </w:t>
      </w:r>
      <w:r w:rsidRPr="00595453">
        <w:rPr>
          <w:rFonts w:ascii="Times New Roman" w:hAnsi="Times New Roman" w:cs="Times New Roman"/>
          <w:i/>
          <w:sz w:val="24"/>
          <w:szCs w:val="24"/>
        </w:rPr>
        <w:t xml:space="preserve">ICS2 </w:t>
      </w:r>
      <w:r w:rsidRPr="00595453">
        <w:rPr>
          <w:rFonts w:ascii="Times New Roman" w:hAnsi="Times New Roman" w:cs="Times New Roman"/>
          <w:sz w:val="24"/>
          <w:szCs w:val="24"/>
        </w:rPr>
        <w:t xml:space="preserve">are encoded in the genome of </w:t>
      </w:r>
      <w:r w:rsidRPr="00595453">
        <w:rPr>
          <w:rFonts w:ascii="Times New Roman" w:hAnsi="Times New Roman" w:cs="Times New Roman"/>
          <w:i/>
          <w:sz w:val="24"/>
          <w:szCs w:val="24"/>
        </w:rPr>
        <w:t>A. thaliana</w:t>
      </w:r>
      <w:r w:rsidRPr="00595453">
        <w:rPr>
          <w:rFonts w:ascii="Times New Roman" w:hAnsi="Times New Roman" w:cs="Times New Roman"/>
          <w:sz w:val="24"/>
          <w:szCs w:val="24"/>
        </w:rPr>
        <w:t>,</w:t>
      </w:r>
      <w:r w:rsidRPr="00595453">
        <w:rPr>
          <w:rFonts w:ascii="Times New Roman" w:hAnsi="Times New Roman" w:cs="Times New Roman"/>
          <w:i/>
          <w:sz w:val="24"/>
          <w:szCs w:val="24"/>
        </w:rPr>
        <w:t xml:space="preserve"> </w:t>
      </w:r>
      <w:r w:rsidRPr="00595453">
        <w:rPr>
          <w:rFonts w:ascii="Times New Roman" w:hAnsi="Times New Roman" w:cs="Times New Roman"/>
          <w:sz w:val="24"/>
          <w:szCs w:val="24"/>
        </w:rPr>
        <w:t xml:space="preserve">and </w:t>
      </w:r>
      <w:r w:rsidRPr="00595453">
        <w:rPr>
          <w:rFonts w:ascii="Times New Roman" w:hAnsi="Times New Roman" w:cs="Times New Roman"/>
          <w:i/>
          <w:sz w:val="24"/>
          <w:szCs w:val="24"/>
        </w:rPr>
        <w:t xml:space="preserve">ICS1 </w:t>
      </w:r>
      <w:r w:rsidRPr="00595453">
        <w:rPr>
          <w:rFonts w:ascii="Times New Roman" w:hAnsi="Times New Roman" w:cs="Times New Roman"/>
          <w:sz w:val="24"/>
          <w:szCs w:val="24"/>
        </w:rPr>
        <w:t xml:space="preserve">is the main contributor to SA biosynthesis during biotic stress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{"citationID":"dj7Rs5mV","properties":{"formattedCitation":"(Macaulay et al., 2017; Wildermuth et al., 2001)","plainCitation":"(Macaulay et al., 2017; Wildermuth et al., 2001)","noteIndex":0},"citationItems":[{"id":617,"uris":["http://zotero.org/users/10895598/items/5HHQV526"],"itemData":{"id":617,"type":"article-journal","abstract":"The important plant hormone salicylic acid (SA; 2-hydroxybenzoic acid) regulates several key plant responses including, most notably, defence against pathogens. A key enzyme for SA biosynthesis is isochorismate synthase (ICS), which converts chorismate into isochorismate, and for which there are two genes in Arabidopsis thaliana. One (AtICS1) has been shown to be required for increased SA biosynthesis in response to pathogens and its expression can be stimulated throughout the leaf by virus infection and exogenous SA. The other (AtICS2) appears to be expressed constitutively, predominantly in the plant vasculature. Here, we characterise the enzymatic activity of both isozymes expressed as hexahistidine fusion proteins in Escherichia coli. We show for the first time that recombinant AtICS2 is enzymatically active. Both isozymes are Mg2+-dependent with similar temperature optima (ca. 33°C) and similar Km values for chorismate of 34.3 ± 3.7 and 28.8 ± 6.9 µM for ICS1 and ICS2, respectively, but reaction rates were greater for ICS1 than for ICS2, with respective values for Vmax of 63.5 ± 2.4 and 28.3 ± 2.0 nM s−1 and for kcat of 38.1 ± 1.5 and 17.0 ± 1.2 min−1. However, neither enzyme displayed isochorismate pyruvate lyase (IPL) activity, which would enable these proteins to act as bifunctional SA synthases, i.e. to convert chorismate into SA. These results show that although Arabidopsis has two functional ICS enzymes, it must possess one or more IPL enzymes to complete biosynthesis of SA starting from chorismate.","container-title":"Biochemical Journal","DOI":"10.1042/BCJ20161069","ISSN":"0264-6021, 1470-8728","issue":"10","language":"en","page":"1579-1590","source":"DOI.org (Crossref)","title":"The biochemical properties of the two &lt;i&gt;Arabidopsis thaliana&lt;/i&gt; isochorismate synthases","volume":"474","author":[{"family":"Macaulay","given":"Keith M."},{"family":"Heath","given":"Geraldine A."},{"family":"Ciulli","given":"Alessio"},{"family":"Murphy","given":"Alex M."},{"family":"Abell","given":"Chris"},{"family":"Carr","given":"John P."},{"family":"Smith","given":"Alison G."}],"issued":{"date-parts":[["2017",5,15]]}}},{"id":287,"uris":["http://zotero.org/users/10895598/items/JT3CUAEI"],"itemData":{"id":287,"type":"article-journal","container-title":"Nature","DOI":"10.1038/35107108","ISSN":"0028-0836, 1476-4687","issue":"6863","journalAbbreviation":"Nature","language":"en","page":"562-565","source":"DOI.org (Crossref)","title":"Isochorismate synthase is required to synthesize salicylic acid for plant defence","volume":"414","author":[{"family":"Wildermuth","given":"Mary C."},{"family":"Dewdney","given":"Julia"},{"family":"Wu","given":"Gang"},{"family":"Ausubel","given":"Frederick M."}],"issued":{"date-parts":[["2001",11,29]]}}}],"schema":"https://github.com/citation-style-language/schema/raw/master/csl-citation.json"}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rPr>
        <w:t>(Macaulay et al., 2017; Wildermuth et al., 2001)</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Wildermuth et al. (2001) confirmed that </w:t>
      </w:r>
      <w:r w:rsidRPr="00595453">
        <w:rPr>
          <w:rFonts w:ascii="Times New Roman" w:hAnsi="Times New Roman" w:cs="Times New Roman"/>
          <w:i/>
          <w:sz w:val="24"/>
          <w:szCs w:val="24"/>
        </w:rPr>
        <w:t xml:space="preserve">ICS1 </w:t>
      </w:r>
      <w:r w:rsidRPr="00595453">
        <w:rPr>
          <w:rFonts w:ascii="Times New Roman" w:hAnsi="Times New Roman" w:cs="Times New Roman"/>
          <w:sz w:val="24"/>
          <w:szCs w:val="24"/>
        </w:rPr>
        <w:t>and ICS1-synthetized SA</w:t>
      </w:r>
      <w:r w:rsidRPr="00595453">
        <w:rPr>
          <w:rFonts w:ascii="Times New Roman" w:hAnsi="Times New Roman" w:cs="Times New Roman"/>
          <w:i/>
          <w:sz w:val="24"/>
          <w:szCs w:val="24"/>
        </w:rPr>
        <w:t xml:space="preserve"> </w:t>
      </w:r>
      <w:r w:rsidRPr="00595453">
        <w:rPr>
          <w:rFonts w:ascii="Times New Roman" w:hAnsi="Times New Roman" w:cs="Times New Roman"/>
          <w:sz w:val="24"/>
          <w:szCs w:val="24"/>
        </w:rPr>
        <w:t>operate upstream of NON-EXPRESSOR PATHOGENESIS-RELATED PROTEIN 1 (NPR1)</w:t>
      </w:r>
      <w:r w:rsidRPr="00595453">
        <w:rPr>
          <w:rFonts w:ascii="Times New Roman" w:hAnsi="Times New Roman" w:cs="Times New Roman"/>
          <w:i/>
          <w:sz w:val="24"/>
          <w:szCs w:val="24"/>
        </w:rPr>
        <w:t xml:space="preserve"> </w:t>
      </w:r>
      <w:r w:rsidRPr="00595453">
        <w:rPr>
          <w:rFonts w:ascii="Times New Roman" w:hAnsi="Times New Roman" w:cs="Times New Roman"/>
          <w:sz w:val="24"/>
          <w:szCs w:val="24"/>
        </w:rPr>
        <w:t xml:space="preserve">which interacts with transcription factors to alter the genes involved in pathogen attack, such as </w:t>
      </w:r>
      <w:r w:rsidRPr="00595453">
        <w:rPr>
          <w:rFonts w:ascii="Times New Roman" w:hAnsi="Times New Roman" w:cs="Times New Roman"/>
          <w:i/>
          <w:sz w:val="24"/>
          <w:szCs w:val="24"/>
        </w:rPr>
        <w:t>pathogenesis-related 1</w:t>
      </w:r>
      <w:r w:rsidRPr="00595453">
        <w:rPr>
          <w:rFonts w:ascii="Times New Roman" w:hAnsi="Times New Roman" w:cs="Times New Roman"/>
          <w:sz w:val="24"/>
          <w:szCs w:val="24"/>
        </w:rPr>
        <w:t xml:space="preserve"> (</w:t>
      </w:r>
      <w:r w:rsidRPr="00595453">
        <w:rPr>
          <w:rFonts w:ascii="Times New Roman" w:hAnsi="Times New Roman" w:cs="Times New Roman"/>
          <w:i/>
          <w:sz w:val="24"/>
          <w:szCs w:val="24"/>
        </w:rPr>
        <w:t>PR1</w:t>
      </w:r>
      <w:r w:rsidRPr="00595453">
        <w:rPr>
          <w:rFonts w:ascii="Times New Roman" w:hAnsi="Times New Roman" w:cs="Times New Roman"/>
          <w:sz w:val="24"/>
          <w:szCs w:val="24"/>
        </w:rPr>
        <w:t xml:space="preserve">). However, </w:t>
      </w:r>
      <w:r>
        <w:rPr>
          <w:rFonts w:ascii="Times New Roman" w:hAnsi="Times New Roman" w:cs="Times New Roman"/>
          <w:sz w:val="24"/>
          <w:szCs w:val="24"/>
        </w:rPr>
        <w:t xml:space="preserve">the </w:t>
      </w:r>
      <w:r w:rsidRPr="00595453">
        <w:rPr>
          <w:rFonts w:ascii="Times New Roman" w:hAnsi="Times New Roman" w:cs="Times New Roman"/>
          <w:sz w:val="24"/>
          <w:szCs w:val="24"/>
        </w:rPr>
        <w:t>PAL pathway, comprised of four genes (</w:t>
      </w:r>
      <w:r w:rsidRPr="00595453">
        <w:rPr>
          <w:rFonts w:ascii="Times New Roman" w:hAnsi="Times New Roman" w:cs="Times New Roman"/>
          <w:i/>
          <w:sz w:val="24"/>
          <w:szCs w:val="24"/>
        </w:rPr>
        <w:t xml:space="preserve">PAL1 - </w:t>
      </w:r>
      <w:r w:rsidRPr="00595453">
        <w:rPr>
          <w:rFonts w:ascii="Times New Roman" w:hAnsi="Times New Roman" w:cs="Times New Roman"/>
          <w:i/>
          <w:sz w:val="24"/>
          <w:szCs w:val="24"/>
        </w:rPr>
        <w:lastRenderedPageBreak/>
        <w:t>PAL4</w:t>
      </w:r>
      <w:r w:rsidRPr="00595453">
        <w:rPr>
          <w:rFonts w:ascii="Times New Roman" w:hAnsi="Times New Roman" w:cs="Times New Roman"/>
          <w:sz w:val="24"/>
          <w:szCs w:val="24"/>
        </w:rPr>
        <w:t xml:space="preserve">) also contributes to SA biosynthesis and may be important during pathogen attack in </w:t>
      </w:r>
      <w:r w:rsidRPr="00595453">
        <w:rPr>
          <w:rFonts w:ascii="Times New Roman" w:hAnsi="Times New Roman" w:cs="Times New Roman"/>
          <w:i/>
          <w:sz w:val="24"/>
          <w:szCs w:val="24"/>
        </w:rPr>
        <w:t xml:space="preserve">A. thaliana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{"citationID":"LqSkGav1","properties":{"formattedCitation":"(Huang et al., 2010)","plainCitation":"(Huang et al., 2010)","noteIndex":0},"citationItems":[{"id":362,"uris":["http://zotero.org/users/10895598/items/HK4TXJLC"],"itemData":{"id":362,"type":"article-journal","abstract":"Abstract\n            Phenylalanine ammonia-lyase (PAL) catalyzes the first step of the phenylpropanoid pathway, which produces precursors to a variety of important secondary metabolites. Arabidopsis (Arabidopsis thaliana) contains four PAL genes (PAL1–PAL4), but there has been no genetic analysis to assess the biological functions of the entire gene family. Here, we report the generation and analysis of combined mutations for the four Arabidopsis PAL genes. Contrary to a previous report, we found that three independent pal1 pal2 double mutants were fertile and generated yellow seeds due to the lack of condensed tannin pigments in the seed coat. The pal1 pal2 double mutants were also deficient in anthocyanin pigments in various plant tissues, which accumulate in wild-type plants under stress conditions. Thus, PAL1 and PAL2 have a redundant role in flavonoid biosynthesis. Furthermore, the pal1 pal2 double mutants were more sensitive to ultraviolet-B light but more tolerant to drought than wild-type plants. We have also generated two independent pal1 pal2 pal3 pal4 quadruple knockout mutants, which are stunted and sterile. The quadruple knockout mutants still contained about 10% of the wild-type PAL activity, which might result from one or more leaky pal mutant genes or from other unknown PAL genes. The quadruple mutants also accumulated substantially reduced levels of salicylic acid and displayed increased susceptibility to a virulent strain of the bacterial pathogen Pseudomonas syringae. These results provide further evidence for both distinct and overlapping roles of the Arabidopsis PAL genes in plant growth, development, and responses to environmental stresses.","container-title":"Plant Physiology","DOI":"10.1104/pp.110.157370","ISSN":"1532-2548","issue":"4","language":"en","page":"1526-1538","source":"DOI.org (Crossref)","title":"Functional analysis of the &lt;i&gt;Arabidopsis&lt;/i&gt; &lt;i&gt;PAL&lt;/i&gt; gene family in plant growth, development, and response to environmental stress","volume":"153","author":[{"family":"Huang","given":"Junli"},{"family":"Gu","given":"Min"},{"family":"Lai","given":"Zhibing"},{"family":"Fan","given":"Baofang"},{"family":"Shi","given":"Kai"},{"family":"Zhou","given":"Yan-Hong"},{"family":"Yu","given":"Jing-Quan"},{"family":"Chen","given":"Zhixiang"}],"issued":{"date-parts":[["2010",8,3]]}}}],"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rPr>
        <w:t>(Huang et al., 2010)</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and may operate in harmonious manner with the ICS pathway regarding defence in other plant species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{"citationID":"PQwDnwkk","properties":{"formattedCitation":"(Shine et al., 2016)","plainCitation":"(Shine et al., 2016)","noteIndex":0},"citationItems":[{"id":619,"uris":["http://zotero.org/users/10895598/items/8QF2HSPR"],"itemData":{"id":619,"type":"article-journal","abstract":"Summary\n            \n              \n                \n                  \n                    Salicylic acid (\n                    SA\n                    ), an essential regulator of plant defense, is derived from chorismate via either the phenylalanine ammonia lyase (\n                    PAL\n                    ) or the isochorismate synthase (\n                    ICS\n                    ) catalyzed steps. The\n                    ICS\n                    pathway is thought to be the primary contributor of defense‐related\n                    SA\n                    , at least in Arabidopsis. We investigated the relative contributions of\n                    PAL\n                    and\n                    ICS\n                    to defense‐related\n                    SA\n                    accumulation in soybean (\n                    Glycine max\n                    ).\n                  \n                \n                \n                  \n                    Soybean plants silenced for five\n                    PAL\n                    isoforms or two\n                    ICS\n                    isoforms were analyzed for\n                    SA\n                    concentrations and\n                    SA\n                    ‐derived defense responses to the hemibiotrophic pathogens\n                    Pseudomonas syringae\n                    and\n                    Phytophthora sojae\n                    .\n                  \n                \n                \n                  \n                    We show that, unlike in Arabidopsis,\n                    PAL\n                    and\n                    ICS\n                    pathways are equally important for pathogen‐induced\n                    SA\n                    biosynthesis in soybean. Knock‐down of either pathway shuts down\n                    SA\n                    biosynthesis and abrogates pathogen resistance. Moreover, unlike in Arabidopsis, pathogen infection is associated with the suppression of\n                    \n                      ICS\n                    \n                    gene expression. Pathogen‐induced biosynthesis of\n                    SA\n                    via the\n                    PAL\n                    pathway correlates inversely with phenylalanine concentrations. Although infections with either virulent or avirulent strains of the pathogens increase\n                    SA\n                    concentrations, resistance protein‐mediated response to avirulent\n                    P. sojae\n                    strains may function in an\n                    SA\n                    ‐independent manner.\n                  \n                \n                \n                  \n                    These results show that\n                    PAL\n                    ‐ and\n                    ICS\n                    ‐catalyzed reactions function cooperatively in soybean defense and highlight the importance of\n                    PAL\n                    in pathogen‐induced\n                    SA\n                    biosynthesis.","container-title":"New Phytologist","DOI":"10.1111/nph.14078","ISSN":"0028-646X, 1469-8137","issue":"3","journalAbbreviation":"New Phytologist","language":"en","page":"627-636","source":"DOI.org (Crossref)","title":"Cooperative functioning between phenylalanine ammonia lyase and isochorismate synthase activities contributes to salicylic acid biosynthesis in soybean","volume":"212","author":[{"family":"Shine","given":"M. B."},{"family":"Yang","given":"Jung‐Wook"},{"family":"El‐Habbak","given":"Mohamed"},{"family":"Nagyabhyru","given":"Padmaja"},{"family":"Fu","given":"Da‐Qi"},{"family":"Navarre","given":"Duroy"},{"family":"Ghabrial","given":"Said"},{"family":"Kachroo","given":"Pradeep"},{"family":"Kachroo","given":"Aardra"}],"issued":{"date-parts":[["2016",11]]}}}],"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rPr>
        <w:t>(Shine et al., 2016)</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Both the ICS and PAL pathways are closely linked to biosynthetic pathways of aromatic amino acid (AA), such as phenylalanine, tyrosine and tryptophan, as </w:t>
      </w:r>
      <w:proofErr w:type="spellStart"/>
      <w:r w:rsidRPr="00595453">
        <w:rPr>
          <w:rFonts w:ascii="Times New Roman" w:hAnsi="Times New Roman" w:cs="Times New Roman"/>
          <w:sz w:val="24"/>
          <w:szCs w:val="24"/>
        </w:rPr>
        <w:t>chorismate</w:t>
      </w:r>
      <w:proofErr w:type="spellEnd"/>
      <w:r w:rsidRPr="00595453">
        <w:rPr>
          <w:rFonts w:ascii="Times New Roman" w:hAnsi="Times New Roman" w:cs="Times New Roman"/>
          <w:sz w:val="24"/>
          <w:szCs w:val="24"/>
        </w:rPr>
        <w:t xml:space="preserve"> is a precursor for production of such AAs and a key connector of the primary and secondary plant metabolism (Ding and Ding, 2020). </w:t>
      </w:r>
      <w:r>
        <w:rPr>
          <w:rFonts w:ascii="Times New Roman" w:hAnsi="Times New Roman" w:cs="Times New Roman"/>
          <w:sz w:val="24"/>
          <w:szCs w:val="24"/>
        </w:rPr>
        <w:t xml:space="preserve">the </w:t>
      </w:r>
      <w:r w:rsidRPr="00595453">
        <w:rPr>
          <w:rFonts w:ascii="Times New Roman" w:hAnsi="Times New Roman" w:cs="Times New Roman"/>
          <w:sz w:val="24"/>
          <w:szCs w:val="24"/>
        </w:rPr>
        <w:t xml:space="preserve">PAL pathway is a precursor for production of secondary metabolites in </w:t>
      </w:r>
      <w:r w:rsidRPr="00595453">
        <w:rPr>
          <w:rFonts w:ascii="Times New Roman" w:hAnsi="Times New Roman" w:cs="Times New Roman"/>
          <w:i/>
          <w:sz w:val="24"/>
          <w:szCs w:val="24"/>
        </w:rPr>
        <w:t>Arabidopsis</w:t>
      </w:r>
      <w:r w:rsidRPr="00595453">
        <w:rPr>
          <w:rFonts w:ascii="Times New Roman" w:hAnsi="Times New Roman" w:cs="Times New Roman"/>
          <w:sz w:val="24"/>
          <w:szCs w:val="24"/>
        </w:rPr>
        <w:t>, such as flavonoids which can be important in plant defence against pathogens and pests (Huang et al., 2010).</w:t>
      </w:r>
    </w:p>
    <w:p w14:paraId="5386C8D7" w14:textId="77777777" w:rsidR="00007653" w:rsidRPr="00595453" w:rsidRDefault="00007653" w:rsidP="00007653">
      <w:pPr>
        <w:spacing w:after="0" w:line="360" w:lineRule="auto"/>
        <w:ind w:firstLine="708"/>
        <w:jc w:val="both"/>
        <w:rPr>
          <w:rFonts w:ascii="Times New Roman" w:hAnsi="Times New Roman" w:cs="Times New Roman"/>
          <w:sz w:val="24"/>
          <w:szCs w:val="24"/>
        </w:rPr>
      </w:pPr>
      <w:r w:rsidRPr="00595453">
        <w:rPr>
          <w:rFonts w:ascii="Times New Roman" w:hAnsi="Times New Roman" w:cs="Times New Roman"/>
          <w:sz w:val="24"/>
          <w:szCs w:val="24"/>
        </w:rPr>
        <w:t>SA can be chemically converted into functional or inactive derivative compounds through methylation, glycosylation, AA conjugation or sulfonation, and most of the SA in plants is glycosylated or methylated (Rivas-San Vicente and Plasencia, 2011).</w:t>
      </w:r>
    </w:p>
    <w:p w14:paraId="74D3C1CF" w14:textId="77777777" w:rsidR="00007653" w:rsidRPr="00595453" w:rsidRDefault="00007653" w:rsidP="00007653">
      <w:pPr>
        <w:spacing w:after="0" w:line="360" w:lineRule="auto"/>
        <w:ind w:firstLine="708"/>
        <w:jc w:val="both"/>
        <w:rPr>
          <w:rFonts w:ascii="Times New Roman" w:hAnsi="Times New Roman" w:cs="Times New Roman"/>
          <w:sz w:val="24"/>
          <w:szCs w:val="24"/>
        </w:rPr>
      </w:pPr>
    </w:p>
    <w:p w14:paraId="7ABF1D01" w14:textId="77777777" w:rsidR="00007653" w:rsidRPr="00E7693B" w:rsidRDefault="00007653" w:rsidP="006B61C5">
      <w:pPr>
        <w:pStyle w:val="Heading4"/>
      </w:pPr>
      <w:bookmarkStart w:id="8" w:name="_Toc167977582"/>
      <w:proofErr w:type="spellStart"/>
      <w:r w:rsidRPr="00E7693B">
        <w:t>Jasmonic</w:t>
      </w:r>
      <w:proofErr w:type="spellEnd"/>
      <w:r w:rsidRPr="00E7693B">
        <w:t xml:space="preserve"> acid</w:t>
      </w:r>
      <w:bookmarkEnd w:id="8"/>
    </w:p>
    <w:p w14:paraId="10C8A47B" w14:textId="77777777" w:rsidR="00007653" w:rsidRPr="00595453" w:rsidRDefault="00007653" w:rsidP="00007653">
      <w:pPr>
        <w:spacing w:after="0" w:line="360" w:lineRule="auto"/>
        <w:ind w:firstLine="708"/>
        <w:jc w:val="both"/>
        <w:rPr>
          <w:rFonts w:ascii="Times New Roman" w:hAnsi="Times New Roman" w:cs="Times New Roman"/>
          <w:sz w:val="24"/>
          <w:szCs w:val="24"/>
        </w:rPr>
      </w:pPr>
    </w:p>
    <w:p w14:paraId="7C5AB28F" w14:textId="238BF2AA" w:rsidR="00007653" w:rsidRPr="00FB64CE" w:rsidRDefault="00007653" w:rsidP="00FE722D">
      <w:pPr>
        <w:spacing w:after="0" w:line="360" w:lineRule="auto"/>
        <w:ind w:firstLine="708"/>
        <w:jc w:val="both"/>
        <w:rPr>
          <w:rFonts w:ascii="Times New Roman" w:hAnsi="Times New Roman" w:cs="Times New Roman"/>
          <w:sz w:val="24"/>
          <w:szCs w:val="24"/>
        </w:rPr>
      </w:pPr>
      <w:proofErr w:type="spellStart"/>
      <w:r w:rsidRPr="00595453">
        <w:rPr>
          <w:rFonts w:ascii="Times New Roman" w:hAnsi="Times New Roman" w:cs="Times New Roman"/>
          <w:sz w:val="24"/>
          <w:szCs w:val="24"/>
        </w:rPr>
        <w:t>Jasmonic</w:t>
      </w:r>
      <w:proofErr w:type="spellEnd"/>
      <w:r w:rsidRPr="00595453">
        <w:rPr>
          <w:rFonts w:ascii="Times New Roman" w:hAnsi="Times New Roman" w:cs="Times New Roman"/>
          <w:sz w:val="24"/>
          <w:szCs w:val="24"/>
        </w:rPr>
        <w:t xml:space="preserve"> acid (JA) and its derivatives known as </w:t>
      </w:r>
      <w:proofErr w:type="spellStart"/>
      <w:r w:rsidRPr="00595453">
        <w:rPr>
          <w:rFonts w:ascii="Times New Roman" w:hAnsi="Times New Roman" w:cs="Times New Roman"/>
          <w:sz w:val="24"/>
          <w:szCs w:val="24"/>
        </w:rPr>
        <w:t>jasmonates</w:t>
      </w:r>
      <w:proofErr w:type="spellEnd"/>
      <w:r w:rsidRPr="00595453">
        <w:rPr>
          <w:rFonts w:ascii="Times New Roman" w:hAnsi="Times New Roman" w:cs="Times New Roman"/>
          <w:sz w:val="24"/>
          <w:szCs w:val="24"/>
        </w:rPr>
        <w:t xml:space="preserve"> (JAs), such as </w:t>
      </w:r>
      <w:proofErr w:type="spellStart"/>
      <w:r w:rsidRPr="00595453">
        <w:rPr>
          <w:rFonts w:ascii="Times New Roman" w:hAnsi="Times New Roman" w:cs="Times New Roman"/>
          <w:sz w:val="24"/>
          <w:szCs w:val="24"/>
        </w:rPr>
        <w:t>jasmonyl</w:t>
      </w:r>
      <w:proofErr w:type="spellEnd"/>
      <w:r w:rsidRPr="00595453">
        <w:rPr>
          <w:rFonts w:ascii="Times New Roman" w:hAnsi="Times New Roman" w:cs="Times New Roman"/>
          <w:sz w:val="24"/>
          <w:szCs w:val="24"/>
        </w:rPr>
        <w:t xml:space="preserve"> isoleucine (JA-Ile), methyl </w:t>
      </w:r>
      <w:proofErr w:type="spellStart"/>
      <w:r w:rsidRPr="00595453">
        <w:rPr>
          <w:rFonts w:ascii="Times New Roman" w:hAnsi="Times New Roman" w:cs="Times New Roman"/>
          <w:sz w:val="24"/>
          <w:szCs w:val="24"/>
        </w:rPr>
        <w:t>jasmonate</w:t>
      </w:r>
      <w:proofErr w:type="spellEnd"/>
      <w:r w:rsidRPr="00595453">
        <w:rPr>
          <w:rFonts w:ascii="Times New Roman" w:hAnsi="Times New Roman" w:cs="Times New Roman"/>
          <w:sz w:val="24"/>
          <w:szCs w:val="24"/>
        </w:rPr>
        <w:t xml:space="preserve"> (MeJA) and 12-hydroxyjasmonic acid </w:t>
      </w:r>
      <w:proofErr w:type="spellStart"/>
      <w:r w:rsidRPr="00595453">
        <w:rPr>
          <w:rFonts w:ascii="Times New Roman" w:hAnsi="Times New Roman" w:cs="Times New Roman"/>
          <w:sz w:val="24"/>
          <w:szCs w:val="24"/>
        </w:rPr>
        <w:t>sulfate</w:t>
      </w:r>
      <w:proofErr w:type="spellEnd"/>
      <w:r w:rsidRPr="00595453">
        <w:rPr>
          <w:rFonts w:ascii="Times New Roman" w:hAnsi="Times New Roman" w:cs="Times New Roman"/>
          <w:sz w:val="24"/>
          <w:szCs w:val="24"/>
        </w:rPr>
        <w:t xml:space="preserve"> (12-OH-JA), are lipid-derived molecules involved in plant growth and stress response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{"citationID":"5jpk6F27","properties":{"formattedCitation":"(Ghorbel et al., 2021; Wasternack and Hause, 2013)","plainCitation":"(Ghorbel et al., 2021; Wasternack and Hause, 2013)","noteIndex":0},"citationItems":[{"id":614,"uris":["http://zotero.org/users/10895598/items/M6IP6PPP"],"itemData":{"id":614,"type":"article-journal","container-title":"Plant Cell Reports","DOI":"10.1007/s00299-021-02687-4","ISSN":"0721-7714, 1432-203X","issue":"8","journalAbbreviation":"Plant Cell Rep","language":"en","page":"1471-1494","source":"DOI.org (Crossref)","title":"Role of jasmonic acid in plants: the molecular point of view","title-short":"Role of jasmonic acid in plants","volume":"40","author":[{"family":"Ghorbel","given":"Mouna"},{"family":"Brini","given":"Faiçal"},{"family":"Sharma","given":"Anket"},{"family":"Landi","given":"Marco"}],"issued":{"date-parts":[["2021",8]]}}},{"id":364,"uris":["http://zotero.org/users/10895598/items/D43LUTWR"],"itemData":{"id":364,"type":"article-journal","container-title":"Annals of Botany","DOI":"10.1093/aob/mct067","ISSN":"1095-8290, 0305-7364","issue":"6","language":"en","page":"1021-1058","source":"DOI.org (Crossref)","title":"Jasmonates: biosynthesis, perception, signal transduction and action in plant stress response, growth and development. An update to the 2007 review in Annals of Botany","title-short":"Jasmonates","volume":"111","author":[{"family":"Wasternack","given":"C."},{"family":"Hause","given":"B."}],"issued":{"date-parts":[["2013",6]]}}}],"schema":"https://github.com/citation-style-language/schema/raw/master/csl-citation.json"} </w:instrText>
      </w:r>
      <w:r>
        <w:rPr>
          <w:rFonts w:ascii="Times New Roman" w:hAnsi="Times New Roman" w:cs="Times New Roman"/>
          <w:sz w:val="24"/>
          <w:szCs w:val="24"/>
        </w:rPr>
        <w:fldChar w:fldCharType="separate"/>
      </w:r>
      <w:r w:rsidRPr="0041617B">
        <w:rPr>
          <w:rFonts w:ascii="Times New Roman" w:hAnsi="Times New Roman" w:cs="Times New Roman"/>
          <w:sz w:val="24"/>
        </w:rPr>
        <w:t>(Ghorbel et al., 2021; Wasternack and Hause, 2013)</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For instance, wounding increases the endogenous level of MeJA, </w:t>
      </w:r>
      <w:r w:rsidRPr="00FB64CE">
        <w:rPr>
          <w:rFonts w:ascii="Times New Roman" w:hAnsi="Times New Roman" w:cs="Times New Roman"/>
          <w:sz w:val="24"/>
          <w:szCs w:val="24"/>
        </w:rPr>
        <w:t xml:space="preserve">but also the metabolic precursor </w:t>
      </w:r>
      <w:r w:rsidRPr="00FB64CE">
        <w:rPr>
          <w:rFonts w:ascii="Times New Roman" w:hAnsi="Times New Roman" w:cs="Times New Roman"/>
          <w:i/>
          <w:sz w:val="24"/>
          <w:szCs w:val="24"/>
        </w:rPr>
        <w:t>cis</w:t>
      </w:r>
      <w:r w:rsidRPr="00FB64CE">
        <w:rPr>
          <w:rFonts w:ascii="Times New Roman" w:hAnsi="Times New Roman" w:cs="Times New Roman"/>
          <w:sz w:val="24"/>
          <w:szCs w:val="24"/>
        </w:rPr>
        <w:t xml:space="preserve">-12-oxophytodienoic acid (OPDA; Fig. </w:t>
      </w:r>
      <w:r w:rsidR="008172D6" w:rsidRPr="00FB64CE">
        <w:rPr>
          <w:rFonts w:ascii="Times New Roman" w:hAnsi="Times New Roman" w:cs="Times New Roman"/>
          <w:sz w:val="24"/>
          <w:szCs w:val="24"/>
        </w:rPr>
        <w:t>2</w:t>
      </w:r>
      <w:r w:rsidRPr="00FB64CE">
        <w:rPr>
          <w:rFonts w:ascii="Times New Roman" w:hAnsi="Times New Roman" w:cs="Times New Roman"/>
          <w:sz w:val="24"/>
          <w:szCs w:val="24"/>
        </w:rPr>
        <w:t xml:space="preserve">B) and activates defence responses </w:t>
      </w:r>
      <w:r w:rsidRPr="00FB64CE">
        <w:rPr>
          <w:rFonts w:ascii="Times New Roman" w:hAnsi="Times New Roman" w:cs="Times New Roman"/>
          <w:sz w:val="24"/>
          <w:szCs w:val="24"/>
        </w:rPr>
        <w:fldChar w:fldCharType="begin"/>
      </w:r>
      <w:r w:rsidRPr="00FB64CE">
        <w:rPr>
          <w:rFonts w:ascii="Times New Roman" w:hAnsi="Times New Roman" w:cs="Times New Roman"/>
          <w:sz w:val="24"/>
          <w:szCs w:val="24"/>
        </w:rPr>
        <w:instrText xml:space="preserve"> ADDIN ZOTERO_ITEM CSL_CITATION {"citationID":"LOnMFPqf","properties":{"formattedCitation":"(Wang et al., 2016)","plainCitation":"(Wang et al., 2016)","noteIndex":0},"citationItems":[{"id":615,"uris":["http://zotero.org/users/10895598/items/N6QEFSTH"],"itemData":{"id":615,"type":"article-journal","container-title":"Biochemical and Biophysical Research Communications","DOI":"10.1016/j.bbrc.2016.01.043","ISSN":"0006291X","issue":"1","journalAbbreviation":"Biochemical and Biophysical Research Communications","language":"en","page":"233-238","source":"DOI.org (Crossref)","title":"TaOPR2 encodes a 12-oxo-phytodienoic acid reductase involved in the biosynthesis of jasmonic acid in wheat (&lt;i&gt;Triticum aestivum&lt;/i&gt; L.)","volume":"470","author":[{"family":"Wang","given":"Yukun"},{"family":"Yuan","given":"Guoliang"},{"family":"Yuan","given":"Shaohua"},{"family":"Duan","given":"Wenjing"},{"family":"Wang","given":"Peng"},{"family":"Bai","given":"Jianfang"},{"family":"Zhang","given":"Fengting"},{"family":"Gao","given":"Shiqing"},{"family":"Zhang","given":"Liping"},{"family":"Zhao","given":"Changping"}],"issued":{"date-parts":[["2016",1]]}}}],"schema":"https://github.com/citation-style-language/schema/raw/master/csl-citation.json"} </w:instrText>
      </w:r>
      <w:r w:rsidRPr="00FB64CE">
        <w:rPr>
          <w:rFonts w:ascii="Times New Roman" w:hAnsi="Times New Roman" w:cs="Times New Roman"/>
          <w:sz w:val="24"/>
          <w:szCs w:val="24"/>
        </w:rPr>
        <w:fldChar w:fldCharType="separate"/>
      </w:r>
      <w:r w:rsidRPr="00FB64CE">
        <w:rPr>
          <w:rFonts w:ascii="Times New Roman" w:hAnsi="Times New Roman" w:cs="Times New Roman"/>
          <w:sz w:val="24"/>
          <w:szCs w:val="24"/>
        </w:rPr>
        <w:t>(Wang et al., 2016)</w:t>
      </w:r>
      <w:r w:rsidRPr="00FB64CE">
        <w:rPr>
          <w:rFonts w:ascii="Times New Roman" w:hAnsi="Times New Roman" w:cs="Times New Roman"/>
          <w:sz w:val="24"/>
          <w:szCs w:val="24"/>
        </w:rPr>
        <w:fldChar w:fldCharType="end"/>
      </w:r>
      <w:r w:rsidRPr="00FB64CE">
        <w:rPr>
          <w:rFonts w:ascii="Times New Roman" w:hAnsi="Times New Roman" w:cs="Times New Roman"/>
          <w:sz w:val="24"/>
          <w:szCs w:val="24"/>
        </w:rPr>
        <w:t>.</w:t>
      </w:r>
    </w:p>
    <w:p w14:paraId="3E811AC6" w14:textId="4BE31B87" w:rsidR="00007653" w:rsidRPr="00595453" w:rsidRDefault="00007653" w:rsidP="00007653">
      <w:pPr>
        <w:spacing w:after="0" w:line="360" w:lineRule="auto"/>
        <w:ind w:firstLine="708"/>
        <w:jc w:val="both"/>
        <w:rPr>
          <w:rFonts w:ascii="Times New Roman" w:hAnsi="Times New Roman" w:cs="Times New Roman"/>
          <w:sz w:val="24"/>
          <w:szCs w:val="24"/>
        </w:rPr>
      </w:pPr>
      <w:r w:rsidRPr="00595453">
        <w:rPr>
          <w:rFonts w:ascii="Times New Roman" w:hAnsi="Times New Roman" w:cs="Times New Roman"/>
          <w:sz w:val="24"/>
          <w:szCs w:val="24"/>
        </w:rPr>
        <w:t>JA biosynthesis is initiated in chloroplasts by release of α-linolenic acid (α-</w:t>
      </w:r>
      <w:proofErr w:type="spellStart"/>
      <w:r w:rsidRPr="00595453">
        <w:rPr>
          <w:rFonts w:ascii="Times New Roman" w:hAnsi="Times New Roman" w:cs="Times New Roman"/>
          <w:sz w:val="24"/>
          <w:szCs w:val="24"/>
        </w:rPr>
        <w:t>LeA</w:t>
      </w:r>
      <w:proofErr w:type="spellEnd"/>
      <w:r w:rsidRPr="00595453">
        <w:rPr>
          <w:rFonts w:ascii="Times New Roman" w:hAnsi="Times New Roman" w:cs="Times New Roman"/>
          <w:sz w:val="24"/>
          <w:szCs w:val="24"/>
        </w:rPr>
        <w:t xml:space="preserve">); then, OPDA is formed in chloroplasts and exported to peroxisomes by JASSY protein, as it was shown that the loss of JASSY in </w:t>
      </w:r>
      <w:r w:rsidRPr="00595453">
        <w:rPr>
          <w:rFonts w:ascii="Times New Roman" w:hAnsi="Times New Roman" w:cs="Times New Roman"/>
          <w:i/>
          <w:sz w:val="24"/>
          <w:szCs w:val="24"/>
        </w:rPr>
        <w:t xml:space="preserve">A. thaliana </w:t>
      </w:r>
      <w:r>
        <w:rPr>
          <w:rFonts w:ascii="Times New Roman" w:hAnsi="Times New Roman" w:cs="Times New Roman"/>
          <w:sz w:val="24"/>
          <w:szCs w:val="24"/>
        </w:rPr>
        <w:t>abolishes the</w:t>
      </w:r>
      <w:r w:rsidRPr="00595453">
        <w:rPr>
          <w:rFonts w:ascii="Times New Roman" w:hAnsi="Times New Roman" w:cs="Times New Roman"/>
          <w:sz w:val="24"/>
          <w:szCs w:val="24"/>
        </w:rPr>
        <w:t xml:space="preserve"> increase in expression of JA-regulated defence genes, such as </w:t>
      </w:r>
      <w:r w:rsidRPr="00595453">
        <w:rPr>
          <w:rFonts w:ascii="Times New Roman" w:hAnsi="Times New Roman" w:cs="Times New Roman"/>
          <w:i/>
          <w:sz w:val="24"/>
          <w:szCs w:val="24"/>
        </w:rPr>
        <w:t xml:space="preserve">plant defensin 1.2 </w:t>
      </w:r>
      <w:r w:rsidRPr="00595453">
        <w:rPr>
          <w:rFonts w:ascii="Times New Roman" w:hAnsi="Times New Roman" w:cs="Times New Roman"/>
          <w:sz w:val="24"/>
          <w:szCs w:val="24"/>
        </w:rPr>
        <w:t>(</w:t>
      </w:r>
      <w:r w:rsidRPr="00595453">
        <w:rPr>
          <w:rFonts w:ascii="Times New Roman" w:hAnsi="Times New Roman" w:cs="Times New Roman"/>
          <w:i/>
          <w:sz w:val="24"/>
          <w:szCs w:val="24"/>
        </w:rPr>
        <w:t>PDF1.2</w:t>
      </w:r>
      <w:r w:rsidRPr="00595453">
        <w:rPr>
          <w:rFonts w:ascii="Times New Roman" w:hAnsi="Times New Roman" w:cs="Times New Roman"/>
          <w:sz w:val="24"/>
          <w:szCs w:val="24"/>
        </w:rPr>
        <w:t xml:space="preserve">) after wounding or pathogen attack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{"citationID":"nksnMeQc","properties":{"formattedCitation":"(Guan et al., 2019)","plainCitation":"(Guan et al., 2019)","noteIndex":0},"citationItems":[{"id":625,"uris":["http://zotero.org/users/10895598/items/LF2U4WA6"],"itemData":{"id":625,"type":"article-journal","abstract":"Significance\n            Jasmonates are indispensable for plant growth, as well as for adaptation to biotic and abiotic stresses. The synthesis of jasmonates is initiated in the chloroplast, where the precursor, 12-oxophytodienoic acid (OPDA) is derived from plastid lipids. Despite the fact that much information has been gained on the enzymes involved in the biosynthesis and signaling pathways of jasmonates, the export of OPDA from plastids remains enigmatic. In the present study, we showed that JASSY, a protein localized to the outer chloroplast envelope, facilitates export of OPDA from the chloroplast. Loss-of-function mutants lead to abolished jasmonate accumulation, which in turn results in increased susceptibility to cold treatment, as well as pathogen attack.\n          , \n            \n              Jasmonates are vital plant hormones that not only act in the stress response to biotic and abiotic influences, such as wounding, pathogen attack, and cold acclimation, but also drive developmental processes in cooperation with other plant hormones. The biogenesis of jasmonates starts in the chloroplast, where several enzymatic steps produce the jasmonate precursor 12-oxophytodienoic acid (OPDA) from α-linolenic acid. OPDA in turn is exported into the cytosol for further conversion into active jasmonates, which subsequently induces the expression of multiple genes in the nucleus. Despite its obvious importance, the export of OPDA across the chloroplast membranes has remained elusive. In this study, we characterized a protein residing in the chloroplast outer membrane, JASSY, which has proven indispensable for the export of OPDA from the chloroplast. We provide evidence that JASSY has channel-like properties and propose that it thereby facilitates OPDA transport. Consequently, a lack of JASSY in\n              Arabidopsis\n              leads to a deficiency in accumulation of jasmonic acids, which results in impaired expression of jasmonate target genes on exposure to various stresses. This results in plants that are more susceptible to pathogen attack and also exhibit defects in cold acclimation.","container-title":"Proceedings of the National Academy of Sciences","DOI":"10.1073/pnas.1900482116","ISSN":"0027-8424, 1091-6490","issue":"21","journalAbbreviation":"Proc. Natl. Acad. Sci. U.S.A.","language":"en","page":"10568-10575","source":"DOI.org (Crossref)","title":"JASSY, a chloroplast outer membrane protein required for jasmonate biosynthesis","volume":"116","author":[{"family":"Guan","given":"Li"},{"family":"Denkert","given":"Niels"},{"family":"Eisa","given":"Ahmed"},{"family":"Lehmann","given":"Martin"},{"family":"Sjuts","given":"Inga"},{"family":"Weiberg","given":"Arne"},{"family":"Soll","given":"Jürgen"},{"family":"Meinecke","given":"Michael"},{"family":"Schwenkert","given":"Serena"}],"issued":{"date-parts":[["2019",5,21]]}}}],"schema":"https://github.com/citation-style-language/schema/raw/master/csl-citation.json"} </w:instrText>
      </w:r>
      <w:r>
        <w:rPr>
          <w:rFonts w:ascii="Times New Roman" w:hAnsi="Times New Roman" w:cs="Times New Roman"/>
          <w:sz w:val="24"/>
          <w:szCs w:val="24"/>
        </w:rPr>
        <w:fldChar w:fldCharType="separate"/>
      </w:r>
      <w:r w:rsidRPr="0041617B">
        <w:rPr>
          <w:rFonts w:ascii="Times New Roman" w:hAnsi="Times New Roman" w:cs="Times New Roman"/>
          <w:sz w:val="24"/>
        </w:rPr>
        <w:t>(Guan et al., 2019)</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JA is finally formed in peroxisomes and further released to cytosol (Fig. </w:t>
      </w:r>
      <w:r w:rsidR="008172D6">
        <w:rPr>
          <w:rFonts w:ascii="Times New Roman" w:hAnsi="Times New Roman" w:cs="Times New Roman"/>
          <w:sz w:val="24"/>
          <w:szCs w:val="24"/>
        </w:rPr>
        <w:t>2</w:t>
      </w:r>
      <w:r w:rsidRPr="00595453">
        <w:rPr>
          <w:rFonts w:ascii="Times New Roman" w:hAnsi="Times New Roman" w:cs="Times New Roman"/>
          <w:sz w:val="24"/>
          <w:szCs w:val="24"/>
        </w:rPr>
        <w:t xml:space="preserve">B;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{"citationID":"edvdnwlW","properties":{"formattedCitation":"(Li et al., 2019; Wasternack and Hause, 2019)","plainCitation":"(Li et al., 2019; Wasternack and Hause, 2019)","dontUpdate":true,"noteIndex":0},"citationItems":[{"id":270,"uris":["http://zotero.org/users/10895598/items/6HN3ZG4I"],"itemData":{"id":270,"type":"article-journal","abstract":"During their lifetime, plants encounter numerous biotic and abiotic stresses with diverse modes of attack. Phytohormones, including salicylic acid (SA), ethylene (ET), jasmonate (JA), abscisic acid (ABA), auxin (AUX), brassinosteroid (BR), gibberellic acid (GA), cytokinin (CK) and the recently identified strigolactones (SLs), orchestrate effective defense responses by activating defense gene expression. Genetic analysis of the model plant Arabidopsis thaliana has advanced our understanding of the function of these hormones. The SA- and ET/JA-mediated signaling pathways were thought to be the backbone of plant immune responses against biotic invaders, whereas ABA, auxin, BR, GA, CK and SL were considered to be involved in the plant immune response through modulating the SA-ET/JA signaling pathways. In general, the SA-mediated defense response plays a central role in local and systemic-acquired resistance (SAR) against biotrophic pathogens, such as Pseudomonas syringae, which colonize between the host cells by producing nutrient-absorbing structures while keeping the host alive. The ET/JA-mediated response contributes to the defense against necrotrophic pathogens, such as Botrytis cinerea, which invade and kill hosts to extract their nutrients. Increasing evidence indicates that the SA- and ET/JA-mediated defense response pathways are mutually antagonistic.","container-title":"International Journal of Molecular Sciences","DOI":"10.3390/ijms20030671","ISSN":"1422-0067","issue":"3","journalAbbreviation":"IJMS","language":"en","page":"671","source":"DOI.org (Crossref)","title":"Signaling crosstalk between salicylic acid and ethylene/jasmonate in plant defense: Do we understand what they are whispering?","title-short":"Signaling Crosstalk between Salicylic Acid and Ethylene/Jasmonate in Plant Defense","volume":"20","author":[{"family":"Li","given":"Ning"},{"family":"Han","given":"Xiao"},{"family":"Feng","given":"Dan"},{"family":"Yuan","given":"Deyi"},{"family":"Huang","given":"Li-Jun"}],"issued":{"date-parts":[["2019",2,4]]}}},{"id":286,"uris":["http://zotero.org/users/10895598/items/PKV72HPH"],"itemData":{"id":286,"type":"article-journal","container-title":"Nature Plants","DOI":"10.1038/s41477-019-0492-y","ISSN":"2055-0278","issue":"8","journalAbbreviation":"Nat. Plants","language":"en","page":"776-777","source":"DOI.org (Crossref)","title":"The missing link in jasmonic acid biosynthesis","volume":"5","author":[{"family":"Wasternack","given":"Claus"},{"family":"Hause","given":"Bettina"}],"issued":{"date-parts":[["2019",8]]}}}],"schema":"https://github.com/citation-style-language/schema/raw/master/csl-citation.json"} </w:instrText>
      </w:r>
      <w:r>
        <w:rPr>
          <w:rFonts w:ascii="Times New Roman" w:hAnsi="Times New Roman" w:cs="Times New Roman"/>
          <w:sz w:val="24"/>
          <w:szCs w:val="24"/>
        </w:rPr>
        <w:fldChar w:fldCharType="separate"/>
      </w:r>
      <w:r w:rsidRPr="0041617B">
        <w:rPr>
          <w:rFonts w:ascii="Times New Roman" w:hAnsi="Times New Roman" w:cs="Times New Roman"/>
          <w:sz w:val="24"/>
        </w:rPr>
        <w:t>Li et al., 2019; Wasternack and Hause, 2019)</w:t>
      </w:r>
      <w:r>
        <w:rPr>
          <w:rFonts w:ascii="Times New Roman" w:hAnsi="Times New Roman" w:cs="Times New Roman"/>
          <w:sz w:val="24"/>
          <w:szCs w:val="24"/>
        </w:rPr>
        <w:fldChar w:fldCharType="end"/>
      </w:r>
      <w:r w:rsidRPr="00595453">
        <w:rPr>
          <w:rFonts w:ascii="Times New Roman" w:hAnsi="Times New Roman" w:cs="Times New Roman"/>
          <w:sz w:val="24"/>
          <w:szCs w:val="24"/>
        </w:rPr>
        <w:t>. Then, JA is transformed into JA-Ile, MeJA or 12-OH-JA in the cytoplasm</w:t>
      </w:r>
      <w:r w:rsidR="00C46636">
        <w:rPr>
          <w:rFonts w:ascii="Times New Roman" w:hAnsi="Times New Roman" w:cs="Times New Roman"/>
          <w:sz w:val="24"/>
          <w:szCs w:val="24"/>
        </w:rPr>
        <w:t xml:space="preserve"> </w:t>
      </w:r>
      <w:r w:rsidR="00C46636">
        <w:rPr>
          <w:rFonts w:ascii="Times New Roman" w:hAnsi="Times New Roman" w:cs="Times New Roman"/>
          <w:sz w:val="24"/>
          <w:szCs w:val="24"/>
        </w:rPr>
        <w:fldChar w:fldCharType="begin"/>
      </w:r>
      <w:r w:rsidR="00C46636">
        <w:rPr>
          <w:rFonts w:ascii="Times New Roman" w:hAnsi="Times New Roman" w:cs="Times New Roman"/>
          <w:sz w:val="24"/>
          <w:szCs w:val="24"/>
        </w:rPr>
        <w:instrText xml:space="preserve"> ADDIN ZOTERO_ITEM CSL_CITATION {"citationID":"GP96DCL6","properties":{"formattedCitation":"(Ruan et al., 2019)","plainCitation":"(Ruan et al., 2019)","noteIndex":0},"citationItems":[{"id":724,"uris":["http://zotero.org/users/10895598/items/DBI79LF6"],"itemData":{"id":724,"type":"article-journal","abstract":"Jasmonic acid (JA) and its precursors and dervatives, referred as jasmonates (JAs) are important molecules in the regulation of many physiological processes in plant growth and development, and especially the mediation of plant responses to biotic and abiotic stresses. JAs biosynthesis, perception, transport, signal transduction and action have been extensively investigated. In this review, we will discuss the initiation of JA signaling with a focus on environmental signal perception and transduction, JA biosynthesis and metabolism, transport of signaling molecules (local transmission, vascular bundle transmission, and airborne transportation), and biological function (JA signal receptors, regulated transcription factors, and biological processes involved).","container-title":"International Journal of Molecular Sciences","DOI":"10.3390/ijms20102479","ISSN":"1422-0067","issue":"10","journalAbbreviation":"IJMS","language":"en","license":"https://creativecommons.org/licenses/by/4.0/","page":"2479","source":"DOI.org (Crossref)","title":"Jasmonic acid signaling pathway in plants","volume":"20","author":[{"family":"Ruan","given":"Jingjun"},{"family":"Zhou","given":"Yuexia"},{"family":"Zhou","given":"Meiliang"},{"family":"Yan","given":"Jun"},{"family":"Khurshid","given":"Muhammad"},{"family":"Weng","given":"Wenfeng"},{"family":"Cheng","given":"Jianping"},{"family":"Zhang","given":"Kaixuan"}],"issued":{"date-parts":[["2019",5,20]]}}}],"schema":"https://github.com/citation-style-language/schema/raw/master/csl-citation.json"} </w:instrText>
      </w:r>
      <w:r w:rsidR="00C46636">
        <w:rPr>
          <w:rFonts w:ascii="Times New Roman" w:hAnsi="Times New Roman" w:cs="Times New Roman"/>
          <w:sz w:val="24"/>
          <w:szCs w:val="24"/>
        </w:rPr>
        <w:fldChar w:fldCharType="separate"/>
      </w:r>
      <w:r w:rsidR="00C46636" w:rsidRPr="00C46636">
        <w:rPr>
          <w:rFonts w:ascii="Times New Roman" w:hAnsi="Times New Roman" w:cs="Times New Roman"/>
          <w:sz w:val="24"/>
        </w:rPr>
        <w:t>(Ruan et al., 2019)</w:t>
      </w:r>
      <w:r w:rsidR="00C46636">
        <w:rPr>
          <w:rFonts w:ascii="Times New Roman" w:hAnsi="Times New Roman" w:cs="Times New Roman"/>
          <w:sz w:val="24"/>
          <w:szCs w:val="24"/>
        </w:rPr>
        <w:fldChar w:fldCharType="end"/>
      </w:r>
      <w:r w:rsidRPr="00595453">
        <w:rPr>
          <w:rFonts w:ascii="Times New Roman" w:hAnsi="Times New Roman" w:cs="Times New Roman"/>
          <w:sz w:val="24"/>
          <w:szCs w:val="24"/>
        </w:rPr>
        <w:t xml:space="preserve">. The main </w:t>
      </w:r>
      <w:r>
        <w:rPr>
          <w:rFonts w:ascii="Times New Roman" w:hAnsi="Times New Roman" w:cs="Times New Roman"/>
          <w:sz w:val="24"/>
          <w:szCs w:val="24"/>
        </w:rPr>
        <w:t>regulators</w:t>
      </w:r>
      <w:r w:rsidRPr="00595453">
        <w:rPr>
          <w:rFonts w:ascii="Times New Roman" w:hAnsi="Times New Roman" w:cs="Times New Roman"/>
          <w:sz w:val="24"/>
          <w:szCs w:val="24"/>
        </w:rPr>
        <w:t xml:space="preserve"> involved in the JA </w:t>
      </w:r>
      <w:proofErr w:type="spellStart"/>
      <w:r w:rsidRPr="00595453">
        <w:rPr>
          <w:rFonts w:ascii="Times New Roman" w:hAnsi="Times New Roman" w:cs="Times New Roman"/>
          <w:sz w:val="24"/>
          <w:szCs w:val="24"/>
        </w:rPr>
        <w:t>signaling</w:t>
      </w:r>
      <w:proofErr w:type="spellEnd"/>
      <w:r w:rsidRPr="00595453">
        <w:rPr>
          <w:rFonts w:ascii="Times New Roman" w:hAnsi="Times New Roman" w:cs="Times New Roman"/>
          <w:sz w:val="24"/>
          <w:szCs w:val="24"/>
        </w:rPr>
        <w:t xml:space="preserve"> as activators or repressors are CORONATINE INSENSITIVE 1 (COI1), JASMONATE ZIM-DOMAIN (JAZ) and MYC proteins, which interact with each other in different ways in response to stresses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{"citationID":"6BIoRjen","properties":{"formattedCitation":"(Boter et al., 2004; Chini et al., 2007; Xie et al., 1998)","plainCitation":"(Boter et al., 2004; Chini et al., 2007; Xie et al., 1998)","noteIndex":0},"citationItems":[{"id":623,"uris":["http://zotero.org/users/10895598/items/2C6ECAIQ"],"itemData":{"id":623,"type":"article-journal","abstract":"Jasmonates (JA) are important regulators of plant defense responses that activate expression of many wound-induced genes including the tomato proteinase inhibitor II (\n              pin2\n              ) and leucine aminopeptidase (\n              LAP\n              ) genes. Elements required for JA induction of the\n              LAP\n              gene are all present in the -317 to -78 proximal promoter region. Using yeast one-hybrid screening, we have identified the bHLH-leu zipper JAMYC2 and JAMYC10 proteins, specifically recognizing a T/G-box AACGTG motif in this promoter fragment. Mutation of the G-box element decreases JA-responsive\n              LAP\n              promoter expression. Expression of\n              JAMYC2\n              and\n              JAMYC10\n              is induced by JA, with a kinetics that precedes that of the\n              LAP\n              or\n              pin2\n              transcripts. JAMYC overexpression enhanced JA-induced expression of these defense genes in potato, but did not result in constitutive transcript accumulation. Using footprinting assays, an additional protected element was identified, located directly adjacent to the T/G-box motif. Mutation of this element abolishes JA response, showing that recognition of this duplicated element is also required for gene expression. Knockout mutants in the\n              AtMYC2\n              homolog gene of\n              Arabidopsis\n              are insensitive to JA and exhibit a decreased activation of the JA-responsive genes\n              AtVSP\n              and\n              JR1\n              . Activation of the\n              PDF1.2\n              and\n              b-CHI\n              , ethylene/JA-responsive genes, is, however, increased in these mutants. These results show that the JAMYC/AtMYC2 transcription factors function as members of a MYC-based regulatory system conserved in dicotyledonous plants with a key role in JA-induced defense gene activation.","container-title":"Genes &amp; Development","DOI":"10.1101/gad.297704","ISSN":"0890-9369, 1549-5477","issue":"13","journalAbbreviation":"Genes Dev.","language":"en","page":"1577-1591","source":"DOI.org (Crossref)","title":"Conserved MYC transcription factors play a key role in jasmonate signaling both in tomato and &lt;i&gt;Arabidopsis&lt;/i&gt;","volume":"18","author":[{"family":"Boter","given":"Marta"},{"family":"Ruíz-Rivero","given":"Omar"},{"family":"Abdeen","given":"Ashraf"},{"family":"Prat","given":"Salomé"}],"issued":{"date-parts":[["2004",7,1]]}}},{"id":624,"uris":["http://zotero.org/users/10895598/items/4CZ62INZ"],"itemData":{"id":624,"type":"article-journal","container-title":"Nature","DOI":"10.1038/nature06006","ISSN":"0028-0836, 1476-4687","issue":"7154","journalAbbreviation":"Nature","language":"en","page":"666-671","source":"DOI.org (Crossref)","title":"The JAZ family of repressors is the missing link in jasmonate signalling","volume":"448","author":[{"family":"Chini","given":"A."},{"family":"Fonseca","given":"S."},{"family":"Fernández","given":"G."},{"family":"Adie","given":"B."},{"family":"Chico","given":"J. M."},{"family":"Lorenzo","given":"O."},{"family":"García-Casado","given":"G."},{"family":"López-Vidriero","given":"I."},{"family":"Lozano","given":"F. M."},{"family":"Ponce","given":"M. R."},{"family":"Micol","given":"J. L."},{"family":"Solano","given":"R."}],"issued":{"date-parts":[["2007",8]]}}},{"id":622,"uris":["http://zotero.org/users/10895598/items/HNAI6935"],"itemData":{"id":622,"type":"article-journal","abstract":"The\n              coi1\n              mutation defines an\n              Arabidopsis\n              gene required for response to jasmonates, which regulate defense against insects and pathogens, wound healing, and pollen fertility. The wild-type allele,\n              COI1\n              , was mapped to a 90-kilobase genomic fragment and located by complementation of\n              coi1-1\n              mutants. The predicted amino acid sequence of the COI1 protein contains 16 leucine-rich repeats and an F-box motif. It has similarity to the F-box proteins\n              Arabidopsis\n              TIR1, human Skp2, and yeast Grr1, which appear to function by targeting repressor proteins for removal by ubiquitination.","container-title":"Science","DOI":"10.1126/science.280.5366.1091","ISSN":"0036-8075, 1095-9203","issue":"5366","journalAbbreviation":"Science","language":"en","page":"1091-1094","source":"DOI.org (Crossref)","title":"&lt;i&gt;COI1&lt;/i&gt; : an &lt;i&gt;Arabidopsis&lt;/i&gt; gene required for jasmonate-regulated defense and fertility","title-short":"&lt;i&gt;COI1&lt;/i&gt;","volume":"280","author":[{"family":"Xie","given":"Dao-Xin"},{"family":"Feys","given":"Bart F."},{"family":"James","given":"Sarah"},{"family":"Nieto-Rostro","given":"Manuela"},{"family":"Turner","given":"John G."}],"issued":{"date-parts":[["1998",5,15]]}}}],"schema":"https://github.com/citation-style-language/schema/raw/master/csl-citation.json"} </w:instrText>
      </w:r>
      <w:r>
        <w:rPr>
          <w:rFonts w:ascii="Times New Roman" w:hAnsi="Times New Roman" w:cs="Times New Roman"/>
          <w:sz w:val="24"/>
          <w:szCs w:val="24"/>
        </w:rPr>
        <w:fldChar w:fldCharType="separate"/>
      </w:r>
      <w:r w:rsidRPr="0041617B">
        <w:rPr>
          <w:rFonts w:ascii="Times New Roman" w:hAnsi="Times New Roman" w:cs="Times New Roman"/>
          <w:sz w:val="24"/>
        </w:rPr>
        <w:t>(Boter et al., 2004; Chini et al., 2007; Xie et al., 1998)</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For instance, </w:t>
      </w:r>
      <w:r>
        <w:rPr>
          <w:rFonts w:ascii="Times New Roman" w:hAnsi="Times New Roman" w:cs="Times New Roman"/>
          <w:sz w:val="24"/>
          <w:szCs w:val="24"/>
        </w:rPr>
        <w:t xml:space="preserve">JA-Ile binding to COI1 targets </w:t>
      </w:r>
      <w:r w:rsidRPr="00595453">
        <w:rPr>
          <w:rFonts w:ascii="Times New Roman" w:hAnsi="Times New Roman" w:cs="Times New Roman"/>
          <w:sz w:val="24"/>
          <w:szCs w:val="24"/>
        </w:rPr>
        <w:t xml:space="preserve">JAZ </w:t>
      </w:r>
      <w:r>
        <w:rPr>
          <w:rFonts w:ascii="Times New Roman" w:hAnsi="Times New Roman" w:cs="Times New Roman"/>
          <w:sz w:val="24"/>
          <w:szCs w:val="24"/>
        </w:rPr>
        <w:t xml:space="preserve">proteins for </w:t>
      </w:r>
      <w:r w:rsidRPr="00595453">
        <w:rPr>
          <w:rFonts w:ascii="Times New Roman" w:hAnsi="Times New Roman" w:cs="Times New Roman"/>
          <w:sz w:val="24"/>
          <w:szCs w:val="24"/>
        </w:rPr>
        <w:t>degradation</w:t>
      </w:r>
      <w:r>
        <w:rPr>
          <w:rFonts w:ascii="Times New Roman" w:hAnsi="Times New Roman" w:cs="Times New Roman"/>
          <w:sz w:val="24"/>
          <w:szCs w:val="24"/>
        </w:rPr>
        <w:t>; therefore,</w:t>
      </w:r>
      <w:r w:rsidRPr="00595453">
        <w:rPr>
          <w:rFonts w:ascii="Times New Roman" w:hAnsi="Times New Roman" w:cs="Times New Roman"/>
          <w:sz w:val="24"/>
          <w:szCs w:val="24"/>
        </w:rPr>
        <w:t xml:space="preserve"> MYC2 </w:t>
      </w:r>
      <w:r>
        <w:rPr>
          <w:rFonts w:ascii="Times New Roman" w:hAnsi="Times New Roman" w:cs="Times New Roman"/>
          <w:sz w:val="24"/>
          <w:szCs w:val="24"/>
        </w:rPr>
        <w:t xml:space="preserve">is activated </w:t>
      </w:r>
      <w:r w:rsidRPr="00595453">
        <w:rPr>
          <w:rFonts w:ascii="Times New Roman" w:hAnsi="Times New Roman" w:cs="Times New Roman"/>
          <w:sz w:val="24"/>
          <w:szCs w:val="24"/>
        </w:rPr>
        <w:lastRenderedPageBreak/>
        <w:t>trigger</w:t>
      </w:r>
      <w:r>
        <w:rPr>
          <w:rFonts w:ascii="Times New Roman" w:hAnsi="Times New Roman" w:cs="Times New Roman"/>
          <w:sz w:val="24"/>
          <w:szCs w:val="24"/>
        </w:rPr>
        <w:t>ing</w:t>
      </w:r>
      <w:r w:rsidRPr="00595453">
        <w:rPr>
          <w:rFonts w:ascii="Times New Roman" w:hAnsi="Times New Roman" w:cs="Times New Roman"/>
          <w:sz w:val="24"/>
          <w:szCs w:val="24"/>
        </w:rPr>
        <w:t xml:space="preserve"> the JA-regulated gene expression</w:t>
      </w:r>
      <w:r>
        <w:rPr>
          <w:rFonts w:ascii="Times New Roman" w:hAnsi="Times New Roman" w:cs="Times New Roman"/>
          <w:sz w:val="24"/>
          <w:szCs w:val="24"/>
        </w:rPr>
        <w:t xml:space="preserve"> </w:t>
      </w:r>
      <w:r w:rsidRPr="00595453">
        <w:rPr>
          <w:rFonts w:ascii="Times New Roman" w:hAnsi="Times New Roman" w:cs="Times New Roman"/>
          <w:sz w:val="24"/>
          <w:szCs w:val="24"/>
        </w:rPr>
        <w:t xml:space="preserve">in </w:t>
      </w:r>
      <w:r w:rsidRPr="00595453">
        <w:rPr>
          <w:rFonts w:ascii="Times New Roman" w:hAnsi="Times New Roman" w:cs="Times New Roman"/>
          <w:i/>
          <w:sz w:val="24"/>
          <w:szCs w:val="24"/>
        </w:rPr>
        <w:t>A. thaliana</w:t>
      </w:r>
      <w:r>
        <w:rPr>
          <w:rFonts w:ascii="Times New Roman" w:hAnsi="Times New Roman" w:cs="Times New Roman"/>
          <w:i/>
          <w:sz w:val="24"/>
          <w:szCs w:val="24"/>
        </w:rPr>
        <w:t xml:space="preserve">. </w:t>
      </w:r>
      <w:r>
        <w:rPr>
          <w:rFonts w:ascii="Times New Roman" w:hAnsi="Times New Roman" w:cs="Times New Roman"/>
          <w:sz w:val="24"/>
          <w:szCs w:val="24"/>
        </w:rPr>
        <w:t xml:space="preserve">However, </w:t>
      </w:r>
      <w:r w:rsidRPr="00595453">
        <w:rPr>
          <w:rFonts w:ascii="Times New Roman" w:hAnsi="Times New Roman" w:cs="Times New Roman"/>
          <w:sz w:val="24"/>
          <w:szCs w:val="24"/>
        </w:rPr>
        <w:t>the lack of JA leads to JAZ and MYC2 interaction and suppression of JA-regulated defence genes (Chini et al., 2007).</w:t>
      </w:r>
    </w:p>
    <w:p w14:paraId="79ECFD76" w14:textId="77777777" w:rsidR="00007653" w:rsidRPr="00595453" w:rsidRDefault="00007653" w:rsidP="00007653">
      <w:pPr>
        <w:spacing w:after="0" w:line="360" w:lineRule="auto"/>
        <w:jc w:val="both"/>
        <w:rPr>
          <w:rFonts w:ascii="Times New Roman" w:hAnsi="Times New Roman" w:cs="Times New Roman"/>
          <w:sz w:val="24"/>
          <w:szCs w:val="24"/>
        </w:rPr>
      </w:pPr>
    </w:p>
    <w:p w14:paraId="13C4886A" w14:textId="77777777" w:rsidR="00007653" w:rsidRPr="00E7693B" w:rsidRDefault="00007653" w:rsidP="006B61C5">
      <w:pPr>
        <w:pStyle w:val="Heading4"/>
      </w:pPr>
      <w:bookmarkStart w:id="9" w:name="_Toc167977583"/>
      <w:r w:rsidRPr="00E7693B">
        <w:t>Ethylene</w:t>
      </w:r>
      <w:bookmarkEnd w:id="9"/>
    </w:p>
    <w:p w14:paraId="75B1F763" w14:textId="77777777" w:rsidR="00007653" w:rsidRPr="00595453" w:rsidRDefault="00007653" w:rsidP="00007653">
      <w:pPr>
        <w:spacing w:after="0" w:line="360" w:lineRule="auto"/>
        <w:ind w:firstLine="708"/>
        <w:jc w:val="both"/>
        <w:rPr>
          <w:rFonts w:ascii="Times New Roman" w:hAnsi="Times New Roman" w:cs="Times New Roman"/>
          <w:sz w:val="24"/>
          <w:szCs w:val="24"/>
        </w:rPr>
      </w:pPr>
    </w:p>
    <w:p w14:paraId="476C8999" w14:textId="2306C902" w:rsidR="00007653" w:rsidRPr="00595453" w:rsidRDefault="00007653" w:rsidP="00007653">
      <w:pPr>
        <w:spacing w:after="0" w:line="360" w:lineRule="auto"/>
        <w:ind w:firstLine="708"/>
        <w:jc w:val="both"/>
        <w:rPr>
          <w:rFonts w:ascii="Times New Roman" w:hAnsi="Times New Roman" w:cs="Times New Roman"/>
          <w:sz w:val="24"/>
          <w:szCs w:val="24"/>
        </w:rPr>
      </w:pPr>
      <w:r w:rsidRPr="00595453">
        <w:rPr>
          <w:rFonts w:ascii="Times New Roman" w:hAnsi="Times New Roman" w:cs="Times New Roman"/>
          <w:sz w:val="24"/>
          <w:szCs w:val="24"/>
        </w:rPr>
        <w:t xml:space="preserve">Ethylene (ET) is a gaseous phytohormone, produced by a two-step enzymatic pathway, which begins with amino acid methionine, and it is also known as the “Yang cycle” (Fig. </w:t>
      </w:r>
      <w:r w:rsidR="008172D6">
        <w:rPr>
          <w:rFonts w:ascii="Times New Roman" w:hAnsi="Times New Roman" w:cs="Times New Roman"/>
          <w:sz w:val="24"/>
          <w:szCs w:val="24"/>
        </w:rPr>
        <w:t>2</w:t>
      </w:r>
      <w:r w:rsidRPr="00595453">
        <w:rPr>
          <w:rFonts w:ascii="Times New Roman" w:hAnsi="Times New Roman" w:cs="Times New Roman"/>
          <w:sz w:val="24"/>
          <w:szCs w:val="24"/>
        </w:rPr>
        <w:t xml:space="preserve">C;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{"citationID":"RJ56Ije4","properties":{"formattedCitation":"(Li et al., 2019; Miyazaki and Yang, 1987; Pattyn et al., 2021)","plainCitation":"(Li et al., 2019; Miyazaki and Yang, 1987; Pattyn et al., 2021)","dontUpdate":true,"noteIndex":0},"citationItems":[{"id":270,"uris":["http://zotero.org/users/10895598/items/6HN3ZG4I"],"itemData":{"id":270,"type":"article-journal","abstract":"During their lifetime, plants encounter numerous biotic and abiotic stresses with diverse modes of attack. Phytohormones, including salicylic acid (SA), ethylene (ET), jasmonate (JA), abscisic acid (ABA), auxin (AUX), brassinosteroid (BR), gibberellic acid (GA), cytokinin (CK) and the recently identified strigolactones (SLs), orchestrate effective defense responses by activating defense gene expression. Genetic analysis of the model plant Arabidopsis thaliana has advanced our understanding of the function of these hormones. The SA- and ET/JA-mediated signaling pathways were thought to be the backbone of plant immune responses against biotic invaders, whereas ABA, auxin, BR, GA, CK and SL were considered to be involved in the plant immune response through modulating the SA-ET/JA signaling pathways. In general, the SA-mediated defense response plays a central role in local and systemic-acquired resistance (SAR) against biotrophic pathogens, such as Pseudomonas syringae, which colonize between the host cells by producing nutrient-absorbing structures while keeping the host alive. The ET/JA-mediated response contributes to the defense against necrotrophic pathogens, such as Botrytis cinerea, which invade and kill hosts to extract their nutrients. Increasing evidence indicates that the SA- and ET/JA-mediated defense response pathways are mutually antagonistic.","container-title":"International Journal of Molecular Sciences","DOI":"10.3390/ijms20030671","ISSN":"1422-0067","issue":"3","journalAbbreviation":"IJMS","language":"en","page":"671","source":"DOI.org (Crossref)","title":"Signaling crosstalk between salicylic acid and ethylene/jasmonate in plant defense: Do we understand what they are whispering?","title-short":"Signaling Crosstalk between Salicylic Acid and Ethylene/Jasmonate in Plant Defense","volume":"20","author":[{"family":"Li","given":"Ning"},{"family":"Han","given":"Xiao"},{"family":"Feng","given":"Dan"},{"family":"Yuan","given":"Deyi"},{"family":"Huang","given":"Li-Jun"}],"issued":{"date-parts":[["2019",2,4]]}}},{"id":631,"uris":["http://zotero.org/users/10895598/items/ZAU943RX"],"itemData":{"id":631,"type":"article-journal","container-title":"Plant Physiology","DOI":"10.1104/pp.84.2.277","ISSN":"0032-0889, 1532-2548","issue":"2","journalAbbreviation":"Plant Physiol.","language":"en","page":"277-281","source":"DOI.org (Crossref)","title":"Metabolism of 5-methylthioribose to methionine","volume":"84","author":[{"family":"Miyazaki","given":"John H."},{"family":"Yang","given":"Shang Fa"}],"issued":{"date-parts":[["1987",6,1]]}}},{"id":284,"uris":["http://zotero.org/users/10895598/items/7TE5JT3Q"],"itemData":{"id":284,"type":"article-journal","container-title":"New Phytologist","DOI":"10.1111/nph.16873","ISSN":"0028-646X, 1469-8137","issue":"2","journalAbbreviation":"New Phytol","language":"en","page":"770-782","source":"DOI.org (Crossref)","title":"The regulation of ethylene biosynthesis: a complex multilevel control circuitry","title-short":"The regulation of ethylene biosynthesis","volume":"229","author":[{"family":"Pattyn","given":"Jolien"},{"family":"Vaughan‐Hirsch","given":"John"},{"family":"Van de Poel","given":"Bram"}],"issued":{"date-parts":[["2021",1]]}}}],"schema":"https://github.com/citation-style-language/schema/raw/master/csl-citation.json"} </w:instrText>
      </w:r>
      <w:r>
        <w:rPr>
          <w:rFonts w:ascii="Times New Roman" w:hAnsi="Times New Roman" w:cs="Times New Roman"/>
          <w:sz w:val="24"/>
          <w:szCs w:val="24"/>
        </w:rPr>
        <w:fldChar w:fldCharType="separate"/>
      </w:r>
      <w:r w:rsidRPr="0041617B">
        <w:rPr>
          <w:rFonts w:ascii="Times New Roman" w:hAnsi="Times New Roman" w:cs="Times New Roman"/>
          <w:sz w:val="24"/>
        </w:rPr>
        <w:t>Li et al., 2019; Miyazaki and Yang, 1987; Pattyn et al., 2021)</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Even though ET biosynthesis looks simple, it is undoubtedly more complex. Nonetheless, its regulation is less well understood compared to other described phytohormonal biosynthetic pathways, namely SA and JA. For a considerable time, ET has been recognized as a hormone regulating plant growth and developmental processes </w:t>
      </w:r>
      <w:hyperlink r:id="rId17">
        <w:r w:rsidRPr="00595453">
          <w:rPr>
            <w:rFonts w:ascii="Times New Roman" w:hAnsi="Times New Roman" w:cs="Times New Roman"/>
            <w:sz w:val="24"/>
            <w:szCs w:val="24"/>
          </w:rPr>
          <w:t>(Li et al., 2019)</w:t>
        </w:r>
      </w:hyperlink>
      <w:r w:rsidRPr="00595453">
        <w:rPr>
          <w:rFonts w:ascii="Times New Roman" w:hAnsi="Times New Roman" w:cs="Times New Roman"/>
          <w:sz w:val="24"/>
          <w:szCs w:val="24"/>
        </w:rPr>
        <w:t>.</w:t>
      </w:r>
    </w:p>
    <w:p w14:paraId="29E79D82" w14:textId="77777777" w:rsidR="00007653" w:rsidRDefault="00007653" w:rsidP="00007653">
      <w:pPr>
        <w:spacing w:line="360" w:lineRule="auto"/>
        <w:ind w:firstLine="708"/>
        <w:jc w:val="both"/>
        <w:rPr>
          <w:rFonts w:ascii="Times New Roman" w:hAnsi="Times New Roman" w:cs="Times New Roman"/>
        </w:rPr>
      </w:pPr>
      <w:r w:rsidRPr="00595453">
        <w:rPr>
          <w:rFonts w:ascii="Times New Roman" w:hAnsi="Times New Roman" w:cs="Times New Roman"/>
          <w:sz w:val="24"/>
          <w:szCs w:val="24"/>
        </w:rPr>
        <w:t xml:space="preserve">Based on the recent studies on </w:t>
      </w:r>
      <w:r w:rsidRPr="00595453">
        <w:rPr>
          <w:rFonts w:ascii="Times New Roman" w:hAnsi="Times New Roman" w:cs="Times New Roman"/>
          <w:i/>
          <w:sz w:val="24"/>
          <w:szCs w:val="24"/>
        </w:rPr>
        <w:t xml:space="preserve">A. thaliana </w:t>
      </w:r>
      <w:r w:rsidRPr="00595453">
        <w:rPr>
          <w:rFonts w:ascii="Times New Roman" w:hAnsi="Times New Roman" w:cs="Times New Roman"/>
          <w:sz w:val="24"/>
          <w:szCs w:val="24"/>
        </w:rPr>
        <w:t xml:space="preserve">ET-response mutants,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{"citationID":"2sgyINZV","properties":{"formattedCitation":"(Zhao et al., 2021)","plainCitation":"(Zhao et al., 2021)","dontUpdate":true,"noteIndex":0},"citationItems":[{"id":633,"uris":["http://zotero.org/users/10895598/items/NWUXLSFC"],"itemData":{"id":633,"type":"article-journal","abstract":"Abstract\n            \n              Ethylene is a gaseous hormone which plays important roles in both plant growth and development and stress responses. Based on studies in the dicot model plant species\n              Arabidopsis\n              , a linear ethylene signaling pathway has been established, according to which ethylene is perceived by ethylene receptors and transduced through CONSTITUTIVE TRIPLE RESPONSE 1 (CTR1) and ETHYLENE‐INSENSITIVE 2 (EIN2) to activate transcriptional reprogramming. In addition to this canonical signaling pathway, an alternative ethylene receptor‐mediated phosphor‐relay pathway has also been proposed to participate in ethylene signaling. In contrast to\n              Arabidopsis\n              , rice, a monocot, grows in semiaquatic environments and has a distinct plant structure. Several novel regulators and/or mechanisms of the rice ethylene signaling pathway have recently been identified, indicating that the ethylene signaling pathway in rice has its own unique features. In this review, we summarize the latest progress and compare the conserved and divergent aspects of the ethylene signaling pathway between\n              Arabidopsis\n              and rice. The crosstalk between ethylene and other plant hormones is also reviewed. Finally, we discuss how ethylene regulates plant growth, stress responses and agronomic traits. These analyses should help expand our knowledge of the ethylene signaling mechanism and could further be applied for agricultural purposes.","container-title":"Journal of Integrative Plant Biology","DOI":"10.1111/jipb.13028","ISSN":"1672-9072, 1744-7909","issue":"1","journalAbbreviation":"JIPB","language":"en","page":"102-125","source":"DOI.org (Crossref)","title":"Ethylene signaling in rice and &lt;i&gt;Arabidopsis&lt;/i&gt; : New regulators and mechanisms","title-short":"Ethylene signaling in rice and &lt;i&gt;Arabidopsis&lt;/i&gt;","volume":"63","author":[{"family":"Zhao","given":"He"},{"family":"Yin","given":"Cui‐Cui"},{"family":"Ma","given":"Biao"},{"family":"Chen","given":"Shou‐Yi"},{"family":"Zhang","given":"Jin‐Song"}],"issued":{"date-parts":[["2021",1]]}}}],"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Zhao et al.</w:t>
      </w:r>
      <w:r w:rsidRPr="0041617B">
        <w:rPr>
          <w:rFonts w:ascii="Times New Roman" w:hAnsi="Times New Roman" w:cs="Times New Roman"/>
          <w:sz w:val="24"/>
        </w:rPr>
        <w:t xml:space="preserve"> </w:t>
      </w:r>
      <w:r>
        <w:rPr>
          <w:rFonts w:ascii="Times New Roman" w:hAnsi="Times New Roman" w:cs="Times New Roman"/>
          <w:sz w:val="24"/>
        </w:rPr>
        <w:t>(</w:t>
      </w:r>
      <w:r w:rsidRPr="0041617B">
        <w:rPr>
          <w:rFonts w:ascii="Times New Roman" w:hAnsi="Times New Roman" w:cs="Times New Roman"/>
          <w:sz w:val="24"/>
        </w:rPr>
        <w:t>2021)</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595453">
        <w:rPr>
          <w:rFonts w:ascii="Times New Roman" w:hAnsi="Times New Roman" w:cs="Times New Roman"/>
          <w:sz w:val="24"/>
          <w:szCs w:val="24"/>
        </w:rPr>
        <w:t xml:space="preserve">suggested a model of the ET </w:t>
      </w:r>
      <w:proofErr w:type="spellStart"/>
      <w:r w:rsidRPr="00595453">
        <w:rPr>
          <w:rFonts w:ascii="Times New Roman" w:hAnsi="Times New Roman" w:cs="Times New Roman"/>
          <w:sz w:val="24"/>
          <w:szCs w:val="24"/>
        </w:rPr>
        <w:t>signaling</w:t>
      </w:r>
      <w:proofErr w:type="spellEnd"/>
      <w:r w:rsidRPr="00595453">
        <w:rPr>
          <w:rFonts w:ascii="Times New Roman" w:hAnsi="Times New Roman" w:cs="Times New Roman"/>
          <w:sz w:val="24"/>
          <w:szCs w:val="24"/>
        </w:rPr>
        <w:t xml:space="preserve"> in </w:t>
      </w:r>
      <w:r w:rsidRPr="00595453">
        <w:rPr>
          <w:rFonts w:ascii="Times New Roman" w:hAnsi="Times New Roman" w:cs="Times New Roman"/>
          <w:i/>
          <w:sz w:val="24"/>
          <w:szCs w:val="24"/>
        </w:rPr>
        <w:t>Arabidopsis</w:t>
      </w:r>
      <w:r w:rsidRPr="00595453">
        <w:rPr>
          <w:rFonts w:ascii="Times New Roman" w:hAnsi="Times New Roman" w:cs="Times New Roman"/>
          <w:sz w:val="24"/>
          <w:szCs w:val="24"/>
        </w:rPr>
        <w:t xml:space="preserve"> plants. Briefly, ET is perceived by ET receptors, </w:t>
      </w:r>
      <w:r w:rsidRPr="00595453">
        <w:rPr>
          <w:rFonts w:ascii="Times New Roman" w:hAnsi="Times New Roman" w:cs="Times New Roman"/>
          <w:i/>
          <w:sz w:val="24"/>
          <w:szCs w:val="24"/>
        </w:rPr>
        <w:t>i.e.</w:t>
      </w:r>
      <w:r w:rsidRPr="00595453">
        <w:rPr>
          <w:rFonts w:ascii="Times New Roman" w:hAnsi="Times New Roman" w:cs="Times New Roman"/>
          <w:sz w:val="24"/>
          <w:szCs w:val="24"/>
        </w:rPr>
        <w:t xml:space="preserve"> ETHYLENE RESPONSE 1 and 2 (ETR1 and ETR2), ETHYLENE RESPONSE SENSOR 1 and 2 (ERS1 and ERS2) and EIN4, at the membrane of endoplasmic reticulum (ER) and converted through the Raf‐like Ser/</w:t>
      </w:r>
      <w:proofErr w:type="spellStart"/>
      <w:r w:rsidRPr="00595453">
        <w:rPr>
          <w:rFonts w:ascii="Times New Roman" w:hAnsi="Times New Roman" w:cs="Times New Roman"/>
          <w:sz w:val="24"/>
          <w:szCs w:val="24"/>
        </w:rPr>
        <w:t>Thr</w:t>
      </w:r>
      <w:proofErr w:type="spellEnd"/>
      <w:r w:rsidRPr="00595453">
        <w:rPr>
          <w:rFonts w:ascii="Times New Roman" w:hAnsi="Times New Roman" w:cs="Times New Roman"/>
          <w:sz w:val="24"/>
          <w:szCs w:val="24"/>
        </w:rPr>
        <w:t xml:space="preserve"> kinase CTR1 and domain‐containing protein EIN2. Then, EIN3/EIN3‐LIKE (EIL) transcription factors get activated and trigger the expression of ET-responsive genes.</w:t>
      </w:r>
    </w:p>
    <w:p w14:paraId="35923F6C" w14:textId="77777777" w:rsidR="00007653" w:rsidRPr="00E7693B" w:rsidRDefault="00007653" w:rsidP="00007653">
      <w:pPr>
        <w:spacing w:line="360" w:lineRule="auto"/>
        <w:jc w:val="center"/>
        <w:rPr>
          <w:rFonts w:ascii="Times New Roman" w:hAnsi="Times New Roman" w:cs="Times New Roman"/>
        </w:rPr>
      </w:pPr>
      <w:r>
        <w:rPr>
          <w:rFonts w:ascii="Times New Roman" w:hAnsi="Times New Roman" w:cs="Times New Roman"/>
          <w:noProof/>
          <w:lang w:val="en-US"/>
        </w:rPr>
        <w:drawing>
          <wp:inline distT="0" distB="0" distL="0" distR="0" wp14:anchorId="54C1AC88" wp14:editId="2504CF60">
            <wp:extent cx="5760085" cy="2069465"/>
            <wp:effectExtent l="0" t="0" r="0" b="6985"/>
            <wp:docPr id="2000039804" name="Picture 200003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ure 6_ne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85" cy="2069465"/>
                    </a:xfrm>
                    <a:prstGeom prst="rect">
                      <a:avLst/>
                    </a:prstGeom>
                  </pic:spPr>
                </pic:pic>
              </a:graphicData>
            </a:graphic>
          </wp:inline>
        </w:drawing>
      </w:r>
    </w:p>
    <w:p w14:paraId="4697D8BE" w14:textId="2F23F077" w:rsidR="00007653" w:rsidRPr="00E7693B" w:rsidRDefault="00007653" w:rsidP="00007653">
      <w:pPr>
        <w:spacing w:before="240" w:after="0" w:line="360" w:lineRule="auto"/>
        <w:jc w:val="both"/>
        <w:rPr>
          <w:rFonts w:ascii="Times New Roman" w:hAnsi="Times New Roman" w:cs="Times New Roman"/>
        </w:rPr>
      </w:pPr>
      <w:r w:rsidRPr="00E7693B">
        <w:rPr>
          <w:rFonts w:ascii="Times New Roman" w:hAnsi="Times New Roman" w:cs="Times New Roman"/>
          <w:b/>
        </w:rPr>
        <w:t xml:space="preserve">Figure </w:t>
      </w:r>
      <w:r w:rsidR="00115163">
        <w:rPr>
          <w:rFonts w:ascii="Times New Roman" w:hAnsi="Times New Roman" w:cs="Times New Roman"/>
          <w:b/>
        </w:rPr>
        <w:t>2.</w:t>
      </w:r>
      <w:r w:rsidRPr="00E7693B">
        <w:rPr>
          <w:rFonts w:ascii="Times New Roman" w:hAnsi="Times New Roman" w:cs="Times New Roman"/>
          <w:b/>
        </w:rPr>
        <w:t xml:space="preserve"> </w:t>
      </w:r>
      <w:r w:rsidRPr="00E7693B">
        <w:rPr>
          <w:rFonts w:ascii="Times New Roman" w:hAnsi="Times New Roman" w:cs="Times New Roman"/>
        </w:rPr>
        <w:t xml:space="preserve">Biosynthesis of three main plant hormones: salicylic acid (SA), </w:t>
      </w:r>
      <w:proofErr w:type="spellStart"/>
      <w:r w:rsidRPr="00E7693B">
        <w:rPr>
          <w:rFonts w:ascii="Times New Roman" w:hAnsi="Times New Roman" w:cs="Times New Roman"/>
        </w:rPr>
        <w:t>jasmonic</w:t>
      </w:r>
      <w:proofErr w:type="spellEnd"/>
      <w:r w:rsidRPr="00E7693B">
        <w:rPr>
          <w:rFonts w:ascii="Times New Roman" w:hAnsi="Times New Roman" w:cs="Times New Roman"/>
        </w:rPr>
        <w:t xml:space="preserve"> acid (JA)</w:t>
      </w:r>
      <w:r>
        <w:rPr>
          <w:rFonts w:ascii="Times New Roman" w:hAnsi="Times New Roman" w:cs="Times New Roman"/>
        </w:rPr>
        <w:t>/</w:t>
      </w:r>
      <w:r w:rsidRPr="00A75D46">
        <w:rPr>
          <w:rFonts w:ascii="Times New Roman" w:hAnsi="Times New Roman" w:cs="Times New Roman"/>
        </w:rPr>
        <w:t xml:space="preserve"> </w:t>
      </w:r>
      <w:proofErr w:type="spellStart"/>
      <w:r>
        <w:rPr>
          <w:rFonts w:ascii="Times New Roman" w:hAnsi="Times New Roman" w:cs="Times New Roman"/>
        </w:rPr>
        <w:t>jasmonoyl</w:t>
      </w:r>
      <w:proofErr w:type="spellEnd"/>
      <w:r>
        <w:rPr>
          <w:rFonts w:ascii="Times New Roman" w:hAnsi="Times New Roman" w:cs="Times New Roman"/>
        </w:rPr>
        <w:t>-L-isoleucine (JA-Ile)</w:t>
      </w:r>
      <w:r w:rsidRPr="00E7693B">
        <w:rPr>
          <w:rFonts w:ascii="Times New Roman" w:hAnsi="Times New Roman" w:cs="Times New Roman"/>
        </w:rPr>
        <w:t xml:space="preserve"> and ethylene (ET). </w:t>
      </w:r>
      <w:r w:rsidRPr="00E7693B">
        <w:rPr>
          <w:rFonts w:ascii="Times New Roman" w:hAnsi="Times New Roman" w:cs="Times New Roman"/>
          <w:b/>
        </w:rPr>
        <w:t>A</w:t>
      </w:r>
      <w:r w:rsidR="00C11546">
        <w:rPr>
          <w:rFonts w:ascii="Times New Roman" w:hAnsi="Times New Roman" w:cs="Times New Roman"/>
          <w:b/>
        </w:rPr>
        <w:t>:</w:t>
      </w:r>
      <w:r w:rsidRPr="00E7693B">
        <w:rPr>
          <w:rFonts w:ascii="Times New Roman" w:hAnsi="Times New Roman" w:cs="Times New Roman"/>
        </w:rPr>
        <w:t xml:space="preserve"> SA biosynthesis via </w:t>
      </w:r>
      <w:proofErr w:type="spellStart"/>
      <w:r w:rsidRPr="00E7693B">
        <w:rPr>
          <w:rFonts w:ascii="Times New Roman" w:hAnsi="Times New Roman" w:cs="Times New Roman"/>
        </w:rPr>
        <w:t>isochorismate</w:t>
      </w:r>
      <w:proofErr w:type="spellEnd"/>
      <w:r w:rsidRPr="00E7693B">
        <w:rPr>
          <w:rFonts w:ascii="Times New Roman" w:hAnsi="Times New Roman" w:cs="Times New Roman"/>
        </w:rPr>
        <w:t xml:space="preserve"> (ICS) branch occurs in chloroplasts, where </w:t>
      </w:r>
      <w:proofErr w:type="spellStart"/>
      <w:r w:rsidRPr="00E7693B">
        <w:rPr>
          <w:rFonts w:ascii="Times New Roman" w:hAnsi="Times New Roman" w:cs="Times New Roman"/>
        </w:rPr>
        <w:t>isochorismate</w:t>
      </w:r>
      <w:proofErr w:type="spellEnd"/>
      <w:r w:rsidRPr="00E7693B">
        <w:rPr>
          <w:rFonts w:ascii="Times New Roman" w:hAnsi="Times New Roman" w:cs="Times New Roman"/>
        </w:rPr>
        <w:t xml:space="preserve"> synthase 1 and 2 (ICS1, ICS2) are stored, and their enzymatic activity converts chorismic acid to </w:t>
      </w:r>
      <w:proofErr w:type="spellStart"/>
      <w:r w:rsidRPr="00E7693B">
        <w:rPr>
          <w:rFonts w:ascii="Times New Roman" w:hAnsi="Times New Roman" w:cs="Times New Roman"/>
        </w:rPr>
        <w:t>isochorismic</w:t>
      </w:r>
      <w:proofErr w:type="spellEnd"/>
      <w:r w:rsidRPr="00E7693B">
        <w:rPr>
          <w:rFonts w:ascii="Times New Roman" w:hAnsi="Times New Roman" w:cs="Times New Roman"/>
        </w:rPr>
        <w:t xml:space="preserve"> acid. It is then suggested that SA is </w:t>
      </w:r>
      <w:r w:rsidRPr="00E7693B">
        <w:rPr>
          <w:rFonts w:ascii="Times New Roman" w:hAnsi="Times New Roman" w:cs="Times New Roman"/>
        </w:rPr>
        <w:lastRenderedPageBreak/>
        <w:t xml:space="preserve">synthesised by another enzyme, </w:t>
      </w:r>
      <w:proofErr w:type="spellStart"/>
      <w:r w:rsidRPr="00E7693B">
        <w:rPr>
          <w:rFonts w:ascii="Times New Roman" w:hAnsi="Times New Roman" w:cs="Times New Roman"/>
        </w:rPr>
        <w:t>isochorismate</w:t>
      </w:r>
      <w:proofErr w:type="spellEnd"/>
      <w:r w:rsidRPr="00E7693B">
        <w:rPr>
          <w:rFonts w:ascii="Times New Roman" w:hAnsi="Times New Roman" w:cs="Times New Roman"/>
        </w:rPr>
        <w:t xml:space="preserve"> pyruvate lyase (IPL). </w:t>
      </w:r>
      <w:r>
        <w:rPr>
          <w:rFonts w:ascii="Times New Roman" w:hAnsi="Times New Roman" w:cs="Times New Roman"/>
        </w:rPr>
        <w:t>The e</w:t>
      </w:r>
      <w:r w:rsidRPr="00E7693B">
        <w:rPr>
          <w:rFonts w:ascii="Times New Roman" w:hAnsi="Times New Roman" w:cs="Times New Roman"/>
        </w:rPr>
        <w:t xml:space="preserve">nzyme phenylalanine ammonia lyase (PAL) operates in cytosol by converting phenylalanine to </w:t>
      </w:r>
      <w:r w:rsidRPr="00E7693B">
        <w:rPr>
          <w:rFonts w:ascii="Times New Roman" w:hAnsi="Times New Roman" w:cs="Times New Roman"/>
          <w:i/>
        </w:rPr>
        <w:t>trans</w:t>
      </w:r>
      <w:r w:rsidRPr="00E7693B">
        <w:rPr>
          <w:rFonts w:ascii="Times New Roman" w:hAnsi="Times New Roman" w:cs="Times New Roman"/>
        </w:rPr>
        <w:t>-cinnamic acid (</w:t>
      </w:r>
      <w:r w:rsidRPr="00E7693B">
        <w:rPr>
          <w:rFonts w:ascii="Times New Roman" w:hAnsi="Times New Roman" w:cs="Times New Roman"/>
          <w:i/>
        </w:rPr>
        <w:t>t</w:t>
      </w:r>
      <w:r w:rsidRPr="00E7693B">
        <w:rPr>
          <w:rFonts w:ascii="Times New Roman" w:hAnsi="Times New Roman" w:cs="Times New Roman"/>
        </w:rPr>
        <w:t xml:space="preserve">-CA). </w:t>
      </w:r>
      <w:r w:rsidRPr="00E7693B">
        <w:rPr>
          <w:rFonts w:ascii="Times New Roman" w:hAnsi="Times New Roman" w:cs="Times New Roman"/>
          <w:i/>
        </w:rPr>
        <w:t>t</w:t>
      </w:r>
      <w:r w:rsidRPr="00E7693B">
        <w:rPr>
          <w:rFonts w:ascii="Times New Roman" w:hAnsi="Times New Roman" w:cs="Times New Roman"/>
        </w:rPr>
        <w:t xml:space="preserve">-CA is a precursor of biosynthesis of secondary metabolites phenols, such as flavonoids and </w:t>
      </w:r>
      <w:proofErr w:type="spellStart"/>
      <w:r w:rsidRPr="00E7693B">
        <w:rPr>
          <w:rFonts w:ascii="Times New Roman" w:hAnsi="Times New Roman" w:cs="Times New Roman"/>
        </w:rPr>
        <w:t>lignins</w:t>
      </w:r>
      <w:proofErr w:type="spellEnd"/>
      <w:r w:rsidRPr="00E7693B">
        <w:rPr>
          <w:rFonts w:ascii="Times New Roman" w:hAnsi="Times New Roman" w:cs="Times New Roman"/>
        </w:rPr>
        <w:t xml:space="preserve">. Further reaction converts </w:t>
      </w:r>
      <w:r w:rsidRPr="00E7693B">
        <w:rPr>
          <w:rFonts w:ascii="Times New Roman" w:hAnsi="Times New Roman" w:cs="Times New Roman"/>
          <w:i/>
        </w:rPr>
        <w:t>t</w:t>
      </w:r>
      <w:r w:rsidRPr="00E7693B">
        <w:rPr>
          <w:rFonts w:ascii="Times New Roman" w:hAnsi="Times New Roman" w:cs="Times New Roman"/>
        </w:rPr>
        <w:t xml:space="preserve">-CA to benzoic acid that leads to synthesis of SA. </w:t>
      </w:r>
      <w:r w:rsidRPr="00E7693B">
        <w:rPr>
          <w:rFonts w:ascii="Times New Roman" w:hAnsi="Times New Roman" w:cs="Times New Roman"/>
          <w:b/>
        </w:rPr>
        <w:t>B</w:t>
      </w:r>
      <w:r w:rsidR="00C11546">
        <w:rPr>
          <w:rFonts w:ascii="Times New Roman" w:hAnsi="Times New Roman" w:cs="Times New Roman"/>
          <w:b/>
        </w:rPr>
        <w:t>:</w:t>
      </w:r>
      <w:r w:rsidRPr="00E7693B">
        <w:rPr>
          <w:rFonts w:ascii="Times New Roman" w:hAnsi="Times New Roman" w:cs="Times New Roman"/>
          <w:b/>
        </w:rPr>
        <w:t xml:space="preserve"> </w:t>
      </w:r>
      <w:r w:rsidRPr="00E7693B">
        <w:rPr>
          <w:rFonts w:ascii="Times New Roman" w:hAnsi="Times New Roman" w:cs="Times New Roman"/>
        </w:rPr>
        <w:t>JA biosynthesis begins with the oxygenation of α-linolenic acid (α-</w:t>
      </w:r>
      <w:proofErr w:type="spellStart"/>
      <w:r w:rsidRPr="00E7693B">
        <w:rPr>
          <w:rFonts w:ascii="Times New Roman" w:hAnsi="Times New Roman" w:cs="Times New Roman"/>
        </w:rPr>
        <w:t>LeA</w:t>
      </w:r>
      <w:proofErr w:type="spellEnd"/>
      <w:r w:rsidRPr="00E7693B">
        <w:rPr>
          <w:rFonts w:ascii="Times New Roman" w:hAnsi="Times New Roman" w:cs="Times New Roman"/>
        </w:rPr>
        <w:t xml:space="preserve">) in chloroplasts, which is then catalysed by 13-lipoxygenase (LOX), allene oxide synthase (AOS) and allene oxide cyclase (AOC) to </w:t>
      </w:r>
      <w:r w:rsidRPr="00E7693B">
        <w:rPr>
          <w:rFonts w:ascii="Times New Roman" w:hAnsi="Times New Roman" w:cs="Times New Roman"/>
          <w:i/>
        </w:rPr>
        <w:t>cis</w:t>
      </w:r>
      <w:r w:rsidRPr="00E7693B">
        <w:rPr>
          <w:rFonts w:ascii="Times New Roman" w:hAnsi="Times New Roman" w:cs="Times New Roman"/>
        </w:rPr>
        <w:t>-12-oxophytodienoic acid (OPDA). OPDA produced in chloroplast is then transported by JASSY protein to peroxisomes, which eventually leads to JA formation.</w:t>
      </w:r>
      <w:r>
        <w:rPr>
          <w:rFonts w:ascii="Times New Roman" w:hAnsi="Times New Roman" w:cs="Times New Roman"/>
        </w:rPr>
        <w:t xml:space="preserve"> JA is further conjugated to JA-Ile by JA-amino synthetase (JAR1) in</w:t>
      </w:r>
      <w:r w:rsidRPr="00E7693B">
        <w:rPr>
          <w:rFonts w:ascii="Times New Roman" w:hAnsi="Times New Roman" w:cs="Times New Roman"/>
        </w:rPr>
        <w:t xml:space="preserve"> </w:t>
      </w:r>
      <w:r>
        <w:rPr>
          <w:rFonts w:ascii="Times New Roman" w:hAnsi="Times New Roman" w:cs="Times New Roman"/>
        </w:rPr>
        <w:t xml:space="preserve">cytosol. </w:t>
      </w:r>
      <w:r w:rsidRPr="00E7693B">
        <w:rPr>
          <w:rFonts w:ascii="Times New Roman" w:hAnsi="Times New Roman" w:cs="Times New Roman"/>
          <w:b/>
        </w:rPr>
        <w:t>C</w:t>
      </w:r>
      <w:r w:rsidR="00C11546">
        <w:rPr>
          <w:rFonts w:ascii="Times New Roman" w:hAnsi="Times New Roman" w:cs="Times New Roman"/>
          <w:b/>
        </w:rPr>
        <w:t>:</w:t>
      </w:r>
      <w:r w:rsidRPr="00E7693B">
        <w:rPr>
          <w:rFonts w:ascii="Times New Roman" w:hAnsi="Times New Roman" w:cs="Times New Roman"/>
          <w:b/>
        </w:rPr>
        <w:t xml:space="preserve"> </w:t>
      </w:r>
      <w:r w:rsidRPr="00E7693B">
        <w:rPr>
          <w:rFonts w:ascii="Times New Roman" w:hAnsi="Times New Roman" w:cs="Times New Roman"/>
        </w:rPr>
        <w:t xml:space="preserve">ET synthesis starts with conversion of </w:t>
      </w:r>
      <w:r w:rsidRPr="00E7693B">
        <w:rPr>
          <w:rFonts w:ascii="Times New Roman" w:hAnsi="Times New Roman" w:cs="Times New Roman"/>
          <w:i/>
        </w:rPr>
        <w:t>S</w:t>
      </w:r>
      <w:r w:rsidRPr="00E7693B">
        <w:rPr>
          <w:rFonts w:ascii="Times New Roman" w:hAnsi="Times New Roman" w:cs="Times New Roman"/>
        </w:rPr>
        <w:t>-adenosyl-methionine (SAM) to 1-aminocyclopropane-1-carboxylic acid (ACC) by an enzyme ACC-synthase (ACS). ACC is then catalysed by ACC-oxidase (ACO), resulting in ET production.</w:t>
      </w:r>
    </w:p>
    <w:p w14:paraId="4A62C7F1" w14:textId="77777777" w:rsidR="00007653" w:rsidRPr="0087642C" w:rsidRDefault="00007653" w:rsidP="00007653">
      <w:pPr>
        <w:spacing w:after="0" w:line="360" w:lineRule="auto"/>
        <w:jc w:val="both"/>
        <w:rPr>
          <w:rFonts w:ascii="Times New Roman" w:hAnsi="Times New Roman" w:cs="Times New Roman"/>
          <w:sz w:val="24"/>
          <w:szCs w:val="24"/>
        </w:rPr>
      </w:pPr>
    </w:p>
    <w:p w14:paraId="314B6747" w14:textId="77777777" w:rsidR="00007653" w:rsidRPr="00E7693B" w:rsidRDefault="00007653" w:rsidP="006B61C5">
      <w:pPr>
        <w:pStyle w:val="Heading4"/>
      </w:pPr>
      <w:bookmarkStart w:id="10" w:name="_Toc167977584"/>
      <w:r w:rsidRPr="00E7693B">
        <w:t>Phytohormonal crosstalk</w:t>
      </w:r>
      <w:bookmarkEnd w:id="10"/>
      <w:r w:rsidRPr="00E7693B">
        <w:t xml:space="preserve"> </w:t>
      </w:r>
    </w:p>
    <w:p w14:paraId="34C5CCE9" w14:textId="77777777" w:rsidR="00007653" w:rsidRPr="00595453" w:rsidRDefault="00007653" w:rsidP="00007653">
      <w:pPr>
        <w:spacing w:after="0" w:line="360" w:lineRule="auto"/>
        <w:jc w:val="both"/>
        <w:rPr>
          <w:rFonts w:ascii="Times New Roman" w:hAnsi="Times New Roman" w:cs="Times New Roman"/>
          <w:sz w:val="24"/>
          <w:szCs w:val="24"/>
        </w:rPr>
      </w:pPr>
    </w:p>
    <w:p w14:paraId="2352D060" w14:textId="52EA08A2" w:rsidR="00007653" w:rsidRPr="00595453" w:rsidRDefault="00007653" w:rsidP="00007653">
      <w:pPr>
        <w:spacing w:after="0" w:line="360" w:lineRule="auto"/>
        <w:ind w:firstLine="708"/>
        <w:jc w:val="both"/>
        <w:rPr>
          <w:rFonts w:ascii="Times New Roman" w:hAnsi="Times New Roman" w:cs="Times New Roman"/>
          <w:sz w:val="24"/>
          <w:szCs w:val="24"/>
        </w:rPr>
      </w:pPr>
      <w:r w:rsidRPr="00595453">
        <w:rPr>
          <w:rFonts w:ascii="Times New Roman" w:hAnsi="Times New Roman" w:cs="Times New Roman"/>
          <w:sz w:val="24"/>
          <w:szCs w:val="24"/>
        </w:rPr>
        <w:t xml:space="preserve">Studies on plant immunity underpin the pivotal role of cross-communicating hormones in the regulation of plant defence </w:t>
      </w:r>
      <w:proofErr w:type="spellStart"/>
      <w:r w:rsidRPr="00595453">
        <w:rPr>
          <w:rFonts w:ascii="Times New Roman" w:hAnsi="Times New Roman" w:cs="Times New Roman"/>
          <w:sz w:val="24"/>
          <w:szCs w:val="24"/>
        </w:rPr>
        <w:t>signaling</w:t>
      </w:r>
      <w:proofErr w:type="spellEnd"/>
      <w:r w:rsidRPr="00595453">
        <w:rPr>
          <w:rFonts w:ascii="Times New Roman" w:hAnsi="Times New Roman" w:cs="Times New Roman"/>
          <w:sz w:val="24"/>
          <w:szCs w:val="24"/>
        </w:rPr>
        <w:t xml:space="preserve"> network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{"citationID":"9IaenGRA","properties":{"formattedCitation":"(Verhage et al., 2010)","plainCitation":"(Verhage et al., 2010)","noteIndex":0},"citationItems":[{"id":171,"uris":["http://zotero.org/users/10895598/items/62TV8LTT"],"itemData":{"id":171,"type":"article-journal","container-title":"Plant Physiology","DOI":"10.1104/pp.110.161570","ISSN":"0032-0889, 1532-2548","issue":"2","journalAbbreviation":"Plant Physiol.","language":"en","page":"536-540","source":"DOI.org (Crossref)","title":"Plant immunity: it’s the hormones talking, but what do they say?","title-short":"Plant Immunity","volume":"154","author":[{"family":"Verhage","given":"Adriaan"},{"family":"Wees","given":"Saskia C.M.","non-dropping-particle":"van"},{"family":"Pieterse","given":"Corné M.J."}],"issued":{"date-parts":[["2010",10]]}}}],"schema":"https://github.com/citation-style-language/schema/raw/master/csl-citation.json"} </w:instrText>
      </w:r>
      <w:r>
        <w:rPr>
          <w:rFonts w:ascii="Times New Roman" w:hAnsi="Times New Roman" w:cs="Times New Roman"/>
          <w:sz w:val="24"/>
          <w:szCs w:val="24"/>
        </w:rPr>
        <w:fldChar w:fldCharType="separate"/>
      </w:r>
      <w:r w:rsidRPr="0041617B">
        <w:rPr>
          <w:rFonts w:ascii="Times New Roman" w:hAnsi="Times New Roman" w:cs="Times New Roman"/>
          <w:sz w:val="24"/>
        </w:rPr>
        <w:t>(Verhage et al., 2010)</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Cell wall composition and the activation of the cell wall defence responses against pathogenic and herbivorous attacks are regulated by phytohormonal crosstalk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{"citationID":"hGlpZUGH","properties":{"formattedCitation":"(Nafisi et al., 2015)","plainCitation":"(Nafisi et al., 2015)","noteIndex":0},"citationItems":[{"id":165,"uris":["http://zotero.org/users/10895598/items/G49TZRXB"],"itemData":{"id":165,"type":"article-journal","container-title":"Phytochemistry","DOI":"10.1016/j.phytochem.2014.11.008","ISSN":"00319422","journalAbbreviation":"Phytochemistry","language":"en","page":"63-71","source":"DOI.org (Crossref)","title":"Interplays between the cell wall and phytohormones in interaction between plants and necrotrophic pathogens","volume":"112","author":[{"family":"Nafisi","given":"Majse"},{"family":"Fimognari","given":"Lorenzo"},{"family":"Sakuragi","given":"Yumiko"}],"issued":{"date-parts":[["2015",4]]}}}],"schema":"https://github.com/citation-style-language/schema/raw/master/csl-citation.json"} </w:instrText>
      </w:r>
      <w:r>
        <w:rPr>
          <w:rFonts w:ascii="Times New Roman" w:hAnsi="Times New Roman" w:cs="Times New Roman"/>
          <w:sz w:val="24"/>
          <w:szCs w:val="24"/>
        </w:rPr>
        <w:fldChar w:fldCharType="separate"/>
      </w:r>
      <w:r w:rsidRPr="0041617B">
        <w:rPr>
          <w:rFonts w:ascii="Times New Roman" w:hAnsi="Times New Roman" w:cs="Times New Roman"/>
          <w:sz w:val="24"/>
        </w:rPr>
        <w:t>(Nafisi et al., 2015)</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Plant hormones communicate in </w:t>
      </w:r>
      <w:r>
        <w:rPr>
          <w:rFonts w:ascii="Times New Roman" w:hAnsi="Times New Roman" w:cs="Times New Roman"/>
          <w:sz w:val="24"/>
          <w:szCs w:val="24"/>
        </w:rPr>
        <w:t xml:space="preserve">a </w:t>
      </w:r>
      <w:r w:rsidRPr="00595453">
        <w:rPr>
          <w:rFonts w:ascii="Times New Roman" w:hAnsi="Times New Roman" w:cs="Times New Roman"/>
          <w:sz w:val="24"/>
          <w:szCs w:val="24"/>
        </w:rPr>
        <w:t xml:space="preserve">harmonious manner and create antagonistic or synergistic relationships as a response to environmental stimuli. There are many studies focusing on the antagonistic effect between specific </w:t>
      </w:r>
      <w:proofErr w:type="spellStart"/>
      <w:r w:rsidRPr="00595453">
        <w:rPr>
          <w:rFonts w:ascii="Times New Roman" w:hAnsi="Times New Roman" w:cs="Times New Roman"/>
          <w:sz w:val="24"/>
          <w:szCs w:val="24"/>
        </w:rPr>
        <w:t>signaling</w:t>
      </w:r>
      <w:proofErr w:type="spellEnd"/>
      <w:r w:rsidRPr="00595453">
        <w:rPr>
          <w:rFonts w:ascii="Times New Roman" w:hAnsi="Times New Roman" w:cs="Times New Roman"/>
          <w:sz w:val="24"/>
          <w:szCs w:val="24"/>
        </w:rPr>
        <w:t xml:space="preserve"> pathways, especially SA-mediated </w:t>
      </w:r>
      <w:proofErr w:type="spellStart"/>
      <w:r w:rsidRPr="00595453">
        <w:rPr>
          <w:rFonts w:ascii="Times New Roman" w:hAnsi="Times New Roman" w:cs="Times New Roman"/>
          <w:sz w:val="24"/>
          <w:szCs w:val="24"/>
        </w:rPr>
        <w:t>signaling</w:t>
      </w:r>
      <w:proofErr w:type="spellEnd"/>
      <w:r w:rsidRPr="00595453">
        <w:rPr>
          <w:rFonts w:ascii="Times New Roman" w:hAnsi="Times New Roman" w:cs="Times New Roman"/>
          <w:sz w:val="24"/>
          <w:szCs w:val="24"/>
        </w:rPr>
        <w:t xml:space="preserve"> towards JA/ET </w:t>
      </w:r>
      <w:proofErr w:type="spellStart"/>
      <w:r w:rsidRPr="00595453">
        <w:rPr>
          <w:rFonts w:ascii="Times New Roman" w:hAnsi="Times New Roman" w:cs="Times New Roman"/>
          <w:sz w:val="24"/>
          <w:szCs w:val="24"/>
        </w:rPr>
        <w:t>signaling</w:t>
      </w:r>
      <w:proofErr w:type="spellEnd"/>
      <w:r w:rsidRPr="00595453">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{"citationID":"yo3bjrmP","properties":{"formattedCitation":"(Li et al., 2006, 2019; Spoel et al., 2007)","plainCitation":"(Li et al., 2006, 2019; Spoel et al., 2007)","noteIndex":0},"citationItems":[{"id":272,"uris":["http://zotero.org/users/10895598/items/HQGUS42M"],"itemData":{"id":272,"type":"article-journal","container-title":"The Plant Journal","DOI":"10.1111/j.1365-313X.2006.02712.x","ISSN":"0960-7412, 1365-313X","issue":"3","journalAbbreviation":"The Plant Journal","language":"en","page":"477-491","source":"DOI.org (Crossref)","title":"WRKY70 modulates the selection of signaling pathways in plant defense","volume":"46","author":[{"family":"Li","given":"Jing"},{"family":"Brader","given":"Günter"},{"family":"Kariola","given":"Tarja"},{"family":"Tapio Palva","given":"E."}],"issued":{"date-parts":[["2006",5]]}}},{"id":270,"uris":["http://zotero.org/users/10895598/items/6HN3ZG4I"],"itemData":{"id":270,"type":"article-journal","abstract":"During their lifetime, plants encounter numerous biotic and abiotic stresses with diverse modes of attack. Phytohormones, including salicylic acid (SA), ethylene (ET), jasmonate (JA), abscisic acid (ABA), auxin (AUX), brassinosteroid (BR), gibberellic acid (GA), cytokinin (CK) and the recently identified strigolactones (SLs), orchestrate effective defense responses by activating defense gene expression. Genetic analysis of the model plant Arabidopsis thaliana has advanced our understanding of the function of these hormones. The SA- and ET/JA-mediated signaling pathways were thought to be the backbone of plant immune responses against biotic invaders, whereas ABA, auxin, BR, GA, CK and SL were considered to be involved in the plant immune response through modulating the SA-ET/JA signaling pathways. In general, the SA-mediated defense response plays a central role in local and systemic-acquired resistance (SAR) against biotrophic pathogens, such as Pseudomonas syringae, which colonize between the host cells by producing nutrient-absorbing structures while keeping the host alive. The ET/JA-mediated response contributes to the defense against necrotrophic pathogens, such as Botrytis cinerea, which invade and kill hosts to extract their nutrients. Increasing evidence indicates that the SA- and ET/JA-mediated defense response pathways are mutually antagonistic.","container-title":"International Journal of Molecular Sciences","DOI":"10.3390/ijms20030671","ISSN":"1422-0067","issue":"3","journalAbbreviation":"IJMS","language":"en","page":"671","source":"DOI.org (Crossref)","title":"Signaling crosstalk between salicylic acid and ethylene/jasmonate in plant defense: Do we understand what they are whispering?","title-short":"Signaling Crosstalk between Salicylic Acid and Ethylene/Jasmonate in Plant Defense","volume":"20","author":[{"family":"Li","given":"Ning"},{"family":"Han","given":"Xiao"},{"family":"Feng","given":"Dan"},{"family":"Yuan","given":"Deyi"},{"family":"Huang","given":"Li-Jun"}],"issued":{"date-parts":[["2019",2,4]]}}},{"id":267,"uris":["http://zotero.org/users/10895598/items/WSFQXB8K"],"itemData":{"id":267,"type":"article-journal","abstract":"Plants activate distinct defense responses depending on the lifestyle of the attacker encountered. In these responses, salicylic acid (SA) and jasmonic acid (JA) play important signaling roles. SA induces defense against biotrophic pathogens that feed and reproduce on live host cells, whereas JA activates defense against necrotrophic pathogens that kill host cells for nutrition and reproduction. Cross-talk between these defense signaling pathways has been shown to optimize the response against a single attacker. However, its role in defense against multiple pathogens with distinct lifestyles is unknown. Here we show that infection with biotrophic\n              Pseudomonas syringae\n              , which induces SA-mediated defense, rendered plants more susceptible to the necrotrophic pathogen\n              Alternaria brassicicola\n              by suppression of the JA signaling pathway. This process was partly dependent on the cross-talk modulator NPR1. Surprisingly, this tradeoff was restricted to tissues adjacent to the site of initial infection;\n              A. brassicicola\n              infection in systemic tissue was not affected. Even more surprisingly, tradeoff occurred only with the virulent\n              Pseudomonas\n              strain. Avirulent strains that induced programmed cell death (PCD), an effective plant-resistance mechanism against biotrophs, did not cause suppression of JA-dependent defense. This result might be advantageous to the plant by preventing necrotrophic pathogen growth in tissues undergoing PCD. Our findings show that plants tightly control cross-talk between SA- and JA-dependent defenses in a previously unrecognized spatial and pathogen type-specific fashion. This process allows them to prevent unfavorable signal interactions and maximize their ability to concomitantly fend off multiple pathogens.","container-title":"Proceedings of the National Academy of Sciences","DOI":"10.1073/pnas.0708139104","ISSN":"0027-8424, 1091-6490","issue":"47","journalAbbreviation":"Proc. Natl. Acad. Sci. U.S.A.","language":"en","page":"18842-18847","source":"DOI.org (Crossref)","title":"Regulation of tradeoffs between plant defenses against pathogens with different lifestyles","volume":"104","author":[{"family":"Spoel","given":"Steven H."},{"family":"Johnson","given":"Jessica S."},{"family":"Dong","given":"Xinnian"}],"issued":{"date-parts":[["2007",11,20]]}}}],"schema":"https://github.com/citation-style-language/schema/raw/master/csl-citation.json"} </w:instrText>
      </w:r>
      <w:r>
        <w:rPr>
          <w:rFonts w:ascii="Times New Roman" w:hAnsi="Times New Roman" w:cs="Times New Roman"/>
          <w:sz w:val="24"/>
          <w:szCs w:val="24"/>
        </w:rPr>
        <w:fldChar w:fldCharType="separate"/>
      </w:r>
      <w:r w:rsidRPr="0041617B">
        <w:rPr>
          <w:rFonts w:ascii="Times New Roman" w:hAnsi="Times New Roman" w:cs="Times New Roman"/>
          <w:sz w:val="24"/>
        </w:rPr>
        <w:t>(Li et al., 2006, 2019; Spoel et al., 2007)</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For instance, SA-induced gene </w:t>
      </w:r>
      <w:r w:rsidRPr="00595453">
        <w:rPr>
          <w:rFonts w:ascii="Times New Roman" w:hAnsi="Times New Roman" w:cs="Times New Roman"/>
          <w:i/>
          <w:sz w:val="24"/>
          <w:szCs w:val="24"/>
        </w:rPr>
        <w:t xml:space="preserve">WRKY70 </w:t>
      </w:r>
      <w:r w:rsidRPr="00595453">
        <w:rPr>
          <w:rFonts w:ascii="Times New Roman" w:hAnsi="Times New Roman" w:cs="Times New Roman"/>
          <w:sz w:val="24"/>
          <w:szCs w:val="24"/>
        </w:rPr>
        <w:t xml:space="preserve">was reported to suppress the expression of JA-responsive gene </w:t>
      </w:r>
      <w:r w:rsidRPr="00595453">
        <w:rPr>
          <w:rFonts w:ascii="Times New Roman" w:hAnsi="Times New Roman" w:cs="Times New Roman"/>
          <w:i/>
          <w:sz w:val="24"/>
          <w:szCs w:val="24"/>
        </w:rPr>
        <w:t xml:space="preserve">PDF1.2 </w:t>
      </w:r>
      <w:r w:rsidRPr="00595453">
        <w:rPr>
          <w:rFonts w:ascii="Times New Roman" w:hAnsi="Times New Roman" w:cs="Times New Roman"/>
          <w:sz w:val="24"/>
          <w:szCs w:val="24"/>
        </w:rPr>
        <w:t xml:space="preserve">in </w:t>
      </w:r>
      <w:r w:rsidRPr="00595453">
        <w:rPr>
          <w:rFonts w:ascii="Times New Roman" w:hAnsi="Times New Roman" w:cs="Times New Roman"/>
          <w:i/>
          <w:sz w:val="24"/>
          <w:szCs w:val="24"/>
        </w:rPr>
        <w:t>A.</w:t>
      </w:r>
      <w:r w:rsidR="001A6928">
        <w:rPr>
          <w:rFonts w:ascii="Times New Roman" w:hAnsi="Times New Roman" w:cs="Times New Roman"/>
          <w:i/>
          <w:sz w:val="24"/>
          <w:szCs w:val="24"/>
        </w:rPr>
        <w:t xml:space="preserve"> </w:t>
      </w:r>
      <w:r w:rsidRPr="00595453">
        <w:rPr>
          <w:rFonts w:ascii="Times New Roman" w:hAnsi="Times New Roman" w:cs="Times New Roman"/>
          <w:i/>
          <w:sz w:val="24"/>
          <w:szCs w:val="24"/>
        </w:rPr>
        <w:t xml:space="preserve">thaliana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{"citationID":"1F8TY3I2","properties":{"formattedCitation":"(Li et al., 2006, 2004)","plainCitation":"(Li et al., 2006, 2004)","noteIndex":0},"citationItems":[{"id":272,"uris":["http://zotero.org/users/10895598/items/HQGUS42M"],"itemData":{"id":272,"type":"article-journal","container-title":"The Plant Journal","DOI":"10.1111/j.1365-313X.2006.02712.x","ISSN":"0960-7412, 1365-313X","issue":"3","journalAbbreviation":"The Plant Journal","language":"en","page":"477-491","source":"DOI.org (Crossref)","title":"WRKY70 modulates the selection of signaling pathways in plant defense","volume":"46","author":[{"family":"Li","given":"Jing"},{"family":"Brader","given":"Günter"},{"family":"Kariola","given":"Tarja"},{"family":"Tapio Palva","given":"E."}],"issued":{"date-parts":[["2006",5]]}}},{"id":274,"uris":["http://zotero.org/users/10895598/items/X5VG6KEV"],"itemData":{"id":274,"type":"article-journal","abstract":"Abstract\n            Cross talk between salicylic acid (SA)– and jasmonic acid (JA)–dependent defense signaling has been well documented in plants, but how this cross talk is executed and the components involved remain to be elucidated. We demonstrate that the plant-specific transcription factor WRKY70 is a common component in SA- and JA-mediated signal pathways. Expression of WRKY70 is activated by SA and repressed by JA. The early induction of WRKY70 by SA is NPR1-independent, but functional NPR1 is required for full-scale induction. Epistasis analysis suggested that WRKY70 is downstream of NPR1 in an SA-dependent signal pathway. Modulation of WRKY70 transcript levels by constitutive overexpression increases resistance to virulent pathogens and results in constitutive expression of SA-induced pathogenesis-related genes. Conversely, antisense suppression of WRKY70 activates JA-responsive/COI1-dependent genes. The effect of WRKY70 is not caused by subsequent changes in SA or JA levels. We suggest that WRKY70 acts as an activator of SA-induced genes and a repressor of JA-responsive genes, integrating signals from these mutually antagonistic pathways.","container-title":"The Plant Cell","DOI":"10.1105/tpc.016980","ISSN":"1532-298X","issue":"2","language":"en","page":"319-331","source":"DOI.org (Crossref)","title":"The WRKY70 transcription factor: A node of convergence for jasmonate-mediated and salicylate-mediated signals in plant defense","title-short":"The WRKY70 Transcription Factor","volume":"16","author":[{"family":"Li","given":"Jing"},{"family":"Brader","given":"Günter"},{"family":"Palva","given":"E. Tapio"}],"issued":{"date-parts":[["2004",2,6]]}}}],"schema":"https://github.com/citation-style-language/schema/raw/master/csl-citation.json"} </w:instrText>
      </w:r>
      <w:r>
        <w:rPr>
          <w:rFonts w:ascii="Times New Roman" w:hAnsi="Times New Roman" w:cs="Times New Roman"/>
          <w:sz w:val="24"/>
          <w:szCs w:val="24"/>
        </w:rPr>
        <w:fldChar w:fldCharType="separate"/>
      </w:r>
      <w:r w:rsidRPr="0041617B">
        <w:rPr>
          <w:rFonts w:ascii="Times New Roman" w:hAnsi="Times New Roman" w:cs="Times New Roman"/>
          <w:sz w:val="24"/>
        </w:rPr>
        <w:t>(Li et al., 2006, 2004)</w:t>
      </w:r>
      <w:r>
        <w:rPr>
          <w:rFonts w:ascii="Times New Roman" w:hAnsi="Times New Roman" w:cs="Times New Roman"/>
          <w:sz w:val="24"/>
          <w:szCs w:val="24"/>
        </w:rPr>
        <w:fldChar w:fldCharType="end"/>
      </w:r>
      <w:r w:rsidRPr="00595453">
        <w:rPr>
          <w:rFonts w:ascii="Times New Roman" w:hAnsi="Times New Roman" w:cs="Times New Roman"/>
          <w:i/>
          <w:sz w:val="24"/>
          <w:szCs w:val="24"/>
        </w:rPr>
        <w:t xml:space="preserve">. </w:t>
      </w:r>
      <w:r w:rsidRPr="00595453">
        <w:rPr>
          <w:rFonts w:ascii="Times New Roman" w:hAnsi="Times New Roman" w:cs="Times New Roman"/>
          <w:sz w:val="24"/>
          <w:szCs w:val="24"/>
        </w:rPr>
        <w:t xml:space="preserve">Since NPR1 protein is the main regulator of SA downstream </w:t>
      </w:r>
      <w:proofErr w:type="spellStart"/>
      <w:r w:rsidRPr="00595453">
        <w:rPr>
          <w:rFonts w:ascii="Times New Roman" w:hAnsi="Times New Roman" w:cs="Times New Roman"/>
          <w:sz w:val="24"/>
          <w:szCs w:val="24"/>
        </w:rPr>
        <w:t>signaling</w:t>
      </w:r>
      <w:proofErr w:type="spellEnd"/>
      <w:r w:rsidRPr="00595453">
        <w:rPr>
          <w:rFonts w:ascii="Times New Roman" w:hAnsi="Times New Roman" w:cs="Times New Roman"/>
          <w:sz w:val="24"/>
          <w:szCs w:val="24"/>
        </w:rPr>
        <w:t xml:space="preserve"> and the one required for the expression of </w:t>
      </w:r>
      <w:r w:rsidRPr="00595453">
        <w:rPr>
          <w:rFonts w:ascii="Times New Roman" w:hAnsi="Times New Roman" w:cs="Times New Roman"/>
          <w:i/>
          <w:sz w:val="24"/>
          <w:szCs w:val="24"/>
        </w:rPr>
        <w:t xml:space="preserve">WRKY70 </w:t>
      </w:r>
      <w:r w:rsidRPr="00595453">
        <w:rPr>
          <w:rFonts w:ascii="Times New Roman" w:hAnsi="Times New Roman" w:cs="Times New Roman"/>
          <w:sz w:val="24"/>
          <w:szCs w:val="24"/>
        </w:rPr>
        <w:t xml:space="preserve">gene, it can therefore be suggested that NPR1 is essential for crosstalk between SA-JA/ET, and that </w:t>
      </w:r>
      <w:r>
        <w:rPr>
          <w:rFonts w:ascii="Times New Roman" w:hAnsi="Times New Roman" w:cs="Times New Roman"/>
          <w:sz w:val="24"/>
          <w:szCs w:val="24"/>
        </w:rPr>
        <w:t xml:space="preserve">the </w:t>
      </w:r>
      <w:r w:rsidRPr="00595453">
        <w:rPr>
          <w:rFonts w:ascii="Times New Roman" w:hAnsi="Times New Roman" w:cs="Times New Roman"/>
          <w:sz w:val="24"/>
          <w:szCs w:val="24"/>
        </w:rPr>
        <w:t xml:space="preserve">WRKY70 transcription factor can act as a connection point between JA and SA </w:t>
      </w:r>
      <w:proofErr w:type="spellStart"/>
      <w:r w:rsidRPr="00595453">
        <w:rPr>
          <w:rFonts w:ascii="Times New Roman" w:hAnsi="Times New Roman" w:cs="Times New Roman"/>
          <w:sz w:val="24"/>
          <w:szCs w:val="24"/>
        </w:rPr>
        <w:t>signaling</w:t>
      </w:r>
      <w:proofErr w:type="spellEnd"/>
      <w:r w:rsidRPr="00595453">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{"citationID":"NyTSHb4c","properties":{"formattedCitation":"(Li et al., 2019; Yang et al., 2019)","plainCitation":"(Li et al., 2019; Yang et al., 2019)","noteIndex":0},"citationItems":[{"id":270,"uris":["http://zotero.org/users/10895598/items/6HN3ZG4I"],"itemData":{"id":270,"type":"article-journal","abstract":"During their lifetime, plants encounter numerous biotic and abiotic stresses with diverse modes of attack. Phytohormones, including salicylic acid (SA), ethylene (ET), jasmonate (JA), abscisic acid (ABA), auxin (AUX), brassinosteroid (BR), gibberellic acid (GA), cytokinin (CK) and the recently identified strigolactones (SLs), orchestrate effective defense responses by activating defense gene expression. Genetic analysis of the model plant Arabidopsis thaliana has advanced our understanding of the function of these hormones. The SA- and ET/JA-mediated signaling pathways were thought to be the backbone of plant immune responses against biotic invaders, whereas ABA, auxin, BR, GA, CK and SL were considered to be involved in the plant immune response through modulating the SA-ET/JA signaling pathways. In general, the SA-mediated defense response plays a central role in local and systemic-acquired resistance (SAR) against biotrophic pathogens, such as Pseudomonas syringae, which colonize between the host cells by producing nutrient-absorbing structures while keeping the host alive. The ET/JA-mediated response contributes to the defense against necrotrophic pathogens, such as Botrytis cinerea, which invade and kill hosts to extract their nutrients. Increasing evidence indicates that the SA- and ET/JA-mediated defense response pathways are mutually antagonistic.","container-title":"International Journal of Molecular Sciences","DOI":"10.3390/ijms20030671","ISSN":"1422-0067","issue":"3","journalAbbreviation":"IJMS","language":"en","page":"671","source":"DOI.org (Crossref)","title":"Signaling crosstalk between salicylic acid and ethylene/jasmonate in plant defense: Do we understand what they are whispering?","title-short":"Signaling Crosstalk between Salicylic Acid and Ethylene/Jasmonate in Plant Defense","volume":"20","author":[{"family":"Li","given":"Ning"},{"family":"Han","given":"Xiao"},{"family":"Feng","given":"Dan"},{"family":"Yuan","given":"Deyi"},{"family":"Huang","given":"Li-Jun"}],"issued":{"date-parts":[["2019",2,4]]}}},{"id":620,"uris":["http://zotero.org/users/10895598/items/VFIZIGE2"],"itemData":{"id":620,"type":"article-journal","container-title":"Frontiers in Plant Science","DOI":"10.3389/fpls.2019.01349","ISSN":"1664-462X","journalAbbreviation":"Front. Plant Sci.","page":"1349","source":"DOI.org (Crossref)","title":"The crosstalks between jasmonic acid and other plant hormone signaling highlight the involvement of jasmonic acid as a core component in plant response to biotic and abiotic stresses","volume":"10","author":[{"family":"Yang","given":"Jing"},{"family":"Duan","given":"Guihua"},{"family":"Li","given":"Chunqin"},{"family":"Liu","given":"Lin"},{"family":"Han","given":"Guangyu"},{"family":"Zhang","given":"Yaling"},{"family":"Wang","given":"Changmi"}],"issued":{"date-parts":[["2019",10,18]]}}}],"schema":"https://github.com/citation-style-language/schema/raw/master/csl-citation.json"} </w:instrText>
      </w:r>
      <w:r>
        <w:rPr>
          <w:rFonts w:ascii="Times New Roman" w:hAnsi="Times New Roman" w:cs="Times New Roman"/>
          <w:sz w:val="24"/>
          <w:szCs w:val="24"/>
        </w:rPr>
        <w:fldChar w:fldCharType="separate"/>
      </w:r>
      <w:r w:rsidRPr="00B24994">
        <w:rPr>
          <w:rFonts w:ascii="Times New Roman" w:hAnsi="Times New Roman" w:cs="Times New Roman"/>
          <w:sz w:val="24"/>
        </w:rPr>
        <w:t>(Li et al., 2019; Yang et al., 2019)</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SA and JA can also be synergistic, as it was found when tomato was infected with </w:t>
      </w:r>
      <w:r w:rsidRPr="00595453">
        <w:rPr>
          <w:rFonts w:ascii="Times New Roman" w:hAnsi="Times New Roman" w:cs="Times New Roman"/>
          <w:i/>
          <w:sz w:val="24"/>
          <w:szCs w:val="24"/>
        </w:rPr>
        <w:t xml:space="preserve">Pseudomonas </w:t>
      </w:r>
      <w:proofErr w:type="spellStart"/>
      <w:r w:rsidRPr="00595453">
        <w:rPr>
          <w:rFonts w:ascii="Times New Roman" w:hAnsi="Times New Roman" w:cs="Times New Roman"/>
          <w:i/>
          <w:sz w:val="24"/>
          <w:szCs w:val="24"/>
        </w:rPr>
        <w:t>syringae</w:t>
      </w:r>
      <w:proofErr w:type="spellEnd"/>
      <w:r w:rsidRPr="00595453">
        <w:rPr>
          <w:rFonts w:ascii="Times New Roman" w:hAnsi="Times New Roman" w:cs="Times New Roman"/>
          <w:i/>
          <w:sz w:val="24"/>
          <w:szCs w:val="24"/>
        </w:rPr>
        <w:t xml:space="preserve"> </w:t>
      </w:r>
      <w:proofErr w:type="spellStart"/>
      <w:r w:rsidRPr="00595453">
        <w:rPr>
          <w:rFonts w:ascii="Times New Roman" w:hAnsi="Times New Roman" w:cs="Times New Roman"/>
          <w:sz w:val="24"/>
          <w:szCs w:val="24"/>
        </w:rPr>
        <w:t>pv</w:t>
      </w:r>
      <w:proofErr w:type="spellEnd"/>
      <w:r w:rsidRPr="00595453">
        <w:rPr>
          <w:rFonts w:ascii="Times New Roman" w:hAnsi="Times New Roman" w:cs="Times New Roman"/>
          <w:sz w:val="24"/>
          <w:szCs w:val="24"/>
        </w:rPr>
        <w:t xml:space="preserve">. </w:t>
      </w:r>
      <w:r w:rsidRPr="00595453">
        <w:rPr>
          <w:rFonts w:ascii="Times New Roman" w:hAnsi="Times New Roman" w:cs="Times New Roman"/>
          <w:i/>
          <w:sz w:val="24"/>
          <w:szCs w:val="24"/>
        </w:rPr>
        <w:t xml:space="preserve">tomato </w:t>
      </w:r>
      <w:r w:rsidRPr="00595453">
        <w:rPr>
          <w:rFonts w:ascii="Times New Roman" w:hAnsi="Times New Roman" w:cs="Times New Roman"/>
          <w:sz w:val="24"/>
          <w:szCs w:val="24"/>
        </w:rPr>
        <w:t xml:space="preserve">DC3000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{"citationID":"Dyfb5jHF","properties":{"formattedCitation":"(O\\uc0\\u8217{}Donnell et al., 2003)","plainCitation":"(O’Donnell et al., 2003)","noteIndex":0},"citationItems":[{"id":217,"uris":["http://zotero.org/users/10895598/items/FZRHHW2J"],"itemData":{"id":217,"type":"article-journal","abstract":"Abstract\n            Phytohormones regulate plant responses to a wide range of biotic and abiotic stresses. How a limited number of hormones differentially mediate individual stress responses is not understood. We have used one such response, the compatible interaction of tomato (Lycopersicon esculentum) and Xanthomonas campestris pv vesicatoria (Xcv), to examine the interactions of jasmonic acid (JA), ethylene, and salicylic acid (SA). The role of JA was assessed using an antisense allene oxide cyclase transgenic line and the def1 mutant to suppress Xcv-induced biosynthesis of jasmonates. Xcv growth was limited in these lines as was subsequent disease symptom development. No increase in JA was detected before the onset of terminal necrosis. The lack of a detectable increase in JA may indicate that an oxylipin other than JA regulates basal resistance and symptom proliferation. Alternatively, there may be an increase in sensitivity to JA or related compounds following infection. Hormone measurements showed that the oxylipin signal must precede subsequent increases in ethylene and SA accumulation. Tomato thus actively regulates the Xcv-induced disease response via the sequential action of at least three hormones, promoting expansive cell death of its own tissue. This sequential action of jasmonate, ethylene, and SA in disease symptom development is different from the hormone interactions observed in many other plant-pathogen interactions.","container-title":"Plant Physiology","DOI":"10.1104/pp.103.030379","ISSN":"1532-2548, 0032-0889","issue":"3","language":"en","page":"1181-1189","source":"DOI.org (Crossref)","title":"Multiple hormones act sequentially to mediate a susceptible tomato pathogen defense response","volume":"133","author":[{"family":"O'Donnell","given":"Philip J."},{"family":"Schmelz","given":"Eric"},{"family":"Block","given":"Anna"},{"family":"Miersch","given":"Otto"},{"family":"Wasternack","given":"Claus"},{"family":"Jones","given":"Jeffrey B."},{"family":"Klee","given":"Harry J."}],"issued":{"date-parts":[["2003",11,1]]}}}],"schema":"https://github.com/citation-style-language/schema/raw/master/csl-citation.json"} </w:instrText>
      </w:r>
      <w:r>
        <w:rPr>
          <w:rFonts w:ascii="Times New Roman" w:hAnsi="Times New Roman" w:cs="Times New Roman"/>
          <w:sz w:val="24"/>
          <w:szCs w:val="24"/>
        </w:rPr>
        <w:fldChar w:fldCharType="separate"/>
      </w:r>
      <w:r w:rsidRPr="00B24994">
        <w:rPr>
          <w:rFonts w:ascii="Times New Roman" w:hAnsi="Times New Roman" w:cs="Times New Roman"/>
          <w:sz w:val="24"/>
          <w:szCs w:val="24"/>
        </w:rPr>
        <w:t>(O’Donnell et al., 2003)</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Another example of synergism between hormones is SA, JA, ET and ABA </w:t>
      </w:r>
      <w:proofErr w:type="spellStart"/>
      <w:r w:rsidRPr="00595453">
        <w:rPr>
          <w:rFonts w:ascii="Times New Roman" w:hAnsi="Times New Roman" w:cs="Times New Roman"/>
          <w:sz w:val="24"/>
          <w:szCs w:val="24"/>
        </w:rPr>
        <w:t>signaling</w:t>
      </w:r>
      <w:proofErr w:type="spellEnd"/>
      <w:r w:rsidRPr="00595453">
        <w:rPr>
          <w:rFonts w:ascii="Times New Roman" w:hAnsi="Times New Roman" w:cs="Times New Roman"/>
          <w:sz w:val="24"/>
          <w:szCs w:val="24"/>
        </w:rPr>
        <w:t xml:space="preserve"> pathways being involved in regulation of ROS responses, such as H</w:t>
      </w:r>
      <w:r w:rsidRPr="00595453">
        <w:rPr>
          <w:rFonts w:ascii="Times New Roman" w:hAnsi="Times New Roman" w:cs="Times New Roman"/>
          <w:sz w:val="24"/>
          <w:szCs w:val="24"/>
          <w:vertAlign w:val="subscript"/>
        </w:rPr>
        <w:t>2</w:t>
      </w:r>
      <w:r w:rsidRPr="00595453">
        <w:rPr>
          <w:rFonts w:ascii="Times New Roman" w:hAnsi="Times New Roman" w:cs="Times New Roman"/>
          <w:sz w:val="24"/>
          <w:szCs w:val="24"/>
        </w:rPr>
        <w:t>O</w:t>
      </w:r>
      <w:r w:rsidRPr="00595453">
        <w:rPr>
          <w:rFonts w:ascii="Times New Roman" w:hAnsi="Times New Roman" w:cs="Times New Roman"/>
          <w:sz w:val="24"/>
          <w:szCs w:val="24"/>
          <w:vertAlign w:val="subscript"/>
        </w:rPr>
        <w:t>2</w:t>
      </w:r>
      <w:r w:rsidRPr="00595453">
        <w:rPr>
          <w:rFonts w:ascii="Times New Roman" w:hAnsi="Times New Roman" w:cs="Times New Roman"/>
          <w:sz w:val="24"/>
          <w:szCs w:val="24"/>
        </w:rPr>
        <w:t xml:space="preserve"> accumulation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{"citationID":"weO2ydFf","properties":{"formattedCitation":"(Torres et al., 2006)","plainCitation":"(Torres et al., 2006)","noteIndex":0},"citationItems":[{"id":167,"uris":["http://zotero.org/users/10895598/items/GRZ4WG7C"],"itemData":{"id":167,"type":"article-journal","container-title":"Plant Physiology","DOI":"10.1104/pp.106.079467","ISSN":"1532-2548, 0032-0889","issue":"2","language":"en","page":"373-378","source":"DOI.org (Crossref)","title":"Reactive oxygen species signaling in response to pathogens","volume":"141","author":[{"family":"Torres","given":"Miguel Angel"},{"family":"Jones","given":"Jonathan D.G."},{"family":"Dangl","given":"Jeffery L."}],"issued":{"date-parts":[["2006",6,1]]}}}],"schema":"https://github.com/citation-style-language/schema/raw/master/csl-citation.json"} </w:instrText>
      </w:r>
      <w:r>
        <w:rPr>
          <w:rFonts w:ascii="Times New Roman" w:hAnsi="Times New Roman" w:cs="Times New Roman"/>
          <w:sz w:val="24"/>
          <w:szCs w:val="24"/>
        </w:rPr>
        <w:fldChar w:fldCharType="separate"/>
      </w:r>
      <w:r w:rsidRPr="00B24994">
        <w:rPr>
          <w:rFonts w:ascii="Times New Roman" w:hAnsi="Times New Roman" w:cs="Times New Roman"/>
          <w:sz w:val="24"/>
        </w:rPr>
        <w:t>(Torres et al., 2006)</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w:t>
      </w:r>
      <w:r>
        <w:rPr>
          <w:rFonts w:ascii="Times New Roman" w:hAnsi="Times New Roman" w:cs="Times New Roman"/>
          <w:sz w:val="24"/>
          <w:szCs w:val="24"/>
        </w:rPr>
        <w:t>P</w:t>
      </w:r>
      <w:r w:rsidRPr="00595453">
        <w:rPr>
          <w:rFonts w:ascii="Times New Roman" w:hAnsi="Times New Roman" w:cs="Times New Roman"/>
          <w:sz w:val="24"/>
          <w:szCs w:val="24"/>
        </w:rPr>
        <w:t xml:space="preserve">hytohormonal crosstalk is essential for plant survival, since it contributes to energy saving by maintaining the balance between the plant growth and response to abiotic and biotic stresses. All that would not </w:t>
      </w:r>
      <w:r w:rsidRPr="00595453">
        <w:rPr>
          <w:rFonts w:ascii="Times New Roman" w:hAnsi="Times New Roman" w:cs="Times New Roman"/>
          <w:sz w:val="24"/>
          <w:szCs w:val="24"/>
        </w:rPr>
        <w:lastRenderedPageBreak/>
        <w:t xml:space="preserve">be possible without the interplay of many different genes and gene families finely orchestrated in a </w:t>
      </w:r>
      <w:proofErr w:type="spellStart"/>
      <w:r w:rsidRPr="00595453">
        <w:rPr>
          <w:rFonts w:ascii="Times New Roman" w:hAnsi="Times New Roman" w:cs="Times New Roman"/>
          <w:sz w:val="24"/>
          <w:szCs w:val="24"/>
        </w:rPr>
        <w:t>signaling</w:t>
      </w:r>
      <w:proofErr w:type="spellEnd"/>
      <w:r w:rsidRPr="00595453">
        <w:rPr>
          <w:rFonts w:ascii="Times New Roman" w:hAnsi="Times New Roman" w:cs="Times New Roman"/>
          <w:sz w:val="24"/>
          <w:szCs w:val="24"/>
        </w:rPr>
        <w:t xml:space="preserve"> network.</w:t>
      </w:r>
    </w:p>
    <w:p w14:paraId="3B10C286" w14:textId="30EF9B53" w:rsidR="00007653" w:rsidRPr="00595453" w:rsidRDefault="00007653" w:rsidP="00007653">
      <w:pPr>
        <w:spacing w:after="0" w:line="360" w:lineRule="auto"/>
        <w:ind w:firstLine="708"/>
        <w:jc w:val="both"/>
        <w:rPr>
          <w:rFonts w:ascii="Times New Roman" w:hAnsi="Times New Roman" w:cs="Times New Roman"/>
          <w:sz w:val="24"/>
          <w:szCs w:val="24"/>
        </w:rPr>
      </w:pPr>
      <w:r w:rsidRPr="00595453">
        <w:rPr>
          <w:rFonts w:ascii="Times New Roman" w:hAnsi="Times New Roman" w:cs="Times New Roman"/>
          <w:sz w:val="24"/>
          <w:szCs w:val="24"/>
        </w:rPr>
        <w:t xml:space="preserve">Phytohormonal activation against pathogens highly depends on a pathogen lifestyle: SA-mediated defence responses are commonly activated by biotrophic pathogens, whereas </w:t>
      </w:r>
      <w:proofErr w:type="spellStart"/>
      <w:r w:rsidRPr="00595453">
        <w:rPr>
          <w:rFonts w:ascii="Times New Roman" w:hAnsi="Times New Roman" w:cs="Times New Roman"/>
          <w:sz w:val="24"/>
          <w:szCs w:val="24"/>
        </w:rPr>
        <w:t>necrotrophs</w:t>
      </w:r>
      <w:proofErr w:type="spellEnd"/>
      <w:r w:rsidRPr="00595453">
        <w:rPr>
          <w:rFonts w:ascii="Times New Roman" w:hAnsi="Times New Roman" w:cs="Times New Roman"/>
          <w:sz w:val="24"/>
          <w:szCs w:val="24"/>
        </w:rPr>
        <w:t xml:space="preserve"> are generally affected by JA- and ET-mediated defences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{"citationID":"UHB7arVD","properties":{"formattedCitation":"(Glazebrook, 2005; Verhage et al., 2010)","plainCitation":"(Glazebrook, 2005; Verhage et al., 2010)","noteIndex":0},"citationItems":[{"id":170,"uris":["http://zotero.org/users/10895598/items/E65J4SPY"],"itemData":{"id":170,"type":"article-journal","container-title":"Annual Review of Phytopathology","DOI":"10.1146/annurev.phyto.43.040204.135923","ISSN":"0066-4286, 1545-2107","issue":"1","journalAbbreviation":"Annu. Rev. Phytopathol.","language":"en","page":"205-227","source":"DOI.org (Crossref)","title":"Contrasting mechanisms of defense against biotrophic and necrotrophic pathogens","volume":"43","author":[{"family":"Glazebrook","given":"Jane"}],"issued":{"date-parts":[["2005",9]]}}},{"id":171,"uris":["http://zotero.org/users/10895598/items/62TV8LTT"],"itemData":{"id":171,"type":"article-journal","container-title":"Plant Physiology","DOI":"10.1104/pp.110.161570","ISSN":"0032-0889, 1532-2548","issue":"2","journalAbbreviation":"Plant Physiol.","language":"en","page":"536-540","source":"DOI.org (Crossref)","title":"Plant immunity: it’s the hormones talking, but what do they say?","title-short":"Plant Immunity","volume":"154","author":[{"family":"Verhage","given":"Adriaan"},{"family":"Wees","given":"Saskia C.M.","non-dropping-particle":"van"},{"family":"Pieterse","given":"Corné M.J."}],"issued":{"date-parts":[["2010",10]]}}}],"schema":"https://github.com/citation-style-language/schema/raw/master/csl-citation.json"} </w:instrText>
      </w:r>
      <w:r>
        <w:rPr>
          <w:rFonts w:ascii="Times New Roman" w:hAnsi="Times New Roman" w:cs="Times New Roman"/>
          <w:sz w:val="24"/>
          <w:szCs w:val="24"/>
        </w:rPr>
        <w:fldChar w:fldCharType="separate"/>
      </w:r>
      <w:r w:rsidRPr="00B24994">
        <w:rPr>
          <w:rFonts w:ascii="Times New Roman" w:hAnsi="Times New Roman" w:cs="Times New Roman"/>
          <w:sz w:val="24"/>
        </w:rPr>
        <w:t>(Glazebrook, 2005; Verhage et al., 2010)</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w:t>
      </w:r>
      <w:r w:rsidR="001A6928" w:rsidRPr="00E5766C">
        <w:rPr>
          <w:rFonts w:ascii="Times New Roman" w:hAnsi="Times New Roman" w:cs="Times New Roman"/>
          <w:sz w:val="24"/>
          <w:szCs w:val="24"/>
        </w:rPr>
        <w:t xml:space="preserve">However, in some </w:t>
      </w:r>
      <w:proofErr w:type="spellStart"/>
      <w:r w:rsidR="001A6928" w:rsidRPr="00E5766C">
        <w:rPr>
          <w:rFonts w:ascii="Times New Roman" w:hAnsi="Times New Roman" w:cs="Times New Roman"/>
          <w:sz w:val="24"/>
          <w:szCs w:val="24"/>
        </w:rPr>
        <w:t>pathosystems</w:t>
      </w:r>
      <w:proofErr w:type="spellEnd"/>
      <w:r w:rsidR="001A6928">
        <w:rPr>
          <w:rFonts w:ascii="Times New Roman" w:hAnsi="Times New Roman" w:cs="Times New Roman"/>
          <w:sz w:val="24"/>
          <w:szCs w:val="24"/>
        </w:rPr>
        <w:t xml:space="preserve">, </w:t>
      </w:r>
      <w:r w:rsidR="001A6928" w:rsidRPr="00E5766C">
        <w:rPr>
          <w:rFonts w:ascii="Times New Roman" w:hAnsi="Times New Roman" w:cs="Times New Roman"/>
          <w:sz w:val="24"/>
          <w:szCs w:val="24"/>
        </w:rPr>
        <w:t>SA plays a</w:t>
      </w:r>
      <w:r w:rsidR="001A6928">
        <w:rPr>
          <w:rFonts w:ascii="Times New Roman" w:hAnsi="Times New Roman" w:cs="Times New Roman"/>
          <w:sz w:val="24"/>
          <w:szCs w:val="24"/>
        </w:rPr>
        <w:t xml:space="preserve"> crucial</w:t>
      </w:r>
      <w:r w:rsidR="001A6928" w:rsidRPr="00E5766C">
        <w:rPr>
          <w:rFonts w:ascii="Times New Roman" w:hAnsi="Times New Roman" w:cs="Times New Roman"/>
          <w:sz w:val="24"/>
          <w:szCs w:val="24"/>
        </w:rPr>
        <w:t xml:space="preserve"> </w:t>
      </w:r>
      <w:proofErr w:type="spellStart"/>
      <w:r w:rsidR="001A6928" w:rsidRPr="00E5766C">
        <w:rPr>
          <w:rFonts w:ascii="Times New Roman" w:hAnsi="Times New Roman" w:cs="Times New Roman"/>
          <w:sz w:val="24"/>
          <w:szCs w:val="24"/>
        </w:rPr>
        <w:t>signaling</w:t>
      </w:r>
      <w:proofErr w:type="spellEnd"/>
      <w:r w:rsidR="001A6928" w:rsidRPr="00E5766C">
        <w:rPr>
          <w:rFonts w:ascii="Times New Roman" w:hAnsi="Times New Roman" w:cs="Times New Roman"/>
          <w:sz w:val="24"/>
          <w:szCs w:val="24"/>
        </w:rPr>
        <w:t xml:space="preserve"> role in defen</w:t>
      </w:r>
      <w:r w:rsidR="001A6928">
        <w:rPr>
          <w:rFonts w:ascii="Times New Roman" w:hAnsi="Times New Roman" w:cs="Times New Roman"/>
          <w:sz w:val="24"/>
          <w:szCs w:val="24"/>
        </w:rPr>
        <w:t>c</w:t>
      </w:r>
      <w:r w:rsidR="001A6928" w:rsidRPr="00E5766C">
        <w:rPr>
          <w:rFonts w:ascii="Times New Roman" w:hAnsi="Times New Roman" w:cs="Times New Roman"/>
          <w:sz w:val="24"/>
          <w:szCs w:val="24"/>
        </w:rPr>
        <w:t xml:space="preserve">e against </w:t>
      </w:r>
      <w:proofErr w:type="spellStart"/>
      <w:r w:rsidR="001A6928" w:rsidRPr="00E5766C">
        <w:rPr>
          <w:rFonts w:ascii="Times New Roman" w:hAnsi="Times New Roman" w:cs="Times New Roman"/>
          <w:sz w:val="24"/>
          <w:szCs w:val="24"/>
        </w:rPr>
        <w:t>necrotrophs</w:t>
      </w:r>
      <w:proofErr w:type="spellEnd"/>
      <w:r w:rsidR="001A6928">
        <w:rPr>
          <w:rFonts w:ascii="Times New Roman" w:hAnsi="Times New Roman" w:cs="Times New Roman"/>
          <w:sz w:val="24"/>
          <w:szCs w:val="24"/>
        </w:rPr>
        <w:t>, which is evident in</w:t>
      </w:r>
      <w:r w:rsidR="001A6928" w:rsidRPr="00E5766C">
        <w:rPr>
          <w:rFonts w:ascii="Times New Roman" w:hAnsi="Times New Roman" w:cs="Times New Roman"/>
          <w:sz w:val="24"/>
          <w:szCs w:val="24"/>
        </w:rPr>
        <w:t xml:space="preserve"> </w:t>
      </w:r>
      <w:r w:rsidR="001A6928" w:rsidRPr="0087642C">
        <w:rPr>
          <w:rFonts w:ascii="Times New Roman" w:hAnsi="Times New Roman" w:cs="Times New Roman"/>
          <w:i/>
          <w:iCs/>
          <w:sz w:val="24"/>
          <w:szCs w:val="24"/>
        </w:rPr>
        <w:t>B. napus</w:t>
      </w:r>
      <w:r w:rsidR="001A6928" w:rsidRPr="00E5766C">
        <w:rPr>
          <w:rFonts w:ascii="Times New Roman" w:hAnsi="Times New Roman" w:cs="Times New Roman"/>
          <w:sz w:val="24"/>
          <w:szCs w:val="24"/>
        </w:rPr>
        <w:t xml:space="preserve"> and its resistance</w:t>
      </w:r>
      <w:r w:rsidR="001A6928">
        <w:rPr>
          <w:rFonts w:ascii="Times New Roman" w:hAnsi="Times New Roman" w:cs="Times New Roman"/>
          <w:sz w:val="24"/>
          <w:szCs w:val="24"/>
        </w:rPr>
        <w:t xml:space="preserve"> </w:t>
      </w:r>
      <w:r w:rsidR="001A6928" w:rsidRPr="00E5766C">
        <w:rPr>
          <w:rFonts w:ascii="Times New Roman" w:hAnsi="Times New Roman" w:cs="Times New Roman"/>
          <w:sz w:val="24"/>
          <w:szCs w:val="24"/>
        </w:rPr>
        <w:t xml:space="preserve">to </w:t>
      </w:r>
      <w:r w:rsidR="001A6928" w:rsidRPr="0087642C">
        <w:rPr>
          <w:rFonts w:ascii="Times New Roman" w:hAnsi="Times New Roman" w:cs="Times New Roman"/>
          <w:i/>
          <w:iCs/>
          <w:sz w:val="24"/>
          <w:szCs w:val="24"/>
        </w:rPr>
        <w:t>S</w:t>
      </w:r>
      <w:r w:rsidR="001A6928">
        <w:rPr>
          <w:rFonts w:ascii="Times New Roman" w:hAnsi="Times New Roman" w:cs="Times New Roman"/>
          <w:i/>
          <w:iCs/>
          <w:sz w:val="24"/>
          <w:szCs w:val="24"/>
        </w:rPr>
        <w:t>c</w:t>
      </w:r>
      <w:r w:rsidR="001A6928" w:rsidRPr="0087642C">
        <w:rPr>
          <w:rFonts w:ascii="Times New Roman" w:hAnsi="Times New Roman" w:cs="Times New Roman"/>
          <w:i/>
          <w:iCs/>
          <w:sz w:val="24"/>
          <w:szCs w:val="24"/>
        </w:rPr>
        <w:t xml:space="preserve">lerotinia </w:t>
      </w:r>
      <w:proofErr w:type="spellStart"/>
      <w:r w:rsidR="001A6928" w:rsidRPr="0087642C">
        <w:rPr>
          <w:rFonts w:ascii="Times New Roman" w:hAnsi="Times New Roman" w:cs="Times New Roman"/>
          <w:i/>
          <w:iCs/>
          <w:sz w:val="24"/>
          <w:szCs w:val="24"/>
        </w:rPr>
        <w:t>sclerotiorum</w:t>
      </w:r>
      <w:proofErr w:type="spellEnd"/>
      <w:r w:rsidR="001A6928">
        <w:rPr>
          <w:rFonts w:ascii="Times New Roman" w:hAnsi="Times New Roman" w:cs="Times New Roman"/>
          <w:i/>
          <w:iCs/>
          <w:sz w:val="24"/>
          <w:szCs w:val="24"/>
        </w:rPr>
        <w:t xml:space="preserve"> </w:t>
      </w:r>
      <w:r w:rsidR="001A6928">
        <w:rPr>
          <w:rFonts w:ascii="Times New Roman" w:hAnsi="Times New Roman" w:cs="Times New Roman"/>
          <w:i/>
          <w:iCs/>
          <w:sz w:val="24"/>
          <w:szCs w:val="24"/>
        </w:rPr>
        <w:fldChar w:fldCharType="begin"/>
      </w:r>
      <w:r w:rsidR="001A6928">
        <w:rPr>
          <w:rFonts w:ascii="Times New Roman" w:hAnsi="Times New Roman" w:cs="Times New Roman"/>
          <w:i/>
          <w:iCs/>
          <w:sz w:val="24"/>
          <w:szCs w:val="24"/>
        </w:rPr>
        <w:instrText xml:space="preserve"> ADDIN ZOTERO_ITEM CSL_CITATION {"citationID":"8gtxNQTQ","properties":{"formattedCitation":"(Nov\\uc0\\u225{}kov\\uc0\\u225{} et al., 2014)","plainCitation":"(Nováková et al., 2014)","noteIndex":0},"citationItems":[{"id":720,"uris":["http://zotero.org/users/10895598/items/2F8T3L5P"],"itemData":{"id":720,"type":"article-journal","container-title":"Plant Physiology and Biochemistry","DOI":"10.1016/j.plaphy.2014.04.019","ISSN":"09819428","journalAbbreviation":"Plant Physiology and Biochemistry","language":"en","page":"308-317","source":"DOI.org (Crossref)","title":"Plant hormones in defense response of &lt;i&gt;Brassica napus&lt;/i&gt; to &lt;i&gt;Sclerotinia sclerotiorum&lt;/i&gt; – Reassessing the role of salicylic acid in the interaction with a necrotroph","volume":"80","author":[{"family":"Nováková","given":"Miroslava"},{"family":"Šašek","given":"Vladimír"},{"family":"Dobrev","given":"Petre I."},{"family":"Valentová","given":"Olga"},{"family":"Burketová","given":"Lenka"}],"issued":{"date-parts":[["2014",7]]}}}],"schema":"https://github.com/citation-style-language/schema/raw/master/csl-citation.json"} </w:instrText>
      </w:r>
      <w:r w:rsidR="001A6928">
        <w:rPr>
          <w:rFonts w:ascii="Times New Roman" w:hAnsi="Times New Roman" w:cs="Times New Roman"/>
          <w:i/>
          <w:iCs/>
          <w:sz w:val="24"/>
          <w:szCs w:val="24"/>
        </w:rPr>
        <w:fldChar w:fldCharType="separate"/>
      </w:r>
      <w:r w:rsidR="001A6928" w:rsidRPr="00E5766C">
        <w:rPr>
          <w:rFonts w:ascii="Times New Roman" w:hAnsi="Times New Roman" w:cs="Times New Roman"/>
          <w:sz w:val="24"/>
        </w:rPr>
        <w:t>(Nováková et al., 2014)</w:t>
      </w:r>
      <w:r w:rsidR="001A6928">
        <w:rPr>
          <w:rFonts w:ascii="Times New Roman" w:hAnsi="Times New Roman" w:cs="Times New Roman"/>
          <w:i/>
          <w:iCs/>
          <w:sz w:val="24"/>
          <w:szCs w:val="24"/>
        </w:rPr>
        <w:fldChar w:fldCharType="end"/>
      </w:r>
      <w:r w:rsidR="001A6928">
        <w:rPr>
          <w:rFonts w:ascii="Times New Roman" w:hAnsi="Times New Roman" w:cs="Times New Roman"/>
          <w:sz w:val="24"/>
          <w:szCs w:val="24"/>
        </w:rPr>
        <w:t xml:space="preserve">. </w:t>
      </w:r>
      <w:proofErr w:type="spellStart"/>
      <w:r w:rsidRPr="00595453">
        <w:rPr>
          <w:rFonts w:ascii="Times New Roman" w:hAnsi="Times New Roman" w:cs="Times New Roman"/>
          <w:sz w:val="24"/>
          <w:szCs w:val="24"/>
        </w:rPr>
        <w:t>Hemibiotrophs</w:t>
      </w:r>
      <w:proofErr w:type="spellEnd"/>
      <w:r w:rsidRPr="00595453">
        <w:rPr>
          <w:rFonts w:ascii="Times New Roman" w:hAnsi="Times New Roman" w:cs="Times New Roman"/>
          <w:sz w:val="24"/>
          <w:szCs w:val="24"/>
        </w:rPr>
        <w:t xml:space="preserve"> are generally inducing SA-related defence responses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{"citationID":"3L3Goy4U","properties":{"formattedCitation":"(Han and Kahmann, 2019)","plainCitation":"(Han and Kahmann, 2019)","noteIndex":0},"citationItems":[{"id":211,"uris":["http://zotero.org/users/10895598/items/KF4G4GIS"],"itemData":{"id":211,"type":"article-journal","container-title":"Frontiers in Plant Science","DOI":"10.3389/fpls.2019.00822","ISSN":"1664-462X","journalAbbreviation":"Front. Plant Sci.","page":"822","source":"DOI.org (Crossref)","title":"Manipulation of phytohormone pathways by effectors of filamentous plant pathogens","volume":"10","author":[{"family":"Han","given":"Xiaowei"},{"family":"Kahmann","given":"Regine"}],"issued":{"date-parts":[["2019",6,26]]}}}],"schema":"https://github.com/citation-style-language/schema/raw/master/csl-citation.json"} </w:instrText>
      </w:r>
      <w:r>
        <w:rPr>
          <w:rFonts w:ascii="Times New Roman" w:hAnsi="Times New Roman" w:cs="Times New Roman"/>
          <w:sz w:val="24"/>
          <w:szCs w:val="24"/>
        </w:rPr>
        <w:fldChar w:fldCharType="separate"/>
      </w:r>
      <w:r w:rsidRPr="00B24994">
        <w:rPr>
          <w:rFonts w:ascii="Times New Roman" w:hAnsi="Times New Roman" w:cs="Times New Roman"/>
          <w:sz w:val="24"/>
        </w:rPr>
        <w:t>(Han and Kahmann, 2019)</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In addition, Šašek et al. (2012) found that SA- and ET-related genes were significantly upregulated in </w:t>
      </w:r>
      <w:r w:rsidRPr="00595453">
        <w:rPr>
          <w:rFonts w:ascii="Times New Roman" w:hAnsi="Times New Roman" w:cs="Times New Roman"/>
          <w:i/>
          <w:sz w:val="24"/>
          <w:szCs w:val="24"/>
        </w:rPr>
        <w:t xml:space="preserve">B. napus </w:t>
      </w:r>
      <w:r w:rsidRPr="00595453">
        <w:rPr>
          <w:rFonts w:ascii="Times New Roman" w:hAnsi="Times New Roman" w:cs="Times New Roman"/>
          <w:sz w:val="24"/>
          <w:szCs w:val="24"/>
        </w:rPr>
        <w:t xml:space="preserve">plants infected with </w:t>
      </w:r>
      <w:r w:rsidRPr="00595453">
        <w:rPr>
          <w:rFonts w:ascii="Times New Roman" w:hAnsi="Times New Roman" w:cs="Times New Roman"/>
          <w:i/>
          <w:color w:val="000000"/>
          <w:sz w:val="24"/>
          <w:szCs w:val="24"/>
        </w:rPr>
        <w:t xml:space="preserve">L. </w:t>
      </w:r>
      <w:proofErr w:type="spellStart"/>
      <w:r w:rsidRPr="00595453">
        <w:rPr>
          <w:rFonts w:ascii="Times New Roman" w:hAnsi="Times New Roman" w:cs="Times New Roman"/>
          <w:i/>
          <w:color w:val="000000"/>
          <w:sz w:val="24"/>
          <w:szCs w:val="24"/>
        </w:rPr>
        <w:t>maculans</w:t>
      </w:r>
      <w:proofErr w:type="spellEnd"/>
      <w:r w:rsidRPr="00595453">
        <w:rPr>
          <w:rFonts w:ascii="Times New Roman" w:hAnsi="Times New Roman" w:cs="Times New Roman"/>
          <w:sz w:val="24"/>
          <w:szCs w:val="24"/>
        </w:rPr>
        <w:t xml:space="preserve">. Nonetheless, due to their complicated lifestyle, the understanding of plant defence against </w:t>
      </w:r>
      <w:proofErr w:type="spellStart"/>
      <w:r>
        <w:rPr>
          <w:rFonts w:ascii="Times New Roman" w:hAnsi="Times New Roman" w:cs="Times New Roman"/>
          <w:sz w:val="24"/>
          <w:szCs w:val="24"/>
        </w:rPr>
        <w:t>hemibiotrophs</w:t>
      </w:r>
      <w:proofErr w:type="spellEnd"/>
      <w:r>
        <w:rPr>
          <w:rFonts w:ascii="Times New Roman" w:hAnsi="Times New Roman" w:cs="Times New Roman"/>
          <w:sz w:val="24"/>
          <w:szCs w:val="24"/>
        </w:rPr>
        <w:t xml:space="preserve"> is still limited.</w:t>
      </w:r>
    </w:p>
    <w:p w14:paraId="0D036BBE" w14:textId="1E95CD03" w:rsidR="00007653" w:rsidRPr="00595453" w:rsidRDefault="00007653" w:rsidP="00007653">
      <w:pPr>
        <w:spacing w:after="0" w:line="360" w:lineRule="auto"/>
        <w:ind w:firstLine="708"/>
        <w:jc w:val="both"/>
        <w:rPr>
          <w:rFonts w:ascii="Times New Roman" w:hAnsi="Times New Roman" w:cs="Times New Roman"/>
          <w:sz w:val="24"/>
          <w:szCs w:val="24"/>
        </w:rPr>
      </w:pPr>
      <w:r w:rsidRPr="00595453">
        <w:rPr>
          <w:rFonts w:ascii="Times New Roman" w:hAnsi="Times New Roman" w:cs="Times New Roman"/>
          <w:sz w:val="24"/>
          <w:szCs w:val="24"/>
        </w:rPr>
        <w:t xml:space="preserve">The way an insect pest feeds on the plant affects the activation of phytohormonal pathways in a distinct manner. Several studies revealed that leaf chewers generally induce only JA </w:t>
      </w:r>
      <w:proofErr w:type="spellStart"/>
      <w:r w:rsidRPr="00595453">
        <w:rPr>
          <w:rFonts w:ascii="Times New Roman" w:hAnsi="Times New Roman" w:cs="Times New Roman"/>
          <w:sz w:val="24"/>
          <w:szCs w:val="24"/>
        </w:rPr>
        <w:t>signaling</w:t>
      </w:r>
      <w:proofErr w:type="spellEnd"/>
      <w:r w:rsidRPr="00595453">
        <w:rPr>
          <w:rFonts w:ascii="Times New Roman" w:hAnsi="Times New Roman" w:cs="Times New Roman"/>
          <w:sz w:val="24"/>
          <w:szCs w:val="24"/>
        </w:rPr>
        <w:t xml:space="preserve"> pathway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{"citationID":"nBS5mpvj","properties":{"formattedCitation":"(Heil, 2008; Pangesti et al., 2016)","plainCitation":"(Heil, 2008; Pangesti et al., 2016)","noteIndex":0},"citationItems":[{"id":7,"uris":["http://zotero.org/users/10895598/items/EDTS7SUB"],"itemData":{"id":7,"type":"article-journal","container-title":"New Phytologist","DOI":"10.1111/j.1469-8137.2007.02330.x","ISSN":"0028-646X, 1469-8137","issue":"1","journalAbbreviation":"New Phytol","language":"en","page":"41-61","source":"DOI.org (Crossref)","title":"Indirect defence via tritrophic interactions","volume":"178","author":[{"family":"Heil","given":"Martin"}],"issued":{"date-parts":[["2008",4]]}}},{"id":160,"uris":["http://zotero.org/users/10895598/items/DIUC8DLA"],"itemData":{"id":160,"type":"article-journal","container-title":"Journal of Chemical Ecology","DOI":"10.1007/s10886-016-0787-7","ISSN":"0098-0331, 1573-1561","issue":"12","journalAbbreviation":"J Chem Ecol","language":"en","page":"1212-1225","source":"DOI.org (Crossref)","title":"Jasmonic acid and ethylene signaling pathways regulate glucosinolate levels in plants during rhizobacteria-induced systemic resistance against a leaf-chewing herbivore","volume":"42","author":[{"family":"Pangesti","given":"Nurmi"},{"family":"Reichelt","given":"Michael"},{"family":"Mortel","given":"Judith E.","non-dropping-particle":"van de"},{"family":"Kapsomenou","given":"Eleni"},{"family":"Gershenzon","given":"Jonathan"},{"family":"Loon","given":"Joop J. A.","non-dropping-particle":"van"},{"family":"Dicke","given":"Marcel"},{"family":"Pineda","given":"Ana"}],"issued":{"date-parts":[["2016",12]]}}}],"schema":"https://github.com/citation-style-language/schema/raw/master/csl-citation.json"} </w:instrText>
      </w:r>
      <w:r>
        <w:rPr>
          <w:rFonts w:ascii="Times New Roman" w:hAnsi="Times New Roman" w:cs="Times New Roman"/>
          <w:sz w:val="24"/>
          <w:szCs w:val="24"/>
        </w:rPr>
        <w:fldChar w:fldCharType="separate"/>
      </w:r>
      <w:r w:rsidRPr="00B24994">
        <w:rPr>
          <w:rFonts w:ascii="Times New Roman" w:hAnsi="Times New Roman" w:cs="Times New Roman"/>
          <w:sz w:val="24"/>
        </w:rPr>
        <w:t>(Heil, 2008; Pangesti et al., 2016)</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595453">
        <w:rPr>
          <w:rFonts w:ascii="Times New Roman" w:hAnsi="Times New Roman" w:cs="Times New Roman"/>
          <w:sz w:val="24"/>
          <w:szCs w:val="24"/>
        </w:rPr>
        <w:t xml:space="preserve">and its derivatives MeJA and JA-Ile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{"citationID":"wg1crPKL","properties":{"formattedCitation":"(Kroes et al., 2017a)","plainCitation":"(Kroes et al., 2017a)","noteIndex":0},"citationItems":[{"id":173,"uris":["http://zotero.org/users/10895598/items/4E6BKBE4"],"itemData":{"id":173,"type":"article-journal","container-title":"Oecologia","DOI":"10.1007/s00442-016-3758-3","ISSN":"0029-8549, 1432-1939","issue":"1","journalAbbreviation":"Oecologia","language":"en","page":"107-120","source":"DOI.org (Crossref)","title":"&lt;i&gt;Brevicoryne brassicae&lt;/i&gt; aphids interfere with transcriptome responses of &lt;i&gt;Arabidopsis thaliana&lt;/i&gt; to feeding by &lt;i&gt;Plutella xylostella&lt;/i&gt; caterpillars in a density-dependent manner","volume":"183","author":[{"family":"Kroes","given":"Anneke"},{"family":"Broekgaarden","given":"Colette"},{"family":"Castellanos Uribe","given":"Marcos"},{"family":"May","given":"Sean"},{"family":"Loon","given":"Joop J. A.","non-dropping-particle":"van"},{"family":"Dicke","given":"Marcel"}],"issued":{"date-parts":[["2017",1]]}}}],"schema":"https://github.com/citation-style-language/schema/raw/master/csl-citation.json"} </w:instrText>
      </w:r>
      <w:r>
        <w:rPr>
          <w:rFonts w:ascii="Times New Roman" w:hAnsi="Times New Roman" w:cs="Times New Roman"/>
          <w:sz w:val="24"/>
          <w:szCs w:val="24"/>
        </w:rPr>
        <w:fldChar w:fldCharType="separate"/>
      </w:r>
      <w:r w:rsidRPr="00F34ED2">
        <w:rPr>
          <w:rFonts w:ascii="Times New Roman" w:hAnsi="Times New Roman" w:cs="Times New Roman"/>
          <w:sz w:val="24"/>
        </w:rPr>
        <w:t>(Kroes et al., 2017a)</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while piercing-sucking herbivores tend to induce SA-mediated defence pathways; however, the involvement of JA and ET has also been reported during the aphid infestation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{"citationID":"vWndonGV","properties":{"formattedCitation":"(Kroes et al., 2017a; Moran et al., 2002)","plainCitation":"(Kroes et al., 2017a; Moran et al., 2002)","noteIndex":0},"citationItems":[{"id":173,"uris":["http://zotero.org/users/10895598/items/4E6BKBE4"],"itemData":{"id":173,"type":"article-journal","container-title":"Oecologia","DOI":"10.1007/s00442-016-3758-3","ISSN":"0029-8549, 1432-1939","issue":"1","journalAbbreviation":"Oecologia","language":"en","page":"107-120","source":"DOI.org (Crossref)","title":"&lt;i&gt;Brevicoryne brassicae&lt;/i&gt; aphids interfere with transcriptome responses of &lt;i&gt;Arabidopsis thaliana&lt;/i&gt; to feeding by &lt;i&gt;Plutella xylostella&lt;/i&gt; caterpillars in a density-dependent manner","volume":"183","author":[{"family":"Kroes","given":"Anneke"},{"family":"Broekgaarden","given":"Colette"},{"family":"Castellanos Uribe","given":"Marcos"},{"family":"May","given":"Sean"},{"family":"Loon","given":"Joop J. A.","non-dropping-particle":"van"},{"family":"Dicke","given":"Marcel"}],"issued":{"date-parts":[["2017",1]]}}},{"id":116,"uris":["http://zotero.org/users/10895598/items/NYVBML5Q"],"itemData":{"id":116,"type":"article-journal","container-title":"Archives of Insect Biochemistry and Physiology","DOI":"10.1002/arch.10064","ISSN":"0739-4462, 1520-6327","issue":"4","journalAbbreviation":"Arch. Insect Biochem. Physiol.","language":"en","page":"182-203","source":"DOI.org (Crossref)","title":"Gene expression profiling of &lt;i&gt;Arabidopsis thaliana&lt;/i&gt; in compatible plant-aphid interactions","volume":"51","author":[{"family":"Moran","given":"Patrick J."},{"family":"Cheng","given":"Youfa"},{"family":"Cassell","given":"Jeffery L."},{"family":"Thompson","given":"Gary A."}],"issued":{"date-parts":[["2002",12]]}}}],"schema":"https://github.com/citation-style-language/schema/raw/master/csl-citation.json"} </w:instrText>
      </w:r>
      <w:r>
        <w:rPr>
          <w:rFonts w:ascii="Times New Roman" w:hAnsi="Times New Roman" w:cs="Times New Roman"/>
          <w:sz w:val="24"/>
          <w:szCs w:val="24"/>
        </w:rPr>
        <w:fldChar w:fldCharType="separate"/>
      </w:r>
      <w:r w:rsidRPr="00F34ED2">
        <w:rPr>
          <w:rFonts w:ascii="Times New Roman" w:hAnsi="Times New Roman" w:cs="Times New Roman"/>
          <w:sz w:val="24"/>
        </w:rPr>
        <w:t>(Kroes et al., 2017a; Moran et al., 2002)</w:t>
      </w:r>
      <w:r>
        <w:rPr>
          <w:rFonts w:ascii="Times New Roman" w:hAnsi="Times New Roman" w:cs="Times New Roman"/>
          <w:sz w:val="24"/>
          <w:szCs w:val="24"/>
        </w:rPr>
        <w:fldChar w:fldCharType="end"/>
      </w:r>
      <w:r w:rsidRPr="00595453">
        <w:rPr>
          <w:rFonts w:ascii="Times New Roman" w:hAnsi="Times New Roman" w:cs="Times New Roman"/>
          <w:sz w:val="24"/>
          <w:szCs w:val="24"/>
        </w:rPr>
        <w:t xml:space="preserve">. Even though SA and other phytohormones can be induced by aphids, the induction does not occur in all aphid–plant interactions and does not always enhance resistance to other insect pests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{"citationID":"wTBGJyYf","properties":{"formattedCitation":"(Hodge et al., 2019; Moran and Thompson, 2001)","plainCitation":"(Hodge et al., 2019; Moran and Thompson, 2001)","noteIndex":0},"citationItems":[{"id":179,"uris":["http://zotero.org/users/10895598/items/TAWW7MZJ"],"itemData":{"id":179,"type":"article-journal","container-title":"Arthropod-Plant Interactions","DOI":"10.1007/s11829-018-9667-0","ISSN":"1872-8855, 1872-8847","issue":"3","journalAbbreviation":"Arthropod-Plant Interactions","language":"en","page":"387-399","source":"DOI.org (Crossref)","title":"Aphid-induction of defence-related metabolites in &lt;i&gt;Arabidopsis thaliana&lt;/i&gt; is dependent upon density, aphid species and duration of infestation","volume":"13","author":[{"family":"Hodge","given":"Simon"},{"family":"Bennett","given":"Mark"},{"family":"Mansfield","given":"John W."},{"family":"Powell","given":"Glen"}],"issued":{"date-parts":[["2019",6]]}}},{"id":99,"uris":["http://zotero.org/users/10895598/items/6MJDSS5N"],"itemData":{"id":99,"type":"article-journal","container-title":"Plant Physiology","DOI":"10.1104/pp.125.2.1074","ISSN":"0032-0889, 1532-2548","issue":"2","journalAbbreviation":"Plant Physiol.","language":"en","page":"1074-1085","source":"DOI.org (Crossref)","title":"Molecular responses to aphid feeding in &lt;i&gt;Arabidopsis&lt;/i&gt; in relation to plant defense pathways","volume":"125","author":[{"family":"Moran","given":"Patrick J."},{"family":"Thompson","given":"Gary A."}],"issued":{"date-parts":[["2001",2,1]]}}}],"schema":"https://github.com/citation-style-language/schema/raw/master/csl-citation.json"} </w:instrText>
      </w:r>
      <w:r>
        <w:rPr>
          <w:rFonts w:ascii="Times New Roman" w:hAnsi="Times New Roman" w:cs="Times New Roman"/>
          <w:sz w:val="24"/>
          <w:szCs w:val="24"/>
        </w:rPr>
        <w:fldChar w:fldCharType="separate"/>
      </w:r>
      <w:r w:rsidRPr="00B24994">
        <w:rPr>
          <w:rFonts w:ascii="Times New Roman" w:hAnsi="Times New Roman" w:cs="Times New Roman"/>
          <w:sz w:val="24"/>
        </w:rPr>
        <w:t>(Hodge et al., 2019; Moran and Thompson, 2001)</w:t>
      </w:r>
      <w:r>
        <w:rPr>
          <w:rFonts w:ascii="Times New Roman" w:hAnsi="Times New Roman" w:cs="Times New Roman"/>
          <w:sz w:val="24"/>
          <w:szCs w:val="24"/>
        </w:rPr>
        <w:fldChar w:fldCharType="end"/>
      </w:r>
      <w:r w:rsidRPr="00595453">
        <w:rPr>
          <w:rFonts w:ascii="Times New Roman" w:hAnsi="Times New Roman" w:cs="Times New Roman"/>
          <w:sz w:val="24"/>
          <w:szCs w:val="24"/>
        </w:rPr>
        <w:t>.</w:t>
      </w:r>
    </w:p>
    <w:p w14:paraId="5749226D" w14:textId="77777777" w:rsidR="00007653" w:rsidRPr="00595453" w:rsidRDefault="00007653" w:rsidP="00007653">
      <w:pPr>
        <w:spacing w:after="0" w:line="360" w:lineRule="auto"/>
        <w:jc w:val="both"/>
        <w:rPr>
          <w:rFonts w:ascii="Times New Roman" w:hAnsi="Times New Roman" w:cs="Times New Roman"/>
          <w:sz w:val="24"/>
          <w:szCs w:val="24"/>
        </w:rPr>
      </w:pPr>
    </w:p>
    <w:p w14:paraId="41B43CE1" w14:textId="77777777" w:rsidR="00007653" w:rsidRPr="00E7693B" w:rsidRDefault="00007653" w:rsidP="006B61C5">
      <w:pPr>
        <w:pStyle w:val="Heading3"/>
      </w:pPr>
      <w:bookmarkStart w:id="11" w:name="_Toc167977585"/>
      <w:r w:rsidRPr="00E7693B">
        <w:t>Secondary plant metabolites</w:t>
      </w:r>
      <w:bookmarkEnd w:id="11"/>
    </w:p>
    <w:p w14:paraId="3A9056AF" w14:textId="77777777" w:rsidR="00007653" w:rsidRPr="00595453" w:rsidRDefault="00007653" w:rsidP="00007653">
      <w:pPr>
        <w:spacing w:after="0" w:line="360" w:lineRule="auto"/>
        <w:jc w:val="both"/>
        <w:rPr>
          <w:rFonts w:ascii="Times New Roman" w:hAnsi="Times New Roman" w:cs="Times New Roman"/>
          <w:sz w:val="24"/>
          <w:szCs w:val="24"/>
        </w:rPr>
      </w:pPr>
    </w:p>
    <w:p w14:paraId="4E5A5456" w14:textId="77777777" w:rsidR="00007653" w:rsidRPr="00595453" w:rsidRDefault="00007653" w:rsidP="00007653">
      <w:pPr>
        <w:spacing w:after="0" w:line="360" w:lineRule="auto"/>
        <w:ind w:firstLine="708"/>
        <w:jc w:val="both"/>
        <w:rPr>
          <w:rFonts w:ascii="Times New Roman" w:hAnsi="Times New Roman" w:cs="Times New Roman"/>
          <w:sz w:val="24"/>
          <w:szCs w:val="24"/>
        </w:rPr>
      </w:pPr>
      <w:r w:rsidRPr="00595453">
        <w:rPr>
          <w:rFonts w:ascii="Times New Roman" w:hAnsi="Times New Roman" w:cs="Times New Roman"/>
          <w:sz w:val="24"/>
          <w:szCs w:val="24"/>
        </w:rPr>
        <w:t>Apart from hormones, secondary plant metabolites such as glucosides, GLSs, alkaloids, terpenes and phenolics also play a key role in plant defence machinery. Secondary metabolites are classified into different groups based on their chemical structures. The chemistry and distribution of these compounds between plant species and plant organs is extremely diverse, and GLSs are one of the most studied ones.</w:t>
      </w:r>
    </w:p>
    <w:p w14:paraId="7A623C22" w14:textId="77777777" w:rsidR="00007653" w:rsidRPr="00595453" w:rsidRDefault="00007653" w:rsidP="00007653">
      <w:pPr>
        <w:spacing w:after="0" w:line="360" w:lineRule="auto"/>
        <w:jc w:val="both"/>
        <w:rPr>
          <w:rFonts w:ascii="Times New Roman" w:hAnsi="Times New Roman" w:cs="Times New Roman"/>
          <w:sz w:val="24"/>
          <w:szCs w:val="24"/>
        </w:rPr>
      </w:pPr>
    </w:p>
    <w:p w14:paraId="25A9DCD7" w14:textId="77777777" w:rsidR="00007653" w:rsidRPr="00E7693B" w:rsidRDefault="00007653" w:rsidP="006B61C5">
      <w:pPr>
        <w:pStyle w:val="Heading4"/>
      </w:pPr>
      <w:bookmarkStart w:id="12" w:name="_Toc167977586"/>
      <w:r w:rsidRPr="00E7693B">
        <w:t>Glucosinolates (GLSs)</w:t>
      </w:r>
      <w:bookmarkEnd w:id="12"/>
    </w:p>
    <w:p w14:paraId="0089DA95" w14:textId="77777777" w:rsidR="00007653" w:rsidRPr="00B24994" w:rsidRDefault="00007653" w:rsidP="00007653">
      <w:pPr>
        <w:spacing w:after="0" w:line="360" w:lineRule="auto"/>
        <w:jc w:val="both"/>
        <w:rPr>
          <w:rFonts w:ascii="Times New Roman" w:hAnsi="Times New Roman" w:cs="Times New Roman"/>
          <w:sz w:val="24"/>
          <w:szCs w:val="24"/>
        </w:rPr>
      </w:pPr>
    </w:p>
    <w:p w14:paraId="43933BA1" w14:textId="1D8DDA25" w:rsidR="00007653" w:rsidRPr="00B24994" w:rsidRDefault="00007653" w:rsidP="00007653">
      <w:pPr>
        <w:spacing w:after="0" w:line="360" w:lineRule="auto"/>
        <w:ind w:firstLine="708"/>
        <w:jc w:val="both"/>
        <w:rPr>
          <w:rFonts w:ascii="Times New Roman" w:hAnsi="Times New Roman" w:cs="Times New Roman"/>
          <w:sz w:val="24"/>
          <w:szCs w:val="24"/>
        </w:rPr>
      </w:pPr>
      <w:r w:rsidRPr="00B24994">
        <w:rPr>
          <w:rFonts w:ascii="Times New Roman" w:hAnsi="Times New Roman" w:cs="Times New Roman"/>
          <w:sz w:val="24"/>
          <w:szCs w:val="24"/>
        </w:rPr>
        <w:lastRenderedPageBreak/>
        <w:t>Glucosinolates (GLSs) are non-volatil</w:t>
      </w:r>
      <w:r>
        <w:rPr>
          <w:rFonts w:ascii="Times New Roman" w:hAnsi="Times New Roman" w:cs="Times New Roman"/>
          <w:sz w:val="24"/>
          <w:szCs w:val="24"/>
        </w:rPr>
        <w:t>e</w:t>
      </w:r>
      <w:r w:rsidRPr="00B24994">
        <w:rPr>
          <w:rFonts w:ascii="Times New Roman" w:hAnsi="Times New Roman" w:cs="Times New Roman"/>
          <w:sz w:val="24"/>
          <w:szCs w:val="24"/>
        </w:rPr>
        <w:t xml:space="preserve"> </w:t>
      </w:r>
      <w:r w:rsidRPr="00C40107">
        <w:rPr>
          <w:rFonts w:ascii="Times New Roman" w:hAnsi="Times New Roman" w:cs="Times New Roman"/>
          <w:i/>
          <w:sz w:val="24"/>
          <w:szCs w:val="24"/>
        </w:rPr>
        <w:t>S</w:t>
      </w:r>
      <w:r w:rsidRPr="00B24994">
        <w:rPr>
          <w:rFonts w:ascii="Times New Roman" w:hAnsi="Times New Roman" w:cs="Times New Roman"/>
          <w:sz w:val="24"/>
          <w:szCs w:val="24"/>
        </w:rPr>
        <w:t xml:space="preserve">-glycosylated thiohydroximate </w:t>
      </w:r>
      <w:proofErr w:type="spellStart"/>
      <w:r w:rsidRPr="00B24994">
        <w:rPr>
          <w:rFonts w:ascii="Times New Roman" w:hAnsi="Times New Roman" w:cs="Times New Roman"/>
          <w:sz w:val="24"/>
          <w:szCs w:val="24"/>
        </w:rPr>
        <w:t>sulfate</w:t>
      </w:r>
      <w:proofErr w:type="spellEnd"/>
      <w:r w:rsidRPr="00B24994">
        <w:rPr>
          <w:rFonts w:ascii="Times New Roman" w:hAnsi="Times New Roman" w:cs="Times New Roman"/>
          <w:sz w:val="24"/>
          <w:szCs w:val="24"/>
        </w:rPr>
        <w:t xml:space="preserve"> ester compounds characteristic for species from</w:t>
      </w:r>
      <w:r w:rsidRPr="00B24994">
        <w:rPr>
          <w:rFonts w:ascii="Times New Roman" w:hAnsi="Times New Roman" w:cs="Times New Roman"/>
          <w:i/>
          <w:sz w:val="24"/>
          <w:szCs w:val="24"/>
        </w:rPr>
        <w:t xml:space="preserve"> </w:t>
      </w:r>
      <w:r>
        <w:rPr>
          <w:rFonts w:ascii="Times New Roman" w:hAnsi="Times New Roman" w:cs="Times New Roman"/>
          <w:sz w:val="24"/>
          <w:szCs w:val="24"/>
        </w:rPr>
        <w:t xml:space="preserve">the </w:t>
      </w:r>
      <w:proofErr w:type="spellStart"/>
      <w:r w:rsidRPr="00B24994">
        <w:rPr>
          <w:rFonts w:ascii="Times New Roman" w:hAnsi="Times New Roman" w:cs="Times New Roman"/>
          <w:sz w:val="24"/>
          <w:szCs w:val="24"/>
        </w:rPr>
        <w:t>Brassica</w:t>
      </w:r>
      <w:r>
        <w:rPr>
          <w:rFonts w:ascii="Times New Roman" w:hAnsi="Times New Roman" w:cs="Times New Roman"/>
          <w:sz w:val="24"/>
          <w:szCs w:val="24"/>
        </w:rPr>
        <w:t>les</w:t>
      </w:r>
      <w:proofErr w:type="spellEnd"/>
      <w:r>
        <w:rPr>
          <w:rFonts w:ascii="Times New Roman" w:hAnsi="Times New Roman" w:cs="Times New Roman"/>
          <w:sz w:val="24"/>
          <w:szCs w:val="24"/>
        </w:rPr>
        <w:t xml:space="preserve"> order</w:t>
      </w:r>
      <w:r w:rsidRPr="00B24994">
        <w:rPr>
          <w:rFonts w:ascii="Times New Roman" w:hAnsi="Times New Roman" w:cs="Times New Roman"/>
          <w:sz w:val="24"/>
          <w:szCs w:val="24"/>
        </w:rPr>
        <w:t xml:space="preserve">, which include the model plant </w:t>
      </w:r>
      <w:r w:rsidRPr="00B24994">
        <w:rPr>
          <w:rFonts w:ascii="Times New Roman" w:hAnsi="Times New Roman" w:cs="Times New Roman"/>
          <w:i/>
          <w:sz w:val="24"/>
          <w:szCs w:val="24"/>
        </w:rPr>
        <w:t xml:space="preserve">A. thaliana </w:t>
      </w:r>
      <w:r w:rsidRPr="00B24994">
        <w:rPr>
          <w:rFonts w:ascii="Times New Roman" w:hAnsi="Times New Roman" w:cs="Times New Roman"/>
          <w:sz w:val="24"/>
          <w:szCs w:val="24"/>
        </w:rPr>
        <w:t xml:space="preserve">and a globally important crop </w:t>
      </w:r>
      <w:r w:rsidRPr="00B24994">
        <w:rPr>
          <w:rFonts w:ascii="Times New Roman" w:hAnsi="Times New Roman" w:cs="Times New Roman"/>
          <w:i/>
          <w:sz w:val="24"/>
          <w:szCs w:val="24"/>
        </w:rPr>
        <w:t xml:space="preserve">B. napus </w:t>
      </w:r>
      <w:r w:rsidRPr="00B24994">
        <w:rPr>
          <w:rFonts w:ascii="Times New Roman" w:hAnsi="Times New Roman" w:cs="Times New Roman"/>
          <w:sz w:val="24"/>
          <w:szCs w:val="24"/>
        </w:rPr>
        <w:t xml:space="preserve">(oilseed rape) and </w:t>
      </w:r>
      <w:r w:rsidRPr="00B24994">
        <w:rPr>
          <w:rFonts w:ascii="Times New Roman" w:hAnsi="Times New Roman" w:cs="Times New Roman"/>
          <w:i/>
          <w:sz w:val="24"/>
          <w:szCs w:val="24"/>
        </w:rPr>
        <w:t xml:space="preserve">Brassica oleracea </w:t>
      </w:r>
      <w:r w:rsidRPr="00B24994">
        <w:rPr>
          <w:rFonts w:ascii="Times New Roman" w:hAnsi="Times New Roman" w:cs="Times New Roman"/>
          <w:sz w:val="24"/>
          <w:szCs w:val="24"/>
        </w:rPr>
        <w:t>vegetables (</w:t>
      </w:r>
      <w:r w:rsidRPr="00B24994">
        <w:rPr>
          <w:rFonts w:ascii="Times New Roman" w:hAnsi="Times New Roman" w:cs="Times New Roman"/>
          <w:i/>
          <w:sz w:val="24"/>
          <w:szCs w:val="24"/>
        </w:rPr>
        <w:t>e.g.</w:t>
      </w:r>
      <w:r w:rsidRPr="00B24994">
        <w:rPr>
          <w:rFonts w:ascii="Times New Roman" w:hAnsi="Times New Roman" w:cs="Times New Roman"/>
          <w:sz w:val="24"/>
          <w:szCs w:val="24"/>
        </w:rPr>
        <w:t xml:space="preserve"> cauliflower, broccoli, cabbage). Based on the amino acid from which are derived, GLS compounds are grouped in indole (tryptophan precursor), aliphatic (methionine, alanine, isoleucine, leucine, or valine precursor) and benzenic (phenylalanine or tyrosine precursor</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{"citationID":"dA6alVr1","properties":{"formattedCitation":"(Bla\\uc0\\u382{}evi\\uc0\\u263{} et al., 2020)","plainCitation":"(Blažević et al., 2020)","dontUpdate":true,"noteIndex":0},"citationItems":[{"id":487,"uris":["http://zotero.org/users/10895598/items/YIYMVXIZ"],"itemData":{"id":487,"type":"article-journal","container-title":"Phytochemistry","DOI":"10.1016/j.phytochem.2019.112100","ISSN":"00319422","journalAbbreviation":"Phytochemistry","language":"en","page":"112100","source":"DOI.org (Crossref)","title":"Glucosinolate structural diversity, identification, chemical synthesis and metabolism in plants","volume":"169","author":[{"family":"Blažević","given":"Ivica"},{"family":"Montaut","given":"Sabine"},{"family":"Burčul","given":"Franko"},{"family":"Olsen","given":"Carl Erik"},{"family":"Burow","given":"Meike"},{"family":"Rollin","given":"Patrick"},{"family":"Agerbirk","given":"Niels"}],"issued":{"date-parts":[["2020",1]]}}}],"schema":"https://github.com/citation-style-language/schema/raw/master/csl-citation.json"} </w:instrText>
      </w:r>
      <w:r>
        <w:rPr>
          <w:rFonts w:ascii="Times New Roman" w:hAnsi="Times New Roman" w:cs="Times New Roman"/>
          <w:sz w:val="24"/>
          <w:szCs w:val="24"/>
        </w:rPr>
        <w:fldChar w:fldCharType="separate"/>
      </w:r>
      <w:r w:rsidRPr="00B1277F">
        <w:rPr>
          <w:rFonts w:ascii="Times New Roman" w:hAnsi="Times New Roman" w:cs="Times New Roman"/>
          <w:sz w:val="24"/>
          <w:szCs w:val="24"/>
        </w:rPr>
        <w:t>Blažević et al., 2020)</w:t>
      </w:r>
      <w:r>
        <w:rPr>
          <w:rFonts w:ascii="Times New Roman" w:hAnsi="Times New Roman" w:cs="Times New Roman"/>
          <w:sz w:val="24"/>
          <w:szCs w:val="24"/>
        </w:rPr>
        <w:fldChar w:fldCharType="end"/>
      </w:r>
      <w:r w:rsidRPr="00B24994">
        <w:rPr>
          <w:rFonts w:ascii="Times New Roman" w:hAnsi="Times New Roman" w:cs="Times New Roman"/>
          <w:sz w:val="24"/>
          <w:szCs w:val="24"/>
        </w:rPr>
        <w:t xml:space="preserve">. Aliphatic GLSs are the most diverse compared to other two classes, whereas benzenic are the least studied ones. </w:t>
      </w:r>
      <w:r w:rsidRPr="00B24994">
        <w:rPr>
          <w:rFonts w:ascii="Times New Roman" w:hAnsi="Times New Roman" w:cs="Times New Roman"/>
          <w:sz w:val="24"/>
          <w:szCs w:val="24"/>
          <w:highlight w:val="white"/>
        </w:rPr>
        <w:t>S</w:t>
      </w:r>
      <w:r w:rsidRPr="00B24994">
        <w:rPr>
          <w:rFonts w:ascii="Times New Roman" w:hAnsi="Times New Roman" w:cs="Times New Roman"/>
          <w:sz w:val="24"/>
          <w:szCs w:val="24"/>
        </w:rPr>
        <w:t xml:space="preserve">ome of the most abundant </w:t>
      </w:r>
      <w:r>
        <w:rPr>
          <w:rFonts w:ascii="Times New Roman" w:hAnsi="Times New Roman" w:cs="Times New Roman"/>
          <w:sz w:val="24"/>
          <w:szCs w:val="24"/>
        </w:rPr>
        <w:t>indole</w:t>
      </w:r>
      <w:r w:rsidRPr="00B24994">
        <w:rPr>
          <w:rFonts w:ascii="Times New Roman" w:hAnsi="Times New Roman" w:cs="Times New Roman"/>
          <w:sz w:val="24"/>
          <w:szCs w:val="24"/>
        </w:rPr>
        <w:t xml:space="preserve"> and </w:t>
      </w:r>
      <w:r>
        <w:rPr>
          <w:rFonts w:ascii="Times New Roman" w:hAnsi="Times New Roman" w:cs="Times New Roman"/>
          <w:sz w:val="24"/>
          <w:szCs w:val="24"/>
        </w:rPr>
        <w:t>aliphatic</w:t>
      </w:r>
      <w:r w:rsidRPr="00B24994">
        <w:rPr>
          <w:rFonts w:ascii="Times New Roman" w:hAnsi="Times New Roman" w:cs="Times New Roman"/>
          <w:sz w:val="24"/>
          <w:szCs w:val="24"/>
        </w:rPr>
        <w:t xml:space="preserve"> compounds and a single </w:t>
      </w:r>
      <w:r>
        <w:rPr>
          <w:rFonts w:ascii="Times New Roman" w:hAnsi="Times New Roman" w:cs="Times New Roman"/>
          <w:sz w:val="24"/>
          <w:szCs w:val="24"/>
        </w:rPr>
        <w:t>benzenic</w:t>
      </w:r>
      <w:r w:rsidRPr="00B24994">
        <w:rPr>
          <w:rFonts w:ascii="Times New Roman" w:hAnsi="Times New Roman" w:cs="Times New Roman"/>
          <w:sz w:val="24"/>
          <w:szCs w:val="24"/>
        </w:rPr>
        <w:t xml:space="preserve"> compound in Brassicaceae are shown in Fig. </w:t>
      </w:r>
      <w:r w:rsidR="008172D6">
        <w:rPr>
          <w:rFonts w:ascii="Times New Roman" w:hAnsi="Times New Roman" w:cs="Times New Roman"/>
          <w:sz w:val="24"/>
          <w:szCs w:val="24"/>
        </w:rPr>
        <w:t>3</w:t>
      </w:r>
      <w:r w:rsidRPr="00B24994">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{"citationID":"AEXT9RtI","properties":{"formattedCitation":"(Chhajed et al., 2020; Crocoll et al., 2016; Klopsch et al., 2018; Zhang et al., 2015)","plainCitation":"(Chhajed et al., 2020; Crocoll et al., 2016; Klopsch et al., 2018; Zhang et al., 2015)","noteIndex":0},"citationItems":[{"id":291,"uris":["http://zotero.org/users/10895598/items/AT6CSVQQ"],"itemData":{"id":291,"type":"article-journal","abstract":"Insect pests represent a major global challenge to important agricultural crops. Insecticides are often applied to combat such pests, but their use has caused additional challenges such as environmental contamination and human health issues. Over millions of years, plants have evolved natural defense mechanisms to overcome insect pests and pathogens. One such mechanism is the production of natural repellents or specialized metabolites like glucosinolates. There are three types of glucosinolates produced in the order Brassicales: aliphatic, indole, and benzenic glucosinolates. Upon insect herbivory, a “mustard oil bomb” consisting of glucosinolates and their hydrolyzing enzymes (myrosinases) is triggered to release toxic degradation products that act as insect deterrents. This review aims to provide a comprehensive summary of glucosinolate biosynthesis, the “mustard oil bomb”, and how these metabolites function in plant defense against pathogens and insects. Understanding these defense mechanisms will not only allow us to harness the benefits of this group of natural metabolites for enhancing pest control in Brassicales crops but also to transfer the “mustard oil bomb” to non-glucosinolate producing crops to boost their defense and thereby reduce the use of chemical pesticides.","container-title":"Agronomy","DOI":"10.3390/agronomy10111786","ISSN":"2073-4395","issue":"11","journalAbbreviation":"Agronomy","language":"en","page":"1786","source":"DOI.org (Crossref)","title":"Glucosinolate biosynthesis and the glucosinolate–myrosinase system in plant defense","volume":"10","author":[{"family":"Chhajed","given":"Shweta"},{"family":"Mostafa","given":"Islam"},{"family":"He","given":"Yan"},{"family":"Abou-Hashem","given":"Maged"},{"family":"El-Domiaty","given":"Maher"},{"family":"Chen","given":"Sixue"}],"issued":{"date-parts":[["2020",11,14]]}}},{"id":288,"uris":["http://zotero.org/users/10895598/items/RWPFLDVC"],"itemData":{"id":288,"type":"article-journal","container-title":"Current Protocols in Plant Biology","DOI":"10.1002/cppb.20027","ISSN":"23798068","issue":"2","journalAbbreviation":"Current Protocols in Plant Biology","language":"en","page":"385-409","source":"DOI.org (Crossref)","title":"Analysis and quantification of glucosinolates","volume":"1","author":[{"family":"Crocoll","given":"Christoph"},{"family":"Halkier","given":"Barbara Ann"},{"family":"Burow","given":"Meike"}],"issued":{"date-parts":[["2016",3]]}}},{"id":297,"uris":["http://zotero.org/users/10895598/items/GAHVQM2U"],"itemData":{"id":297,"type":"article-journal","container-title":"Journal of Agricultural and Food Chemistry","DOI":"10.1021/acs.jafc.8b01038","ISSN":"0021-8561, 1520-5118","issue":"22","journalAbbreviation":"J. Agric. Food Chem.","language":"en","page":"5481-5490","source":"DOI.org (Crossref)","title":"Genotypic variation of glucosinolates and their breakdown products in leaves of &lt;i&gt;Brassica rapa&lt;/i&gt;","volume":"66","author":[{"family":"Klopsch","given":"Rebecca"},{"family":"Witzel","given":"Katja"},{"family":"Artemyeva","given":"Anna"},{"family":"Ruppel","given":"Silke"},{"family":"Hanschen","given":"Franziska S."}],"issued":{"date-parts":[["2018",6,6]]}}},{"id":289,"uris":["http://zotero.org/users/10895598/items/7UTVMYSF"],"itemData":{"id":289,"type":"article-journal","container-title":"Frontiers in Plant Science","DOI":"10.3389/fpls.2015.00018","ISSN":"1664-462X","journalAbbreviation":"Front. Plant Sci.","source":"DOI.org (Crossref)","title":"Lineage-specific evolution of Methylthioalkylmalate synthases (MAMs) involved in glucosinolates biosynthesis","URL":"http://journal.frontiersin.org/Article/10.3389/fpls.2015.00018/abstract","volume":"6","author":[{"family":"Zhang","given":"Jifang"},{"family":"Wang","given":"Xiaobo"},{"family":"Cheng","given":"Feng"},{"family":"Wu","given":"Jian"},{"family":"Liang","given":"Jianli"},{"family":"Yang","given":"Wencai"},{"family":"Wang","given":"Xiaowu"}],"accessed":{"date-parts":[["2022",5,24]]},"issued":{"date-parts":[["2015",2,3]]}}}],"schema":"https://github.com/citation-style-language/schema/raw/master/csl-citation.json"} </w:instrText>
      </w:r>
      <w:r>
        <w:rPr>
          <w:rFonts w:ascii="Times New Roman" w:hAnsi="Times New Roman" w:cs="Times New Roman"/>
          <w:sz w:val="24"/>
          <w:szCs w:val="24"/>
        </w:rPr>
        <w:fldChar w:fldCharType="separate"/>
      </w:r>
      <w:r w:rsidRPr="00226D22">
        <w:rPr>
          <w:rFonts w:ascii="Times New Roman" w:hAnsi="Times New Roman" w:cs="Times New Roman"/>
          <w:sz w:val="24"/>
        </w:rPr>
        <w:t>(Chhajed et al., 2020; Crocoll et al., 2016; Klopsch et al., 2018; Zhang et al., 2015)</w:t>
      </w:r>
      <w:r>
        <w:rPr>
          <w:rFonts w:ascii="Times New Roman" w:hAnsi="Times New Roman" w:cs="Times New Roman"/>
          <w:sz w:val="24"/>
          <w:szCs w:val="24"/>
        </w:rPr>
        <w:fldChar w:fldCharType="end"/>
      </w:r>
      <w:r w:rsidRPr="00B24994">
        <w:rPr>
          <w:rFonts w:ascii="Times New Roman" w:hAnsi="Times New Roman" w:cs="Times New Roman"/>
          <w:sz w:val="24"/>
          <w:szCs w:val="24"/>
        </w:rPr>
        <w:t xml:space="preserve">. Moreover, GLS profile and the content of individual compounds differ depending on the plant species and organs within a plant. For instance, a total content of GLS compounds is higher in seeds and roots than in leaves of </w:t>
      </w:r>
      <w:r w:rsidRPr="00B24994">
        <w:rPr>
          <w:rFonts w:ascii="Times New Roman" w:hAnsi="Times New Roman" w:cs="Times New Roman"/>
          <w:i/>
          <w:sz w:val="24"/>
          <w:szCs w:val="24"/>
        </w:rPr>
        <w:t xml:space="preserve">B. napus </w:t>
      </w:r>
      <w:r w:rsidRPr="00B24994">
        <w:rPr>
          <w:rFonts w:ascii="Times New Roman" w:hAnsi="Times New Roman" w:cs="Times New Roman"/>
          <w:sz w:val="24"/>
          <w:szCs w:val="24"/>
        </w:rPr>
        <w:t xml:space="preserve">cultivars; however, aliphatic GLSs are dominating in both leaves and seeds, benzenic GLSs are prevailing in roots, and indole are more abundant in leaves compared to other organs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{"citationID":"oocpRz5x","properties":{"formattedCitation":"(Kittipol et al., 2019; Velasco et al., 2008)","plainCitation":"(Kittipol et al., 2019; Velasco et al., 2008)","noteIndex":0},"citationItems":[{"id":295,"uris":["http://zotero.org/users/10895598/items/IZF593TR"],"itemData":{"id":295,"type":"article-journal","container-title":"Journal of Plant Physiology","DOI":"10.1016/j.jplph.2019.06.001","ISSN":"01761617","journalAbbreviation":"Journal of Plant Physiology","language":"en","page":"152988","source":"DOI.org (Crossref)","title":"Genetic architecture of glucosinolate variation in &lt;i&gt;Brassica napus&lt;/i&gt;","volume":"240","author":[{"family":"Kittipol","given":"Varanya"},{"family":"He","given":"Zhesi"},{"family":"Wang","given":"Lihong"},{"family":"Doheny-Adams","given":"Tim"},{"family":"Langer","given":"Swen"},{"family":"Bancroft","given":"Ian"}],"issued":{"date-parts":[["2019",9]]}}},{"id":293,"uris":["http://zotero.org/users/10895598/items/UP4CCRAT"],"itemData":{"id":293,"type":"article-journal","abstract":"The glucosinolate profile of leaves and seeds of 33\n              Brassica napus\n              L. crops, including leafy crops, forage, rutabaga, and oilseed crops, was compared by high-performance liquid chromatography to investigate the relation between the consumable product of each crop and the glucosinolate profile. Glucosinolate concentration was higher in seeds than in leaves, varying from 3.8-fold in oilseed crops to 7.1-fold in root vegetable crops. Aliphatic glucosinolates predominated in both organs. In seeds, aliphatic glucosinolates represented between 91% to 94% in the different groups, whereas in leaves there was more variation. For root vegetable crops, aliphatic glucosinolates represented 80% of the total glucosinolate concentration. For leafy and forage types, aliphatic glucosinolates represented approximately 90% and for oilseed crops represented 92%. Indole glucosinolates were more abundant in leaves (5% to 17%) than in seeds (5% to 8%). The total glucosinolate content in leaves ranged from 14 to 24 μmol·g\n              −1\n              dry weight (DW) in oilseed and forage types, respectively, whereas in the seeds, it ranged from 55 to 115 μmol·g\n              −1\n              DW in oilseed and forage types, respectively. Significant differences were noted among the four groups in glucosinolate concentration and glucosinolate composition. In the seeds, progoitrin was found as the main glucosinolate in all groups. In the leaves, two different glucosinolate profiles were found depending on the crop: forage and root vegetable crops showed high levels of progoitrin, whereas glucobrassicanapin was the main glucosinolate for oilseed and leafy crops. We suggest that different selection criteria applied on\n              B. napus\n              crops according to their use could have led to an indirect selection for glucosinolate profile in leaves.","container-title":"Journal of the American Society for Horticultural Science","DOI":"10.21273/JASHS.133.4.551","ISSN":"0003-1062, 2327-9788","issue":"4","journalAbbreviation":"J. Amer. Soc. Hort. Sci.","page":"551-558","source":"DOI.org (Crossref)","title":"Comparison of glucosinolate profiles in leaf and seed tissues of different &lt;i&gt;Brassica napus&lt;/i&gt; crops","volume":"133","author":[{"family":"Velasco","given":"Pablo"},{"family":"Soengas","given":"Pilar"},{"family":"Vilar","given":"Marta"},{"family":"Cartea","given":"Maria Elena"},{"family":"Rio","given":"Mercedes","non-dropping-particle":"del"}],"issued":{"date-parts":[["2008",7]]}}}],"schema":"https://github.com/citation-style-language/schema/raw/master/csl-citation.json"} </w:instrText>
      </w:r>
      <w:r>
        <w:rPr>
          <w:rFonts w:ascii="Times New Roman" w:hAnsi="Times New Roman" w:cs="Times New Roman"/>
          <w:sz w:val="24"/>
          <w:szCs w:val="24"/>
        </w:rPr>
        <w:fldChar w:fldCharType="separate"/>
      </w:r>
      <w:r w:rsidRPr="00226D22">
        <w:rPr>
          <w:rFonts w:ascii="Times New Roman" w:hAnsi="Times New Roman" w:cs="Times New Roman"/>
          <w:sz w:val="24"/>
        </w:rPr>
        <w:t>(Kittipol et al., 2019; Velasco et al., 2008)</w:t>
      </w:r>
      <w:r>
        <w:rPr>
          <w:rFonts w:ascii="Times New Roman" w:hAnsi="Times New Roman" w:cs="Times New Roman"/>
          <w:sz w:val="24"/>
          <w:szCs w:val="24"/>
        </w:rPr>
        <w:fldChar w:fldCharType="end"/>
      </w:r>
      <w:r>
        <w:rPr>
          <w:rFonts w:ascii="Times New Roman" w:hAnsi="Times New Roman" w:cs="Times New Roman"/>
          <w:sz w:val="24"/>
          <w:szCs w:val="24"/>
        </w:rPr>
        <w:t>.</w:t>
      </w:r>
    </w:p>
    <w:p w14:paraId="39066D16" w14:textId="2ECA732E" w:rsidR="00007653" w:rsidRPr="0074184F" w:rsidRDefault="00007653" w:rsidP="0074184F">
      <w:pPr>
        <w:spacing w:line="360" w:lineRule="auto"/>
        <w:ind w:firstLine="708"/>
        <w:jc w:val="both"/>
        <w:rPr>
          <w:rFonts w:ascii="Times New Roman" w:hAnsi="Times New Roman" w:cs="Times New Roman"/>
          <w:iCs/>
          <w:sz w:val="24"/>
          <w:szCs w:val="24"/>
        </w:rPr>
      </w:pPr>
      <w:r w:rsidRPr="00B24994">
        <w:rPr>
          <w:rFonts w:ascii="Times New Roman" w:hAnsi="Times New Roman" w:cs="Times New Roman"/>
          <w:sz w:val="24"/>
          <w:szCs w:val="24"/>
        </w:rPr>
        <w:t xml:space="preserve">Intact GLSs are known to play </w:t>
      </w:r>
      <w:r>
        <w:rPr>
          <w:rFonts w:ascii="Times New Roman" w:hAnsi="Times New Roman" w:cs="Times New Roman"/>
          <w:sz w:val="24"/>
          <w:szCs w:val="24"/>
        </w:rPr>
        <w:t>a</w:t>
      </w:r>
      <w:r w:rsidRPr="00B24994">
        <w:rPr>
          <w:rFonts w:ascii="Times New Roman" w:hAnsi="Times New Roman" w:cs="Times New Roman"/>
          <w:sz w:val="24"/>
          <w:szCs w:val="24"/>
        </w:rPr>
        <w:t xml:space="preserve"> role in plant defence, and they can </w:t>
      </w:r>
      <w:r w:rsidR="004662FA">
        <w:rPr>
          <w:rFonts w:ascii="Times New Roman" w:hAnsi="Times New Roman" w:cs="Times New Roman"/>
          <w:sz w:val="24"/>
          <w:szCs w:val="24"/>
        </w:rPr>
        <w:t>be both palatable and repugnant</w:t>
      </w:r>
      <w:r w:rsidRPr="00B24994">
        <w:rPr>
          <w:rFonts w:ascii="Times New Roman" w:hAnsi="Times New Roman" w:cs="Times New Roman"/>
          <w:sz w:val="24"/>
          <w:szCs w:val="24"/>
        </w:rPr>
        <w:t xml:space="preserve"> for pathogens and </w:t>
      </w:r>
      <w:r>
        <w:rPr>
          <w:rFonts w:ascii="Times New Roman" w:hAnsi="Times New Roman" w:cs="Times New Roman"/>
          <w:sz w:val="24"/>
          <w:szCs w:val="24"/>
        </w:rPr>
        <w:t xml:space="preserve">insect </w:t>
      </w:r>
      <w:r w:rsidRPr="00B24994">
        <w:rPr>
          <w:rFonts w:ascii="Times New Roman" w:hAnsi="Times New Roman" w:cs="Times New Roman"/>
          <w:sz w:val="24"/>
          <w:szCs w:val="24"/>
        </w:rPr>
        <w:t>pests. Perceiving GLSs and their products by pathogens and insect herbivores highly depends on two factors: pathogen/herbivore feeding range and feeding mode. For instance, GLSs are highly responsible for plant palatability for specialist insect herbivores, and the preference is generally influenced by a GLS profile, not the total GLS content</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{"citationID":"c6w0SwLl","properties":{"formattedCitation":"(Cole, 1997; Hopkins et al., 2009; Robin et al., 2017; Sun et al., 2009)","plainCitation":"(Cole, 1997; Hopkins et al., 2009; Robin et al., 2017; Sun et al., 2009)","noteIndex":0},"citationItems":[{"id":585,"uris":["http://zotero.org/users/10895598/items/CL428VFN"],"itemData":{"id":585,"type":"article-journal","container-title":"Entomologia Experimentalis et Applicata","DOI":"10.1046/j.1570-7458.1997.00242.x","ISSN":"0013-8703, 1570-7458","issue":"2","journalAbbreviation":"Entomologia Experimentalis et Applicata","language":"en","page":"121-133","source":"DOI.org (Crossref)","title":"The relative importance of glucosinolates and amino acids to the development of two aphid pests &lt;i&gt;Brevicoryne brassicae&lt;/i&gt; and &lt;i&gt;Myzus persicae&lt;/i&gt; on wild and cultivated brassica species","volume":"85","author":[{"family":"Cole","given":"R. A."}],"issued":{"date-parts":[["1997",11]]}},"label":"page"},{"id":410,"uris":["http://zotero.org/users/10895598/items/7PGITD88"],"itemData":{"id":410,"type":"article-journal","abstract":"Glucosinolates present classical examples of plant compounds affecting insect-plant interactions. They are found mainly in the family Brassicaceae, which includes several important crops. More than 120 different glucosinolates are known. The enzyme myrosinase, which is stored in specialized plant cells, converts glucosinolates to the toxic isothiocyanates. Insect herbivores may reduce the toxicity of glucosinolates and their products by excretion, detoxification, or behavioral adaptations. Glucosinolates also affect higher trophic levels, via reduced host or prey quality or because specialist herbivores may sequester glucosinolates for their own defense. There is substantial quantitative and qualitative variation between plant genotypes, tissues, and ontogenetic stages, which poses specific challenges to insect herbivores. Even though glucosinolates are constitutive defenses, their levels are influenced by abiotic and biotic factors including insect damage. Plant breeders may use knowledge on glucosinolates to increase insect resistance in Brassica crops. State-of-the-art techniques, such as mutant analysis and metabolomics, are necessary to identify the exact role of glucosinolates.","container-title":"Annual Review of Entomology","DOI":"10.1146/annurev.ento.54.110807.090623","ISSN":"0066-4170, 1545-4487","issue":"1","journalAbbreviation":"Annu. Rev. Entomol.","language":"en","page":"57-83","source":"DOI.org (Crossref)","title":"Role of glucosinolates in insect-plant relationships and multitrophic interactions","volume":"54","author":[{"family":"Hopkins","given":"Richard J."},{"family":"Dam","given":"Nicole M.","non-dropping-particle":"van"},{"family":"Loon","given":"Joop J.A.","non-dropping-particle":"van"}],"issued":{"date-parts":[["2009",1,1]]}},"label":"page"},{"id":157,"uris":["http://zotero.org/users/10895598/items/CHVLQSS3"],"itemData":{"id":157,"type":"article-journal","container-title":"Frontiers in Plant Science","DOI":"10.3389/fpls.2017.01244","ISSN":"1664-462X","journalAbbreviation":"Front. Plant Sci.","page":"1244","source":"DOI.org (Crossref)","title":"Glucosinolate profiles in cabbage genotypes influence the preferential feeding of diamondback moth (&lt;i&gt;Plutella xylostella&lt;/i&gt;)","volume":"8","author":[{"family":"Robin","given":"Arif Hasan Khan"},{"family":"Hossain","given":"Mohammad Rashed"},{"family":"Park","given":"Jong-In"},{"family":"Kim","given":"Hye R."},{"family":"Nou","given":"Ill-Sup"}],"issued":{"date-parts":[["2017",7,18]]}},"label":"page"},{"id":68,"uris":["http://zotero.org/users/10895598/items/7CZ38FYP"],"itemData":{"id":68,"type":"article-journal","container-title":"Journal of Chemical Ecology","DOI":"10.1007/s10886-009-9723-4","ISSN":"0098-0331, 1573-1561","issue":"12","journalAbbreviation":"J Chem Ecol","language":"en","page":"1427-1436","source":"DOI.org (Crossref)","title":"Non-volatile intact indole glucosinolates are host recognition cues for ovipositing &lt;i&gt;Plutella xylostella&lt;/i&gt;","volume":"35","author":[{"family":"Sun","given":"Joel Y."},{"family":"Sønderby","given":"Ida E."},{"family":"Halkier","given":"Barbara A."},{"family":"Jander","given":"Georg"},{"family":"Vos","given":"Martin","non-dropping-particle":"de"}],"issued":{"date-parts":[["2009",12]]}},"label":"page"}],"schema":"https://github.com/citation-style-language/schema/raw/master/csl-citation.json"} </w:instrText>
      </w:r>
      <w:r>
        <w:rPr>
          <w:rFonts w:ascii="Times New Roman" w:hAnsi="Times New Roman" w:cs="Times New Roman"/>
          <w:sz w:val="24"/>
          <w:szCs w:val="24"/>
        </w:rPr>
        <w:fldChar w:fldCharType="separate"/>
      </w:r>
      <w:r w:rsidRPr="00D5193C">
        <w:rPr>
          <w:rFonts w:ascii="Times New Roman" w:hAnsi="Times New Roman" w:cs="Times New Roman"/>
          <w:sz w:val="24"/>
        </w:rPr>
        <w:t>(Cole, 1997; Hopkins et al., 2009; Robin et al., 2017; Sun et al., 2009)</w:t>
      </w:r>
      <w:r>
        <w:rPr>
          <w:rFonts w:ascii="Times New Roman" w:hAnsi="Times New Roman" w:cs="Times New Roman"/>
          <w:sz w:val="24"/>
          <w:szCs w:val="24"/>
        </w:rPr>
        <w:fldChar w:fldCharType="end"/>
      </w:r>
      <w:r w:rsidRPr="00B24994">
        <w:rPr>
          <w:rFonts w:ascii="Times New Roman" w:hAnsi="Times New Roman" w:cs="Times New Roman"/>
          <w:sz w:val="24"/>
          <w:szCs w:val="24"/>
        </w:rPr>
        <w:t xml:space="preserve">. Hence, females of </w:t>
      </w:r>
      <w:r w:rsidRPr="00B24994">
        <w:rPr>
          <w:rFonts w:ascii="Times New Roman" w:hAnsi="Times New Roman" w:cs="Times New Roman"/>
          <w:i/>
          <w:sz w:val="24"/>
          <w:szCs w:val="24"/>
        </w:rPr>
        <w:t xml:space="preserve">P. </w:t>
      </w:r>
      <w:proofErr w:type="spellStart"/>
      <w:r w:rsidRPr="00B24994">
        <w:rPr>
          <w:rFonts w:ascii="Times New Roman" w:hAnsi="Times New Roman" w:cs="Times New Roman"/>
          <w:i/>
          <w:sz w:val="24"/>
          <w:szCs w:val="24"/>
        </w:rPr>
        <w:t>xylostella</w:t>
      </w:r>
      <w:proofErr w:type="spellEnd"/>
      <w:r w:rsidRPr="00B24994">
        <w:rPr>
          <w:rFonts w:ascii="Times New Roman" w:hAnsi="Times New Roman" w:cs="Times New Roman"/>
          <w:sz w:val="24"/>
          <w:szCs w:val="24"/>
        </w:rPr>
        <w:t xml:space="preserve"> prefer to oviposit on </w:t>
      </w:r>
      <w:r w:rsidRPr="00B24994">
        <w:rPr>
          <w:rFonts w:ascii="Times New Roman" w:hAnsi="Times New Roman" w:cs="Times New Roman"/>
          <w:i/>
          <w:sz w:val="24"/>
          <w:szCs w:val="24"/>
        </w:rPr>
        <w:t xml:space="preserve">Brassica </w:t>
      </w:r>
      <w:r w:rsidRPr="00B24994">
        <w:rPr>
          <w:rFonts w:ascii="Times New Roman" w:hAnsi="Times New Roman" w:cs="Times New Roman"/>
          <w:sz w:val="24"/>
          <w:szCs w:val="24"/>
        </w:rPr>
        <w:t>plants with a high level of indole GLSs, and moths are possibly sensing them through tarsal chemoreceptors when in contact with the leaf surface</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{"citationID":"014Npf8F","properties":{"formattedCitation":"(Baur et al., 1998; Sun et al., 2009)","plainCitation":"(Baur et al., 1998; Sun et al., 2009)","noteIndex":0},"citationItems":[{"id":700,"uris":["http://zotero.org/users/10895598/items/MYA2FSW9"],"itemData":{"id":700,"type":"article-journal","abstract":"Abstract.\n              Behavioural events during host selection by ovipositing monarch butterflies (\n              Danaus plexippus\n              (L.), Danainae, Nymphalidae) include tapping the leaf surface with fore‐tarsi and touching this surface with mid‐tarsi (‘drumming’) and antennae. Flavonoids identified from host plant extracts are known to stimulate oviposition. Scanning electron microscopy revealed the presence of contact‐chemoreceptor sensilla on all appendages that contact the leaf surface. This electrophysiological study was conducted to identify the contact chemoreceptors that are sensitive to the known oviposition stimuli and are therefore probably involved in host recognition.\n            \n            \n              Receptor cells of conspicuous sensilla grouped in clusters on fore‐tarsi of females were sensitive to the behaviourally active butanol fraction of host plant (\n              Asclepias curassavica\n              ) extract. However, these receptors generally had low sensitivity to three oviposition‐stimulating flavonoids identified from this fraction, but they were also sensitive to the butanol fraction of a non‐host (\n              Brassica oleracea\n              ).\n            \n            \n              Chemoreceptors in sensilla of the tarsomers 2–4 of the mid‐legs also responded to the behaviourally active fraction of host plant extract and showed some sensitivity to two of the flavonoids that stimulate oviposition. Similar results were obtained from receptor cells in sensilla on the tip of the antennae. Most of these sensilla had cells responding to the butanol fraction of\n              A. curassavica\n              extract but only 25% of them were also sensitive to one of the behaviourally active flavonoids.\n            \n            These electrophysiological results, in combination with behavioural observations, suggest that host selection in monarch butterflies relies on a complex pattern of peripheral sensory information from several types of tarsal and antennal contact chemoreceptors.","container-title":"Physiological Entomology","DOI":"10.1046/j.1365-3032.1998.2310007.x","ISSN":"0307-6962, 1365-3032","issue":"1","journalAbbreviation":"Physiological Entomology","language":"en","page":"7-19","source":"DOI.org (Crossref)","title":"Contact chemoreception related to host selection and oviposition behaviour in the monarch butterfly, &lt;i&gt;Danaus plexippus&lt;/i&gt;","volume":"23","author":[{"family":"Baur","given":"Robert"},{"family":"Haribal","given":"Meena"},{"family":"Renwick","given":"J. Alan A."},{"family":"Städler","given":"Erich"}],"issued":{"date-parts":[["1998",3]]}}},{"id":68,"uris":["http://zotero.org/users/10895598/items/7CZ38FYP"],"itemData":{"id":68,"type":"article-journal","container-title":"Journal of Chemical Ecology","DOI":"10.1007/s10886-009-9723-4","ISSN":"0098-0331, 1573-1561","issue":"12","journalAbbreviation":"J Chem Ecol","language":"en","page":"1427-1436","source":"DOI.org (Crossref)","title":"Non-volatile intact indole glucosinolates are host recognition cues for ovipositing &lt;i&gt;Plutella xylostella&lt;/i&gt;","volume":"35","author":[{"family":"Sun","given":"Joel Y."},{"family":"Sønderby","given":"Ida E."},{"family":"Halkier","given":"Barbara A."},{"family":"Jander","given":"Georg"},{"family":"Vos","given":"Martin","non-dropping-particle":"de"}],"issued":{"date-parts":[["2009",12]]}}}],"schema":"https://github.com/citation-style-language/schema/raw/master/csl-citation.json"} </w:instrText>
      </w:r>
      <w:r>
        <w:rPr>
          <w:rFonts w:ascii="Times New Roman" w:hAnsi="Times New Roman" w:cs="Times New Roman"/>
          <w:sz w:val="24"/>
          <w:szCs w:val="24"/>
        </w:rPr>
        <w:fldChar w:fldCharType="separate"/>
      </w:r>
      <w:r w:rsidRPr="00A0524E">
        <w:rPr>
          <w:rFonts w:ascii="Times New Roman" w:hAnsi="Times New Roman" w:cs="Times New Roman"/>
          <w:sz w:val="24"/>
        </w:rPr>
        <w:t>(Baur et al., 1998; Sun et al., 2009)</w:t>
      </w:r>
      <w:r>
        <w:rPr>
          <w:rFonts w:ascii="Times New Roman" w:hAnsi="Times New Roman" w:cs="Times New Roman"/>
          <w:sz w:val="24"/>
          <w:szCs w:val="24"/>
        </w:rPr>
        <w:fldChar w:fldCharType="end"/>
      </w:r>
      <w:r w:rsidRPr="00B24994">
        <w:rPr>
          <w:rFonts w:ascii="Times New Roman" w:hAnsi="Times New Roman" w:cs="Times New Roman"/>
          <w:sz w:val="24"/>
          <w:szCs w:val="24"/>
        </w:rPr>
        <w:t>.</w:t>
      </w:r>
      <w:r>
        <w:rPr>
          <w:rFonts w:ascii="Times New Roman" w:hAnsi="Times New Roman" w:cs="Times New Roman"/>
          <w:sz w:val="24"/>
          <w:szCs w:val="24"/>
        </w:rPr>
        <w:t xml:space="preserve"> Alternatively, GLSs can have lethal effects on generalist insect herbivores</w:t>
      </w:r>
      <w:r>
        <w:rPr>
          <w:rFonts w:ascii="Times New Roman" w:hAnsi="Times New Roman" w:cs="Times New Roman"/>
          <w:sz w:val="24"/>
          <w:szCs w:val="24"/>
          <w:lang w:val="hr-HR"/>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{"citationID":"vETQD3au","properties":{"formattedCitation":"(Li et al., 2000)","plainCitation":"(Li et al., 2000)","dontUpdate":true,"noteIndex":0},"citationItems":[{"id":383,"uris":["http://zotero.org/users/10895598/items/DYJ8CG6D"],"itemData":{"id":383,"type":"article-journal","container-title":"Journal of chemical ecology","ISSN":"1573-1561","issue":"10","journalAbbreviation":"Journal of chemical ecology","note":"publisher: Springer","page":"2401-2419","title":"Feeding and growth of &lt;i&gt;Plutella xylostella&lt;/i&gt; and &lt;i&gt;Spodoptera eridania&lt;/i&gt; on &lt;i&gt;Brassica juncea&lt;/i&gt; with varying glucosinolate concentrations and myrosinase activities","volume":"26","author":[{"family":"Li","given":"Qun"},{"family":"Eigenbrode","given":"Sanford D"},{"family":"Stringam","given":"GR"},{"family":"Thiagarajah","given":"MR"}],"issued":{"date-parts":[["2000"]]}}}],"schema":"https://github.com/citation-style-language/schema/raw/master/csl-citation.json"} </w:instrText>
      </w:r>
      <w:r>
        <w:rPr>
          <w:rFonts w:ascii="Times New Roman" w:hAnsi="Times New Roman" w:cs="Times New Roman"/>
          <w:sz w:val="24"/>
          <w:szCs w:val="24"/>
        </w:rPr>
        <w:fldChar w:fldCharType="separate"/>
      </w:r>
      <w:r w:rsidRPr="0055588A">
        <w:rPr>
          <w:rFonts w:ascii="Times New Roman" w:hAnsi="Times New Roman" w:cs="Times New Roman"/>
          <w:sz w:val="24"/>
        </w:rPr>
        <w:t>Li et al.</w:t>
      </w:r>
      <w:r>
        <w:rPr>
          <w:rFonts w:ascii="Times New Roman" w:hAnsi="Times New Roman" w:cs="Times New Roman"/>
          <w:sz w:val="24"/>
        </w:rPr>
        <w:t xml:space="preserve"> (</w:t>
      </w:r>
      <w:r w:rsidRPr="0055588A">
        <w:rPr>
          <w:rFonts w:ascii="Times New Roman" w:hAnsi="Times New Roman" w:cs="Times New Roman"/>
          <w:sz w:val="24"/>
        </w:rPr>
        <w:t>2000)</w:t>
      </w:r>
      <w:r>
        <w:rPr>
          <w:rFonts w:ascii="Times New Roman" w:hAnsi="Times New Roman" w:cs="Times New Roman"/>
          <w:sz w:val="24"/>
          <w:szCs w:val="24"/>
        </w:rPr>
        <w:fldChar w:fldCharType="end"/>
      </w:r>
      <w:r>
        <w:rPr>
          <w:rFonts w:ascii="Times New Roman" w:hAnsi="Times New Roman" w:cs="Times New Roman"/>
          <w:sz w:val="24"/>
          <w:szCs w:val="24"/>
        </w:rPr>
        <w:t xml:space="preserve"> found that the aliphatic GLS sinigrin was toxic to </w:t>
      </w:r>
      <w:r>
        <w:rPr>
          <w:rFonts w:ascii="Times New Roman" w:hAnsi="Times New Roman" w:cs="Times New Roman"/>
          <w:i/>
          <w:sz w:val="24"/>
          <w:szCs w:val="24"/>
        </w:rPr>
        <w:t xml:space="preserve">Spodoptera </w:t>
      </w:r>
      <w:proofErr w:type="spellStart"/>
      <w:r>
        <w:rPr>
          <w:rFonts w:ascii="Times New Roman" w:hAnsi="Times New Roman" w:cs="Times New Roman"/>
          <w:i/>
          <w:sz w:val="24"/>
          <w:szCs w:val="24"/>
        </w:rPr>
        <w:t>eridania</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neonate, but not to the specialist </w:t>
      </w:r>
      <w:r>
        <w:rPr>
          <w:rFonts w:ascii="Times New Roman" w:hAnsi="Times New Roman" w:cs="Times New Roman"/>
          <w:i/>
          <w:sz w:val="24"/>
          <w:szCs w:val="24"/>
        </w:rPr>
        <w:t xml:space="preserve">P. </w:t>
      </w:r>
      <w:proofErr w:type="spellStart"/>
      <w:r>
        <w:rPr>
          <w:rFonts w:ascii="Times New Roman" w:hAnsi="Times New Roman" w:cs="Times New Roman"/>
          <w:i/>
          <w:sz w:val="24"/>
          <w:szCs w:val="24"/>
        </w:rPr>
        <w:t>xylostella</w:t>
      </w:r>
      <w:proofErr w:type="spellEnd"/>
      <w:r>
        <w:rPr>
          <w:rFonts w:ascii="Times New Roman" w:hAnsi="Times New Roman" w:cs="Times New Roman"/>
          <w:i/>
          <w:sz w:val="24"/>
          <w:szCs w:val="24"/>
        </w:rPr>
        <w:t xml:space="preserve"> </w:t>
      </w:r>
      <w:r>
        <w:rPr>
          <w:rFonts w:ascii="Times New Roman" w:hAnsi="Times New Roman" w:cs="Times New Roman"/>
          <w:sz w:val="24"/>
          <w:szCs w:val="24"/>
        </w:rPr>
        <w:t>caterpillars</w:t>
      </w:r>
      <w:r>
        <w:rPr>
          <w:rFonts w:ascii="Times New Roman" w:hAnsi="Times New Roman" w:cs="Times New Roman"/>
          <w:i/>
          <w:sz w:val="24"/>
          <w:szCs w:val="24"/>
        </w:rPr>
        <w:t>.</w:t>
      </w:r>
    </w:p>
    <w:p w14:paraId="4693B551" w14:textId="77777777" w:rsidR="00007653" w:rsidRPr="00E7693B" w:rsidRDefault="00007653" w:rsidP="00007653">
      <w:pPr>
        <w:spacing w:line="360" w:lineRule="auto"/>
        <w:jc w:val="center"/>
        <w:rPr>
          <w:rFonts w:ascii="Times New Roman" w:hAnsi="Times New Roman" w:cs="Times New Roman"/>
        </w:rPr>
      </w:pPr>
      <w:r w:rsidRPr="00E7693B">
        <w:rPr>
          <w:rFonts w:ascii="Times New Roman" w:hAnsi="Times New Roman" w:cs="Times New Roman"/>
          <w:noProof/>
          <w:lang w:val="en-US"/>
        </w:rPr>
        <w:lastRenderedPageBreak/>
        <w:drawing>
          <wp:inline distT="0" distB="0" distL="0" distR="0" wp14:anchorId="1DE7EDE1" wp14:editId="659D99DE">
            <wp:extent cx="5776059" cy="2967458"/>
            <wp:effectExtent l="0" t="0" r="0" b="0"/>
            <wp:docPr id="1424229670" name="image28.png" descr="Diagram,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Diagram, text&#10;&#10;Description automatically generated"/>
                    <pic:cNvPicPr preferRelativeResize="0"/>
                  </pic:nvPicPr>
                  <pic:blipFill>
                    <a:blip r:embed="rId19"/>
                    <a:srcRect/>
                    <a:stretch>
                      <a:fillRect/>
                    </a:stretch>
                  </pic:blipFill>
                  <pic:spPr>
                    <a:xfrm>
                      <a:off x="0" y="0"/>
                      <a:ext cx="5776059" cy="2967458"/>
                    </a:xfrm>
                    <a:prstGeom prst="rect">
                      <a:avLst/>
                    </a:prstGeom>
                    <a:ln/>
                  </pic:spPr>
                </pic:pic>
              </a:graphicData>
            </a:graphic>
          </wp:inline>
        </w:drawing>
      </w:r>
    </w:p>
    <w:p w14:paraId="2B9FCA7B" w14:textId="7F88285F" w:rsidR="00007653" w:rsidRDefault="00007653" w:rsidP="00007653">
      <w:pPr>
        <w:spacing w:before="240" w:after="0" w:line="360" w:lineRule="auto"/>
        <w:jc w:val="both"/>
        <w:rPr>
          <w:rFonts w:ascii="Times New Roman" w:hAnsi="Times New Roman" w:cs="Times New Roman"/>
        </w:rPr>
      </w:pPr>
      <w:r w:rsidRPr="00E7693B">
        <w:rPr>
          <w:rFonts w:ascii="Times New Roman" w:hAnsi="Times New Roman" w:cs="Times New Roman"/>
          <w:b/>
        </w:rPr>
        <w:t xml:space="preserve">Figure </w:t>
      </w:r>
      <w:r w:rsidR="008172D6">
        <w:rPr>
          <w:rFonts w:ascii="Times New Roman" w:hAnsi="Times New Roman" w:cs="Times New Roman"/>
          <w:b/>
        </w:rPr>
        <w:t>3</w:t>
      </w:r>
      <w:r w:rsidRPr="00E7693B">
        <w:rPr>
          <w:rFonts w:ascii="Times New Roman" w:hAnsi="Times New Roman" w:cs="Times New Roman"/>
          <w:b/>
        </w:rPr>
        <w:t xml:space="preserve">. </w:t>
      </w:r>
      <w:r w:rsidRPr="00E7693B">
        <w:rPr>
          <w:rFonts w:ascii="Times New Roman" w:hAnsi="Times New Roman" w:cs="Times New Roman"/>
        </w:rPr>
        <w:t xml:space="preserve">Simplified </w:t>
      </w:r>
      <w:r>
        <w:rPr>
          <w:rFonts w:ascii="Times New Roman" w:hAnsi="Times New Roman" w:cs="Times New Roman"/>
        </w:rPr>
        <w:t xml:space="preserve">scheme of </w:t>
      </w:r>
      <w:r w:rsidRPr="00E7693B">
        <w:rPr>
          <w:rFonts w:ascii="Times New Roman" w:hAnsi="Times New Roman" w:cs="Times New Roman"/>
        </w:rPr>
        <w:t>biosynthe</w:t>
      </w:r>
      <w:r>
        <w:rPr>
          <w:rFonts w:ascii="Times New Roman" w:hAnsi="Times New Roman" w:cs="Times New Roman"/>
        </w:rPr>
        <w:t>t</w:t>
      </w:r>
      <w:r w:rsidRPr="00E7693B">
        <w:rPr>
          <w:rFonts w:ascii="Times New Roman" w:hAnsi="Times New Roman" w:cs="Times New Roman"/>
        </w:rPr>
        <w:t>i</w:t>
      </w:r>
      <w:r>
        <w:rPr>
          <w:rFonts w:ascii="Times New Roman" w:hAnsi="Times New Roman" w:cs="Times New Roman"/>
        </w:rPr>
        <w:t xml:space="preserve">c relations </w:t>
      </w:r>
      <w:r w:rsidRPr="00E7693B">
        <w:rPr>
          <w:rFonts w:ascii="Times New Roman" w:hAnsi="Times New Roman" w:cs="Times New Roman"/>
        </w:rPr>
        <w:t>of some of the most abundant tryptophan-derived (indole), methionine-derived (aliphatic) and phenylalanine-derived (benzenic) GLS compounds in Brassicaceae. Compounds are known by their chemical names (bold letters) and common names (italic letters).</w:t>
      </w:r>
    </w:p>
    <w:p w14:paraId="2C27934C" w14:textId="77777777" w:rsidR="00007653" w:rsidRPr="00226D22" w:rsidRDefault="00007653" w:rsidP="00007653">
      <w:pPr>
        <w:spacing w:after="0" w:line="360" w:lineRule="auto"/>
        <w:jc w:val="both"/>
        <w:rPr>
          <w:rFonts w:ascii="Times New Roman" w:hAnsi="Times New Roman" w:cs="Times New Roman"/>
          <w:sz w:val="24"/>
          <w:szCs w:val="24"/>
        </w:rPr>
      </w:pPr>
    </w:p>
    <w:p w14:paraId="054A9072" w14:textId="77777777" w:rsidR="00007653" w:rsidRPr="00226D22" w:rsidRDefault="00007653" w:rsidP="00007653">
      <w:pPr>
        <w:spacing w:after="0" w:line="360" w:lineRule="auto"/>
        <w:ind w:firstLine="708"/>
        <w:jc w:val="both"/>
        <w:rPr>
          <w:rFonts w:ascii="Times New Roman" w:hAnsi="Times New Roman" w:cs="Times New Roman"/>
          <w:sz w:val="24"/>
          <w:szCs w:val="24"/>
        </w:rPr>
      </w:pPr>
      <w:r w:rsidRPr="00226D22">
        <w:rPr>
          <w:rFonts w:ascii="Times New Roman" w:hAnsi="Times New Roman" w:cs="Times New Roman"/>
          <w:sz w:val="24"/>
          <w:szCs w:val="24"/>
        </w:rPr>
        <w:t xml:space="preserve">Piercing-sucking herbivores, such as aphids, </w:t>
      </w:r>
      <w:r>
        <w:rPr>
          <w:rFonts w:ascii="Times New Roman" w:hAnsi="Times New Roman" w:cs="Times New Roman"/>
          <w:sz w:val="24"/>
          <w:szCs w:val="24"/>
        </w:rPr>
        <w:t>show differential responses</w:t>
      </w:r>
      <w:r w:rsidRPr="00226D22">
        <w:rPr>
          <w:rFonts w:ascii="Times New Roman" w:hAnsi="Times New Roman" w:cs="Times New Roman"/>
          <w:sz w:val="24"/>
          <w:szCs w:val="24"/>
        </w:rPr>
        <w:t xml:space="preserve"> to </w:t>
      </w:r>
      <w:r>
        <w:rPr>
          <w:rFonts w:ascii="Times New Roman" w:hAnsi="Times New Roman" w:cs="Times New Roman"/>
          <w:sz w:val="24"/>
          <w:szCs w:val="24"/>
        </w:rPr>
        <w:t xml:space="preserve">different </w:t>
      </w:r>
      <w:r w:rsidRPr="00226D22">
        <w:rPr>
          <w:rFonts w:ascii="Times New Roman" w:hAnsi="Times New Roman" w:cs="Times New Roman"/>
          <w:sz w:val="24"/>
          <w:szCs w:val="24"/>
        </w:rPr>
        <w:t>GLS profile</w:t>
      </w:r>
      <w:r>
        <w:rPr>
          <w:rFonts w:ascii="Times New Roman" w:hAnsi="Times New Roman" w:cs="Times New Roman"/>
          <w:sz w:val="24"/>
          <w:szCs w:val="24"/>
        </w:rPr>
        <w:t>s</w:t>
      </w:r>
      <w:r w:rsidRPr="00226D22">
        <w:rPr>
          <w:rFonts w:ascii="Times New Roman" w:hAnsi="Times New Roman" w:cs="Times New Roman"/>
          <w:sz w:val="24"/>
          <w:szCs w:val="24"/>
        </w:rPr>
        <w:t xml:space="preserve"> based on their host feeding range. For instance, reproduction rate of specialist </w:t>
      </w:r>
      <w:r w:rsidRPr="00226D22">
        <w:rPr>
          <w:rFonts w:ascii="Times New Roman" w:hAnsi="Times New Roman" w:cs="Times New Roman"/>
          <w:i/>
          <w:sz w:val="24"/>
          <w:szCs w:val="24"/>
        </w:rPr>
        <w:t xml:space="preserve">B. </w:t>
      </w:r>
      <w:proofErr w:type="spellStart"/>
      <w:r w:rsidRPr="00226D22">
        <w:rPr>
          <w:rFonts w:ascii="Times New Roman" w:hAnsi="Times New Roman" w:cs="Times New Roman"/>
          <w:i/>
          <w:sz w:val="24"/>
          <w:szCs w:val="24"/>
        </w:rPr>
        <w:t>brassicae</w:t>
      </w:r>
      <w:proofErr w:type="spellEnd"/>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 xml:space="preserve">was negatively affected by the strong induction of indole GLSs in Landsberg </w:t>
      </w:r>
      <w:proofErr w:type="spellStart"/>
      <w:r w:rsidRPr="00226D22">
        <w:rPr>
          <w:rFonts w:ascii="Times New Roman" w:hAnsi="Times New Roman" w:cs="Times New Roman"/>
          <w:i/>
          <w:sz w:val="24"/>
          <w:szCs w:val="24"/>
        </w:rPr>
        <w:t>erecta</w:t>
      </w:r>
      <w:proofErr w:type="spellEnd"/>
      <w:r w:rsidRPr="00226D22">
        <w:rPr>
          <w:rFonts w:ascii="Times New Roman" w:hAnsi="Times New Roman" w:cs="Times New Roman"/>
          <w:i/>
          <w:sz w:val="24"/>
          <w:szCs w:val="24"/>
        </w:rPr>
        <w:t xml:space="preserve"> </w:t>
      </w:r>
      <w:r>
        <w:rPr>
          <w:rFonts w:ascii="Times New Roman" w:hAnsi="Times New Roman" w:cs="Times New Roman"/>
          <w:sz w:val="24"/>
          <w:szCs w:val="24"/>
        </w:rPr>
        <w:t>accession</w:t>
      </w:r>
      <w:r w:rsidRPr="00226D22">
        <w:rPr>
          <w:rFonts w:ascii="Times New Roman" w:hAnsi="Times New Roman" w:cs="Times New Roman"/>
          <w:sz w:val="24"/>
          <w:szCs w:val="24"/>
        </w:rPr>
        <w:t xml:space="preserve"> of </w:t>
      </w:r>
      <w:r w:rsidRPr="00226D22">
        <w:rPr>
          <w:rFonts w:ascii="Times New Roman" w:hAnsi="Times New Roman" w:cs="Times New Roman"/>
          <w:i/>
          <w:sz w:val="24"/>
          <w:szCs w:val="24"/>
        </w:rPr>
        <w:t>A. thaliana</w:t>
      </w:r>
      <w:r w:rsidRPr="00226D22">
        <w:rPr>
          <w:rFonts w:ascii="Times New Roman" w:hAnsi="Times New Roman" w:cs="Times New Roman"/>
          <w:sz w:val="24"/>
          <w:szCs w:val="24"/>
        </w:rPr>
        <w:t xml:space="preserve">; however, generalist aphid </w:t>
      </w:r>
      <w:r w:rsidRPr="00226D22">
        <w:rPr>
          <w:rFonts w:ascii="Times New Roman" w:hAnsi="Times New Roman" w:cs="Times New Roman"/>
          <w:i/>
          <w:sz w:val="24"/>
          <w:szCs w:val="24"/>
        </w:rPr>
        <w:t xml:space="preserve">M. </w:t>
      </w:r>
      <w:proofErr w:type="spellStart"/>
      <w:r w:rsidRPr="00226D22">
        <w:rPr>
          <w:rFonts w:ascii="Times New Roman" w:hAnsi="Times New Roman" w:cs="Times New Roman"/>
          <w:i/>
          <w:sz w:val="24"/>
          <w:szCs w:val="24"/>
        </w:rPr>
        <w:t>persicae</w:t>
      </w:r>
      <w:proofErr w:type="spellEnd"/>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 xml:space="preserve">was not affected by this increase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{"citationID":"Y3gyjCDl","properties":{"formattedCitation":"(Ku\\uc0\\u347{}nierczyk et al., 2007)","plainCitation":"(Kuśnierczyk et al., 2007)","noteIndex":0},"citationItems":[{"id":97,"uris":["http://zotero.org/users/10895598/items/VMVQS5DZ"],"itemData":{"id":97,"type":"article-journal","container-title":"Journal of Experimental Botany","DOI":"10.1093/jxb/erm043","ISSN":"1460-2431, 0022-0957","issue":"10","language":"en","page":"2537-2552","source":"DOI.org (Crossref)","title":"Transcriptional responses of &lt;i&gt;Arabidopsis thaliana&lt;/i&gt; ecotypes with different glucosinolate profiles after attack by polyphagous &lt;i&gt;Myzus persicae&lt;/i&gt; and oligophagous &lt;i&gt;Brevicoryne brassicae&lt;/i&gt;","volume":"58","author":[{"family":"Kuśnierczyk","given":"Anna"},{"family":"Winge","given":"Per"},{"family":"Midelfart","given":"Herman"},{"family":"Armbruster","given":"W. Scott"},{"family":"Rossiter","given":"John T."},{"family":"Bones","given":"Atle Magnar"}],"issued":{"date-parts":[["2007",7]]}}}],"schema":"https://github.com/citation-style-language/schema/raw/master/csl-citation.json"} </w:instrText>
      </w:r>
      <w:r>
        <w:rPr>
          <w:rFonts w:ascii="Times New Roman" w:hAnsi="Times New Roman" w:cs="Times New Roman"/>
          <w:sz w:val="24"/>
          <w:szCs w:val="24"/>
        </w:rPr>
        <w:fldChar w:fldCharType="separate"/>
      </w:r>
      <w:r w:rsidRPr="00226D22">
        <w:rPr>
          <w:rFonts w:ascii="Times New Roman" w:hAnsi="Times New Roman" w:cs="Times New Roman"/>
          <w:sz w:val="24"/>
          <w:szCs w:val="24"/>
        </w:rPr>
        <w:t>(Kuśnierczyk et al., 2007)</w:t>
      </w:r>
      <w:r>
        <w:rPr>
          <w:rFonts w:ascii="Times New Roman" w:hAnsi="Times New Roman" w:cs="Times New Roman"/>
          <w:sz w:val="24"/>
          <w:szCs w:val="24"/>
        </w:rPr>
        <w:fldChar w:fldCharType="end"/>
      </w:r>
      <w:r w:rsidRPr="00226D22">
        <w:rPr>
          <w:rFonts w:ascii="Times New Roman" w:hAnsi="Times New Roman" w:cs="Times New Roman"/>
          <w:sz w:val="24"/>
          <w:szCs w:val="24"/>
        </w:rPr>
        <w:t>.</w:t>
      </w:r>
    </w:p>
    <w:p w14:paraId="189423FB" w14:textId="77777777" w:rsidR="00007653" w:rsidRPr="00226D22" w:rsidRDefault="00007653" w:rsidP="00007653">
      <w:pPr>
        <w:spacing w:after="0" w:line="360" w:lineRule="auto"/>
        <w:ind w:firstLine="708"/>
        <w:jc w:val="both"/>
        <w:rPr>
          <w:rFonts w:ascii="Times New Roman" w:hAnsi="Times New Roman" w:cs="Times New Roman"/>
          <w:sz w:val="24"/>
          <w:szCs w:val="24"/>
        </w:rPr>
      </w:pPr>
      <w:r w:rsidRPr="00226D22">
        <w:rPr>
          <w:rFonts w:ascii="Times New Roman" w:hAnsi="Times New Roman" w:cs="Times New Roman"/>
          <w:sz w:val="24"/>
          <w:szCs w:val="24"/>
        </w:rPr>
        <w:t xml:space="preserve">Fungal pathogens differing in their lifestyle and a range of hosts trigger the production of compounds belonging to different GLS groups.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{"citationID":"SO76y0nH","properties":{"formattedCitation":"(Hiruma et al., 2013)","plainCitation":"(Hiruma et al., 2013)","dontUpdate":true,"noteIndex":0},"citationItems":[{"id":366,"uris":["http://zotero.org/users/10895598/items/R448G7MP"],"itemData":{"id":366,"type":"article-journal","abstract":"The hypersensitive response (HR) is a type of strong immune response found in plants that is accompanied by localized cell death. However, it is unclear how HR can block a broad range of pathogens with different infective modes. In this study, we report that γ-glutamylcysteine synthetase GSH1, which is critical for glutathione biosynthesis, and tryptophan (Trp) metabolism contribute to HR and block development of fungal pathogens with hemibiotrophic infective modes. We found that GSH1 is involved in the penetration2 (PEN2)-based entry control of the nonadapted hemibiotroph\n              Colletotrichum gloeosporioides.\n              However,\n              Arabidopsis\n              mutants specifically defective in entry control terminated further growth of the pathogen in the presence of HR cell death, whereas\n              gsh1\n              mutants supported pathogen invasive growth\n              in planta\n              , demonstrating the requirement of GSH1 for postinvasive nonhost resistance. Remarkably, on the basis of the phenotypic and metabolic analysis of\n              Arabidopsis\n              mutants defective in Trp metabolism, we showed that biosynthesis of Trp-derived phytochemicals is also essential for resistance to\n              C. gloeosporioides\n              during postinvasive HR. By contrast, GSH1 and these metabolites are likely to be dispensable for the induction of cell death during postinvasive HR. Furthermore, the resistance to\n              Ralstonia solanacearum\n              1/resistance to\n              Pseudomonas syringae\n              4 dual\n              Resistance\n              gene-dependent immunity of\n              Arabidopsis\n              to the adapted hemibiotroph shared GSH1 and cytochromes P450 CYP79B2/CYP79B3 with postinvasive nonhost resistance, whereas resistance to\n              P. syringae\n              pv.\n              maculicola\n              1 and resistance to\n              P. syringae\n              2-based\n              Resistance\n              gene resistance against bacterial pathogens did not. These data suggest that the synthesis of glutathione and Trp-derived metabolites during HR play crucial roles in terminating the invasive growth of both nonadapted and adapted hemibiotrophs.","container-title":"Proceedings of the National Academy of Sciences","DOI":"10.1073/pnas.1305745110","ISSN":"0027-8424, 1091-6490","issue":"23","journalAbbreviation":"Proc. Natl. Acad. Sci. U.S.A.","language":"en","page":"9589-9594","source":"DOI.org (Crossref)","title":"Glutathione and tryptophan metabolism are required for &lt;i&gt;Arabidopsis&lt;/i&gt; immunity during the hypersensitive response to hemibiotrophs","volume":"110","author":[{"family":"Hiruma","given":"Kei"},{"family":"Fukunaga","given":"Satoshi"},{"family":"Bednarek","given":"Paweł"},{"family":"Piślewska-Bednarek","given":"Mariola"},{"family":"Watanabe","given":"Satoshi"},{"family":"Narusaka","given":"Yoshihiro"},{"family":"Shirasu","given":"Ken"},{"family":"Takano","given":"Yoshitaka"}],"issued":{"date-parts":[["2013",6,4]]}}}],"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Hiruma et al. (</w:t>
      </w:r>
      <w:r w:rsidRPr="00226D22">
        <w:rPr>
          <w:rFonts w:ascii="Times New Roman" w:hAnsi="Times New Roman" w:cs="Times New Roman"/>
          <w:sz w:val="24"/>
        </w:rPr>
        <w:t>2013)</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reported that growth of both specialist and generalist </w:t>
      </w:r>
      <w:proofErr w:type="spellStart"/>
      <w:r w:rsidRPr="00226D22">
        <w:rPr>
          <w:rFonts w:ascii="Times New Roman" w:hAnsi="Times New Roman" w:cs="Times New Roman"/>
          <w:sz w:val="24"/>
          <w:szCs w:val="24"/>
        </w:rPr>
        <w:t>hemibiotrophic</w:t>
      </w:r>
      <w:proofErr w:type="spellEnd"/>
      <w:r w:rsidRPr="00226D22">
        <w:rPr>
          <w:rFonts w:ascii="Times New Roman" w:hAnsi="Times New Roman" w:cs="Times New Roman"/>
          <w:sz w:val="24"/>
          <w:szCs w:val="24"/>
        </w:rPr>
        <w:t xml:space="preserve"> pathogens is negatively affected by synthesised indole compounds in </w:t>
      </w:r>
      <w:r w:rsidRPr="00226D22">
        <w:rPr>
          <w:rFonts w:ascii="Times New Roman" w:hAnsi="Times New Roman" w:cs="Times New Roman"/>
          <w:i/>
          <w:sz w:val="24"/>
          <w:szCs w:val="24"/>
        </w:rPr>
        <w:t>A. thaliana</w:t>
      </w:r>
      <w:r w:rsidRPr="00226D22">
        <w:rPr>
          <w:rFonts w:ascii="Times New Roman" w:hAnsi="Times New Roman" w:cs="Times New Roman"/>
          <w:sz w:val="24"/>
          <w:szCs w:val="24"/>
        </w:rPr>
        <w:t xml:space="preserve">. Furthermore,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{"citationID":"GPM3PzU3","properties":{"formattedCitation":"(Buxdorf et al., 2013)","plainCitation":"(Buxdorf et al., 2013)","dontUpdate":true,"noteIndex":0},"citationItems":[{"id":258,"uris":["http://zotero.org/users/10895598/items/QV4EBLDD"],"itemData":{"id":258,"type":"article-journal","container-title":"PLoS ONE","DOI":"10.1371/journal.pone.0070771","ISSN":"1932-6203","issue":"8","journalAbbreviation":"PLoS ONE","language":"en","page":"e70771","source":"DOI.org (Crossref)","title":"The effects of glucosinolates and their breakdown products on necrotrophic fungi","volume":"8","author":[{"family":"Buxdorf","given":"Kobi"},{"family":"Yaffe","given":"Hila"},{"family":"Barda","given":"Omer"},{"family":"Levy","given":"Maggie"}],"editor":[{"family":"Ballhorn","given":"Daniel"}],"issued":{"date-parts":[["2013",8,5]]}}}],"schema":"https://github.com/citation-style-language/schema/raw/master/csl-citation.json"} </w:instrText>
      </w:r>
      <w:r>
        <w:rPr>
          <w:rFonts w:ascii="Times New Roman" w:hAnsi="Times New Roman" w:cs="Times New Roman"/>
          <w:sz w:val="24"/>
          <w:szCs w:val="24"/>
        </w:rPr>
        <w:fldChar w:fldCharType="separate"/>
      </w:r>
      <w:r w:rsidRPr="00226D22">
        <w:rPr>
          <w:rFonts w:ascii="Times New Roman" w:hAnsi="Times New Roman" w:cs="Times New Roman"/>
          <w:sz w:val="24"/>
        </w:rPr>
        <w:t>Buxdorf e</w:t>
      </w:r>
      <w:r>
        <w:rPr>
          <w:rFonts w:ascii="Times New Roman" w:hAnsi="Times New Roman" w:cs="Times New Roman"/>
          <w:sz w:val="24"/>
        </w:rPr>
        <w:t>t al.</w:t>
      </w:r>
      <w:r w:rsidRPr="00226D22">
        <w:rPr>
          <w:rFonts w:ascii="Times New Roman" w:hAnsi="Times New Roman" w:cs="Times New Roman"/>
          <w:sz w:val="24"/>
        </w:rPr>
        <w:t xml:space="preserve"> </w:t>
      </w:r>
      <w:r>
        <w:rPr>
          <w:rFonts w:ascii="Times New Roman" w:hAnsi="Times New Roman" w:cs="Times New Roman"/>
          <w:sz w:val="24"/>
        </w:rPr>
        <w:t>(</w:t>
      </w:r>
      <w:r w:rsidRPr="00226D22">
        <w:rPr>
          <w:rFonts w:ascii="Times New Roman" w:hAnsi="Times New Roman" w:cs="Times New Roman"/>
          <w:sz w:val="24"/>
        </w:rPr>
        <w:t>2013)</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studied two isolates of a generalist necrotrophic pathogen </w:t>
      </w:r>
      <w:r w:rsidRPr="00226D22">
        <w:rPr>
          <w:rFonts w:ascii="Times New Roman" w:hAnsi="Times New Roman" w:cs="Times New Roman"/>
          <w:i/>
          <w:sz w:val="24"/>
          <w:szCs w:val="24"/>
        </w:rPr>
        <w:t xml:space="preserve">Botrytis cinerea </w:t>
      </w:r>
      <w:r w:rsidRPr="00226D22">
        <w:rPr>
          <w:rFonts w:ascii="Times New Roman" w:hAnsi="Times New Roman" w:cs="Times New Roman"/>
          <w:sz w:val="24"/>
          <w:szCs w:val="24"/>
        </w:rPr>
        <w:t xml:space="preserve">and one isolate of </w:t>
      </w:r>
      <w:r w:rsidRPr="00226D22">
        <w:rPr>
          <w:rFonts w:ascii="Times New Roman" w:hAnsi="Times New Roman" w:cs="Times New Roman"/>
          <w:i/>
          <w:sz w:val="24"/>
          <w:szCs w:val="24"/>
        </w:rPr>
        <w:t xml:space="preserve">Alternaria </w:t>
      </w:r>
      <w:proofErr w:type="spellStart"/>
      <w:r w:rsidRPr="00226D22">
        <w:rPr>
          <w:rFonts w:ascii="Times New Roman" w:hAnsi="Times New Roman" w:cs="Times New Roman"/>
          <w:i/>
          <w:sz w:val="24"/>
          <w:szCs w:val="24"/>
        </w:rPr>
        <w:t>brassicicola</w:t>
      </w:r>
      <w:proofErr w:type="spellEnd"/>
      <w:r w:rsidRPr="00226D22">
        <w:rPr>
          <w:rFonts w:ascii="Times New Roman" w:hAnsi="Times New Roman" w:cs="Times New Roman"/>
          <w:sz w:val="24"/>
          <w:szCs w:val="24"/>
        </w:rPr>
        <w:t xml:space="preserve">, a specialised </w:t>
      </w:r>
      <w:proofErr w:type="spellStart"/>
      <w:r w:rsidRPr="00226D22">
        <w:rPr>
          <w:rFonts w:ascii="Times New Roman" w:hAnsi="Times New Roman" w:cs="Times New Roman"/>
          <w:sz w:val="24"/>
          <w:szCs w:val="24"/>
        </w:rPr>
        <w:t>necrotroph</w:t>
      </w:r>
      <w:proofErr w:type="spellEnd"/>
      <w:r w:rsidRPr="00226D22">
        <w:rPr>
          <w:rFonts w:ascii="Times New Roman" w:hAnsi="Times New Roman" w:cs="Times New Roman"/>
          <w:sz w:val="24"/>
          <w:szCs w:val="24"/>
        </w:rPr>
        <w:t xml:space="preserve"> on </w:t>
      </w:r>
      <w:r w:rsidRPr="00226D22">
        <w:rPr>
          <w:rFonts w:ascii="Times New Roman" w:hAnsi="Times New Roman" w:cs="Times New Roman"/>
          <w:i/>
          <w:sz w:val="24"/>
          <w:szCs w:val="24"/>
        </w:rPr>
        <w:t>Brassica</w:t>
      </w:r>
      <w:r w:rsidRPr="00226D22">
        <w:rPr>
          <w:rFonts w:ascii="Times New Roman" w:hAnsi="Times New Roman" w:cs="Times New Roman"/>
          <w:sz w:val="24"/>
          <w:szCs w:val="24"/>
        </w:rPr>
        <w:t xml:space="preserve"> species</w:t>
      </w:r>
      <w:r>
        <w:rPr>
          <w:rFonts w:ascii="Times New Roman" w:hAnsi="Times New Roman" w:cs="Times New Roman"/>
          <w:sz w:val="24"/>
          <w:szCs w:val="24"/>
        </w:rPr>
        <w:t>. U</w:t>
      </w:r>
      <w:r w:rsidRPr="00226D22">
        <w:rPr>
          <w:rFonts w:ascii="Times New Roman" w:hAnsi="Times New Roman" w:cs="Times New Roman"/>
          <w:sz w:val="24"/>
          <w:szCs w:val="24"/>
        </w:rPr>
        <w:t xml:space="preserve">sing mutants of </w:t>
      </w:r>
      <w:r w:rsidRPr="00226D22">
        <w:rPr>
          <w:rFonts w:ascii="Times New Roman" w:hAnsi="Times New Roman" w:cs="Times New Roman"/>
          <w:i/>
          <w:sz w:val="24"/>
          <w:szCs w:val="24"/>
        </w:rPr>
        <w:t xml:space="preserve">A. thaliana </w:t>
      </w:r>
      <w:r w:rsidRPr="00226D22">
        <w:rPr>
          <w:rFonts w:ascii="Times New Roman" w:hAnsi="Times New Roman" w:cs="Times New Roman"/>
          <w:sz w:val="24"/>
          <w:szCs w:val="24"/>
        </w:rPr>
        <w:t xml:space="preserve">differing in the level of GLS compounds, they found that </w:t>
      </w:r>
      <w:r>
        <w:rPr>
          <w:rFonts w:ascii="Times New Roman" w:hAnsi="Times New Roman" w:cs="Times New Roman"/>
          <w:sz w:val="24"/>
          <w:szCs w:val="24"/>
        </w:rPr>
        <w:t xml:space="preserve">the </w:t>
      </w:r>
      <w:r w:rsidRPr="00226D22">
        <w:rPr>
          <w:rFonts w:ascii="Times New Roman" w:hAnsi="Times New Roman" w:cs="Times New Roman"/>
          <w:sz w:val="24"/>
          <w:szCs w:val="24"/>
        </w:rPr>
        <w:t xml:space="preserve">response of </w:t>
      </w:r>
      <w:r w:rsidRPr="00226D22">
        <w:rPr>
          <w:rFonts w:ascii="Times New Roman" w:hAnsi="Times New Roman" w:cs="Times New Roman"/>
          <w:i/>
          <w:sz w:val="24"/>
          <w:szCs w:val="24"/>
        </w:rPr>
        <w:t xml:space="preserve">B. cinerea </w:t>
      </w:r>
      <w:r w:rsidRPr="00226D22">
        <w:rPr>
          <w:rFonts w:ascii="Times New Roman" w:hAnsi="Times New Roman" w:cs="Times New Roman"/>
          <w:sz w:val="24"/>
          <w:szCs w:val="24"/>
        </w:rPr>
        <w:t>is isolate-dependent, wi</w:t>
      </w:r>
      <w:r>
        <w:rPr>
          <w:rFonts w:ascii="Times New Roman" w:hAnsi="Times New Roman" w:cs="Times New Roman"/>
          <w:sz w:val="24"/>
          <w:szCs w:val="24"/>
        </w:rPr>
        <w:t>th</w:t>
      </w:r>
      <w:r w:rsidRPr="00226D22">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226D22">
        <w:rPr>
          <w:rFonts w:ascii="Times New Roman" w:hAnsi="Times New Roman" w:cs="Times New Roman"/>
          <w:sz w:val="24"/>
          <w:szCs w:val="24"/>
        </w:rPr>
        <w:t xml:space="preserve">specialist </w:t>
      </w:r>
      <w:r>
        <w:rPr>
          <w:rFonts w:ascii="Times New Roman" w:hAnsi="Times New Roman" w:cs="Times New Roman"/>
          <w:sz w:val="24"/>
          <w:szCs w:val="24"/>
        </w:rPr>
        <w:t xml:space="preserve">being more strongly </w:t>
      </w:r>
      <w:r w:rsidRPr="00226D22">
        <w:rPr>
          <w:rFonts w:ascii="Times New Roman" w:hAnsi="Times New Roman" w:cs="Times New Roman"/>
          <w:sz w:val="24"/>
          <w:szCs w:val="24"/>
        </w:rPr>
        <w:t>affected by aliphatic GLSs than by indole ones.</w:t>
      </w:r>
    </w:p>
    <w:p w14:paraId="0635215D" w14:textId="77777777" w:rsidR="00007653" w:rsidRPr="00226D22" w:rsidRDefault="00007653" w:rsidP="00007653">
      <w:pPr>
        <w:spacing w:after="0" w:line="360" w:lineRule="auto"/>
        <w:jc w:val="both"/>
        <w:rPr>
          <w:rFonts w:ascii="Times New Roman" w:hAnsi="Times New Roman" w:cs="Times New Roman"/>
          <w:sz w:val="24"/>
          <w:szCs w:val="24"/>
        </w:rPr>
      </w:pPr>
    </w:p>
    <w:p w14:paraId="3F4DA3B5" w14:textId="77777777" w:rsidR="00007653" w:rsidRPr="00E7693B" w:rsidRDefault="00007653" w:rsidP="006B61C5">
      <w:pPr>
        <w:pStyle w:val="Heading4"/>
      </w:pPr>
      <w:bookmarkStart w:id="13" w:name="_Toc167977587"/>
      <w:r w:rsidRPr="00E7693B">
        <w:lastRenderedPageBreak/>
        <w:t>Glucosinolate-</w:t>
      </w:r>
      <w:proofErr w:type="spellStart"/>
      <w:r w:rsidRPr="00E7693B">
        <w:t>myrosinase</w:t>
      </w:r>
      <w:proofErr w:type="spellEnd"/>
      <w:r w:rsidRPr="00E7693B">
        <w:t xml:space="preserve"> system</w:t>
      </w:r>
      <w:bookmarkEnd w:id="13"/>
      <w:r w:rsidRPr="00E7693B">
        <w:t xml:space="preserve"> </w:t>
      </w:r>
    </w:p>
    <w:p w14:paraId="208E3611" w14:textId="77777777" w:rsidR="00007653" w:rsidRPr="00226D22" w:rsidRDefault="00007653" w:rsidP="00007653">
      <w:pPr>
        <w:spacing w:after="0" w:line="360" w:lineRule="auto"/>
        <w:ind w:firstLine="708"/>
        <w:jc w:val="both"/>
        <w:rPr>
          <w:rFonts w:ascii="Times New Roman" w:hAnsi="Times New Roman" w:cs="Times New Roman"/>
          <w:sz w:val="24"/>
          <w:szCs w:val="24"/>
        </w:rPr>
      </w:pPr>
    </w:p>
    <w:p w14:paraId="0ABCDF74" w14:textId="77777777" w:rsidR="00007653" w:rsidRPr="00226D22" w:rsidRDefault="00007653" w:rsidP="00007653">
      <w:pPr>
        <w:spacing w:after="0" w:line="360" w:lineRule="auto"/>
        <w:ind w:firstLine="708"/>
        <w:jc w:val="both"/>
        <w:rPr>
          <w:rFonts w:ascii="Times New Roman" w:hAnsi="Times New Roman" w:cs="Times New Roman"/>
          <w:sz w:val="24"/>
          <w:szCs w:val="24"/>
        </w:rPr>
      </w:pPr>
      <w:r w:rsidRPr="00226D22">
        <w:rPr>
          <w:rFonts w:ascii="Times New Roman" w:hAnsi="Times New Roman" w:cs="Times New Roman"/>
          <w:sz w:val="24"/>
          <w:szCs w:val="24"/>
        </w:rPr>
        <w:t xml:space="preserve">For GLSs to be activated they must get in contact with enzymes </w:t>
      </w:r>
      <w:r>
        <w:rPr>
          <w:rFonts w:ascii="Times New Roman" w:hAnsi="Times New Roman" w:cs="Times New Roman"/>
          <w:sz w:val="24"/>
          <w:szCs w:val="24"/>
        </w:rPr>
        <w:t xml:space="preserve">called </w:t>
      </w:r>
      <w:proofErr w:type="spellStart"/>
      <w:r w:rsidRPr="00226D22">
        <w:rPr>
          <w:rFonts w:ascii="Times New Roman" w:hAnsi="Times New Roman" w:cs="Times New Roman"/>
          <w:sz w:val="24"/>
          <w:szCs w:val="24"/>
        </w:rPr>
        <w:t>thioglucosidases</w:t>
      </w:r>
      <w:proofErr w:type="spellEnd"/>
      <w:r w:rsidRPr="00226D22">
        <w:rPr>
          <w:rFonts w:ascii="Times New Roman" w:hAnsi="Times New Roman" w:cs="Times New Roman"/>
          <w:sz w:val="24"/>
          <w:szCs w:val="24"/>
        </w:rPr>
        <w:t xml:space="preserve">, also known as </w:t>
      </w:r>
      <w:proofErr w:type="spellStart"/>
      <w:r w:rsidRPr="00226D22">
        <w:rPr>
          <w:rFonts w:ascii="Times New Roman" w:hAnsi="Times New Roman" w:cs="Times New Roman"/>
          <w:sz w:val="24"/>
          <w:szCs w:val="24"/>
        </w:rPr>
        <w:t>myrosinases</w:t>
      </w:r>
      <w:proofErr w:type="spellEnd"/>
      <w:r w:rsidRPr="00226D22">
        <w:rPr>
          <w:rFonts w:ascii="Times New Roman" w:hAnsi="Times New Roman" w:cs="Times New Roman"/>
          <w:sz w:val="24"/>
          <w:szCs w:val="24"/>
        </w:rPr>
        <w:t xml:space="preserve">. Upon leaf tissue damage by herbivores, the velocity of GLS activation depends on </w:t>
      </w:r>
      <w:r>
        <w:rPr>
          <w:rFonts w:ascii="Times New Roman" w:hAnsi="Times New Roman" w:cs="Times New Roman"/>
          <w:sz w:val="24"/>
          <w:szCs w:val="24"/>
        </w:rPr>
        <w:t>the</w:t>
      </w:r>
      <w:r w:rsidRPr="00226D22">
        <w:rPr>
          <w:rFonts w:ascii="Times New Roman" w:hAnsi="Times New Roman" w:cs="Times New Roman"/>
          <w:sz w:val="24"/>
          <w:szCs w:val="24"/>
        </w:rPr>
        <w:t xml:space="preserve"> distance between laticifer-like S-cells, </w:t>
      </w:r>
      <w:r w:rsidRPr="00226D22">
        <w:rPr>
          <w:rFonts w:ascii="Times New Roman" w:hAnsi="Times New Roman" w:cs="Times New Roman"/>
          <w:i/>
          <w:sz w:val="24"/>
          <w:szCs w:val="24"/>
        </w:rPr>
        <w:t>i.e.</w:t>
      </w:r>
      <w:r w:rsidRPr="00226D22">
        <w:rPr>
          <w:rFonts w:ascii="Times New Roman" w:hAnsi="Times New Roman" w:cs="Times New Roman"/>
          <w:sz w:val="24"/>
          <w:szCs w:val="24"/>
        </w:rPr>
        <w:t xml:space="preserve"> </w:t>
      </w:r>
      <w:proofErr w:type="spellStart"/>
      <w:r w:rsidRPr="00226D22">
        <w:rPr>
          <w:rFonts w:ascii="Times New Roman" w:hAnsi="Times New Roman" w:cs="Times New Roman"/>
          <w:sz w:val="24"/>
          <w:szCs w:val="24"/>
        </w:rPr>
        <w:t>sulfur</w:t>
      </w:r>
      <w:proofErr w:type="spellEnd"/>
      <w:r w:rsidRPr="00226D22">
        <w:rPr>
          <w:rFonts w:ascii="Times New Roman" w:hAnsi="Times New Roman" w:cs="Times New Roman"/>
          <w:sz w:val="24"/>
          <w:szCs w:val="24"/>
        </w:rPr>
        <w:t xml:space="preserve">-rich cells where GLSs are stored, and </w:t>
      </w:r>
      <w:proofErr w:type="spellStart"/>
      <w:r w:rsidRPr="00226D22">
        <w:rPr>
          <w:rFonts w:ascii="Times New Roman" w:hAnsi="Times New Roman" w:cs="Times New Roman"/>
          <w:sz w:val="24"/>
          <w:szCs w:val="24"/>
        </w:rPr>
        <w:t>myrosin</w:t>
      </w:r>
      <w:proofErr w:type="spellEnd"/>
      <w:r w:rsidRPr="00226D22">
        <w:rPr>
          <w:rFonts w:ascii="Times New Roman" w:hAnsi="Times New Roman" w:cs="Times New Roman"/>
          <w:sz w:val="24"/>
          <w:szCs w:val="24"/>
        </w:rPr>
        <w:t xml:space="preserve"> cells, both located adjacent to the phloem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{"citationID":"5eakKNET","properties":{"formattedCitation":"(Kissen et al., 2009; Koroleva et al., 2000)","plainCitation":"(Kissen et al., 2009; Koroleva et al., 2000)","noteIndex":0},"citationItems":[{"id":697,"uris":["http://zotero.org/users/10895598/items/LEBZ5G95"],"itemData":{"id":697,"type":"article-journal","container-title":"Phytochemistry Reviews","DOI":"10.1007/s11101-008-9109-1","ISSN":"1568-7767, 1572-980X","issue":"1","journalAbbreviation":"Phytochem Rev","language":"en","license":"http://www.springer.com/tdm","page":"69-86","source":"DOI.org (Crossref)","title":"The ‘mustard oil bomb’: not so easy to assemble?! Localization, expression and distribution of the components of the myrosinase enzyme system","title-short":"The ‘mustard oil bomb’","volume":"8","author":[{"family":"Kissen","given":"Ralph"},{"family":"Rossiter","given":"John T."},{"family":"Bones","given":"Atle M."}],"issued":{"date-parts":[["2009",1]]}}},{"id":698,"uris":["http://zotero.org/users/10895598/items/IG9M8VNB"],"itemData":{"id":698,"type":"article-journal","abstract":"Abstract\n            Distribution of K, Ca, Cl, S, and P in freeze-dried sections of Arabidopsis flower stalk was analyzed by energy dispersive x-ray imaging. Concentrations of these elements in different cell types were quantified by microanalysis of single-cell samples and phloem exudates. Results showed a differential pattern of distribution for all five elements. K concentration was found to be highest in the parenchymatous tissue around vascular bundles. Ca and Cl were present mainly in the central part of the flower stalk. P was largely located in the bundles and in the parenchyma surrounding them. S signal was extraordinary high in groups of cells (S-cells) situated between the phloem of every vascular bundle and the endodermis. Enzymatic hydrolysis by thioglucosidase of cell sap collected from S-cells using a glass microcapillary resulted in the release of glucose, indicating that these cells contain glucosinolates at high (&amp;gt; 100 mm) concentration, which is consistent with the concentration of S (&amp;gt; 200 mm) estimated by x-ray analysis of cell sap samples. Since their position outside of the phloem is ideally suited for protecting the long-distance transport system from feeding insects, the possible roles of these cells as components of a plant defense system are discussed.","container-title":"Plant Physiology","DOI":"10.1104/pp.124.2.599","ISSN":"1532-2548, 0032-0889","issue":"2","language":"en","license":"https://academic.oup.com/journals/pages/open_access/funder_policies/chorus/standard_publication_model","page":"599-608","source":"DOI.org (Crossref)","title":"Identification of a new glucosinolate-rich cell type in &lt;i&gt;Arabidopsis&lt;/i&gt; flower stalk","volume":"124","author":[{"family":"Koroleva","given":"Olga A."},{"family":"Davies","given":"Andrew"},{"family":"Deeken","given":"Rosalia"},{"family":"Thorpe","given":"Michael R."},{"family":"Tomos","given":"A. Deri"},{"family":"Hedrich","given":"Rainer"}],"issued":{"date-parts":[["2000",10,1]]}}}],"schema":"https://github.com/citation-style-language/schema/raw/master/csl-citation.json"} </w:instrText>
      </w:r>
      <w:r>
        <w:rPr>
          <w:rFonts w:ascii="Times New Roman" w:hAnsi="Times New Roman" w:cs="Times New Roman"/>
          <w:sz w:val="24"/>
          <w:szCs w:val="24"/>
        </w:rPr>
        <w:fldChar w:fldCharType="separate"/>
      </w:r>
      <w:r w:rsidRPr="009C1915">
        <w:rPr>
          <w:rFonts w:ascii="Times New Roman" w:hAnsi="Times New Roman" w:cs="Times New Roman"/>
          <w:sz w:val="24"/>
        </w:rPr>
        <w:t>(Kissen et al., 2009; Koroleva et al., 2000)</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w:t>
      </w:r>
      <w:proofErr w:type="spellStart"/>
      <w:r w:rsidRPr="00226D22">
        <w:rPr>
          <w:rFonts w:ascii="Times New Roman" w:hAnsi="Times New Roman" w:cs="Times New Roman"/>
          <w:sz w:val="24"/>
          <w:szCs w:val="24"/>
        </w:rPr>
        <w:t>Myrosin</w:t>
      </w:r>
      <w:proofErr w:type="spellEnd"/>
      <w:r w:rsidRPr="00226D22">
        <w:rPr>
          <w:rFonts w:ascii="Times New Roman" w:hAnsi="Times New Roman" w:cs="Times New Roman"/>
          <w:sz w:val="24"/>
          <w:szCs w:val="24"/>
        </w:rPr>
        <w:t xml:space="preserve"> cells can easily be distinguished from S-cells because they have a lower content of lipids, higher content of endoplasmic reticulum and carry smoother protein bodies known as </w:t>
      </w:r>
      <w:proofErr w:type="spellStart"/>
      <w:r w:rsidRPr="00226D22">
        <w:rPr>
          <w:rFonts w:ascii="Times New Roman" w:hAnsi="Times New Roman" w:cs="Times New Roman"/>
          <w:sz w:val="24"/>
          <w:szCs w:val="24"/>
        </w:rPr>
        <w:t>myrosin</w:t>
      </w:r>
      <w:proofErr w:type="spellEnd"/>
      <w:r w:rsidRPr="00226D22">
        <w:rPr>
          <w:rFonts w:ascii="Times New Roman" w:hAnsi="Times New Roman" w:cs="Times New Roman"/>
          <w:sz w:val="24"/>
          <w:szCs w:val="24"/>
        </w:rPr>
        <w:t xml:space="preserve"> grains where the enzyme </w:t>
      </w:r>
      <w:proofErr w:type="spellStart"/>
      <w:r w:rsidRPr="00226D22">
        <w:rPr>
          <w:rFonts w:ascii="Times New Roman" w:hAnsi="Times New Roman" w:cs="Times New Roman"/>
          <w:sz w:val="24"/>
          <w:szCs w:val="24"/>
        </w:rPr>
        <w:t>myrosinase</w:t>
      </w:r>
      <w:proofErr w:type="spellEnd"/>
      <w:r w:rsidRPr="00226D22">
        <w:rPr>
          <w:rFonts w:ascii="Times New Roman" w:hAnsi="Times New Roman" w:cs="Times New Roman"/>
          <w:sz w:val="24"/>
          <w:szCs w:val="24"/>
        </w:rPr>
        <w:t xml:space="preserve"> is stored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{"citationID":"rWshqOBb","properties":{"formattedCitation":"(Andr\\uc0\\u233{}asson et al., 2001; Kumar, 2017)","plainCitation":"(Andréasson et al., 2001; Kumar, 2017)","noteIndex":0},"citationItems":[{"id":696,"uris":["http://zotero.org/users/10895598/items/8NUA28Z3"],"itemData":{"id":696,"type":"article-journal","abstract":"Abstract\n            Myrosinase (EC 3.2.3.1) is a glucosinolate-degrading enzyme mainly found in special idioblasts, myrosin cells, in Brassicaceae. This two-component system of secondary products and degradative enzymes is important in plant-insect interactions. Immunocytochemical analysis of Arabidopsis localized myrosinase exclusively to myrosin cells in the phloem parenchyma, whereas no myrosin cells were detected in the ground tissue. In Brassica napus, myrosinase could be detected in myrosin cells both in the phloem parenchyma and in the ground tissue. The myrosin cells were similar in Arabidopsis and B. napus and were found to be different from the companion cells and the glucosinolate-containing S-cells present in Arabidopsis. Confocal laser scanning immunomicroscopy analysis of myrosin cells inB. napus embryos showed that the myrosin grains constitute a continuous reticular system in the cell. These findings indicate that in the two species studied, initial cells creating the ground tissue have different potential for making idioblasts and suggest that the myrosinase-glucosinolate system has at least partly different functions. Several myrosinases in B. napusextracts are recovered in complex together with myrosinase-binding protein (MBP), and the localization of MBP was therefore studied in situ. The expression of MBP was highest in germinating seedlings ofB. napus and was found in every cell except the myrosin cells of the ground tissue. Rapid disappearance of the MBP from the non-myrosin cells and emergence of MBP in the myrosin cells resulted in an apparent colocalization of MBP and myrosinase in 7-d-old seedlings.","container-title":"Plant Physiology","DOI":"10.1104/pp.010334","ISSN":"1532-2548, 0032-0889","issue":"4","language":"en","license":"https://academic.oup.com/journals/pages/open_access/funder_policies/chorus/standard_publication_model","page":"1750-1763","source":"DOI.org (Crossref)","title":"Different myrosinase and idioblast distribution in &lt;i&gt;Arabidopsis&lt;/i&gt; and &lt;i&gt;Brassica napus&lt;/i&gt;","volume":"127","author":[{"family":"Andréasson","given":"Erik"},{"family":"Jørgensen","given":"Lise Bolt"},{"family":"Höglund","given":"Anna-Stina"},{"family":"Rask","given":"Lars"},{"family":"Meijer","given":"Johan"}],"issued":{"date-parts":[["2001",12,1]]}}},{"id":276,"uris":["http://zotero.org/users/10895598/items/NP6LDQMZ"],"itemData":{"id":276,"type":"article-journal","abstract":"The genus Brassica includes economically important oilseed and vegetable plants. A number of insect pests are known to infest these crops and cause significant losses in yield. The plants in the family Brassicaceae have multiple defense mechanisms to overcome or reduce the damage by these pests including defensive biochemicals. These Plant Secondary Metabolites (PSMs) involve myrosinase-glucosinolate system, different volatile com-pounds, lectins, phytoalexins and phytoanticipins. While some of the compounds are always present in the plant system, the others are synthesized after herbivore attack. These compounds can either directly protect the plant by having effect(s) on insects’ biology/behaviour or indirectly by attracting the natural enemies of the pests. Because of these secondary compounds, Brassicas have the potential to be used in pest management such as biofumigation against soil pests, as trap crops and cover crops and hence, can be a part of push-pull strategy. An attempt has been made to review these compounds in Brassicas, their role in defense against insects and potential in pest management.","container-title":"Journal of Applied and Natural Science","DOI":"10.31018/jans.v9i1.1222","ISSN":"2231-5209, 0974-9411","issue":"1","journalAbbreviation":"JANS","page":"508-519","source":"DOI.org (Crossref)","title":"Plant secondary metabolites (PSMs) of Brassicaceae and their role in plant defense against insect herbivores – A review","volume":"9","author":[{"family":"Kumar","given":"Sarwan"}],"issued":{"date-parts":[["2017",3,1]]}}}],"schema":"https://github.com/citation-style-language/schema/raw/master/csl-citation.json"} </w:instrText>
      </w:r>
      <w:r>
        <w:rPr>
          <w:rFonts w:ascii="Times New Roman" w:hAnsi="Times New Roman" w:cs="Times New Roman"/>
          <w:sz w:val="24"/>
          <w:szCs w:val="24"/>
        </w:rPr>
        <w:fldChar w:fldCharType="separate"/>
      </w:r>
      <w:r w:rsidRPr="009C1915">
        <w:rPr>
          <w:rFonts w:ascii="Times New Roman" w:hAnsi="Times New Roman" w:cs="Times New Roman"/>
          <w:sz w:val="24"/>
          <w:szCs w:val="24"/>
        </w:rPr>
        <w:t>(Andréasson et al., 2001; Kumar, 2017)</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Once </w:t>
      </w:r>
      <w:r>
        <w:rPr>
          <w:rFonts w:ascii="Times New Roman" w:hAnsi="Times New Roman" w:cs="Times New Roman"/>
          <w:sz w:val="24"/>
          <w:szCs w:val="24"/>
        </w:rPr>
        <w:t xml:space="preserve">the integrity of S-cells and </w:t>
      </w:r>
      <w:proofErr w:type="spellStart"/>
      <w:r>
        <w:rPr>
          <w:rFonts w:ascii="Times New Roman" w:hAnsi="Times New Roman" w:cs="Times New Roman"/>
          <w:sz w:val="24"/>
          <w:szCs w:val="24"/>
        </w:rPr>
        <w:t>myrosin</w:t>
      </w:r>
      <w:proofErr w:type="spellEnd"/>
      <w:r>
        <w:rPr>
          <w:rFonts w:ascii="Times New Roman" w:hAnsi="Times New Roman" w:cs="Times New Roman"/>
          <w:sz w:val="24"/>
          <w:szCs w:val="24"/>
        </w:rPr>
        <w:t xml:space="preserve"> cells is compromised, </w:t>
      </w:r>
      <w:r>
        <w:rPr>
          <w:rFonts w:ascii="Times New Roman" w:hAnsi="Times New Roman" w:cs="Times New Roman"/>
          <w:i/>
          <w:sz w:val="24"/>
          <w:szCs w:val="24"/>
        </w:rPr>
        <w:t xml:space="preserve">i.e. </w:t>
      </w:r>
      <w:r>
        <w:rPr>
          <w:rFonts w:ascii="Times New Roman" w:hAnsi="Times New Roman" w:cs="Times New Roman"/>
          <w:sz w:val="24"/>
          <w:szCs w:val="24"/>
        </w:rPr>
        <w:t xml:space="preserve">in the case of tissue damage, their components get in contact, resulting in the formation </w:t>
      </w:r>
      <w:r w:rsidRPr="00226D22">
        <w:rPr>
          <w:rFonts w:ascii="Times New Roman" w:hAnsi="Times New Roman" w:cs="Times New Roman"/>
          <w:sz w:val="24"/>
          <w:szCs w:val="24"/>
        </w:rPr>
        <w:t>of</w:t>
      </w:r>
      <w:r>
        <w:rPr>
          <w:rFonts w:ascii="Times New Roman" w:hAnsi="Times New Roman" w:cs="Times New Roman"/>
          <w:sz w:val="24"/>
          <w:szCs w:val="24"/>
        </w:rPr>
        <w:t xml:space="preserve"> various hydrolysed products</w:t>
      </w:r>
      <w:r w:rsidRPr="00226D22">
        <w:rPr>
          <w:rFonts w:ascii="Times New Roman" w:hAnsi="Times New Roman" w:cs="Times New Roman"/>
          <w:sz w:val="24"/>
          <w:szCs w:val="24"/>
        </w:rPr>
        <w:t xml:space="preserve"> </w:t>
      </w:r>
      <w:r>
        <w:rPr>
          <w:rFonts w:ascii="Times New Roman" w:hAnsi="Times New Roman" w:cs="Times New Roman"/>
          <w:sz w:val="24"/>
          <w:szCs w:val="24"/>
        </w:rPr>
        <w:t>such as t</w:t>
      </w:r>
      <w:r w:rsidRPr="00226D22">
        <w:rPr>
          <w:rFonts w:ascii="Times New Roman" w:hAnsi="Times New Roman" w:cs="Times New Roman"/>
          <w:sz w:val="24"/>
          <w:szCs w:val="24"/>
        </w:rPr>
        <w:t xml:space="preserve">hiocyanates, isothiocyanates, </w:t>
      </w:r>
      <w:r>
        <w:rPr>
          <w:rFonts w:ascii="Times New Roman" w:hAnsi="Times New Roman" w:cs="Times New Roman"/>
          <w:sz w:val="24"/>
          <w:szCs w:val="24"/>
        </w:rPr>
        <w:t xml:space="preserve">and </w:t>
      </w:r>
      <w:r w:rsidRPr="00226D22">
        <w:rPr>
          <w:rFonts w:ascii="Times New Roman" w:hAnsi="Times New Roman" w:cs="Times New Roman"/>
          <w:sz w:val="24"/>
          <w:szCs w:val="24"/>
        </w:rPr>
        <w:t>nitriles</w:t>
      </w:r>
      <w:r>
        <w:rPr>
          <w:rFonts w:ascii="Times New Roman" w:hAnsi="Times New Roman" w:cs="Times New Roman"/>
          <w:sz w:val="24"/>
          <w:szCs w:val="24"/>
        </w:rPr>
        <w:t>: the</w:t>
      </w:r>
      <w:r w:rsidRPr="00226D22">
        <w:rPr>
          <w:rFonts w:ascii="Times New Roman" w:hAnsi="Times New Roman" w:cs="Times New Roman"/>
          <w:sz w:val="24"/>
          <w:szCs w:val="24"/>
        </w:rPr>
        <w:t xml:space="preserve"> reaction </w:t>
      </w:r>
      <w:r>
        <w:rPr>
          <w:rFonts w:ascii="Times New Roman" w:hAnsi="Times New Roman" w:cs="Times New Roman"/>
          <w:sz w:val="24"/>
          <w:szCs w:val="24"/>
        </w:rPr>
        <w:t>known as</w:t>
      </w:r>
      <w:r w:rsidRPr="00226D22">
        <w:rPr>
          <w:rFonts w:ascii="Times New Roman" w:hAnsi="Times New Roman" w:cs="Times New Roman"/>
          <w:sz w:val="24"/>
          <w:szCs w:val="24"/>
        </w:rPr>
        <w:t xml:space="preserve"> a “mustard-oil bomb”. These </w:t>
      </w:r>
      <w:r>
        <w:rPr>
          <w:rFonts w:ascii="Times New Roman" w:hAnsi="Times New Roman" w:cs="Times New Roman"/>
          <w:sz w:val="24"/>
          <w:szCs w:val="24"/>
        </w:rPr>
        <w:t>compounds</w:t>
      </w:r>
      <w:r w:rsidRPr="00226D22">
        <w:rPr>
          <w:rFonts w:ascii="Times New Roman" w:hAnsi="Times New Roman" w:cs="Times New Roman"/>
          <w:sz w:val="24"/>
          <w:szCs w:val="24"/>
        </w:rPr>
        <w:t xml:space="preserve"> can act as deterrents</w:t>
      </w:r>
      <w:r>
        <w:rPr>
          <w:rFonts w:ascii="Times New Roman" w:hAnsi="Times New Roman" w:cs="Times New Roman"/>
          <w:sz w:val="24"/>
          <w:szCs w:val="24"/>
        </w:rPr>
        <w:t xml:space="preserve"> or attractants</w:t>
      </w:r>
      <w:r w:rsidRPr="00226D22">
        <w:rPr>
          <w:rFonts w:ascii="Times New Roman" w:hAnsi="Times New Roman" w:cs="Times New Roman"/>
          <w:sz w:val="24"/>
          <w:szCs w:val="24"/>
        </w:rPr>
        <w:t xml:space="preserve"> to a wide range of </w:t>
      </w:r>
      <w:r>
        <w:rPr>
          <w:rFonts w:ascii="Times New Roman" w:hAnsi="Times New Roman" w:cs="Times New Roman"/>
          <w:sz w:val="24"/>
          <w:szCs w:val="24"/>
        </w:rPr>
        <w:t xml:space="preserve">insect </w:t>
      </w:r>
      <w:r w:rsidRPr="00226D22">
        <w:rPr>
          <w:rFonts w:ascii="Times New Roman" w:hAnsi="Times New Roman" w:cs="Times New Roman"/>
          <w:sz w:val="24"/>
          <w:szCs w:val="24"/>
        </w:rPr>
        <w:t xml:space="preserve">pests, and alarm insect predators and </w:t>
      </w:r>
      <w:proofErr w:type="spellStart"/>
      <w:r w:rsidRPr="00226D22">
        <w:rPr>
          <w:rFonts w:ascii="Times New Roman" w:hAnsi="Times New Roman" w:cs="Times New Roman"/>
          <w:sz w:val="24"/>
          <w:szCs w:val="24"/>
        </w:rPr>
        <w:t>parasitoids</w:t>
      </w:r>
      <w:proofErr w:type="spellEnd"/>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{"citationID":"wEaCMWOA","properties":{"formattedCitation":"(Hopkins et al., 2009)","plainCitation":"(Hopkins et al., 2009)","noteIndex":0},"citationItems":[{"id":410,"uris":["http://zotero.org/users/10895598/items/7PGITD88"],"itemData":{"id":410,"type":"article-journal","abstract":"Glucosinolates present classical examples of plant compounds affecting insect-plant interactions. They are found mainly in the family Brassicaceae, which includes several important crops. More than 120 different glucosinolates are known. The enzyme myrosinase, which is stored in specialized plant cells, converts glucosinolates to the toxic isothiocyanates. Insect herbivores may reduce the toxicity of glucosinolates and their products by excretion, detoxification, or behavioral adaptations. Glucosinolates also affect higher trophic levels, via reduced host or prey quality or because specialist herbivores may sequester glucosinolates for their own defense. There is substantial quantitative and qualitative variation between plant genotypes, tissues, and ontogenetic stages, which poses specific challenges to insect herbivores. Even though glucosinolates are constitutive defenses, their levels are influenced by abiotic and biotic factors including insect damage. Plant breeders may use knowledge on glucosinolates to increase insect resistance in Brassica crops. State-of-the-art techniques, such as mutant analysis and metabolomics, are necessary to identify the exact role of glucosinolates.","container-title":"Annual Review of Entomology","DOI":"10.1146/annurev.ento.54.110807.090623","ISSN":"0066-4170, 1545-4487","issue":"1","journalAbbreviation":"Annu. Rev. Entomol.","language":"en","page":"57-83","source":"DOI.org (Crossref)","title":"Role of glucosinolates in insect-plant relationships and multitrophic interactions","volume":"54","author":[{"family":"Hopkins","given":"Richard J."},{"family":"Dam","given":"Nicole M.","non-dropping-particle":"van"},{"family":"Loon","given":"Joop J.A.","non-dropping-particle":"van"}],"issued":{"date-parts":[["2009",1,1]]}}}],"schema":"https://github.com/citation-style-language/schema/raw/master/csl-citation.json"} </w:instrText>
      </w:r>
      <w:r>
        <w:rPr>
          <w:rFonts w:ascii="Times New Roman" w:hAnsi="Times New Roman" w:cs="Times New Roman"/>
          <w:sz w:val="24"/>
          <w:szCs w:val="24"/>
        </w:rPr>
        <w:fldChar w:fldCharType="separate"/>
      </w:r>
      <w:r w:rsidRPr="001B616A">
        <w:rPr>
          <w:rFonts w:ascii="Times New Roman" w:hAnsi="Times New Roman" w:cs="Times New Roman"/>
          <w:sz w:val="24"/>
        </w:rPr>
        <w:t>(Hopkins et al., 2009)</w:t>
      </w:r>
      <w:r>
        <w:rPr>
          <w:rFonts w:ascii="Times New Roman" w:hAnsi="Times New Roman" w:cs="Times New Roman"/>
          <w:sz w:val="24"/>
          <w:szCs w:val="24"/>
        </w:rPr>
        <w:fldChar w:fldCharType="end"/>
      </w:r>
      <w:r w:rsidRPr="00226D22">
        <w:rPr>
          <w:rFonts w:ascii="Times New Roman" w:hAnsi="Times New Roman" w:cs="Times New Roman"/>
          <w:sz w:val="24"/>
          <w:szCs w:val="24"/>
        </w:rPr>
        <w:t>. Generalist insects and pathogens are commonly negatively affected by the glucosinolate-</w:t>
      </w:r>
      <w:proofErr w:type="spellStart"/>
      <w:r w:rsidRPr="00226D22">
        <w:rPr>
          <w:rFonts w:ascii="Times New Roman" w:hAnsi="Times New Roman" w:cs="Times New Roman"/>
          <w:sz w:val="24"/>
          <w:szCs w:val="24"/>
        </w:rPr>
        <w:t>myrosinase</w:t>
      </w:r>
      <w:proofErr w:type="spellEnd"/>
      <w:r w:rsidRPr="00226D22">
        <w:rPr>
          <w:rFonts w:ascii="Times New Roman" w:hAnsi="Times New Roman" w:cs="Times New Roman"/>
          <w:sz w:val="24"/>
          <w:szCs w:val="24"/>
        </w:rPr>
        <w:t xml:space="preserve"> system, while specialists tend to use it in their own favour. For instance, herbivores specialised to feed on Brassicaceae may use herbivore-induced plant volatiles (HIPVs) as attractants for oviposition, as it was shown in studies with diamondback moth (</w:t>
      </w:r>
      <w:r w:rsidRPr="00226D22">
        <w:rPr>
          <w:rFonts w:ascii="Times New Roman" w:hAnsi="Times New Roman" w:cs="Times New Roman"/>
          <w:i/>
          <w:sz w:val="24"/>
          <w:szCs w:val="24"/>
        </w:rPr>
        <w:t xml:space="preserve">P. </w:t>
      </w:r>
      <w:proofErr w:type="spellStart"/>
      <w:r w:rsidRPr="00226D22">
        <w:rPr>
          <w:rFonts w:ascii="Times New Roman" w:hAnsi="Times New Roman" w:cs="Times New Roman"/>
          <w:i/>
          <w:sz w:val="24"/>
          <w:szCs w:val="24"/>
        </w:rPr>
        <w:t>xylostella</w:t>
      </w:r>
      <w:proofErr w:type="spellEnd"/>
      <w:r w:rsidRPr="00226D22">
        <w:rPr>
          <w:rFonts w:ascii="Times New Roman" w:hAnsi="Times New Roman" w:cs="Times New Roman"/>
          <w:sz w:val="24"/>
          <w:szCs w:val="24"/>
        </w:rPr>
        <w:t xml:space="preserve">): female moths were highly attracted to isothiocyanate compounds (ITCs), specifically aliphatic-derived </w:t>
      </w:r>
      <w:proofErr w:type="spellStart"/>
      <w:r w:rsidRPr="00226D22">
        <w:rPr>
          <w:rFonts w:ascii="Times New Roman" w:hAnsi="Times New Roman" w:cs="Times New Roman"/>
          <w:sz w:val="24"/>
          <w:szCs w:val="24"/>
        </w:rPr>
        <w:t>iberin</w:t>
      </w:r>
      <w:proofErr w:type="spellEnd"/>
      <w:r w:rsidRPr="00226D22">
        <w:rPr>
          <w:rFonts w:ascii="Times New Roman" w:hAnsi="Times New Roman" w:cs="Times New Roman"/>
          <w:sz w:val="24"/>
          <w:szCs w:val="24"/>
        </w:rPr>
        <w:t xml:space="preserve">, </w:t>
      </w:r>
      <w:proofErr w:type="spellStart"/>
      <w:r w:rsidRPr="00226D22">
        <w:rPr>
          <w:rFonts w:ascii="Times New Roman" w:hAnsi="Times New Roman" w:cs="Times New Roman"/>
          <w:sz w:val="24"/>
          <w:szCs w:val="24"/>
        </w:rPr>
        <w:t>iberverin</w:t>
      </w:r>
      <w:proofErr w:type="spellEnd"/>
      <w:r w:rsidRPr="00226D22">
        <w:rPr>
          <w:rFonts w:ascii="Times New Roman" w:hAnsi="Times New Roman" w:cs="Times New Roman"/>
          <w:sz w:val="24"/>
          <w:szCs w:val="24"/>
        </w:rPr>
        <w:t xml:space="preserve">, sulforaphane and 4-pentenyl ITC and benzenic-derived phenylethyl ITC, and therefore chose plants with high level of those compounds for oviposition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{"citationID":"moMJs2gj","properties":{"formattedCitation":"(Hussain et al., 2020; Liu et al., 2020; Renwick et al., 2006; Sun et al., 2009)","plainCitation":"(Hussain et al., 2020; Liu et al., 2020; Renwick et al., 2006; Sun et al., 2009)","noteIndex":0},"citationItems":[{"id":239,"uris":["http://zotero.org/users/10895598/items/CH4Z8H67"],"itemData":{"id":239,"type":"article-journal","abstract":"The diamondback moth (DBM) is a destructive pest of crucifer crops. In this study, DBM larvae shown to herbivore induced plant volatiles (HIPVs) that were attractive to adult females exposed in a Y-tube olfactometer. Our results showed that olfactory responses of adult females to HIPVs induced by third instar larvae feeding on Barbarea vulgaris were significantly higher (20.40 ± 1.78; mean moths (%) ± SD) than those induced by first instar larvae (14.80 ± 1.86; mean moths (%) ± SD). Meanwhile, a significant concentration of Sulphur-containing isothiocyanate, 3-methylsulfinylpropyl isothiocyanate, and 4-methylsulfinyl-3-butenyl isothiocyanate were detected in HIPVs released by third instar larvae compared to those released by first instar larvae while feeding on B. vulgaris. When the DBM females were exposed to synthetic chemicals, singly and in blend form, a similar response was observed as to natural HIPVs. Our study demonstrated that the relationship between isothiocyanates acting as plant defense compounds, host plant cues emission and regulation of the DBM adult female behavior due to key volatile triggered by the DBM larvae feeding on B. vulgaris.","container-title":"Insects","DOI":"10.3390/insects11110725","ISSN":"2075-4450","issue":"11","journalAbbreviation":"Insects","language":"en","page":"725","source":"DOI.org (Crossref)","title":"Diamondback moth larvae trigger host plant volatiles that lure its adult females for oviposition","volume":"11","author":[{"family":"Hussain","given":"Mubasher"},{"family":"Gao","given":"Jing"},{"family":"Bano","given":"Summyya"},{"family":"Wang","given":"Liande"},{"family":"Lin","given":"Yongwen"},{"family":"Arthurs","given":"Steve"},{"family":"Qasim","given":"Muhammad"},{"family":"Mao","given":"Runqian"}],"issued":{"date-parts":[["2020",10,23]]}}},{"id":256,"uris":["http://zotero.org/users/10895598/items/4KHRB68H"],"itemData":{"id":256,"type":"article-journal","container-title":"Current Biology","DOI":"10.1016/j.cub.2020.08.047","ISSN":"09609822","issue":"22","journalAbbreviation":"Current Biology","language":"en","page":"4476-4482.e5","source":"DOI.org (Crossref)","title":"The molecular basis of host selection in a crucifer-specialized moth","volume":"30","author":[{"family":"Liu","given":"Xiao-Long"},{"family":"Zhang","given":"Jin"},{"family":"Yan","given":"Qi"},{"family":"Miao","given":"Chun-Li"},{"family":"Han","given":"Wei-Kang"},{"family":"Hou","given":"Wen"},{"family":"Yang","given":"Ke"},{"family":"Hansson","given":"Bill S."},{"family":"Peng","given":"Ying-Chuan"},{"family":"Guo","given":"Jin-Meng"},{"family":"Xu","given":"Hao"},{"family":"Wang","given":"Chen-Zhu"},{"family":"Dong","given":"Shuang-Lin"},{"family":"Knaden","given":"Markus"}],"issued":{"date-parts":[["2020",11]]}}},{"id":241,"uris":["http://zotero.org/users/10895598/items/ZEJCXDUZ"],"itemData":{"id":241,"type":"article-journal","container-title":"Journal of Chemical Ecology","DOI":"10.1007/s10886-006-9036-9","ISSN":"0098-0331, 1573-1561","issue":"4","journalAbbreviation":"J Chem Ecol","language":"en","page":"755-766","source":"DOI.org (Crossref)","title":"Isothiocyanates stimulating oviposition by the diamondback moth, &lt;i&gt;Plutella xylostella&lt;/i&gt;","volume":"32","author":[{"family":"Renwick","given":"J. Alan A."},{"family":"Haribal","given":"Meena"},{"family":"Gouinguené","given":"Sandrine"},{"family":"Städler","given":"Erich"}],"issued":{"date-parts":[["2006",4]]}}},{"id":68,"uris":["http://zotero.org/users/10895598/items/7CZ38FYP"],"itemData":{"id":68,"type":"article-journal","container-title":"Journal of Chemical Ecology","DOI":"10.1007/s10886-009-9723-4","ISSN":"0098-0331, 1573-1561","issue":"12","journalAbbreviation":"J Chem Ecol","language":"en","page":"1427-1436","source":"DOI.org (Crossref)","title":"Non-volatile intact indole glucosinolates are host recognition cues for ovipositing &lt;i&gt;Plutella xylostella&lt;/i&gt;","volume":"35","author":[{"family":"Sun","given":"Joel Y."},{"family":"Sønderby","given":"Ida E."},{"family":"Halkier","given":"Barbara A."},{"family":"Jander","given":"Georg"},{"family":"Vos","given":"Martin","non-dropping-particle":"de"}],"issued":{"date-parts":[["2009",12]]}}}],"schema":"https://github.com/citation-style-language/schema/raw/master/csl-citation.json"} </w:instrText>
      </w:r>
      <w:r>
        <w:rPr>
          <w:rFonts w:ascii="Times New Roman" w:hAnsi="Times New Roman" w:cs="Times New Roman"/>
          <w:sz w:val="24"/>
          <w:szCs w:val="24"/>
        </w:rPr>
        <w:fldChar w:fldCharType="separate"/>
      </w:r>
      <w:r w:rsidRPr="00226D22">
        <w:rPr>
          <w:rFonts w:ascii="Times New Roman" w:hAnsi="Times New Roman" w:cs="Times New Roman"/>
          <w:sz w:val="24"/>
        </w:rPr>
        <w:t>(Hussain et al., 2020; Liu et al., 2020; Renwick et al., 2006; Sun et al., 2009)</w:t>
      </w:r>
      <w:r>
        <w:rPr>
          <w:rFonts w:ascii="Times New Roman" w:hAnsi="Times New Roman" w:cs="Times New Roman"/>
          <w:sz w:val="24"/>
          <w:szCs w:val="24"/>
        </w:rPr>
        <w:fldChar w:fldCharType="end"/>
      </w:r>
      <w:r>
        <w:rPr>
          <w:rFonts w:ascii="Times New Roman" w:hAnsi="Times New Roman" w:cs="Times New Roman"/>
          <w:sz w:val="24"/>
          <w:szCs w:val="24"/>
        </w:rPr>
        <w:t>.</w:t>
      </w:r>
    </w:p>
    <w:p w14:paraId="0AD51E3D" w14:textId="77777777" w:rsidR="00007653" w:rsidRPr="00226D22" w:rsidRDefault="00007653" w:rsidP="00007653">
      <w:pPr>
        <w:spacing w:after="0" w:line="360" w:lineRule="auto"/>
        <w:ind w:firstLine="708"/>
        <w:jc w:val="both"/>
        <w:rPr>
          <w:rFonts w:ascii="Times New Roman" w:hAnsi="Times New Roman" w:cs="Times New Roman"/>
          <w:sz w:val="24"/>
          <w:szCs w:val="24"/>
        </w:rPr>
      </w:pPr>
      <w:r w:rsidRPr="00226D22">
        <w:rPr>
          <w:rFonts w:ascii="Times New Roman" w:hAnsi="Times New Roman" w:cs="Times New Roman"/>
          <w:sz w:val="24"/>
          <w:szCs w:val="24"/>
        </w:rPr>
        <w:t xml:space="preserve">However, specialist insects developed </w:t>
      </w:r>
      <w:r>
        <w:rPr>
          <w:rFonts w:ascii="Times New Roman" w:hAnsi="Times New Roman" w:cs="Times New Roman"/>
          <w:sz w:val="24"/>
          <w:szCs w:val="24"/>
        </w:rPr>
        <w:t>methods</w:t>
      </w:r>
      <w:r w:rsidRPr="00226D22">
        <w:rPr>
          <w:rFonts w:ascii="Times New Roman" w:hAnsi="Times New Roman" w:cs="Times New Roman"/>
          <w:sz w:val="24"/>
          <w:szCs w:val="24"/>
        </w:rPr>
        <w:t xml:space="preserve"> to </w:t>
      </w:r>
      <w:r>
        <w:rPr>
          <w:rFonts w:ascii="Times New Roman" w:hAnsi="Times New Roman" w:cs="Times New Roman"/>
          <w:sz w:val="24"/>
          <w:szCs w:val="24"/>
        </w:rPr>
        <w:t>overcome</w:t>
      </w:r>
      <w:r w:rsidRPr="00226D22">
        <w:rPr>
          <w:rFonts w:ascii="Times New Roman" w:hAnsi="Times New Roman" w:cs="Times New Roman"/>
          <w:sz w:val="24"/>
          <w:szCs w:val="24"/>
        </w:rPr>
        <w:t xml:space="preserve"> GLS-</w:t>
      </w:r>
      <w:proofErr w:type="spellStart"/>
      <w:r w:rsidRPr="00226D22">
        <w:rPr>
          <w:rFonts w:ascii="Times New Roman" w:hAnsi="Times New Roman" w:cs="Times New Roman"/>
          <w:sz w:val="24"/>
          <w:szCs w:val="24"/>
        </w:rPr>
        <w:t>myrosinase</w:t>
      </w:r>
      <w:proofErr w:type="spellEnd"/>
      <w:r w:rsidRPr="00226D22">
        <w:rPr>
          <w:rFonts w:ascii="Times New Roman" w:hAnsi="Times New Roman" w:cs="Times New Roman"/>
          <w:sz w:val="24"/>
          <w:szCs w:val="24"/>
        </w:rPr>
        <w:t xml:space="preserve"> system, primarily by using their own </w:t>
      </w:r>
      <w:proofErr w:type="spellStart"/>
      <w:r w:rsidRPr="00226D22">
        <w:rPr>
          <w:rFonts w:ascii="Times New Roman" w:hAnsi="Times New Roman" w:cs="Times New Roman"/>
          <w:sz w:val="24"/>
          <w:szCs w:val="24"/>
        </w:rPr>
        <w:t>enyzmes</w:t>
      </w:r>
      <w:proofErr w:type="spellEnd"/>
      <w:r w:rsidRPr="00226D22">
        <w:rPr>
          <w:rFonts w:ascii="Times New Roman" w:hAnsi="Times New Roman" w:cs="Times New Roman"/>
          <w:i/>
          <w:iCs/>
          <w:sz w:val="24"/>
          <w:szCs w:val="24"/>
        </w:rPr>
        <w:t xml:space="preserve">. </w:t>
      </w:r>
      <w:r w:rsidRPr="00226D22">
        <w:rPr>
          <w:rFonts w:ascii="Times New Roman" w:hAnsi="Times New Roman" w:cs="Times New Roman"/>
          <w:sz w:val="24"/>
          <w:szCs w:val="24"/>
        </w:rPr>
        <w:t xml:space="preserve">For instance, </w:t>
      </w:r>
      <w:r w:rsidRPr="00226D22">
        <w:rPr>
          <w:rFonts w:ascii="Times New Roman" w:hAnsi="Times New Roman" w:cs="Times New Roman"/>
          <w:i/>
          <w:sz w:val="24"/>
          <w:szCs w:val="24"/>
        </w:rPr>
        <w:t xml:space="preserve">P. </w:t>
      </w:r>
      <w:proofErr w:type="spellStart"/>
      <w:r w:rsidRPr="00226D22">
        <w:rPr>
          <w:rFonts w:ascii="Times New Roman" w:hAnsi="Times New Roman" w:cs="Times New Roman"/>
          <w:i/>
          <w:sz w:val="24"/>
          <w:szCs w:val="24"/>
        </w:rPr>
        <w:t>xylostella</w:t>
      </w:r>
      <w:proofErr w:type="spellEnd"/>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 xml:space="preserve">larvae use an enzyme sulfatase stored in their gut which eliminates </w:t>
      </w:r>
      <w:proofErr w:type="spellStart"/>
      <w:r w:rsidRPr="00226D22">
        <w:rPr>
          <w:rFonts w:ascii="Times New Roman" w:hAnsi="Times New Roman" w:cs="Times New Roman"/>
          <w:sz w:val="24"/>
          <w:szCs w:val="24"/>
        </w:rPr>
        <w:t>sulfur</w:t>
      </w:r>
      <w:proofErr w:type="spellEnd"/>
      <w:r w:rsidRPr="00226D22">
        <w:rPr>
          <w:rFonts w:ascii="Times New Roman" w:hAnsi="Times New Roman" w:cs="Times New Roman"/>
          <w:sz w:val="24"/>
          <w:szCs w:val="24"/>
        </w:rPr>
        <w:t xml:space="preserve"> from GLSs and converts them to </w:t>
      </w:r>
      <w:proofErr w:type="spellStart"/>
      <w:r w:rsidRPr="00226D22">
        <w:rPr>
          <w:rFonts w:ascii="Times New Roman" w:hAnsi="Times New Roman" w:cs="Times New Roman"/>
          <w:sz w:val="24"/>
          <w:szCs w:val="24"/>
        </w:rPr>
        <w:t>desulfo</w:t>
      </w:r>
      <w:proofErr w:type="spellEnd"/>
      <w:r w:rsidRPr="00226D22">
        <w:rPr>
          <w:rFonts w:ascii="Times New Roman" w:hAnsi="Times New Roman" w:cs="Times New Roman"/>
          <w:sz w:val="24"/>
          <w:szCs w:val="24"/>
        </w:rPr>
        <w:t xml:space="preserve">-GLSs which are unable to get catalysed by plant </w:t>
      </w:r>
      <w:proofErr w:type="spellStart"/>
      <w:r w:rsidRPr="00226D22">
        <w:rPr>
          <w:rFonts w:ascii="Times New Roman" w:hAnsi="Times New Roman" w:cs="Times New Roman"/>
          <w:sz w:val="24"/>
          <w:szCs w:val="24"/>
        </w:rPr>
        <w:t>myrosinase</w:t>
      </w:r>
      <w:proofErr w:type="spellEnd"/>
      <w:r w:rsidRPr="00226D22">
        <w:rPr>
          <w:rFonts w:ascii="Times New Roman" w:hAnsi="Times New Roman" w:cs="Times New Roman"/>
          <w:sz w:val="24"/>
          <w:szCs w:val="24"/>
        </w:rPr>
        <w:t xml:space="preserve"> and therefore form toxic hydrolysis products, allowing larvae to</w:t>
      </w:r>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 xml:space="preserve">feed on </w:t>
      </w:r>
      <w:r w:rsidRPr="00226D22">
        <w:rPr>
          <w:rFonts w:ascii="Times New Roman" w:hAnsi="Times New Roman" w:cs="Times New Roman"/>
          <w:i/>
          <w:sz w:val="24"/>
          <w:szCs w:val="24"/>
        </w:rPr>
        <w:t xml:space="preserve">Brassica </w:t>
      </w:r>
      <w:r w:rsidRPr="00226D22">
        <w:rPr>
          <w:rFonts w:ascii="Times New Roman" w:hAnsi="Times New Roman" w:cs="Times New Roman"/>
          <w:sz w:val="24"/>
          <w:szCs w:val="24"/>
        </w:rPr>
        <w:t xml:space="preserve">plants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{"citationID":"DBQz37mX","properties":{"formattedCitation":"(Chen et al., 2020; Ratzka et al., 2002)","plainCitation":"(Chen et al., 2020; Ratzka et al., 2002)","noteIndex":0},"citationItems":[{"id":704,"uris":["http://zotero.org/users/10895598/items/JB2XG3KV"],"itemData":{"id":704,"type":"article-journal","container-title":"Insect Biochemistry and Molecular Biology","DOI":"10.1016/j.ibmb.2020.103316","ISSN":"09651748","journalAbbreviation":"Insect Biochemistry and Molecular Biology","language":"en","page":"103316","source":"DOI.org (Crossref)","title":"Functions of duplicated glucosinolate sulfatases in the development and host adaptation of &lt;i&gt;Plutella xylostella&lt;/i&gt;","volume":"119","author":[{"family":"Chen","given":"Wei"},{"family":"Dong","given":"Yuhong"},{"family":"Saqib","given":"Hafiz Sohaib Ahmed"},{"family":"Vasseur","given":"Liette"},{"family":"Zhou","given":"Wenwu"},{"family":"Zheng","given":"Ling"},{"family":"Lai","given":"Yingfang"},{"family":"Ma","given":"Xiaoli"},{"family":"Lin","given":"Lianyun"},{"family":"Xu","given":"Xuejiao"},{"family":"Bai","given":"Jianlin"},{"family":"He","given":"Weiyi"},{"family":"You","given":"Minsheng"}],"issued":{"date-parts":[["2020",4]]}}},{"id":243,"uris":["http://zotero.org/users/10895598/items/WRAYTVZB"],"itemData":{"id":243,"type":"article-journal","container-title":"Proceedings of the National Academy of Sciences","DOI":"10.1073/pnas.172112899","ISSN":"0027-8424, 1091-6490","issue":"17","journalAbbreviation":"Proceedings of the National Academy of Sciences","language":"en","page":"11223-11228","source":"DOI.org (Crossref)","title":"Disarming the mustard oil bomb","volume":"99","author":[{"family":"Ratzka","given":"A."},{"family":"Vogel","given":"H."},{"family":"Kliebenstein","given":"D. J."},{"family":"Mitchell-Olds","given":"T."},{"family":"Kroymann","given":"J."}],"issued":{"date-parts":[["2002",8,20]]}}}],"schema":"https://github.com/citation-style-language/schema/raw/master/csl-citation.json"} </w:instrText>
      </w:r>
      <w:r>
        <w:rPr>
          <w:rFonts w:ascii="Times New Roman" w:hAnsi="Times New Roman" w:cs="Times New Roman"/>
          <w:sz w:val="24"/>
          <w:szCs w:val="24"/>
        </w:rPr>
        <w:fldChar w:fldCharType="separate"/>
      </w:r>
      <w:r w:rsidRPr="002B7909">
        <w:rPr>
          <w:rFonts w:ascii="Times New Roman" w:hAnsi="Times New Roman" w:cs="Times New Roman"/>
          <w:sz w:val="24"/>
        </w:rPr>
        <w:t>(Chen et al., 2020; Ratzka et al., 2002)</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Moreover, aphids specialised to feed on crucifers are able to accumulate GLSs in the </w:t>
      </w:r>
      <w:proofErr w:type="spellStart"/>
      <w:r w:rsidRPr="00226D22">
        <w:rPr>
          <w:rFonts w:ascii="Times New Roman" w:hAnsi="Times New Roman" w:cs="Times New Roman"/>
          <w:sz w:val="24"/>
          <w:szCs w:val="24"/>
        </w:rPr>
        <w:t>hemolymph</w:t>
      </w:r>
      <w:proofErr w:type="spellEnd"/>
      <w:r w:rsidRPr="00226D22">
        <w:rPr>
          <w:rFonts w:ascii="Times New Roman" w:hAnsi="Times New Roman" w:cs="Times New Roman"/>
          <w:sz w:val="24"/>
          <w:szCs w:val="24"/>
        </w:rPr>
        <w:t xml:space="preserve"> after ingestion or degrade them by their own </w:t>
      </w:r>
      <w:proofErr w:type="spellStart"/>
      <w:r w:rsidRPr="00226D22">
        <w:rPr>
          <w:rFonts w:ascii="Times New Roman" w:hAnsi="Times New Roman" w:cs="Times New Roman"/>
          <w:sz w:val="24"/>
          <w:szCs w:val="24"/>
        </w:rPr>
        <w:t>myrosinase</w:t>
      </w:r>
      <w:proofErr w:type="spellEnd"/>
      <w:r w:rsidRPr="00226D22">
        <w:rPr>
          <w:rFonts w:ascii="Times New Roman" w:hAnsi="Times New Roman" w:cs="Times New Roman"/>
          <w:sz w:val="24"/>
          <w:szCs w:val="24"/>
        </w:rPr>
        <w:t xml:space="preserve"> system and therefore use them for their own benefit (</w:t>
      </w:r>
      <w:r w:rsidRPr="00226D22">
        <w:rPr>
          <w:rFonts w:ascii="Times New Roman" w:hAnsi="Times New Roman" w:cs="Times New Roman"/>
          <w:i/>
          <w:sz w:val="24"/>
          <w:szCs w:val="24"/>
        </w:rPr>
        <w:t xml:space="preserve">e.g. </w:t>
      </w:r>
      <w:r w:rsidRPr="00226D22">
        <w:rPr>
          <w:rFonts w:ascii="Times New Roman" w:hAnsi="Times New Roman" w:cs="Times New Roman"/>
          <w:sz w:val="24"/>
          <w:szCs w:val="24"/>
        </w:rPr>
        <w:t xml:space="preserve">as a defence against predators;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{"citationID":"LLfx4TAH","properties":{"formattedCitation":"(Winde and Wittstock, 2011)","plainCitation":"(Winde and Wittstock, 2011)","dontUpdate":true,"noteIndex":0},"citationItems":[{"id":245,"uris":["http://zotero.org/users/10895598/items/BIWKHVYE"],"itemData":{"id":245,"type":"article-journal","container-title":"Phytochemistry","DOI":"10.1016/j.phytochem.2011.01.016","ISSN":"00319422","issue":"13","journalAbbreviation":"Phytochemistry","language":"en","page":"1566-1575","source":"DOI.org (Crossref)","title":"Insect herbivore counteradaptations to the plant glucosinolate–myrosinase system","volume":"72","author":[{"family":"Winde","given":"Inis"},{"family":"Wittstock","given":"Ute"}],"issued":{"date-parts":[["2011",9]]}}}],"schema":"https://github.com/citation-style-language/schema/raw/master/csl-citation.json"} </w:instrText>
      </w:r>
      <w:r>
        <w:rPr>
          <w:rFonts w:ascii="Times New Roman" w:hAnsi="Times New Roman" w:cs="Times New Roman"/>
          <w:sz w:val="24"/>
          <w:szCs w:val="24"/>
        </w:rPr>
        <w:fldChar w:fldCharType="separate"/>
      </w:r>
      <w:r w:rsidRPr="00226D22">
        <w:rPr>
          <w:rFonts w:ascii="Times New Roman" w:hAnsi="Times New Roman" w:cs="Times New Roman"/>
          <w:sz w:val="24"/>
        </w:rPr>
        <w:t>Winde and Wittstock, 2011)</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w:t>
      </w:r>
      <w:r>
        <w:rPr>
          <w:rFonts w:ascii="Times New Roman" w:hAnsi="Times New Roman" w:cs="Times New Roman"/>
          <w:sz w:val="24"/>
          <w:szCs w:val="24"/>
        </w:rPr>
        <w:t>The c</w:t>
      </w:r>
      <w:r w:rsidRPr="00226D22">
        <w:rPr>
          <w:rFonts w:ascii="Times New Roman" w:hAnsi="Times New Roman" w:cs="Times New Roman"/>
          <w:sz w:val="24"/>
          <w:szCs w:val="24"/>
        </w:rPr>
        <w:t>abbage aphid (</w:t>
      </w:r>
      <w:r w:rsidRPr="00226D22">
        <w:rPr>
          <w:rFonts w:ascii="Times New Roman" w:hAnsi="Times New Roman" w:cs="Times New Roman"/>
          <w:i/>
          <w:sz w:val="24"/>
          <w:szCs w:val="24"/>
        </w:rPr>
        <w:t xml:space="preserve">B. </w:t>
      </w:r>
      <w:proofErr w:type="spellStart"/>
      <w:r w:rsidRPr="00226D22">
        <w:rPr>
          <w:rFonts w:ascii="Times New Roman" w:hAnsi="Times New Roman" w:cs="Times New Roman"/>
          <w:i/>
          <w:sz w:val="24"/>
          <w:szCs w:val="24"/>
        </w:rPr>
        <w:t>brassicae</w:t>
      </w:r>
      <w:proofErr w:type="spellEnd"/>
      <w:r w:rsidRPr="00226D22">
        <w:rPr>
          <w:rFonts w:ascii="Times New Roman" w:hAnsi="Times New Roman" w:cs="Times New Roman"/>
          <w:sz w:val="24"/>
          <w:szCs w:val="24"/>
        </w:rPr>
        <w:t xml:space="preserve">) has its </w:t>
      </w:r>
      <w:r>
        <w:rPr>
          <w:rFonts w:ascii="Times New Roman" w:hAnsi="Times New Roman" w:cs="Times New Roman"/>
          <w:sz w:val="24"/>
          <w:szCs w:val="24"/>
        </w:rPr>
        <w:t xml:space="preserve">own </w:t>
      </w:r>
      <w:proofErr w:type="spellStart"/>
      <w:r w:rsidRPr="00226D22">
        <w:rPr>
          <w:rFonts w:ascii="Times New Roman" w:hAnsi="Times New Roman" w:cs="Times New Roman"/>
          <w:sz w:val="24"/>
          <w:szCs w:val="24"/>
        </w:rPr>
        <w:t>myrosinase</w:t>
      </w:r>
      <w:proofErr w:type="spellEnd"/>
      <w:r w:rsidRPr="00226D22">
        <w:rPr>
          <w:rFonts w:ascii="Times New Roman" w:hAnsi="Times New Roman" w:cs="Times New Roman"/>
          <w:sz w:val="24"/>
          <w:szCs w:val="24"/>
        </w:rPr>
        <w:t xml:space="preserve"> stored in thorax and head muscles and degrades </w:t>
      </w:r>
      <w:r>
        <w:rPr>
          <w:rFonts w:ascii="Times New Roman" w:hAnsi="Times New Roman" w:cs="Times New Roman"/>
          <w:sz w:val="24"/>
          <w:szCs w:val="24"/>
        </w:rPr>
        <w:t xml:space="preserve">the </w:t>
      </w:r>
      <w:r w:rsidRPr="00226D22">
        <w:rPr>
          <w:rFonts w:ascii="Times New Roman" w:hAnsi="Times New Roman" w:cs="Times New Roman"/>
          <w:sz w:val="24"/>
          <w:szCs w:val="24"/>
        </w:rPr>
        <w:t xml:space="preserve">GLSs </w:t>
      </w:r>
      <w:proofErr w:type="spellStart"/>
      <w:r w:rsidRPr="00226D22">
        <w:rPr>
          <w:rFonts w:ascii="Times New Roman" w:hAnsi="Times New Roman" w:cs="Times New Roman"/>
          <w:sz w:val="24"/>
          <w:szCs w:val="24"/>
        </w:rPr>
        <w:t>sinalbin</w:t>
      </w:r>
      <w:proofErr w:type="spellEnd"/>
      <w:r w:rsidRPr="00226D22">
        <w:rPr>
          <w:rFonts w:ascii="Times New Roman" w:hAnsi="Times New Roman" w:cs="Times New Roman"/>
          <w:sz w:val="24"/>
          <w:szCs w:val="24"/>
        </w:rPr>
        <w:t xml:space="preserve"> and progoitrin to isothiocyanate compounds that lack the hydroxy group, which is not </w:t>
      </w:r>
      <w:r w:rsidRPr="00226D22">
        <w:rPr>
          <w:rFonts w:ascii="Times New Roman" w:hAnsi="Times New Roman" w:cs="Times New Roman"/>
          <w:sz w:val="24"/>
          <w:szCs w:val="24"/>
        </w:rPr>
        <w:lastRenderedPageBreak/>
        <w:t xml:space="preserve">the case with the plant </w:t>
      </w:r>
      <w:proofErr w:type="spellStart"/>
      <w:r w:rsidRPr="00226D22">
        <w:rPr>
          <w:rFonts w:ascii="Times New Roman" w:hAnsi="Times New Roman" w:cs="Times New Roman"/>
          <w:sz w:val="24"/>
          <w:szCs w:val="24"/>
        </w:rPr>
        <w:t>myrosinase</w:t>
      </w:r>
      <w:proofErr w:type="spellEnd"/>
      <w:r w:rsidRPr="00226D22">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{"citationID":"PGdnnMRE","properties":{"formattedCitation":"(Francis et al., 2002)","plainCitation":"(Francis et al., 2002)","noteIndex":0},"citationItems":[{"id":246,"uris":["http://zotero.org/users/10895598/items/9MI3AZHJ"],"itemData":{"id":246,"type":"article-journal","container-title":"Archives of Insect Biochemistry and Physiology","DOI":"10.1002/arch.10042","ISSN":"0739-4462, 1520-6327","issue":"4","journalAbbreviation":"Arch. Insect Biochem. Physiol.","language":"en","page":"173-182","source":"DOI.org (Crossref)","title":"Characterisation of aphid myrosinase and degradation studies of glucosinolates","volume":"50","author":[{"family":"Francis","given":"Fr</w:instrText>
      </w:r>
      <w:r>
        <w:rPr>
          <w:rFonts w:ascii="Tahoma" w:hAnsi="Tahoma" w:cs="Tahoma"/>
          <w:sz w:val="24"/>
          <w:szCs w:val="24"/>
        </w:rPr>
        <w:instrText>�</w:instrText>
      </w:r>
      <w:r>
        <w:rPr>
          <w:rFonts w:ascii="Times New Roman" w:hAnsi="Times New Roman" w:cs="Times New Roman"/>
          <w:sz w:val="24"/>
          <w:szCs w:val="24"/>
        </w:rPr>
        <w:instrText>d</w:instrText>
      </w:r>
      <w:r>
        <w:rPr>
          <w:rFonts w:ascii="Tahoma" w:hAnsi="Tahoma" w:cs="Tahoma"/>
          <w:sz w:val="24"/>
          <w:szCs w:val="24"/>
        </w:rPr>
        <w:instrText>�</w:instrText>
      </w:r>
      <w:r>
        <w:rPr>
          <w:rFonts w:ascii="Times New Roman" w:hAnsi="Times New Roman" w:cs="Times New Roman"/>
          <w:sz w:val="24"/>
          <w:szCs w:val="24"/>
        </w:rPr>
        <w:instrText xml:space="preserve">ric"},{"family":"Lognay","given":"Georges"},{"family":"Wathelet","given":"Jean-Paul"},{"family":"Haubruge","given":"Eric"}],"issued":{"date-parts":[["2002",8]]}}}],"schema":"https://github.com/citation-style-language/schema/raw/master/csl-citation.json"} </w:instrText>
      </w:r>
      <w:r>
        <w:rPr>
          <w:rFonts w:ascii="Times New Roman" w:hAnsi="Times New Roman" w:cs="Times New Roman"/>
          <w:sz w:val="24"/>
          <w:szCs w:val="24"/>
        </w:rPr>
        <w:fldChar w:fldCharType="separate"/>
      </w:r>
      <w:r w:rsidRPr="00226D22">
        <w:rPr>
          <w:rFonts w:ascii="Times New Roman" w:hAnsi="Times New Roman" w:cs="Times New Roman"/>
          <w:sz w:val="24"/>
        </w:rPr>
        <w:t>(Francis et al., 2002)</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The GLSs that have been accumulated in the </w:t>
      </w:r>
      <w:proofErr w:type="spellStart"/>
      <w:r w:rsidRPr="00226D22">
        <w:rPr>
          <w:rFonts w:ascii="Times New Roman" w:hAnsi="Times New Roman" w:cs="Times New Roman"/>
          <w:sz w:val="24"/>
          <w:szCs w:val="24"/>
        </w:rPr>
        <w:t>hemolymph</w:t>
      </w:r>
      <w:proofErr w:type="spellEnd"/>
      <w:r w:rsidRPr="00226D22">
        <w:rPr>
          <w:rFonts w:ascii="Times New Roman" w:hAnsi="Times New Roman" w:cs="Times New Roman"/>
          <w:sz w:val="24"/>
          <w:szCs w:val="24"/>
        </w:rPr>
        <w:t xml:space="preserve"> will be degraded by the aphid </w:t>
      </w:r>
      <w:proofErr w:type="spellStart"/>
      <w:r w:rsidRPr="00226D22">
        <w:rPr>
          <w:rFonts w:ascii="Times New Roman" w:hAnsi="Times New Roman" w:cs="Times New Roman"/>
          <w:sz w:val="24"/>
          <w:szCs w:val="24"/>
        </w:rPr>
        <w:t>myrosinase</w:t>
      </w:r>
      <w:proofErr w:type="spellEnd"/>
      <w:r w:rsidRPr="00226D22">
        <w:rPr>
          <w:rFonts w:ascii="Times New Roman" w:hAnsi="Times New Roman" w:cs="Times New Roman"/>
          <w:sz w:val="24"/>
          <w:szCs w:val="24"/>
        </w:rPr>
        <w:t xml:space="preserve"> after </w:t>
      </w:r>
      <w:r w:rsidRPr="00226D22">
        <w:rPr>
          <w:rFonts w:ascii="Times New Roman" w:hAnsi="Times New Roman" w:cs="Times New Roman"/>
          <w:i/>
          <w:sz w:val="24"/>
          <w:szCs w:val="24"/>
        </w:rPr>
        <w:t xml:space="preserve">B. </w:t>
      </w:r>
      <w:proofErr w:type="spellStart"/>
      <w:r w:rsidRPr="00226D22">
        <w:rPr>
          <w:rFonts w:ascii="Times New Roman" w:hAnsi="Times New Roman" w:cs="Times New Roman"/>
          <w:i/>
          <w:sz w:val="24"/>
          <w:szCs w:val="24"/>
        </w:rPr>
        <w:t>brassicae</w:t>
      </w:r>
      <w:proofErr w:type="spellEnd"/>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has been crushed by a predator, and that will further lead to release of volatiles as an alarm to other aphids in the colony; moreover, the predator will not enjoy the taste of the aphid and will probably leave the plant</w:t>
      </w:r>
      <w:r w:rsidRPr="00226D22">
        <w:rPr>
          <w:rFonts w:ascii="Times New Roman" w:hAnsi="Times New Roman" w:cs="Times New Roman"/>
          <w:color w:val="333333"/>
          <w:sz w:val="24"/>
          <w:szCs w:val="24"/>
          <w:highlight w:val="white"/>
        </w:rPr>
        <w:t xml:space="preserve"> </w:t>
      </w:r>
      <w:r w:rsidRPr="00226D22">
        <w:rPr>
          <w:rFonts w:ascii="Times New Roman" w:hAnsi="Times New Roman" w:cs="Times New Roman"/>
          <w:sz w:val="24"/>
          <w:szCs w:val="24"/>
        </w:rPr>
        <w:t xml:space="preserve">(Kumar, 2017). Due to this, cabbage aphid is also called “the walking mustard-oil bomb”. Moreover, aphids can bend and manoeuvre stylet in between cells, avoiding the disruption of S-cells and </w:t>
      </w:r>
      <w:proofErr w:type="spellStart"/>
      <w:r w:rsidRPr="00226D22">
        <w:rPr>
          <w:rFonts w:ascii="Times New Roman" w:hAnsi="Times New Roman" w:cs="Times New Roman"/>
          <w:sz w:val="24"/>
          <w:szCs w:val="24"/>
        </w:rPr>
        <w:t>myrosin</w:t>
      </w:r>
      <w:proofErr w:type="spellEnd"/>
      <w:r w:rsidRPr="00226D22">
        <w:rPr>
          <w:rFonts w:ascii="Times New Roman" w:hAnsi="Times New Roman" w:cs="Times New Roman"/>
          <w:sz w:val="24"/>
          <w:szCs w:val="24"/>
        </w:rPr>
        <w:t xml:space="preserve"> cells and therefore suppressing the GLS-</w:t>
      </w:r>
      <w:proofErr w:type="spellStart"/>
      <w:r w:rsidRPr="00226D22">
        <w:rPr>
          <w:rFonts w:ascii="Times New Roman" w:hAnsi="Times New Roman" w:cs="Times New Roman"/>
          <w:sz w:val="24"/>
          <w:szCs w:val="24"/>
        </w:rPr>
        <w:t>myrosinase</w:t>
      </w:r>
      <w:proofErr w:type="spellEnd"/>
      <w:r w:rsidRPr="00226D22">
        <w:rPr>
          <w:rFonts w:ascii="Times New Roman" w:hAnsi="Times New Roman" w:cs="Times New Roman"/>
          <w:sz w:val="24"/>
          <w:szCs w:val="24"/>
        </w:rPr>
        <w:t xml:space="preserve"> reaction and production of toxic compounds (Francis et al., 2002; Winde and Wittstock, 2011).</w:t>
      </w:r>
    </w:p>
    <w:p w14:paraId="2CF5CD5F" w14:textId="77777777" w:rsidR="00007653" w:rsidRPr="00226D22" w:rsidRDefault="00007653" w:rsidP="00007653">
      <w:pPr>
        <w:spacing w:after="0" w:line="360" w:lineRule="auto"/>
        <w:ind w:firstLine="708"/>
        <w:jc w:val="both"/>
        <w:rPr>
          <w:rFonts w:ascii="Times New Roman" w:hAnsi="Times New Roman" w:cs="Times New Roman"/>
          <w:sz w:val="24"/>
          <w:szCs w:val="24"/>
        </w:rPr>
      </w:pPr>
      <w:r w:rsidRPr="00226D22">
        <w:rPr>
          <w:rFonts w:ascii="Times New Roman" w:hAnsi="Times New Roman" w:cs="Times New Roman"/>
          <w:sz w:val="24"/>
          <w:szCs w:val="24"/>
        </w:rPr>
        <w:t xml:space="preserve">Contrary to specialists, generalists do not seem to have the ability to sequester GLSs; for instance, generalist aphids tend to secrete high amounts of GLSs with their honeydew, which composition resembles </w:t>
      </w:r>
      <w:r>
        <w:rPr>
          <w:rFonts w:ascii="Times New Roman" w:hAnsi="Times New Roman" w:cs="Times New Roman"/>
          <w:sz w:val="24"/>
          <w:szCs w:val="24"/>
        </w:rPr>
        <w:t>that in</w:t>
      </w:r>
      <w:r w:rsidRPr="00226D22">
        <w:rPr>
          <w:rFonts w:ascii="Times New Roman" w:hAnsi="Times New Roman" w:cs="Times New Roman"/>
          <w:sz w:val="24"/>
          <w:szCs w:val="24"/>
        </w:rPr>
        <w:t xml:space="preserve"> the phloem sap.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{"citationID":"7kRJJT7V","properties":{"formattedCitation":"(Kim and Jander, 2007)","plainCitation":"(Kim and Jander, 2007)","dontUpdate":true,"noteIndex":0},"citationItems":[{"id":247,"uris":["http://zotero.org/users/10895598/items/PX6IRJ2X"],"itemData":{"id":247,"type":"article-journal","container-title":"The Plant Journal","DOI":"10.1111/j.1365-313X.2006.03019.x","ISSN":"09607412, 1365313X","issue":"6","language":"en","page":"1008-1019","source":"DOI.org (Crossref)","title":"&lt;i&gt;Myzus persicae&lt;/i&gt; (green peach aphid) feeding on &lt;i&gt;Arabidopsis&lt;/i&gt; induces the formation of a deterrent indole glucosinolate: Aphid-induced glucosinolate changes","title-short":"Myzus persicae (green peach aphid) feeding on Arabidopsis induces the formation of a deterrent indole glucosinolate","volume":"49","author":[{"family":"Kim","given":"Jae Hak"},{"family":"Jander","given":"Georg"}],"issued":{"date-parts":[["2007",2,7]]}}}],"schema":"https://github.com/citation-style-language/schema/raw/master/csl-citation.json"}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Kim and Jander (</w:t>
      </w:r>
      <w:r w:rsidRPr="00226D22">
        <w:rPr>
          <w:rFonts w:ascii="Times New Roman" w:hAnsi="Times New Roman" w:cs="Times New Roman"/>
          <w:sz w:val="24"/>
        </w:rPr>
        <w:t>2007)</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226D22">
        <w:rPr>
          <w:rFonts w:ascii="Times New Roman" w:hAnsi="Times New Roman" w:cs="Times New Roman"/>
          <w:sz w:val="24"/>
          <w:szCs w:val="24"/>
        </w:rPr>
        <w:t>observed that aliphatic GLSs pass through the gut of</w:t>
      </w:r>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green peach aphid (</w:t>
      </w:r>
      <w:r w:rsidRPr="00226D22">
        <w:rPr>
          <w:rFonts w:ascii="Times New Roman" w:hAnsi="Times New Roman" w:cs="Times New Roman"/>
          <w:i/>
          <w:sz w:val="24"/>
          <w:szCs w:val="24"/>
        </w:rPr>
        <w:t xml:space="preserve">M. </w:t>
      </w:r>
      <w:proofErr w:type="spellStart"/>
      <w:r w:rsidRPr="00226D22">
        <w:rPr>
          <w:rFonts w:ascii="Times New Roman" w:hAnsi="Times New Roman" w:cs="Times New Roman"/>
          <w:i/>
          <w:sz w:val="24"/>
          <w:szCs w:val="24"/>
        </w:rPr>
        <w:t>persicae</w:t>
      </w:r>
      <w:proofErr w:type="spellEnd"/>
      <w:r w:rsidRPr="00226D22">
        <w:rPr>
          <w:rFonts w:ascii="Times New Roman" w:hAnsi="Times New Roman" w:cs="Times New Roman"/>
          <w:sz w:val="24"/>
          <w:szCs w:val="24"/>
        </w:rPr>
        <w:t xml:space="preserve">) intact when feeding on </w:t>
      </w:r>
      <w:r w:rsidRPr="00226D22">
        <w:rPr>
          <w:rFonts w:ascii="Times New Roman" w:hAnsi="Times New Roman" w:cs="Times New Roman"/>
          <w:i/>
          <w:sz w:val="24"/>
          <w:szCs w:val="24"/>
        </w:rPr>
        <w:t>A. thaliana</w:t>
      </w:r>
      <w:r w:rsidRPr="00226D22">
        <w:rPr>
          <w:rFonts w:ascii="Times New Roman" w:hAnsi="Times New Roman" w:cs="Times New Roman"/>
          <w:sz w:val="24"/>
          <w:szCs w:val="24"/>
        </w:rPr>
        <w:t xml:space="preserve">; however, indole GLSs tend to break down, either due to an unknown enzymatic activity in the phloem or simply because of the low stability of these compounds in the gut of aphids. Moreover, green peach aphid seems to induce </w:t>
      </w:r>
      <w:r>
        <w:rPr>
          <w:rFonts w:ascii="Times New Roman" w:hAnsi="Times New Roman" w:cs="Times New Roman"/>
          <w:sz w:val="24"/>
          <w:szCs w:val="24"/>
        </w:rPr>
        <w:t>an increased</w:t>
      </w:r>
      <w:r w:rsidRPr="00226D22">
        <w:rPr>
          <w:rFonts w:ascii="Times New Roman" w:hAnsi="Times New Roman" w:cs="Times New Roman"/>
          <w:sz w:val="24"/>
          <w:szCs w:val="24"/>
        </w:rPr>
        <w:t xml:space="preserve"> concentration of the indole compound 4-methoxyindol-3-ylmethyl (4-MOI3M) on the feeding sites in </w:t>
      </w:r>
      <w:r w:rsidRPr="00226D22">
        <w:rPr>
          <w:rFonts w:ascii="Times New Roman" w:hAnsi="Times New Roman" w:cs="Times New Roman"/>
          <w:i/>
          <w:sz w:val="24"/>
          <w:szCs w:val="24"/>
        </w:rPr>
        <w:t>Arabidopsis</w:t>
      </w:r>
      <w:r w:rsidRPr="00226D22">
        <w:rPr>
          <w:rFonts w:ascii="Times New Roman" w:hAnsi="Times New Roman" w:cs="Times New Roman"/>
          <w:sz w:val="24"/>
          <w:szCs w:val="24"/>
        </w:rPr>
        <w:t xml:space="preserve">, forming more resistant plants towards this generalist (Kim and Jander, 2007). </w:t>
      </w:r>
      <w:proofErr w:type="spellStart"/>
      <w:r w:rsidRPr="00226D22">
        <w:rPr>
          <w:rFonts w:ascii="Times New Roman" w:hAnsi="Times New Roman" w:cs="Times New Roman"/>
          <w:sz w:val="24"/>
          <w:szCs w:val="24"/>
        </w:rPr>
        <w:t>Kuśnierczyk</w:t>
      </w:r>
      <w:proofErr w:type="spellEnd"/>
      <w:r w:rsidRPr="00226D22">
        <w:rPr>
          <w:rFonts w:ascii="Times New Roman" w:hAnsi="Times New Roman" w:cs="Times New Roman"/>
          <w:sz w:val="24"/>
          <w:szCs w:val="24"/>
        </w:rPr>
        <w:t xml:space="preserve"> et al. (2007) found that both </w:t>
      </w:r>
      <w:r w:rsidRPr="00226D22">
        <w:rPr>
          <w:rFonts w:ascii="Times New Roman" w:hAnsi="Times New Roman" w:cs="Times New Roman"/>
          <w:i/>
          <w:sz w:val="24"/>
          <w:szCs w:val="24"/>
        </w:rPr>
        <w:t xml:space="preserve">B. </w:t>
      </w:r>
      <w:proofErr w:type="spellStart"/>
      <w:r w:rsidRPr="00226D22">
        <w:rPr>
          <w:rFonts w:ascii="Times New Roman" w:hAnsi="Times New Roman" w:cs="Times New Roman"/>
          <w:i/>
          <w:sz w:val="24"/>
          <w:szCs w:val="24"/>
        </w:rPr>
        <w:t>brassicae</w:t>
      </w:r>
      <w:proofErr w:type="spellEnd"/>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 xml:space="preserve">and </w:t>
      </w:r>
      <w:r w:rsidRPr="00226D22">
        <w:rPr>
          <w:rFonts w:ascii="Times New Roman" w:hAnsi="Times New Roman" w:cs="Times New Roman"/>
          <w:i/>
          <w:sz w:val="24"/>
          <w:szCs w:val="24"/>
        </w:rPr>
        <w:t xml:space="preserve">M. </w:t>
      </w:r>
      <w:proofErr w:type="spellStart"/>
      <w:r w:rsidRPr="00226D22">
        <w:rPr>
          <w:rFonts w:ascii="Times New Roman" w:hAnsi="Times New Roman" w:cs="Times New Roman"/>
          <w:i/>
          <w:sz w:val="24"/>
          <w:szCs w:val="24"/>
        </w:rPr>
        <w:t>persicae</w:t>
      </w:r>
      <w:proofErr w:type="spellEnd"/>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 xml:space="preserve">significantly elevated the transcription of genes involved in the synthesis of indole GLSs while feeding on </w:t>
      </w:r>
      <w:r w:rsidRPr="00226D22">
        <w:rPr>
          <w:rFonts w:ascii="Times New Roman" w:hAnsi="Times New Roman" w:cs="Times New Roman"/>
          <w:i/>
          <w:sz w:val="24"/>
          <w:szCs w:val="24"/>
        </w:rPr>
        <w:t xml:space="preserve">Arabidopsis </w:t>
      </w:r>
      <w:r w:rsidRPr="00226D22">
        <w:rPr>
          <w:rFonts w:ascii="Times New Roman" w:hAnsi="Times New Roman" w:cs="Times New Roman"/>
          <w:sz w:val="24"/>
          <w:szCs w:val="24"/>
        </w:rPr>
        <w:t xml:space="preserve">plants; however, they also observed a downregulation of genes coding for </w:t>
      </w:r>
      <w:proofErr w:type="spellStart"/>
      <w:r w:rsidRPr="00226D22">
        <w:rPr>
          <w:rFonts w:ascii="Times New Roman" w:hAnsi="Times New Roman" w:cs="Times New Roman"/>
          <w:sz w:val="24"/>
          <w:szCs w:val="24"/>
        </w:rPr>
        <w:t>myrosinases</w:t>
      </w:r>
      <w:proofErr w:type="spellEnd"/>
      <w:r w:rsidRPr="00226D22">
        <w:rPr>
          <w:rFonts w:ascii="Times New Roman" w:hAnsi="Times New Roman" w:cs="Times New Roman"/>
          <w:sz w:val="24"/>
          <w:szCs w:val="24"/>
        </w:rPr>
        <w:t>.</w:t>
      </w:r>
    </w:p>
    <w:p w14:paraId="6CD48CBA" w14:textId="77777777" w:rsidR="00007653" w:rsidRPr="00226D22" w:rsidRDefault="00007653" w:rsidP="00007653">
      <w:pPr>
        <w:spacing w:after="0" w:line="360" w:lineRule="auto"/>
        <w:jc w:val="both"/>
        <w:rPr>
          <w:rFonts w:ascii="Times New Roman" w:hAnsi="Times New Roman" w:cs="Times New Roman"/>
          <w:sz w:val="24"/>
          <w:szCs w:val="24"/>
        </w:rPr>
      </w:pPr>
    </w:p>
    <w:p w14:paraId="3127A5E5" w14:textId="77777777" w:rsidR="00007653" w:rsidRPr="00226D22" w:rsidRDefault="00007653" w:rsidP="006B61C5">
      <w:pPr>
        <w:pStyle w:val="Heading4"/>
      </w:pPr>
      <w:bookmarkStart w:id="14" w:name="_Toc167977588"/>
      <w:r w:rsidRPr="00226D22">
        <w:t>Regulation of glucosinolate synthesis by phytohormones</w:t>
      </w:r>
      <w:bookmarkEnd w:id="14"/>
    </w:p>
    <w:p w14:paraId="59141270" w14:textId="77777777" w:rsidR="00007653" w:rsidRPr="00226D22" w:rsidRDefault="00007653" w:rsidP="00007653">
      <w:pPr>
        <w:spacing w:after="0" w:line="360" w:lineRule="auto"/>
        <w:jc w:val="both"/>
        <w:rPr>
          <w:rFonts w:ascii="Times New Roman" w:hAnsi="Times New Roman" w:cs="Times New Roman"/>
          <w:sz w:val="24"/>
          <w:szCs w:val="24"/>
        </w:rPr>
      </w:pPr>
    </w:p>
    <w:p w14:paraId="72144121" w14:textId="77777777" w:rsidR="00007653" w:rsidRPr="00226D22" w:rsidRDefault="00007653" w:rsidP="00007653">
      <w:pPr>
        <w:spacing w:after="0" w:line="360" w:lineRule="auto"/>
        <w:ind w:firstLine="708"/>
        <w:jc w:val="both"/>
        <w:rPr>
          <w:rFonts w:ascii="Times New Roman" w:hAnsi="Times New Roman" w:cs="Times New Roman"/>
          <w:sz w:val="24"/>
          <w:szCs w:val="24"/>
        </w:rPr>
      </w:pPr>
      <w:r w:rsidRPr="00226D22">
        <w:rPr>
          <w:rFonts w:ascii="Times New Roman" w:hAnsi="Times New Roman" w:cs="Times New Roman"/>
          <w:sz w:val="24"/>
          <w:szCs w:val="24"/>
        </w:rPr>
        <w:t xml:space="preserve">One of the central players in GLS biosynthesis are phytohormones, which are regulating the GLS accumulation in plants in different ways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{"citationID":"QYLaclqn","properties":{"formattedCitation":"(Mitreiter and Gigolashvili, 2021)","plainCitation":"(Mitreiter and Gigolashvili, 2021)","noteIndex":0},"citationItems":[{"id":232,"uris":["http://zotero.org/users/10895598/items/7BIF4JND"],"itemData":{"id":232,"type":"article-journal","abstract":"Abstract\n            Glucosinolates are secondary defense metabolites produced by plants of the order Brassicales, which includes the model species Arabidopsis and many crop species. In the past 13 years, the regulation of glucosinolate synthesis in plants has been intensively studied, with recent research revealing complex molecular mechanisms that connect glucosinolate production with responses to other central pathways. In this review, we discuss how the regulation of glucosinolate biosynthesis is ecologically relevant for plants, how it is controlled by transcription factors, and how this transcriptional machinery interacts with hormonal, environmental, and epigenetic mechanisms. We present the central players in glucosinolate regulation, MYB and basic helix–loop–helix transcription factors, as well as the plant hormone jasmonate, which together with other hormones and environmental signals allow the coordinated and rapid regulation of glucosinolate genes. Furthermore, we highlight the regulatory connections between glucosinolates, auxin, and sulfur metabolism and discuss emerging insights and open questions on the regulation of glucosinolate biosynthesis.","container-title":"Journal of Experimental Botany","DOI":"10.1093/jxb/eraa479","ISSN":"0022-0957, 1460-2431","issue":"1","language":"en","page":"70-91","source":"DOI.org (Crossref)","title":"Regulation of glucosinolate biosynthesis","volume":"72","author":[{"family":"Mitreiter","given":"Simon"},{"family":"Gigolashvili","given":"Tamara"}],"editor":[{"family":"Takahashi","given":"Hideki"}],"issued":{"date-parts":[["2021",1,20]]}}}],"schema":"https://github.com/citation-style-language/schema/raw/master/csl-citation.json"} </w:instrText>
      </w:r>
      <w:r>
        <w:rPr>
          <w:rFonts w:ascii="Times New Roman" w:hAnsi="Times New Roman" w:cs="Times New Roman"/>
          <w:sz w:val="24"/>
          <w:szCs w:val="24"/>
        </w:rPr>
        <w:fldChar w:fldCharType="separate"/>
      </w:r>
      <w:r w:rsidRPr="00DD3F06">
        <w:rPr>
          <w:rFonts w:ascii="Times New Roman" w:hAnsi="Times New Roman" w:cs="Times New Roman"/>
          <w:sz w:val="24"/>
        </w:rPr>
        <w:t>(Mitreiter and Gigolashvili, 2021)</w:t>
      </w:r>
      <w:r>
        <w:rPr>
          <w:rFonts w:ascii="Times New Roman" w:hAnsi="Times New Roman" w:cs="Times New Roman"/>
          <w:sz w:val="24"/>
          <w:szCs w:val="24"/>
        </w:rPr>
        <w:fldChar w:fldCharType="end"/>
      </w:r>
      <w:r w:rsidRPr="00226D22">
        <w:rPr>
          <w:rFonts w:ascii="Times New Roman" w:hAnsi="Times New Roman" w:cs="Times New Roman"/>
          <w:sz w:val="24"/>
          <w:szCs w:val="24"/>
        </w:rPr>
        <w:t>. From all the hormones, JA is a major and well-described hormone involved in the positive regulation of GLS production, especially the tryptophan-derived ones</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{"citationID":"N6e1p8rA","properties":{"formattedCitation":"(Guo et al., 2013)","plainCitation":"(Guo et al., 2013)","noteIndex":0},"citationItems":[{"id":233,"uris":["http://zotero.org/users/10895598/items/GVTQ5MPW"],"itemData":{"id":233,"type":"article-journal","container-title":"Journal of Experimental Botany","DOI":"10.1093/jxb/ert094","ISSN":"1460-2431, 0022-0957","issue":"8","language":"en","page":"2401-2412","source":"DOI.org (Crossref)","title":"BZR1 and BES1 participate in regulation of glucosinolate biosynthesis by brassinosteroids in &lt;i&gt;Arabidopsis&lt;/i&gt;","volume":"64","author":[{"family":"Guo","given":"Rongfang"},{"family":"Qian","given":"Hongmei"},{"family":"Shen","given":"Wangshu"},{"family":"Liu","given":"Lihong"},{"family":"Zhang","given":"Min"},{"family":"Cai","given":"Congxi"},{"family":"Zhao","given":"Yanting"},{"family":"Qiao","given":"Junjie"},{"family":"Wang","given":"Qiaomei"}],"issued":{"date-parts":[["2013",5]]}}}],"schema":"https://github.com/citation-style-language/schema/raw/master/csl-citation.json"} </w:instrText>
      </w:r>
      <w:r>
        <w:rPr>
          <w:rFonts w:ascii="Times New Roman" w:hAnsi="Times New Roman" w:cs="Times New Roman"/>
          <w:sz w:val="24"/>
          <w:szCs w:val="24"/>
        </w:rPr>
        <w:fldChar w:fldCharType="separate"/>
      </w:r>
      <w:r w:rsidRPr="00DD3F06">
        <w:rPr>
          <w:rFonts w:ascii="Times New Roman" w:hAnsi="Times New Roman" w:cs="Times New Roman"/>
          <w:sz w:val="24"/>
        </w:rPr>
        <w:t>(Guo et al., 2013)</w:t>
      </w:r>
      <w:r>
        <w:rPr>
          <w:rFonts w:ascii="Times New Roman" w:hAnsi="Times New Roman" w:cs="Times New Roman"/>
          <w:sz w:val="24"/>
          <w:szCs w:val="24"/>
        </w:rPr>
        <w:fldChar w:fldCharType="end"/>
      </w:r>
      <w:r w:rsidRPr="00226D22">
        <w:rPr>
          <w:rFonts w:ascii="Times New Roman" w:hAnsi="Times New Roman" w:cs="Times New Roman"/>
          <w:sz w:val="24"/>
          <w:szCs w:val="24"/>
        </w:rPr>
        <w:t>. Both ABA and ET are also involved in the positive regulation of GLS synthesis when applied alone (</w:t>
      </w:r>
      <w:proofErr w:type="spellStart"/>
      <w:r w:rsidRPr="00226D22">
        <w:rPr>
          <w:rFonts w:ascii="Times New Roman" w:hAnsi="Times New Roman" w:cs="Times New Roman"/>
          <w:sz w:val="24"/>
          <w:szCs w:val="24"/>
        </w:rPr>
        <w:t>Mitreiter</w:t>
      </w:r>
      <w:proofErr w:type="spellEnd"/>
      <w:r w:rsidRPr="00226D22">
        <w:rPr>
          <w:rFonts w:ascii="Times New Roman" w:hAnsi="Times New Roman" w:cs="Times New Roman"/>
          <w:sz w:val="24"/>
          <w:szCs w:val="24"/>
        </w:rPr>
        <w:t xml:space="preserve"> and Gigolashvili, 2021). On the other hand, BR was found to be a dominant inhibitor of GLS production: BR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decreased the levels of both aliphatic and indole compounds in transgenic </w:t>
      </w:r>
      <w:r w:rsidRPr="00226D22">
        <w:rPr>
          <w:rFonts w:ascii="Times New Roman" w:hAnsi="Times New Roman" w:cs="Times New Roman"/>
          <w:i/>
          <w:sz w:val="24"/>
          <w:szCs w:val="24"/>
        </w:rPr>
        <w:t xml:space="preserve">A. thaliana </w:t>
      </w:r>
      <w:r w:rsidRPr="00226D22">
        <w:rPr>
          <w:rFonts w:ascii="Times New Roman" w:hAnsi="Times New Roman" w:cs="Times New Roman"/>
          <w:sz w:val="24"/>
          <w:szCs w:val="24"/>
        </w:rPr>
        <w:t xml:space="preserve">plants overexpressing a gene involved in BR biosynthesis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{"citationID":"TrXFu5f8","properties":{"formattedCitation":"(Guo et al., 2013)","plainCitation":"(Guo et al., 2013)","noteIndex":0},"citationItems":[{"id":233,"uris":["http://zotero.org/users/10895598/items/GVTQ5MPW"],"itemData":{"id":233,"type":"article-journal","container-title":"Journal of Experimental Botany","DOI":"10.1093/jxb/ert094","ISSN":"1460-2431, 0022-0957","issue":"8","language":"en","page":"2401-2412","source":"DOI.org (Crossref)","title":"BZR1 and BES1 participate in regulation of glucosinolate biosynthesis by brassinosteroids in &lt;i&gt;Arabidopsis&lt;/i&gt;","volume":"64","author":[{"family":"Guo","given":"Rongfang"},{"family":"Qian","given":"Hongmei"},{"family":"Shen","given":"Wangshu"},{"family":"Liu","given":"Lihong"},{"family":"Zhang","given":"Min"},{"family":"Cai","given":"Congxi"},{"family":"Zhao","given":"Yanting"},{"family":"Qiao","given":"Junjie"},{"family":"Wang","given":"Qiaomei"}],"issued":{"date-parts":[["2013",5]]}}}],"schema":"https://github.com/citation-style-language/schema/raw/master/csl-citation.json"} </w:instrText>
      </w:r>
      <w:r>
        <w:rPr>
          <w:rFonts w:ascii="Times New Roman" w:hAnsi="Times New Roman" w:cs="Times New Roman"/>
          <w:sz w:val="24"/>
          <w:szCs w:val="24"/>
        </w:rPr>
        <w:fldChar w:fldCharType="separate"/>
      </w:r>
      <w:r w:rsidRPr="00DD3F06">
        <w:rPr>
          <w:rFonts w:ascii="Times New Roman" w:hAnsi="Times New Roman" w:cs="Times New Roman"/>
          <w:sz w:val="24"/>
        </w:rPr>
        <w:t>(Guo et al., 2013)</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This is not surprising since BR antagonises JA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w:t>
      </w:r>
      <w:proofErr w:type="spellStart"/>
      <w:r w:rsidRPr="00226D22">
        <w:rPr>
          <w:rFonts w:ascii="Times New Roman" w:hAnsi="Times New Roman" w:cs="Times New Roman"/>
          <w:sz w:val="24"/>
          <w:szCs w:val="24"/>
        </w:rPr>
        <w:t>Mitreiter</w:t>
      </w:r>
      <w:proofErr w:type="spellEnd"/>
      <w:r w:rsidRPr="00226D22">
        <w:rPr>
          <w:rFonts w:ascii="Times New Roman" w:hAnsi="Times New Roman" w:cs="Times New Roman"/>
          <w:sz w:val="24"/>
          <w:szCs w:val="24"/>
        </w:rPr>
        <w:t xml:space="preserve"> and Gigolashvili, </w:t>
      </w:r>
      <w:r w:rsidRPr="00226D22">
        <w:rPr>
          <w:rFonts w:ascii="Times New Roman" w:hAnsi="Times New Roman" w:cs="Times New Roman"/>
          <w:sz w:val="24"/>
          <w:szCs w:val="24"/>
        </w:rPr>
        <w:lastRenderedPageBreak/>
        <w:t xml:space="preserve">2021). Moreover,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{"citationID":"wzmWMf8u","properties":{"formattedCitation":"(Guo et al., 2013)","plainCitation":"(Guo et al., 2013)","dontUpdate":true,"noteIndex":0},"citationItems":[{"id":233,"uris":["http://zotero.org/users/10895598/items/GVTQ5MPW"],"itemData":{"id":233,"type":"article-journal","container-title":"Journal of Experimental Botany","DOI":"10.1093/jxb/ert094","ISSN":"1460-2431, 0022-0957","issue":"8","language":"en","page":"2401-2412","source":"DOI.org (Crossref)","title":"BZR1 and BES1 participate in regulation of glucosinolate biosynthesis by brassinosteroids in &lt;i&gt;Arabidopsis&lt;/i&gt;","volume":"64","author":[{"family":"Guo","given":"Rongfang"},{"family":"Qian","given":"Hongmei"},{"family":"Shen","given":"Wangshu"},{"family":"Liu","given":"Lihong"},{"family":"Zhang","given":"Min"},{"family":"Cai","given":"Congxi"},{"family":"Zhao","given":"Yanting"},{"family":"Qiao","given":"Junjie"},{"family":"Wang","given":"Qiaomei"}],"issued":{"date-parts":[["2013",5]]}}}],"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Guo et al. (</w:t>
      </w:r>
      <w:r w:rsidRPr="00DD3F06">
        <w:rPr>
          <w:rFonts w:ascii="Times New Roman" w:hAnsi="Times New Roman" w:cs="Times New Roman"/>
          <w:sz w:val="24"/>
        </w:rPr>
        <w:t>2013)</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226D22">
        <w:rPr>
          <w:rFonts w:ascii="Times New Roman" w:hAnsi="Times New Roman" w:cs="Times New Roman"/>
          <w:sz w:val="24"/>
          <w:szCs w:val="24"/>
        </w:rPr>
        <w:t xml:space="preserve">found that SA concentration plays a significant role in the regulation of aliphatic and indole GLS synthesis: higher concentrations of applied SA significantly reduced the GLS content in </w:t>
      </w:r>
      <w:r w:rsidRPr="00226D22">
        <w:rPr>
          <w:rFonts w:ascii="Times New Roman" w:hAnsi="Times New Roman" w:cs="Times New Roman"/>
          <w:i/>
          <w:sz w:val="24"/>
          <w:szCs w:val="24"/>
        </w:rPr>
        <w:t>A. thaliana</w:t>
      </w:r>
      <w:r w:rsidRPr="00226D22">
        <w:rPr>
          <w:rFonts w:ascii="Times New Roman" w:hAnsi="Times New Roman" w:cs="Times New Roman"/>
          <w:sz w:val="24"/>
          <w:szCs w:val="24"/>
        </w:rPr>
        <w:t xml:space="preserve">, and </w:t>
      </w:r>
      <w:r w:rsidRPr="00226D22">
        <w:rPr>
          <w:rFonts w:ascii="Times New Roman" w:hAnsi="Times New Roman" w:cs="Times New Roman"/>
          <w:i/>
          <w:sz w:val="24"/>
          <w:szCs w:val="24"/>
        </w:rPr>
        <w:t>vice versa</w:t>
      </w:r>
      <w:r w:rsidRPr="00226D22">
        <w:rPr>
          <w:rFonts w:ascii="Times New Roman" w:hAnsi="Times New Roman" w:cs="Times New Roman"/>
          <w:sz w:val="24"/>
          <w:szCs w:val="24"/>
        </w:rPr>
        <w:t>.</w:t>
      </w:r>
    </w:p>
    <w:p w14:paraId="0E138527" w14:textId="77777777" w:rsidR="00007653" w:rsidRPr="00226D22" w:rsidRDefault="00007653" w:rsidP="00007653">
      <w:pPr>
        <w:pBdr>
          <w:top w:val="nil"/>
          <w:left w:val="nil"/>
          <w:bottom w:val="nil"/>
          <w:right w:val="nil"/>
          <w:between w:val="nil"/>
        </w:pBdr>
        <w:spacing w:after="0" w:line="360" w:lineRule="auto"/>
        <w:jc w:val="both"/>
        <w:rPr>
          <w:rFonts w:ascii="Times New Roman" w:hAnsi="Times New Roman" w:cs="Times New Roman"/>
          <w:sz w:val="24"/>
          <w:szCs w:val="24"/>
        </w:rPr>
      </w:pPr>
    </w:p>
    <w:p w14:paraId="28A9A517" w14:textId="77777777" w:rsidR="00007653" w:rsidRPr="00226D22" w:rsidRDefault="00007653" w:rsidP="006B61C5">
      <w:pPr>
        <w:pStyle w:val="Heading3"/>
      </w:pPr>
      <w:bookmarkStart w:id="15" w:name="_Toc167977589"/>
      <w:r w:rsidRPr="00226D22">
        <w:t>Induced resistance and “priming”</w:t>
      </w:r>
      <w:bookmarkEnd w:id="15"/>
    </w:p>
    <w:p w14:paraId="0F2F22E6" w14:textId="77777777" w:rsidR="00007653" w:rsidRPr="00226D22" w:rsidRDefault="00007653" w:rsidP="00007653">
      <w:pPr>
        <w:spacing w:after="0" w:line="360" w:lineRule="auto"/>
        <w:jc w:val="both"/>
        <w:rPr>
          <w:rFonts w:ascii="Times New Roman" w:hAnsi="Times New Roman" w:cs="Times New Roman"/>
          <w:sz w:val="24"/>
          <w:szCs w:val="24"/>
        </w:rPr>
      </w:pPr>
    </w:p>
    <w:p w14:paraId="1E5A863B" w14:textId="7823628A" w:rsidR="00007653" w:rsidRPr="00226D22" w:rsidRDefault="00007653" w:rsidP="00007653">
      <w:pPr>
        <w:spacing w:after="0" w:line="360" w:lineRule="auto"/>
        <w:ind w:firstLine="576"/>
        <w:jc w:val="both"/>
        <w:rPr>
          <w:rFonts w:ascii="Times New Roman" w:hAnsi="Times New Roman" w:cs="Times New Roman"/>
          <w:sz w:val="24"/>
          <w:szCs w:val="24"/>
        </w:rPr>
      </w:pPr>
      <w:r w:rsidRPr="00226D22">
        <w:rPr>
          <w:rFonts w:ascii="Times New Roman" w:hAnsi="Times New Roman" w:cs="Times New Roman"/>
          <w:sz w:val="24"/>
          <w:szCs w:val="24"/>
        </w:rPr>
        <w:t xml:space="preserve">Plants evolved to perceive numerous environmental signals, such as stimuli from pathogens and herbivores, beneficial microbes, or chemicals that can lead to </w:t>
      </w:r>
      <w:r>
        <w:rPr>
          <w:rFonts w:ascii="Times New Roman" w:hAnsi="Times New Roman" w:cs="Times New Roman"/>
          <w:sz w:val="24"/>
          <w:szCs w:val="24"/>
        </w:rPr>
        <w:t xml:space="preserve">an </w:t>
      </w:r>
      <w:r w:rsidRPr="00226D22">
        <w:rPr>
          <w:rFonts w:ascii="Times New Roman" w:hAnsi="Times New Roman" w:cs="Times New Roman"/>
          <w:sz w:val="24"/>
          <w:szCs w:val="24"/>
        </w:rPr>
        <w:t xml:space="preserve">induced state of resistance in plants. Induced resistance protects non-damaged plant parts against subsequent attacks. Such prepared plant mode to defend against stressors is known as “priming” and it involves quicker and stronger activation of plant defence responses during future attacks (Fig. </w:t>
      </w:r>
      <w:r w:rsidR="008172D6">
        <w:rPr>
          <w:rFonts w:ascii="Times New Roman" w:hAnsi="Times New Roman" w:cs="Times New Roman"/>
          <w:sz w:val="24"/>
          <w:szCs w:val="24"/>
        </w:rPr>
        <w:t>4</w:t>
      </w:r>
      <w:r w:rsidRPr="00226D22">
        <w:rPr>
          <w:rFonts w:ascii="Times New Roman" w:hAnsi="Times New Roman" w:cs="Times New Roman"/>
          <w:sz w:val="24"/>
          <w:szCs w:val="24"/>
        </w:rPr>
        <w:t xml:space="preserve">). Molecular mechanisms that lead to a priming effect are not completely understood; however, two theories have been suggested: </w:t>
      </w:r>
      <w:proofErr w:type="spellStart"/>
      <w:r w:rsidRPr="00226D22">
        <w:rPr>
          <w:rFonts w:ascii="Times New Roman" w:hAnsi="Times New Roman" w:cs="Times New Roman"/>
          <w:sz w:val="24"/>
          <w:szCs w:val="24"/>
        </w:rPr>
        <w:t>i</w:t>
      </w:r>
      <w:proofErr w:type="spellEnd"/>
      <w:r w:rsidRPr="00226D22">
        <w:rPr>
          <w:rFonts w:ascii="Times New Roman" w:hAnsi="Times New Roman" w:cs="Times New Roman"/>
          <w:sz w:val="24"/>
          <w:szCs w:val="24"/>
        </w:rPr>
        <w:t xml:space="preserve">) the role of MAPKs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{"citationID":"GMSqMgan","properties":{"formattedCitation":"(Beckers et al., 2009; Conrath et al., 2015)","plainCitation":"(Beckers et al., 2009; Conrath et al., 2015)","noteIndex":0},"citationItems":[{"id":261,"uris":["http://zotero.org/users/10895598/items/3ZNVUTFI"],"itemData":{"id":261,"type":"article-journal","abstract":"Abstract\n            In plants and animals, induced resistance (IR) to biotic and abiotic stress is associated with priming of cells for faster and stronger activation of defense responses. It has been hypothesized that cell priming involves accumulation of latent signaling components that are not used until challenge exposure to stress. However, the identity of such signaling components has remained elusive. Here, we show that during development of chemically induced resistance in Arabidopsis thaliana, priming is associated with accumulation of mRNA and inactive proteins of mitogen-activated protein kinases (MPKs), MPK3 and MPK6. Upon challenge exposure to biotic or abiotic stress, these two enzymes were more strongly activated in primed plants than in nonprimed plants. This elevated activation was linked to enhanced defense gene expression and development of IR. Strong elicitation of stress-induced MPK3 and MPK6 activity is also seen in the constitutive priming mutant edr1, while activity was attenuated in the priming-deficient npr1 mutant. Moreover, priming of defense gene expression and IR were lost or reduced in mpk3 or mpk6 mutants. Our findings argue that prestress deposition of the signaling components MPK3 and MPK6 is a critical step in priming plants for full induction of defense responses during IR.","container-title":"The Plant Cell","DOI":"10.1105/tpc.108.062158","ISSN":"1532-298X, 1040-4651","issue":"3","language":"en","page":"944-953","source":"DOI.org (Crossref)","title":"Mitogen-activated protein kinases 3 and 6 are required for full priming of stress responses in &lt;i&gt;Arabidopsis thaliana&lt;/i&gt;","volume":"21","author":[{"family":"Beckers","given":"Gerold J.M."},{"family":"Jaskiewicz","given":"Michal"},{"family":"Liu","given":"Yidong"},{"family":"Underwood","given":"William R."},{"family":"He","given":"Sheng Yang"},{"family":"Zhang","given":"Shuqun"},{"family":"Conrath","given":"Uwe"}],"issued":{"date-parts":[["2009",4,28]]}}},{"id":250,"uris":["http://zotero.org/users/10895598/items/QEUHS6Z4"],"itemData":{"id":250,"type":"article-journal","abstract":"When plants recognize potential opponents, invading pathogens, wound signals, or abiotic stress, they often switch to a primed state of enhanced defense. However, defense priming can also be induced by some natural or synthetic chemicals. In the primed state, plants respond to biotic and abiotic stress with faster and stronger activation of defense, and this is often linked to immunity and abiotic stress tolerance. This review covers recent advances in disclosing molecular mechanisms of priming. These include elevated levels of pattern-recognition receptors and dormant signaling enzymes, transcription factor HsfB1 activity, and alterations in chromatin state. They also comprise the identification of aspartyl-tRNA synthetase as a receptor of the priming activator β-aminobutyric acid. The article also illustrates the inheritance of priming, exemplifies the role of recently identified priming activators azelaic and pipecolic acid, elaborates on the similarity to defense priming in mammals, and discusses the potential of defense priming in agriculture.","container-title":"Annual Review of Phytopathology","DOI":"10.1146/annurev-phyto-080614-120132","ISSN":"0066-4286, 1545-2107","issue":"1","journalAbbreviation":"Annu. Rev. Phytopathol.","language":"en","page":"97-119","source":"DOI.org (Crossref)","title":"Priming for enhanced defense","volume":"53","author":[{"family":"Conrath","given":"Uwe"},{"family":"Beckers","given":"Gerold J.M."},{"family":"Langenbach","given":"Caspar J.G."},{"family":"Jaskiewicz","given":"Michal R."}],"issued":{"date-parts":[["2015",8,4]]}}}],"schema":"https://github.com/citation-style-language/schema/raw/master/csl-citation.json"} </w:instrText>
      </w:r>
      <w:r>
        <w:rPr>
          <w:rFonts w:ascii="Times New Roman" w:hAnsi="Times New Roman" w:cs="Times New Roman"/>
          <w:sz w:val="24"/>
          <w:szCs w:val="24"/>
        </w:rPr>
        <w:fldChar w:fldCharType="separate"/>
      </w:r>
      <w:r w:rsidRPr="00DD3F06">
        <w:rPr>
          <w:rFonts w:ascii="Times New Roman" w:hAnsi="Times New Roman" w:cs="Times New Roman"/>
          <w:sz w:val="24"/>
        </w:rPr>
        <w:t>(Beckers et al., 2009; Conrath et al., 2015)</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ii) changes in DNA methylation and histone modifications may carry stress memory and initiate defence responses during the next attack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{"citationID":"aUrMC0yL","properties":{"formattedCitation":"(Chen and Tian, 2007; L\\uc0\\u243{}pez S\\uc0\\u225{}nchez et al., 2016)","plainCitation":"(Chen and Tian, 2007; López Sánchez et al., 2016)","noteIndex":0},"citationItems":[{"id":263,"uris":["http://zotero.org/users/10895598/items/ZLGZLFQF"],"itemData":{"id":263,"type":"article-journal","container-title":"Biochimica et Biophysica Acta (BBA) - Gene Structure and Expression","DOI":"10.1016/j.bbaexp.2007.04.007","ISSN":"01674781","issue":"5-6","journalAbbreviation":"Biochimica et Biophysica Acta (BBA) - Gene Structure and Expression","language":"en","page":"295-307","source":"DOI.org (Crossref)","title":"Roles of dynamic and reversible histone acetylation in plant development and polyploidy","volume":"1769","author":[{"family":"Chen","given":"Z. Jeffrey"},{"family":"Tian","given":"Lu"}],"issued":{"date-parts":[["2007",5]]}}},{"id":265,"uris":["http://zotero.org/users/10895598/items/958IAAAH"],"itemData":{"id":265,"type":"article-journal","container-title":"The Plant Journal","DOI":"10.1111/tpj.13252","ISSN":"09607412","issue":"3","journalAbbreviation":"Plant J","language":"en","page":"361-374","source":"DOI.org (Crossref)","title":"The role of DNA (de)methylation in immune responsiveness of &lt;i&gt;Arabidopsis&lt;/i&gt;","volume":"88","author":[{"family":"López Sánchez","given":"Ana"},{"family":"Stassen","given":"Joost H.M."},{"family":"Furci","given":"Leonardo"},{"family":"Smith","given":"Lisa M."},{"family":"Ton","given":"Jurriaan"}],"issued":{"date-parts":[["2016",11]]}}}],"schema":"https://github.com/citation-style-language/schema/raw/master/csl-citation.json"} </w:instrText>
      </w:r>
      <w:r>
        <w:rPr>
          <w:rFonts w:ascii="Times New Roman" w:hAnsi="Times New Roman" w:cs="Times New Roman"/>
          <w:sz w:val="24"/>
          <w:szCs w:val="24"/>
        </w:rPr>
        <w:fldChar w:fldCharType="separate"/>
      </w:r>
      <w:r w:rsidRPr="00DD3F06">
        <w:rPr>
          <w:rFonts w:ascii="Times New Roman" w:hAnsi="Times New Roman" w:cs="Times New Roman"/>
          <w:sz w:val="24"/>
          <w:szCs w:val="24"/>
        </w:rPr>
        <w:t>(Chen and Tian, 2007; López Sánchez et al., 2016)</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Nonetheless, keeping in mind the complexity of the plant immune system, these theories should be calibrated based on the interaction between </w:t>
      </w:r>
      <w:r>
        <w:rPr>
          <w:rFonts w:ascii="Times New Roman" w:hAnsi="Times New Roman" w:cs="Times New Roman"/>
          <w:sz w:val="24"/>
          <w:szCs w:val="24"/>
        </w:rPr>
        <w:t xml:space="preserve">the </w:t>
      </w:r>
      <w:r w:rsidRPr="00226D22">
        <w:rPr>
          <w:rFonts w:ascii="Times New Roman" w:hAnsi="Times New Roman" w:cs="Times New Roman"/>
          <w:sz w:val="24"/>
          <w:szCs w:val="24"/>
        </w:rPr>
        <w:t>plant and a type of the stimuli.</w:t>
      </w:r>
    </w:p>
    <w:p w14:paraId="11DC5383" w14:textId="77777777" w:rsidR="00007653" w:rsidRPr="00226D22" w:rsidRDefault="00007653" w:rsidP="00007653">
      <w:pPr>
        <w:spacing w:after="0" w:line="360" w:lineRule="auto"/>
        <w:jc w:val="both"/>
        <w:rPr>
          <w:rFonts w:ascii="Times New Roman" w:hAnsi="Times New Roman" w:cs="Times New Roman"/>
          <w:i/>
          <w:sz w:val="24"/>
          <w:szCs w:val="24"/>
        </w:rPr>
      </w:pPr>
    </w:p>
    <w:p w14:paraId="4C7C8668" w14:textId="77777777" w:rsidR="00007653" w:rsidRPr="00226D22" w:rsidRDefault="00007653" w:rsidP="006B61C5">
      <w:pPr>
        <w:pStyle w:val="Heading4"/>
      </w:pPr>
      <w:bookmarkStart w:id="16" w:name="_Toc167977590"/>
      <w:r w:rsidRPr="00226D22">
        <w:t>Organismal stimulants</w:t>
      </w:r>
      <w:bookmarkEnd w:id="16"/>
    </w:p>
    <w:p w14:paraId="603D1800" w14:textId="77777777" w:rsidR="00007653" w:rsidRPr="00226D22" w:rsidRDefault="00007653" w:rsidP="00007653">
      <w:pPr>
        <w:spacing w:after="0" w:line="360" w:lineRule="auto"/>
        <w:ind w:firstLine="708"/>
        <w:jc w:val="both"/>
        <w:rPr>
          <w:rFonts w:ascii="Times New Roman" w:hAnsi="Times New Roman" w:cs="Times New Roman"/>
          <w:sz w:val="24"/>
          <w:szCs w:val="24"/>
        </w:rPr>
      </w:pPr>
    </w:p>
    <w:p w14:paraId="22CE9823" w14:textId="77777777" w:rsidR="00007653" w:rsidRPr="00226D22" w:rsidRDefault="00007653" w:rsidP="00007653">
      <w:pPr>
        <w:spacing w:after="0" w:line="360" w:lineRule="auto"/>
        <w:ind w:firstLine="708"/>
        <w:jc w:val="both"/>
        <w:rPr>
          <w:rFonts w:ascii="Times New Roman" w:hAnsi="Times New Roman" w:cs="Times New Roman"/>
          <w:sz w:val="24"/>
          <w:szCs w:val="24"/>
        </w:rPr>
      </w:pPr>
      <w:r w:rsidRPr="00226D22">
        <w:rPr>
          <w:rFonts w:ascii="Times New Roman" w:hAnsi="Times New Roman" w:cs="Times New Roman"/>
          <w:sz w:val="24"/>
          <w:szCs w:val="24"/>
        </w:rPr>
        <w:t xml:space="preserve">PTI/MTI, HTI and ETI can trigger the activation of induced resistance signals in plant tissues distant from the infection and infestation sites, which may be detrimental to some pathogens and insect herbivores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{"citationID":"lN9h57Nc","properties":{"formattedCitation":"(Pieterse et al., 2014)","plainCitation":"(Pieterse et al., 2014)","noteIndex":0},"citationItems":[{"id":249,"uris":["http://zotero.org/users/10895598/items/FF4V46ZA"],"itemData":{"id":249,"type":"article-journal","abstract":"Beneficial microbes in the microbiome of plant roots improve plant health. Induced systemic resistance (ISR) emerged as an important mechanism by which selected plant growth–promoting bacteria and fungi in the rhizosphere prime the whole plant body for enhanced defense against a broad range of pathogens and insect herbivores. A wide variety of root-associated mutualists, including Pseudomonas, Bacillus, Trichoderma, and mycorrhiza species sensitize the plant immune system for enhanced defense without directly activating costly defenses. This review focuses on molecular processes at the interface between plant roots and ISR-eliciting mutualists, and on the progress in our understanding of ISR signaling and systemic defense priming. The central role of the root-specific transcription factor MYB72 in the onset of ISR and the role of phytohormones and defense regulatory proteins in the expression of ISR in aboveground plant parts are highlighted. Finally, the ecological function of ISR-inducing microbes in the root microbiome is discussed.","container-title":"Annual Review of Phytopathology","DOI":"10.1146/annurev-phyto-082712-102340","ISSN":"0066-4286, 1545-2107","issue":"1","journalAbbreviation":"Annu. Rev. Phytopathol.","language":"en","page":"347-375","source":"DOI.org (Crossref)","title":"Induced systemic resistance by beneficial microbes","volume":"52","author":[{"family":"Pieterse","given":"Corné M.J."},{"family":"Zamioudis","given":"Christos"},{"family":"Berendsen","given":"Roeland L."},{"family":"Weller","given":"David M."},{"family":"Van Wees","given":"Saskia C.M."},{"family":"Bakker","given":"Peter A.H.M."}],"issued":{"date-parts":[["2014",8,4]]}}}],"schema":"https://github.com/citation-style-language/schema/raw/master/csl-citation.json"} </w:instrText>
      </w:r>
      <w:r>
        <w:rPr>
          <w:rFonts w:ascii="Times New Roman" w:hAnsi="Times New Roman" w:cs="Times New Roman"/>
          <w:sz w:val="24"/>
          <w:szCs w:val="24"/>
        </w:rPr>
        <w:fldChar w:fldCharType="separate"/>
      </w:r>
      <w:r w:rsidRPr="00DD3F06">
        <w:rPr>
          <w:rFonts w:ascii="Times New Roman" w:hAnsi="Times New Roman" w:cs="Times New Roman"/>
          <w:sz w:val="24"/>
        </w:rPr>
        <w:t>(Pieterse et al., 2014)</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A form of pathogen-induced resistance is generally known as systemic acquired resistance (SAR), and it is characterised by SA accumulation and activation of </w:t>
      </w:r>
      <w:r w:rsidRPr="00226D22">
        <w:rPr>
          <w:rFonts w:ascii="Times New Roman" w:hAnsi="Times New Roman" w:cs="Times New Roman"/>
          <w:i/>
          <w:sz w:val="24"/>
          <w:szCs w:val="24"/>
        </w:rPr>
        <w:t xml:space="preserve">pathogenesis-related </w:t>
      </w:r>
      <w:r w:rsidRPr="00226D22">
        <w:rPr>
          <w:rFonts w:ascii="Times New Roman" w:hAnsi="Times New Roman" w:cs="Times New Roman"/>
          <w:sz w:val="24"/>
          <w:szCs w:val="24"/>
        </w:rPr>
        <w:t>(</w:t>
      </w:r>
      <w:r w:rsidRPr="00226D22">
        <w:rPr>
          <w:rFonts w:ascii="Times New Roman" w:hAnsi="Times New Roman" w:cs="Times New Roman"/>
          <w:i/>
          <w:sz w:val="24"/>
          <w:szCs w:val="24"/>
        </w:rPr>
        <w:t>PR</w:t>
      </w:r>
      <w:r w:rsidRPr="00226D22">
        <w:rPr>
          <w:rFonts w:ascii="Times New Roman" w:hAnsi="Times New Roman" w:cs="Times New Roman"/>
          <w:sz w:val="24"/>
          <w:szCs w:val="24"/>
        </w:rPr>
        <w:t xml:space="preserve">) genes involved in SA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w:t>
      </w:r>
      <w:r w:rsidRPr="00226D22">
        <w:rPr>
          <w:rFonts w:ascii="Times New Roman" w:hAnsi="Times New Roman" w:cs="Times New Roman"/>
          <w:i/>
          <w:sz w:val="24"/>
          <w:szCs w:val="24"/>
        </w:rPr>
        <w:t>e.g.</w:t>
      </w:r>
      <w:r w:rsidRPr="00226D22">
        <w:rPr>
          <w:rFonts w:ascii="Times New Roman" w:hAnsi="Times New Roman" w:cs="Times New Roman"/>
          <w:sz w:val="24"/>
          <w:szCs w:val="24"/>
        </w:rPr>
        <w:t xml:space="preserve"> </w:t>
      </w:r>
      <w:r w:rsidRPr="00226D22">
        <w:rPr>
          <w:rFonts w:ascii="Times New Roman" w:hAnsi="Times New Roman" w:cs="Times New Roman"/>
          <w:i/>
          <w:sz w:val="24"/>
          <w:szCs w:val="24"/>
        </w:rPr>
        <w:t>PR1</w:t>
      </w:r>
      <w:r w:rsidRPr="00226D22">
        <w:rPr>
          <w:rFonts w:ascii="Times New Roman" w:hAnsi="Times New Roman" w:cs="Times New Roman"/>
          <w:sz w:val="24"/>
          <w:szCs w:val="24"/>
        </w:rPr>
        <w:t xml:space="preserve">). On the other hand, herbivores causing wounding in plants trigger the activation of JA biosynthesis and JA-responsive gene expression in distant plant sites, known as herbivore-induced resistance (HIR; Pieterse et al., 2014). There is a considerable number of studies focused on relationships between plants and pathogens or plants and insect pests, and much less information is available about their interrelation, although plants are prevalently exposed to this complex of biotic stressors. When a plant is attacked by pathogens and pests simultaneously or sequentially, the impact of such combined stress is not just additive but triggers a whole network </w:t>
      </w:r>
      <w:r w:rsidRPr="00226D22">
        <w:rPr>
          <w:rFonts w:ascii="Times New Roman" w:hAnsi="Times New Roman" w:cs="Times New Roman"/>
          <w:sz w:val="24"/>
          <w:szCs w:val="24"/>
        </w:rPr>
        <w:lastRenderedPageBreak/>
        <w:t xml:space="preserve">of interactions in which these attackers can stimulate each other or create antagonistic relationships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{"citationID":"tqF46BSv","properties":{"formattedCitation":"(Hauser et al., 2013)","plainCitation":"(Hauser et al., 2013)","noteIndex":0},"citationItems":[{"id":190,"uris":["http://zotero.org/users/10895598/items/42QQLMEY"],"itemData":{"id":190,"type":"article-journal","container-title":"Functional Ecology","DOI":"10.1111/1365-2435.12053","ISSN":"0269-8463, 1365-2435","issue":"3","journalAbbreviation":"Funct Ecol","language":"en","page":"623-632","source":"DOI.org (Crossref)","title":"Combined effects of arthropod herbivores and phytopathogens on plant performance","volume":"27","author":[{"family":"Hauser","given":"Thure P."},{"family":"Christensen","given":"Stina"},{"family":"Heimes","given":"Christine"},{"family":"Kiær","given":"Lars P."}],"editor":[{"family":"Bennett","given":"Alison"}],"issued":{"date-parts":[["2013",6]]}}}],"schema":"https://github.com/citation-style-language/schema/raw/master/csl-citation.json"} </w:instrText>
      </w:r>
      <w:r>
        <w:rPr>
          <w:rFonts w:ascii="Times New Roman" w:hAnsi="Times New Roman" w:cs="Times New Roman"/>
          <w:sz w:val="24"/>
          <w:szCs w:val="24"/>
        </w:rPr>
        <w:fldChar w:fldCharType="separate"/>
      </w:r>
      <w:r w:rsidRPr="00EA1FFB">
        <w:rPr>
          <w:rFonts w:ascii="Times New Roman" w:hAnsi="Times New Roman" w:cs="Times New Roman"/>
          <w:sz w:val="24"/>
        </w:rPr>
        <w:t>(Hauser et al., 2013)</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If the relationship between attackers will be synergistic or antagonistic, it primarily depends on the insect herbivore feeding guild and pathogen infection strategies and therefore on the activation of plant defence mechanisms. For instance, it is suggested that pathogens and pests can be mutually synergistic when a biotrophic pathogen attack or a sucking insect infestation and subsequent necrotrophic pathogen attack or a chewing insect infestation occurs. The reason for this is because these two groups (biotrophic pathogens/piercing-sucking insect pests and necrotrophic pathogens/chewing insect herbivores) of attackers tend to induce different phytohormonal defence signals that are in some cases mutually antagonistic: SA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and JA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respectively. Thus, the plant resistance against a subsequent pathogen or insect pest will be repressed if antagonism between SA and JA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occurs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{"citationID":"EdP82zLc","properties":{"formattedCitation":"(El Oirdi et al., 2011; Glazebrook, 2005)","plainCitation":"(El Oirdi et al., 2011; Glazebrook, 2005)","noteIndex":0},"citationItems":[{"id":215,"uris":["http://zotero.org/users/10895598/items/FGPKCPKT"],"itemData":{"id":215,"type":"article-journal","abstract":"Abstract\n            Plants have evolved sophisticated mechanisms to sense and respond to pathogen attacks. Resistance against necrotrophic pathogens generally requires the activation of the jasmonic acid (JA) signaling pathway, whereas the salicylic acid (SA) signaling pathway is mainly activated against biotrophic pathogens. SA can antagonize JA signaling and vice versa. Here, we report that the necrotrophic pathogen Botrytis cinerea exploits this antagonism as a strategy to cause disease development. We show that B. cinerea produces an exopolysaccharide, which acts as an elicitor of the SA pathway. In turn, the SA pathway antagonizes the JA signaling pathway, thereby allowing the fungus to develop its disease in tomato (Solanum lycopersicum). SA-promoted disease development occurs through Nonexpressed Pathogen Related1. We also show that the JA signaling pathway required for tomato resistance against B. cinerea is mediated by the systemin elicitor. These data highlight a new strategy used by B. cinerea to overcome the plant's defense system and to spread within the host.","container-title":"The Plant Cell","DOI":"10.1105/tpc.111.083394","ISSN":"1532-298X, 1040-4651","issue":"6","language":"en","page":"2405-2421","source":"DOI.org (Crossref)","title":"&lt;i&gt;Botrytis cinerea&lt;/i&gt; manipulates the antagonistic effects between immune pathways to promote disease development in tomato","volume":"23","author":[{"family":"El Oirdi","given":"Mohamed"},{"family":"El Rahman","given":"Taha Abd"},{"family":"Rigano","given":"Luciano"},{"family":"El Hadrami","given":"Abdelbasset"},{"family":"Rodriguez","given":"María Cecilia"},{"family":"Daayf","given":"Fouad"},{"family":"Vojnov","given":"Adrian"},{"family":"Bouarab","given":"Kamal"}],"issued":{"date-parts":[["2011",6,1]]}}},{"id":170,"uris":["http://zotero.org/users/10895598/items/E65J4SPY"],"itemData":{"id":170,"type":"article-journal","container-title":"Annual Review of Phytopathology","DOI":"10.1146/annurev.phyto.43.040204.135923","ISSN":"0066-4286, 1545-2107","issue":"1","journalAbbreviation":"Annu. Rev. Phytopathol.","language":"en","page":"205-227","source":"DOI.org (Crossref)","title":"Contrasting mechanisms of defense against biotrophic and necrotrophic pathogens","volume":"43","author":[{"family":"Glazebrook","given":"Jane"}],"issued":{"date-parts":[["2005",9]]}}}],"schema":"https://github.com/citation-style-language/schema/raw/master/csl-citation.json"} </w:instrText>
      </w:r>
      <w:r>
        <w:rPr>
          <w:rFonts w:ascii="Times New Roman" w:hAnsi="Times New Roman" w:cs="Times New Roman"/>
          <w:sz w:val="24"/>
          <w:szCs w:val="24"/>
        </w:rPr>
        <w:fldChar w:fldCharType="separate"/>
      </w:r>
      <w:r w:rsidRPr="00EA1FFB">
        <w:rPr>
          <w:rFonts w:ascii="Times New Roman" w:hAnsi="Times New Roman" w:cs="Times New Roman"/>
          <w:sz w:val="24"/>
        </w:rPr>
        <w:t>(El Oirdi et al., 2011; Glazebrook, 2005)</w:t>
      </w:r>
      <w:r>
        <w:rPr>
          <w:rFonts w:ascii="Times New Roman" w:hAnsi="Times New Roman" w:cs="Times New Roman"/>
          <w:sz w:val="24"/>
          <w:szCs w:val="24"/>
        </w:rPr>
        <w:fldChar w:fldCharType="end"/>
      </w:r>
      <w:r w:rsidRPr="00226D22">
        <w:rPr>
          <w:rFonts w:ascii="Times New Roman" w:hAnsi="Times New Roman" w:cs="Times New Roman"/>
          <w:sz w:val="24"/>
          <w:szCs w:val="24"/>
        </w:rPr>
        <w:t>.</w:t>
      </w:r>
    </w:p>
    <w:p w14:paraId="6AAF2BE9" w14:textId="77777777" w:rsidR="00007653" w:rsidRPr="00226D22" w:rsidRDefault="00007653" w:rsidP="00007653">
      <w:pPr>
        <w:spacing w:after="0" w:line="360" w:lineRule="auto"/>
        <w:ind w:firstLine="708"/>
        <w:jc w:val="both"/>
        <w:rPr>
          <w:rFonts w:ascii="Times New Roman" w:hAnsi="Times New Roman" w:cs="Times New Roman"/>
          <w:sz w:val="24"/>
          <w:szCs w:val="24"/>
        </w:rPr>
      </w:pPr>
      <w:r w:rsidRPr="00226D22">
        <w:rPr>
          <w:rFonts w:ascii="Times New Roman" w:hAnsi="Times New Roman" w:cs="Times New Roman"/>
          <w:sz w:val="24"/>
          <w:szCs w:val="24"/>
        </w:rPr>
        <w:t xml:space="preserve">A distinct type of organismal-acquired resistance is achieved by mutualistic relationships between plants and non-pathogenic microbes, which initiate different processes in the plant and generally do not include the activation of SA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For the sake of distinction, the term SAR is used when induced resistance is triggered by a pathogenic microbe and is commonly SA-dependent, while the term induced systemic resistance (ISR) refers to a presence of beneficial microbe in the rhizosphere and is therefore SA-independent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{"citationID":"vQYFEBF7","properties":{"formattedCitation":"(Conrath et al., 2015; Pieterse et al., 2014)","plainCitation":"(Conrath et al., 2015; Pieterse et al., 2014)","noteIndex":0},"citationItems":[{"id":250,"uris":["http://zotero.org/users/10895598/items/QEUHS6Z4"],"itemData":{"id":250,"type":"article-journal","abstract":"When plants recognize potential opponents, invading pathogens, wound signals, or abiotic stress, they often switch to a primed state of enhanced defense. However, defense priming can also be induced by some natural or synthetic chemicals. In the primed state, plants respond to biotic and abiotic stress with faster and stronger activation of defense, and this is often linked to immunity and abiotic stress tolerance. This review covers recent advances in disclosing molecular mechanisms of priming. These include elevated levels of pattern-recognition receptors and dormant signaling enzymes, transcription factor HsfB1 activity, and alterations in chromatin state. They also comprise the identification of aspartyl-tRNA synthetase as a receptor of the priming activator β-aminobutyric acid. The article also illustrates the inheritance of priming, exemplifies the role of recently identified priming activators azelaic and pipecolic acid, elaborates on the similarity to defense priming in mammals, and discusses the potential of defense priming in agriculture.","container-title":"Annual Review of Phytopathology","DOI":"10.1146/annurev-phyto-080614-120132","ISSN":"0066-4286, 1545-2107","issue":"1","journalAbbreviation":"Annu. Rev. Phytopathol.","language":"en","page":"97-119","source":"DOI.org (Crossref)","title":"Priming for enhanced defense","volume":"53","author":[{"family":"Conrath","given":"Uwe"},{"family":"Beckers","given":"Gerold J.M."},{"family":"Langenbach","given":"Caspar J.G."},{"family":"Jaskiewicz","given":"Michal R."}],"issued":{"date-parts":[["2015",8,4]]}}},{"id":249,"uris":["http://zotero.org/users/10895598/items/FF4V46ZA"],"itemData":{"id":249,"type":"article-journal","abstract":"Beneficial microbes in the microbiome of plant roots improve plant health. Induced systemic resistance (ISR) emerged as an important mechanism by which selected plant growth–promoting bacteria and fungi in the rhizosphere prime the whole plant body for enhanced defense against a broad range of pathogens and insect herbivores. A wide variety of root-associated mutualists, including Pseudomonas, Bacillus, Trichoderma, and mycorrhiza species sensitize the plant immune system for enhanced defense without directly activating costly defenses. This review focuses on molecular processes at the interface between plant roots and ISR-eliciting mutualists, and on the progress in our understanding of ISR signaling and systemic defense priming. The central role of the root-specific transcription factor MYB72 in the onset of ISR and the role of phytohormones and defense regulatory proteins in the expression of ISR in aboveground plant parts are highlighted. Finally, the ecological function of ISR-inducing microbes in the root microbiome is discussed.","container-title":"Annual Review of Phytopathology","DOI":"10.1146/annurev-phyto-082712-102340","ISSN":"0066-4286, 1545-2107","issue":"1","journalAbbreviation":"Annu. Rev. Phytopathol.","language":"en","page":"347-375","source":"DOI.org (Crossref)","title":"Induced systemic resistance by beneficial microbes","volume":"52","author":[{"family":"Pieterse","given":"Corné M.J."},{"family":"Zamioudis","given":"Christos"},{"family":"Berendsen","given":"Roeland L."},{"family":"Weller","given":"David M."},{"family":"Van Wees","given":"Saskia C.M."},{"family":"Bakker","given":"Peter A.H.M."}],"issued":{"date-parts":[["2014",8,4]]}}}],"schema":"https://github.com/citation-style-language/schema/raw/master/csl-citation.json"} </w:instrText>
      </w:r>
      <w:r>
        <w:rPr>
          <w:rFonts w:ascii="Times New Roman" w:hAnsi="Times New Roman" w:cs="Times New Roman"/>
          <w:sz w:val="24"/>
          <w:szCs w:val="24"/>
        </w:rPr>
        <w:fldChar w:fldCharType="separate"/>
      </w:r>
      <w:r w:rsidRPr="00EA1FFB">
        <w:rPr>
          <w:rFonts w:ascii="Times New Roman" w:hAnsi="Times New Roman" w:cs="Times New Roman"/>
          <w:sz w:val="24"/>
        </w:rPr>
        <w:t>(Conrath et al., 2015; Pieterse et al., 2014)</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Hence, beneficial microbes tend to be associated with elevated expression of JA/ET-regulated genes, but only during the subsequent attack, as it was confirmed by an extensive study of </w:t>
      </w:r>
      <w:r>
        <w:rPr>
          <w:rFonts w:ascii="Times New Roman" w:hAnsi="Times New Roman" w:cs="Times New Roman"/>
          <w:sz w:val="24"/>
          <w:szCs w:val="24"/>
        </w:rPr>
        <w:t xml:space="preserve">the </w:t>
      </w:r>
      <w:r w:rsidRPr="00226D22">
        <w:rPr>
          <w:rFonts w:ascii="Times New Roman" w:hAnsi="Times New Roman" w:cs="Times New Roman"/>
          <w:sz w:val="24"/>
          <w:szCs w:val="24"/>
        </w:rPr>
        <w:t xml:space="preserve">ISR transcriptome of </w:t>
      </w:r>
      <w:r w:rsidRPr="00226D22">
        <w:rPr>
          <w:rFonts w:ascii="Times New Roman" w:hAnsi="Times New Roman" w:cs="Times New Roman"/>
          <w:i/>
          <w:sz w:val="24"/>
          <w:szCs w:val="24"/>
        </w:rPr>
        <w:t>Arabidopsis</w:t>
      </w:r>
      <w:r w:rsidRPr="00226D22">
        <w:rPr>
          <w:rFonts w:ascii="Times New Roman" w:hAnsi="Times New Roman" w:cs="Times New Roman"/>
          <w:sz w:val="24"/>
          <w:szCs w:val="24"/>
        </w:rPr>
        <w:t xml:space="preserve"> during the root colonisation by ISR-inducing rhizobacteria </w:t>
      </w:r>
      <w:r w:rsidRPr="00226D22">
        <w:rPr>
          <w:rFonts w:ascii="Times New Roman" w:hAnsi="Times New Roman" w:cs="Times New Roman"/>
          <w:i/>
          <w:sz w:val="24"/>
          <w:szCs w:val="24"/>
        </w:rPr>
        <w:t xml:space="preserve">Pseudomonas fluorescens </w:t>
      </w:r>
      <w:r w:rsidRPr="00226D22">
        <w:rPr>
          <w:rFonts w:ascii="Times New Roman" w:hAnsi="Times New Roman" w:cs="Times New Roman"/>
          <w:sz w:val="24"/>
          <w:szCs w:val="24"/>
        </w:rPr>
        <w:t xml:space="preserve">WCS417r and subsequent leaf infection by bacterial pathogen </w:t>
      </w:r>
      <w:r w:rsidRPr="00226D22">
        <w:rPr>
          <w:rFonts w:ascii="Times New Roman" w:hAnsi="Times New Roman" w:cs="Times New Roman"/>
          <w:i/>
          <w:sz w:val="24"/>
          <w:szCs w:val="24"/>
        </w:rPr>
        <w:t xml:space="preserve">P. </w:t>
      </w:r>
      <w:proofErr w:type="spellStart"/>
      <w:r w:rsidRPr="00226D22">
        <w:rPr>
          <w:rFonts w:ascii="Times New Roman" w:hAnsi="Times New Roman" w:cs="Times New Roman"/>
          <w:i/>
          <w:sz w:val="24"/>
          <w:szCs w:val="24"/>
        </w:rPr>
        <w:t>syringae</w:t>
      </w:r>
      <w:proofErr w:type="spellEnd"/>
      <w:r w:rsidRPr="00226D22">
        <w:rPr>
          <w:rFonts w:ascii="Times New Roman" w:hAnsi="Times New Roman" w:cs="Times New Roman"/>
          <w:i/>
          <w:sz w:val="24"/>
          <w:szCs w:val="24"/>
        </w:rPr>
        <w:t xml:space="preserve"> </w:t>
      </w:r>
      <w:proofErr w:type="spellStart"/>
      <w:r w:rsidRPr="00226D22">
        <w:rPr>
          <w:rFonts w:ascii="Times New Roman" w:hAnsi="Times New Roman" w:cs="Times New Roman"/>
          <w:sz w:val="24"/>
          <w:szCs w:val="24"/>
        </w:rPr>
        <w:t>pv</w:t>
      </w:r>
      <w:proofErr w:type="spellEnd"/>
      <w:r w:rsidRPr="00226D22">
        <w:rPr>
          <w:rFonts w:ascii="Times New Roman" w:hAnsi="Times New Roman" w:cs="Times New Roman"/>
          <w:sz w:val="24"/>
          <w:szCs w:val="24"/>
        </w:rPr>
        <w:t xml:space="preserve">. </w:t>
      </w:r>
      <w:r w:rsidRPr="00226D22">
        <w:rPr>
          <w:rFonts w:ascii="Times New Roman" w:hAnsi="Times New Roman" w:cs="Times New Roman"/>
          <w:i/>
          <w:sz w:val="24"/>
          <w:szCs w:val="24"/>
        </w:rPr>
        <w:t xml:space="preserve">tomato </w:t>
      </w:r>
      <w:r w:rsidRPr="00226D22">
        <w:rPr>
          <w:rFonts w:ascii="Times New Roman" w:hAnsi="Times New Roman" w:cs="Times New Roman"/>
          <w:sz w:val="24"/>
          <w:szCs w:val="24"/>
        </w:rPr>
        <w:t xml:space="preserve">DC3000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{"citationID":"C0LvCsXa","properties":{"formattedCitation":"(Verhagen et al., 2004)","plainCitation":"(Verhagen et al., 2004)","noteIndex":0},"citationItems":[{"id":251,"uris":["http://zotero.org/users/10895598/items/7NRP4JPW"],"itemData":{"id":251,"type":"article-journal","abstract":"Plants develop an enhanced defensive capacity against a broad spectrum of plant pathogens after colonization of the roots by selected strains of nonpathogenic, fluorescent Pseudomonas spp. In Arabidopsis thaliana, this rhizobacteria-induced systemic resistance (ISR) functions independently of salicylic acid but requires responsiveness to the plant hormones jasmonic acid and ethylene. In contrast to pathogen-induced systemic acquired resistance, rhizobacteria-mediated ISR is not associated with changes in the expression of genes encoding pathogenesis-related proteins. To identify ISR-related genes, we surveyed the transcriptional response of over 8,000 Arabidopsis genes during rhizobacteria-mediated ISR. Locally in the roots, ISR-inducing Pseudomonas fluorescens WCS417r bacteria elicited a substantial change in the expression of 97 genes. However, systemically in the leaves, none of the approximately 8,000 genes tested showed a consistent change in expression in response to effective colonization of the roots by WCS417r, indicating that the onset of ISR in the leaves is not associated with detectable changes in gene expression. After challenge inoculation of WCS417r-induced plants with the bacterial leaf pathogen P. syringae pv. tomato DC3000, 81 genes showed an augmented expression pattern in ISR-expressing leaves, suggesting that these genes were primed to respond faster or more strongly upon pathogen attack. The majority of the primed genes was predicted to be regulated by jasmonic acid or ethylene signaling. Priming of pathogen-induced genes allows the plant to react more effectively to the invader encountered, which might explain the broad-spectrum action of rhizobacteria-mediated ISR.","container-title":"Molecular Plant-Microbe Interactions®","DOI":"10.1094/MPMI.2004.17.8.895","ISSN":"0894-0282, 1943-7706","issue":"8","journalAbbreviation":"MPMI","language":"en","page":"895-908","source":"DOI.org (Crossref)","title":"The transcriptome of rhizobacteria-induced systemic resistance in &lt;i&gt;Arabidopsis&lt;/i&gt;","volume":"17","author":[{"family":"Verhagen","given":"Bas W. M."},{"family":"Glazebrook","given":"Jane"},{"family":"Zhu","given":"Tong"},{"family":"Chang","given":"Hur-Song"},{"family":"Loon","given":"L. C.","non-dropping-particle":"van"},{"family":"Pieterse","given":"Corné M. J."}],"issued":{"date-parts":[["2004",8]]}}}],"schema":"https://github.com/citation-style-language/schema/raw/master/csl-citation.json"} </w:instrText>
      </w:r>
      <w:r>
        <w:rPr>
          <w:rFonts w:ascii="Times New Roman" w:hAnsi="Times New Roman" w:cs="Times New Roman"/>
          <w:sz w:val="24"/>
          <w:szCs w:val="24"/>
        </w:rPr>
        <w:fldChar w:fldCharType="separate"/>
      </w:r>
      <w:r w:rsidRPr="00EA1FFB">
        <w:rPr>
          <w:rFonts w:ascii="Times New Roman" w:hAnsi="Times New Roman" w:cs="Times New Roman"/>
          <w:sz w:val="24"/>
        </w:rPr>
        <w:t>(Verhagen et al., 2004)</w:t>
      </w:r>
      <w:r>
        <w:rPr>
          <w:rFonts w:ascii="Times New Roman" w:hAnsi="Times New Roman" w:cs="Times New Roman"/>
          <w:sz w:val="24"/>
          <w:szCs w:val="24"/>
        </w:rPr>
        <w:fldChar w:fldCharType="end"/>
      </w:r>
      <w:r w:rsidRPr="00226D22">
        <w:rPr>
          <w:rFonts w:ascii="Times New Roman" w:hAnsi="Times New Roman" w:cs="Times New Roman"/>
          <w:sz w:val="24"/>
          <w:szCs w:val="24"/>
        </w:rPr>
        <w:t>.</w:t>
      </w:r>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 xml:space="preserve">Plant priming can also be achieved in terms of GLSs and </w:t>
      </w:r>
      <w:proofErr w:type="spellStart"/>
      <w:r w:rsidRPr="00226D22">
        <w:rPr>
          <w:rFonts w:ascii="Times New Roman" w:hAnsi="Times New Roman" w:cs="Times New Roman"/>
          <w:sz w:val="24"/>
          <w:szCs w:val="24"/>
        </w:rPr>
        <w:t>myrosinases</w:t>
      </w:r>
      <w:proofErr w:type="spellEnd"/>
      <w:r w:rsidRPr="00226D22">
        <w:rPr>
          <w:rFonts w:ascii="Times New Roman" w:hAnsi="Times New Roman" w:cs="Times New Roman"/>
          <w:sz w:val="24"/>
          <w:szCs w:val="24"/>
        </w:rPr>
        <w:t xml:space="preserve"> and insect-pathogenic fungi associating with plants. As observed in the study by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{"citationID":"b1G0RCsF","properties":{"formattedCitation":"(Qing et al., 2023)","plainCitation":"(Qing et al., 2023)","dontUpdate":true,"noteIndex":0},"citationItems":[{"id":566,"uris":["http://zotero.org/users/10895598/items/5W4IA6TC"],"itemData":{"id":566,"type":"article-journal","container-title":"Arthropod-Plant Interactions","DOI":"10.1007/s11829-023-09956-x","ISSN":"1872-8855, 1872-8847","issue":"3","journalAbbreviation":"Arthropod-Plant Interactions","language":"en","page":"275-287","source":"DOI.org (Crossref)","title":"Defense priming in cabbage (&lt;i&gt;Brassica oleracea&lt;/i&gt;) by insect-pathogenic fungi","volume":"17","author":[{"family":"Qing","given":"Yulan"},{"family":"Ourry","given":"Morgane"},{"family":"Burow","given":"Meike"},{"family":"Meyling","given":"Nicolai Vitt"},{"family":"Hauser","given":"Thure Pavlo"}],"issued":{"date-parts":[["2023",6]]}}}],"schema":"https://github.com/citation-style-language/schema/raw/master/csl-citation.json"}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Qing et al.</w:t>
      </w:r>
      <w:r w:rsidRPr="00EA1FFB">
        <w:rPr>
          <w:rFonts w:ascii="Times New Roman" w:hAnsi="Times New Roman" w:cs="Times New Roman"/>
          <w:sz w:val="24"/>
        </w:rPr>
        <w:t xml:space="preserve"> </w:t>
      </w:r>
      <w:r>
        <w:rPr>
          <w:rFonts w:ascii="Times New Roman" w:hAnsi="Times New Roman" w:cs="Times New Roman"/>
          <w:sz w:val="24"/>
        </w:rPr>
        <w:t>(</w:t>
      </w:r>
      <w:r w:rsidRPr="00EA1FFB">
        <w:rPr>
          <w:rFonts w:ascii="Times New Roman" w:hAnsi="Times New Roman" w:cs="Times New Roman"/>
          <w:sz w:val="24"/>
        </w:rPr>
        <w:t>2023)</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and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{"citationID":"7DfH4O1X","properties":{"formattedCitation":"(Cachapa et al., 2021)","plainCitation":"(Cachapa et al., 2021)","dontUpdate":true,"noteIndex":0},"citationItems":[{"id":155,"uris":["http://zotero.org/users/10895598/items/BML6IUQL"],"itemData":{"id":155,"type":"article-journal","container-title":"Journal of Chemical Ecology","DOI":"10.1007/s10886-020-01234-x","ISSN":"0098-0331, 1573-1561","issue":"1","journalAbbreviation":"J Chem Ecol","language":"en","page":"112-122","source":"DOI.org (Crossref)","title":"Induction and priming of plant defense by root-associated insect-pathogenic fungi","volume":"47","author":[{"family":"Cachapa","given":"Joana Carvalho"},{"family":"Meyling","given":"Nicolai Vitt"},{"family":"Burow","given":"Meike"},{"family":"Hauser","given":"Thure Pavlo"}],"issued":{"date-parts":[["2021",1]]}}}],"schema":"https://github.com/citation-style-language/schema/raw/master/csl-citation.json"}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Cachapa et al. (</w:t>
      </w:r>
      <w:r w:rsidRPr="00EA1FFB">
        <w:rPr>
          <w:rFonts w:ascii="Times New Roman" w:hAnsi="Times New Roman" w:cs="Times New Roman"/>
          <w:sz w:val="24"/>
        </w:rPr>
        <w:t>2021)</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insect-pathogenic fungi </w:t>
      </w:r>
      <w:r w:rsidRPr="00226D22">
        <w:rPr>
          <w:rFonts w:ascii="Times New Roman" w:hAnsi="Times New Roman" w:cs="Times New Roman"/>
          <w:i/>
          <w:sz w:val="24"/>
          <w:szCs w:val="24"/>
        </w:rPr>
        <w:t xml:space="preserve">Metarhizium </w:t>
      </w:r>
      <w:proofErr w:type="spellStart"/>
      <w:r w:rsidRPr="00226D22">
        <w:rPr>
          <w:rFonts w:ascii="Times New Roman" w:hAnsi="Times New Roman" w:cs="Times New Roman"/>
          <w:i/>
          <w:sz w:val="24"/>
          <w:szCs w:val="24"/>
        </w:rPr>
        <w:t>robertsii</w:t>
      </w:r>
      <w:proofErr w:type="spellEnd"/>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 xml:space="preserve">and </w:t>
      </w:r>
      <w:r w:rsidRPr="00226D22">
        <w:rPr>
          <w:rFonts w:ascii="Times New Roman" w:hAnsi="Times New Roman" w:cs="Times New Roman"/>
          <w:i/>
          <w:sz w:val="24"/>
          <w:szCs w:val="24"/>
        </w:rPr>
        <w:t xml:space="preserve">Metarhizium </w:t>
      </w:r>
      <w:proofErr w:type="spellStart"/>
      <w:r w:rsidRPr="00226D22">
        <w:rPr>
          <w:rFonts w:ascii="Times New Roman" w:hAnsi="Times New Roman" w:cs="Times New Roman"/>
          <w:i/>
          <w:sz w:val="24"/>
          <w:szCs w:val="24"/>
        </w:rPr>
        <w:t>brunneum</w:t>
      </w:r>
      <w:proofErr w:type="spellEnd"/>
      <w:r w:rsidRPr="00226D22">
        <w:rPr>
          <w:rFonts w:ascii="Times New Roman" w:hAnsi="Times New Roman" w:cs="Times New Roman"/>
          <w:sz w:val="24"/>
          <w:szCs w:val="24"/>
        </w:rPr>
        <w:t>,</w:t>
      </w:r>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 xml:space="preserve">which successfully associated with cauliflower roots, rendered plants more resistant to herbivory by </w:t>
      </w:r>
      <w:r w:rsidRPr="00226D22">
        <w:rPr>
          <w:rFonts w:ascii="Times New Roman" w:hAnsi="Times New Roman" w:cs="Times New Roman"/>
          <w:i/>
          <w:sz w:val="24"/>
          <w:szCs w:val="24"/>
        </w:rPr>
        <w:t xml:space="preserve">P. </w:t>
      </w:r>
      <w:proofErr w:type="spellStart"/>
      <w:r w:rsidRPr="00226D22">
        <w:rPr>
          <w:rFonts w:ascii="Times New Roman" w:hAnsi="Times New Roman" w:cs="Times New Roman"/>
          <w:i/>
          <w:sz w:val="24"/>
          <w:szCs w:val="24"/>
        </w:rPr>
        <w:t>xylostella</w:t>
      </w:r>
      <w:proofErr w:type="spellEnd"/>
      <w:r w:rsidRPr="00226D22">
        <w:rPr>
          <w:rFonts w:ascii="Times New Roman" w:hAnsi="Times New Roman" w:cs="Times New Roman"/>
          <w:sz w:val="24"/>
          <w:szCs w:val="24"/>
        </w:rPr>
        <w:t xml:space="preserve">, due to </w:t>
      </w:r>
      <w:r w:rsidRPr="00226D22">
        <w:rPr>
          <w:rFonts w:ascii="Times New Roman" w:hAnsi="Times New Roman" w:cs="Times New Roman"/>
          <w:color w:val="000000"/>
          <w:sz w:val="24"/>
          <w:szCs w:val="24"/>
          <w:highlight w:val="white"/>
        </w:rPr>
        <w:t xml:space="preserve">the faster and stronger increase in GLS content and </w:t>
      </w:r>
      <w:proofErr w:type="spellStart"/>
      <w:r w:rsidRPr="00226D22">
        <w:rPr>
          <w:rFonts w:ascii="Times New Roman" w:hAnsi="Times New Roman" w:cs="Times New Roman"/>
          <w:color w:val="000000"/>
          <w:sz w:val="24"/>
          <w:szCs w:val="24"/>
          <w:highlight w:val="white"/>
        </w:rPr>
        <w:t>myrosinase</w:t>
      </w:r>
      <w:proofErr w:type="spellEnd"/>
      <w:r w:rsidRPr="00226D22">
        <w:rPr>
          <w:rFonts w:ascii="Times New Roman" w:hAnsi="Times New Roman" w:cs="Times New Roman"/>
          <w:color w:val="000000"/>
          <w:sz w:val="24"/>
          <w:szCs w:val="24"/>
          <w:highlight w:val="white"/>
        </w:rPr>
        <w:t xml:space="preserve"> activity in fungus-inoculated plants than in fungus-free plants after herbivory.</w:t>
      </w:r>
    </w:p>
    <w:p w14:paraId="5D34887F" w14:textId="77777777" w:rsidR="00007653" w:rsidRPr="00226D22" w:rsidRDefault="00007653" w:rsidP="00007653">
      <w:pPr>
        <w:spacing w:after="0" w:line="360" w:lineRule="auto"/>
        <w:jc w:val="both"/>
        <w:rPr>
          <w:rFonts w:ascii="Times New Roman" w:hAnsi="Times New Roman" w:cs="Times New Roman"/>
          <w:sz w:val="24"/>
          <w:szCs w:val="24"/>
        </w:rPr>
      </w:pPr>
    </w:p>
    <w:p w14:paraId="47ACB174" w14:textId="77777777" w:rsidR="00D37309" w:rsidRPr="00226D22" w:rsidRDefault="00D37309" w:rsidP="00D37309">
      <w:pPr>
        <w:pStyle w:val="Heading4"/>
      </w:pPr>
      <w:bookmarkStart w:id="17" w:name="_Toc167977591"/>
      <w:r w:rsidRPr="00226D22">
        <w:t>Elicitors and chemical stimulants</w:t>
      </w:r>
      <w:bookmarkEnd w:id="17"/>
    </w:p>
    <w:p w14:paraId="47207978" w14:textId="77777777" w:rsidR="00D37309" w:rsidRPr="00226D22" w:rsidRDefault="00D37309" w:rsidP="00D37309">
      <w:pPr>
        <w:spacing w:after="0" w:line="360" w:lineRule="auto"/>
        <w:rPr>
          <w:rFonts w:ascii="Times New Roman" w:hAnsi="Times New Roman" w:cs="Times New Roman"/>
          <w:sz w:val="24"/>
          <w:szCs w:val="24"/>
        </w:rPr>
      </w:pPr>
    </w:p>
    <w:p w14:paraId="43E0D1A0" w14:textId="77777777" w:rsidR="00D37309" w:rsidRPr="00226D22" w:rsidRDefault="00D37309" w:rsidP="00D37309">
      <w:pPr>
        <w:pBdr>
          <w:top w:val="nil"/>
          <w:left w:val="nil"/>
          <w:bottom w:val="nil"/>
          <w:right w:val="nil"/>
          <w:between w:val="nil"/>
        </w:pBdr>
        <w:spacing w:after="0" w:line="360" w:lineRule="auto"/>
        <w:ind w:firstLine="708"/>
        <w:jc w:val="both"/>
        <w:rPr>
          <w:rFonts w:ascii="Times New Roman" w:hAnsi="Times New Roman" w:cs="Times New Roman"/>
          <w:color w:val="000000"/>
          <w:sz w:val="24"/>
          <w:szCs w:val="24"/>
        </w:rPr>
      </w:pPr>
      <w:r w:rsidRPr="00226D22">
        <w:rPr>
          <w:rFonts w:ascii="Times New Roman" w:hAnsi="Times New Roman" w:cs="Times New Roman"/>
          <w:color w:val="000000"/>
          <w:sz w:val="24"/>
          <w:szCs w:val="24"/>
        </w:rPr>
        <w:lastRenderedPageBreak/>
        <w:t xml:space="preserve">Apart from living plant-associating organisms, induced resistance and priming can also be achieved by elicitors as components of various microorganisms (PAMPs: </w:t>
      </w:r>
      <w:r w:rsidRPr="00226D22">
        <w:rPr>
          <w:rFonts w:ascii="Times New Roman" w:hAnsi="Times New Roman" w:cs="Times New Roman"/>
          <w:i/>
          <w:color w:val="000000"/>
          <w:sz w:val="24"/>
          <w:szCs w:val="24"/>
        </w:rPr>
        <w:t xml:space="preserve">e.g. </w:t>
      </w:r>
      <w:r w:rsidRPr="00226D22">
        <w:rPr>
          <w:rFonts w:ascii="Times New Roman" w:hAnsi="Times New Roman" w:cs="Times New Roman"/>
          <w:color w:val="000000"/>
          <w:sz w:val="24"/>
          <w:szCs w:val="24"/>
        </w:rPr>
        <w:t xml:space="preserve">flagellin, chitin, </w:t>
      </w:r>
      <w:proofErr w:type="spellStart"/>
      <w:r w:rsidRPr="00226D22">
        <w:rPr>
          <w:rFonts w:ascii="Times New Roman" w:hAnsi="Times New Roman" w:cs="Times New Roman"/>
          <w:color w:val="000000"/>
          <w:sz w:val="24"/>
          <w:szCs w:val="24"/>
        </w:rPr>
        <w:t>ulvans</w:t>
      </w:r>
      <w:proofErr w:type="spellEnd"/>
      <w:r w:rsidRPr="00226D22">
        <w:rPr>
          <w:rFonts w:ascii="Times New Roman" w:hAnsi="Times New Roman" w:cs="Times New Roman"/>
          <w:color w:val="000000"/>
          <w:sz w:val="24"/>
          <w:szCs w:val="24"/>
        </w:rPr>
        <w:t xml:space="preserve">), that are able to elicit plant defence by being recognized by plant PRRs which leads to activation of defence cascades and accumulation of defence related molecules and enzymes priming the plant for subsequent attack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ZOTERO_ITEM CSL_CITATION {"citationID":"U0hKtM76","properties":{"formattedCitation":"(Conrath, 2011)","plainCitation":"(Conrath, 2011)","noteIndex":0},"citationItems":[{"id":649,"uris":["http://zotero.org/users/10895598/items/2TFAN59J"],"itemData":{"id":649,"type":"article-journal","container-title":"Trends in Plant Science","DOI":"10.1016/j.tplants.2011.06.004","ISSN":"13601385","issue":"10","journalAbbreviation":"Trends in Plant Science","language":"en","page":"524-531","source":"DOI.org (Crossref)","title":"Molecular aspects of defence priming","volume":"16","author":[{"family":"Conrath","given":"Uwe"}],"issued":{"date-parts":[["2011",10]]}}}],"schema":"https://github.com/citation-style-language/schema/raw/master/csl-citation.json"} </w:instrText>
      </w:r>
      <w:r>
        <w:rPr>
          <w:rFonts w:ascii="Times New Roman" w:hAnsi="Times New Roman" w:cs="Times New Roman"/>
          <w:color w:val="000000"/>
          <w:sz w:val="24"/>
          <w:szCs w:val="24"/>
        </w:rPr>
        <w:fldChar w:fldCharType="separate"/>
      </w:r>
      <w:r w:rsidRPr="00EA1FFB">
        <w:rPr>
          <w:rFonts w:ascii="Times New Roman" w:hAnsi="Times New Roman" w:cs="Times New Roman"/>
          <w:sz w:val="24"/>
        </w:rPr>
        <w:t>(Conrath, 2011)</w:t>
      </w:r>
      <w:r>
        <w:rPr>
          <w:rFonts w:ascii="Times New Roman" w:hAnsi="Times New Roman" w:cs="Times New Roman"/>
          <w:color w:val="000000"/>
          <w:sz w:val="24"/>
          <w:szCs w:val="24"/>
        </w:rPr>
        <w:fldChar w:fldCharType="end"/>
      </w:r>
      <w:r w:rsidRPr="00226D22">
        <w:rPr>
          <w:rFonts w:ascii="Times New Roman" w:hAnsi="Times New Roman" w:cs="Times New Roman"/>
          <w:color w:val="000000"/>
          <w:sz w:val="24"/>
          <w:szCs w:val="24"/>
        </w:rPr>
        <w:t xml:space="preserve">. The second group of elicitors is comprised of chemical inducers that usually mimic </w:t>
      </w:r>
      <w:proofErr w:type="spellStart"/>
      <w:r w:rsidRPr="00226D22">
        <w:rPr>
          <w:rFonts w:ascii="Times New Roman" w:hAnsi="Times New Roman" w:cs="Times New Roman"/>
          <w:color w:val="000000"/>
          <w:sz w:val="24"/>
          <w:szCs w:val="24"/>
        </w:rPr>
        <w:t>signaling</w:t>
      </w:r>
      <w:proofErr w:type="spellEnd"/>
      <w:r w:rsidRPr="00226D22">
        <w:rPr>
          <w:rFonts w:ascii="Times New Roman" w:hAnsi="Times New Roman" w:cs="Times New Roman"/>
          <w:color w:val="000000"/>
          <w:sz w:val="24"/>
          <w:szCs w:val="24"/>
        </w:rPr>
        <w:t xml:space="preserve"> molecules in plant defence pathways, such as β-amino-butyric acid (BABA) and acibenzolar-S-methyl (ASM), also known as benzothiadiazole (BTH;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ZOTERO_ITEM CSL_CITATION {"citationID":"2sYSmQXa","properties":{"formattedCitation":"(Burketova et al., 2015)","plainCitation":"(Burketova et al., 2015)","dontUpdate":true,"noteIndex":0},"citationItems":[{"id":301,"uris":["http://zotero.org/users/10895598/items/UXVAY3F3"],"itemData":{"id":301,"type":"article-journal","container-title":"Biotechnology Advances","DOI":"10.1016/j.biotechadv.2015.01.004","ISSN":"07349750","issue":"6","journalAbbreviation":"Biotechnology Advances","language":"en","page":"994-1004","source":"DOI.org (Crossref)","title":"Bio-based resistance inducers for sustainable plant protection against pathogens","volume":"33","author":[{"family":"Burketova","given":"Lenka"},{"family":"Trda","given":"Lucie"},{"family":"Ott","given":"Peter G."},{"family":"Valentova","given":"Olga"}],"issued":{"date-parts":[["2015",11]]}}}],"schema":"https://github.com/citation-style-language/schema/raw/master/csl-citation.json"} </w:instrText>
      </w:r>
      <w:r>
        <w:rPr>
          <w:rFonts w:ascii="Times New Roman" w:hAnsi="Times New Roman" w:cs="Times New Roman"/>
          <w:color w:val="000000"/>
          <w:sz w:val="24"/>
          <w:szCs w:val="24"/>
        </w:rPr>
        <w:fldChar w:fldCharType="separate"/>
      </w:r>
      <w:r w:rsidRPr="00EA1FFB">
        <w:rPr>
          <w:rFonts w:ascii="Times New Roman" w:hAnsi="Times New Roman" w:cs="Times New Roman"/>
          <w:sz w:val="24"/>
        </w:rPr>
        <w:t>Burketova et al., 2015)</w:t>
      </w:r>
      <w:r>
        <w:rPr>
          <w:rFonts w:ascii="Times New Roman" w:hAnsi="Times New Roman" w:cs="Times New Roman"/>
          <w:color w:val="000000"/>
          <w:sz w:val="24"/>
          <w:szCs w:val="24"/>
        </w:rPr>
        <w:fldChar w:fldCharType="end"/>
      </w:r>
      <w:r w:rsidRPr="00226D22">
        <w:rPr>
          <w:rFonts w:ascii="Times New Roman" w:hAnsi="Times New Roman" w:cs="Times New Roman"/>
          <w:color w:val="000000"/>
          <w:sz w:val="24"/>
          <w:szCs w:val="24"/>
        </w:rPr>
        <w:t>.</w:t>
      </w:r>
    </w:p>
    <w:p w14:paraId="22D6C995" w14:textId="77777777" w:rsidR="00D37309" w:rsidRPr="00226D22" w:rsidRDefault="00D37309" w:rsidP="00D37309">
      <w:pPr>
        <w:spacing w:after="0" w:line="360" w:lineRule="auto"/>
        <w:ind w:firstLine="708"/>
        <w:jc w:val="both"/>
        <w:rPr>
          <w:rFonts w:ascii="Times New Roman" w:hAnsi="Times New Roman" w:cs="Times New Roman"/>
          <w:i/>
          <w:sz w:val="24"/>
          <w:szCs w:val="24"/>
        </w:rPr>
      </w:pPr>
      <w:proofErr w:type="spellStart"/>
      <w:r w:rsidRPr="00226D22">
        <w:rPr>
          <w:rFonts w:ascii="Times New Roman" w:hAnsi="Times New Roman" w:cs="Times New Roman"/>
          <w:sz w:val="24"/>
          <w:szCs w:val="24"/>
        </w:rPr>
        <w:t>Ulvans</w:t>
      </w:r>
      <w:proofErr w:type="spellEnd"/>
      <w:r w:rsidRPr="00226D22">
        <w:rPr>
          <w:rFonts w:ascii="Times New Roman" w:hAnsi="Times New Roman" w:cs="Times New Roman"/>
          <w:sz w:val="24"/>
          <w:szCs w:val="24"/>
        </w:rPr>
        <w:t>, sulphated polysaccharides isolated from the cell walls of green algae (</w:t>
      </w:r>
      <w:r w:rsidRPr="00226D22">
        <w:rPr>
          <w:rFonts w:ascii="Times New Roman" w:hAnsi="Times New Roman" w:cs="Times New Roman"/>
          <w:i/>
          <w:sz w:val="24"/>
          <w:szCs w:val="24"/>
        </w:rPr>
        <w:t xml:space="preserve">Ulva </w:t>
      </w:r>
      <w:r w:rsidRPr="00226D22">
        <w:rPr>
          <w:rFonts w:ascii="Times New Roman" w:hAnsi="Times New Roman" w:cs="Times New Roman"/>
          <w:sz w:val="24"/>
          <w:szCs w:val="24"/>
        </w:rPr>
        <w:t xml:space="preserve">spp.) can induce plant resistance against various pathogens and pests in different plant species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{"citationID":"mcCQs8Oa","properties":{"formattedCitation":"(Agarwal et al., 2021; Burketova et al., 2015; Siah et al., 2018)","plainCitation":"(Agarwal et al., 2021; Burketova et al., 2015; Siah et al., 2018)","noteIndex":0},"citationItems":[{"id":638,"uris":["http://zotero.org/users/10895598/items/NIQ8EMQV"],"itemData":{"id":638,"type":"article-journal","container-title":"Algal Research","DOI":"10.1016/j.algal.2021.102363","ISSN":"22119264","journalAbbreviation":"Algal Research","language":"en","page":"102363","source":"DOI.org (Crossref)","title":"Seaweed extracts: Potential biodegradable, environmentally friendly resources for regulating plant defence","title-short":"Seaweed extracts","volume":"58","author":[{"family":"Agarwal","given":"Pradeep K."},{"family":"Dangariya","given":"Mohit"},{"family":"Agarwal","given":"Parinita"}],"issued":{"date-parts":[["2021",10]]}}},{"id":301,"uris":["http://zotero.org/users/10895598/items/UXVAY3F3"],"itemData":{"id":301,"type":"article-journal","container-title":"Biotechnology Advances","DOI":"10.1016/j.biotechadv.2015.01.004","ISSN":"07349750","issue":"6","journalAbbreviation":"Biotechnology Advances","language":"en","page":"994-1004","source":"DOI.org (Crossref)","title":"Bio-based resistance inducers for sustainable plant protection against pathogens","volume":"33","author":[{"family":"Burketova","given":"Lenka"},{"family":"Trda","given":"Lucie"},{"family":"Ott","given":"Peter G."},{"family":"Valentova","given":"Olga"}],"issued":{"date-parts":[["2015",11]]}}},{"id":635,"uris":["http://zotero.org/users/10895598/items/9CJSHXBZ"],"itemData":{"id":635,"type":"chapter","container-title":"Natural Antimicrobial Agents","event-place":"Cham","ISBN":"978-3-319-67043-0","note":"collection-title: Sustainable Development and Biodiversity\nDOI: 10.1007/978-3-319-67045-4_6","page":"121-159","publisher":"Springer International Publishing","publisher-place":"Cham","source":"DOI.org (Crossref)","title":"Natural agents inducing plant resistance against pests and diseases","URL":"http://link.springer.com/10.1007/978-3-319-67045-4_6","volume":"19","editor":[{"family":"Mérillon","given":"Jean-Michel"},{"family":"Riviere","given":"Céline"}],"author":[{"family":"Siah","given":"Ali"},{"family":"Magnin-Robert","given":"Maryline"},{"family":"Randoux","given":"Béatrice"},{"family":"Choma","given":"Caroline"},{"family":"Rivière","given":"Céline"},{"family":"Halama","given":"Patrice"},{"family":"Reignault","given":"Philippe"}],"accessed":{"date-parts":[["2023",10,13]]},"issued":{"date-parts":[["2018"]]}}}],"schema":"https://github.com/citation-style-language/schema/raw/master/csl-citation.json"} </w:instrText>
      </w:r>
      <w:r>
        <w:rPr>
          <w:rFonts w:ascii="Times New Roman" w:hAnsi="Times New Roman" w:cs="Times New Roman"/>
          <w:sz w:val="24"/>
          <w:szCs w:val="24"/>
        </w:rPr>
        <w:fldChar w:fldCharType="separate"/>
      </w:r>
      <w:r w:rsidRPr="00EA1FFB">
        <w:rPr>
          <w:rFonts w:ascii="Times New Roman" w:hAnsi="Times New Roman" w:cs="Times New Roman"/>
          <w:sz w:val="24"/>
        </w:rPr>
        <w:t>(Agarwal et al., 2021; Burketova et al., 2015; Siah et al., 2018)</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Transcriptomics revealed that </w:t>
      </w:r>
      <w:proofErr w:type="spellStart"/>
      <w:r w:rsidRPr="00226D22">
        <w:rPr>
          <w:rFonts w:ascii="Times New Roman" w:hAnsi="Times New Roman" w:cs="Times New Roman"/>
          <w:sz w:val="24"/>
          <w:szCs w:val="24"/>
        </w:rPr>
        <w:t>ulvan</w:t>
      </w:r>
      <w:proofErr w:type="spellEnd"/>
      <w:r>
        <w:rPr>
          <w:rFonts w:ascii="Times New Roman" w:hAnsi="Times New Roman" w:cs="Times New Roman"/>
          <w:sz w:val="24"/>
          <w:szCs w:val="24"/>
        </w:rPr>
        <w:t xml:space="preserve">, primarily isolated from </w:t>
      </w:r>
      <w:r>
        <w:rPr>
          <w:rFonts w:ascii="Times New Roman" w:hAnsi="Times New Roman" w:cs="Times New Roman"/>
          <w:i/>
          <w:iCs/>
          <w:sz w:val="24"/>
          <w:szCs w:val="24"/>
        </w:rPr>
        <w:t xml:space="preserve">U. </w:t>
      </w:r>
      <w:proofErr w:type="spellStart"/>
      <w:r>
        <w:rPr>
          <w:rFonts w:ascii="Times New Roman" w:hAnsi="Times New Roman" w:cs="Times New Roman"/>
          <w:i/>
          <w:iCs/>
          <w:sz w:val="24"/>
          <w:szCs w:val="24"/>
        </w:rPr>
        <w:t>armoricana</w:t>
      </w:r>
      <w:proofErr w:type="spellEnd"/>
      <w:r>
        <w:rPr>
          <w:rFonts w:ascii="Times New Roman" w:hAnsi="Times New Roman" w:cs="Times New Roman"/>
          <w:sz w:val="24"/>
          <w:szCs w:val="24"/>
        </w:rPr>
        <w:t xml:space="preserve">, </w:t>
      </w:r>
      <w:r w:rsidRPr="00226D22">
        <w:rPr>
          <w:rFonts w:ascii="Times New Roman" w:hAnsi="Times New Roman" w:cs="Times New Roman"/>
          <w:sz w:val="24"/>
          <w:szCs w:val="24"/>
        </w:rPr>
        <w:t>act</w:t>
      </w:r>
      <w:r>
        <w:rPr>
          <w:rFonts w:ascii="Times New Roman" w:hAnsi="Times New Roman" w:cs="Times New Roman"/>
          <w:sz w:val="24"/>
          <w:szCs w:val="24"/>
        </w:rPr>
        <w:t>ivates</w:t>
      </w:r>
      <w:r w:rsidRPr="00226D22">
        <w:rPr>
          <w:rFonts w:ascii="Times New Roman" w:hAnsi="Times New Roman" w:cs="Times New Roman"/>
          <w:sz w:val="24"/>
          <w:szCs w:val="24"/>
        </w:rPr>
        <w:t xml:space="preserve"> the JA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pathway in </w:t>
      </w:r>
      <w:r w:rsidRPr="00226D22">
        <w:rPr>
          <w:rFonts w:ascii="Times New Roman" w:hAnsi="Times New Roman" w:cs="Times New Roman"/>
          <w:i/>
          <w:sz w:val="24"/>
          <w:szCs w:val="24"/>
        </w:rPr>
        <w:t xml:space="preserve">Medicago </w:t>
      </w:r>
      <w:proofErr w:type="spellStart"/>
      <w:r w:rsidRPr="00226D22">
        <w:rPr>
          <w:rFonts w:ascii="Times New Roman" w:hAnsi="Times New Roman" w:cs="Times New Roman"/>
          <w:i/>
          <w:sz w:val="24"/>
          <w:szCs w:val="24"/>
        </w:rPr>
        <w:t>truncatula</w:t>
      </w:r>
      <w:proofErr w:type="spellEnd"/>
      <w:r w:rsidRPr="00226D22">
        <w:rPr>
          <w:rFonts w:ascii="Times New Roman" w:hAnsi="Times New Roman" w:cs="Times New Roman"/>
          <w:i/>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{"citationID":"rBY1xuvU","properties":{"formattedCitation":"(Jaulneau et al., 2010)","plainCitation":"(Jaulneau et al., 2010)","noteIndex":0},"citationItems":[{"id":636,"uris":["http://zotero.org/users/10895598/items/RKUWZACH"],"itemData":{"id":636,"type":"article-journal","abstract":"The industrial use of elicitors as alternative tools for disease control needs the identification of abundant sources of them. We report on an elicitor obtained from the green algae\n              Ulva\n              spp. A fraction containing most exclusively the sulfated polysaccharide known as ulvan-induced expression of a GUS gene placed under the control of a lipoxygenase gene promoter. Gene expression profiling was performed upon ulvan treatments on\n              Medicago truncatula\n              and compared to phytohormone effects. Ulvan induced a gene expression signature similar to that observed upon methyl jasmonate treatment (MeJA). Involvement of jasmonic acid (JA) in ulvan response was confirmed by detecting induction of protease inhibitory activity and by hormonal profiling of JA, salicylic acid (SA) and abscisic acid (ABA). Ulvan activity on the hormonal pathway was further consolidated by using\n              Arabidopsis\n              hormonal mutants. Altogether, our results demonstrate that green algae are a potential reservoir of ulvan elicitor which acts through the JA pathway.","container-title":"Journal of Biomedicine and Biotechnology","DOI":"10.1155/2010/525291","ISSN":"1110-7243, 1110-7251","journalAbbreviation":"Journal of Biomedicine and Biotechnology","language":"en","page":"1-11","source":"DOI.org (Crossref)","title":"Ulvan, a sulfated polysaccharide from green algae, activates plant immunity through the jasmonic acid signaling pathway","volume":"2010","author":[{"family":"Jaulneau","given":"Valérie"},{"family":"Lafitte","given":"Claude"},{"family":"Jacquet","given":"Christophe"},{"family":"Fournier","given":"Sylvie"},{"family":"Salamagne","given":"Sylvie"},{"family":"Briand","given":"Xavier"},{"family":"Esquerré-Tugayé","given":"Marie-Thérèse"},{"family":"Dumas","given":"Bernard"}],"issued":{"date-parts":[["2010"]]}}}],"schema":"https://github.com/citation-style-language/schema/raw/master/csl-citation.json"} </w:instrText>
      </w:r>
      <w:r>
        <w:rPr>
          <w:rFonts w:ascii="Times New Roman" w:hAnsi="Times New Roman" w:cs="Times New Roman"/>
          <w:sz w:val="24"/>
          <w:szCs w:val="24"/>
        </w:rPr>
        <w:fldChar w:fldCharType="separate"/>
      </w:r>
      <w:r w:rsidRPr="00EA1FFB">
        <w:rPr>
          <w:rFonts w:ascii="Times New Roman" w:hAnsi="Times New Roman" w:cs="Times New Roman"/>
          <w:sz w:val="24"/>
        </w:rPr>
        <w:t>(Jaulneau et al., 2010)</w:t>
      </w:r>
      <w:r>
        <w:rPr>
          <w:rFonts w:ascii="Times New Roman" w:hAnsi="Times New Roman" w:cs="Times New Roman"/>
          <w:sz w:val="24"/>
          <w:szCs w:val="24"/>
        </w:rPr>
        <w:fldChar w:fldCharType="end"/>
      </w:r>
      <w:r>
        <w:rPr>
          <w:rFonts w:ascii="Times New Roman" w:hAnsi="Times New Roman" w:cs="Times New Roman"/>
          <w:sz w:val="24"/>
          <w:szCs w:val="24"/>
        </w:rPr>
        <w:t xml:space="preserve">. Additionally, </w:t>
      </w:r>
      <w:proofErr w:type="spellStart"/>
      <w:r>
        <w:rPr>
          <w:rFonts w:ascii="Times New Roman" w:hAnsi="Times New Roman" w:cs="Times New Roman"/>
          <w:sz w:val="24"/>
          <w:szCs w:val="24"/>
        </w:rPr>
        <w:t>ulvan</w:t>
      </w:r>
      <w:proofErr w:type="spellEnd"/>
      <w:r w:rsidRPr="00226D22">
        <w:rPr>
          <w:rFonts w:ascii="Times New Roman" w:hAnsi="Times New Roman" w:cs="Times New Roman"/>
          <w:sz w:val="24"/>
          <w:szCs w:val="24"/>
        </w:rPr>
        <w:t xml:space="preserve"> induces the expression of </w:t>
      </w:r>
      <w:r w:rsidRPr="00226D22">
        <w:rPr>
          <w:rFonts w:ascii="Times New Roman" w:hAnsi="Times New Roman" w:cs="Times New Roman"/>
          <w:i/>
          <w:sz w:val="24"/>
          <w:szCs w:val="24"/>
        </w:rPr>
        <w:t>pathogenesis-related</w:t>
      </w:r>
      <w:r w:rsidRPr="00226D22">
        <w:rPr>
          <w:rFonts w:ascii="Times New Roman" w:hAnsi="Times New Roman" w:cs="Times New Roman"/>
          <w:sz w:val="24"/>
          <w:szCs w:val="24"/>
        </w:rPr>
        <w:t xml:space="preserve"> genes </w:t>
      </w:r>
      <w:r w:rsidRPr="00226D22">
        <w:rPr>
          <w:rFonts w:ascii="Times New Roman" w:hAnsi="Times New Roman" w:cs="Times New Roman"/>
          <w:i/>
          <w:sz w:val="24"/>
          <w:szCs w:val="24"/>
        </w:rPr>
        <w:t xml:space="preserve">PR2 </w:t>
      </w:r>
      <w:r w:rsidRPr="00226D22">
        <w:rPr>
          <w:rFonts w:ascii="Times New Roman" w:hAnsi="Times New Roman" w:cs="Times New Roman"/>
          <w:sz w:val="24"/>
          <w:szCs w:val="24"/>
        </w:rPr>
        <w:t xml:space="preserve">and </w:t>
      </w:r>
      <w:r w:rsidRPr="00226D22">
        <w:rPr>
          <w:rFonts w:ascii="Times New Roman" w:hAnsi="Times New Roman" w:cs="Times New Roman"/>
          <w:i/>
          <w:sz w:val="24"/>
          <w:szCs w:val="24"/>
        </w:rPr>
        <w:t>PR3</w:t>
      </w:r>
      <w:r>
        <w:rPr>
          <w:rFonts w:ascii="Times New Roman" w:hAnsi="Times New Roman" w:cs="Times New Roman"/>
          <w:sz w:val="24"/>
          <w:szCs w:val="24"/>
        </w:rPr>
        <w:t>, which are</w:t>
      </w:r>
      <w:r w:rsidRPr="00226D22">
        <w:rPr>
          <w:rFonts w:ascii="Times New Roman" w:hAnsi="Times New Roman" w:cs="Times New Roman"/>
          <w:sz w:val="24"/>
          <w:szCs w:val="24"/>
        </w:rPr>
        <w:t xml:space="preserve"> involved in ROS metabolism and </w:t>
      </w:r>
      <w:r>
        <w:rPr>
          <w:rFonts w:ascii="Times New Roman" w:hAnsi="Times New Roman" w:cs="Times New Roman"/>
          <w:sz w:val="24"/>
          <w:szCs w:val="24"/>
        </w:rPr>
        <w:t xml:space="preserve">the </w:t>
      </w:r>
      <w:r w:rsidRPr="00226D22">
        <w:rPr>
          <w:rFonts w:ascii="Times New Roman" w:hAnsi="Times New Roman" w:cs="Times New Roman"/>
          <w:sz w:val="24"/>
          <w:szCs w:val="24"/>
        </w:rPr>
        <w:t xml:space="preserve">JA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pathway in wheat</w:t>
      </w:r>
      <w:r>
        <w:rPr>
          <w:rFonts w:ascii="Times New Roman" w:hAnsi="Times New Roman" w:cs="Times New Roman"/>
          <w:sz w:val="24"/>
          <w:szCs w:val="24"/>
        </w:rPr>
        <w:t xml:space="preserve">, thereby protecting the plant </w:t>
      </w:r>
      <w:r w:rsidRPr="00226D22">
        <w:rPr>
          <w:rFonts w:ascii="Times New Roman" w:hAnsi="Times New Roman" w:cs="Times New Roman"/>
          <w:sz w:val="24"/>
          <w:szCs w:val="24"/>
        </w:rPr>
        <w:t xml:space="preserve">against </w:t>
      </w:r>
      <w:r>
        <w:rPr>
          <w:rFonts w:ascii="Times New Roman" w:hAnsi="Times New Roman" w:cs="Times New Roman"/>
          <w:sz w:val="24"/>
          <w:szCs w:val="24"/>
        </w:rPr>
        <w:t xml:space="preserve">the </w:t>
      </w:r>
      <w:proofErr w:type="spellStart"/>
      <w:r w:rsidRPr="00226D22">
        <w:rPr>
          <w:rFonts w:ascii="Times New Roman" w:hAnsi="Times New Roman" w:cs="Times New Roman"/>
          <w:sz w:val="24"/>
          <w:szCs w:val="24"/>
        </w:rPr>
        <w:t>hemibiotrophic</w:t>
      </w:r>
      <w:proofErr w:type="spellEnd"/>
      <w:r w:rsidRPr="00226D22">
        <w:rPr>
          <w:rFonts w:ascii="Times New Roman" w:hAnsi="Times New Roman" w:cs="Times New Roman"/>
          <w:sz w:val="24"/>
          <w:szCs w:val="24"/>
        </w:rPr>
        <w:t xml:space="preserve"> pathogen </w:t>
      </w:r>
      <w:proofErr w:type="spellStart"/>
      <w:r w:rsidRPr="00226D22">
        <w:rPr>
          <w:rFonts w:ascii="Times New Roman" w:hAnsi="Times New Roman" w:cs="Times New Roman"/>
          <w:i/>
          <w:sz w:val="24"/>
          <w:szCs w:val="24"/>
        </w:rPr>
        <w:t>Zymoseptoria</w:t>
      </w:r>
      <w:proofErr w:type="spellEnd"/>
      <w:r w:rsidRPr="00226D22">
        <w:rPr>
          <w:rFonts w:ascii="Times New Roman" w:hAnsi="Times New Roman" w:cs="Times New Roman"/>
          <w:i/>
          <w:sz w:val="24"/>
          <w:szCs w:val="24"/>
        </w:rPr>
        <w:t xml:space="preserve"> tritici</w:t>
      </w:r>
      <w:r w:rsidRPr="00226D22">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{"citationID":"6wXPXOQM","properties":{"formattedCitation":"(De Borba et al., 2021)","plainCitation":"(De Borba et al., 2021)","noteIndex":0},"citationItems":[{"id":639,"uris":["http://zotero.org/users/10895598/items/ID3JL7EZ"],"itemData":{"id":639,"type":"article-journal","abstract":"This study aimed to examine the ability of ulvan, a water-soluble polysaccharide from the green seaweed\n              Ulva fasciata\n              , to provide protection and induce resistance in wheat against the hemibiotrophic fungus\n              Zymoseptoria tritici\n              . Matrix-assisted laser desorption/ionization-time-of-flight-mass spectrometry (MALDI-TOF-MS) analysis indicated that ulvan is mainly composed of unsaturated monosaccharides (rhamnose, rhamnose-3-sulfate, and xylose) and numerous uronic acid residues. In the greenhouse, foliar application of ulvan at 10 mg.ml\n              –1\n              2 days before fungal inoculation reduced disease severity and pycnidium density by 45 and 50%, respectively. Ulvan did not exhibit any direct antifungal activity toward\n              Z. tritici\n              , neither\n              in vitro\n              nor\n              in planta\n              . However, ulvan treatment significantly reduced substomatal colonization and pycnidium formation within the mesophyll of treated leaves. Molecular assays revealed that ulvan spraying elicits, but does not prime, the expression of genes involved in several wheat defense pathways, including pathogenesis-related proteins (β-1,3-endoglucanase and chitinase), reactive oxygen species metabolism (oxalate oxidase), and the octadecanoid pathway (lipoxygenase and allene oxide synthase), while no upregulation was recorded for gene markers of the phenylpropanoid pathway (phenylalanine ammonia-lyase and chalcone synthase). Interestingly, the quantification of 83 metabolites from major chemical families using ultra-high-performance liquid chromatography-mass spectrometry (UHPLC-MS) in both non-infectious and infectious conditions showed no substantial changes in wheat metabolome upon ulvan treatment, suggesting a low metabolic cost associated with ulvan-induced resistance. Our findings provide evidence that ulvan confers protection and triggers defense mechanisms in wheat against\n              Z. tritici\n              without major modification of the plant physiology.","container-title":"Frontiers in Plant Science","DOI":"10.3389/fpls.2021.703712","ISSN":"1664-462X","journalAbbreviation":"Front. Plant Sci.","page":"703712","source":"DOI.org (Crossref)","title":"The algal polysaccharide ulvan induces resistance in wheat against &lt;i&gt;Zymoseptoria tritici&lt;/i&gt; without major alteration of leaf metabolome","volume":"12","author":[{"family":"De Borba","given":"Marlon C."},{"family":"Velho","given":"Aline C."},{"family":"Maia-Grondard","given":"Alessandra"},{"family":"Baltenweck","given":"Raymonde"},{"family":"Magnin-Robert","given":"Maryline"},{"family":"Randoux","given":"Béatrice"},{"family":"Holvoet","given":"Maxime"},{"family":"Hilbert","given":"Jean-Louis"},{"family":"Flahaut","given":"Christophe"},{"family":"Reignault","given":"Philippe"},{"family":"Hugueney","given":"Philippe"},{"family":"Stadnik","given":"Marciel J."},{"family":"Siah","given":"Ali"}],"issued":{"date-parts":[["2021",9,6]]}}}],"schema":"https://github.com/citation-style-language/schema/raw/master/csl-citation.json"} </w:instrText>
      </w:r>
      <w:r>
        <w:rPr>
          <w:rFonts w:ascii="Times New Roman" w:hAnsi="Times New Roman" w:cs="Times New Roman"/>
          <w:sz w:val="24"/>
          <w:szCs w:val="24"/>
        </w:rPr>
        <w:fldChar w:fldCharType="separate"/>
      </w:r>
      <w:r w:rsidRPr="00192FBE">
        <w:rPr>
          <w:rFonts w:ascii="Times New Roman" w:hAnsi="Times New Roman" w:cs="Times New Roman"/>
          <w:sz w:val="24"/>
        </w:rPr>
        <w:t>(De Borba et al., 2021)</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Similarly,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{"citationID":"xqh1qE4L","properties":{"formattedCitation":"(P\\uc0\\u345{}erovsk\\uc0\\u225{} et al., 2022)","plainCitation":"(Přerovská et al., 2022)","dontUpdate":true,"noteIndex":0},"citationItems":[{"id":669,"uris":["http://zotero.org/users/10895598/items/9HZI6LW4"],"itemData":{"id":669,"type":"article-journal","abstract":"Natural compounds isolated from macroalgae are promising, ecofriendly, and multifunctional bioinoculants, which have been tested and used in agriculture. Ulvans, for instance, one of the major polysaccharides present in\n              Ulva\n              spp. cell walls, have been tested for their plant growth-promoting properties as well as their ability to activate plant immune defense, on a large variety of crops. Recently, we have characterized for the first time an arabinogalactan protein-like (AGP-like) from\n              Ulva lactuca\n              , which exhibits several features associated to land plant AGPs. In land plant, AGPs were shown to play a role in several plant biological functions, including cell morphogenesis, reproduction, and plant-microbe interactions. Thus, isolated AGP-like proteins may be good candidates for either the plant growth-promoting properties or the activation of plant immune defense. Here, we have isolated an AGP-like enriched fraction from\n              Ulva lactuca\n              and we have evaluated its ability to (i) protect oilseed rape (\n              Brassica napus\n              ) cotyledons against\n              Leptosphaeria maculans\n              , and (ii) its ability to activate immune responses. Preventive application of the\n              Ulva\n              AGP-like enriched fraction on oilseed rape, followed by cotyledon inoculation with the fungal hemibiotroph\n              L. maculans\n              , resulted in a major reduction of infection propagation. The noticed reduction correlated with an accumulation of H\n              2\n              O\n              2\n              in treated cotyledons and with the activation of SA and ET signaling pathways in oilseed rape cotyledons. In parallel, an ulvan was also isolated from\n              Ulva lactuca\n              . Preventive application of ulvan also enhanced plant resistance against\n              L. maculans\n              . Surprisingly, reduction of infection severity was only observed at high concentration of ulvan. Here, no such significant changes in gene expression and H\n              2\n              O\n              2\n              production were observed. Together, this study indicates that\n              U. lactuca\n              AGP-like glycoproteins exhibit promising elicitor activity and that plant eliciting properties of\n              Ulva\n              extract, might result not only from an ulvan-originated eliciting activities, but also AGP-like originated.","container-title":"Frontiers in Plant Science","DOI":"10.3389/fpls.2022.893858","ISSN":"1664-462X","journalAbbreviation":"Front. Plant Sci.","page":"893858","source":"DOI.org (Crossref)","title":"Arabinogalactan protein-like proteins from &lt;i&gt;Ulva lactuca&lt;/i&gt; activate immune responses and plant resistance in an oilseed crop","volume":"13","author":[{"family":"Přerovská","given":"Tereza"},{"family":"Jindřichová","given":"Barbora"},{"family":"Henke","given":"Svatopluk"},{"family":"Yvin","given":"Jean-Claude"},{"family":"Ferrieres","given":"Vincent"},{"family":"Burketová","given":"Lenka"},{"family":"Lipovová","given":"Petra"},{"family":"Nguema-Ona","given":"Eric"}],"issued":{"date-parts":[["2022",5,20]]}}}],"schema":"https://github.com/citation-style-language/schema/raw/master/csl-citation.json"} </w:instrText>
      </w:r>
      <w:r>
        <w:rPr>
          <w:rFonts w:ascii="Times New Roman" w:hAnsi="Times New Roman" w:cs="Times New Roman"/>
          <w:sz w:val="24"/>
          <w:szCs w:val="24"/>
        </w:rPr>
        <w:fldChar w:fldCharType="separate"/>
      </w:r>
      <w:r w:rsidRPr="00192FBE">
        <w:rPr>
          <w:rFonts w:ascii="Times New Roman" w:hAnsi="Times New Roman" w:cs="Times New Roman"/>
          <w:sz w:val="24"/>
          <w:szCs w:val="24"/>
        </w:rPr>
        <w:t>Přerovská</w:t>
      </w:r>
      <w:r>
        <w:rPr>
          <w:rFonts w:ascii="Times New Roman" w:hAnsi="Times New Roman" w:cs="Times New Roman"/>
          <w:sz w:val="24"/>
          <w:szCs w:val="24"/>
        </w:rPr>
        <w:t xml:space="preserve"> et al. (</w:t>
      </w:r>
      <w:r w:rsidRPr="00192FBE">
        <w:rPr>
          <w:rFonts w:ascii="Times New Roman" w:hAnsi="Times New Roman" w:cs="Times New Roman"/>
          <w:sz w:val="24"/>
          <w:szCs w:val="24"/>
        </w:rPr>
        <w:t>2022)</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observed that low </w:t>
      </w:r>
      <w:proofErr w:type="spellStart"/>
      <w:r w:rsidRPr="00226D22">
        <w:rPr>
          <w:rFonts w:ascii="Times New Roman" w:hAnsi="Times New Roman" w:cs="Times New Roman"/>
          <w:sz w:val="24"/>
          <w:szCs w:val="24"/>
        </w:rPr>
        <w:t>ulvan</w:t>
      </w:r>
      <w:proofErr w:type="spellEnd"/>
      <w:r w:rsidRPr="00226D22">
        <w:rPr>
          <w:rFonts w:ascii="Times New Roman" w:hAnsi="Times New Roman" w:cs="Times New Roman"/>
          <w:sz w:val="24"/>
          <w:szCs w:val="24"/>
        </w:rPr>
        <w:t xml:space="preserve"> concentration triggers the upregulation of genes involved in JA (</w:t>
      </w:r>
      <w:r w:rsidRPr="00226D22">
        <w:rPr>
          <w:rFonts w:ascii="Times New Roman" w:hAnsi="Times New Roman" w:cs="Times New Roman"/>
          <w:i/>
          <w:sz w:val="24"/>
          <w:szCs w:val="24"/>
        </w:rPr>
        <w:t>VSP</w:t>
      </w:r>
      <w:r w:rsidRPr="00226D22">
        <w:rPr>
          <w:rFonts w:ascii="Times New Roman" w:hAnsi="Times New Roman" w:cs="Times New Roman"/>
          <w:sz w:val="24"/>
          <w:szCs w:val="24"/>
        </w:rPr>
        <w:t>), JA/ET (</w:t>
      </w:r>
      <w:r w:rsidRPr="00226D22">
        <w:rPr>
          <w:rFonts w:ascii="Times New Roman" w:hAnsi="Times New Roman" w:cs="Times New Roman"/>
          <w:i/>
          <w:sz w:val="24"/>
          <w:szCs w:val="24"/>
        </w:rPr>
        <w:t>βCHI</w:t>
      </w:r>
      <w:r w:rsidRPr="00226D22">
        <w:rPr>
          <w:rFonts w:ascii="Times New Roman" w:hAnsi="Times New Roman" w:cs="Times New Roman"/>
          <w:sz w:val="24"/>
          <w:szCs w:val="24"/>
        </w:rPr>
        <w:t>) and oxidative stress (</w:t>
      </w:r>
      <w:proofErr w:type="spellStart"/>
      <w:r w:rsidRPr="00226D22">
        <w:rPr>
          <w:rFonts w:ascii="Times New Roman" w:hAnsi="Times New Roman" w:cs="Times New Roman"/>
          <w:i/>
          <w:sz w:val="24"/>
          <w:szCs w:val="24"/>
        </w:rPr>
        <w:t>rbohF</w:t>
      </w:r>
      <w:proofErr w:type="spellEnd"/>
      <w:r w:rsidRPr="00226D22">
        <w:rPr>
          <w:rFonts w:ascii="Times New Roman" w:hAnsi="Times New Roman" w:cs="Times New Roman"/>
          <w:sz w:val="24"/>
          <w:szCs w:val="24"/>
        </w:rPr>
        <w:t>)</w:t>
      </w:r>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responses and downregulates the genes involved in ABA (</w:t>
      </w:r>
      <w:r w:rsidRPr="00226D22">
        <w:rPr>
          <w:rFonts w:ascii="Times New Roman" w:hAnsi="Times New Roman" w:cs="Times New Roman"/>
          <w:i/>
          <w:sz w:val="24"/>
          <w:szCs w:val="24"/>
        </w:rPr>
        <w:t>RD26</w:t>
      </w:r>
      <w:r w:rsidRPr="00226D22">
        <w:rPr>
          <w:rFonts w:ascii="Times New Roman" w:hAnsi="Times New Roman" w:cs="Times New Roman"/>
          <w:sz w:val="24"/>
          <w:szCs w:val="24"/>
        </w:rPr>
        <w:t>,</w:t>
      </w:r>
      <w:r w:rsidRPr="00226D22">
        <w:rPr>
          <w:rFonts w:ascii="Times New Roman" w:hAnsi="Times New Roman" w:cs="Times New Roman"/>
          <w:i/>
          <w:sz w:val="24"/>
          <w:szCs w:val="24"/>
        </w:rPr>
        <w:t xml:space="preserve"> NCED3</w:t>
      </w:r>
      <w:r w:rsidRPr="00226D22">
        <w:rPr>
          <w:rFonts w:ascii="Times New Roman" w:hAnsi="Times New Roman" w:cs="Times New Roman"/>
          <w:sz w:val="24"/>
          <w:szCs w:val="24"/>
        </w:rPr>
        <w:t>)</w:t>
      </w:r>
      <w:r w:rsidRPr="00226D22">
        <w:rPr>
          <w:rFonts w:ascii="Times New Roman" w:hAnsi="Times New Roman" w:cs="Times New Roman"/>
          <w:i/>
          <w:sz w:val="24"/>
          <w:szCs w:val="24"/>
        </w:rPr>
        <w:t xml:space="preserve">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however, only higher concentrations (1 mg ml</w:t>
      </w:r>
      <w:r w:rsidRPr="00226D22">
        <w:rPr>
          <w:rFonts w:ascii="Times New Roman" w:hAnsi="Times New Roman" w:cs="Times New Roman"/>
          <w:sz w:val="24"/>
          <w:szCs w:val="24"/>
          <w:vertAlign w:val="superscript"/>
        </w:rPr>
        <w:t xml:space="preserve">-1 </w:t>
      </w:r>
      <w:r w:rsidRPr="00226D22">
        <w:rPr>
          <w:rFonts w:ascii="Times New Roman" w:hAnsi="Times New Roman" w:cs="Times New Roman"/>
          <w:sz w:val="24"/>
          <w:szCs w:val="24"/>
        </w:rPr>
        <w:t>and 10 mg ml</w:t>
      </w:r>
      <w:r w:rsidRPr="00226D22">
        <w:rPr>
          <w:rFonts w:ascii="Times New Roman" w:hAnsi="Times New Roman" w:cs="Times New Roman"/>
          <w:sz w:val="24"/>
          <w:szCs w:val="24"/>
          <w:vertAlign w:val="superscript"/>
        </w:rPr>
        <w:t>-1</w:t>
      </w:r>
      <w:r w:rsidRPr="00226D22">
        <w:rPr>
          <w:rFonts w:ascii="Times New Roman" w:hAnsi="Times New Roman" w:cs="Times New Roman"/>
          <w:sz w:val="24"/>
          <w:szCs w:val="24"/>
        </w:rPr>
        <w:t xml:space="preserve">) of </w:t>
      </w:r>
      <w:proofErr w:type="spellStart"/>
      <w:r w:rsidRPr="00226D22">
        <w:rPr>
          <w:rFonts w:ascii="Times New Roman" w:hAnsi="Times New Roman" w:cs="Times New Roman"/>
          <w:sz w:val="24"/>
          <w:szCs w:val="24"/>
        </w:rPr>
        <w:t>ulvan</w:t>
      </w:r>
      <w:proofErr w:type="spellEnd"/>
      <w:r w:rsidRPr="00226D22">
        <w:rPr>
          <w:rFonts w:ascii="Times New Roman" w:hAnsi="Times New Roman" w:cs="Times New Roman"/>
          <w:sz w:val="24"/>
          <w:szCs w:val="24"/>
        </w:rPr>
        <w:t xml:space="preserve"> solution significantly decreased the lesion development by </w:t>
      </w:r>
      <w:r w:rsidRPr="00226D22">
        <w:rPr>
          <w:rFonts w:ascii="Times New Roman" w:hAnsi="Times New Roman" w:cs="Times New Roman"/>
          <w:i/>
          <w:sz w:val="24"/>
          <w:szCs w:val="24"/>
        </w:rPr>
        <w:t>L.</w:t>
      </w:r>
      <w:r>
        <w:rPr>
          <w:rFonts w:ascii="Times New Roman" w:hAnsi="Times New Roman" w:cs="Times New Roman"/>
          <w:i/>
          <w:sz w:val="24"/>
          <w:szCs w:val="24"/>
        </w:rPr>
        <w:t xml:space="preserve"> </w:t>
      </w:r>
      <w:proofErr w:type="spellStart"/>
      <w:r w:rsidRPr="00226D22">
        <w:rPr>
          <w:rFonts w:ascii="Times New Roman" w:hAnsi="Times New Roman" w:cs="Times New Roman"/>
          <w:i/>
          <w:sz w:val="24"/>
          <w:szCs w:val="24"/>
        </w:rPr>
        <w:t>maculans</w:t>
      </w:r>
      <w:proofErr w:type="spellEnd"/>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 xml:space="preserve">in cotyledons of </w:t>
      </w:r>
      <w:r w:rsidRPr="00226D22">
        <w:rPr>
          <w:rFonts w:ascii="Times New Roman" w:hAnsi="Times New Roman" w:cs="Times New Roman"/>
          <w:i/>
          <w:sz w:val="24"/>
          <w:szCs w:val="24"/>
        </w:rPr>
        <w:t xml:space="preserve">B. napus </w:t>
      </w:r>
      <w:r w:rsidRPr="00226D22">
        <w:rPr>
          <w:rFonts w:ascii="Times New Roman" w:hAnsi="Times New Roman" w:cs="Times New Roman"/>
          <w:sz w:val="24"/>
          <w:szCs w:val="24"/>
        </w:rPr>
        <w:t>compared to control</w:t>
      </w:r>
      <w:r w:rsidRPr="00226D22">
        <w:rPr>
          <w:rFonts w:ascii="Times New Roman" w:hAnsi="Times New Roman" w:cs="Times New Roman"/>
          <w:i/>
          <w:sz w:val="24"/>
          <w:szCs w:val="24"/>
        </w:rPr>
        <w:t>.</w:t>
      </w:r>
    </w:p>
    <w:p w14:paraId="25002688" w14:textId="77777777" w:rsidR="00D37309" w:rsidRPr="00226D22" w:rsidRDefault="00D37309" w:rsidP="00D37309">
      <w:pPr>
        <w:spacing w:after="0" w:line="360" w:lineRule="auto"/>
        <w:ind w:firstLine="708"/>
        <w:jc w:val="both"/>
        <w:rPr>
          <w:rFonts w:ascii="Times New Roman" w:hAnsi="Times New Roman" w:cs="Times New Roman"/>
          <w:sz w:val="24"/>
          <w:szCs w:val="24"/>
        </w:rPr>
      </w:pPr>
      <w:r w:rsidRPr="00226D22">
        <w:rPr>
          <w:rFonts w:ascii="Times New Roman" w:hAnsi="Times New Roman" w:cs="Times New Roman"/>
          <w:sz w:val="24"/>
          <w:szCs w:val="24"/>
        </w:rPr>
        <w:t xml:space="preserve">BTH, a chemical compound that mimics the SA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by triggering the upregulation of the </w:t>
      </w:r>
      <w:r w:rsidRPr="00226D22">
        <w:rPr>
          <w:rFonts w:ascii="Times New Roman" w:hAnsi="Times New Roman" w:cs="Times New Roman"/>
          <w:i/>
          <w:sz w:val="24"/>
          <w:szCs w:val="24"/>
        </w:rPr>
        <w:t xml:space="preserve">PR1 </w:t>
      </w:r>
      <w:r w:rsidRPr="00226D22">
        <w:rPr>
          <w:rFonts w:ascii="Times New Roman" w:hAnsi="Times New Roman" w:cs="Times New Roman"/>
          <w:sz w:val="24"/>
          <w:szCs w:val="24"/>
        </w:rPr>
        <w:t xml:space="preserve">gene, contributes to plant resistance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{"citationID":"wUuWyuB6","properties":{"formattedCitation":"(Lawton et al., 1996)","plainCitation":"(Lawton et al., 1996)","noteIndex":0},"citationItems":[{"id":368,"uris":["http://zotero.org/users/10895598/items/AI46DRKR"],"itemData":{"id":368,"type":"article-journal","container-title":"The Plant Journal","DOI":"10.1046/j.1365-313X.1996.10010071.x","ISSN":"0960-7412, 1365-313X","issue":"1","journalAbbreviation":"Plant J","language":"en","page":"71-82","source":"DOI.org (Crossref)","title":"Benzothiadiazole induces disease resistance in &lt;i&gt;Arabidopsis&lt;/i&gt; by activation of the systemic acquired resistance signal transduction pathway","volume":"10","author":[{"family":"Lawton","given":"Kay A."},{"family":"Friedrich","given":"Leslie"},{"family":"Hunt","given":"Michelle"},{"family":"Weymann","given":"Kris"},{"family":"Delaney","given":"Terrance"},{"family":"Kessmann","given":"Helmut"},{"family":"Staub","given":"Theodor"},{"family":"Ryals","given":"John"}],"issued":{"date-parts":[["1996",7]]}}}],"schema":"https://github.com/citation-style-language/schema/raw/master/csl-citation.json"} </w:instrText>
      </w:r>
      <w:r>
        <w:rPr>
          <w:rFonts w:ascii="Times New Roman" w:hAnsi="Times New Roman" w:cs="Times New Roman"/>
          <w:sz w:val="24"/>
          <w:szCs w:val="24"/>
        </w:rPr>
        <w:fldChar w:fldCharType="separate"/>
      </w:r>
      <w:r w:rsidRPr="00192FBE">
        <w:rPr>
          <w:rFonts w:ascii="Times New Roman" w:hAnsi="Times New Roman" w:cs="Times New Roman"/>
          <w:sz w:val="24"/>
        </w:rPr>
        <w:t>(Lawton et al., 1996)</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After spraying of </w:t>
      </w:r>
      <w:r w:rsidRPr="00226D22">
        <w:rPr>
          <w:rFonts w:ascii="Times New Roman" w:hAnsi="Times New Roman" w:cs="Times New Roman"/>
          <w:i/>
          <w:sz w:val="24"/>
          <w:szCs w:val="24"/>
        </w:rPr>
        <w:t xml:space="preserve">B. napus </w:t>
      </w:r>
      <w:r w:rsidRPr="00226D22">
        <w:rPr>
          <w:rFonts w:ascii="Times New Roman" w:hAnsi="Times New Roman" w:cs="Times New Roman"/>
          <w:sz w:val="24"/>
          <w:szCs w:val="24"/>
        </w:rPr>
        <w:t xml:space="preserve">with BTH, </w:t>
      </w:r>
      <w:r w:rsidRPr="00226D22">
        <w:rPr>
          <w:rFonts w:ascii="Times New Roman" w:hAnsi="Times New Roman" w:cs="Times New Roman"/>
          <w:i/>
          <w:sz w:val="24"/>
          <w:szCs w:val="24"/>
        </w:rPr>
        <w:t xml:space="preserve">PR1 </w:t>
      </w:r>
      <w:r w:rsidRPr="00226D22">
        <w:rPr>
          <w:rFonts w:ascii="Times New Roman" w:hAnsi="Times New Roman" w:cs="Times New Roman"/>
          <w:sz w:val="24"/>
          <w:szCs w:val="24"/>
        </w:rPr>
        <w:t xml:space="preserve">gene was highly elevated 24 h after treatment and plants were more resistant to a specialist </w:t>
      </w:r>
      <w:proofErr w:type="spellStart"/>
      <w:r w:rsidRPr="00226D22">
        <w:rPr>
          <w:rFonts w:ascii="Times New Roman" w:hAnsi="Times New Roman" w:cs="Times New Roman"/>
          <w:sz w:val="24"/>
          <w:szCs w:val="24"/>
        </w:rPr>
        <w:t>hemibiotroph</w:t>
      </w:r>
      <w:proofErr w:type="spellEnd"/>
      <w:r w:rsidRPr="00226D22">
        <w:rPr>
          <w:rFonts w:ascii="Times New Roman" w:hAnsi="Times New Roman" w:cs="Times New Roman"/>
          <w:sz w:val="24"/>
          <w:szCs w:val="24"/>
        </w:rPr>
        <w:t xml:space="preserve"> </w:t>
      </w:r>
      <w:r w:rsidRPr="00226D22">
        <w:rPr>
          <w:rFonts w:ascii="Times New Roman" w:hAnsi="Times New Roman" w:cs="Times New Roman"/>
          <w:i/>
          <w:color w:val="000000"/>
          <w:sz w:val="24"/>
          <w:szCs w:val="24"/>
        </w:rPr>
        <w:t xml:space="preserve">L. </w:t>
      </w:r>
      <w:proofErr w:type="spellStart"/>
      <w:r w:rsidRPr="00226D22">
        <w:rPr>
          <w:rFonts w:ascii="Times New Roman" w:hAnsi="Times New Roman" w:cs="Times New Roman"/>
          <w:i/>
          <w:color w:val="000000"/>
          <w:sz w:val="24"/>
          <w:szCs w:val="24"/>
        </w:rPr>
        <w:t>maculans</w:t>
      </w:r>
      <w:proofErr w:type="spellEnd"/>
      <w:r w:rsidRPr="00226D22">
        <w:rPr>
          <w:rFonts w:ascii="Times New Roman" w:hAnsi="Times New Roman" w:cs="Times New Roman"/>
          <w:sz w:val="24"/>
          <w:szCs w:val="24"/>
        </w:rPr>
        <w:t>,</w:t>
      </w:r>
      <w:r w:rsidRPr="00226D22">
        <w:rPr>
          <w:rFonts w:ascii="Times New Roman" w:hAnsi="Times New Roman" w:cs="Times New Roman"/>
          <w:i/>
          <w:sz w:val="24"/>
          <w:szCs w:val="24"/>
        </w:rPr>
        <w:t xml:space="preserve"> i.e.</w:t>
      </w:r>
      <w:r w:rsidRPr="00226D22">
        <w:rPr>
          <w:rFonts w:ascii="Times New Roman" w:hAnsi="Times New Roman" w:cs="Times New Roman"/>
          <w:sz w:val="24"/>
          <w:szCs w:val="24"/>
        </w:rPr>
        <w:t xml:space="preserve"> the lesions were significantly smaller compared to non-treated plants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{"citationID":"WKBKsceR","properties":{"formattedCitation":"(Kim et al., 2013; \\uc0\\u352{}a\\uc0\\u353{}ek et al., 2012b)","plainCitation":"(Kim et al., 2013; Šašek et al., 2012b)","noteIndex":0},"citationItems":[{"id":260,"uris":["http://zotero.org/users/10895598/items/3GZUQC8R"],"itemData":{"id":260,"type":"article-journal","container-title":"Journal of Agricultural and Food Chemistry","DOI":"10.1021/jf401221v","ISSN":"0021-8561, 1520-5118","issue":"22","journalAbbreviation":"J. Agric. Food Chem.","language":"en","page":"5207-5214","source":"DOI.org (Crossref)","title":"Cell wall components of &lt;i&gt;Leptosphaeria maculans&lt;/i&gt; enhance resistance of &lt;i&gt;Brassica napus&lt;/i&gt;","volume":"61","author":[{"family":"Kim","given":"Phuong Dinh"},{"family":"Šašek","given":"Vladimír"},{"family":"Burketová","given":"Lenka"},{"family":"Čopíková","given":"Jana"},{"family":"Synytsya","given":"Andriy"},{"family":"Jindřichová","given":"Barbora"},{"family":"Valentová","given":"Olga"}],"issued":{"date-parts":[["2013",6,5]]}}},{"id":411,"uris":["http://zotero.org/users/10895598/items/SABULKU5"],"itemData":{"id":411,"type":"article-journal","abstract":"Interaction of a plant with a fungal pathogen is an encounter with hundreds of molecules. In contrast to this, a single molecule often decides between the disease and resistance. In the present article, we describe the defense responses triggered by AvrLm1, an avirulence gene from a hemibiotrophic ascomycete, Leptosphaeria maculans, responsible for an incompatible interaction with Brassica napus. Using multiple hormone quantification and expression analysis of defense-related genes, we investigated signaling events in Rlm1 plants infected with two sister isolates of L. maculans differentiated by the presence or absence of AvrLm1. Infection with the isolate carrying AvrLm1 increased the biosynthesis of salicylic acid (SA) and induced expression of the SA-associated genes ICS1, WRKY70, and PR-1, a feature characteristic of responses to biotrophic pathogens and resistance gene–mediated resistance. In addition to SA-signaling elements, we also observed the induction of ASC2a, HEL, and CHI genes associated with ethylene (ET) signaling. Pharmacological experiments confirmed the positive roles of SA and ET in mediating resistance to L. maculans. The unusual cooperation of SA and ET signaling might be a response to the hemibiotrophic nature of L. maculans. Our results also demonstrate the profound difference between the natural host B. napus and the model plant Arabidopsis in their response to L. maculans infection.","container-title":"Molecular Plant-Microbe Interactions®","DOI":"10.1094/MPMI-02-12-0033-R","ISSN":"0894-0282, 1943-7706","issue":"9","journalAbbreviation":"MPMI","language":"en","page":"1238-1250","source":"DOI.org (Crossref)","title":"Recognition of avirulence gene &lt;i&gt;AvrLm1&lt;/i&gt; from hemibiotrophic ascomycete &lt;i&gt;Leptosphaeria maculans&lt;/i&gt; triggers salicylic acid and ethylene signaling in &lt;i&gt;Brassica napus&lt;/i&gt;","volume":"25","author":[{"family":"Šašek","given":"Vladimír"},{"family":"Nováková","given":"Miroslava"},{"family":"Jindřichová","given":"Barbora"},{"family":"Bóka","given":"Károly"},{"family":"Valentová","given":"Olga"},{"family":"Burketová","given":"Lenka"}],"issued":{"date-parts":[["2012",9]]}}}],"schema":"https://github.com/citation-style-language/schema/raw/master/csl-citation.json"} </w:instrText>
      </w:r>
      <w:r>
        <w:rPr>
          <w:rFonts w:ascii="Times New Roman" w:hAnsi="Times New Roman" w:cs="Times New Roman"/>
          <w:sz w:val="24"/>
          <w:szCs w:val="24"/>
        </w:rPr>
        <w:fldChar w:fldCharType="separate"/>
      </w:r>
      <w:r w:rsidRPr="002E4058">
        <w:rPr>
          <w:rFonts w:ascii="Times New Roman" w:hAnsi="Times New Roman" w:cs="Times New Roman"/>
          <w:sz w:val="24"/>
          <w:szCs w:val="24"/>
        </w:rPr>
        <w:t>(Kim et al., 2013; Šašek et al., 2012b)</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{"citationID":"RynismQD","properties":{"formattedCitation":"(Beckers et al., 2009)","plainCitation":"(Beckers et al., 2009)","dontUpdate":true,"noteIndex":0},"citationItems":[{"id":261,"uris":["http://zotero.org/users/10895598/items/3ZNVUTFI"],"itemData":{"id":261,"type":"article-journal","abstract":"Abstract\n            In plants and animals, induced resistance (IR) to biotic and abiotic stress is associated with priming of cells for faster and stronger activation of defense responses. It has been hypothesized that cell priming involves accumulation of latent signaling components that are not used until challenge exposure to stress. However, the identity of such signaling components has remained elusive. Here, we show that during development of chemically induced resistance in Arabidopsis thaliana, priming is associated with accumulation of mRNA and inactive proteins of mitogen-activated protein kinases (MPKs), MPK3 and MPK6. Upon challenge exposure to biotic or abiotic stress, these two enzymes were more strongly activated in primed plants than in nonprimed plants. This elevated activation was linked to enhanced defense gene expression and development of IR. Strong elicitation of stress-induced MPK3 and MPK6 activity is also seen in the constitutive priming mutant edr1, while activity was attenuated in the priming-deficient npr1 mutant. Moreover, priming of defense gene expression and IR were lost or reduced in mpk3 or mpk6 mutants. Our findings argue that prestress deposition of the signaling components MPK3 and MPK6 is a critical step in priming plants for full induction of defense responses during IR.","container-title":"The Plant Cell","DOI":"10.1105/tpc.108.062158","ISSN":"1532-298X, 1040-4651","issue":"3","language":"en","page":"944-953","source":"DOI.org (Crossref)","title":"Mitogen-activated protein kinases 3 and 6 are required for full priming of stress responses in &lt;i&gt;Arabidopsis thaliana&lt;/i&gt;","volume":"21","author":[{"family":"Beckers","given":"Gerold J.M."},{"family":"Jaskiewicz","given":"Michal"},{"family":"Liu","given":"Yidong"},{"family":"Underwood","given":"William R."},{"family":"He","given":"Sheng Yang"},{"family":"Zhang","given":"Shuqun"},{"family":"Conrath","given":"Uwe"}],"issued":{"date-parts":[["2009",4,28]]}}}],"schema":"https://github.com/citation-style-language/schema/raw/master/csl-citation.json"}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Beckers et al. (</w:t>
      </w:r>
      <w:r w:rsidRPr="00192FBE">
        <w:rPr>
          <w:rFonts w:ascii="Times New Roman" w:hAnsi="Times New Roman" w:cs="Times New Roman"/>
          <w:sz w:val="24"/>
        </w:rPr>
        <w:t>2009)</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226D22">
        <w:rPr>
          <w:rFonts w:ascii="Times New Roman" w:hAnsi="Times New Roman" w:cs="Times New Roman"/>
          <w:sz w:val="24"/>
          <w:szCs w:val="24"/>
        </w:rPr>
        <w:t>observed that MAPK 3 and 6 accumulate during SAR by BTH and remain dormant until the subsequent attack, when they get activated and then trigger the production of other defence compounds.</w:t>
      </w:r>
    </w:p>
    <w:p w14:paraId="11D2FB3D" w14:textId="77777777" w:rsidR="00D37309" w:rsidRPr="00226D22" w:rsidRDefault="00D37309" w:rsidP="00D37309">
      <w:pPr>
        <w:spacing w:after="0" w:line="360" w:lineRule="auto"/>
        <w:jc w:val="both"/>
        <w:rPr>
          <w:rFonts w:ascii="Times New Roman" w:hAnsi="Times New Roman" w:cs="Times New Roman"/>
          <w:sz w:val="24"/>
          <w:szCs w:val="24"/>
        </w:rPr>
      </w:pPr>
    </w:p>
    <w:p w14:paraId="57BC7D25" w14:textId="77777777" w:rsidR="005E3506" w:rsidRPr="00226D22" w:rsidRDefault="005E3506" w:rsidP="005E3506">
      <w:pPr>
        <w:pStyle w:val="Heading4"/>
      </w:pPr>
      <w:bookmarkStart w:id="18" w:name="_Toc167977592"/>
      <w:r w:rsidRPr="00226D22">
        <w:t>Plant association with beneficial organisms in the rhizosphere</w:t>
      </w:r>
      <w:bookmarkEnd w:id="18"/>
    </w:p>
    <w:p w14:paraId="7519C80F" w14:textId="77777777" w:rsidR="005E3506" w:rsidRPr="00226D22" w:rsidRDefault="005E3506" w:rsidP="005E3506">
      <w:pPr>
        <w:spacing w:after="0" w:line="360" w:lineRule="auto"/>
        <w:jc w:val="both"/>
        <w:rPr>
          <w:rFonts w:ascii="Times New Roman" w:hAnsi="Times New Roman" w:cs="Times New Roman"/>
          <w:sz w:val="24"/>
          <w:szCs w:val="24"/>
        </w:rPr>
      </w:pPr>
    </w:p>
    <w:p w14:paraId="791CDC8F" w14:textId="77777777" w:rsidR="005E3506" w:rsidRPr="00226D22" w:rsidRDefault="005E3506" w:rsidP="005E3506">
      <w:pPr>
        <w:spacing w:after="0" w:line="360" w:lineRule="auto"/>
        <w:ind w:firstLine="708"/>
        <w:jc w:val="both"/>
        <w:rPr>
          <w:rFonts w:ascii="Times New Roman" w:hAnsi="Times New Roman" w:cs="Times New Roman"/>
          <w:sz w:val="24"/>
          <w:szCs w:val="24"/>
        </w:rPr>
      </w:pPr>
      <w:r w:rsidRPr="00226D22">
        <w:rPr>
          <w:rFonts w:ascii="Times New Roman" w:hAnsi="Times New Roman" w:cs="Times New Roman"/>
          <w:sz w:val="24"/>
          <w:szCs w:val="24"/>
        </w:rPr>
        <w:lastRenderedPageBreak/>
        <w:t xml:space="preserve">To survive in a hostile world, plants evolved to form mutualistic relationships with various </w:t>
      </w:r>
      <w:r>
        <w:rPr>
          <w:rFonts w:ascii="Times New Roman" w:hAnsi="Times New Roman" w:cs="Times New Roman"/>
          <w:sz w:val="24"/>
          <w:szCs w:val="24"/>
        </w:rPr>
        <w:t>micro</w:t>
      </w:r>
      <w:r w:rsidRPr="00226D22">
        <w:rPr>
          <w:rFonts w:ascii="Times New Roman" w:hAnsi="Times New Roman" w:cs="Times New Roman"/>
          <w:sz w:val="24"/>
          <w:szCs w:val="24"/>
        </w:rPr>
        <w:t xml:space="preserve">organisms, from which they benefit in terms of growth and defence against non-beneficial organisms. Plant-beneficial microbes are in turn provided with shelter and nutrients. Beneficial microbes generally establish the relationship with their hosts as endophytes or endosymbionts, </w:t>
      </w:r>
      <w:r w:rsidRPr="00226D22">
        <w:rPr>
          <w:rFonts w:ascii="Times New Roman" w:hAnsi="Times New Roman" w:cs="Times New Roman"/>
          <w:i/>
          <w:sz w:val="24"/>
          <w:szCs w:val="24"/>
        </w:rPr>
        <w:t xml:space="preserve">i.e. </w:t>
      </w:r>
      <w:r w:rsidRPr="00226D22">
        <w:rPr>
          <w:rFonts w:ascii="Times New Roman" w:hAnsi="Times New Roman" w:cs="Times New Roman"/>
          <w:sz w:val="24"/>
          <w:szCs w:val="24"/>
        </w:rPr>
        <w:t xml:space="preserve">within the plant and not causing any visible symptoms of disease; however, they can also behave as </w:t>
      </w:r>
      <w:proofErr w:type="spellStart"/>
      <w:r w:rsidRPr="00226D22">
        <w:rPr>
          <w:rFonts w:ascii="Times New Roman" w:hAnsi="Times New Roman" w:cs="Times New Roman"/>
          <w:sz w:val="24"/>
          <w:szCs w:val="24"/>
        </w:rPr>
        <w:t>ectophytes</w:t>
      </w:r>
      <w:proofErr w:type="spellEnd"/>
      <w:r w:rsidRPr="00226D22">
        <w:rPr>
          <w:rFonts w:ascii="Times New Roman" w:hAnsi="Times New Roman" w:cs="Times New Roman"/>
          <w:sz w:val="24"/>
          <w:szCs w:val="24"/>
        </w:rPr>
        <w:t xml:space="preserve">, </w:t>
      </w:r>
      <w:r w:rsidRPr="00226D22">
        <w:rPr>
          <w:rFonts w:ascii="Times New Roman" w:hAnsi="Times New Roman" w:cs="Times New Roman"/>
          <w:i/>
          <w:sz w:val="24"/>
          <w:szCs w:val="24"/>
        </w:rPr>
        <w:t xml:space="preserve">i.e. </w:t>
      </w:r>
      <w:r w:rsidRPr="00226D22">
        <w:rPr>
          <w:rFonts w:ascii="Times New Roman" w:hAnsi="Times New Roman" w:cs="Times New Roman"/>
          <w:sz w:val="24"/>
          <w:szCs w:val="24"/>
        </w:rPr>
        <w:t>reside on the root surface.</w:t>
      </w:r>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For instance, plants from Fabaceae</w:t>
      </w:r>
      <w:r w:rsidRPr="00226D22">
        <w:rPr>
          <w:rFonts w:ascii="Times New Roman" w:hAnsi="Times New Roman" w:cs="Times New Roman"/>
          <w:i/>
          <w:sz w:val="24"/>
          <w:szCs w:val="24"/>
        </w:rPr>
        <w:t xml:space="preserve"> </w:t>
      </w:r>
      <w:r w:rsidRPr="00226D22">
        <w:rPr>
          <w:rFonts w:ascii="Times New Roman" w:hAnsi="Times New Roman" w:cs="Times New Roman"/>
          <w:sz w:val="24"/>
          <w:szCs w:val="24"/>
        </w:rPr>
        <w:t xml:space="preserve">family create symbiotic relationships with </w:t>
      </w:r>
      <w:r w:rsidRPr="00226D22">
        <w:rPr>
          <w:rFonts w:ascii="Times New Roman" w:hAnsi="Times New Roman" w:cs="Times New Roman"/>
          <w:i/>
          <w:sz w:val="24"/>
          <w:szCs w:val="24"/>
        </w:rPr>
        <w:t xml:space="preserve">Rhizobium </w:t>
      </w:r>
      <w:r w:rsidRPr="00226D22">
        <w:rPr>
          <w:rFonts w:ascii="Times New Roman" w:hAnsi="Times New Roman" w:cs="Times New Roman"/>
          <w:sz w:val="24"/>
          <w:szCs w:val="24"/>
        </w:rPr>
        <w:t xml:space="preserve">species, endosymbiotic bacteria residing in root nodules, </w:t>
      </w:r>
      <w:r>
        <w:rPr>
          <w:rFonts w:ascii="Times New Roman" w:hAnsi="Times New Roman" w:cs="Times New Roman"/>
          <w:sz w:val="24"/>
          <w:szCs w:val="24"/>
        </w:rPr>
        <w:t>which</w:t>
      </w:r>
      <w:r w:rsidRPr="00226D22">
        <w:rPr>
          <w:rFonts w:ascii="Times New Roman" w:hAnsi="Times New Roman" w:cs="Times New Roman"/>
          <w:sz w:val="24"/>
          <w:szCs w:val="24"/>
        </w:rPr>
        <w:t xml:space="preserve"> are able to convert atmospheric nitrogen to ammonia which plants can utilise, while they in turn get provided with photosynthates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{"citationID":"uUfa4Azu","properties":{"formattedCitation":"(Taylor et al., 2020)","plainCitation":"(Taylor et al., 2020)","noteIndex":0},"citationItems":[{"id":356,"uris":["http://zotero.org/users/10895598/items/A2BIHEIX"],"itemData":{"id":356,"type":"article-journal","abstract":"Studies of biodiversity and ecosystem function (BEF) have long focused on the role of nitrogen (N)-fixing legumes as a functional group that occupies a distinct and important niche relative to other plants. Because of their relationship with N-fixing rhizobial bacteria, these legumes access a different pool of N than other plants and therefore directly contribute to increases in productivity and N-cycling. Despite their recognized importance in the BEF literature, the field has not moved far beyond investigating the presence/absence of the legume functional group in species mixtures. Here, we synthesize existing information on how the diversity (species richness and functional diversity) of both legumes and the rhizobia that they host impact ecosystem functions, such as nitrogen fixation and primary productivity. We also discuss the often-overlooked reciprocal direction of the BEF relationship, whereby ecosystem function can influence legume and rhizobial diversity. We focus on BEF mechanisms of selection, complementarity, facilitation, competitive interference, and dilution effects to explain how diversity in the legume–rhizobia mutualism can have either positive or negative effects on ecosystem function—mechanisms that can operate at scales from rhizobial communities affecting individual legume functions to legume communities affecting landscape-scale ecosystem functions. To fully understand the relationship between biodiversity and ecosystem function, we must incorporate the full diversity of this mutualism and its reciprocal relationship with ecosystem function into our evolving BEF framework.","container-title":"Diversity","DOI":"10.3390/d12020050","ISSN":"1424-2818","issue":"2","journalAbbreviation":"Diversity","language":"en","page":"50","source":"DOI.org (Crossref)","title":"More than a functional group: diversity within the legume–Rhizobia mutualism and its relationship with ecosystem function","title-short":"More Than a Functional Group","volume":"12","author":[{"family":"Taylor","given":"Benton N."},{"family":"Simms","given":"Ellen L."},{"family":"Komatsu","given":"Kimberly J."}],"issued":{"date-parts":[["2020",1,28]]}}}],"schema":"https://github.com/citation-style-language/schema/raw/master/csl-citation.json"} </w:instrText>
      </w:r>
      <w:r>
        <w:rPr>
          <w:rFonts w:ascii="Times New Roman" w:hAnsi="Times New Roman" w:cs="Times New Roman"/>
          <w:sz w:val="24"/>
          <w:szCs w:val="24"/>
        </w:rPr>
        <w:fldChar w:fldCharType="separate"/>
      </w:r>
      <w:r w:rsidRPr="00192FBE">
        <w:rPr>
          <w:rFonts w:ascii="Times New Roman" w:hAnsi="Times New Roman" w:cs="Times New Roman"/>
          <w:sz w:val="24"/>
        </w:rPr>
        <w:t>(Taylor et al., 2020)</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226D22">
        <w:rPr>
          <w:rFonts w:ascii="Times New Roman" w:hAnsi="Times New Roman" w:cs="Times New Roman"/>
          <w:sz w:val="24"/>
          <w:szCs w:val="24"/>
        </w:rPr>
        <w:t xml:space="preserve">Furthermore, bacteria </w:t>
      </w:r>
      <w:r w:rsidRPr="00226D22">
        <w:rPr>
          <w:rFonts w:ascii="Times New Roman" w:hAnsi="Times New Roman" w:cs="Times New Roman"/>
          <w:i/>
          <w:sz w:val="24"/>
          <w:szCs w:val="24"/>
        </w:rPr>
        <w:t>Pseudomonas fluorescens</w:t>
      </w:r>
      <w:r w:rsidRPr="00226D22">
        <w:rPr>
          <w:rFonts w:ascii="Times New Roman" w:hAnsi="Times New Roman" w:cs="Times New Roman"/>
          <w:sz w:val="24"/>
          <w:szCs w:val="24"/>
        </w:rPr>
        <w:t xml:space="preserve"> and </w:t>
      </w:r>
      <w:r w:rsidRPr="00226D22">
        <w:rPr>
          <w:rFonts w:ascii="Times New Roman" w:hAnsi="Times New Roman" w:cs="Times New Roman"/>
          <w:i/>
          <w:sz w:val="24"/>
          <w:szCs w:val="24"/>
        </w:rPr>
        <w:t>P. putida</w:t>
      </w:r>
      <w:r w:rsidRPr="00226D22">
        <w:rPr>
          <w:rFonts w:ascii="Times New Roman" w:hAnsi="Times New Roman" w:cs="Times New Roman"/>
          <w:sz w:val="24"/>
          <w:szCs w:val="24"/>
        </w:rPr>
        <w:t xml:space="preserve"> were found to stimulate growth of </w:t>
      </w:r>
      <w:r w:rsidRPr="00226D22">
        <w:rPr>
          <w:rFonts w:ascii="Times New Roman" w:hAnsi="Times New Roman" w:cs="Times New Roman"/>
          <w:i/>
          <w:sz w:val="24"/>
          <w:szCs w:val="24"/>
        </w:rPr>
        <w:t>A. thaliana</w:t>
      </w:r>
      <w:r w:rsidRPr="00226D22">
        <w:rPr>
          <w:rFonts w:ascii="Times New Roman" w:hAnsi="Times New Roman" w:cs="Times New Roman"/>
          <w:sz w:val="24"/>
          <w:szCs w:val="24"/>
        </w:rPr>
        <w:t xml:space="preserve"> when interacting with roots, probably due to production of compounds with auxin-like activity, such as cyclodipeptides (CDPs;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{"citationID":"UOTuylUv","properties":{"formattedCitation":"(Ortiz-Castro et al., 2020)","plainCitation":"(Ortiz-Castro et al., 2020)","dontUpdate":true,"noteIndex":0},"citationItems":[{"id":358,"uris":["http://zotero.org/users/10895598/items/WHIKWSIZ"],"itemData":{"id":358,"type":"article-journal","container-title":"Journal of Plant Growth Regulation","DOI":"10.1007/s00344-019-09979-w","ISSN":"0721-7595, 1435-8107","issue":"1","journalAbbreviation":"J Plant Growth Regul","language":"en","page":"254-265","source":"DOI.org (Crossref)","title":"&lt;i&gt;Pseudomonas putida&lt;/i&gt; and &lt;i&gt;Pseudomonas fluorescens&lt;/i&gt; influence &lt;i&gt;Arabidopsis&lt;/i&gt; root system architecture through an auxin response mediated by bioactive cyclodipeptides","volume":"39","author":[{"family":"Ortiz-Castro","given":"Randy"},{"family":"Campos-García","given":"Jesús"},{"family":"López-Bucio","given":"José"}],"issued":{"date-parts":[["2020",3]]}}}],"schema":"https://github.com/citation-style-language/schema/raw/master/csl-citation.json"} </w:instrText>
      </w:r>
      <w:r>
        <w:rPr>
          <w:rFonts w:ascii="Times New Roman" w:hAnsi="Times New Roman" w:cs="Times New Roman"/>
          <w:sz w:val="24"/>
          <w:szCs w:val="24"/>
        </w:rPr>
        <w:fldChar w:fldCharType="separate"/>
      </w:r>
      <w:r w:rsidRPr="00192FBE">
        <w:rPr>
          <w:rFonts w:ascii="Times New Roman" w:hAnsi="Times New Roman" w:cs="Times New Roman"/>
          <w:sz w:val="24"/>
        </w:rPr>
        <w:t>Ortiz-Castro et al., 2020)</w:t>
      </w:r>
      <w:r>
        <w:rPr>
          <w:rFonts w:ascii="Times New Roman" w:hAnsi="Times New Roman" w:cs="Times New Roman"/>
          <w:sz w:val="24"/>
          <w:szCs w:val="24"/>
        </w:rPr>
        <w:fldChar w:fldCharType="end"/>
      </w:r>
      <w:r w:rsidRPr="00226D22">
        <w:rPr>
          <w:rFonts w:ascii="Times New Roman" w:hAnsi="Times New Roman" w:cs="Times New Roman"/>
          <w:sz w:val="24"/>
          <w:szCs w:val="24"/>
        </w:rPr>
        <w:t>.</w:t>
      </w:r>
    </w:p>
    <w:p w14:paraId="6346568E" w14:textId="77777777" w:rsidR="005E3506" w:rsidRPr="00226D22" w:rsidRDefault="005E3506" w:rsidP="005E3506">
      <w:pPr>
        <w:spacing w:after="0" w:line="360" w:lineRule="auto"/>
        <w:ind w:firstLine="708"/>
        <w:jc w:val="both"/>
        <w:rPr>
          <w:rFonts w:ascii="Times New Roman" w:hAnsi="Times New Roman" w:cs="Times New Roman"/>
          <w:sz w:val="24"/>
          <w:szCs w:val="24"/>
        </w:rPr>
      </w:pPr>
      <w:r w:rsidRPr="00226D22">
        <w:rPr>
          <w:rFonts w:ascii="Times New Roman" w:hAnsi="Times New Roman" w:cs="Times New Roman"/>
          <w:sz w:val="24"/>
          <w:szCs w:val="24"/>
        </w:rPr>
        <w:t xml:space="preserve">When a plant gets in contact with a mutualistic microbe, </w:t>
      </w:r>
      <w:r w:rsidRPr="00226D22">
        <w:rPr>
          <w:rFonts w:ascii="Times New Roman" w:hAnsi="Times New Roman" w:cs="Times New Roman"/>
          <w:i/>
          <w:sz w:val="24"/>
          <w:szCs w:val="24"/>
        </w:rPr>
        <w:t>e.g.</w:t>
      </w:r>
      <w:r w:rsidRPr="00226D22">
        <w:rPr>
          <w:rFonts w:ascii="Times New Roman" w:hAnsi="Times New Roman" w:cs="Times New Roman"/>
          <w:sz w:val="24"/>
          <w:szCs w:val="24"/>
        </w:rPr>
        <w:t xml:space="preserve"> nitrogen-fixing </w:t>
      </w:r>
      <w:proofErr w:type="spellStart"/>
      <w:r w:rsidRPr="00226D22">
        <w:rPr>
          <w:rFonts w:ascii="Times New Roman" w:hAnsi="Times New Roman" w:cs="Times New Roman"/>
          <w:sz w:val="24"/>
          <w:szCs w:val="24"/>
        </w:rPr>
        <w:t>rhizobial</w:t>
      </w:r>
      <w:proofErr w:type="spellEnd"/>
      <w:r w:rsidRPr="00226D22">
        <w:rPr>
          <w:rFonts w:ascii="Times New Roman" w:hAnsi="Times New Roman" w:cs="Times New Roman"/>
          <w:sz w:val="24"/>
          <w:szCs w:val="24"/>
        </w:rPr>
        <w:t xml:space="preserve"> bacteria, mycorrhizal fungus, or another root-associating microbe, its defence system might perceive it as a pathogenic association and therefore start the activation of defence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cascades. The initial stage of mutualistic colonisation is generally similar to infection by biotrophic pathogens and therefore activated defence responses are comparable between these two types of interactions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{"citationID":"T2xHqLiY","properties":{"formattedCitation":"(Nishad et al., 2020; Pieterse et al., 2012)","plainCitation":"(Nishad et al., 2020; Pieterse et al., 2012)","noteIndex":0},"citationItems":[{"id":414,"uris":["http://zotero.org/users/10895598/items/GDJNCGQ4"],"itemData":{"id":414,"type":"article-journal","container-title":"Frontiers in Microbiology","DOI":"10.3389/fmicb.2020.01298","ISSN":"1664-302X","journalAbbreviation":"Front. Microbiol.","page":"1298","source":"DOI.org (Crossref)","title":"Modulation of plant defense system in response to microbial interactions","volume":"11","author":[{"family":"Nishad","given":"Resna"},{"family":"Ahmed","given":"Talaat"},{"family":"Rahman","given":"Vattakandy Jasin"},{"family":"Kareem","given":"Abdul"}],"issued":{"date-parts":[["2020",7,3]]}}},{"id":226,"uris":["http://zotero.org/users/10895598/items/VCT53VQV"],"itemData":{"id":226,"type":"article-journal","abstract":"Plant hormones have pivotal roles in the regulation of plant growth, development, and reproduction. Additionally, they emerged as cellular signal molecules with key functions in the regulation of immune responses to microbial pathogens, insect herbivores, and beneficial microbes. Their signaling pathways are interconnected in a complex network, which provides plants with an enormous regulatory potential to rapidly adapt to their biotic environment and to utilize their limited resources for growth and survival in a cost-efficient manner. Plants activate their immune system to counteract attack by pathogens or herbivorous insects. Intriguingly, successful plant enemies evolved ingenious mechanisms to rewire the plant's hormone signaling circuitry to suppress or evade host immunity. Evidence is emerging that beneficial root-inhabiting microbes also hijack the hormone-regulated immune signaling network to establish a prolonged mutualistic association, highlighting the central role of plant hormones in the regulation of plant growth and survival.","container-title":"Annual Review of Cell and Developmental Biology","DOI":"10.1146/annurev-cellbio-092910-154055","ISSN":"1081-0706, 1530-8995","issue":"1","journalAbbreviation":"Annu. Rev. Cell Dev. Biol.","language":"en","page":"489-521","source":"DOI.org (Crossref)","title":"Hormonal modulation of plant immunity","volume":"28","author":[{"family":"Pieterse","given":"Corné M.J."},{"family":"Van der Does","given":"Dieuwertje"},{"family":"Zamioudis","given":"Christos"},{"family":"Leon-Reyes","given":"Antonio"},{"family":"Van Wees","given":"Saskia C.M."}],"issued":{"date-parts":[["2012",11,10]]}}}],"schema":"https://github.com/citation-style-language/schema/raw/master/csl-citation.json"} </w:instrText>
      </w:r>
      <w:r>
        <w:rPr>
          <w:rFonts w:ascii="Times New Roman" w:hAnsi="Times New Roman" w:cs="Times New Roman"/>
          <w:sz w:val="24"/>
          <w:szCs w:val="24"/>
        </w:rPr>
        <w:fldChar w:fldCharType="separate"/>
      </w:r>
      <w:r w:rsidRPr="00192FBE">
        <w:rPr>
          <w:rFonts w:ascii="Times New Roman" w:hAnsi="Times New Roman" w:cs="Times New Roman"/>
          <w:sz w:val="24"/>
        </w:rPr>
        <w:t>(Nishad et al., 2020; Pieterse et al., 2012)</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226D22">
        <w:rPr>
          <w:rFonts w:ascii="Times New Roman" w:hAnsi="Times New Roman" w:cs="Times New Roman"/>
          <w:sz w:val="24"/>
          <w:szCs w:val="24"/>
        </w:rPr>
        <w:t xml:space="preserve">Similarly to pathogens, plant-symbiotic organisms evolved an effector system which helps them overcome plant-activated reactions and establish a successful interaction with their host. Some effectors have been described and characterised, such as ectomycorrhizal secreted protein 7 (SP7) and arbuscular mycorrhiza-induced small secreted protein 7 (MiSSP7;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{"citationID":"hOVprlDG","properties":{"formattedCitation":"(Yamazaki and Hayashi, 2015)","plainCitation":"(Yamazaki and Hayashi, 2015)","dontUpdate":true,"noteIndex":0},"citationItems":[{"id":327,"uris":["http://zotero.org/users/10895598/items/VLHXF298"],"itemData":{"id":327,"type":"article-journal","container-title":"Current Opinion in Plant Biology","DOI":"10.1016/j.pbi.2014.12.003","ISSN":"13695266","journalAbbreviation":"Current Opinion in Plant Biology","language":"en","page":"132-139","source":"DOI.org (Crossref)","title":"Building the interaction interfaces: host responses upon infection with microorganisms","title-short":"Building the interaction interfaces","volume":"23","author":[{"family":"Yamazaki","given":"Akihiro"},{"family":"Hayashi","given":"Makoto"}],"issued":{"date-parts":[["2015",2]]}}}],"schema":"https://github.com/citation-style-language/schema/raw/master/csl-citation.json"} </w:instrText>
      </w:r>
      <w:r>
        <w:rPr>
          <w:rFonts w:ascii="Times New Roman" w:hAnsi="Times New Roman" w:cs="Times New Roman"/>
          <w:sz w:val="24"/>
          <w:szCs w:val="24"/>
        </w:rPr>
        <w:fldChar w:fldCharType="separate"/>
      </w:r>
      <w:r w:rsidRPr="00192FBE">
        <w:rPr>
          <w:rFonts w:ascii="Times New Roman" w:hAnsi="Times New Roman" w:cs="Times New Roman"/>
          <w:sz w:val="24"/>
        </w:rPr>
        <w:t>Yamazaki and Hayashi, 2015)</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SP7 is known to suppress ET-mediated defence responses, whereas MiSSP7 promotes the expression of auxin-related genes and therefore controls the plant growth (Pieterse et al., 2012). Moreover, arbuscular mycorrhizal fungi generally suppress SA-mediated responses and activate JA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which plays an important role in mycorrhiza-plant association (Nishad et al., 2020)</w:t>
      </w:r>
      <w:r>
        <w:rPr>
          <w:rFonts w:ascii="Times New Roman" w:hAnsi="Times New Roman" w:cs="Times New Roman"/>
          <w:sz w:val="24"/>
          <w:szCs w:val="24"/>
        </w:rPr>
        <w:t>. T</w:t>
      </w:r>
      <w:r w:rsidRPr="00226D22">
        <w:rPr>
          <w:rFonts w:ascii="Times New Roman" w:hAnsi="Times New Roman" w:cs="Times New Roman"/>
          <w:sz w:val="24"/>
          <w:szCs w:val="24"/>
        </w:rPr>
        <w:t xml:space="preserve">his change in phytohormonal </w:t>
      </w:r>
      <w:proofErr w:type="spellStart"/>
      <w:r w:rsidRPr="00226D22">
        <w:rPr>
          <w:rFonts w:ascii="Times New Roman" w:hAnsi="Times New Roman" w:cs="Times New Roman"/>
          <w:sz w:val="24"/>
          <w:szCs w:val="24"/>
        </w:rPr>
        <w:t>signaling</w:t>
      </w:r>
      <w:proofErr w:type="spellEnd"/>
      <w:r w:rsidRPr="00226D22">
        <w:rPr>
          <w:rFonts w:ascii="Times New Roman" w:hAnsi="Times New Roman" w:cs="Times New Roman"/>
          <w:sz w:val="24"/>
          <w:szCs w:val="24"/>
        </w:rPr>
        <w:t xml:space="preserve"> renders plants more resistant towards necrotrophic pathogens and chewing insect herbivores. Apart from mycorrhiza, a lot of attention has been devoted to studies of other beneficial plant-associated microorganisms, such as entomopathogenic fungi.</w:t>
      </w:r>
    </w:p>
    <w:p w14:paraId="1C736220" w14:textId="77777777" w:rsidR="005E3506" w:rsidRPr="00226D22" w:rsidRDefault="005E3506" w:rsidP="005E3506">
      <w:pPr>
        <w:spacing w:after="0" w:line="360" w:lineRule="auto"/>
        <w:jc w:val="both"/>
        <w:rPr>
          <w:rFonts w:ascii="Times New Roman" w:hAnsi="Times New Roman" w:cs="Times New Roman"/>
          <w:sz w:val="24"/>
          <w:szCs w:val="24"/>
        </w:rPr>
      </w:pPr>
    </w:p>
    <w:p w14:paraId="7F60B568" w14:textId="77777777" w:rsidR="005E3506" w:rsidRPr="00226D22" w:rsidRDefault="005E3506" w:rsidP="005E3506">
      <w:pPr>
        <w:pStyle w:val="Heading4"/>
      </w:pPr>
      <w:bookmarkStart w:id="19" w:name="_Toc167977593"/>
      <w:r w:rsidRPr="00226D22">
        <w:lastRenderedPageBreak/>
        <w:t>Plant-associated entomopathogenic fungi</w:t>
      </w:r>
      <w:bookmarkEnd w:id="19"/>
    </w:p>
    <w:p w14:paraId="3C1C4DB1" w14:textId="77777777" w:rsidR="005E3506" w:rsidRPr="00226D22" w:rsidRDefault="005E3506" w:rsidP="005E3506">
      <w:pPr>
        <w:spacing w:after="0" w:line="360" w:lineRule="auto"/>
        <w:rPr>
          <w:rFonts w:ascii="Times New Roman" w:hAnsi="Times New Roman" w:cs="Times New Roman"/>
          <w:sz w:val="24"/>
          <w:szCs w:val="24"/>
        </w:rPr>
      </w:pPr>
    </w:p>
    <w:p w14:paraId="24DD6355" w14:textId="77777777" w:rsidR="005E3506" w:rsidRPr="00226D22" w:rsidRDefault="005E3506" w:rsidP="005E3506">
      <w:pPr>
        <w:spacing w:after="0" w:line="360" w:lineRule="auto"/>
        <w:ind w:firstLine="708"/>
        <w:jc w:val="both"/>
        <w:rPr>
          <w:rFonts w:ascii="Times New Roman" w:hAnsi="Times New Roman" w:cs="Times New Roman"/>
          <w:color w:val="000000"/>
          <w:sz w:val="24"/>
          <w:szCs w:val="24"/>
          <w:highlight w:val="white"/>
        </w:rPr>
      </w:pPr>
      <w:r w:rsidRPr="00226D22">
        <w:rPr>
          <w:rFonts w:ascii="Times New Roman" w:hAnsi="Times New Roman" w:cs="Times New Roman"/>
          <w:color w:val="000000"/>
          <w:sz w:val="24"/>
          <w:szCs w:val="24"/>
        </w:rPr>
        <w:t xml:space="preserve">Entomopathogenic </w:t>
      </w:r>
      <w:r w:rsidRPr="00226D22">
        <w:rPr>
          <w:rFonts w:ascii="Times New Roman" w:hAnsi="Times New Roman" w:cs="Times New Roman"/>
          <w:color w:val="000000"/>
          <w:sz w:val="24"/>
          <w:szCs w:val="24"/>
          <w:highlight w:val="white"/>
        </w:rPr>
        <w:t>or insect-pathogenic fungi are generally studied as insect pathogens, as they can infect insects and possibly kill them. Due to their ability to penetrate insect exoskeleton and infect them (</w:t>
      </w:r>
      <w:r w:rsidRPr="00226D22">
        <w:rPr>
          <w:rFonts w:ascii="Times New Roman" w:hAnsi="Times New Roman" w:cs="Times New Roman"/>
          <w:i/>
          <w:color w:val="000000"/>
          <w:sz w:val="24"/>
          <w:szCs w:val="24"/>
          <w:highlight w:val="white"/>
        </w:rPr>
        <w:t xml:space="preserve">e.g. </w:t>
      </w:r>
      <w:r w:rsidRPr="00226D22">
        <w:rPr>
          <w:rFonts w:ascii="Times New Roman" w:hAnsi="Times New Roman" w:cs="Times New Roman"/>
          <w:color w:val="000000"/>
          <w:sz w:val="24"/>
          <w:szCs w:val="24"/>
          <w:highlight w:val="white"/>
        </w:rPr>
        <w:t xml:space="preserve">caterpillars, aphids, thrips), insect-pathogenic fungi are used as an alternative to chemical insecticides; additionally, these fungi are usually host-specific and do not represent a risk for plant-beneficial organisms </w:t>
      </w:r>
      <w:r>
        <w:rPr>
          <w:rFonts w:ascii="Times New Roman" w:hAnsi="Times New Roman" w:cs="Times New Roman"/>
          <w:color w:val="000000"/>
          <w:sz w:val="24"/>
          <w:szCs w:val="24"/>
          <w:highlight w:val="white"/>
        </w:rPr>
        <w:fldChar w:fldCharType="begin"/>
      </w:r>
      <w:r>
        <w:rPr>
          <w:rFonts w:ascii="Times New Roman" w:hAnsi="Times New Roman" w:cs="Times New Roman"/>
          <w:color w:val="000000"/>
          <w:sz w:val="24"/>
          <w:szCs w:val="24"/>
          <w:highlight w:val="white"/>
        </w:rPr>
        <w:instrText xml:space="preserve"> ADDIN ZOTERO_ITEM CSL_CITATION {"citationID":"LiFpEIbL","properties":{"formattedCitation":"(Bamisile et al., 2018; Vega et al., 2012)","plainCitation":"(Bamisile et al., 2018; Vega et al., 2012)","noteIndex":0},"citationItems":[{"id":196,"uris":["http://zotero.org/users/10895598/items/BYL8L4BB"],"itemData":{"id":196,"type":"article-journal","container-title":"Microbiological Research","DOI":"10.1016/j.micres.2018.08.016","ISSN":"09445013","journalAbbreviation":"Microbiological Research","language":"en","page":"34-50","source":"DOI.org (Crossref)","title":"Prospects of endophytic fungal entomopathogens as biocontrol and plant growth promoting agents: An insight on how artificial inoculation methods affect endophytic colonization of host plants","title-short":"Prospects of endophytic fungal entomopathogens as biocontrol and plant growth promoting agents","volume":"217","author":[{"family":"Bamisile","given":"Bamisope Steve"},{"family":"Dash","given":"Chandra Kanta"},{"family":"Akutse","given":"Komivi Senyo"},{"family":"Keppanan","given":"Ravindran"},{"family":"Afolabi","given":"Oluwatoyin Grace"},{"family":"Hussain","given":"Mubasher"},{"family":"Qasim","given":"Muhammad"},{"family":"Wang","given":"Liande"}],"issued":{"date-parts":[["2018",12]]}}},{"id":329,"uris":["http://zotero.org/users/10895598/items/8TZEUHJD"],"itemData":{"id":329,"type":"chapter","container-title":"Insect Pathology","ISBN":"978-0-12-384984-7","language":"en","note":"DOI: 10.1016/B978-0-12-384984-7.00006-3","page":"171-220","publisher":"Elsevier","source":"DOI.org (Crossref)","title":"Fungal entomopathogens","URL":"https://linkinghub.elsevier.com/retrieve/pii/B9780123849847000063","author":[{"family":"Vega","given":"Fernando E."},{"family":"Meyling","given":"Nicolai V."},{"family":"Luangsa-ard","given":"Janet Jennifer"},{"family":"Blackwell","given":"Meredith"}],"accessed":{"date-parts":[["2022",6,5]]},"issued":{"date-parts":[["2012"]]}}}],"schema":"https://github.com/citation-style-language/schema/raw/master/csl-citation.json"} </w:instrText>
      </w:r>
      <w:r>
        <w:rPr>
          <w:rFonts w:ascii="Times New Roman" w:hAnsi="Times New Roman" w:cs="Times New Roman"/>
          <w:color w:val="000000"/>
          <w:sz w:val="24"/>
          <w:szCs w:val="24"/>
          <w:highlight w:val="white"/>
        </w:rPr>
        <w:fldChar w:fldCharType="separate"/>
      </w:r>
      <w:r w:rsidRPr="00AD028E">
        <w:rPr>
          <w:rFonts w:ascii="Times New Roman" w:hAnsi="Times New Roman" w:cs="Times New Roman"/>
          <w:sz w:val="24"/>
          <w:highlight w:val="white"/>
        </w:rPr>
        <w:t>(Bamisile et al., 2018; Vega et al., 2012)</w:t>
      </w:r>
      <w:r>
        <w:rPr>
          <w:rFonts w:ascii="Times New Roman" w:hAnsi="Times New Roman" w:cs="Times New Roman"/>
          <w:color w:val="000000"/>
          <w:sz w:val="24"/>
          <w:szCs w:val="24"/>
          <w:highlight w:val="white"/>
        </w:rPr>
        <w:fldChar w:fldCharType="end"/>
      </w:r>
      <w:r w:rsidRPr="00226D22">
        <w:rPr>
          <w:rFonts w:ascii="Times New Roman" w:hAnsi="Times New Roman" w:cs="Times New Roman"/>
          <w:color w:val="000000"/>
          <w:sz w:val="24"/>
          <w:szCs w:val="24"/>
          <w:highlight w:val="white"/>
        </w:rPr>
        <w:t>. Recent advance in research of these microorganisms has uncovered their additional role as non-pathogenic plant-associated microbes. Insect-pathogenic fungi can establish a symbiotic relationship with its host plant: after infecting and killing insects in the soil, they provide the plant with insect-derived nitrogen via fungal mycelia, while plants in turn provide fungi with photosynthates</w:t>
      </w:r>
      <w:r>
        <w:rPr>
          <w:rFonts w:ascii="Times New Roman" w:hAnsi="Times New Roman" w:cs="Times New Roman"/>
          <w:color w:val="000000"/>
          <w:sz w:val="24"/>
          <w:szCs w:val="24"/>
          <w:highlight w:val="white"/>
        </w:rPr>
        <w:t xml:space="preserve"> </w:t>
      </w:r>
      <w:r>
        <w:rPr>
          <w:rFonts w:ascii="Times New Roman" w:hAnsi="Times New Roman" w:cs="Times New Roman"/>
          <w:color w:val="000000"/>
          <w:sz w:val="24"/>
          <w:szCs w:val="24"/>
          <w:highlight w:val="white"/>
        </w:rPr>
        <w:fldChar w:fldCharType="begin"/>
      </w:r>
      <w:r>
        <w:rPr>
          <w:rFonts w:ascii="Times New Roman" w:hAnsi="Times New Roman" w:cs="Times New Roman"/>
          <w:color w:val="000000"/>
          <w:sz w:val="24"/>
          <w:szCs w:val="24"/>
          <w:highlight w:val="white"/>
        </w:rPr>
        <w:instrText xml:space="preserve"> ADDIN ZOTERO_ITEM CSL_CITATION {"citationID":"1DuLoEDc","properties":{"formattedCitation":"(Behie et al., 2017, 2012)","plainCitation":"(Behie et al., 2017, 2012)","noteIndex":0},"citationItems":[{"id":722,"uris":["http://zotero.org/users/10895598/items/UGULC94Y"],"itemData":{"id":722,"type":"article-journal","abstract":"Abstract\n            \n              Metarhizium robertsii\n              is a common soil fungus that occupies a specialized ecological niche as an endophyte and an insect pathogen. Previously, we showed that the endophytic capability and insect pathogenicity of\n              Metarhizium\n              are coupled to provide an active method of insect-derived nitrogen transfer to a host plant via fungal mycelia. We speculated that in exchange for this insect-derived nitrogen, the plant would provide photosynthate to the fungus. By using\n              13\n              CO\n              2\n              , we show the incorporation of\n              13\n              C into photosynthate and the subsequent translocation of\n              13\n              C into fungal-specific carbohydrates (trehalose and chitin) in the root/endophyte complex. We determined the amount of\n              13\n              C present in root-associated fungal biomass over a 21-day period by extracting fungal carbohydrates and analysing their composition using nuclear magnetic resonance (NMR) spectroscopy. These findings are evidence that the host plant is providing photosynthate to the fungus, likely in exchange for insect-derived nitrogen in a tripartite, and symbiotic, interaction.","container-title":"Nature Communications","DOI":"10.1038/ncomms14245","ISSN":"2041-1723","issue":"1","journalAbbreviation":"Nat Commun","language":"en","page":"14245","source":"DOI.org (Crossref)","title":"Carbon translocation from a plant to an insect-pathogenic endophytic fungus","volume":"8","author":[{"family":"Behie","given":"Scott W."},{"family":"Moreira","given":"Camila C."},{"family":"Sementchoukova","given":"Irina"},{"family":"Barelli","given":"Larissa"},{"family":"Zelisko","given":"Paul M."},{"family":"Bidochka","given":"Michael J."}],"issued":{"date-parts":[["2017",1,18]]}},"label":"page"},{"id":721,"uris":["http://zotero.org/users/10895598/items/EE8S5Q8E"],"itemData":{"id":721,"type":"article-journal","abstract":"Plants That Eat Animals\n            \n              Apart from some spectacular exceptions, such as pitcher plants and Venus fly traps, most plants are thought to acquire nitrogen passively from microbial decomposition and the activities of nitrogen-fixing bacteria.\n              Metarhizium\n              species are common endophytes—fungi that live within plant tissues without causing disease. This genus is also found ubiquitously in soil, where they parasitize insects. In a series of microcosm experiments,\n              \n                Behie\n                et al.\n              \n              (p.\n              1576\n              ) investigated whether these fungi could couple their endophytic life-styles with their parasitic modes and be a conduit by which plants could obtain nitrogen from animals. Radio-labeled moth larvae were added to the microcosms in which bean and grass plants were grown, and when the larvae were inoculated with fungi, it was only a matter of days before the nitrogen label was detected in the plants.\n            \n          , \n            A fungal plant symbiont also consumes insects in surrounding soil and transfers animal nitrogen to the plant’s roots.\n          , \n            \n              Most plants obtain nitrogen through nitrogen-fixing bacteria and microbial decomposition of plant and animal material. Many vascular plants are able to form close symbiotic associations with endophytic fungi.\n              Metarhizium\n              is a common plant endophyte found in a large number of ecosystems. This abundant soil fungus is also a pathogen to a large number of insects, which are a source of nitrogen. It is possible that the endophytic capability and insect pathogenicity of\n              Metarhizium\n              are coupled to provide an active method of nitrogen transfer to plant hosts via fungal mycelia. We used soil microcosms to test the ability of\n              M. robertsii\n              to translocate insect-derived nitrogen to plants. Insects were injected with\n              15\n              N-labeled nitrogen, and we tracked the incorporation of\n              15\n              N into amino acids in two plant species, haricot bean (\n              Phaseolus vulgaris\n              ) and switchgrass (\n              Panicum virgatum\n              ), in the presence of\n              M. robertsii\n              . These findings are evidence that active nitrogen acquisition by plants in this tripartite interaction may play a larger role in soil nitrogen cycling than previously thought.","container-title":"Science","DOI":"10.1126/science.1222289","ISSN":"0036-8075, 1095-9203","issue":"6088","journalAbbreviation":"Science","language":"en","page":"1576-1577","source":"DOI.org (Crossref)","title":"Endophytic insect-parasitic fungi translocate nitrogen directly from insects to plants","volume":"336","author":[{"family":"Behie","given":"S. W."},{"family":"Zelisko","given":"P. M."},{"family":"Bidochka","given":"M. J."}],"issued":{"date-parts":[["2012",6,22]]}},"label":"page"}],"schema":"https://github.com/citation-style-language/schema/raw/master/csl-citation.json"} </w:instrText>
      </w:r>
      <w:r>
        <w:rPr>
          <w:rFonts w:ascii="Times New Roman" w:hAnsi="Times New Roman" w:cs="Times New Roman"/>
          <w:color w:val="000000"/>
          <w:sz w:val="24"/>
          <w:szCs w:val="24"/>
          <w:highlight w:val="white"/>
        </w:rPr>
        <w:fldChar w:fldCharType="separate"/>
      </w:r>
      <w:r w:rsidRPr="00BA2BAD">
        <w:rPr>
          <w:rFonts w:ascii="Times New Roman" w:hAnsi="Times New Roman" w:cs="Times New Roman"/>
          <w:sz w:val="24"/>
          <w:highlight w:val="white"/>
        </w:rPr>
        <w:t>(Behie et al., 2017, 2012)</w:t>
      </w:r>
      <w:r>
        <w:rPr>
          <w:rFonts w:ascii="Times New Roman" w:hAnsi="Times New Roman" w:cs="Times New Roman"/>
          <w:color w:val="000000"/>
          <w:sz w:val="24"/>
          <w:szCs w:val="24"/>
          <w:highlight w:val="white"/>
        </w:rPr>
        <w:fldChar w:fldCharType="end"/>
      </w:r>
      <w:r w:rsidRPr="00226D22">
        <w:rPr>
          <w:rFonts w:ascii="Times New Roman" w:hAnsi="Times New Roman" w:cs="Times New Roman"/>
          <w:color w:val="000000"/>
          <w:sz w:val="24"/>
          <w:szCs w:val="24"/>
          <w:highlight w:val="white"/>
        </w:rPr>
        <w:t xml:space="preserve">. This symbiosis can lead to increased plant growth and boosting of plant defence mechanisms. A large number of entomopathogenic fungal species have been confirmed to act as endophytes: firstly, they have been isolated from various plant species as natural endophytes and secondly, they have been inoculated artificially and hence established their endophytic activity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{"citationID":"5ysi1y5W","properties":{"formattedCitation":"(Vega, 2008)","plainCitation":"(Vega, 2008)","noteIndex":0},"citationItems":[{"id":330,"uris":["http://zotero.org/users/10895598/items/VI832IM8"],"itemData":{"id":330,"type":"article-journal","container-title":"Journal of Invertebrate Pathology","DOI":"10.1016/j.jip.2008.01.008","ISSN":"00222011","issue":"3","journalAbbreviation":"Journal of Invertebrate Pathology","language":"en","page":"277-279","source":"DOI.org (Crossref)","title":"Insect pathology and fungal endophytes","volume":"98","author":[{"family":"Vega","given":"Fernando E."}],"issued":{"date-parts":[["2008",7]]}}}],"schema":"https://github.com/citation-style-language/schema/raw/master/csl-citation.json"} </w:instrText>
      </w:r>
      <w:r>
        <w:rPr>
          <w:rFonts w:ascii="Times New Roman" w:hAnsi="Times New Roman" w:cs="Times New Roman"/>
          <w:sz w:val="24"/>
          <w:szCs w:val="24"/>
        </w:rPr>
        <w:fldChar w:fldCharType="separate"/>
      </w:r>
      <w:r w:rsidRPr="00AD028E">
        <w:rPr>
          <w:rFonts w:ascii="Times New Roman" w:hAnsi="Times New Roman" w:cs="Times New Roman"/>
          <w:sz w:val="24"/>
        </w:rPr>
        <w:t>(Vega, 2008)</w:t>
      </w:r>
      <w:r>
        <w:rPr>
          <w:rFonts w:ascii="Times New Roman" w:hAnsi="Times New Roman" w:cs="Times New Roman"/>
          <w:sz w:val="24"/>
          <w:szCs w:val="24"/>
        </w:rPr>
        <w:fldChar w:fldCharType="end"/>
      </w:r>
      <w:r w:rsidRPr="00226D22">
        <w:rPr>
          <w:rFonts w:ascii="Times New Roman" w:hAnsi="Times New Roman" w:cs="Times New Roman"/>
          <w:color w:val="000000"/>
          <w:sz w:val="24"/>
          <w:szCs w:val="24"/>
          <w:highlight w:val="white"/>
        </w:rPr>
        <w:t xml:space="preserve">. Many insect-pathogenic fungi rendered plants more resistant towards different insect herbivores when associating as endophytes </w:t>
      </w:r>
      <w:r>
        <w:rPr>
          <w:rFonts w:ascii="Times New Roman" w:hAnsi="Times New Roman" w:cs="Times New Roman"/>
          <w:sz w:val="24"/>
          <w:szCs w:val="24"/>
          <w:highlight w:val="white"/>
        </w:rPr>
        <w:fldChar w:fldCharType="begin"/>
      </w:r>
      <w:r>
        <w:rPr>
          <w:rFonts w:ascii="Times New Roman" w:hAnsi="Times New Roman" w:cs="Times New Roman"/>
          <w:sz w:val="24"/>
          <w:szCs w:val="24"/>
          <w:highlight w:val="white"/>
        </w:rPr>
        <w:instrText xml:space="preserve"> ADDIN ZOTERO_ITEM CSL_CITATION {"citationID":"tbp4VjLk","properties":{"formattedCitation":"(Gange et al., 2019)","plainCitation":"(Gange et al., 2019)","noteIndex":0},"citationItems":[{"id":142,"uris":["http://zotero.org/users/10895598/items/A2FI8DL9"],"itemData":{"id":142,"type":"article-journal","container-title":"New Phytologist","DOI":"10.1111/nph.15859","ISSN":"0028-646X, 1469-8137","issue":"4","journalAbbreviation":"New Phytol","language":"en","page":"2002-2010","source":"DOI.org (Crossref)","title":"Meta‐analysis of the role of entomopathogenic and unspecialized fungal endophytes as plant bodyguards","volume":"223","author":[{"family":"Gange","given":"Alan C."},{"family":"Koricheva","given":"Julia"},{"family":"Currie","given":"Amanda F."},{"family":"Jaber","given":"Lara R."},{"family":"Vidal","given":"Stefan"}],"issued":{"date-parts":[["2019",9]]}}}],"schema":"https://github.com/citation-style-language/schema/raw/master/csl-citation.json"} </w:instrText>
      </w:r>
      <w:r>
        <w:rPr>
          <w:rFonts w:ascii="Times New Roman" w:hAnsi="Times New Roman" w:cs="Times New Roman"/>
          <w:sz w:val="24"/>
          <w:szCs w:val="24"/>
          <w:highlight w:val="white"/>
        </w:rPr>
        <w:fldChar w:fldCharType="separate"/>
      </w:r>
      <w:r w:rsidRPr="00AD028E">
        <w:rPr>
          <w:rFonts w:ascii="Times New Roman" w:hAnsi="Times New Roman" w:cs="Times New Roman"/>
          <w:sz w:val="24"/>
          <w:highlight w:val="white"/>
        </w:rPr>
        <w:t>(Gange et al., 2019)</w:t>
      </w:r>
      <w:r>
        <w:rPr>
          <w:rFonts w:ascii="Times New Roman" w:hAnsi="Times New Roman" w:cs="Times New Roman"/>
          <w:sz w:val="24"/>
          <w:szCs w:val="24"/>
          <w:highlight w:val="white"/>
        </w:rPr>
        <w:fldChar w:fldCharType="end"/>
      </w:r>
      <w:r w:rsidRPr="00226D22">
        <w:rPr>
          <w:rFonts w:ascii="Times New Roman" w:hAnsi="Times New Roman" w:cs="Times New Roman"/>
          <w:color w:val="000000"/>
          <w:sz w:val="24"/>
          <w:szCs w:val="24"/>
          <w:highlight w:val="white"/>
        </w:rPr>
        <w:t xml:space="preserve">. Entomopathogenic fungi are dominated by the order Hypocreales, phylum Ascomycota, and show a wide diversity in plant hosts and host tissue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{"citationID":"ELJ2uyab","properties":{"formattedCitation":"(Vega, 2018)","plainCitation":"(Vega, 2018)","noteIndex":0},"citationItems":[{"id":331,"uris":["http://zotero.org/users/10895598/items/GNKFMQ8X"],"itemData":{"id":331,"type":"article-journal","abstract":"Fungal entomopathogens have been proposed as environmentally friendly alternatives to chemical control. Unfortunately, their effectiveness continues to be limited by their susceptibility to ultraviolet (UV) light and low moisture. A relatively recent development, the use of fungal entomopathogens\n as endophytes, might overcome the traditional obstacles impeding the widespread adoption of fungal entomopathogens and also provide a novel alternative for management of insect pests and plant pathogens. In addition, some fungal entomopathogens could also function as biofertilizers. Eighty-five\n papers covering 109 individual fungal entomopathogen studies involving 12 species in six genera are reviewed. Thirty-eight plant species in 19 families were studied, with maize, common bean, and tomato being the most investigated. Of the 85 papers, 39 (46%) examined the effects of fungal entomopathogen\n endophytism on 33 insect species in 17 families and eight orders. Thirty-four (40%) examined plant response to endophytism, corresponding to 20 plant species. Various inoculation techniques (e.g., foliar sprays, soil drenching, seed soaking, injections, etc.) are effective in introducing fungal\n entomopathogens as endophytes, but colonization appears to be localized and ephemeral. The field of insect pathology will not substantially profit from dozens of additional studies attempting to introduce fungal entomopathogens into a wider array of plants, without attempting to understand\n the mechanisms underlying endophytism, the responses of the plant to such endophytism, and the consequent responses of insect pests and plant pathogens. This review presents several areas that should receive focused attention to increase the probability of success for making this technology\n an effective alternative to chemical control.","container-title":"Mycologia","DOI":"10.1080/00275514.2017.1418578","ISSN":"0027-5514","issue":"1","journalAbbreviation":"Mycologia","language":"en","page":"4-30","source":"DOI.org (Crossref)","title":"The use of fungal entomopathogens as endophytes in biological control: a review","title-short":"The use of fungal entomopathogens as endophytes in biological control","volume":"110","author":[{"literal":"Vega"}],"issued":{"date-parts":[["2018",1,2]]}}}],"schema":"https://github.com/citation-style-language/schema/raw/master/csl-citation.json"} </w:instrText>
      </w:r>
      <w:r>
        <w:rPr>
          <w:rFonts w:ascii="Times New Roman" w:hAnsi="Times New Roman" w:cs="Times New Roman"/>
          <w:sz w:val="24"/>
          <w:szCs w:val="24"/>
        </w:rPr>
        <w:fldChar w:fldCharType="separate"/>
      </w:r>
      <w:r w:rsidRPr="00AD028E">
        <w:rPr>
          <w:rFonts w:ascii="Times New Roman" w:hAnsi="Times New Roman" w:cs="Times New Roman"/>
          <w:sz w:val="24"/>
        </w:rPr>
        <w:t>(Vega, 2018)</w:t>
      </w:r>
      <w:r>
        <w:rPr>
          <w:rFonts w:ascii="Times New Roman" w:hAnsi="Times New Roman" w:cs="Times New Roman"/>
          <w:sz w:val="24"/>
          <w:szCs w:val="24"/>
        </w:rPr>
        <w:fldChar w:fldCharType="end"/>
      </w:r>
      <w:r w:rsidRPr="00226D22">
        <w:rPr>
          <w:rFonts w:ascii="Times New Roman" w:hAnsi="Times New Roman" w:cs="Times New Roman"/>
          <w:color w:val="000000"/>
          <w:sz w:val="24"/>
          <w:szCs w:val="24"/>
          <w:highlight w:val="white"/>
        </w:rPr>
        <w:t xml:space="preserve">. Among plant-associating insect-pathogenic fungi, </w:t>
      </w:r>
      <w:r w:rsidRPr="00226D22">
        <w:rPr>
          <w:rFonts w:ascii="Times New Roman" w:hAnsi="Times New Roman" w:cs="Times New Roman"/>
          <w:i/>
          <w:color w:val="000000"/>
          <w:sz w:val="24"/>
          <w:szCs w:val="24"/>
          <w:highlight w:val="white"/>
        </w:rPr>
        <w:t xml:space="preserve">Beauveria </w:t>
      </w:r>
      <w:r w:rsidRPr="00226D22">
        <w:rPr>
          <w:rFonts w:ascii="Times New Roman" w:hAnsi="Times New Roman" w:cs="Times New Roman"/>
          <w:color w:val="000000"/>
          <w:sz w:val="24"/>
          <w:szCs w:val="24"/>
          <w:highlight w:val="white"/>
        </w:rPr>
        <w:t xml:space="preserve">and </w:t>
      </w:r>
      <w:r w:rsidRPr="00226D22">
        <w:rPr>
          <w:rFonts w:ascii="Times New Roman" w:hAnsi="Times New Roman" w:cs="Times New Roman"/>
          <w:i/>
          <w:color w:val="000000"/>
          <w:sz w:val="24"/>
          <w:szCs w:val="24"/>
          <w:highlight w:val="white"/>
        </w:rPr>
        <w:t xml:space="preserve">Metarhizium </w:t>
      </w:r>
      <w:r w:rsidRPr="00226D22">
        <w:rPr>
          <w:rFonts w:ascii="Times New Roman" w:hAnsi="Times New Roman" w:cs="Times New Roman"/>
          <w:color w:val="000000"/>
          <w:sz w:val="24"/>
          <w:szCs w:val="24"/>
          <w:highlight w:val="white"/>
        </w:rPr>
        <w:t xml:space="preserve">species are the most studied ones. Since they reside in the rhizosphere, they firstly associate with roots of various plant species. However, </w:t>
      </w:r>
      <w:r w:rsidRPr="00226D22">
        <w:rPr>
          <w:rFonts w:ascii="Times New Roman" w:hAnsi="Times New Roman" w:cs="Times New Roman"/>
          <w:i/>
          <w:color w:val="000000"/>
          <w:sz w:val="24"/>
          <w:szCs w:val="24"/>
          <w:highlight w:val="white"/>
        </w:rPr>
        <w:t xml:space="preserve">Beauveria </w:t>
      </w:r>
      <w:proofErr w:type="spellStart"/>
      <w:r w:rsidRPr="00226D22">
        <w:rPr>
          <w:rFonts w:ascii="Times New Roman" w:hAnsi="Times New Roman" w:cs="Times New Roman"/>
          <w:i/>
          <w:color w:val="000000"/>
          <w:sz w:val="24"/>
          <w:szCs w:val="24"/>
          <w:highlight w:val="white"/>
        </w:rPr>
        <w:t>bassiana</w:t>
      </w:r>
      <w:proofErr w:type="spellEnd"/>
      <w:r w:rsidRPr="00226D22">
        <w:rPr>
          <w:rFonts w:ascii="Times New Roman" w:hAnsi="Times New Roman" w:cs="Times New Roman"/>
          <w:i/>
          <w:color w:val="000000"/>
          <w:sz w:val="24"/>
          <w:szCs w:val="24"/>
          <w:highlight w:val="white"/>
        </w:rPr>
        <w:t xml:space="preserve"> </w:t>
      </w:r>
      <w:r w:rsidRPr="00226D22">
        <w:rPr>
          <w:rFonts w:ascii="Times New Roman" w:hAnsi="Times New Roman" w:cs="Times New Roman"/>
          <w:color w:val="000000"/>
          <w:sz w:val="24"/>
          <w:szCs w:val="24"/>
          <w:highlight w:val="white"/>
        </w:rPr>
        <w:t xml:space="preserve">seems to be able to </w:t>
      </w:r>
      <w:r w:rsidRPr="00226D22">
        <w:rPr>
          <w:rFonts w:ascii="Times New Roman" w:hAnsi="Times New Roman" w:cs="Times New Roman"/>
          <w:sz w:val="24"/>
          <w:szCs w:val="24"/>
          <w:highlight w:val="white"/>
        </w:rPr>
        <w:t>colonise</w:t>
      </w:r>
      <w:r w:rsidRPr="00226D22">
        <w:rPr>
          <w:rFonts w:ascii="Times New Roman" w:hAnsi="Times New Roman" w:cs="Times New Roman"/>
          <w:color w:val="000000"/>
          <w:sz w:val="24"/>
          <w:szCs w:val="24"/>
          <w:highlight w:val="white"/>
        </w:rPr>
        <w:t xml:space="preserve"> all plant parts, whereas </w:t>
      </w:r>
      <w:r w:rsidRPr="00226D22">
        <w:rPr>
          <w:rFonts w:ascii="Times New Roman" w:hAnsi="Times New Roman" w:cs="Times New Roman"/>
          <w:i/>
          <w:color w:val="000000"/>
          <w:sz w:val="24"/>
          <w:szCs w:val="24"/>
          <w:highlight w:val="white"/>
        </w:rPr>
        <w:t xml:space="preserve">Metarhizium </w:t>
      </w:r>
      <w:r w:rsidRPr="00226D22">
        <w:rPr>
          <w:rFonts w:ascii="Times New Roman" w:hAnsi="Times New Roman" w:cs="Times New Roman"/>
          <w:color w:val="000000"/>
          <w:sz w:val="24"/>
          <w:szCs w:val="24"/>
          <w:highlight w:val="white"/>
        </w:rPr>
        <w:t>spp. generally stays only in/on the roots and in some cases within the stem</w:t>
      </w:r>
      <w:r>
        <w:rPr>
          <w:rFonts w:ascii="Times New Roman" w:hAnsi="Times New Roman" w:cs="Times New Roman"/>
          <w:color w:val="000000"/>
          <w:sz w:val="24"/>
          <w:szCs w:val="24"/>
          <w:highlight w:val="white"/>
        </w:rPr>
        <w:t xml:space="preserve"> and leaves</w:t>
      </w:r>
      <w:r w:rsidRPr="00226D22">
        <w:rPr>
          <w:rFonts w:ascii="Times New Roman" w:hAnsi="Times New Roman" w:cs="Times New Roman"/>
          <w:color w:val="000000"/>
          <w:sz w:val="24"/>
          <w:szCs w:val="24"/>
          <w:highlight w:val="white"/>
        </w:rPr>
        <w:t xml:space="preserve">, which is mostly dependent on plant species or cultivars and fungal species or strains </w:t>
      </w:r>
      <w:r>
        <w:rPr>
          <w:rFonts w:ascii="Times New Roman" w:hAnsi="Times New Roman" w:cs="Times New Roman"/>
          <w:color w:val="000000"/>
          <w:sz w:val="24"/>
          <w:szCs w:val="24"/>
          <w:highlight w:val="white"/>
        </w:rPr>
        <w:fldChar w:fldCharType="begin"/>
      </w:r>
      <w:r>
        <w:rPr>
          <w:rFonts w:ascii="Times New Roman" w:hAnsi="Times New Roman" w:cs="Times New Roman"/>
          <w:color w:val="000000"/>
          <w:sz w:val="24"/>
          <w:szCs w:val="24"/>
          <w:highlight w:val="white"/>
        </w:rPr>
        <w:instrText xml:space="preserve"> ADDIN ZOTERO_ITEM CSL_CITATION {"citationID":"6gX1H8uV","properties":{"formattedCitation":"(Behie et al., 2015; Rasool et al., 2021b)","plainCitation":"(Behie et al., 2015; Rasool et al., 2021b)","noteIndex":0},"citationItems":[{"id":334,"uris":["http://zotero.org/users/10895598/items/4D8JTM2M"],"itemData":{"id":334,"type":"article-journal","container-title":"Fungal Ecology","DOI":"10.1016/j.funeco.2014.08.001","ISSN":"17545048","journalAbbreviation":"Fungal Ecology","language":"en","page":"112-119","source":"DOI.org (Crossref)","title":"Plant tissue localization of the endophytic insect pathogenic fungi &lt;i&gt;Metarhizium&lt;/i&gt; and &lt;i&gt;Beauveria&lt;/i&gt;","volume":"13","author":[{"family":"Behie","given":"Scott W."},{"family":"Jones","given":"Samantha J."},{"family":"Bidochka","given":"Michael J."}],"issued":{"date-parts":[["2015",2]]}}},{"id":156,"uris":["http://zotero.org/users/10895598/items/3FTQT3KG"],"itemData":{"id":156,"type":"article-journal","container-title":"New Phytologist","DOI":"10.1111/nph.16979","ISSN":"0028-646X, 1469-8137","issue":"3","journalAbbreviation":"New Phytol","language":"en","page":"1715-1727","source":"DOI.org (Crossref)","title":"Seed inoculations with entomopathogenic fungi affect aphid populations coinciding with modulation of plant secondary metabolite profiles across plant families","volume":"229","author":[{"family":"Rasool","given":"Shumaila"},{"family":"Vidkjær","given":"Nanna H."},{"family":"Hooshmand","given":"Kourosh"},{"family":"Jensen","given":"Birgit"},{"family":"Fomsgaard","given":"Inge S."},{"family":"Meyling","given":"Nicolai V."}],"issued":{"date-parts":[["2021",2]]}}}],"schema":"https://github.com/citation-style-language/schema/raw/master/csl-citation.json"} </w:instrText>
      </w:r>
      <w:r>
        <w:rPr>
          <w:rFonts w:ascii="Times New Roman" w:hAnsi="Times New Roman" w:cs="Times New Roman"/>
          <w:color w:val="000000"/>
          <w:sz w:val="24"/>
          <w:szCs w:val="24"/>
          <w:highlight w:val="white"/>
        </w:rPr>
        <w:fldChar w:fldCharType="separate"/>
      </w:r>
      <w:r w:rsidRPr="00AD028E">
        <w:rPr>
          <w:rFonts w:ascii="Times New Roman" w:hAnsi="Times New Roman" w:cs="Times New Roman"/>
          <w:sz w:val="24"/>
          <w:highlight w:val="white"/>
        </w:rPr>
        <w:t>(Behie et al., 2015; Rasool et al., 2021b)</w:t>
      </w:r>
      <w:r>
        <w:rPr>
          <w:rFonts w:ascii="Times New Roman" w:hAnsi="Times New Roman" w:cs="Times New Roman"/>
          <w:color w:val="000000"/>
          <w:sz w:val="24"/>
          <w:szCs w:val="24"/>
          <w:highlight w:val="white"/>
        </w:rPr>
        <w:fldChar w:fldCharType="end"/>
      </w:r>
      <w:r w:rsidRPr="00226D22">
        <w:rPr>
          <w:rFonts w:ascii="Times New Roman" w:hAnsi="Times New Roman" w:cs="Times New Roman"/>
          <w:color w:val="000000"/>
          <w:sz w:val="24"/>
          <w:szCs w:val="24"/>
          <w:highlight w:val="white"/>
        </w:rPr>
        <w:t xml:space="preserve">. </w:t>
      </w:r>
      <w:r w:rsidRPr="00226D22">
        <w:rPr>
          <w:rFonts w:ascii="Times New Roman" w:hAnsi="Times New Roman" w:cs="Times New Roman"/>
          <w:i/>
          <w:color w:val="000000"/>
          <w:sz w:val="24"/>
          <w:szCs w:val="24"/>
          <w:highlight w:val="white"/>
        </w:rPr>
        <w:t xml:space="preserve">Beauveria </w:t>
      </w:r>
      <w:r w:rsidRPr="00226D22">
        <w:rPr>
          <w:rFonts w:ascii="Times New Roman" w:hAnsi="Times New Roman" w:cs="Times New Roman"/>
          <w:color w:val="000000"/>
          <w:sz w:val="24"/>
          <w:szCs w:val="24"/>
          <w:highlight w:val="white"/>
        </w:rPr>
        <w:t xml:space="preserve">and </w:t>
      </w:r>
      <w:r w:rsidRPr="00226D22">
        <w:rPr>
          <w:rFonts w:ascii="Times New Roman" w:hAnsi="Times New Roman" w:cs="Times New Roman"/>
          <w:i/>
          <w:color w:val="000000"/>
          <w:sz w:val="24"/>
          <w:szCs w:val="24"/>
          <w:highlight w:val="white"/>
        </w:rPr>
        <w:t xml:space="preserve">Metarhizium </w:t>
      </w:r>
      <w:r w:rsidRPr="00226D22">
        <w:rPr>
          <w:rFonts w:ascii="Times New Roman" w:hAnsi="Times New Roman" w:cs="Times New Roman"/>
          <w:color w:val="000000"/>
          <w:sz w:val="24"/>
          <w:szCs w:val="24"/>
          <w:highlight w:val="white"/>
        </w:rPr>
        <w:t xml:space="preserve">spp. successfully infect insect pests; however, more attention as plant endophytes was given to </w:t>
      </w:r>
      <w:r w:rsidRPr="00226D22">
        <w:rPr>
          <w:rFonts w:ascii="Times New Roman" w:hAnsi="Times New Roman" w:cs="Times New Roman"/>
          <w:i/>
          <w:color w:val="000000"/>
          <w:sz w:val="24"/>
          <w:szCs w:val="24"/>
          <w:highlight w:val="white"/>
        </w:rPr>
        <w:t xml:space="preserve">Beauveria </w:t>
      </w:r>
      <w:r w:rsidRPr="00226D22">
        <w:rPr>
          <w:rFonts w:ascii="Times New Roman" w:hAnsi="Times New Roman" w:cs="Times New Roman"/>
          <w:color w:val="000000"/>
          <w:sz w:val="24"/>
          <w:szCs w:val="24"/>
          <w:highlight w:val="white"/>
        </w:rPr>
        <w:t xml:space="preserve">than to </w:t>
      </w:r>
      <w:r w:rsidRPr="00226D22">
        <w:rPr>
          <w:rFonts w:ascii="Times New Roman" w:hAnsi="Times New Roman" w:cs="Times New Roman"/>
          <w:i/>
          <w:color w:val="000000"/>
          <w:sz w:val="24"/>
          <w:szCs w:val="24"/>
          <w:highlight w:val="white"/>
        </w:rPr>
        <w:t>Metarhizium</w:t>
      </w:r>
      <w:r w:rsidRPr="00226D22">
        <w:rPr>
          <w:rFonts w:ascii="Times New Roman" w:hAnsi="Times New Roman" w:cs="Times New Roman"/>
          <w:color w:val="000000"/>
          <w:sz w:val="24"/>
          <w:szCs w:val="24"/>
          <w:highlight w:val="white"/>
        </w:rPr>
        <w:t xml:space="preserve">. For instance, </w:t>
      </w:r>
      <w:r w:rsidRPr="00226D22">
        <w:rPr>
          <w:rFonts w:ascii="Times New Roman" w:hAnsi="Times New Roman" w:cs="Times New Roman"/>
          <w:i/>
          <w:color w:val="000000"/>
          <w:sz w:val="24"/>
          <w:szCs w:val="24"/>
          <w:highlight w:val="white"/>
        </w:rPr>
        <w:t xml:space="preserve">B. </w:t>
      </w:r>
      <w:proofErr w:type="spellStart"/>
      <w:r w:rsidRPr="00226D22">
        <w:rPr>
          <w:rFonts w:ascii="Times New Roman" w:hAnsi="Times New Roman" w:cs="Times New Roman"/>
          <w:i/>
          <w:color w:val="000000"/>
          <w:sz w:val="24"/>
          <w:szCs w:val="24"/>
          <w:highlight w:val="white"/>
        </w:rPr>
        <w:t>bassiana</w:t>
      </w:r>
      <w:proofErr w:type="spellEnd"/>
      <w:r w:rsidRPr="00226D22">
        <w:rPr>
          <w:rFonts w:ascii="Times New Roman" w:hAnsi="Times New Roman" w:cs="Times New Roman"/>
          <w:i/>
          <w:color w:val="000000"/>
          <w:sz w:val="24"/>
          <w:szCs w:val="24"/>
          <w:highlight w:val="white"/>
        </w:rPr>
        <w:t xml:space="preserve"> </w:t>
      </w:r>
      <w:r w:rsidRPr="00226D22">
        <w:rPr>
          <w:rFonts w:ascii="Times New Roman" w:hAnsi="Times New Roman" w:cs="Times New Roman"/>
          <w:color w:val="000000"/>
          <w:sz w:val="24"/>
          <w:szCs w:val="24"/>
          <w:highlight w:val="white"/>
        </w:rPr>
        <w:t xml:space="preserve">was found to reduce the growth and reproduction rate of many insect pests feeding on various plant species, such as caterpillars of </w:t>
      </w:r>
      <w:proofErr w:type="spellStart"/>
      <w:r w:rsidRPr="00226D22">
        <w:rPr>
          <w:rFonts w:ascii="Times New Roman" w:hAnsi="Times New Roman" w:cs="Times New Roman"/>
          <w:i/>
          <w:color w:val="000000"/>
          <w:sz w:val="24"/>
          <w:szCs w:val="24"/>
          <w:highlight w:val="white"/>
        </w:rPr>
        <w:t>Ostrinia</w:t>
      </w:r>
      <w:proofErr w:type="spellEnd"/>
      <w:r w:rsidRPr="00226D22">
        <w:rPr>
          <w:rFonts w:ascii="Times New Roman" w:hAnsi="Times New Roman" w:cs="Times New Roman"/>
          <w:i/>
          <w:color w:val="000000"/>
          <w:sz w:val="24"/>
          <w:szCs w:val="24"/>
          <w:highlight w:val="white"/>
        </w:rPr>
        <w:t xml:space="preserve"> </w:t>
      </w:r>
      <w:proofErr w:type="spellStart"/>
      <w:r w:rsidRPr="00226D22">
        <w:rPr>
          <w:rFonts w:ascii="Times New Roman" w:hAnsi="Times New Roman" w:cs="Times New Roman"/>
          <w:i/>
          <w:color w:val="000000"/>
          <w:sz w:val="24"/>
          <w:szCs w:val="24"/>
          <w:highlight w:val="white"/>
        </w:rPr>
        <w:t>nubilalis</w:t>
      </w:r>
      <w:proofErr w:type="spellEnd"/>
      <w:r w:rsidRPr="00226D22">
        <w:rPr>
          <w:rFonts w:ascii="Times New Roman" w:hAnsi="Times New Roman" w:cs="Times New Roman"/>
          <w:i/>
          <w:color w:val="000000"/>
          <w:sz w:val="24"/>
          <w:szCs w:val="24"/>
          <w:highlight w:val="white"/>
        </w:rPr>
        <w:t xml:space="preserve"> </w:t>
      </w:r>
      <w:r w:rsidRPr="00226D22">
        <w:rPr>
          <w:rFonts w:ascii="Times New Roman" w:hAnsi="Times New Roman" w:cs="Times New Roman"/>
          <w:color w:val="000000"/>
          <w:sz w:val="24"/>
          <w:szCs w:val="24"/>
          <w:highlight w:val="white"/>
        </w:rPr>
        <w:t xml:space="preserve">in corn and sorghum plants, or </w:t>
      </w:r>
      <w:proofErr w:type="spellStart"/>
      <w:r w:rsidRPr="00226D22">
        <w:rPr>
          <w:rFonts w:ascii="Times New Roman" w:hAnsi="Times New Roman" w:cs="Times New Roman"/>
          <w:i/>
          <w:color w:val="000000"/>
          <w:sz w:val="24"/>
          <w:szCs w:val="24"/>
          <w:highlight w:val="white"/>
        </w:rPr>
        <w:t>Rhopalosiphum</w:t>
      </w:r>
      <w:proofErr w:type="spellEnd"/>
      <w:r w:rsidRPr="00226D22">
        <w:rPr>
          <w:rFonts w:ascii="Times New Roman" w:hAnsi="Times New Roman" w:cs="Times New Roman"/>
          <w:i/>
          <w:color w:val="000000"/>
          <w:sz w:val="24"/>
          <w:szCs w:val="24"/>
          <w:highlight w:val="white"/>
        </w:rPr>
        <w:t xml:space="preserve"> </w:t>
      </w:r>
      <w:proofErr w:type="spellStart"/>
      <w:r w:rsidRPr="00226D22">
        <w:rPr>
          <w:rFonts w:ascii="Times New Roman" w:hAnsi="Times New Roman" w:cs="Times New Roman"/>
          <w:i/>
          <w:color w:val="000000"/>
          <w:sz w:val="24"/>
          <w:szCs w:val="24"/>
          <w:highlight w:val="white"/>
        </w:rPr>
        <w:t>padi</w:t>
      </w:r>
      <w:proofErr w:type="spellEnd"/>
      <w:r w:rsidRPr="00226D22">
        <w:rPr>
          <w:rFonts w:ascii="Times New Roman" w:hAnsi="Times New Roman" w:cs="Times New Roman"/>
          <w:i/>
          <w:color w:val="000000"/>
          <w:sz w:val="24"/>
          <w:szCs w:val="24"/>
          <w:highlight w:val="white"/>
        </w:rPr>
        <w:t xml:space="preserve"> </w:t>
      </w:r>
      <w:r w:rsidRPr="00226D22">
        <w:rPr>
          <w:rFonts w:ascii="Times New Roman" w:hAnsi="Times New Roman" w:cs="Times New Roman"/>
          <w:color w:val="000000"/>
          <w:sz w:val="24"/>
          <w:szCs w:val="24"/>
          <w:highlight w:val="white"/>
        </w:rPr>
        <w:t xml:space="preserve">aphids in wheat and bean </w:t>
      </w:r>
      <w:r>
        <w:rPr>
          <w:rFonts w:ascii="Times New Roman" w:hAnsi="Times New Roman" w:cs="Times New Roman"/>
          <w:color w:val="000000"/>
          <w:sz w:val="24"/>
          <w:szCs w:val="24"/>
          <w:highlight w:val="white"/>
        </w:rPr>
        <w:fldChar w:fldCharType="begin"/>
      </w:r>
      <w:r>
        <w:rPr>
          <w:rFonts w:ascii="Times New Roman" w:hAnsi="Times New Roman" w:cs="Times New Roman"/>
          <w:color w:val="000000"/>
          <w:sz w:val="24"/>
          <w:szCs w:val="24"/>
          <w:highlight w:val="white"/>
        </w:rPr>
        <w:instrText xml:space="preserve"> ADDIN ZOTERO_ITEM CSL_CITATION {"citationID":"PXqgdcUJ","properties":{"formattedCitation":"(Bamisile et al., 2018; Rasool et al., 2021b)","plainCitation":"(Bamisile et al., 2018; Rasool et al., 2021b)","noteIndex":0},"citationItems":[{"id":196,"uris":["http://zotero.org/users/10895598/items/BYL8L4BB"],"itemData":{"id":196,"type":"article-journal","container-title":"Microbiological Research","DOI":"10.1016/j.micres.2018.08.016","ISSN":"09445013","journalAbbreviation":"Microbiological Research","language":"en","page":"34-50","source":"DOI.org (Crossref)","title":"Prospects of endophytic fungal entomopathogens as biocontrol and plant growth promoting agents: An insight on how artificial inoculation methods affect endophytic colonization of host plants","title-short":"Prospects of endophytic fungal entomopathogens as biocontrol and plant growth promoting agents","volume":"217","author":[{"family":"Bamisile","given":"Bamisope Steve"},{"family":"Dash","given":"Chandra Kanta"},{"family":"Akutse","given":"Komivi Senyo"},{"family":"Keppanan","given":"Ravindran"},{"family":"Afolabi","given":"Oluwatoyin Grace"},{"family":"Hussain","given":"Mubasher"},{"family":"Qasim","given":"Muhammad"},{"family":"Wang","given":"Liande"}],"issued":{"date-parts":[["2018",12]]}}},{"id":156,"uris":["http://zotero.org/users/10895598/items/3FTQT3KG"],"itemData":{"id":156,"type":"article-journal","container-title":"New Phytologist","DOI":"10.1111/nph.16979","ISSN":"0028-646X, 1469-8137","issue":"3","journalAbbreviation":"New Phytol","language":"en","page":"1715-1727","source":"DOI.org (Crossref)","title":"Seed inoculations with entomopathogenic fungi affect aphid populations coinciding with modulation of plant secondary metabolite profiles across plant families","volume":"229","author":[{"family":"Rasool","given":"Shumaila"},{"family":"Vidkjær","given":"Nanna H."},{"family":"Hooshmand","given":"Kourosh"},{"family":"Jensen","given":"Birgit"},{"family":"Fomsgaard","given":"Inge S."},{"family":"Meyling","given":"Nicolai V."}],"issued":{"date-parts":[["2021",2]]}}}],"schema":"https://github.com/citation-style-language/schema/raw/master/csl-citation.json"} </w:instrText>
      </w:r>
      <w:r>
        <w:rPr>
          <w:rFonts w:ascii="Times New Roman" w:hAnsi="Times New Roman" w:cs="Times New Roman"/>
          <w:color w:val="000000"/>
          <w:sz w:val="24"/>
          <w:szCs w:val="24"/>
          <w:highlight w:val="white"/>
        </w:rPr>
        <w:fldChar w:fldCharType="separate"/>
      </w:r>
      <w:r w:rsidRPr="00AD028E">
        <w:rPr>
          <w:rFonts w:ascii="Times New Roman" w:hAnsi="Times New Roman" w:cs="Times New Roman"/>
          <w:sz w:val="24"/>
          <w:highlight w:val="white"/>
        </w:rPr>
        <w:t>(Bamisile et al., 2018; Rasool et al., 2021b)</w:t>
      </w:r>
      <w:r>
        <w:rPr>
          <w:rFonts w:ascii="Times New Roman" w:hAnsi="Times New Roman" w:cs="Times New Roman"/>
          <w:color w:val="000000"/>
          <w:sz w:val="24"/>
          <w:szCs w:val="24"/>
          <w:highlight w:val="white"/>
        </w:rPr>
        <w:fldChar w:fldCharType="end"/>
      </w:r>
      <w:r w:rsidRPr="00226D22">
        <w:rPr>
          <w:rFonts w:ascii="Times New Roman" w:hAnsi="Times New Roman" w:cs="Times New Roman"/>
          <w:color w:val="000000"/>
          <w:sz w:val="24"/>
          <w:szCs w:val="24"/>
          <w:highlight w:val="white"/>
        </w:rPr>
        <w:t xml:space="preserve">. In </w:t>
      </w:r>
      <w:r>
        <w:rPr>
          <w:rFonts w:ascii="Times New Roman" w:hAnsi="Times New Roman" w:cs="Times New Roman"/>
          <w:color w:val="000000"/>
          <w:sz w:val="24"/>
          <w:szCs w:val="24"/>
          <w:highlight w:val="white"/>
        </w:rPr>
        <w:t xml:space="preserve">a </w:t>
      </w:r>
      <w:r w:rsidRPr="00226D22">
        <w:rPr>
          <w:rFonts w:ascii="Times New Roman" w:hAnsi="Times New Roman" w:cs="Times New Roman"/>
          <w:color w:val="000000"/>
          <w:sz w:val="24"/>
          <w:szCs w:val="24"/>
          <w:highlight w:val="white"/>
        </w:rPr>
        <w:t xml:space="preserve">meta-analysis by </w:t>
      </w:r>
      <w:r w:rsidRPr="00226D22">
        <w:rPr>
          <w:rFonts w:ascii="Times New Roman" w:hAnsi="Times New Roman" w:cs="Times New Roman"/>
          <w:sz w:val="24"/>
          <w:szCs w:val="24"/>
        </w:rPr>
        <w:t>Gange et al. (2019)</w:t>
      </w:r>
      <w:r w:rsidRPr="00226D22">
        <w:rPr>
          <w:rFonts w:ascii="Times New Roman" w:hAnsi="Times New Roman" w:cs="Times New Roman"/>
          <w:color w:val="000000"/>
          <w:sz w:val="24"/>
          <w:szCs w:val="24"/>
          <w:highlight w:val="white"/>
        </w:rPr>
        <w:t xml:space="preserve">, greater negative effects of entomopathogenic fungal endophytes were observed in piercing-sucking insects than in </w:t>
      </w:r>
      <w:r w:rsidRPr="00226D22">
        <w:rPr>
          <w:rFonts w:ascii="Times New Roman" w:hAnsi="Times New Roman" w:cs="Times New Roman"/>
          <w:color w:val="000000"/>
          <w:sz w:val="24"/>
          <w:szCs w:val="24"/>
          <w:highlight w:val="white"/>
        </w:rPr>
        <w:lastRenderedPageBreak/>
        <w:t>chewing ones after seed inoculation. However, positive or neutral effects</w:t>
      </w:r>
      <w:r w:rsidRPr="00226D22">
        <w:rPr>
          <w:rFonts w:ascii="Times New Roman" w:hAnsi="Times New Roman" w:cs="Times New Roman"/>
          <w:i/>
          <w:color w:val="000000"/>
          <w:sz w:val="24"/>
          <w:szCs w:val="24"/>
          <w:highlight w:val="white"/>
        </w:rPr>
        <w:t xml:space="preserve"> </w:t>
      </w:r>
      <w:r w:rsidRPr="00226D22">
        <w:rPr>
          <w:rFonts w:ascii="Times New Roman" w:hAnsi="Times New Roman" w:cs="Times New Roman"/>
          <w:color w:val="000000"/>
          <w:sz w:val="24"/>
          <w:szCs w:val="24"/>
          <w:highlight w:val="white"/>
        </w:rPr>
        <w:t xml:space="preserve">on some insect pests, such as aphids, have also been reported </w:t>
      </w:r>
      <w:r>
        <w:rPr>
          <w:rFonts w:ascii="Times New Roman" w:hAnsi="Times New Roman" w:cs="Times New Roman"/>
          <w:color w:val="000000"/>
          <w:sz w:val="24"/>
          <w:szCs w:val="24"/>
          <w:highlight w:val="white"/>
        </w:rPr>
        <w:fldChar w:fldCharType="begin"/>
      </w:r>
      <w:r>
        <w:rPr>
          <w:rFonts w:ascii="Times New Roman" w:hAnsi="Times New Roman" w:cs="Times New Roman"/>
          <w:color w:val="000000"/>
          <w:sz w:val="24"/>
          <w:szCs w:val="24"/>
          <w:highlight w:val="white"/>
        </w:rPr>
        <w:instrText xml:space="preserve"> ADDIN ZOTERO_ITEM CSL_CITATION {"citationID":"nXV9azEE","properties":{"formattedCitation":"(Jensen et al., 2019; Rasool et al., 2021b)","plainCitation":"(Jensen et al., 2019; Rasool et al., 2021b)","noteIndex":0},"citationItems":[{"id":345,"uris":["http://zotero.org/users/10895598/items/8IMXV5KK"],"itemData":{"id":345,"type":"article-journal","container-title":"PLOS ONE","DOI":"10.1371/journal.pone.0223616","ISSN":"1932-6203","issue":"10","journalAbbreviation":"PLoS ONE","language":"en","page":"e0223616","source":"DOI.org (Crossref)","title":"Increased fecundity of &lt;i&gt;Aphis fabae&lt;/i&gt; on &lt;i&gt;Vicia faba&lt;/i&gt; plants following seed or leaf inoculation with the entomopathogenic fungus &lt;i&gt;Beauveria bassiana&lt;/i&gt;","volume":"14","author":[{"family":"Jensen","given":"Rasmus Emil"},{"family":"Enkegaard","given":"Annie"},{"family":"Steenberg","given":"Tove"}],"editor":[{"family":"Schausberger","given":"Peter"}],"issued":{"date-parts":[["2019",10,7]]}}},{"id":156,"uris":["http://zotero.org/users/10895598/items/3FTQT3KG"],"itemData":{"id":156,"type":"article-journal","container-title":"New Phytologist","DOI":"10.1111/nph.16979","ISSN":"0028-646X, 1469-8137","issue":"3","journalAbbreviation":"New Phytol","language":"en","page":"1715-1727","source":"DOI.org (Crossref)","title":"Seed inoculations with entomopathogenic fungi affect aphid populations coinciding with modulation of plant secondary metabolite profiles across plant families","volume":"229","author":[{"family":"Rasool","given":"Shumaila"},{"family":"Vidkjær","given":"Nanna H."},{"family":"Hooshmand","given":"Kourosh"},{"family":"Jensen","given":"Birgit"},{"family":"Fomsgaard","given":"Inge S."},{"family":"Meyling","given":"Nicolai V."}],"issued":{"date-parts":[["2021",2]]}}}],"schema":"https://github.com/citation-style-language/schema/raw/master/csl-citation.json"} </w:instrText>
      </w:r>
      <w:r>
        <w:rPr>
          <w:rFonts w:ascii="Times New Roman" w:hAnsi="Times New Roman" w:cs="Times New Roman"/>
          <w:color w:val="000000"/>
          <w:sz w:val="24"/>
          <w:szCs w:val="24"/>
          <w:highlight w:val="white"/>
        </w:rPr>
        <w:fldChar w:fldCharType="separate"/>
      </w:r>
      <w:r w:rsidRPr="00AD028E">
        <w:rPr>
          <w:rFonts w:ascii="Times New Roman" w:hAnsi="Times New Roman" w:cs="Times New Roman"/>
          <w:sz w:val="24"/>
          <w:highlight w:val="white"/>
        </w:rPr>
        <w:t>(Jensen et al., 2019; Rasool et al., 2021b)</w:t>
      </w:r>
      <w:r>
        <w:rPr>
          <w:rFonts w:ascii="Times New Roman" w:hAnsi="Times New Roman" w:cs="Times New Roman"/>
          <w:color w:val="000000"/>
          <w:sz w:val="24"/>
          <w:szCs w:val="24"/>
          <w:highlight w:val="white"/>
        </w:rPr>
        <w:fldChar w:fldCharType="end"/>
      </w:r>
      <w:r w:rsidRPr="00226D22">
        <w:rPr>
          <w:rFonts w:ascii="Times New Roman" w:hAnsi="Times New Roman" w:cs="Times New Roman"/>
          <w:color w:val="000000"/>
          <w:sz w:val="24"/>
          <w:szCs w:val="24"/>
          <w:highlight w:val="white"/>
        </w:rPr>
        <w:t>.</w:t>
      </w:r>
    </w:p>
    <w:p w14:paraId="5C387A29" w14:textId="77777777" w:rsidR="005E3506" w:rsidRPr="00226D22" w:rsidRDefault="005E3506" w:rsidP="005E3506">
      <w:pPr>
        <w:spacing w:after="0"/>
        <w:rPr>
          <w:rFonts w:ascii="Times New Roman" w:hAnsi="Times New Roman" w:cs="Times New Roman"/>
          <w:sz w:val="24"/>
          <w:szCs w:val="24"/>
        </w:rPr>
      </w:pPr>
    </w:p>
    <w:p w14:paraId="7DB35F44" w14:textId="77777777" w:rsidR="005E3506" w:rsidRPr="00226D22" w:rsidRDefault="005E3506" w:rsidP="005E3506">
      <w:pPr>
        <w:pStyle w:val="Heading5"/>
      </w:pPr>
      <w:bookmarkStart w:id="20" w:name="_Toc167977594"/>
      <w:r w:rsidRPr="006B61C5">
        <w:rPr>
          <w:i/>
          <w:iCs/>
        </w:rPr>
        <w:t>Metarhizium</w:t>
      </w:r>
      <w:r w:rsidRPr="00226D22">
        <w:t xml:space="preserve"> spp.</w:t>
      </w:r>
      <w:bookmarkEnd w:id="20"/>
    </w:p>
    <w:p w14:paraId="655AB4E1" w14:textId="77777777" w:rsidR="005E3506" w:rsidRPr="00226D22" w:rsidRDefault="005E3506" w:rsidP="005E3506">
      <w:pPr>
        <w:spacing w:after="0" w:line="360" w:lineRule="auto"/>
        <w:rPr>
          <w:rFonts w:ascii="Times New Roman" w:hAnsi="Times New Roman" w:cs="Times New Roman"/>
          <w:sz w:val="24"/>
          <w:szCs w:val="24"/>
        </w:rPr>
      </w:pPr>
    </w:p>
    <w:p w14:paraId="3C89769C" w14:textId="7C569DF8" w:rsidR="005E3506" w:rsidRPr="00226D22" w:rsidRDefault="005E3506" w:rsidP="0074184F">
      <w:pPr>
        <w:spacing w:line="360" w:lineRule="auto"/>
        <w:ind w:firstLine="720"/>
        <w:jc w:val="both"/>
        <w:rPr>
          <w:rFonts w:ascii="Times New Roman" w:hAnsi="Times New Roman" w:cs="Times New Roman"/>
          <w:color w:val="131413"/>
          <w:sz w:val="24"/>
          <w:szCs w:val="24"/>
        </w:rPr>
      </w:pPr>
      <w:r w:rsidRPr="00226D22">
        <w:rPr>
          <w:rFonts w:ascii="Times New Roman" w:hAnsi="Times New Roman" w:cs="Times New Roman"/>
          <w:sz w:val="24"/>
          <w:szCs w:val="24"/>
        </w:rPr>
        <w:t xml:space="preserve">Insect-pathogenic fungi </w:t>
      </w:r>
      <w:r w:rsidRPr="00226D22">
        <w:rPr>
          <w:rFonts w:ascii="Times New Roman" w:hAnsi="Times New Roman" w:cs="Times New Roman"/>
          <w:i/>
          <w:sz w:val="24"/>
          <w:szCs w:val="24"/>
        </w:rPr>
        <w:t xml:space="preserve">Metarhizium </w:t>
      </w:r>
      <w:r w:rsidRPr="00226D22">
        <w:rPr>
          <w:rFonts w:ascii="Times New Roman" w:hAnsi="Times New Roman" w:cs="Times New Roman"/>
          <w:sz w:val="24"/>
          <w:szCs w:val="24"/>
        </w:rPr>
        <w:t xml:space="preserve">spp. (Ascomycota: Hypocreales: </w:t>
      </w:r>
      <w:proofErr w:type="spellStart"/>
      <w:r w:rsidRPr="00226D22">
        <w:rPr>
          <w:rFonts w:ascii="Times New Roman" w:hAnsi="Times New Roman" w:cs="Times New Roman"/>
          <w:sz w:val="24"/>
          <w:szCs w:val="24"/>
        </w:rPr>
        <w:t>Clavicipitaceae</w:t>
      </w:r>
      <w:proofErr w:type="spellEnd"/>
      <w:r w:rsidRPr="00226D22">
        <w:rPr>
          <w:rFonts w:ascii="Times New Roman" w:hAnsi="Times New Roman" w:cs="Times New Roman"/>
          <w:sz w:val="24"/>
          <w:szCs w:val="24"/>
        </w:rPr>
        <w:t xml:space="preserve">) have been extensively used as insect biocontrol agents in the field; however, in some cases, fungi did not perform very well, which might be due to their neglected phylogenetic history as plant-associated microbes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{"citationID":"pfjDwb2f","properties":{"formattedCitation":"(Barelli et al., 2018)","plainCitation":"(Barelli et al., 2018)","noteIndex":0},"citationItems":[{"id":144,"uris":["http://zotero.org/users/10895598/items/IPUZ7H9E"],"itemData":{"id":144,"type":"article-journal","container-title":"Microbiology","DOI":"10.1099/mic.0.000729","ISSN":"1350-0872, 1465-2080","issue":"12","language":"en","page":"1531-1540","source":"DOI.org (Crossref)","title":"Initial stages of endophytic colonization by &lt;i&gt;Metarhizium&lt;/i&gt; involves rhizoplane colonization","volume":"164","author":[{"family":"Barelli","given":"Larissa"},{"family":"Moreira","given":"Camila C."},{"family":"Bidochka","given":"Michael J."}],"issued":{"date-parts":[["2018",12,1]]}}}],"schema":"https://github.com/citation-style-language/schema/raw/master/csl-citation.json"} </w:instrText>
      </w:r>
      <w:r>
        <w:rPr>
          <w:rFonts w:ascii="Times New Roman" w:hAnsi="Times New Roman" w:cs="Times New Roman"/>
          <w:sz w:val="24"/>
          <w:szCs w:val="24"/>
        </w:rPr>
        <w:fldChar w:fldCharType="separate"/>
      </w:r>
      <w:r w:rsidRPr="00BB742A">
        <w:rPr>
          <w:rFonts w:ascii="Times New Roman" w:hAnsi="Times New Roman" w:cs="Times New Roman"/>
          <w:sz w:val="24"/>
        </w:rPr>
        <w:t>(Barelli et al., 2018)</w:t>
      </w:r>
      <w:r>
        <w:rPr>
          <w:rFonts w:ascii="Times New Roman" w:hAnsi="Times New Roman" w:cs="Times New Roman"/>
          <w:sz w:val="24"/>
          <w:szCs w:val="24"/>
        </w:rPr>
        <w:fldChar w:fldCharType="end"/>
      </w:r>
      <w:r w:rsidRPr="00226D22">
        <w:rPr>
          <w:rFonts w:ascii="Times New Roman" w:hAnsi="Times New Roman" w:cs="Times New Roman"/>
          <w:sz w:val="24"/>
          <w:szCs w:val="24"/>
        </w:rPr>
        <w:t xml:space="preserve">. </w:t>
      </w:r>
      <w:r>
        <w:rPr>
          <w:rFonts w:ascii="Times New Roman" w:hAnsi="Times New Roman" w:cs="Times New Roman"/>
          <w:sz w:val="24"/>
          <w:szCs w:val="24"/>
        </w:rPr>
        <w:t>A c</w:t>
      </w:r>
      <w:r w:rsidRPr="00226D22">
        <w:rPr>
          <w:rFonts w:ascii="Times New Roman" w:hAnsi="Times New Roman" w:cs="Times New Roman"/>
          <w:sz w:val="24"/>
          <w:szCs w:val="24"/>
        </w:rPr>
        <w:t xml:space="preserve">omparative genomic analysis by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{"citationID":"T0Iz07a8","properties":{"formattedCitation":"(Gao et al., 2011)","plainCitation":"(Gao et al., 2011)","dontUpdate":true,"noteIndex":0},"citationItems":[{"id":335,"uris":["http://zotero.org/users/10895598/items/WBRXTB7H"],"itemData":{"id":335,"type":"article-journal","container-title":"PLoS Genetics","DOI":"10.1371/journal.pgen.1001264","ISSN":"1553-7404","issue":"1","journalAbbreviation":"PLoS Genet","language":"en","page":"e1001264","source":"DOI.org (Crossref)","title":"Genome sequencing and comparative transcriptomics of the model entomopathogenic fungi &lt;i&gt;Metarhizium anisopliae&lt;/i&gt; and &lt;i&gt;M. acridum&lt;/i&gt;","volume":"7","author":[{"family":"Gao","given":"Qiang"},{"family":"Jin","given":"Kai"},{"family":"Ying","given":"Sheng-Hua"},{"family":"Zhang","given":"Yongjun"},{"family":"Xiao","given":"Guohua"},{"family":"Shang","given":"Yanfang"},{"family":"Duan","given":"Zhibing"},{"family":"Hu","given":"Xiao"},{"family":"Xie","given":"Xue-Qin"},{"family":"Zhou","given":"Gang"},{"family":"Peng","given":"Guoxiong"},{"family":"Luo","given":"Zhibing"},{"family":"Huang","given":"Wei"},{"family":"Wang","given":"Bing"},{"family":"Fang","given":"Weiguo"},{"family":"Wang","given":"Sibao"},{"family":"Zhong","given":"Yi"},{"family":"Ma","given":"Li-Jun"},{"family":"St. Leger","given":"Raymond J."},{"family":"Zhao","given":"Guo-Ping"},{"family":"Pei","given":"Yan"},{"family":"Feng","given":"Ming-Guang"},{"family":"Xia","given":"Yuxian"},{"family":"Wang","given":"Chengshu"}],"editor":[{"family":"Achtman","given":"Mark"}],"issued":{"date-parts":[["2011",1,6]]}}}],"schema":"https://github.com/citation-style-language/schema/raw/master/csl-citation.json"} </w:instrText>
      </w:r>
      <w:r>
        <w:rPr>
          <w:rFonts w:ascii="Times New Roman" w:hAnsi="Times New Roman" w:cs="Times New Roman"/>
          <w:sz w:val="24"/>
          <w:szCs w:val="24"/>
        </w:rPr>
        <w:fldChar w:fldCharType="separate"/>
      </w:r>
      <w:r w:rsidRPr="00BB742A">
        <w:rPr>
          <w:rFonts w:ascii="Times New Roman" w:hAnsi="Times New Roman" w:cs="Times New Roman"/>
          <w:sz w:val="24"/>
        </w:rPr>
        <w:t>Gao et al.</w:t>
      </w:r>
      <w:r>
        <w:rPr>
          <w:rFonts w:ascii="Times New Roman" w:hAnsi="Times New Roman" w:cs="Times New Roman"/>
          <w:sz w:val="24"/>
        </w:rPr>
        <w:t xml:space="preserve"> (</w:t>
      </w:r>
      <w:r w:rsidRPr="00BB742A">
        <w:rPr>
          <w:rFonts w:ascii="Times New Roman" w:hAnsi="Times New Roman" w:cs="Times New Roman"/>
          <w:sz w:val="24"/>
        </w:rPr>
        <w:t>2011)</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226D22">
        <w:rPr>
          <w:rFonts w:ascii="Times New Roman" w:hAnsi="Times New Roman" w:cs="Times New Roman"/>
          <w:sz w:val="24"/>
          <w:szCs w:val="24"/>
        </w:rPr>
        <w:t xml:space="preserve">has shown that </w:t>
      </w:r>
      <w:r w:rsidRPr="00226D22">
        <w:rPr>
          <w:rFonts w:ascii="Times New Roman" w:hAnsi="Times New Roman" w:cs="Times New Roman"/>
          <w:i/>
          <w:sz w:val="24"/>
          <w:szCs w:val="24"/>
        </w:rPr>
        <w:t xml:space="preserve">Metarhizium </w:t>
      </w:r>
      <w:r w:rsidRPr="00226D22">
        <w:rPr>
          <w:rFonts w:ascii="Times New Roman" w:hAnsi="Times New Roman" w:cs="Times New Roman"/>
          <w:sz w:val="24"/>
          <w:szCs w:val="24"/>
        </w:rPr>
        <w:t>spp. evolved from plant-symbiotic fungal species and have acquired the ability to infect insects as a later adaptation. Hence, t</w:t>
      </w:r>
      <w:r w:rsidRPr="00226D22">
        <w:rPr>
          <w:rFonts w:ascii="Times New Roman" w:hAnsi="Times New Roman" w:cs="Times New Roman"/>
          <w:color w:val="000000"/>
          <w:sz w:val="24"/>
          <w:szCs w:val="24"/>
          <w:highlight w:val="white"/>
        </w:rPr>
        <w:t xml:space="preserve">here is a growing number of studies regarding the interaction between plants and entomopathogenic fungi such as </w:t>
      </w:r>
      <w:r w:rsidRPr="00226D22">
        <w:rPr>
          <w:rFonts w:ascii="Times New Roman" w:hAnsi="Times New Roman" w:cs="Times New Roman"/>
          <w:i/>
          <w:color w:val="000000"/>
          <w:sz w:val="24"/>
          <w:szCs w:val="24"/>
          <w:highlight w:val="white"/>
        </w:rPr>
        <w:t xml:space="preserve">Metarhizium </w:t>
      </w:r>
      <w:r w:rsidRPr="00226D22">
        <w:rPr>
          <w:rFonts w:ascii="Times New Roman" w:hAnsi="Times New Roman" w:cs="Times New Roman"/>
          <w:color w:val="000000"/>
          <w:sz w:val="24"/>
          <w:szCs w:val="24"/>
          <w:highlight w:val="white"/>
        </w:rPr>
        <w:t xml:space="preserve">spp. It was suggested that </w:t>
      </w:r>
      <w:r w:rsidRPr="00226D22">
        <w:rPr>
          <w:rFonts w:ascii="Times New Roman" w:hAnsi="Times New Roman" w:cs="Times New Roman"/>
          <w:i/>
          <w:color w:val="000000"/>
          <w:sz w:val="24"/>
          <w:szCs w:val="24"/>
          <w:highlight w:val="white"/>
        </w:rPr>
        <w:t xml:space="preserve">Metarhizium </w:t>
      </w:r>
      <w:r w:rsidRPr="00226D22">
        <w:rPr>
          <w:rFonts w:ascii="Times New Roman" w:hAnsi="Times New Roman" w:cs="Times New Roman"/>
          <w:color w:val="000000"/>
          <w:sz w:val="24"/>
          <w:szCs w:val="24"/>
          <w:highlight w:val="white"/>
        </w:rPr>
        <w:t xml:space="preserve">may associate only with plant roots </w:t>
      </w:r>
      <w:r>
        <w:rPr>
          <w:rFonts w:ascii="Times New Roman" w:hAnsi="Times New Roman" w:cs="Times New Roman"/>
          <w:sz w:val="24"/>
          <w:szCs w:val="24"/>
          <w:highlight w:val="white"/>
        </w:rPr>
        <w:fldChar w:fldCharType="begin"/>
      </w:r>
      <w:r>
        <w:rPr>
          <w:rFonts w:ascii="Times New Roman" w:hAnsi="Times New Roman" w:cs="Times New Roman"/>
          <w:sz w:val="24"/>
          <w:szCs w:val="24"/>
          <w:highlight w:val="white"/>
        </w:rPr>
        <w:instrText xml:space="preserve"> ADDIN ZOTERO_ITEM CSL_CITATION {"citationID":"okiu03o3","properties":{"formattedCitation":"(Barelli et al., 2016)","plainCitation":"(Barelli et al., 2016)","noteIndex":0},"citationItems":[{"id":337,"uris":["http://zotero.org/users/10895598/items/ELT9MKEP"],"itemData":{"id":337,"type":"article-journal","container-title":"Plant Molecular Biology","DOI":"10.1007/s11103-015-0413-z","ISSN":"0167-4412, 1573-5028","issue":"6","journalAbbreviation":"Plant Mol Biol","language":"en","page":"657-664","source":"DOI.org (Crossref)","title":"Fungi with multifunctional lifestyles: endophytic insect pathogenic fungi","title-short":"Fungi with multifunctional lifestyles","volume":"90","author":[{"family":"Barelli","given":"Larissa"},{"family":"Moonjely","given":"Soumya"},{"family":"Behie","given":"Scott W."},{"family":"Bidochka","given":"Michael J."}],"issued":{"date-parts":[["2016",4]]}}}],"schema":"https://github.com/citation-style-language/schema/raw/master/csl-citation.json"} </w:instrText>
      </w:r>
      <w:r>
        <w:rPr>
          <w:rFonts w:ascii="Times New Roman" w:hAnsi="Times New Roman" w:cs="Times New Roman"/>
          <w:sz w:val="24"/>
          <w:szCs w:val="24"/>
          <w:highlight w:val="white"/>
        </w:rPr>
        <w:fldChar w:fldCharType="separate"/>
      </w:r>
      <w:r w:rsidRPr="00BB742A">
        <w:rPr>
          <w:rFonts w:ascii="Times New Roman" w:hAnsi="Times New Roman" w:cs="Times New Roman"/>
          <w:sz w:val="24"/>
          <w:highlight w:val="white"/>
        </w:rPr>
        <w:t>(Barelli et al., 2016)</w:t>
      </w:r>
      <w:r>
        <w:rPr>
          <w:rFonts w:ascii="Times New Roman" w:hAnsi="Times New Roman" w:cs="Times New Roman"/>
          <w:sz w:val="24"/>
          <w:szCs w:val="24"/>
          <w:highlight w:val="white"/>
        </w:rPr>
        <w:fldChar w:fldCharType="end"/>
      </w:r>
      <w:r w:rsidRPr="00226D22">
        <w:rPr>
          <w:rFonts w:ascii="Times New Roman" w:hAnsi="Times New Roman" w:cs="Times New Roman"/>
          <w:color w:val="000000"/>
          <w:sz w:val="24"/>
          <w:szCs w:val="24"/>
        </w:rPr>
        <w:t xml:space="preserve">, </w:t>
      </w:r>
      <w:r w:rsidRPr="00226D22">
        <w:rPr>
          <w:rFonts w:ascii="Times New Roman" w:hAnsi="Times New Roman" w:cs="Times New Roman"/>
          <w:color w:val="000000"/>
          <w:sz w:val="24"/>
          <w:szCs w:val="24"/>
          <w:highlight w:val="white"/>
        </w:rPr>
        <w:t xml:space="preserve">or endophytically in belowground </w:t>
      </w:r>
      <w:r>
        <w:rPr>
          <w:rFonts w:ascii="Times New Roman" w:hAnsi="Times New Roman" w:cs="Times New Roman"/>
          <w:color w:val="000000"/>
          <w:sz w:val="24"/>
          <w:szCs w:val="24"/>
          <w:highlight w:val="white"/>
        </w:rPr>
        <w:t xml:space="preserve">or aboveground </w:t>
      </w:r>
      <w:r w:rsidRPr="00226D22">
        <w:rPr>
          <w:rFonts w:ascii="Times New Roman" w:hAnsi="Times New Roman" w:cs="Times New Roman"/>
          <w:color w:val="000000"/>
          <w:sz w:val="24"/>
          <w:szCs w:val="24"/>
          <w:highlight w:val="white"/>
        </w:rPr>
        <w:t xml:space="preserve">plant tissues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{"citationID":"5TRyo1RF","properties":{"formattedCitation":"(Batta, 2013)","plainCitation":"(Batta, 2013)","noteIndex":0},"citationItems":[{"id":152,"uris":["http://zotero.org/users/10895598/items/6ZLNINYM"],"itemData":{"id":152,"type":"article-journal","container-title":"Crop Protection","DOI":"10.1016/j.cropro.2012.11.001","ISSN":"02612194","journalAbbreviation":"Crop Protection","language":"en","page":"128-134","source":"DOI.org (Crossref)","title":"Efficacy of endophytic and applied &lt;i&gt;Metarhizium anisopliae&lt;/i&gt; (Metch.) Sorokin (Ascomycota: Hypocreales) against larvae of &lt;i&gt;Plutella xylostella&lt;/i&gt; L. (Yponomeutidae: Lepidoptera) infesting &lt;i&gt;Brassica napus&lt;/i&gt; plants","title-short":"Efficacy of endophytic and applied Metarhizium anisopliae (Metch.) Sorokin (Ascomycota","volume":"44","author":[{"family":"Batta","given":"Yacoub A."}],"issued":{"date-parts":[["2013",2]]}}}],"schema":"https://github.com/citation-style-language/schema/raw/master/csl-citation.json"} </w:instrText>
      </w:r>
      <w:r>
        <w:rPr>
          <w:rFonts w:ascii="Times New Roman" w:hAnsi="Times New Roman" w:cs="Times New Roman"/>
          <w:sz w:val="24"/>
          <w:szCs w:val="24"/>
        </w:rPr>
        <w:fldChar w:fldCharType="separate"/>
      </w:r>
      <w:r w:rsidRPr="00BB742A">
        <w:rPr>
          <w:rFonts w:ascii="Times New Roman" w:hAnsi="Times New Roman" w:cs="Times New Roman"/>
          <w:sz w:val="24"/>
        </w:rPr>
        <w:t>(Batta, 2013)</w:t>
      </w:r>
      <w:r>
        <w:rPr>
          <w:rFonts w:ascii="Times New Roman" w:hAnsi="Times New Roman" w:cs="Times New Roman"/>
          <w:sz w:val="24"/>
          <w:szCs w:val="24"/>
        </w:rPr>
        <w:fldChar w:fldCharType="end"/>
      </w:r>
      <w:r w:rsidRPr="00226D22">
        <w:rPr>
          <w:rFonts w:ascii="Times New Roman" w:hAnsi="Times New Roman" w:cs="Times New Roman"/>
          <w:color w:val="000000"/>
          <w:sz w:val="24"/>
          <w:szCs w:val="24"/>
          <w:highlight w:val="white"/>
        </w:rPr>
        <w:t xml:space="preserve">. Some studies suggest that while residing in the rhizosphere, </w:t>
      </w:r>
      <w:r w:rsidRPr="00226D22">
        <w:rPr>
          <w:rFonts w:ascii="Times New Roman" w:hAnsi="Times New Roman" w:cs="Times New Roman"/>
          <w:i/>
          <w:color w:val="000000"/>
          <w:sz w:val="24"/>
          <w:szCs w:val="24"/>
          <w:highlight w:val="white"/>
        </w:rPr>
        <w:t xml:space="preserve">Metarhizium </w:t>
      </w:r>
      <w:r w:rsidRPr="00226D22">
        <w:rPr>
          <w:rFonts w:ascii="Times New Roman" w:hAnsi="Times New Roman" w:cs="Times New Roman"/>
          <w:color w:val="000000"/>
          <w:sz w:val="24"/>
          <w:szCs w:val="24"/>
          <w:highlight w:val="white"/>
        </w:rPr>
        <w:t>fungi</w:t>
      </w:r>
      <w:r w:rsidRPr="00226D22">
        <w:rPr>
          <w:rFonts w:ascii="Times New Roman" w:hAnsi="Times New Roman" w:cs="Times New Roman"/>
          <w:i/>
          <w:color w:val="000000"/>
          <w:sz w:val="24"/>
          <w:szCs w:val="24"/>
          <w:highlight w:val="white"/>
        </w:rPr>
        <w:t xml:space="preserve"> </w:t>
      </w:r>
      <w:r w:rsidRPr="00226D22">
        <w:rPr>
          <w:rFonts w:ascii="Times New Roman" w:hAnsi="Times New Roman" w:cs="Times New Roman"/>
          <w:color w:val="000000"/>
          <w:sz w:val="24"/>
          <w:szCs w:val="24"/>
          <w:highlight w:val="white"/>
        </w:rPr>
        <w:t xml:space="preserve">may trigger defence responses in the aboveground level of plants, such as GLS synthesis and phytohormonal </w:t>
      </w:r>
      <w:proofErr w:type="spellStart"/>
      <w:r w:rsidRPr="00226D22">
        <w:rPr>
          <w:rFonts w:ascii="Times New Roman" w:hAnsi="Times New Roman" w:cs="Times New Roman"/>
          <w:color w:val="000000"/>
          <w:sz w:val="24"/>
          <w:szCs w:val="24"/>
          <w:highlight w:val="white"/>
        </w:rPr>
        <w:t>signaling</w:t>
      </w:r>
      <w:proofErr w:type="spellEnd"/>
      <w:r w:rsidRPr="00226D22">
        <w:rPr>
          <w:rFonts w:ascii="Times New Roman" w:hAnsi="Times New Roman" w:cs="Times New Roman"/>
          <w:color w:val="000000"/>
          <w:sz w:val="24"/>
          <w:szCs w:val="24"/>
          <w:highlight w:val="white"/>
        </w:rPr>
        <w:t xml:space="preserve"> </w:t>
      </w:r>
      <w:r>
        <w:rPr>
          <w:rFonts w:ascii="Times New Roman" w:hAnsi="Times New Roman" w:cs="Times New Roman"/>
          <w:color w:val="000000"/>
          <w:sz w:val="24"/>
          <w:szCs w:val="24"/>
          <w:highlight w:val="white"/>
        </w:rPr>
        <w:fldChar w:fldCharType="begin"/>
      </w:r>
      <w:r>
        <w:rPr>
          <w:rFonts w:ascii="Times New Roman" w:hAnsi="Times New Roman" w:cs="Times New Roman"/>
          <w:color w:val="000000"/>
          <w:sz w:val="24"/>
          <w:szCs w:val="24"/>
          <w:highlight w:val="white"/>
        </w:rPr>
        <w:instrText xml:space="preserve"> ADDIN ZOTERO_ITEM CSL_CITATION {"citationID":"sRGamJBi","properties":{"formattedCitation":"(Cachapa et al., 2021; Hu and Bidochka, 2021a)","plainCitation":"(Cachapa et al., 2021; Hu and Bidochka, 2021a)","noteIndex":0},"citationItems":[{"id":155,"uris":["http://zotero.org/users/10895598/items/BML6IUQL"],"itemData":{"id":155,"type":"article-journal","container-title":"Journal of Chemical Ecology","DOI":"10.1007/s10886-020-01234-x","ISSN":"0098-0331, 1573-1561","issue":"1","journalAbbreviation":"J Chem Ecol","language":"en","page":"112-122","source":"DOI.org (Crossref)","title":"Induction and priming of plant defense by root-associated insect-pathogenic fungi","volume":"47","author":[{"family":"Cachapa","given":"Joana Carvalho"},{"family":"Meyling","given":"Nicolai Vitt"},{"family":"Burow","given":"Meike"},{"family":"Hauser","given":"Thure Pavlo"}],"issued":{"date-parts":[["2021",1]]}}},{"id":180,"uris":["http://zotero.org/users/10895598/items/K88FMUPP"],"itemData":{"id":180,"type":"article-journal","container-title":"Journal of Applied Microbiology","DOI":"10.1111/jam.14503","ISSN":"1364-5072, 1365-2672","issue":"2","journalAbbreviation":"J Appl Microbiol","language":"en","page":"570-581","source":"DOI.org (Crossref)","title":"Root colonization by endophytic insect‐pathogenic fungi","volume":"130","author":[{"family":"Hu","given":"S."},{"family":"Bidochka","given":"M.J."}],"issued":{"date-parts":[["2021",2]]}}}],"schema":"https://github.com/citation-style-language/schema/raw/master/csl-citation.json"} </w:instrText>
      </w:r>
      <w:r>
        <w:rPr>
          <w:rFonts w:ascii="Times New Roman" w:hAnsi="Times New Roman" w:cs="Times New Roman"/>
          <w:color w:val="000000"/>
          <w:sz w:val="24"/>
          <w:szCs w:val="24"/>
          <w:highlight w:val="white"/>
        </w:rPr>
        <w:fldChar w:fldCharType="separate"/>
      </w:r>
      <w:r w:rsidRPr="00BB742A">
        <w:rPr>
          <w:rFonts w:ascii="Times New Roman" w:hAnsi="Times New Roman" w:cs="Times New Roman"/>
          <w:sz w:val="24"/>
          <w:highlight w:val="white"/>
        </w:rPr>
        <w:t>(Cachapa et al., 2021; Hu and Bidochka, 2021a)</w:t>
      </w:r>
      <w:r>
        <w:rPr>
          <w:rFonts w:ascii="Times New Roman" w:hAnsi="Times New Roman" w:cs="Times New Roman"/>
          <w:color w:val="000000"/>
          <w:sz w:val="24"/>
          <w:szCs w:val="24"/>
          <w:highlight w:val="white"/>
        </w:rPr>
        <w:fldChar w:fldCharType="end"/>
      </w:r>
      <w:r w:rsidRPr="00226D22">
        <w:rPr>
          <w:rFonts w:ascii="Times New Roman" w:hAnsi="Times New Roman" w:cs="Times New Roman"/>
          <w:color w:val="000000"/>
          <w:sz w:val="24"/>
          <w:szCs w:val="24"/>
          <w:highlight w:val="white"/>
        </w:rPr>
        <w:t xml:space="preserve">. However, as with most microbe-induced resistance responses, results are inconsistent and often highly context-dependent. </w:t>
      </w:r>
      <w:r w:rsidRPr="00226D22">
        <w:rPr>
          <w:rFonts w:ascii="Times New Roman" w:hAnsi="Times New Roman" w:cs="Times New Roman"/>
          <w:sz w:val="24"/>
          <w:szCs w:val="24"/>
        </w:rPr>
        <w:t>Qing et al. (2023)</w:t>
      </w:r>
      <w:r w:rsidRPr="00226D22">
        <w:rPr>
          <w:rFonts w:ascii="Times New Roman" w:hAnsi="Times New Roman" w:cs="Times New Roman"/>
          <w:color w:val="000000"/>
          <w:sz w:val="24"/>
          <w:szCs w:val="24"/>
        </w:rPr>
        <w:t xml:space="preserve"> </w:t>
      </w:r>
      <w:r w:rsidRPr="00226D22">
        <w:rPr>
          <w:rFonts w:ascii="Times New Roman" w:hAnsi="Times New Roman" w:cs="Times New Roman"/>
          <w:color w:val="000000"/>
          <w:sz w:val="24"/>
          <w:szCs w:val="24"/>
          <w:highlight w:val="white"/>
        </w:rPr>
        <w:t xml:space="preserve">found that the production of indole and aliphatic GLSs increased in cauliflower leaves after root treatment with </w:t>
      </w:r>
      <w:r w:rsidRPr="00226D22">
        <w:rPr>
          <w:rFonts w:ascii="Times New Roman" w:hAnsi="Times New Roman" w:cs="Times New Roman"/>
          <w:i/>
          <w:color w:val="000000"/>
          <w:sz w:val="24"/>
          <w:szCs w:val="24"/>
          <w:highlight w:val="white"/>
        </w:rPr>
        <w:t xml:space="preserve">M. </w:t>
      </w:r>
      <w:proofErr w:type="spellStart"/>
      <w:r w:rsidRPr="00226D22">
        <w:rPr>
          <w:rFonts w:ascii="Times New Roman" w:hAnsi="Times New Roman" w:cs="Times New Roman"/>
          <w:i/>
          <w:color w:val="000000"/>
          <w:sz w:val="24"/>
          <w:szCs w:val="24"/>
          <w:highlight w:val="white"/>
        </w:rPr>
        <w:t>robertsii</w:t>
      </w:r>
      <w:proofErr w:type="spellEnd"/>
      <w:r w:rsidRPr="00226D22">
        <w:rPr>
          <w:rFonts w:ascii="Times New Roman" w:hAnsi="Times New Roman" w:cs="Times New Roman"/>
          <w:color w:val="000000"/>
          <w:sz w:val="24"/>
          <w:szCs w:val="24"/>
          <w:highlight w:val="white"/>
        </w:rPr>
        <w:t xml:space="preserve"> and subsequent leaf consumption by </w:t>
      </w:r>
      <w:r w:rsidRPr="00226D22">
        <w:rPr>
          <w:rFonts w:ascii="Times New Roman" w:hAnsi="Times New Roman" w:cs="Times New Roman"/>
          <w:i/>
          <w:color w:val="000000"/>
          <w:sz w:val="24"/>
          <w:szCs w:val="24"/>
          <w:highlight w:val="white"/>
        </w:rPr>
        <w:t xml:space="preserve">P. </w:t>
      </w:r>
      <w:proofErr w:type="spellStart"/>
      <w:r w:rsidRPr="00226D22">
        <w:rPr>
          <w:rFonts w:ascii="Times New Roman" w:hAnsi="Times New Roman" w:cs="Times New Roman"/>
          <w:i/>
          <w:color w:val="000000"/>
          <w:sz w:val="24"/>
          <w:szCs w:val="24"/>
          <w:highlight w:val="white"/>
        </w:rPr>
        <w:t>xylostella</w:t>
      </w:r>
      <w:proofErr w:type="spellEnd"/>
      <w:r w:rsidRPr="00226D22">
        <w:rPr>
          <w:rFonts w:ascii="Times New Roman" w:hAnsi="Times New Roman" w:cs="Times New Roman"/>
          <w:color w:val="000000"/>
          <w:sz w:val="24"/>
          <w:szCs w:val="24"/>
          <w:highlight w:val="white"/>
        </w:rPr>
        <w:t xml:space="preserve"> caterpillars was significantly reduced compared to non-inoculated plants. Similar results were obtained in the study with fungus </w:t>
      </w:r>
      <w:r w:rsidRPr="00226D22">
        <w:rPr>
          <w:rFonts w:ascii="Times New Roman" w:hAnsi="Times New Roman" w:cs="Times New Roman"/>
          <w:i/>
          <w:color w:val="000000"/>
          <w:sz w:val="24"/>
          <w:szCs w:val="24"/>
          <w:highlight w:val="white"/>
        </w:rPr>
        <w:t xml:space="preserve">M. </w:t>
      </w:r>
      <w:proofErr w:type="spellStart"/>
      <w:r w:rsidRPr="00226D22">
        <w:rPr>
          <w:rFonts w:ascii="Times New Roman" w:hAnsi="Times New Roman" w:cs="Times New Roman"/>
          <w:i/>
          <w:color w:val="000000"/>
          <w:sz w:val="24"/>
          <w:szCs w:val="24"/>
          <w:highlight w:val="white"/>
        </w:rPr>
        <w:t>brunneum</w:t>
      </w:r>
      <w:proofErr w:type="spellEnd"/>
      <w:r w:rsidRPr="00226D22">
        <w:rPr>
          <w:rFonts w:ascii="Times New Roman" w:hAnsi="Times New Roman" w:cs="Times New Roman"/>
          <w:color w:val="000000"/>
          <w:sz w:val="24"/>
          <w:szCs w:val="24"/>
          <w:highlight w:val="white"/>
        </w:rPr>
        <w:t xml:space="preserve"> by </w:t>
      </w:r>
      <w:proofErr w:type="spellStart"/>
      <w:r w:rsidRPr="00226D22">
        <w:rPr>
          <w:rFonts w:ascii="Times New Roman" w:hAnsi="Times New Roman" w:cs="Times New Roman"/>
          <w:color w:val="000000"/>
          <w:sz w:val="24"/>
          <w:szCs w:val="24"/>
          <w:highlight w:val="white"/>
        </w:rPr>
        <w:t>Cachapa</w:t>
      </w:r>
      <w:proofErr w:type="spellEnd"/>
      <w:r w:rsidRPr="00226D22">
        <w:rPr>
          <w:rFonts w:ascii="Times New Roman" w:hAnsi="Times New Roman" w:cs="Times New Roman"/>
          <w:color w:val="000000"/>
          <w:sz w:val="24"/>
          <w:szCs w:val="24"/>
          <w:highlight w:val="white"/>
        </w:rPr>
        <w:t xml:space="preserve"> et al. (2021): the fungus associated with roots of cauliflower when fungal-treated rice grains were introduced to the soil with cauliflower plants; subsequently, the </w:t>
      </w:r>
      <w:proofErr w:type="spellStart"/>
      <w:r w:rsidRPr="00226D22">
        <w:rPr>
          <w:rFonts w:ascii="Times New Roman" w:hAnsi="Times New Roman" w:cs="Times New Roman"/>
          <w:color w:val="000000"/>
          <w:sz w:val="24"/>
          <w:szCs w:val="24"/>
          <w:highlight w:val="white"/>
        </w:rPr>
        <w:t>myrosinase</w:t>
      </w:r>
      <w:proofErr w:type="spellEnd"/>
      <w:r w:rsidRPr="00226D22">
        <w:rPr>
          <w:rFonts w:ascii="Times New Roman" w:hAnsi="Times New Roman" w:cs="Times New Roman"/>
          <w:color w:val="000000"/>
          <w:sz w:val="24"/>
          <w:szCs w:val="24"/>
          <w:highlight w:val="white"/>
        </w:rPr>
        <w:t xml:space="preserve"> activity was </w:t>
      </w:r>
      <w:r>
        <w:rPr>
          <w:rFonts w:ascii="Times New Roman" w:hAnsi="Times New Roman" w:cs="Times New Roman"/>
          <w:color w:val="000000"/>
          <w:sz w:val="24"/>
          <w:szCs w:val="24"/>
          <w:highlight w:val="white"/>
        </w:rPr>
        <w:t>higher</w:t>
      </w:r>
      <w:r w:rsidRPr="00226D22">
        <w:rPr>
          <w:rFonts w:ascii="Times New Roman" w:hAnsi="Times New Roman" w:cs="Times New Roman"/>
          <w:color w:val="000000"/>
          <w:sz w:val="24"/>
          <w:szCs w:val="24"/>
          <w:highlight w:val="white"/>
        </w:rPr>
        <w:t xml:space="preserve"> in </w:t>
      </w:r>
      <w:r w:rsidRPr="00226D22">
        <w:rPr>
          <w:rFonts w:ascii="Times New Roman" w:hAnsi="Times New Roman" w:cs="Times New Roman"/>
          <w:i/>
          <w:color w:val="000000"/>
          <w:sz w:val="24"/>
          <w:szCs w:val="24"/>
          <w:highlight w:val="white"/>
        </w:rPr>
        <w:t xml:space="preserve">M. </w:t>
      </w:r>
      <w:proofErr w:type="spellStart"/>
      <w:r w:rsidRPr="00226D22">
        <w:rPr>
          <w:rFonts w:ascii="Times New Roman" w:hAnsi="Times New Roman" w:cs="Times New Roman"/>
          <w:i/>
          <w:color w:val="000000"/>
          <w:sz w:val="24"/>
          <w:szCs w:val="24"/>
          <w:highlight w:val="white"/>
        </w:rPr>
        <w:t>brunneum</w:t>
      </w:r>
      <w:proofErr w:type="spellEnd"/>
      <w:r w:rsidRPr="00226D22">
        <w:rPr>
          <w:rFonts w:ascii="Times New Roman" w:hAnsi="Times New Roman" w:cs="Times New Roman"/>
          <w:color w:val="000000"/>
          <w:sz w:val="24"/>
          <w:szCs w:val="24"/>
          <w:highlight w:val="white"/>
        </w:rPr>
        <w:t xml:space="preserve">-inoculated plants after herbivory by </w:t>
      </w:r>
      <w:r w:rsidRPr="00226D22">
        <w:rPr>
          <w:rFonts w:ascii="Times New Roman" w:hAnsi="Times New Roman" w:cs="Times New Roman"/>
          <w:i/>
          <w:color w:val="000000"/>
          <w:sz w:val="24"/>
          <w:szCs w:val="24"/>
          <w:highlight w:val="white"/>
        </w:rPr>
        <w:t xml:space="preserve">P. </w:t>
      </w:r>
      <w:proofErr w:type="spellStart"/>
      <w:r w:rsidRPr="00226D22">
        <w:rPr>
          <w:rFonts w:ascii="Times New Roman" w:hAnsi="Times New Roman" w:cs="Times New Roman"/>
          <w:i/>
          <w:color w:val="000000"/>
          <w:sz w:val="24"/>
          <w:szCs w:val="24"/>
          <w:highlight w:val="white"/>
        </w:rPr>
        <w:t>xylostella</w:t>
      </w:r>
      <w:proofErr w:type="spellEnd"/>
      <w:r w:rsidRPr="00226D22">
        <w:rPr>
          <w:rFonts w:ascii="Times New Roman" w:hAnsi="Times New Roman" w:cs="Times New Roman"/>
          <w:color w:val="000000"/>
          <w:sz w:val="24"/>
          <w:szCs w:val="24"/>
          <w:highlight w:val="white"/>
        </w:rPr>
        <w:t xml:space="preserve"> than in </w:t>
      </w:r>
      <w:r w:rsidRPr="00226D22">
        <w:rPr>
          <w:rFonts w:ascii="Times New Roman" w:hAnsi="Times New Roman" w:cs="Times New Roman"/>
          <w:i/>
          <w:color w:val="000000"/>
          <w:sz w:val="24"/>
          <w:szCs w:val="24"/>
          <w:highlight w:val="white"/>
        </w:rPr>
        <w:t>Metarhizium</w:t>
      </w:r>
      <w:r w:rsidRPr="00226D22">
        <w:rPr>
          <w:rFonts w:ascii="Times New Roman" w:hAnsi="Times New Roman" w:cs="Times New Roman"/>
          <w:color w:val="000000"/>
          <w:sz w:val="24"/>
          <w:szCs w:val="24"/>
          <w:highlight w:val="white"/>
        </w:rPr>
        <w:t xml:space="preserve">-free plants after herbivory. </w:t>
      </w:r>
      <w:r w:rsidRPr="00226D22">
        <w:rPr>
          <w:rFonts w:ascii="Times New Roman" w:hAnsi="Times New Roman" w:cs="Times New Roman"/>
          <w:sz w:val="24"/>
          <w:szCs w:val="24"/>
          <w:highlight w:val="white"/>
        </w:rPr>
        <w:t>In addition</w:t>
      </w:r>
      <w:r w:rsidRPr="00226D22">
        <w:rPr>
          <w:rFonts w:ascii="Times New Roman" w:hAnsi="Times New Roman" w:cs="Times New Roman"/>
          <w:color w:val="000000"/>
          <w:sz w:val="24"/>
          <w:szCs w:val="24"/>
          <w:highlight w:val="white"/>
        </w:rPr>
        <w:t xml:space="preserve">, </w:t>
      </w:r>
      <w:r w:rsidRPr="00226D22">
        <w:rPr>
          <w:rFonts w:ascii="Times New Roman" w:hAnsi="Times New Roman" w:cs="Times New Roman"/>
          <w:i/>
          <w:color w:val="000000"/>
          <w:sz w:val="24"/>
          <w:szCs w:val="24"/>
          <w:highlight w:val="white"/>
        </w:rPr>
        <w:t>Metarhizium</w:t>
      </w:r>
      <w:r w:rsidRPr="00226D22">
        <w:rPr>
          <w:rFonts w:ascii="Times New Roman" w:hAnsi="Times New Roman" w:cs="Times New Roman"/>
          <w:color w:val="000000"/>
          <w:sz w:val="24"/>
          <w:szCs w:val="24"/>
          <w:highlight w:val="white"/>
        </w:rPr>
        <w:t xml:space="preserve">-inoculated plants were less consumed by caterpillars compared to control plants. It can therefore be suggested that </w:t>
      </w:r>
      <w:r w:rsidRPr="00226D22">
        <w:rPr>
          <w:rFonts w:ascii="Times New Roman" w:hAnsi="Times New Roman" w:cs="Times New Roman"/>
          <w:i/>
          <w:color w:val="000000"/>
          <w:sz w:val="24"/>
          <w:szCs w:val="24"/>
          <w:highlight w:val="white"/>
        </w:rPr>
        <w:t xml:space="preserve">M. </w:t>
      </w:r>
      <w:proofErr w:type="spellStart"/>
      <w:r w:rsidRPr="00226D22">
        <w:rPr>
          <w:rFonts w:ascii="Times New Roman" w:hAnsi="Times New Roman" w:cs="Times New Roman"/>
          <w:i/>
          <w:color w:val="000000"/>
          <w:sz w:val="24"/>
          <w:szCs w:val="24"/>
          <w:highlight w:val="white"/>
        </w:rPr>
        <w:t>robertsii</w:t>
      </w:r>
      <w:proofErr w:type="spellEnd"/>
      <w:r w:rsidRPr="00226D22">
        <w:rPr>
          <w:rFonts w:ascii="Times New Roman" w:hAnsi="Times New Roman" w:cs="Times New Roman"/>
          <w:i/>
          <w:color w:val="000000"/>
          <w:sz w:val="24"/>
          <w:szCs w:val="24"/>
          <w:highlight w:val="white"/>
        </w:rPr>
        <w:t xml:space="preserve"> </w:t>
      </w:r>
      <w:r w:rsidRPr="00226D22">
        <w:rPr>
          <w:rFonts w:ascii="Times New Roman" w:hAnsi="Times New Roman" w:cs="Times New Roman"/>
          <w:color w:val="000000"/>
          <w:sz w:val="24"/>
          <w:szCs w:val="24"/>
          <w:highlight w:val="white"/>
        </w:rPr>
        <w:t xml:space="preserve">and </w:t>
      </w:r>
      <w:r w:rsidRPr="00226D22">
        <w:rPr>
          <w:rFonts w:ascii="Times New Roman" w:hAnsi="Times New Roman" w:cs="Times New Roman"/>
          <w:i/>
          <w:color w:val="000000"/>
          <w:sz w:val="24"/>
          <w:szCs w:val="24"/>
          <w:highlight w:val="white"/>
        </w:rPr>
        <w:t>M</w:t>
      </w:r>
      <w:r w:rsidRPr="00226D22">
        <w:rPr>
          <w:rFonts w:ascii="Times New Roman" w:hAnsi="Times New Roman" w:cs="Times New Roman"/>
          <w:color w:val="000000"/>
          <w:sz w:val="24"/>
          <w:szCs w:val="24"/>
          <w:highlight w:val="white"/>
        </w:rPr>
        <w:t xml:space="preserve">. </w:t>
      </w:r>
      <w:proofErr w:type="spellStart"/>
      <w:r w:rsidRPr="00226D22">
        <w:rPr>
          <w:rFonts w:ascii="Times New Roman" w:hAnsi="Times New Roman" w:cs="Times New Roman"/>
          <w:i/>
          <w:color w:val="000000"/>
          <w:sz w:val="24"/>
          <w:szCs w:val="24"/>
          <w:highlight w:val="white"/>
        </w:rPr>
        <w:t>brunneum</w:t>
      </w:r>
      <w:proofErr w:type="spellEnd"/>
      <w:r w:rsidRPr="00226D22">
        <w:rPr>
          <w:rFonts w:ascii="Times New Roman" w:hAnsi="Times New Roman" w:cs="Times New Roman"/>
          <w:color w:val="000000"/>
          <w:sz w:val="24"/>
          <w:szCs w:val="24"/>
          <w:highlight w:val="white"/>
        </w:rPr>
        <w:t xml:space="preserve"> “prime” the plant for defence against chewing herbivores. </w:t>
      </w:r>
      <w:r w:rsidRPr="00226D22">
        <w:rPr>
          <w:rFonts w:ascii="Times New Roman" w:hAnsi="Times New Roman" w:cs="Times New Roman"/>
          <w:sz w:val="24"/>
          <w:szCs w:val="24"/>
          <w:highlight w:val="white"/>
        </w:rPr>
        <w:t>Moreover</w:t>
      </w:r>
      <w:r w:rsidRPr="00226D22">
        <w:rPr>
          <w:rFonts w:ascii="Times New Roman" w:hAnsi="Times New Roman" w:cs="Times New Roman"/>
          <w:color w:val="000000"/>
          <w:sz w:val="24"/>
          <w:szCs w:val="24"/>
          <w:highlight w:val="white"/>
        </w:rPr>
        <w:t xml:space="preserve">, </w:t>
      </w:r>
      <w:r w:rsidRPr="00226D22">
        <w:rPr>
          <w:rFonts w:ascii="Times New Roman" w:hAnsi="Times New Roman" w:cs="Times New Roman"/>
          <w:sz w:val="24"/>
          <w:szCs w:val="24"/>
        </w:rPr>
        <w:t>Batta (2013)</w:t>
      </w:r>
      <w:r w:rsidRPr="00226D22">
        <w:rPr>
          <w:rFonts w:ascii="Times New Roman" w:hAnsi="Times New Roman" w:cs="Times New Roman"/>
          <w:color w:val="000000"/>
          <w:sz w:val="24"/>
          <w:szCs w:val="24"/>
        </w:rPr>
        <w:t xml:space="preserve"> </w:t>
      </w:r>
      <w:r w:rsidRPr="00226D22">
        <w:rPr>
          <w:rFonts w:ascii="Times New Roman" w:hAnsi="Times New Roman" w:cs="Times New Roman"/>
          <w:color w:val="000000"/>
          <w:sz w:val="24"/>
          <w:szCs w:val="24"/>
          <w:highlight w:val="white"/>
        </w:rPr>
        <w:t xml:space="preserve">found that </w:t>
      </w:r>
      <w:r w:rsidRPr="00226D22">
        <w:rPr>
          <w:rFonts w:ascii="Times New Roman" w:hAnsi="Times New Roman" w:cs="Times New Roman"/>
          <w:i/>
          <w:color w:val="000000"/>
          <w:sz w:val="24"/>
          <w:szCs w:val="24"/>
          <w:highlight w:val="white"/>
        </w:rPr>
        <w:t>M. anisopliae</w:t>
      </w:r>
      <w:r w:rsidRPr="00226D22">
        <w:rPr>
          <w:rFonts w:ascii="Times New Roman" w:hAnsi="Times New Roman" w:cs="Times New Roman"/>
          <w:color w:val="000000"/>
          <w:sz w:val="24"/>
          <w:szCs w:val="24"/>
          <w:highlight w:val="white"/>
        </w:rPr>
        <w:t xml:space="preserve"> increased the mortality of </w:t>
      </w:r>
      <w:r w:rsidRPr="00226D22">
        <w:rPr>
          <w:rFonts w:ascii="Times New Roman" w:hAnsi="Times New Roman" w:cs="Times New Roman"/>
          <w:i/>
          <w:color w:val="000000"/>
          <w:sz w:val="24"/>
          <w:szCs w:val="24"/>
          <w:highlight w:val="white"/>
        </w:rPr>
        <w:t xml:space="preserve">P. </w:t>
      </w:r>
      <w:proofErr w:type="spellStart"/>
      <w:r w:rsidRPr="00226D22">
        <w:rPr>
          <w:rFonts w:ascii="Times New Roman" w:hAnsi="Times New Roman" w:cs="Times New Roman"/>
          <w:i/>
          <w:color w:val="000000"/>
          <w:sz w:val="24"/>
          <w:szCs w:val="24"/>
          <w:highlight w:val="white"/>
        </w:rPr>
        <w:t>xylostella</w:t>
      </w:r>
      <w:proofErr w:type="spellEnd"/>
      <w:r w:rsidRPr="00226D22">
        <w:rPr>
          <w:rFonts w:ascii="Times New Roman" w:hAnsi="Times New Roman" w:cs="Times New Roman"/>
          <w:color w:val="000000"/>
          <w:sz w:val="24"/>
          <w:szCs w:val="24"/>
          <w:highlight w:val="white"/>
        </w:rPr>
        <w:t xml:space="preserve"> larvae on inoculated </w:t>
      </w:r>
      <w:r w:rsidRPr="00226D22">
        <w:rPr>
          <w:rFonts w:ascii="Times New Roman" w:hAnsi="Times New Roman" w:cs="Times New Roman"/>
          <w:i/>
          <w:color w:val="000000"/>
          <w:sz w:val="24"/>
          <w:szCs w:val="24"/>
          <w:highlight w:val="white"/>
        </w:rPr>
        <w:t>B. napus</w:t>
      </w:r>
      <w:r w:rsidRPr="00226D22">
        <w:rPr>
          <w:rFonts w:ascii="Times New Roman" w:hAnsi="Times New Roman" w:cs="Times New Roman"/>
          <w:color w:val="000000"/>
          <w:sz w:val="24"/>
          <w:szCs w:val="24"/>
          <w:highlight w:val="white"/>
        </w:rPr>
        <w:t>.</w:t>
      </w:r>
      <w:r w:rsidRPr="00226D22">
        <w:rPr>
          <w:rFonts w:ascii="Times New Roman" w:hAnsi="Times New Roman" w:cs="Times New Roman"/>
          <w:sz w:val="24"/>
          <w:szCs w:val="24"/>
          <w:highlight w:val="white"/>
        </w:rPr>
        <w:t xml:space="preserve"> </w:t>
      </w:r>
      <w:r w:rsidRPr="00226D22">
        <w:rPr>
          <w:rFonts w:ascii="Times New Roman" w:hAnsi="Times New Roman" w:cs="Times New Roman"/>
          <w:color w:val="000000"/>
          <w:sz w:val="24"/>
          <w:szCs w:val="24"/>
          <w:highlight w:val="white"/>
        </w:rPr>
        <w:t xml:space="preserve">Another study reported a negative effect of </w:t>
      </w:r>
      <w:r w:rsidRPr="00226D22">
        <w:rPr>
          <w:rFonts w:ascii="Times New Roman" w:hAnsi="Times New Roman" w:cs="Times New Roman"/>
          <w:i/>
          <w:sz w:val="24"/>
          <w:szCs w:val="24"/>
          <w:highlight w:val="white"/>
        </w:rPr>
        <w:t xml:space="preserve">M. </w:t>
      </w:r>
      <w:proofErr w:type="spellStart"/>
      <w:r w:rsidRPr="00226D22">
        <w:rPr>
          <w:rFonts w:ascii="Times New Roman" w:hAnsi="Times New Roman" w:cs="Times New Roman"/>
          <w:i/>
          <w:sz w:val="24"/>
          <w:szCs w:val="24"/>
          <w:highlight w:val="white"/>
        </w:rPr>
        <w:t>robertsii</w:t>
      </w:r>
      <w:proofErr w:type="spellEnd"/>
      <w:r w:rsidRPr="00226D22">
        <w:rPr>
          <w:rFonts w:ascii="Times New Roman" w:hAnsi="Times New Roman" w:cs="Times New Roman"/>
          <w:i/>
          <w:sz w:val="24"/>
          <w:szCs w:val="24"/>
          <w:highlight w:val="white"/>
        </w:rPr>
        <w:t xml:space="preserve"> </w:t>
      </w:r>
      <w:r w:rsidRPr="00226D22">
        <w:rPr>
          <w:rFonts w:ascii="Times New Roman" w:hAnsi="Times New Roman" w:cs="Times New Roman"/>
          <w:sz w:val="24"/>
          <w:szCs w:val="24"/>
          <w:highlight w:val="white"/>
        </w:rPr>
        <w:t>on insect performance:</w:t>
      </w:r>
      <w:r w:rsidRPr="00226D22">
        <w:rPr>
          <w:rFonts w:ascii="Times New Roman" w:hAnsi="Times New Roman" w:cs="Times New Roman"/>
          <w:color w:val="000000"/>
          <w:sz w:val="24"/>
          <w:szCs w:val="24"/>
          <w:highlight w:val="white"/>
        </w:rPr>
        <w:t xml:space="preserve"> fungal inoculation of wheat seeds significantly reduced </w:t>
      </w:r>
      <w:r w:rsidRPr="00226D22">
        <w:rPr>
          <w:rFonts w:ascii="Times New Roman" w:hAnsi="Times New Roman" w:cs="Times New Roman"/>
          <w:sz w:val="24"/>
          <w:szCs w:val="24"/>
          <w:highlight w:val="white"/>
        </w:rPr>
        <w:t xml:space="preserve">the population growth of </w:t>
      </w:r>
      <w:r>
        <w:rPr>
          <w:rFonts w:ascii="Times New Roman" w:hAnsi="Times New Roman" w:cs="Times New Roman"/>
          <w:sz w:val="24"/>
          <w:szCs w:val="24"/>
          <w:highlight w:val="white"/>
        </w:rPr>
        <w:t xml:space="preserve">the </w:t>
      </w:r>
      <w:r w:rsidRPr="00226D22">
        <w:rPr>
          <w:rFonts w:ascii="Times New Roman" w:hAnsi="Times New Roman" w:cs="Times New Roman"/>
          <w:sz w:val="24"/>
          <w:szCs w:val="24"/>
          <w:highlight w:val="white"/>
        </w:rPr>
        <w:t xml:space="preserve">aphid </w:t>
      </w:r>
      <w:proofErr w:type="spellStart"/>
      <w:r w:rsidRPr="00226D22">
        <w:rPr>
          <w:rFonts w:ascii="Times New Roman" w:hAnsi="Times New Roman" w:cs="Times New Roman"/>
          <w:i/>
          <w:sz w:val="24"/>
          <w:szCs w:val="24"/>
          <w:highlight w:val="white"/>
        </w:rPr>
        <w:t>Rhopalosiphum</w:t>
      </w:r>
      <w:proofErr w:type="spellEnd"/>
      <w:r w:rsidRPr="00226D22">
        <w:rPr>
          <w:rFonts w:ascii="Times New Roman" w:hAnsi="Times New Roman" w:cs="Times New Roman"/>
          <w:i/>
          <w:sz w:val="24"/>
          <w:szCs w:val="24"/>
          <w:highlight w:val="white"/>
        </w:rPr>
        <w:t xml:space="preserve"> </w:t>
      </w:r>
      <w:proofErr w:type="spellStart"/>
      <w:r w:rsidRPr="00226D22">
        <w:rPr>
          <w:rFonts w:ascii="Times New Roman" w:hAnsi="Times New Roman" w:cs="Times New Roman"/>
          <w:i/>
          <w:sz w:val="24"/>
          <w:szCs w:val="24"/>
          <w:highlight w:val="white"/>
        </w:rPr>
        <w:t>padi</w:t>
      </w:r>
      <w:proofErr w:type="spellEnd"/>
      <w:r w:rsidRPr="00226D22">
        <w:rPr>
          <w:rFonts w:ascii="Times New Roman" w:hAnsi="Times New Roman" w:cs="Times New Roman"/>
          <w:i/>
          <w:sz w:val="24"/>
          <w:szCs w:val="24"/>
          <w:highlight w:val="white"/>
        </w:rPr>
        <w:t xml:space="preserve"> </w:t>
      </w:r>
      <w:r w:rsidRPr="00226D22">
        <w:rPr>
          <w:rFonts w:ascii="Times New Roman" w:hAnsi="Times New Roman" w:cs="Times New Roman"/>
          <w:sz w:val="24"/>
          <w:szCs w:val="24"/>
          <w:highlight w:val="white"/>
        </w:rPr>
        <w:t xml:space="preserve">in wheat leaves when compared to non-inoculated plants; however, </w:t>
      </w:r>
      <w:r w:rsidRPr="00226D22">
        <w:rPr>
          <w:rFonts w:ascii="Times New Roman" w:hAnsi="Times New Roman" w:cs="Times New Roman"/>
          <w:i/>
          <w:color w:val="000000"/>
          <w:sz w:val="24"/>
          <w:szCs w:val="24"/>
          <w:highlight w:val="white"/>
        </w:rPr>
        <w:t xml:space="preserve">M. </w:t>
      </w:r>
      <w:proofErr w:type="spellStart"/>
      <w:r w:rsidRPr="00226D22">
        <w:rPr>
          <w:rFonts w:ascii="Times New Roman" w:hAnsi="Times New Roman" w:cs="Times New Roman"/>
          <w:i/>
          <w:color w:val="000000"/>
          <w:sz w:val="24"/>
          <w:szCs w:val="24"/>
          <w:highlight w:val="white"/>
        </w:rPr>
        <w:t>brunneum</w:t>
      </w:r>
      <w:proofErr w:type="spellEnd"/>
      <w:r w:rsidRPr="00226D22">
        <w:rPr>
          <w:rFonts w:ascii="Times New Roman" w:hAnsi="Times New Roman" w:cs="Times New Roman"/>
          <w:color w:val="000000"/>
          <w:sz w:val="24"/>
          <w:szCs w:val="24"/>
          <w:highlight w:val="white"/>
        </w:rPr>
        <w:t xml:space="preserve"> </w:t>
      </w:r>
      <w:r w:rsidRPr="00226D22">
        <w:rPr>
          <w:rFonts w:ascii="Times New Roman" w:hAnsi="Times New Roman" w:cs="Times New Roman"/>
          <w:sz w:val="24"/>
          <w:szCs w:val="24"/>
          <w:highlight w:val="white"/>
        </w:rPr>
        <w:t xml:space="preserve">showed an </w:t>
      </w:r>
      <w:r w:rsidRPr="00226D22">
        <w:rPr>
          <w:rFonts w:ascii="Times New Roman" w:hAnsi="Times New Roman" w:cs="Times New Roman"/>
          <w:sz w:val="24"/>
          <w:szCs w:val="24"/>
          <w:highlight w:val="white"/>
        </w:rPr>
        <w:lastRenderedPageBreak/>
        <w:t xml:space="preserve">opposite effect and </w:t>
      </w:r>
      <w:r w:rsidRPr="00226D22">
        <w:rPr>
          <w:rFonts w:ascii="Times New Roman" w:hAnsi="Times New Roman" w:cs="Times New Roman"/>
          <w:color w:val="000000"/>
          <w:sz w:val="24"/>
          <w:szCs w:val="24"/>
          <w:highlight w:val="white"/>
        </w:rPr>
        <w:t xml:space="preserve">significantly increased the aphid population in wheat </w:t>
      </w:r>
      <w:r>
        <w:rPr>
          <w:rFonts w:ascii="Times New Roman" w:hAnsi="Times New Roman" w:cs="Times New Roman"/>
          <w:color w:val="000000"/>
          <w:sz w:val="24"/>
          <w:szCs w:val="24"/>
          <w:highlight w:val="white"/>
        </w:rPr>
        <w:fldChar w:fldCharType="begin"/>
      </w:r>
      <w:r>
        <w:rPr>
          <w:rFonts w:ascii="Times New Roman" w:hAnsi="Times New Roman" w:cs="Times New Roman"/>
          <w:color w:val="000000"/>
          <w:sz w:val="24"/>
          <w:szCs w:val="24"/>
          <w:highlight w:val="white"/>
        </w:rPr>
        <w:instrText xml:space="preserve"> ADDIN ZOTERO_ITEM CSL_CITATION {"citationID":"NQjM26R3","properties":{"formattedCitation":"(Rasool et al., 2021b)","plainCitation":"(Rasool et al., 2021b)","noteIndex":0},"citationItems":[{"id":156,"uris":["http://zotero.org/users/10895598/items/3FTQT3KG"],"itemData":{"id":156,"type":"article-journal","container-title":"New Phytologist","DOI":"10.1111/nph.16979","ISSN":"0028-646X, 1469-8137","issue":"3","journalAbbreviation":"New Phytol","language":"en","page":"1715-1727","source":"DOI.org (Crossref)","title":"Seed inoculations with entomopathogenic fungi affect aphid populations coinciding with modulation of plant secondary metabolite profiles across plant families","volume":"229","author":[{"family":"Rasool","given":"Shumaila"},{"family":"Vidkjær","given":"Nanna H."},{"family":"Hooshmand","given":"Kourosh"},{"family":"Jensen","given":"Birgit"},{"family":"Fomsgaard","given":"Inge S."},{"family":"Meyling","given":"Nicolai V."}],"issued":{"date-parts":[["2021",2]]}}}],"schema":"https://github.com/citation-style-language/schema/raw/master/csl-citation.json"} </w:instrText>
      </w:r>
      <w:r>
        <w:rPr>
          <w:rFonts w:ascii="Times New Roman" w:hAnsi="Times New Roman" w:cs="Times New Roman"/>
          <w:color w:val="000000"/>
          <w:sz w:val="24"/>
          <w:szCs w:val="24"/>
          <w:highlight w:val="white"/>
        </w:rPr>
        <w:fldChar w:fldCharType="separate"/>
      </w:r>
      <w:r w:rsidRPr="00BB742A">
        <w:rPr>
          <w:rFonts w:ascii="Times New Roman" w:hAnsi="Times New Roman" w:cs="Times New Roman"/>
          <w:sz w:val="24"/>
          <w:highlight w:val="white"/>
        </w:rPr>
        <w:t>(Rasool et al., 2021b)</w:t>
      </w:r>
      <w:r>
        <w:rPr>
          <w:rFonts w:ascii="Times New Roman" w:hAnsi="Times New Roman" w:cs="Times New Roman"/>
          <w:color w:val="000000"/>
          <w:sz w:val="24"/>
          <w:szCs w:val="24"/>
          <w:highlight w:val="white"/>
        </w:rPr>
        <w:fldChar w:fldCharType="end"/>
      </w:r>
      <w:r w:rsidRPr="00226D22">
        <w:rPr>
          <w:rFonts w:ascii="Times New Roman" w:hAnsi="Times New Roman" w:cs="Times New Roman"/>
          <w:color w:val="000000"/>
          <w:sz w:val="24"/>
          <w:szCs w:val="24"/>
          <w:highlight w:val="white"/>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{"citationID":"ROaeooEy","properties":{"formattedCitation":"(Hu and Bidochka, 2021b)","plainCitation":"(Hu and Bidochka, 2021b)","dontUpdate":true,"noteIndex":0},"citationItems":[{"id":341,"uris":["http://zotero.org/users/10895598/items/98L3TM9X"],"itemData":{"id":341,"type":"article-journal","abstract":"Abstract\n            \n              Metarhizium robertsii\n              is an insect pathogen as well as an endophyte, and can antagonize the phytopathogen,\n              Fusarium solani\n              during bean colonization. However, plant immune responses to endophytic colonization by\n              Metarhizium\n              are largely unknown. We applied comprehensive plant hormone analysis, transcriptional expression and stomatal size analysis in order to examine plant immune responses to colonization by\n              Metarhizium\n              and/or\n              Fusarium\n              . The total amount of abscisic acid (ABA) and ABA metabolites decreased significantly in bean leaves by plant roots colonized by\n              M. robertsii\n              and increased significantly with\n              F. solani\n              compared to the un-inoculated control bean plant. Concomitantly, in comparison to the un-inoculated bean, root colonization by\n              Metarhizium\n              resulted in increased stomatal size in leaves and reduced stomatal size with\n              Fusarium\n              . Meanwhile, expression of plant immunity genes was repressed by\n              Metarhizium\n              and, alternately, triggered by\n              Fusarium\n              compared to the un-inoculated plant. Furthermore, exogenous application of ABA resulted in reduction of bean root colonization by\n              Metarhizium\n              but increased colonization by\n              Fusarium\n              compared to the control without ABA application. Our study suggested that ABA plays a central role in differential responses to endophytic colonization by\n              Metarhizium\n              and pathogenic colonization by\n              Fusarium\n              and, we also observed concomitant differences in stomatal size and expression of plant immunity genes.","container-title":"Scientific Reports","DOI":"10.1038/s41598-021-90232-4","ISSN":"2045-2322","issue":"1","journalAbbreviation":"Sci Rep","language":"en","page":"11327","source":"DOI.org (Crossref)","title":"Abscisic acid implicated in differential plant responses of &lt;i&gt;Phaseolus vulgaris&lt;/i&gt; during endophytic colonization by &lt;i&gt;Metarhizium&lt;/i&gt; and pathogenic colonization by &lt;i&gt;Fusarium&lt;/i&gt;","volume":"11","author":[{"family":"Hu","given":"S."},{"family":"Bidochka","given":"Michael J."}],"issued":{"date-parts":[["2021",12]]}}}],"schema":"https://github.com/citation-style-language/schema/raw/master/csl-citation.json"}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Hu and Bidochka (</w:t>
      </w:r>
      <w:r w:rsidRPr="00BB742A">
        <w:rPr>
          <w:rFonts w:ascii="Times New Roman" w:hAnsi="Times New Roman" w:cs="Times New Roman"/>
          <w:sz w:val="24"/>
        </w:rPr>
        <w:t>2021b)</w:t>
      </w:r>
      <w:r>
        <w:rPr>
          <w:rFonts w:ascii="Times New Roman" w:hAnsi="Times New Roman" w:cs="Times New Roman"/>
          <w:sz w:val="24"/>
          <w:szCs w:val="24"/>
        </w:rPr>
        <w:fldChar w:fldCharType="end"/>
      </w:r>
      <w:r w:rsidRPr="00226D22">
        <w:rPr>
          <w:rFonts w:ascii="Times New Roman" w:hAnsi="Times New Roman" w:cs="Times New Roman"/>
          <w:color w:val="000000"/>
          <w:sz w:val="24"/>
          <w:szCs w:val="24"/>
          <w:highlight w:val="white"/>
        </w:rPr>
        <w:t xml:space="preserve"> found that </w:t>
      </w:r>
      <w:r w:rsidRPr="00226D22">
        <w:rPr>
          <w:rFonts w:ascii="Times New Roman" w:hAnsi="Times New Roman" w:cs="Times New Roman"/>
          <w:i/>
          <w:color w:val="000000"/>
          <w:sz w:val="24"/>
          <w:szCs w:val="24"/>
          <w:highlight w:val="white"/>
        </w:rPr>
        <w:t xml:space="preserve">M. </w:t>
      </w:r>
      <w:proofErr w:type="spellStart"/>
      <w:r w:rsidRPr="00226D22">
        <w:rPr>
          <w:rFonts w:ascii="Times New Roman" w:hAnsi="Times New Roman" w:cs="Times New Roman"/>
          <w:i/>
          <w:color w:val="000000"/>
          <w:sz w:val="24"/>
          <w:szCs w:val="24"/>
          <w:highlight w:val="white"/>
        </w:rPr>
        <w:t>robertsii</w:t>
      </w:r>
      <w:proofErr w:type="spellEnd"/>
      <w:r w:rsidRPr="00226D22">
        <w:rPr>
          <w:rFonts w:ascii="Times New Roman" w:hAnsi="Times New Roman" w:cs="Times New Roman"/>
          <w:i/>
          <w:color w:val="000000"/>
          <w:sz w:val="24"/>
          <w:szCs w:val="24"/>
          <w:highlight w:val="white"/>
        </w:rPr>
        <w:t xml:space="preserve"> </w:t>
      </w:r>
      <w:r w:rsidRPr="00226D22">
        <w:rPr>
          <w:rFonts w:ascii="Times New Roman" w:hAnsi="Times New Roman" w:cs="Times New Roman"/>
          <w:color w:val="000000"/>
          <w:sz w:val="24"/>
          <w:szCs w:val="24"/>
          <w:highlight w:val="white"/>
        </w:rPr>
        <w:t xml:space="preserve">can also play an important role in reduction of growth of plant pathogenic fungi, such as </w:t>
      </w:r>
      <w:r w:rsidRPr="00226D22">
        <w:rPr>
          <w:rFonts w:ascii="Times New Roman" w:hAnsi="Times New Roman" w:cs="Times New Roman"/>
          <w:i/>
          <w:color w:val="000000"/>
          <w:sz w:val="24"/>
          <w:szCs w:val="24"/>
          <w:highlight w:val="white"/>
        </w:rPr>
        <w:t xml:space="preserve">Fusarium </w:t>
      </w:r>
      <w:proofErr w:type="spellStart"/>
      <w:r w:rsidRPr="00226D22">
        <w:rPr>
          <w:rFonts w:ascii="Times New Roman" w:hAnsi="Times New Roman" w:cs="Times New Roman"/>
          <w:i/>
          <w:color w:val="000000"/>
          <w:sz w:val="24"/>
          <w:szCs w:val="24"/>
          <w:highlight w:val="white"/>
        </w:rPr>
        <w:t>solani</w:t>
      </w:r>
      <w:proofErr w:type="spellEnd"/>
      <w:r w:rsidRPr="00226D22">
        <w:rPr>
          <w:rFonts w:ascii="Times New Roman" w:hAnsi="Times New Roman" w:cs="Times New Roman"/>
          <w:i/>
          <w:color w:val="000000"/>
          <w:sz w:val="24"/>
          <w:szCs w:val="24"/>
          <w:highlight w:val="white"/>
        </w:rPr>
        <w:t xml:space="preserve"> </w:t>
      </w:r>
      <w:r w:rsidRPr="00226D22">
        <w:rPr>
          <w:rFonts w:ascii="Times New Roman" w:hAnsi="Times New Roman" w:cs="Times New Roman"/>
          <w:color w:val="000000"/>
          <w:sz w:val="24"/>
          <w:szCs w:val="24"/>
          <w:highlight w:val="white"/>
        </w:rPr>
        <w:t xml:space="preserve">during bean </w:t>
      </w:r>
      <w:r w:rsidRPr="00226D22">
        <w:rPr>
          <w:rFonts w:ascii="Times New Roman" w:hAnsi="Times New Roman" w:cs="Times New Roman"/>
          <w:sz w:val="24"/>
          <w:szCs w:val="24"/>
          <w:highlight w:val="white"/>
        </w:rPr>
        <w:t>colonisation</w:t>
      </w:r>
      <w:r w:rsidRPr="00226D22">
        <w:rPr>
          <w:rFonts w:ascii="Times New Roman" w:hAnsi="Times New Roman" w:cs="Times New Roman"/>
          <w:color w:val="000000"/>
          <w:sz w:val="24"/>
          <w:szCs w:val="24"/>
          <w:highlight w:val="white"/>
        </w:rPr>
        <w:t xml:space="preserve">. Moreover, several studies observed a positive effect of </w:t>
      </w:r>
      <w:r w:rsidRPr="00226D22">
        <w:rPr>
          <w:rFonts w:ascii="Times New Roman" w:hAnsi="Times New Roman" w:cs="Times New Roman"/>
          <w:i/>
          <w:color w:val="000000"/>
          <w:sz w:val="24"/>
          <w:szCs w:val="24"/>
          <w:highlight w:val="white"/>
        </w:rPr>
        <w:t xml:space="preserve">Metarhizium </w:t>
      </w:r>
      <w:r w:rsidRPr="00226D22">
        <w:rPr>
          <w:rFonts w:ascii="Times New Roman" w:hAnsi="Times New Roman" w:cs="Times New Roman"/>
          <w:color w:val="000000"/>
          <w:sz w:val="24"/>
          <w:szCs w:val="24"/>
          <w:highlight w:val="white"/>
        </w:rPr>
        <w:t xml:space="preserve">on plant growth </w:t>
      </w:r>
      <w:r>
        <w:rPr>
          <w:rFonts w:ascii="Times New Roman" w:hAnsi="Times New Roman" w:cs="Times New Roman"/>
          <w:color w:val="000000"/>
          <w:sz w:val="24"/>
          <w:szCs w:val="24"/>
          <w:highlight w:val="white"/>
        </w:rPr>
        <w:fldChar w:fldCharType="begin"/>
      </w:r>
      <w:r>
        <w:rPr>
          <w:rFonts w:ascii="Times New Roman" w:hAnsi="Times New Roman" w:cs="Times New Roman"/>
          <w:color w:val="000000"/>
          <w:sz w:val="24"/>
          <w:szCs w:val="24"/>
          <w:highlight w:val="white"/>
        </w:rPr>
        <w:instrText xml:space="preserve"> ADDIN ZOTERO_ITEM CSL_CITATION {"citationID":"2UixoMGp","properties":{"formattedCitation":"(Liao et al., 2017; Lugtenberg et al., 2016)","plainCitation":"(Liao et al., 2017; Lugtenberg et al., 2016)","noteIndex":0},"citationItems":[{"id":338,"uris":["http://zotero.org/users/10895598/items/RQKNQ2WF"],"itemData":{"id":338,"type":"article-journal","container-title":"Microbiology","DOI":"10.1099/mic.0.000494","ISSN":"1350-0872, 1465-2080","issue":"7","language":"en","page":"980-991","source":"DOI.org (Crossref)","title":"&lt;i&gt;Metarhizium robertsii&lt;/i&gt; produces indole-3-acetic acid, which promotes root growth in &lt;i&gt;Arabidopsis&lt;/i&gt; and enhances virulence to insects","volume":"163","author":[{"family":"Liao","given":"Xinggang"},{"family":"Lovett","given":"Brian"},{"family":"Fang","given":"Weiguo"},{"family":"St Leger","given":"Raymond J."}],"issued":{"date-parts":[["2017",7,1]]}}},{"id":339,"uris":["http://zotero.org/users/10895598/items/YA4G84VT"],"itemData":{"id":339,"type":"article-journal","container-title":"FEMS Microbiology Ecology","DOI":"10.1093/femsec/fiw194","ISSN":"1574-6941","issue":"12","journalAbbreviation":"FEMS Microbiology Ecology","language":"en","page":"fiw194","source":"DOI.org (Crossref)","title":"Fungal endophytes for sustainable crop production","volume":"92","author":[{"family":"Lugtenberg","given":"Ben J.J."},{"family":"Caradus","given":"John R."},{"family":"Johnson","given":"Linda J."}],"editor":[{"family":"Muyzer","given":"Gerard"}],"issued":{"date-parts":[["2016",12]]}}}],"schema":"https://github.com/citation-style-language/schema/raw/master/csl-citation.json"} </w:instrText>
      </w:r>
      <w:r>
        <w:rPr>
          <w:rFonts w:ascii="Times New Roman" w:hAnsi="Times New Roman" w:cs="Times New Roman"/>
          <w:color w:val="000000"/>
          <w:sz w:val="24"/>
          <w:szCs w:val="24"/>
          <w:highlight w:val="white"/>
        </w:rPr>
        <w:fldChar w:fldCharType="separate"/>
      </w:r>
      <w:r w:rsidRPr="00BB742A">
        <w:rPr>
          <w:rFonts w:ascii="Times New Roman" w:hAnsi="Times New Roman" w:cs="Times New Roman"/>
          <w:sz w:val="24"/>
          <w:highlight w:val="white"/>
        </w:rPr>
        <w:t>(Liao et al., 2017; Lugtenberg et al., 2016)</w:t>
      </w:r>
      <w:r>
        <w:rPr>
          <w:rFonts w:ascii="Times New Roman" w:hAnsi="Times New Roman" w:cs="Times New Roman"/>
          <w:color w:val="000000"/>
          <w:sz w:val="24"/>
          <w:szCs w:val="24"/>
          <w:highlight w:val="white"/>
        </w:rPr>
        <w:fldChar w:fldCharType="end"/>
      </w:r>
      <w:r w:rsidRPr="00226D22">
        <w:rPr>
          <w:rFonts w:ascii="Times New Roman" w:hAnsi="Times New Roman" w:cs="Times New Roman"/>
          <w:color w:val="000000"/>
          <w:sz w:val="24"/>
          <w:szCs w:val="24"/>
          <w:highlight w:val="white"/>
        </w:rPr>
        <w:t xml:space="preserve">, whereas some have seen no effect </w:t>
      </w:r>
      <w:r w:rsidRPr="00226D22">
        <w:rPr>
          <w:rFonts w:ascii="Times New Roman" w:hAnsi="Times New Roman" w:cs="Times New Roman"/>
          <w:sz w:val="24"/>
          <w:szCs w:val="24"/>
        </w:rPr>
        <w:t>(</w:t>
      </w:r>
      <w:proofErr w:type="spellStart"/>
      <w:r w:rsidRPr="00226D22">
        <w:rPr>
          <w:rFonts w:ascii="Times New Roman" w:hAnsi="Times New Roman" w:cs="Times New Roman"/>
          <w:sz w:val="24"/>
          <w:szCs w:val="24"/>
        </w:rPr>
        <w:t>Cachapa</w:t>
      </w:r>
      <w:proofErr w:type="spellEnd"/>
      <w:r w:rsidRPr="00226D22">
        <w:rPr>
          <w:rFonts w:ascii="Times New Roman" w:hAnsi="Times New Roman" w:cs="Times New Roman"/>
          <w:sz w:val="24"/>
          <w:szCs w:val="24"/>
        </w:rPr>
        <w:t xml:space="preserve"> et al., 2021)</w:t>
      </w:r>
      <w:r w:rsidRPr="00226D22">
        <w:rPr>
          <w:rFonts w:ascii="Times New Roman" w:hAnsi="Times New Roman" w:cs="Times New Roman"/>
          <w:color w:val="000000"/>
          <w:sz w:val="24"/>
          <w:szCs w:val="24"/>
          <w:highlight w:val="white"/>
        </w:rPr>
        <w:t xml:space="preserve">. As there exist various </w:t>
      </w:r>
      <w:r w:rsidRPr="00226D22">
        <w:rPr>
          <w:rFonts w:ascii="Times New Roman" w:hAnsi="Times New Roman" w:cs="Times New Roman"/>
          <w:i/>
          <w:color w:val="000000"/>
          <w:sz w:val="24"/>
          <w:szCs w:val="24"/>
          <w:highlight w:val="white"/>
        </w:rPr>
        <w:t>Metarhizium</w:t>
      </w:r>
      <w:r w:rsidRPr="00226D22">
        <w:rPr>
          <w:rFonts w:ascii="Times New Roman" w:hAnsi="Times New Roman" w:cs="Times New Roman"/>
          <w:color w:val="000000"/>
          <w:sz w:val="24"/>
          <w:szCs w:val="24"/>
          <w:highlight w:val="white"/>
        </w:rPr>
        <w:t xml:space="preserve"> species and strains that behave differently when introduced to </w:t>
      </w:r>
      <w:r w:rsidRPr="00226D22">
        <w:rPr>
          <w:rFonts w:ascii="Times New Roman" w:hAnsi="Times New Roman" w:cs="Times New Roman"/>
          <w:sz w:val="24"/>
          <w:szCs w:val="24"/>
          <w:highlight w:val="white"/>
        </w:rPr>
        <w:t>the</w:t>
      </w:r>
      <w:r w:rsidRPr="00226D22">
        <w:rPr>
          <w:rFonts w:ascii="Times New Roman" w:hAnsi="Times New Roman" w:cs="Times New Roman"/>
          <w:color w:val="000000"/>
          <w:sz w:val="24"/>
          <w:szCs w:val="24"/>
          <w:highlight w:val="white"/>
        </w:rPr>
        <w:t xml:space="preserve"> host plant, their role regarding plant defence is still poorly understood and needs further investigation. Nonetheless, current findings</w:t>
      </w:r>
      <w:r w:rsidRPr="00226D22">
        <w:rPr>
          <w:rFonts w:ascii="Times New Roman" w:hAnsi="Times New Roman" w:cs="Times New Roman"/>
          <w:color w:val="131413"/>
          <w:sz w:val="24"/>
          <w:szCs w:val="24"/>
        </w:rPr>
        <w:t xml:space="preserve"> support that </w:t>
      </w:r>
      <w:r w:rsidRPr="00226D22">
        <w:rPr>
          <w:rFonts w:ascii="Times New Roman" w:hAnsi="Times New Roman" w:cs="Times New Roman"/>
          <w:i/>
          <w:color w:val="131413"/>
          <w:sz w:val="24"/>
          <w:szCs w:val="24"/>
        </w:rPr>
        <w:t xml:space="preserve">Metarhizium </w:t>
      </w:r>
      <w:r w:rsidRPr="00226D22">
        <w:rPr>
          <w:rFonts w:ascii="Times New Roman" w:hAnsi="Times New Roman" w:cs="Times New Roman"/>
          <w:color w:val="131413"/>
          <w:sz w:val="24"/>
          <w:szCs w:val="24"/>
        </w:rPr>
        <w:t xml:space="preserve">spp. can interact or interfere with the host plant physiology and defence </w:t>
      </w:r>
      <w:proofErr w:type="spellStart"/>
      <w:r w:rsidRPr="00226D22">
        <w:rPr>
          <w:rFonts w:ascii="Times New Roman" w:hAnsi="Times New Roman" w:cs="Times New Roman"/>
          <w:color w:val="131413"/>
          <w:sz w:val="24"/>
          <w:szCs w:val="24"/>
        </w:rPr>
        <w:t>signaling</w:t>
      </w:r>
      <w:proofErr w:type="spellEnd"/>
      <w:r w:rsidRPr="00226D22">
        <w:rPr>
          <w:rFonts w:ascii="Times New Roman" w:hAnsi="Times New Roman" w:cs="Times New Roman"/>
          <w:color w:val="131413"/>
          <w:sz w:val="24"/>
          <w:szCs w:val="24"/>
        </w:rPr>
        <w:t>.</w:t>
      </w:r>
    </w:p>
    <w:p w14:paraId="009811C6" w14:textId="77777777" w:rsidR="005E3506" w:rsidRPr="00E7693B" w:rsidRDefault="005E3506" w:rsidP="005E3506">
      <w:pPr>
        <w:spacing w:line="360" w:lineRule="auto"/>
        <w:ind w:firstLine="708"/>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5B70E75F" wp14:editId="5EC3B5EA">
            <wp:extent cx="4195823" cy="3524491"/>
            <wp:effectExtent l="0" t="0" r="0" b="0"/>
            <wp:docPr id="2068780648" name="image34.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Diagram&#10;&#10;Description automatically generated"/>
                    <pic:cNvPicPr preferRelativeResize="0"/>
                  </pic:nvPicPr>
                  <pic:blipFill>
                    <a:blip r:embed="rId20"/>
                    <a:srcRect/>
                    <a:stretch>
                      <a:fillRect/>
                    </a:stretch>
                  </pic:blipFill>
                  <pic:spPr>
                    <a:xfrm>
                      <a:off x="0" y="0"/>
                      <a:ext cx="4210496" cy="3536817"/>
                    </a:xfrm>
                    <a:prstGeom prst="rect">
                      <a:avLst/>
                    </a:prstGeom>
                    <a:ln/>
                  </pic:spPr>
                </pic:pic>
              </a:graphicData>
            </a:graphic>
          </wp:inline>
        </w:drawing>
      </w:r>
    </w:p>
    <w:p w14:paraId="288A9CCF" w14:textId="00B38A59" w:rsidR="00651897" w:rsidRPr="00E7693B" w:rsidRDefault="005E3506" w:rsidP="0074184F">
      <w:pPr>
        <w:spacing w:before="240" w:after="0" w:line="360" w:lineRule="auto"/>
        <w:jc w:val="both"/>
        <w:rPr>
          <w:rFonts w:ascii="Times New Roman" w:hAnsi="Times New Roman" w:cs="Times New Roman"/>
        </w:rPr>
      </w:pPr>
      <w:r w:rsidRPr="00E7693B">
        <w:rPr>
          <w:rFonts w:ascii="Times New Roman" w:hAnsi="Times New Roman" w:cs="Times New Roman"/>
          <w:b/>
        </w:rPr>
        <w:t xml:space="preserve">Figure </w:t>
      </w:r>
      <w:r>
        <w:rPr>
          <w:rFonts w:ascii="Times New Roman" w:hAnsi="Times New Roman" w:cs="Times New Roman"/>
          <w:b/>
        </w:rPr>
        <w:t>4</w:t>
      </w:r>
      <w:r w:rsidRPr="00E7693B">
        <w:rPr>
          <w:rFonts w:ascii="Times New Roman" w:hAnsi="Times New Roman" w:cs="Times New Roman"/>
          <w:b/>
        </w:rPr>
        <w:t>.</w:t>
      </w:r>
      <w:r w:rsidRPr="00E7693B">
        <w:rPr>
          <w:rFonts w:ascii="Times New Roman" w:hAnsi="Times New Roman" w:cs="Times New Roman"/>
        </w:rPr>
        <w:t xml:space="preserve"> Induced resistance and priming effect in plants exposed to different biotic stresses. Interactions with beneficial microbes (</w:t>
      </w:r>
      <w:r w:rsidRPr="00E7693B">
        <w:rPr>
          <w:rFonts w:ascii="Times New Roman" w:hAnsi="Times New Roman" w:cs="Times New Roman"/>
          <w:i/>
        </w:rPr>
        <w:t>e.g.</w:t>
      </w:r>
      <w:r w:rsidRPr="00E7693B">
        <w:rPr>
          <w:rFonts w:ascii="Times New Roman" w:hAnsi="Times New Roman" w:cs="Times New Roman"/>
        </w:rPr>
        <w:t xml:space="preserve"> root-associating insect pathogenic fungi) in the rhizosphere may trigger the induction of phytohormonal responses and secondary metabolites in the aboveground level. Chemical inducers applied in the soil or on the leaf surface can lead to induction of different defence mechanisms, </w:t>
      </w:r>
      <w:r w:rsidRPr="00E7693B">
        <w:rPr>
          <w:rFonts w:ascii="Times New Roman" w:hAnsi="Times New Roman" w:cs="Times New Roman"/>
          <w:i/>
        </w:rPr>
        <w:t>e.g.</w:t>
      </w:r>
      <w:r w:rsidRPr="00E7693B">
        <w:rPr>
          <w:rFonts w:ascii="Times New Roman" w:hAnsi="Times New Roman" w:cs="Times New Roman"/>
        </w:rPr>
        <w:t xml:space="preserve"> benzothiadiazole (BTH) triggers the induction of SA </w:t>
      </w:r>
      <w:proofErr w:type="spellStart"/>
      <w:r w:rsidRPr="00E7693B">
        <w:rPr>
          <w:rFonts w:ascii="Times New Roman" w:hAnsi="Times New Roman" w:cs="Times New Roman"/>
        </w:rPr>
        <w:t>signaling</w:t>
      </w:r>
      <w:proofErr w:type="spellEnd"/>
      <w:r w:rsidRPr="00E7693B">
        <w:rPr>
          <w:rFonts w:ascii="Times New Roman" w:hAnsi="Times New Roman" w:cs="Times New Roman"/>
        </w:rPr>
        <w:t xml:space="preserve">. Pathogen infection and insect herbivore infestation may trigger the induced resistance in systemic parts of the plant. Red arrows represent the induction of </w:t>
      </w:r>
      <w:proofErr w:type="spellStart"/>
      <w:r w:rsidRPr="00E7693B">
        <w:rPr>
          <w:rFonts w:ascii="Times New Roman" w:hAnsi="Times New Roman" w:cs="Times New Roman"/>
        </w:rPr>
        <w:t>signaling</w:t>
      </w:r>
      <w:proofErr w:type="spellEnd"/>
      <w:r w:rsidRPr="00E7693B">
        <w:rPr>
          <w:rFonts w:ascii="Times New Roman" w:hAnsi="Times New Roman" w:cs="Times New Roman"/>
        </w:rPr>
        <w:t xml:space="preserve"> by specific stimuli inside the plant, and dashed black arrows emitted volatile compounds (VOCs). Abbreviations: ISR = induced systemic resistance; HIR = herbivore-induced resistance; SAR = systemic acquired resistance.</w:t>
      </w:r>
      <w:r w:rsidR="0074184F">
        <w:rPr>
          <w:rFonts w:ascii="Times New Roman" w:hAnsi="Times New Roman" w:cs="Times New Roman"/>
        </w:rPr>
        <w:br w:type="page"/>
      </w:r>
    </w:p>
    <w:p w14:paraId="3D63636C" w14:textId="77777777" w:rsidR="00007653" w:rsidRPr="00E7693B" w:rsidRDefault="00007653" w:rsidP="006B61C5">
      <w:pPr>
        <w:pStyle w:val="Heading2"/>
      </w:pPr>
      <w:bookmarkStart w:id="21" w:name="_Toc167977595"/>
      <w:proofErr w:type="spellStart"/>
      <w:r w:rsidRPr="00E7693B">
        <w:lastRenderedPageBreak/>
        <w:t>Hemibiotrophic</w:t>
      </w:r>
      <w:proofErr w:type="spellEnd"/>
      <w:r w:rsidRPr="00E7693B">
        <w:t xml:space="preserve"> fungal pathogen</w:t>
      </w:r>
      <w:r>
        <w:t xml:space="preserve"> </w:t>
      </w:r>
      <w:r>
        <w:rPr>
          <w:i/>
          <w:iCs/>
        </w:rPr>
        <w:t xml:space="preserve">Leptosphaeria </w:t>
      </w:r>
      <w:proofErr w:type="spellStart"/>
      <w:r>
        <w:rPr>
          <w:i/>
          <w:iCs/>
        </w:rPr>
        <w:t>maculans</w:t>
      </w:r>
      <w:bookmarkEnd w:id="21"/>
      <w:proofErr w:type="spellEnd"/>
    </w:p>
    <w:p w14:paraId="28E9EC4C" w14:textId="77777777" w:rsidR="00007653" w:rsidRPr="00E7693B" w:rsidRDefault="00007653" w:rsidP="00007653">
      <w:pPr>
        <w:spacing w:after="0"/>
        <w:rPr>
          <w:rFonts w:ascii="Times New Roman" w:hAnsi="Times New Roman" w:cs="Times New Roman"/>
        </w:rPr>
      </w:pPr>
    </w:p>
    <w:p w14:paraId="311AE3B8" w14:textId="77777777" w:rsidR="00007653" w:rsidRPr="00E7693B" w:rsidRDefault="00007653" w:rsidP="006B61C5">
      <w:pPr>
        <w:pStyle w:val="Heading3"/>
      </w:pPr>
      <w:bookmarkStart w:id="22" w:name="_Toc167977596"/>
      <w:r w:rsidRPr="00E7693B">
        <w:t xml:space="preserve">Taxonomy of </w:t>
      </w:r>
      <w:r w:rsidRPr="00E7693B">
        <w:rPr>
          <w:i/>
        </w:rPr>
        <w:t xml:space="preserve">Leptosphaeria </w:t>
      </w:r>
      <w:proofErr w:type="spellStart"/>
      <w:r w:rsidRPr="00E7693B">
        <w:rPr>
          <w:i/>
        </w:rPr>
        <w:t>maculans</w:t>
      </w:r>
      <w:proofErr w:type="spellEnd"/>
      <w:r w:rsidRPr="00E7693B">
        <w:t xml:space="preserve"> and its life cycle</w:t>
      </w:r>
      <w:bookmarkEnd w:id="22"/>
    </w:p>
    <w:p w14:paraId="6F9EE7F3" w14:textId="77777777" w:rsidR="00007653" w:rsidRPr="00E7693B" w:rsidRDefault="00007653" w:rsidP="00007653">
      <w:pPr>
        <w:rPr>
          <w:rFonts w:ascii="Times New Roman" w:hAnsi="Times New Roman" w:cs="Times New Roman"/>
          <w:color w:val="000000"/>
        </w:rPr>
      </w:pPr>
    </w:p>
    <w:p w14:paraId="3E355AE0" w14:textId="41352E1F" w:rsidR="00007653" w:rsidRPr="00E7693B" w:rsidRDefault="00007653" w:rsidP="00007653">
      <w:pPr>
        <w:spacing w:after="0" w:line="360" w:lineRule="auto"/>
        <w:ind w:firstLine="720"/>
        <w:jc w:val="both"/>
        <w:rPr>
          <w:rFonts w:ascii="Times New Roman" w:hAnsi="Times New Roman" w:cs="Times New Roman"/>
          <w:color w:val="000000"/>
          <w:sz w:val="24"/>
          <w:szCs w:val="24"/>
        </w:rPr>
      </w:pPr>
      <w:r w:rsidRPr="00E7693B">
        <w:rPr>
          <w:rFonts w:ascii="Times New Roman" w:hAnsi="Times New Roman" w:cs="Times New Roman"/>
          <w:i/>
          <w:color w:val="000000"/>
          <w:sz w:val="24"/>
          <w:szCs w:val="24"/>
        </w:rPr>
        <w:t xml:space="preserve">Leptosphaeria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also known as </w:t>
      </w:r>
      <w:proofErr w:type="spellStart"/>
      <w:r w:rsidRPr="00E7693B">
        <w:rPr>
          <w:rFonts w:ascii="Times New Roman" w:hAnsi="Times New Roman" w:cs="Times New Roman"/>
          <w:i/>
          <w:color w:val="000000"/>
          <w:sz w:val="24"/>
          <w:szCs w:val="24"/>
        </w:rPr>
        <w:t>Plenodomus</w:t>
      </w:r>
      <w:proofErr w:type="spellEnd"/>
      <w:r w:rsidRPr="00E7693B">
        <w:rPr>
          <w:rFonts w:ascii="Times New Roman" w:hAnsi="Times New Roman" w:cs="Times New Roman"/>
          <w:i/>
          <w:color w:val="000000"/>
          <w:sz w:val="24"/>
          <w:szCs w:val="24"/>
        </w:rPr>
        <w:t xml:space="preserve"> lingam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{"citationID":"ZD25ZCUA","properties":{"formattedCitation":"(de Gruyter et al., 2013)","plainCitation":"(de Gruyter et al., 2013)","noteIndex":0},"citationItems":[{"id":511,"uris":["http://zotero.org/users/10895598/items/3HBAPYDA"],"itemData":{"id":511,"type":"article-journal","container-title":"Studies in Mycology","DOI":"10.3114/sim0004","ISSN":"01660616","journalAbbreviation":"Studies in Mycology","language":"en","page":"1-36","source":"DOI.org (Crossref)","title":"Redisposition of phoma-like anamorphs in Pleosporales","volume":"75","author":[{"family":"Gruyter","given":"J.","non-dropping-particle":"de"},{"family":"Woudenberg","given":"J.H.C."},{"family":"Aveskamp","given":"M.M."},{"family":"Verkley","given":"G.J.M."},{"family":"Groenewald","given":"J.Z."},{"family":"Crous","given":"P.W."}],"issued":{"date-parts":[["2013",6]]}}}],"schema":"https://github.com/citation-style-language/schema/raw/master/csl-citation.json"} </w:instrText>
      </w:r>
      <w:r>
        <w:rPr>
          <w:rFonts w:ascii="Times New Roman" w:hAnsi="Times New Roman" w:cs="Times New Roman"/>
          <w:sz w:val="24"/>
          <w:szCs w:val="24"/>
        </w:rPr>
        <w:fldChar w:fldCharType="separate"/>
      </w:r>
      <w:r w:rsidRPr="0014730A">
        <w:rPr>
          <w:rFonts w:ascii="Times New Roman" w:hAnsi="Times New Roman" w:cs="Times New Roman"/>
          <w:sz w:val="24"/>
        </w:rPr>
        <w:t>(de Gruyter et al., 2013)</w:t>
      </w:r>
      <w:r>
        <w:rPr>
          <w:rFonts w:ascii="Times New Roman" w:hAnsi="Times New Roman" w:cs="Times New Roman"/>
          <w:sz w:val="24"/>
          <w:szCs w:val="24"/>
        </w:rPr>
        <w:fldChar w:fldCharType="end"/>
      </w:r>
      <w:r w:rsidRPr="00E7693B">
        <w:rPr>
          <w:rFonts w:ascii="Times New Roman" w:hAnsi="Times New Roman" w:cs="Times New Roman"/>
          <w:i/>
          <w:color w:val="000000"/>
          <w:sz w:val="24"/>
          <w:szCs w:val="24"/>
        </w:rPr>
        <w:t xml:space="preserve"> </w:t>
      </w:r>
      <w:r w:rsidRPr="00E7693B">
        <w:rPr>
          <w:rFonts w:ascii="Times New Roman" w:hAnsi="Times New Roman" w:cs="Times New Roman"/>
          <w:color w:val="000000"/>
          <w:sz w:val="24"/>
          <w:szCs w:val="24"/>
        </w:rPr>
        <w:t xml:space="preserve">belongs to the phylum Ascomycota, subphylum </w:t>
      </w:r>
      <w:proofErr w:type="spellStart"/>
      <w:r w:rsidRPr="00E7693B">
        <w:rPr>
          <w:rFonts w:ascii="Times New Roman" w:hAnsi="Times New Roman" w:cs="Times New Roman"/>
          <w:color w:val="000000"/>
          <w:sz w:val="24"/>
          <w:szCs w:val="24"/>
        </w:rPr>
        <w:t>Pezizomycotina</w:t>
      </w:r>
      <w:proofErr w:type="spellEnd"/>
      <w:r w:rsidRPr="00E7693B">
        <w:rPr>
          <w:rFonts w:ascii="Times New Roman" w:hAnsi="Times New Roman" w:cs="Times New Roman"/>
          <w:color w:val="000000"/>
          <w:sz w:val="24"/>
          <w:szCs w:val="24"/>
        </w:rPr>
        <w:t xml:space="preserve">, class </w:t>
      </w:r>
      <w:proofErr w:type="spellStart"/>
      <w:r w:rsidRPr="00E7693B">
        <w:rPr>
          <w:rFonts w:ascii="Times New Roman" w:hAnsi="Times New Roman" w:cs="Times New Roman"/>
          <w:color w:val="000000"/>
          <w:sz w:val="24"/>
          <w:szCs w:val="24"/>
        </w:rPr>
        <w:t>Dothideomycetes</w:t>
      </w:r>
      <w:proofErr w:type="spellEnd"/>
      <w:r w:rsidRPr="00E7693B">
        <w:rPr>
          <w:rFonts w:ascii="Times New Roman" w:hAnsi="Times New Roman" w:cs="Times New Roman"/>
          <w:color w:val="000000"/>
          <w:sz w:val="24"/>
          <w:szCs w:val="24"/>
        </w:rPr>
        <w:t xml:space="preserve">, order </w:t>
      </w:r>
      <w:proofErr w:type="spellStart"/>
      <w:r w:rsidRPr="00E7693B">
        <w:rPr>
          <w:rFonts w:ascii="Times New Roman" w:hAnsi="Times New Roman" w:cs="Times New Roman"/>
          <w:color w:val="000000"/>
          <w:sz w:val="24"/>
          <w:szCs w:val="24"/>
        </w:rPr>
        <w:t>Pleosporales</w:t>
      </w:r>
      <w:proofErr w:type="spellEnd"/>
      <w:r w:rsidRPr="00E7693B">
        <w:rPr>
          <w:rFonts w:ascii="Times New Roman" w:hAnsi="Times New Roman" w:cs="Times New Roman"/>
          <w:color w:val="000000"/>
          <w:sz w:val="24"/>
          <w:szCs w:val="24"/>
        </w:rPr>
        <w:t xml:space="preserve"> and family </w:t>
      </w:r>
      <w:proofErr w:type="spellStart"/>
      <w:r w:rsidRPr="00E7693B">
        <w:rPr>
          <w:rFonts w:ascii="Times New Roman" w:hAnsi="Times New Roman" w:cs="Times New Roman"/>
          <w:color w:val="000000"/>
          <w:sz w:val="24"/>
          <w:szCs w:val="24"/>
        </w:rPr>
        <w:t>Leptosphaeriaceae</w:t>
      </w:r>
      <w:proofErr w:type="spellEnd"/>
      <w:r w:rsidRPr="00E7693B">
        <w:rPr>
          <w:rFonts w:ascii="Times New Roman" w:hAnsi="Times New Roman" w:cs="Times New Roman"/>
          <w:color w:val="000000"/>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{"citationID":"5cPBiCfU","properties":{"formattedCitation":"(Schoch et al., 2020)","plainCitation":"(Schoch et al., 2020)","noteIndex":0},"citationItems":[{"id":508,"uris":["http://zotero.org/users/10895598/items/GEHYZ65Z"],"itemData":{"id":508,"type":"article-journal","abstract":"Abstract\n            The National Center for Biotechnology Information (NCBI) Taxonomy includes organism names and classifications for every sequence in the nucleotide and protein sequence databases of the International Nucleotide Sequence Database Collaboration. Since the last review of this resource in 2012, it has undergone several improvements. Most notable is the shift from a single SQL database to a series of linked databases tied to a framework of data called NameBank. This means that relations among data elements can be adjusted in more detail, resulting in expanded annotation of synonyms, the ability to flag names with specific nomenclatural properties, enhanced tracking of publications tied to names and improved annotation of scientific authorities and types. Additionally, practices utilized by NCBI Taxonomy curators specific to major taxonomic groups are described, terms peculiar to NCBI Taxonomy are explained, external resources are acknowledged and updates to tools and other resources are documented.\n            Database URL: https://www.ncbi.nlm.nih.gov/taxonomy","container-title":"Database","DOI":"10.1093/database/baaa062","ISSN":"1758-0463","language":"en","page":"baaa062","source":"DOI.org (Crossref)","title":"NCBI Taxonomy: a comprehensive update on curation, resources and tools","title-short":"NCBI Taxonomy","volume":"2020","author":[{"family":"Schoch","given":"Conrad L"},{"family":"Ciufo","given":"Stacy"},{"family":"Domrachev","given":"Mikhail"},{"family":"Hotton","given":"Carol L"},{"family":"Kannan","given":"Sivakumar"},{"family":"Khovanskaya","given":"Rogneda"},{"family":"Leipe","given":"Detlef"},{"family":"Mcveigh","given":"Richard"},{"family":"O’Neill","given":"Kathleen"},{"family":"Robbertse","given":"Barbara"},{"family":"Sharma","given":"Shobha"},{"family":"Soussov","given":"Vladimir"},{"family":"Sullivan","given":"John P"},{"family":"Sun","given":"Lu"},{"family":"Turner","given":"Seán"},{"family":"Karsch-Mizrachi","given":"Ilene"}],"issued":{"date-parts":[["2020",1,1]]}}}],"schema":"https://github.com/citation-style-language/schema/raw/master/csl-citation.json"} </w:instrText>
      </w:r>
      <w:r>
        <w:rPr>
          <w:rFonts w:ascii="Times New Roman" w:hAnsi="Times New Roman" w:cs="Times New Roman"/>
          <w:sz w:val="24"/>
          <w:szCs w:val="24"/>
        </w:rPr>
        <w:fldChar w:fldCharType="separate"/>
      </w:r>
      <w:r w:rsidRPr="0014730A">
        <w:rPr>
          <w:rFonts w:ascii="Times New Roman" w:hAnsi="Times New Roman" w:cs="Times New Roman"/>
          <w:sz w:val="24"/>
        </w:rPr>
        <w:t>(Schoch et al., 2020)</w:t>
      </w:r>
      <w:r>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xml:space="preserve">. Characteristically for Ascomycota,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can reproduce asexually by mycelium and conidia called </w:t>
      </w:r>
      <w:proofErr w:type="spellStart"/>
      <w:r w:rsidRPr="00E7693B">
        <w:rPr>
          <w:rFonts w:ascii="Times New Roman" w:hAnsi="Times New Roman" w:cs="Times New Roman"/>
          <w:color w:val="000000"/>
          <w:sz w:val="24"/>
          <w:szCs w:val="24"/>
        </w:rPr>
        <w:t>pycnidiospores</w:t>
      </w:r>
      <w:proofErr w:type="spellEnd"/>
      <w:r w:rsidRPr="00E7693B">
        <w:rPr>
          <w:rFonts w:ascii="Times New Roman" w:hAnsi="Times New Roman" w:cs="Times New Roman"/>
          <w:color w:val="000000"/>
          <w:sz w:val="24"/>
          <w:szCs w:val="24"/>
        </w:rPr>
        <w:t xml:space="preserve">, </w:t>
      </w:r>
      <w:r w:rsidRPr="00E7693B">
        <w:rPr>
          <w:rFonts w:ascii="Times New Roman" w:hAnsi="Times New Roman" w:cs="Times New Roman"/>
          <w:i/>
          <w:color w:val="000000"/>
          <w:sz w:val="24"/>
          <w:szCs w:val="24"/>
        </w:rPr>
        <w:t>i.e.</w:t>
      </w:r>
      <w:r w:rsidRPr="00E7693B">
        <w:rPr>
          <w:rFonts w:ascii="Times New Roman" w:hAnsi="Times New Roman" w:cs="Times New Roman"/>
          <w:color w:val="000000"/>
          <w:sz w:val="24"/>
          <w:szCs w:val="24"/>
        </w:rPr>
        <w:t xml:space="preserve"> asexual spores released from fruiting bodies conidiophores known as pycnidia; however, it mainly reproduces sexually by ascospores formed inside sacs known as asci. In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asci are produced within fruiting bodies ascocarps called </w:t>
      </w:r>
      <w:proofErr w:type="spellStart"/>
      <w:r w:rsidRPr="00E7693B">
        <w:rPr>
          <w:rFonts w:ascii="Times New Roman" w:hAnsi="Times New Roman" w:cs="Times New Roman"/>
          <w:color w:val="000000"/>
          <w:sz w:val="24"/>
          <w:szCs w:val="24"/>
        </w:rPr>
        <w:t>pseudothecia</w:t>
      </w:r>
      <w:proofErr w:type="spellEnd"/>
      <w:r w:rsidRPr="00E7693B">
        <w:rPr>
          <w:rFonts w:ascii="Times New Roman" w:hAnsi="Times New Roman" w:cs="Times New Roman"/>
          <w:color w:val="000000"/>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{"citationID":"jCquU0vr","properties":{"formattedCitation":"(Agrios, 2005)","plainCitation":"(Agrios, 2005)","noteIndex":0},"citationItems":[{"id":507,"uris":["http://zotero.org/users/10895598/items/V9RAJAKB"],"itemData":{"id":507,"type":"book","abstract":"This fifth edition of the classic textbook in plant pathology outlines how to recognize, treat, and prevent plant diseases. It provides extensive coverage of abiotic, fungal, viral, bacterial, nematode and other plant diseases and their associated epidemiology. It also covers the genetics of resistance and modern management on plant disease. Plant Pathology, Fifth Edition, is the most comprehensive resource and textbook that professionals, faculty and students can consult for well-organized, essential information. This thoroughly revised edition is 45% larger, covering new discoveries and developments in plant pathology and enhanced by hundreds of new color photographs and illustrations. The latest information on molecular techniques and biological control in plant diseases Comprehensive in coverage Numerous excellent diagrams and photographs A large variety of disease examples for instructors to choose for their course","ISBN":"978-0-08-047378-9","language":"en","note":"Google-Books-ID: CnzbgZgby60C","number-of-pages":"947","publisher":"Elsevier","source":"Google Books","title":"Plant Pathology","author":[{"family":"Agrios","given":"George N."}],"issued":{"date-parts":[["2005",1,25]]}}}],"schema":"https://github.com/citation-style-language/schema/raw/master/csl-citation.json"} </w:instrText>
      </w:r>
      <w:r>
        <w:rPr>
          <w:rFonts w:ascii="Times New Roman" w:hAnsi="Times New Roman" w:cs="Times New Roman"/>
          <w:sz w:val="24"/>
          <w:szCs w:val="24"/>
        </w:rPr>
        <w:fldChar w:fldCharType="separate"/>
      </w:r>
      <w:r w:rsidRPr="0014730A">
        <w:rPr>
          <w:rFonts w:ascii="Times New Roman" w:hAnsi="Times New Roman" w:cs="Times New Roman"/>
          <w:sz w:val="24"/>
        </w:rPr>
        <w:t>(Agrios, 2005)</w:t>
      </w:r>
      <w:r>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xml:space="preserve">. Ascospores of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are transparent with vertical septa and are used to distinguish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from another species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{"citationID":"qnDOe9c6","properties":{"formattedCitation":"(Kaczmarek and J\\uc0\\u281{}dryczka, 2012)","plainCitation":"(Kaczmarek and Jędryczka, 2012)","noteIndex":0},"citationItems":[{"id":509,"uris":["http://zotero.org/users/10895598/items/N2M3VDC9"],"itemData":{"id":509,"type":"article-journal","abstract":"Stem canker of brassicas, also known as blackleg is the most damaging disease of many Brassicaceae. The disease is caused by &lt;i&gt;Leptosphaeria maculans&lt;/i&gt; (Desm.) Ces et de Not. and &lt;i&gt;L. biglobosa&lt;/i&gt; sp. nov., Shoemaker &amp; Brun, which coexist in plants and resulting in disease symptoms and decreased yield, quantity and quality of cultivated vegetables and oilseed rape. The paper presents taxonomic relationships between these coexisting pathogen species, describes particular stages of their life cycles, summarizes the differences between the species, and reviews methods for their identification.","container-title":"Acta Agrobotanica","DOI":"10.5586/aa.2011.012","ISSN":"2300-357X","issue":"2","journalAbbreviation":"Acta Agrobot","page":"3-14","source":"DOI.org (Crossref)","title":"Characterization of two coexisting pathogen populations of &lt;i&gt;Leptosphaeria&lt;/i&gt; spp., the cause of stem canker of brassicas","volume":"64","author":[{"family":"Kaczmarek","given":"Joanna"},{"family":"Jędryczka","given":"Małgorzata"}],"issued":{"date-parts":[["2012"]]}}}],"schema":"https://github.com/citation-style-language/schema/raw/master/csl-citation.json"} </w:instrText>
      </w:r>
      <w:r>
        <w:rPr>
          <w:rFonts w:ascii="Times New Roman" w:hAnsi="Times New Roman" w:cs="Times New Roman"/>
          <w:sz w:val="24"/>
          <w:szCs w:val="24"/>
        </w:rPr>
        <w:fldChar w:fldCharType="separate"/>
      </w:r>
      <w:r w:rsidRPr="0014730A">
        <w:rPr>
          <w:rFonts w:ascii="Times New Roman" w:hAnsi="Times New Roman" w:cs="Times New Roman"/>
          <w:sz w:val="24"/>
          <w:szCs w:val="24"/>
        </w:rPr>
        <w:t>(Kaczmarek and Jędryczka, 2012)</w:t>
      </w:r>
      <w:r>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xml:space="preserve">. The sexual stage is generally called teleomorph, whereas the asexual stage is known as anamorph.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is initially saprophytic as it can survive for several years on host plant residues where sexual fruiting bodies </w:t>
      </w:r>
      <w:proofErr w:type="spellStart"/>
      <w:r w:rsidRPr="00E7693B">
        <w:rPr>
          <w:rFonts w:ascii="Times New Roman" w:hAnsi="Times New Roman" w:cs="Times New Roman"/>
          <w:sz w:val="24"/>
          <w:szCs w:val="24"/>
        </w:rPr>
        <w:t>pseudothecia</w:t>
      </w:r>
      <w:proofErr w:type="spellEnd"/>
      <w:r w:rsidRPr="00E7693B">
        <w:rPr>
          <w:rFonts w:ascii="Times New Roman" w:hAnsi="Times New Roman" w:cs="Times New Roman"/>
          <w:sz w:val="24"/>
          <w:szCs w:val="24"/>
        </w:rPr>
        <w:t xml:space="preserve"> and/or asexual pycnidia </w:t>
      </w:r>
      <w:r w:rsidRPr="00E7693B">
        <w:rPr>
          <w:rFonts w:ascii="Times New Roman" w:hAnsi="Times New Roman" w:cs="Times New Roman"/>
          <w:color w:val="000000"/>
          <w:sz w:val="24"/>
          <w:szCs w:val="24"/>
        </w:rPr>
        <w:t xml:space="preserve">form spores which eventually get in contact with young </w:t>
      </w:r>
      <w:r w:rsidRPr="00E7693B">
        <w:rPr>
          <w:rFonts w:ascii="Times New Roman" w:hAnsi="Times New Roman" w:cs="Times New Roman"/>
          <w:i/>
          <w:color w:val="000000"/>
          <w:sz w:val="24"/>
          <w:szCs w:val="24"/>
        </w:rPr>
        <w:t xml:space="preserve">Brassica </w:t>
      </w:r>
      <w:r w:rsidRPr="00E7693B">
        <w:rPr>
          <w:rFonts w:ascii="Times New Roman" w:hAnsi="Times New Roman" w:cs="Times New Roman"/>
          <w:color w:val="000000"/>
          <w:sz w:val="24"/>
          <w:szCs w:val="24"/>
        </w:rPr>
        <w:t xml:space="preserve">crops. Ascospores formed in </w:t>
      </w:r>
      <w:proofErr w:type="spellStart"/>
      <w:r w:rsidRPr="00E7693B">
        <w:rPr>
          <w:rFonts w:ascii="Times New Roman" w:hAnsi="Times New Roman" w:cs="Times New Roman"/>
          <w:color w:val="000000"/>
          <w:sz w:val="24"/>
          <w:szCs w:val="24"/>
        </w:rPr>
        <w:t>pseudothecia</w:t>
      </w:r>
      <w:proofErr w:type="spellEnd"/>
      <w:r w:rsidRPr="00E7693B">
        <w:rPr>
          <w:rFonts w:ascii="Times New Roman" w:hAnsi="Times New Roman" w:cs="Times New Roman"/>
          <w:color w:val="000000"/>
          <w:sz w:val="24"/>
          <w:szCs w:val="24"/>
        </w:rPr>
        <w:t xml:space="preserve"> are dispersed by wind on long distances and represent the primary source of inoculum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{"citationID":"AxLs2PM7","properties":{"formattedCitation":"(Bousset et al., 2018)","plainCitation":"(Bousset et al., 2018)","dontUpdate":true,"noteIndex":0},"citationItems":[{"id":512,"uris":["http://zotero.org/users/10895598/items/IKM39IYN"],"itemData":{"id":512,"type":"article-journal","container-title":"Plant Pathology","DOI":"10.1111/ppa.12853","ISSN":"00320862","issue":"6","journalAbbreviation":"Plant Pathol","language":"en","page":"1321-1328","source":"DOI.org (Crossref)","title":"The full life cycle of &lt;i&gt;Leptosphaeria maculans&lt;/i&gt; completed on inoculated oilseed rape incubated under controlled conditions","volume":"67","author":[{"family":"Bousset","given":"L."},{"family":"Ermel","given":"M."},{"family":"Lebreton","given":"L."}],"issued":{"date-parts":[["2018",8]]}}}],"schema":"https://github.com/citation-style-language/schema/raw/master/csl-citation.json"} </w:instrText>
      </w:r>
      <w:r>
        <w:rPr>
          <w:rFonts w:ascii="Times New Roman" w:hAnsi="Times New Roman" w:cs="Times New Roman"/>
          <w:sz w:val="24"/>
          <w:szCs w:val="24"/>
        </w:rPr>
        <w:fldChar w:fldCharType="separate"/>
      </w:r>
      <w:r w:rsidRPr="0014730A">
        <w:rPr>
          <w:rFonts w:ascii="Times New Roman" w:hAnsi="Times New Roman" w:cs="Times New Roman"/>
          <w:sz w:val="24"/>
        </w:rPr>
        <w:t>(Bousset et al., 2018</w:t>
      </w:r>
      <w:r>
        <w:rPr>
          <w:rFonts w:ascii="Times New Roman" w:hAnsi="Times New Roman" w:cs="Times New Roman"/>
          <w:sz w:val="24"/>
          <w:szCs w:val="24"/>
        </w:rPr>
        <w:fldChar w:fldCharType="end"/>
      </w:r>
      <w:r w:rsidRPr="00E7693B">
        <w:rPr>
          <w:rFonts w:ascii="Times New Roman" w:hAnsi="Times New Roman" w:cs="Times New Roman"/>
          <w:sz w:val="24"/>
          <w:szCs w:val="24"/>
        </w:rPr>
        <w:t xml:space="preserve">; Fig. </w:t>
      </w:r>
      <w:r w:rsidR="002A4202">
        <w:rPr>
          <w:rFonts w:ascii="Times New Roman" w:hAnsi="Times New Roman" w:cs="Times New Roman"/>
          <w:sz w:val="24"/>
          <w:szCs w:val="24"/>
        </w:rPr>
        <w:t>5</w:t>
      </w:r>
      <w:r w:rsidRPr="00E7693B">
        <w:rPr>
          <w:rFonts w:ascii="Times New Roman" w:hAnsi="Times New Roman" w:cs="Times New Roman"/>
          <w:sz w:val="24"/>
          <w:szCs w:val="24"/>
        </w:rPr>
        <w:t>)</w:t>
      </w:r>
      <w:r w:rsidRPr="00E7693B">
        <w:rPr>
          <w:rFonts w:ascii="Times New Roman" w:hAnsi="Times New Roman" w:cs="Times New Roman"/>
          <w:color w:val="000000"/>
          <w:sz w:val="24"/>
          <w:szCs w:val="24"/>
        </w:rPr>
        <w:t xml:space="preserve">.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becomes biotrophic when ascospores fall on cotyledons or young leaves and start to germinate to produce germ tubes, which then penetrate the leaf apoplast through stomata</w:t>
      </w:r>
      <w:r>
        <w:rPr>
          <w:rFonts w:ascii="Times New Roman" w:hAnsi="Times New Roman" w:cs="Times New Roman"/>
          <w:color w:val="000000"/>
          <w:sz w:val="24"/>
          <w:szCs w:val="24"/>
        </w:rPr>
        <w:t xml:space="preserve"> and wounds</w:t>
      </w:r>
      <w:r w:rsidRPr="00E7693B">
        <w:rPr>
          <w:rFonts w:ascii="Times New Roman" w:hAnsi="Times New Roman" w:cs="Times New Roman"/>
          <w:color w:val="000000"/>
          <w:sz w:val="24"/>
          <w:szCs w:val="24"/>
        </w:rPr>
        <w:t xml:space="preserve">. Then,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shortly switches to the necrotrophic stage and forms necrotic leaf lesions within which the asexual reproduction takes place, </w:t>
      </w:r>
      <w:r w:rsidRPr="00E7693B">
        <w:rPr>
          <w:rFonts w:ascii="Times New Roman" w:hAnsi="Times New Roman" w:cs="Times New Roman"/>
          <w:i/>
          <w:color w:val="000000"/>
          <w:sz w:val="24"/>
          <w:szCs w:val="24"/>
        </w:rPr>
        <w:t>i.e.</w:t>
      </w:r>
      <w:r w:rsidRPr="00E7693B">
        <w:rPr>
          <w:rFonts w:ascii="Times New Roman" w:hAnsi="Times New Roman" w:cs="Times New Roman"/>
          <w:color w:val="000000"/>
          <w:sz w:val="24"/>
          <w:szCs w:val="24"/>
        </w:rPr>
        <w:t xml:space="preserve"> black </w:t>
      </w:r>
      <w:proofErr w:type="spellStart"/>
      <w:r w:rsidRPr="00E7693B">
        <w:rPr>
          <w:rFonts w:ascii="Times New Roman" w:hAnsi="Times New Roman" w:cs="Times New Roman"/>
          <w:color w:val="000000"/>
          <w:sz w:val="24"/>
          <w:szCs w:val="24"/>
        </w:rPr>
        <w:t>pycnidiospores</w:t>
      </w:r>
      <w:proofErr w:type="spellEnd"/>
      <w:r w:rsidRPr="00E7693B">
        <w:rPr>
          <w:rFonts w:ascii="Times New Roman" w:hAnsi="Times New Roman" w:cs="Times New Roman"/>
          <w:color w:val="000000"/>
          <w:sz w:val="24"/>
          <w:szCs w:val="24"/>
        </w:rPr>
        <w:t xml:space="preserve"> are produced in pycnidia inside the dead plant tissue and are dispersed by rain in the near distance representing a secondary inoculum source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{"citationID":"zKNQVORV","properties":{"formattedCitation":"(Howlett et al., 2001; Rouxel and Balesdent, 2005)","plainCitation":"(Howlett et al., 2001; Rouxel and Balesdent, 2005)","dontUpdate":true,"noteIndex":0},"citationItems":[{"id":506,"uris":["http://zotero.org/users/10895598/items/QW3GJS9W"],"itemData":{"id":506,"type":"article-journal","container-title":"Fungal Genetics and Biology","DOI":"10.1006/fgbi.2001.1274","ISSN":"10871845","issue":"1","journalAbbreviation":"Fungal Genetics and Biology","language":"en","page":"1-14","source":"DOI.org (Crossref)","title":"&lt;i&gt;Leptosphaeria maculans&lt;/i&gt;, the causal agent of blackleg disease of brassicas","volume":"33","author":[{"family":"Howlett","given":"Barbara J"},{"family":"Idnurm","given":"Alexander"},{"family":"Pedras","given":"M.Soledade C"}],"issued":{"date-parts":[["2001",6]]}}},{"id":510,"uris":["http://zotero.org/users/10895598/items/9RCY9QAJ"],"itemData":{"id":510,"type":"article-journal","container-title":"Molecular Plant Pathology","DOI":"10.1111/j.1364-3703.2005.00282.x","ISSN":"14646722, 13643703","issue":"3","language":"en","page":"225-241","source":"DOI.org (Crossref)","title":"The stem canker (blackleg) fungus, &lt;i&gt;Leptosphaeria maculans&lt;/i&gt;, enters the genomic era","volume":"6","author":[{"family":"Rouxel","given":"T."},{"family":"Balesdent","given":"M. H."}],"issued":{"date-parts":[["2005",5]]}}}],"schema":"https://github.com/citation-style-language/schema/raw/master/csl-citation.json"} </w:instrText>
      </w:r>
      <w:r>
        <w:rPr>
          <w:rFonts w:ascii="Times New Roman" w:hAnsi="Times New Roman" w:cs="Times New Roman"/>
          <w:sz w:val="24"/>
          <w:szCs w:val="24"/>
        </w:rPr>
        <w:fldChar w:fldCharType="separate"/>
      </w:r>
      <w:r w:rsidRPr="0014730A">
        <w:rPr>
          <w:rFonts w:ascii="Times New Roman" w:hAnsi="Times New Roman" w:cs="Times New Roman"/>
          <w:sz w:val="24"/>
        </w:rPr>
        <w:t>(Howlett et al., 2001; Rouxel and Balesdent, 2005</w:t>
      </w:r>
      <w:r>
        <w:rPr>
          <w:rFonts w:ascii="Times New Roman" w:hAnsi="Times New Roman" w:cs="Times New Roman"/>
          <w:sz w:val="24"/>
          <w:szCs w:val="24"/>
        </w:rPr>
        <w:fldChar w:fldCharType="end"/>
      </w:r>
      <w:r>
        <w:rPr>
          <w:rFonts w:ascii="Times New Roman" w:hAnsi="Times New Roman" w:cs="Times New Roman"/>
          <w:sz w:val="24"/>
          <w:szCs w:val="24"/>
          <w:lang w:val="hr-HR"/>
        </w:rPr>
        <w:t>;</w:t>
      </w:r>
      <w:r w:rsidRPr="00E7693B">
        <w:rPr>
          <w:rFonts w:ascii="Times New Roman" w:hAnsi="Times New Roman" w:cs="Times New Roman"/>
          <w:sz w:val="24"/>
          <w:szCs w:val="24"/>
        </w:rPr>
        <w:t xml:space="preserve"> Fig. </w:t>
      </w:r>
      <w:r w:rsidR="002A4202">
        <w:rPr>
          <w:rFonts w:ascii="Times New Roman" w:hAnsi="Times New Roman" w:cs="Times New Roman"/>
          <w:sz w:val="24"/>
          <w:szCs w:val="24"/>
        </w:rPr>
        <w:t>5</w:t>
      </w:r>
      <w:r w:rsidRPr="00E7693B">
        <w:rPr>
          <w:rFonts w:ascii="Times New Roman" w:hAnsi="Times New Roman" w:cs="Times New Roman"/>
          <w:sz w:val="24"/>
          <w:szCs w:val="24"/>
        </w:rPr>
        <w:t>)</w:t>
      </w:r>
      <w:r w:rsidRPr="00E7693B">
        <w:rPr>
          <w:rFonts w:ascii="Times New Roman" w:hAnsi="Times New Roman" w:cs="Times New Roman"/>
          <w:color w:val="000000"/>
          <w:sz w:val="24"/>
          <w:szCs w:val="24"/>
        </w:rPr>
        <w:t xml:space="preserve">. The fungus then again switches to biotrophy when hyphae start spreading from the leaf spots endophytically, </w:t>
      </w:r>
      <w:r w:rsidRPr="00E7693B">
        <w:rPr>
          <w:rFonts w:ascii="Times New Roman" w:hAnsi="Times New Roman" w:cs="Times New Roman"/>
          <w:i/>
          <w:color w:val="000000"/>
          <w:sz w:val="24"/>
          <w:szCs w:val="24"/>
        </w:rPr>
        <w:t>i.e.</w:t>
      </w:r>
      <w:r w:rsidRPr="00E7693B">
        <w:rPr>
          <w:rFonts w:ascii="Times New Roman" w:hAnsi="Times New Roman" w:cs="Times New Roman"/>
          <w:color w:val="000000"/>
          <w:sz w:val="24"/>
          <w:szCs w:val="24"/>
        </w:rPr>
        <w:t xml:space="preserve"> to the vascular system down the petiole mainly through xylem vessels with the goal to reach the stem while not causing any visible symptoms on the host plant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ZOTERO_ITEM CSL_CITATION {"citationID":"4qvP0OWY","properties":{"formattedCitation":"(Chen and Howlett, 1996; Hammond and Lewis, 1987)","plainCitation":"(Chen and Howlett, 1996; Hammond and Lewis, 1987)","noteIndex":0},"citationItems":[{"id":412,"uris":["http://zotero.org/users/10895598/items/TWGWWKFT"],"itemData":{"id":412,"type":"article-journal","container-title":"Physiological and Molecular Plant Pathology","DOI":"10.1006/pmpp.1996.0007","ISSN":"08855765","issue":"2","journalAbbreviation":"Physiological and Molecular Plant Pathology","language":"en","page":"73-81","source":"DOI.org (Crossref)","title":"Rapid necrosis of guard cells is associated with the arrest of fungal growth in leaves of Indian mustard (&lt;i&gt;Brassica juncea&lt;/i&gt;) inoculated with avirulent isolates of &lt;i&gt;Leptosphaeria maculans&lt;/i&gt;","volume":"48","author":[{"family":"Chen","given":"C.-Y."},{"family":"Howlett","given":"B.J."}],"issued":{"date-parts":[["1996",2]]}}},{"id":16,"uris":["http://zotero.org/users/10895598/items/BSMXTNZ4"],"itemData":{"id":16,"type":"article-journal","container-title":"Transactions of the British Mycological Society","DOI":"10.1016/S0007-1536(87)80006-2","ISSN":"00071536","issue":"3","journalAbbreviation":"Transactions of the British Mycological Society","language":"en","page":"329-333","source":"DOI.org (Crossref)","title":"Differential responses of oilseed rape leaves to &lt;i&gt;Leptosphaeria maculans&lt;/i&gt;","volume":"88","author":[{"family":"Hammond","given":"Kim E."},{"family":"Lewis","given":"B.G."}],"issued":{"date-parts":[["1987",4]]}}}],"schema":"https://github.com/citation-style-language/schema/raw/master/csl-citation.json"} </w:instrText>
      </w:r>
      <w:r>
        <w:rPr>
          <w:rFonts w:ascii="Times New Roman" w:hAnsi="Times New Roman" w:cs="Times New Roman"/>
          <w:color w:val="000000"/>
          <w:sz w:val="24"/>
          <w:szCs w:val="24"/>
        </w:rPr>
        <w:fldChar w:fldCharType="separate"/>
      </w:r>
      <w:r w:rsidRPr="0014730A">
        <w:rPr>
          <w:rFonts w:ascii="Times New Roman" w:hAnsi="Times New Roman" w:cs="Times New Roman"/>
          <w:sz w:val="24"/>
        </w:rPr>
        <w:t>(Chen and Howlett, 1996; Hammond and Lewis, 1987)</w:t>
      </w:r>
      <w:r>
        <w:rPr>
          <w:rFonts w:ascii="Times New Roman" w:hAnsi="Times New Roman" w:cs="Times New Roman"/>
          <w:color w:val="000000"/>
          <w:sz w:val="24"/>
          <w:szCs w:val="24"/>
        </w:rPr>
        <w:fldChar w:fldCharType="end"/>
      </w:r>
      <w:r w:rsidRPr="00E7693B">
        <w:rPr>
          <w:rFonts w:ascii="Times New Roman" w:hAnsi="Times New Roman" w:cs="Times New Roman"/>
          <w:color w:val="000000"/>
          <w:sz w:val="24"/>
          <w:szCs w:val="24"/>
        </w:rPr>
        <w:t xml:space="preserve">. However, when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finally reaches the crown of the stem, the juncture between the base of the stem and hypocotyl, it turns necrotrophic again and causes blackening known as stem canker or “blackleg” that eventually leads to </w:t>
      </w:r>
      <w:r>
        <w:rPr>
          <w:rFonts w:ascii="Times New Roman" w:hAnsi="Times New Roman" w:cs="Times New Roman"/>
          <w:color w:val="000000"/>
          <w:sz w:val="24"/>
          <w:szCs w:val="24"/>
        </w:rPr>
        <w:t>premature ripening and yield loss</w:t>
      </w:r>
      <w:r w:rsidRPr="00E7693B">
        <w:rPr>
          <w:rFonts w:ascii="Times New Roman" w:hAnsi="Times New Roman" w:cs="Times New Roman"/>
          <w:color w:val="000000"/>
          <w:sz w:val="24"/>
          <w:szCs w:val="24"/>
        </w:rPr>
        <w:t xml:space="preserve"> of infected </w:t>
      </w:r>
      <w:r w:rsidRPr="00E7693B">
        <w:rPr>
          <w:rFonts w:ascii="Times New Roman" w:hAnsi="Times New Roman" w:cs="Times New Roman"/>
          <w:i/>
          <w:color w:val="000000"/>
          <w:sz w:val="24"/>
          <w:szCs w:val="24"/>
        </w:rPr>
        <w:t xml:space="preserve">Brassica </w:t>
      </w:r>
      <w:r w:rsidRPr="00E7693B">
        <w:rPr>
          <w:rFonts w:ascii="Times New Roman" w:hAnsi="Times New Roman" w:cs="Times New Roman"/>
          <w:color w:val="000000"/>
          <w:sz w:val="24"/>
          <w:szCs w:val="24"/>
        </w:rPr>
        <w:t xml:space="preserve">crops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{"citationID":"eUhEX0Dk","properties":{"formattedCitation":"(Borhan et al., 2022)","plainCitation":"(Borhan et al., 2022)","noteIndex":0},"citationItems":[{"id":513,"uris":["http://zotero.org/users/10895598/items/KVETXXJV"],"itemData":{"id":513,"type":"article-journal","abstract":"Canola is an important oilseed crop, providing food, feed, and fuel around the world. However, blackleg disease, caused by the ascomycete Leptosphaeria maculans, causes significant yield losses annually. With the recent advances in genomic technologies, the understanding of the Brassica napus–L. maculans interaction has rapidly increased, with numerous Avr and R genes cloned, setting this system up as a model organism for studying plant–pathogen associations. Although the B. napus–L. maculans interaction follows Flor's gene-for-gene hypothesis for qualitative resistance, it also puts some unique spins on the interaction. This review discusses the current status of the host–pathogen interaction and highlights some of the future gaps that need addressing moving forward.","container-title":"Annual Review of Phytopathology","DOI":"10.1146/annurev-phyto-021621-120602","ISSN":"0066-4286, 1545-2107","issue":"1","journalAbbreviation":"Annu. Rev. Phytopathol.","language":"en","page":"237-257","source":"DOI.org (Crossref)","title":"Molecular interactions between &lt;i&gt;Leptosphaeria maculans&lt;/i&gt; and &lt;i&gt;Brassica&lt;/i&gt; species","volume":"60","author":[{"family":"Borhan","given":"M. Hossein"},{"family":"Van de Wouw","given":"Angela P."},{"family":"Larkan","given":"Nicholas J."}],"issued":{"date-parts":[["2022",8,26]]}}}],"schema":"https://github.com/citation-style-language/schema/raw/master/csl-citation.json"} </w:instrText>
      </w:r>
      <w:r>
        <w:rPr>
          <w:rFonts w:ascii="Times New Roman" w:hAnsi="Times New Roman" w:cs="Times New Roman"/>
          <w:sz w:val="24"/>
          <w:szCs w:val="24"/>
        </w:rPr>
        <w:fldChar w:fldCharType="separate"/>
      </w:r>
      <w:r w:rsidRPr="0014730A">
        <w:rPr>
          <w:rFonts w:ascii="Times New Roman" w:hAnsi="Times New Roman" w:cs="Times New Roman"/>
          <w:sz w:val="24"/>
        </w:rPr>
        <w:t>(Borhan et al., 2022)</w:t>
      </w:r>
      <w:r>
        <w:rPr>
          <w:rFonts w:ascii="Times New Roman" w:hAnsi="Times New Roman" w:cs="Times New Roman"/>
          <w:sz w:val="24"/>
          <w:szCs w:val="24"/>
        </w:rPr>
        <w:fldChar w:fldCharType="end"/>
      </w:r>
      <w:r w:rsidRPr="00E7693B">
        <w:rPr>
          <w:rFonts w:ascii="Times New Roman" w:hAnsi="Times New Roman" w:cs="Times New Roman"/>
          <w:color w:val="000000"/>
          <w:sz w:val="24"/>
          <w:szCs w:val="24"/>
        </w:rPr>
        <w:t>.</w:t>
      </w:r>
    </w:p>
    <w:p w14:paraId="1FEC181F" w14:textId="77777777" w:rsidR="00007653" w:rsidRPr="00E7693B" w:rsidRDefault="00007653" w:rsidP="00007653">
      <w:pPr>
        <w:spacing w:line="360" w:lineRule="auto"/>
        <w:ind w:firstLine="720"/>
        <w:jc w:val="both"/>
        <w:rPr>
          <w:rFonts w:ascii="Times New Roman" w:hAnsi="Times New Roman" w:cs="Times New Roman"/>
          <w:color w:val="000000"/>
          <w:sz w:val="24"/>
          <w:szCs w:val="24"/>
        </w:rPr>
      </w:pPr>
      <w:r w:rsidRPr="00E7693B">
        <w:rPr>
          <w:rFonts w:ascii="Times New Roman" w:hAnsi="Times New Roman" w:cs="Times New Roman"/>
          <w:color w:val="000000"/>
          <w:sz w:val="24"/>
          <w:szCs w:val="24"/>
        </w:rPr>
        <w:lastRenderedPageBreak/>
        <w:t xml:space="preserve">As stated by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{"citationID":"7QM8bcYA","properties":{"formattedCitation":"(Sheldrake, 2021)","plainCitation":"(Sheldrake, 2021)","dontUpdate":true,"noteIndex":0},"citationItems":[{"id":628,"uris":["http://zotero.org/users/10895598/items/NNJNPN52"],"itemData":{"id":628,"type":"book","ISBN":"0-525-51032-X","publisher":"Random House Trade Paperbacks","title":"Entangled life: How fungi make our worlds, change our minds &amp; shape our futures","author":[{"family":"Sheldrake","given":"Merlin"}],"issued":{"date-parts":[["2021"]]}}}],"schema":"https://github.com/citation-style-language/schema/raw/master/csl-citation.json"}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Sheldrake (</w:t>
      </w:r>
      <w:r w:rsidRPr="0014730A">
        <w:rPr>
          <w:rFonts w:ascii="Times New Roman" w:hAnsi="Times New Roman" w:cs="Times New Roman"/>
          <w:sz w:val="24"/>
        </w:rPr>
        <w:t>2021)</w:t>
      </w:r>
      <w:r>
        <w:rPr>
          <w:rFonts w:ascii="Times New Roman" w:hAnsi="Times New Roman" w:cs="Times New Roman"/>
          <w:sz w:val="24"/>
          <w:szCs w:val="24"/>
        </w:rPr>
        <w:fldChar w:fldCharType="end"/>
      </w:r>
      <w:r w:rsidRPr="00E7693B">
        <w:rPr>
          <w:rFonts w:ascii="Times New Roman" w:hAnsi="Times New Roman" w:cs="Times New Roman"/>
          <w:color w:val="000000"/>
          <w:sz w:val="24"/>
          <w:szCs w:val="24"/>
        </w:rPr>
        <w:t>, mycelium is the means by which fungi obtain food; their hyphae are lengthy and divided, and they ingest all that is within their reach. One feature that distinguishes fungi from animals is that fungi incorporate their bodies into food, whereas animals incorporate food into their bodies.</w:t>
      </w:r>
    </w:p>
    <w:p w14:paraId="3F662172" w14:textId="77777777" w:rsidR="00007653" w:rsidRPr="00E7693B" w:rsidRDefault="00007653" w:rsidP="00007653">
      <w:pPr>
        <w:spacing w:line="360" w:lineRule="auto"/>
        <w:jc w:val="center"/>
        <w:rPr>
          <w:rFonts w:ascii="Times New Roman" w:hAnsi="Times New Roman" w:cs="Times New Roman"/>
          <w:color w:val="000000"/>
        </w:rPr>
      </w:pPr>
      <w:r w:rsidRPr="00E7693B">
        <w:rPr>
          <w:rFonts w:ascii="Times New Roman" w:hAnsi="Times New Roman" w:cs="Times New Roman"/>
          <w:noProof/>
          <w:lang w:val="en-US"/>
        </w:rPr>
        <w:drawing>
          <wp:inline distT="0" distB="0" distL="0" distR="0" wp14:anchorId="57801482" wp14:editId="679F9F48">
            <wp:extent cx="5787677" cy="3573032"/>
            <wp:effectExtent l="0" t="0" r="0" b="0"/>
            <wp:docPr id="1076548393" name="image26.png" descr="A diagram of a plant life cy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diagram of a plant life cycle&#10;&#10;Description automatically generated"/>
                    <pic:cNvPicPr preferRelativeResize="0"/>
                  </pic:nvPicPr>
                  <pic:blipFill>
                    <a:blip r:embed="rId21"/>
                    <a:srcRect r="-478" b="7133"/>
                    <a:stretch>
                      <a:fillRect/>
                    </a:stretch>
                  </pic:blipFill>
                  <pic:spPr>
                    <a:xfrm>
                      <a:off x="0" y="0"/>
                      <a:ext cx="5787677" cy="3573032"/>
                    </a:xfrm>
                    <a:prstGeom prst="rect">
                      <a:avLst/>
                    </a:prstGeom>
                    <a:ln/>
                  </pic:spPr>
                </pic:pic>
              </a:graphicData>
            </a:graphic>
          </wp:inline>
        </w:drawing>
      </w:r>
    </w:p>
    <w:p w14:paraId="4C1DF77E" w14:textId="1FE4EF61" w:rsidR="00007653" w:rsidRPr="00632B4B" w:rsidRDefault="00007653" w:rsidP="00007653">
      <w:pPr>
        <w:spacing w:before="240" w:after="0" w:line="360" w:lineRule="auto"/>
        <w:jc w:val="center"/>
        <w:rPr>
          <w:rFonts w:ascii="Times New Roman" w:hAnsi="Times New Roman" w:cs="Times New Roman"/>
          <w:color w:val="000000"/>
          <w:sz w:val="24"/>
          <w:szCs w:val="24"/>
        </w:rPr>
      </w:pPr>
      <w:r w:rsidRPr="00E7693B">
        <w:rPr>
          <w:rFonts w:ascii="Times New Roman" w:hAnsi="Times New Roman" w:cs="Times New Roman"/>
          <w:b/>
          <w:color w:val="000000"/>
        </w:rPr>
        <w:t xml:space="preserve">Figure </w:t>
      </w:r>
      <w:r w:rsidR="008172D6">
        <w:rPr>
          <w:rFonts w:ascii="Times New Roman" w:hAnsi="Times New Roman" w:cs="Times New Roman"/>
          <w:b/>
          <w:color w:val="000000"/>
        </w:rPr>
        <w:t>5</w:t>
      </w:r>
      <w:r w:rsidRPr="00E7693B">
        <w:rPr>
          <w:rFonts w:ascii="Times New Roman" w:hAnsi="Times New Roman" w:cs="Times New Roman"/>
          <w:b/>
          <w:color w:val="000000"/>
        </w:rPr>
        <w:t>.</w:t>
      </w:r>
      <w:r w:rsidRPr="00E7693B">
        <w:rPr>
          <w:rFonts w:ascii="Times New Roman" w:hAnsi="Times New Roman" w:cs="Times New Roman"/>
          <w:color w:val="000000"/>
        </w:rPr>
        <w:t xml:space="preserve"> Life cycle of </w:t>
      </w:r>
      <w:r w:rsidRPr="00E7693B">
        <w:rPr>
          <w:rFonts w:ascii="Times New Roman" w:hAnsi="Times New Roman" w:cs="Times New Roman"/>
          <w:i/>
          <w:color w:val="000000"/>
        </w:rPr>
        <w:t xml:space="preserve">Leptosphaeria </w:t>
      </w:r>
      <w:proofErr w:type="spellStart"/>
      <w:r w:rsidRPr="00E7693B">
        <w:rPr>
          <w:rFonts w:ascii="Times New Roman" w:hAnsi="Times New Roman" w:cs="Times New Roman"/>
          <w:i/>
          <w:color w:val="000000"/>
        </w:rPr>
        <w:t>maculans</w:t>
      </w:r>
      <w:proofErr w:type="spellEnd"/>
      <w:r w:rsidRPr="00E7693B">
        <w:rPr>
          <w:rFonts w:ascii="Times New Roman" w:hAnsi="Times New Roman" w:cs="Times New Roman"/>
          <w:i/>
          <w:color w:val="000000"/>
        </w:rPr>
        <w:t xml:space="preserve"> </w:t>
      </w:r>
      <w:r w:rsidRPr="00E7693B">
        <w:rPr>
          <w:rFonts w:ascii="Times New Roman" w:hAnsi="Times New Roman" w:cs="Times New Roman"/>
          <w:color w:val="000000"/>
        </w:rPr>
        <w:t xml:space="preserve">on </w:t>
      </w:r>
      <w:r w:rsidRPr="00E7693B">
        <w:rPr>
          <w:rFonts w:ascii="Times New Roman" w:hAnsi="Times New Roman" w:cs="Times New Roman"/>
          <w:i/>
          <w:color w:val="000000"/>
        </w:rPr>
        <w:t xml:space="preserve">Brassica </w:t>
      </w:r>
      <w:r w:rsidRPr="00E7693B">
        <w:rPr>
          <w:rFonts w:ascii="Times New Roman" w:hAnsi="Times New Roman" w:cs="Times New Roman"/>
          <w:color w:val="000000"/>
        </w:rPr>
        <w:t xml:space="preserve">crops </w:t>
      </w:r>
      <w:r w:rsidRPr="00E7693B">
        <w:rPr>
          <w:rFonts w:ascii="Times New Roman" w:hAnsi="Times New Roman" w:cs="Times New Roman"/>
        </w:rPr>
        <w:t>(Howlett et al., 2001)</w:t>
      </w:r>
      <w:r w:rsidRPr="00E7693B">
        <w:rPr>
          <w:rFonts w:ascii="Times New Roman" w:hAnsi="Times New Roman" w:cs="Times New Roman"/>
          <w:color w:val="000000"/>
        </w:rPr>
        <w:t>.</w:t>
      </w:r>
    </w:p>
    <w:p w14:paraId="34AC77E3" w14:textId="77777777" w:rsidR="00007653" w:rsidRPr="00632B4B" w:rsidRDefault="00007653" w:rsidP="00007653">
      <w:pPr>
        <w:spacing w:after="0" w:line="360" w:lineRule="auto"/>
        <w:jc w:val="both"/>
        <w:rPr>
          <w:rFonts w:ascii="Times New Roman" w:hAnsi="Times New Roman" w:cs="Times New Roman"/>
          <w:color w:val="000000"/>
          <w:sz w:val="24"/>
          <w:szCs w:val="24"/>
        </w:rPr>
      </w:pPr>
    </w:p>
    <w:p w14:paraId="59835EB9" w14:textId="77777777" w:rsidR="00007653" w:rsidRPr="00E7693B" w:rsidRDefault="00007653" w:rsidP="00007653">
      <w:pPr>
        <w:pStyle w:val="Heading3"/>
      </w:pPr>
      <w:bookmarkStart w:id="23" w:name="_Toc167977597"/>
      <w:r w:rsidRPr="00E7693B">
        <w:rPr>
          <w:i/>
        </w:rPr>
        <w:t xml:space="preserve">Leptosphaeria </w:t>
      </w:r>
      <w:proofErr w:type="spellStart"/>
      <w:r w:rsidRPr="00E7693B">
        <w:rPr>
          <w:i/>
        </w:rPr>
        <w:t>maculans</w:t>
      </w:r>
      <w:proofErr w:type="spellEnd"/>
      <w:r w:rsidRPr="00E7693B">
        <w:t xml:space="preserve"> interaction with </w:t>
      </w:r>
      <w:r w:rsidRPr="00E7693B">
        <w:rPr>
          <w:i/>
        </w:rPr>
        <w:t>Brassica</w:t>
      </w:r>
      <w:r w:rsidRPr="00E7693B">
        <w:t xml:space="preserve"> </w:t>
      </w:r>
      <w:r w:rsidRPr="00AE57EB">
        <w:rPr>
          <w:i/>
          <w:iCs/>
        </w:rPr>
        <w:t>napus</w:t>
      </w:r>
      <w:bookmarkEnd w:id="23"/>
    </w:p>
    <w:p w14:paraId="1FD5C14A" w14:textId="77777777" w:rsidR="00007653" w:rsidRPr="00E7693B" w:rsidRDefault="00007653" w:rsidP="00007653">
      <w:pPr>
        <w:pBdr>
          <w:top w:val="nil"/>
          <w:left w:val="nil"/>
          <w:bottom w:val="nil"/>
          <w:right w:val="nil"/>
          <w:between w:val="nil"/>
        </w:pBdr>
        <w:spacing w:line="360" w:lineRule="auto"/>
        <w:ind w:firstLine="720"/>
        <w:jc w:val="both"/>
        <w:rPr>
          <w:rFonts w:ascii="Times New Roman" w:hAnsi="Times New Roman" w:cs="Times New Roman"/>
        </w:rPr>
      </w:pPr>
    </w:p>
    <w:p w14:paraId="666504CE" w14:textId="5FF9E000" w:rsidR="00007653" w:rsidRPr="00355C14" w:rsidRDefault="00007653" w:rsidP="00007653">
      <w:pPr>
        <w:pBdr>
          <w:top w:val="nil"/>
          <w:left w:val="nil"/>
          <w:bottom w:val="nil"/>
          <w:right w:val="nil"/>
          <w:between w:val="nil"/>
        </w:pBdr>
        <w:spacing w:after="0" w:line="360" w:lineRule="auto"/>
        <w:ind w:firstLine="720"/>
        <w:jc w:val="both"/>
        <w:rPr>
          <w:rFonts w:ascii="Times New Roman" w:hAnsi="Times New Roman" w:cs="Times New Roman"/>
          <w:sz w:val="24"/>
          <w:szCs w:val="24"/>
        </w:rPr>
      </w:pPr>
      <w:r w:rsidRPr="00E7693B">
        <w:rPr>
          <w:rFonts w:ascii="Times New Roman" w:hAnsi="Times New Roman" w:cs="Times New Roman"/>
          <w:sz w:val="24"/>
          <w:szCs w:val="24"/>
        </w:rPr>
        <w:t xml:space="preserve">An interesting example of incompatible and compatible interaction has been investigated on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i/>
          <w:sz w:val="24"/>
          <w:szCs w:val="24"/>
        </w:rPr>
        <w:t xml:space="preserve"> </w:t>
      </w:r>
      <w:r w:rsidRPr="00E7693B">
        <w:rPr>
          <w:rFonts w:ascii="Times New Roman" w:hAnsi="Times New Roman" w:cs="Times New Roman"/>
          <w:sz w:val="24"/>
          <w:szCs w:val="24"/>
        </w:rPr>
        <w:t xml:space="preserve">and its host </w:t>
      </w:r>
      <w:r w:rsidRPr="00E7693B">
        <w:rPr>
          <w:rFonts w:ascii="Times New Roman" w:hAnsi="Times New Roman" w:cs="Times New Roman"/>
          <w:i/>
          <w:sz w:val="24"/>
          <w:szCs w:val="24"/>
        </w:rPr>
        <w:t>B. napus</w:t>
      </w:r>
      <w:r w:rsidRPr="00E7693B">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{"citationID":"lKOcJJ7g","properties":{"formattedCitation":"(Balesdent et al., 2002)","plainCitation":"(Balesdent et al., 2002)","dontUpdate":true,"noteIndex":0},"citationItems":[{"id":181,"uris":["http://zotero.org/users/10895598/items/NYVTNYQX"],"itemData":{"id":181,"type":"article-journal","abstract":"Leptosphaeria maculans, the causal agent of stem canker of oilseed rape (Brassica napus), develops gene-for-gene interactions with oilseed rape, and four L. maculans avirulence (AVR) genes (AvrLm1, AvrLm2, AvrLm4, and alm1) were previously genetically characterized. Based on the analysis of progeny of numerous in vitro crosses between L. maculans isolates showing either already characterized or new differential interactions, this work aims to provide an overview of the AVR genes that may specify incompatibility toward B. napus and the related species B. juncea and B. rapa. Two novel differential interactions were thus identified between L. maculans and B. napus genotypes, one of them corresponding to a complete resistance to European races of L. maculans. In both cases, a single gene control of avirulence was established (genes AvrLm3 and AvrLm7). Similarly, a single gene control of avirulence toward a B. rapa genotype, also resistant to European L. maculans isolates, was demonstrated (gene AvrLm8). Finally, a digenic control of avirulence toward B. juncea was established (genes AvrLm5 and AvrLm6). Linkage analyses demonstrated that at least four unlinked L. maculans genomic regions, including at least one AVR gene cluster (AvrLm1-AvrLm2-AvrLm6), are involved in host specificity. The AvrLm3-AvrLm4-AvrLm7 region may correspond either to a second AVR gene cluster or to a multiallelic AVR gene.","container-title":"Phytopathology®","DOI":"10.1094/PHYTO.2002.92.10.1122","ISSN":"0031-949X, 1943-7684","issue":"10","journalAbbreviation":"Phytopathology®","language":"en","page":"1122-1133","source":"DOI.org (Crossref)","title":"New avirulence genes in the phytopathogenic fungus &lt;i&gt;Leptosphaeria maculans&lt;/i&gt;","volume":"92","author":[{"family":"Balesdent","given":"M. H."},{"family":"Attard","given":"A."},{"family":"Kühn","given":"M. L."},{"family":"Rouxel","given":"T."}],"issued":{"date-parts":[["2002",10]]}}}],"schema":"https://github.com/citation-style-language/schema/raw/master/csl-citation.json"}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Balesdent et al. (</w:t>
      </w:r>
      <w:r w:rsidRPr="00632B4B">
        <w:rPr>
          <w:rFonts w:ascii="Times New Roman" w:hAnsi="Times New Roman" w:cs="Times New Roman"/>
          <w:sz w:val="24"/>
        </w:rPr>
        <w:t>2002)</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E7693B">
        <w:rPr>
          <w:rFonts w:ascii="Times New Roman" w:hAnsi="Times New Roman" w:cs="Times New Roman"/>
          <w:sz w:val="24"/>
          <w:szCs w:val="24"/>
        </w:rPr>
        <w:t xml:space="preserve">found that a type of interaction and the infection outcome (resistant or susceptible) between different isolates of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w:t>
      </w:r>
      <w:r w:rsidRPr="00E7693B">
        <w:rPr>
          <w:rFonts w:ascii="Times New Roman" w:hAnsi="Times New Roman" w:cs="Times New Roman"/>
          <w:sz w:val="24"/>
          <w:szCs w:val="24"/>
        </w:rPr>
        <w:t xml:space="preserve">and </w:t>
      </w:r>
      <w:r w:rsidRPr="00E7693B">
        <w:rPr>
          <w:rFonts w:ascii="Times New Roman" w:hAnsi="Times New Roman" w:cs="Times New Roman"/>
          <w:i/>
          <w:sz w:val="24"/>
          <w:szCs w:val="24"/>
        </w:rPr>
        <w:t xml:space="preserve">B. napus </w:t>
      </w:r>
      <w:r w:rsidRPr="00E7693B">
        <w:rPr>
          <w:rFonts w:ascii="Times New Roman" w:hAnsi="Times New Roman" w:cs="Times New Roman"/>
          <w:sz w:val="24"/>
          <w:szCs w:val="24"/>
        </w:rPr>
        <w:t xml:space="preserve">is mediated by the </w:t>
      </w:r>
      <w:proofErr w:type="spellStart"/>
      <w:r w:rsidRPr="00E7693B">
        <w:rPr>
          <w:rFonts w:ascii="Times New Roman" w:hAnsi="Times New Roman" w:cs="Times New Roman"/>
          <w:i/>
          <w:sz w:val="24"/>
          <w:szCs w:val="24"/>
        </w:rPr>
        <w:t>Avr</w:t>
      </w:r>
      <w:proofErr w:type="spellEnd"/>
      <w:r w:rsidRPr="00E7693B">
        <w:rPr>
          <w:rFonts w:ascii="Times New Roman" w:hAnsi="Times New Roman" w:cs="Times New Roman"/>
          <w:i/>
          <w:sz w:val="24"/>
          <w:szCs w:val="24"/>
        </w:rPr>
        <w:t xml:space="preserve"> </w:t>
      </w:r>
      <w:r w:rsidRPr="00E7693B">
        <w:rPr>
          <w:rFonts w:ascii="Times New Roman" w:hAnsi="Times New Roman" w:cs="Times New Roman"/>
          <w:sz w:val="24"/>
          <w:szCs w:val="24"/>
        </w:rPr>
        <w:t xml:space="preserve">gene of the pathogen, </w:t>
      </w:r>
      <w:r w:rsidRPr="00E7693B">
        <w:rPr>
          <w:rFonts w:ascii="Times New Roman" w:hAnsi="Times New Roman" w:cs="Times New Roman"/>
          <w:i/>
          <w:sz w:val="24"/>
          <w:szCs w:val="24"/>
        </w:rPr>
        <w:t>e.g.</w:t>
      </w:r>
      <w:r w:rsidRPr="00E7693B">
        <w:rPr>
          <w:rFonts w:ascii="Times New Roman" w:hAnsi="Times New Roman" w:cs="Times New Roman"/>
          <w:sz w:val="24"/>
          <w:szCs w:val="24"/>
        </w:rPr>
        <w:t xml:space="preserve"> </w:t>
      </w:r>
      <w:r w:rsidRPr="00E7693B">
        <w:rPr>
          <w:rFonts w:ascii="Times New Roman" w:hAnsi="Times New Roman" w:cs="Times New Roman"/>
          <w:i/>
          <w:sz w:val="24"/>
          <w:szCs w:val="24"/>
        </w:rPr>
        <w:t xml:space="preserve">AvrLm1 </w:t>
      </w:r>
      <w:r w:rsidRPr="00E7693B">
        <w:rPr>
          <w:rFonts w:ascii="Times New Roman" w:hAnsi="Times New Roman" w:cs="Times New Roman"/>
          <w:sz w:val="24"/>
          <w:szCs w:val="24"/>
        </w:rPr>
        <w:t xml:space="preserve">and a corresponding </w:t>
      </w:r>
      <w:r w:rsidRPr="00E7693B">
        <w:rPr>
          <w:rFonts w:ascii="Times New Roman" w:hAnsi="Times New Roman" w:cs="Times New Roman"/>
          <w:i/>
          <w:sz w:val="24"/>
          <w:szCs w:val="24"/>
        </w:rPr>
        <w:t xml:space="preserve">R </w:t>
      </w:r>
      <w:r w:rsidRPr="00E7693B">
        <w:rPr>
          <w:rFonts w:ascii="Times New Roman" w:hAnsi="Times New Roman" w:cs="Times New Roman"/>
          <w:sz w:val="24"/>
          <w:szCs w:val="24"/>
        </w:rPr>
        <w:t xml:space="preserve">gene, </w:t>
      </w:r>
      <w:r>
        <w:rPr>
          <w:rFonts w:ascii="Times New Roman" w:hAnsi="Times New Roman" w:cs="Times New Roman"/>
          <w:i/>
          <w:sz w:val="24"/>
          <w:szCs w:val="24"/>
        </w:rPr>
        <w:t>i</w:t>
      </w:r>
      <w:r w:rsidRPr="00E7693B">
        <w:rPr>
          <w:rFonts w:ascii="Times New Roman" w:hAnsi="Times New Roman" w:cs="Times New Roman"/>
          <w:i/>
          <w:sz w:val="24"/>
          <w:szCs w:val="24"/>
        </w:rPr>
        <w:t>.</w:t>
      </w:r>
      <w:r>
        <w:rPr>
          <w:rFonts w:ascii="Times New Roman" w:hAnsi="Times New Roman" w:cs="Times New Roman"/>
          <w:i/>
          <w:sz w:val="24"/>
          <w:szCs w:val="24"/>
        </w:rPr>
        <w:t>e</w:t>
      </w:r>
      <w:r w:rsidRPr="00E7693B">
        <w:rPr>
          <w:rFonts w:ascii="Times New Roman" w:hAnsi="Times New Roman" w:cs="Times New Roman"/>
          <w:i/>
          <w:sz w:val="24"/>
          <w:szCs w:val="24"/>
        </w:rPr>
        <w:t>.</w:t>
      </w:r>
      <w:r w:rsidRPr="00E7693B">
        <w:rPr>
          <w:rFonts w:ascii="Times New Roman" w:hAnsi="Times New Roman" w:cs="Times New Roman"/>
          <w:sz w:val="24"/>
          <w:szCs w:val="24"/>
        </w:rPr>
        <w:t xml:space="preserve"> </w:t>
      </w:r>
      <w:r w:rsidRPr="00E7693B">
        <w:rPr>
          <w:rFonts w:ascii="Times New Roman" w:hAnsi="Times New Roman" w:cs="Times New Roman"/>
          <w:i/>
          <w:sz w:val="24"/>
          <w:szCs w:val="24"/>
        </w:rPr>
        <w:t>Rlm1</w:t>
      </w:r>
      <w:r w:rsidRPr="00E7693B">
        <w:rPr>
          <w:rFonts w:ascii="Times New Roman" w:hAnsi="Times New Roman" w:cs="Times New Roman"/>
          <w:sz w:val="24"/>
          <w:szCs w:val="24"/>
        </w:rPr>
        <w:t xml:space="preserve"> in the host plant. For instance, JN3 isolate of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w:t>
      </w:r>
      <w:r w:rsidRPr="00E7693B">
        <w:rPr>
          <w:rFonts w:ascii="Times New Roman" w:hAnsi="Times New Roman" w:cs="Times New Roman"/>
          <w:sz w:val="24"/>
          <w:szCs w:val="24"/>
        </w:rPr>
        <w:t xml:space="preserve">carrying </w:t>
      </w:r>
      <w:r w:rsidRPr="00E7693B">
        <w:rPr>
          <w:rFonts w:ascii="Times New Roman" w:hAnsi="Times New Roman" w:cs="Times New Roman"/>
          <w:i/>
          <w:sz w:val="24"/>
          <w:szCs w:val="24"/>
        </w:rPr>
        <w:t xml:space="preserve">AvrLm1 </w:t>
      </w:r>
      <w:r w:rsidRPr="00E7693B">
        <w:rPr>
          <w:rFonts w:ascii="Times New Roman" w:hAnsi="Times New Roman" w:cs="Times New Roman"/>
          <w:sz w:val="24"/>
          <w:szCs w:val="24"/>
        </w:rPr>
        <w:t xml:space="preserve">gene causes small lesions resembling HR, whereas virulent JN2, an isolate of </w:t>
      </w:r>
      <w:r w:rsidRPr="00E7693B">
        <w:rPr>
          <w:rFonts w:ascii="Times New Roman" w:hAnsi="Times New Roman" w:cs="Times New Roman"/>
          <w:i/>
          <w:color w:val="000000"/>
          <w:sz w:val="24"/>
          <w:szCs w:val="24"/>
        </w:rPr>
        <w:t xml:space="preserve">L. </w:t>
      </w:r>
      <w:proofErr w:type="spellStart"/>
      <w:r w:rsidRPr="00E7693B">
        <w:rPr>
          <w:rFonts w:ascii="Times New Roman" w:hAnsi="Times New Roman" w:cs="Times New Roman"/>
          <w:i/>
          <w:color w:val="000000"/>
          <w:sz w:val="24"/>
          <w:szCs w:val="24"/>
        </w:rPr>
        <w:t>maculans</w:t>
      </w:r>
      <w:proofErr w:type="spellEnd"/>
      <w:r w:rsidRPr="00E7693B">
        <w:rPr>
          <w:rFonts w:ascii="Times New Roman" w:hAnsi="Times New Roman" w:cs="Times New Roman"/>
          <w:color w:val="000000"/>
          <w:sz w:val="24"/>
          <w:szCs w:val="24"/>
        </w:rPr>
        <w:t xml:space="preserve"> </w:t>
      </w:r>
      <w:r w:rsidRPr="00E7693B">
        <w:rPr>
          <w:rFonts w:ascii="Times New Roman" w:hAnsi="Times New Roman" w:cs="Times New Roman"/>
          <w:sz w:val="24"/>
          <w:szCs w:val="24"/>
        </w:rPr>
        <w:t xml:space="preserve">lacking </w:t>
      </w:r>
      <w:r w:rsidRPr="00E7693B">
        <w:rPr>
          <w:rFonts w:ascii="Times New Roman" w:hAnsi="Times New Roman" w:cs="Times New Roman"/>
          <w:i/>
          <w:sz w:val="24"/>
          <w:szCs w:val="24"/>
        </w:rPr>
        <w:t xml:space="preserve">AvrLm1 </w:t>
      </w:r>
      <w:r w:rsidRPr="00E7693B">
        <w:rPr>
          <w:rFonts w:ascii="Times New Roman" w:hAnsi="Times New Roman" w:cs="Times New Roman"/>
          <w:sz w:val="24"/>
          <w:szCs w:val="24"/>
        </w:rPr>
        <w:t xml:space="preserve">gene, causes significantly larger lesions on a Columbus cultivar carrying </w:t>
      </w:r>
      <w:r w:rsidRPr="00E7693B">
        <w:rPr>
          <w:rFonts w:ascii="Times New Roman" w:hAnsi="Times New Roman" w:cs="Times New Roman"/>
          <w:i/>
          <w:sz w:val="24"/>
          <w:szCs w:val="24"/>
        </w:rPr>
        <w:t xml:space="preserve">Rlm1 </w:t>
      </w:r>
      <w:r>
        <w:rPr>
          <w:rFonts w:ascii="Times New Roman" w:hAnsi="Times New Roman" w:cs="Times New Roman"/>
          <w:i/>
          <w:sz w:val="24"/>
          <w:szCs w:val="24"/>
        </w:rPr>
        <w:fldChar w:fldCharType="begin"/>
      </w:r>
      <w:r>
        <w:rPr>
          <w:rFonts w:ascii="Times New Roman" w:hAnsi="Times New Roman" w:cs="Times New Roman"/>
          <w:i/>
          <w:sz w:val="24"/>
          <w:szCs w:val="24"/>
        </w:rPr>
        <w:instrText xml:space="preserve"> ADDIN ZOTERO_ITEM CSL_CITATION {"citationID":"8PpOJ0Kf","properties":{"formattedCitation":"(\\uc0\\u352{}a\\uc0\\u353{}ek et al., 2012b)","plainCitation":"(Šašek et al., 2012b)","noteIndex":0},"citationItems":[{"id":411,"uris":["http://zotero.org/users/10895598/items/SABULKU5"],"itemData":{"id":411,"type":"article-journal","abstract":"Interaction of a plant with a fungal pathogen is an encounter with hundreds of molecules. In contrast to this, a single molecule often decides between the disease and resistance. In the present article, we describe the defense responses triggered by AvrLm1, an avirulence gene from a hemibiotrophic ascomycete, Leptosphaeria maculans, responsible for an incompatible interaction with Brassica napus. Using multiple hormone quantification and expression analysis of defense-related genes, we investigated signaling events in Rlm1 plants infected with two sister isolates of L. maculans differentiated by the presence or absence of AvrLm1. Infection with the isolate carrying AvrLm1 increased the biosynthesis of salicylic acid (SA) and induced expression of the SA-associated genes ICS1, WRKY70, and PR-1, a feature characteristic of responses to biotrophic pathogens and resistance gene–mediated resistance. In addition to SA-signaling elements, we also observed the induction of ASC2a, HEL, and CHI genes associated with ethylene (ET) signaling. Pharmacological experiments confirmed the positive roles of SA and ET in mediating resistance to L. maculans. The unusual cooperation of SA and ET signaling might be a response to the hemibiotrophic nature of L. maculans. Our results also demonstrate the profound difference between the natural host B. napus and the model plant Arabidopsis in their response to L. maculans infection.","container-title":"Molecular Plant-Microbe Interactions®","DOI":"10.1094/MPMI-02-12-0033-R","ISSN":"0894-0282, 1943-7706","issue":"9","journalAbbreviation":"MPMI","language":"en","page":"1238-1250","source":"DOI.org (Crossref)","title":"Recognition of avirulence gene &lt;i&gt;AvrLm1&lt;/i&gt; from hemibiotrophic ascomycete &lt;i&gt;Leptosphaeria maculans&lt;/i&gt; triggers salicylic acid and ethylene signaling in &lt;i&gt;Brassica napus&lt;/i&gt;","volume":"25","author":[{"family":"Šašek","given":"Vladimír"},{"family":"Nováková","given":"Miroslava"},{"family":"Jindřichová","given":"Barbora"},{"family":"Bóka","given":"Károly"},{"family":"Valentová","given":"Olga"},{"family":"Burketová","given":"Lenka"}],"issued":{"date-parts":[["2012",9]]}}}],"schema":"https://github.com/citation-style-language/schema/raw/master/csl-citation.json"} </w:instrText>
      </w:r>
      <w:r>
        <w:rPr>
          <w:rFonts w:ascii="Times New Roman" w:hAnsi="Times New Roman" w:cs="Times New Roman"/>
          <w:i/>
          <w:sz w:val="24"/>
          <w:szCs w:val="24"/>
        </w:rPr>
        <w:fldChar w:fldCharType="separate"/>
      </w:r>
      <w:r w:rsidRPr="002E4058">
        <w:rPr>
          <w:rFonts w:ascii="Times New Roman" w:hAnsi="Times New Roman" w:cs="Times New Roman"/>
          <w:sz w:val="24"/>
          <w:szCs w:val="24"/>
        </w:rPr>
        <w:t>(Šašek et al., 2012b)</w:t>
      </w:r>
      <w:r>
        <w:rPr>
          <w:rFonts w:ascii="Times New Roman" w:hAnsi="Times New Roman" w:cs="Times New Roman"/>
          <w:i/>
          <w:sz w:val="24"/>
          <w:szCs w:val="24"/>
        </w:rPr>
        <w:fldChar w:fldCharType="end"/>
      </w:r>
      <w:r>
        <w:rPr>
          <w:rFonts w:ascii="Times New Roman" w:hAnsi="Times New Roman" w:cs="Times New Roman"/>
          <w:sz w:val="24"/>
          <w:szCs w:val="24"/>
        </w:rPr>
        <w:t>.</w:t>
      </w:r>
      <w:r w:rsidRPr="00E7693B">
        <w:rPr>
          <w:rFonts w:ascii="Times New Roman" w:hAnsi="Times New Roman" w:cs="Times New Roman"/>
          <w:sz w:val="24"/>
          <w:szCs w:val="24"/>
        </w:rPr>
        <w:t xml:space="preserve"> Therefore, </w:t>
      </w:r>
      <w:r w:rsidRPr="00E7693B">
        <w:rPr>
          <w:rFonts w:ascii="Times New Roman" w:hAnsi="Times New Roman" w:cs="Times New Roman"/>
          <w:i/>
          <w:sz w:val="24"/>
          <w:szCs w:val="24"/>
        </w:rPr>
        <w:t>R-</w:t>
      </w:r>
      <w:r w:rsidRPr="00E7693B">
        <w:rPr>
          <w:rFonts w:ascii="Times New Roman" w:hAnsi="Times New Roman" w:cs="Times New Roman"/>
          <w:sz w:val="24"/>
          <w:szCs w:val="24"/>
        </w:rPr>
        <w:t xml:space="preserve">mediated resistance (RMR) or qualitative resistance, </w:t>
      </w:r>
      <w:r w:rsidRPr="00E7693B">
        <w:rPr>
          <w:rFonts w:ascii="Times New Roman" w:hAnsi="Times New Roman" w:cs="Times New Roman"/>
          <w:i/>
          <w:sz w:val="24"/>
          <w:szCs w:val="24"/>
        </w:rPr>
        <w:t>i.e.</w:t>
      </w:r>
      <w:r w:rsidRPr="00E7693B">
        <w:rPr>
          <w:rFonts w:ascii="Times New Roman" w:hAnsi="Times New Roman" w:cs="Times New Roman"/>
          <w:sz w:val="24"/>
          <w:szCs w:val="24"/>
        </w:rPr>
        <w:t xml:space="preserve"> gene-for-gene resistance is considered to be dependent on the </w:t>
      </w:r>
      <w:r>
        <w:rPr>
          <w:rFonts w:ascii="Times New Roman" w:hAnsi="Times New Roman" w:cs="Times New Roman"/>
          <w:sz w:val="24"/>
          <w:szCs w:val="24"/>
        </w:rPr>
        <w:t xml:space="preserve">combination of </w:t>
      </w:r>
      <w:r>
        <w:rPr>
          <w:rFonts w:ascii="Times New Roman" w:hAnsi="Times New Roman" w:cs="Times New Roman"/>
          <w:sz w:val="24"/>
          <w:szCs w:val="24"/>
        </w:rPr>
        <w:lastRenderedPageBreak/>
        <w:t xml:space="preserve">the </w:t>
      </w:r>
      <w:proofErr w:type="spellStart"/>
      <w:r>
        <w:rPr>
          <w:rFonts w:ascii="Times New Roman" w:hAnsi="Times New Roman" w:cs="Times New Roman"/>
          <w:i/>
          <w:iCs/>
          <w:sz w:val="24"/>
          <w:szCs w:val="24"/>
        </w:rPr>
        <w:t>AvrLm</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gene in the pathogen and the corresponding </w:t>
      </w:r>
      <w:proofErr w:type="spellStart"/>
      <w:r>
        <w:rPr>
          <w:rFonts w:ascii="Times New Roman" w:hAnsi="Times New Roman" w:cs="Times New Roman"/>
          <w:i/>
          <w:iCs/>
          <w:sz w:val="24"/>
          <w:szCs w:val="24"/>
        </w:rPr>
        <w:t>Rlm</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gene in the plant, </w:t>
      </w:r>
      <w:r w:rsidRPr="00E7693B">
        <w:rPr>
          <w:rFonts w:ascii="Times New Roman" w:hAnsi="Times New Roman" w:cs="Times New Roman"/>
          <w:sz w:val="24"/>
          <w:szCs w:val="24"/>
        </w:rPr>
        <w:t xml:space="preserve">and is usually connected with cell death or HR (Borhan et al., 2022). </w:t>
      </w:r>
      <w:r>
        <w:rPr>
          <w:rFonts w:ascii="Times New Roman" w:hAnsi="Times New Roman" w:cs="Times New Roman"/>
          <w:sz w:val="24"/>
          <w:szCs w:val="24"/>
        </w:rPr>
        <w:t xml:space="preserve">The </w:t>
      </w:r>
      <w:r w:rsidRPr="00E7693B">
        <w:rPr>
          <w:rFonts w:ascii="Times New Roman" w:hAnsi="Times New Roman" w:cs="Times New Roman"/>
          <w:sz w:val="24"/>
          <w:szCs w:val="24"/>
        </w:rPr>
        <w:t>JN3 isolate seems to cause a stronger production of H</w:t>
      </w:r>
      <w:r w:rsidRPr="00E7693B">
        <w:rPr>
          <w:rFonts w:ascii="Times New Roman" w:hAnsi="Times New Roman" w:cs="Times New Roman"/>
          <w:sz w:val="24"/>
          <w:szCs w:val="24"/>
          <w:vertAlign w:val="subscript"/>
        </w:rPr>
        <w:t>2</w:t>
      </w:r>
      <w:r w:rsidRPr="00E7693B">
        <w:rPr>
          <w:rFonts w:ascii="Times New Roman" w:hAnsi="Times New Roman" w:cs="Times New Roman"/>
          <w:sz w:val="24"/>
          <w:szCs w:val="24"/>
        </w:rPr>
        <w:t>O</w:t>
      </w:r>
      <w:r w:rsidRPr="00E7693B">
        <w:rPr>
          <w:rFonts w:ascii="Times New Roman" w:hAnsi="Times New Roman" w:cs="Times New Roman"/>
          <w:sz w:val="24"/>
          <w:szCs w:val="24"/>
          <w:vertAlign w:val="subscript"/>
        </w:rPr>
        <w:t xml:space="preserve">2 </w:t>
      </w:r>
      <w:r w:rsidRPr="00E7693B">
        <w:rPr>
          <w:rFonts w:ascii="Times New Roman" w:hAnsi="Times New Roman" w:cs="Times New Roman"/>
          <w:sz w:val="24"/>
          <w:szCs w:val="24"/>
        </w:rPr>
        <w:t xml:space="preserve">in </w:t>
      </w:r>
      <w:r>
        <w:rPr>
          <w:rFonts w:ascii="Times New Roman" w:hAnsi="Times New Roman" w:cs="Times New Roman"/>
          <w:sz w:val="24"/>
          <w:szCs w:val="24"/>
        </w:rPr>
        <w:t xml:space="preserve">the </w:t>
      </w:r>
      <w:r w:rsidRPr="00E7693B">
        <w:rPr>
          <w:rFonts w:ascii="Times New Roman" w:hAnsi="Times New Roman" w:cs="Times New Roman"/>
          <w:sz w:val="24"/>
          <w:szCs w:val="24"/>
        </w:rPr>
        <w:t xml:space="preserve">Columbus cultivar than the virulent JN2 isolate, which confirms that oxidative burst is followed by HR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{"citationID":"3UwCT7qL","properties":{"formattedCitation":"(Mur et al., 2008; \\uc0\\u352{}a\\uc0\\u353{}ek et al., 2012b)","plainCitation":"(Mur et al., 2008; Šašek et al., 2012b)","noteIndex":0},"citationItems":[{"id":322,"uris":["http://zotero.org/users/10895598/items/L55QIPT8"],"itemData":{"id":322,"type":"article-journal","container-title":"Journal of Experimental Botany","DOI":"10.1093/jxb/erm239","ISSN":"0022-0957, 1460-2431","issue":"3","journalAbbreviation":"J. Exp. Bot.","language":"en","page":"501-520","source":"DOI.org (Crossref)","title":"The hypersensitive response; the centenary is upon us but how much do we know?","volume":"59","author":[{"family":"Mur","given":"Luis A. J."},{"family":"Kenton","given":"Paul"},{"family":"Lloyd","given":"Amanda J."},{"family":"Ougham","given":"Helen"},{"family":"Prats","given":"Elena"}],"issued":{"date-parts":[["2008",2]]}}},{"id":411,"uris":["http://zotero.org/users/10895598/items/SABULKU5"],"itemData":{"id":411,"type":"article-journal","abstract":"Interaction of a plant with a fungal pathogen is an encounter with hundreds of molecules. In contrast to this, a single molecule often decides between the disease and resistance. In the present article, we describe the defense responses triggered by AvrLm1, an avirulence gene from a hemibiotrophic ascomycete, Leptosphaeria maculans, responsible for an incompatible interaction with Brassica napus. Using multiple hormone quantification and expression analysis of defense-related genes, we investigated signaling events in Rlm1 plants infected with two sister isolates of L. maculans differentiated by the presence or absence of AvrLm1. Infection with the isolate carrying AvrLm1 increased the biosynthesis of salicylic acid (SA) and induced expression of the SA-associated genes ICS1, WRKY70, and PR-1, a feature characteristic of responses to biotrophic pathogens and resistance gene–mediated resistance. In addition to SA-signaling elements, we also observed the induction of ASC2a, HEL, and CHI genes associated with ethylene (ET) signaling. Pharmacological experiments confirmed the positive roles of SA and ET in mediating resistance to L. maculans. The unusual cooperation of SA and ET signaling might be a response to the hemibiotrophic nature of L. maculans. Our results also demonstrate the profound difference between the natural host B. napus and the model plant Arabidopsis in their response to L. maculans infection.","container-title":"Molecular Plant-Microbe Interactions®","DOI":"10.1094/MPMI-02-12-0033-R","ISSN":"0894-0282, 1943-7706","issue":"9","journalAbbreviation":"MPMI","language":"en","page":"1238-1250","source":"DOI.org (Crossref)","title":"Recognition of avirulence gene &lt;i&gt;AvrLm1&lt;/i&gt; from hemibiotrophic ascomycete &lt;i&gt;Leptosphaeria maculans&lt;/i&gt; triggers salicylic acid and ethylene signaling in &lt;i&gt;Brassica napus&lt;/i&gt;","volume":"25","author":[{"family":"Šašek","given":"Vladimír"},{"family":"Nováková","given":"Miroslava"},{"family":"Jindřichová","given":"Barbora"},{"family":"Bóka","given":"Károly"},{"family":"Valentová","given":"Olga"},{"family":"Burketová","given":"Lenka"}],"issued":{"date-parts":[["2012",9]]}}}],"schema":"https://github.com/citation-style-language/schema/raw/master/csl-citation.json"} </w:instrText>
      </w:r>
      <w:r>
        <w:rPr>
          <w:rFonts w:ascii="Times New Roman" w:hAnsi="Times New Roman" w:cs="Times New Roman"/>
          <w:sz w:val="24"/>
          <w:szCs w:val="24"/>
        </w:rPr>
        <w:fldChar w:fldCharType="separate"/>
      </w:r>
      <w:r w:rsidRPr="002E4058">
        <w:rPr>
          <w:rFonts w:ascii="Times New Roman" w:hAnsi="Times New Roman" w:cs="Times New Roman"/>
          <w:sz w:val="24"/>
          <w:szCs w:val="24"/>
        </w:rPr>
        <w:t>(Mur et al., 2008; Šašek et al., 2012b)</w:t>
      </w:r>
      <w:r>
        <w:rPr>
          <w:rFonts w:ascii="Times New Roman" w:hAnsi="Times New Roman" w:cs="Times New Roman"/>
          <w:sz w:val="24"/>
          <w:szCs w:val="24"/>
        </w:rPr>
        <w:fldChar w:fldCharType="end"/>
      </w:r>
      <w:r w:rsidRPr="00E7693B">
        <w:rPr>
          <w:rFonts w:ascii="Times New Roman" w:hAnsi="Times New Roman" w:cs="Times New Roman"/>
          <w:sz w:val="24"/>
          <w:szCs w:val="24"/>
        </w:rPr>
        <w:t xml:space="preserve">. Above all, both JN2 and JN3 isolates trigger an intensive callose formation in Columbus plants; however, a higher amount of callose plugs, albeit at a lower intensity, was detected in JN2-infected cotyledons </w:t>
      </w:r>
      <w:hyperlink r:id="rId22">
        <w:r w:rsidRPr="00E7693B">
          <w:rPr>
            <w:rFonts w:ascii="Times New Roman" w:hAnsi="Times New Roman" w:cs="Times New Roman"/>
            <w:sz w:val="24"/>
            <w:szCs w:val="24"/>
          </w:rPr>
          <w:t>(Šašek et al., 2012)</w:t>
        </w:r>
      </w:hyperlink>
      <w:r w:rsidRPr="00E7693B">
        <w:rPr>
          <w:rFonts w:ascii="Times New Roman" w:hAnsi="Times New Roman" w:cs="Times New Roman"/>
          <w:sz w:val="24"/>
          <w:szCs w:val="24"/>
        </w:rPr>
        <w:t xml:space="preserve">. This difference was not detected in </w:t>
      </w:r>
      <w:r w:rsidRPr="00E7693B">
        <w:rPr>
          <w:rFonts w:ascii="Times New Roman" w:hAnsi="Times New Roman" w:cs="Times New Roman"/>
          <w:i/>
          <w:sz w:val="24"/>
          <w:szCs w:val="24"/>
        </w:rPr>
        <w:t xml:space="preserve">B. napus </w:t>
      </w:r>
      <w:r>
        <w:rPr>
          <w:rFonts w:ascii="Times New Roman" w:hAnsi="Times New Roman" w:cs="Times New Roman"/>
          <w:sz w:val="24"/>
          <w:szCs w:val="24"/>
        </w:rPr>
        <w:t>cv. Westar, an</w:t>
      </w:r>
      <w:r w:rsidRPr="00E7693B">
        <w:rPr>
          <w:rFonts w:ascii="Times New Roman" w:hAnsi="Times New Roman" w:cs="Times New Roman"/>
          <w:sz w:val="24"/>
          <w:szCs w:val="24"/>
        </w:rPr>
        <w:t xml:space="preserve"> </w:t>
      </w:r>
      <w:r w:rsidRPr="00E7693B">
        <w:rPr>
          <w:rFonts w:ascii="Times New Roman" w:hAnsi="Times New Roman" w:cs="Times New Roman"/>
          <w:i/>
          <w:sz w:val="24"/>
          <w:szCs w:val="24"/>
        </w:rPr>
        <w:t>Rlm1</w:t>
      </w:r>
      <w:r w:rsidRPr="00E7693B">
        <w:rPr>
          <w:rFonts w:ascii="Times New Roman" w:hAnsi="Times New Roman" w:cs="Times New Roman"/>
          <w:sz w:val="24"/>
          <w:szCs w:val="24"/>
        </w:rPr>
        <w:t>-deficient cultivar, and therefore both fungal isolates produced se</w:t>
      </w:r>
      <w:r>
        <w:rPr>
          <w:rFonts w:ascii="Times New Roman" w:hAnsi="Times New Roman" w:cs="Times New Roman"/>
          <w:sz w:val="24"/>
          <w:szCs w:val="24"/>
        </w:rPr>
        <w:t>vere damage (Šašek et al., 2012</w:t>
      </w:r>
      <w:r w:rsidRPr="00E7693B">
        <w:rPr>
          <w:rFonts w:ascii="Times New Roman" w:hAnsi="Times New Roman" w:cs="Times New Roman"/>
          <w:sz w:val="24"/>
          <w:szCs w:val="24"/>
        </w:rPr>
        <w:t xml:space="preserve">). Several other </w:t>
      </w:r>
      <w:proofErr w:type="spellStart"/>
      <w:r w:rsidRPr="00E7693B">
        <w:rPr>
          <w:rFonts w:ascii="Times New Roman" w:hAnsi="Times New Roman" w:cs="Times New Roman"/>
          <w:sz w:val="24"/>
          <w:szCs w:val="24"/>
        </w:rPr>
        <w:t>AvrLm</w:t>
      </w:r>
      <w:proofErr w:type="spellEnd"/>
      <w:r>
        <w:rPr>
          <w:rFonts w:ascii="Times New Roman" w:hAnsi="Times New Roman" w:cs="Times New Roman"/>
          <w:sz w:val="24"/>
          <w:szCs w:val="24"/>
        </w:rPr>
        <w:t xml:space="preserve"> proteins have been identified in </w:t>
      </w:r>
      <w:r>
        <w:rPr>
          <w:rFonts w:ascii="Times New Roman" w:hAnsi="Times New Roman" w:cs="Times New Roman"/>
          <w:i/>
          <w:iCs/>
          <w:sz w:val="24"/>
          <w:szCs w:val="24"/>
        </w:rPr>
        <w:t xml:space="preserve">L. </w:t>
      </w:r>
      <w:proofErr w:type="spellStart"/>
      <w:r>
        <w:rPr>
          <w:rFonts w:ascii="Times New Roman" w:hAnsi="Times New Roman" w:cs="Times New Roman"/>
          <w:i/>
          <w:iCs/>
          <w:sz w:val="24"/>
          <w:szCs w:val="24"/>
        </w:rPr>
        <w:t>maculans</w:t>
      </w:r>
      <w:proofErr w:type="spellEnd"/>
      <w:r>
        <w:rPr>
          <w:rFonts w:ascii="Times New Roman" w:hAnsi="Times New Roman" w:cs="Times New Roman"/>
          <w:sz w:val="24"/>
          <w:szCs w:val="24"/>
        </w:rPr>
        <w:t>, along with</w:t>
      </w:r>
      <w:r w:rsidRPr="00E7693B">
        <w:rPr>
          <w:rFonts w:ascii="Times New Roman" w:hAnsi="Times New Roman" w:cs="Times New Roman"/>
          <w:sz w:val="24"/>
          <w:szCs w:val="24"/>
        </w:rPr>
        <w:t xml:space="preserve"> </w:t>
      </w:r>
      <w:proofErr w:type="spellStart"/>
      <w:r w:rsidRPr="00E7693B">
        <w:rPr>
          <w:rFonts w:ascii="Times New Roman" w:hAnsi="Times New Roman" w:cs="Times New Roman"/>
          <w:sz w:val="24"/>
          <w:szCs w:val="24"/>
        </w:rPr>
        <w:t>Rlm</w:t>
      </w:r>
      <w:proofErr w:type="spellEnd"/>
      <w:r w:rsidRPr="00E7693B">
        <w:rPr>
          <w:rFonts w:ascii="Times New Roman" w:hAnsi="Times New Roman" w:cs="Times New Roman"/>
          <w:sz w:val="24"/>
          <w:szCs w:val="24"/>
        </w:rPr>
        <w:t xml:space="preserve"> proteins in </w:t>
      </w:r>
      <w:r w:rsidRPr="00E7693B">
        <w:rPr>
          <w:rFonts w:ascii="Times New Roman" w:hAnsi="Times New Roman" w:cs="Times New Roman"/>
          <w:i/>
          <w:sz w:val="24"/>
          <w:szCs w:val="24"/>
        </w:rPr>
        <w:t xml:space="preserve">B. napus </w:t>
      </w:r>
      <w:r w:rsidRPr="00E7693B">
        <w:rPr>
          <w:rFonts w:ascii="Times New Roman" w:hAnsi="Times New Roman" w:cs="Times New Roman"/>
          <w:sz w:val="24"/>
          <w:szCs w:val="24"/>
        </w:rPr>
        <w:t xml:space="preserve">(Fig. </w:t>
      </w:r>
      <w:r w:rsidR="00551A0A">
        <w:rPr>
          <w:rFonts w:ascii="Times New Roman" w:hAnsi="Times New Roman" w:cs="Times New Roman"/>
          <w:sz w:val="24"/>
          <w:szCs w:val="24"/>
        </w:rPr>
        <w:t>6</w:t>
      </w:r>
      <w:r w:rsidRPr="00E7693B">
        <w:rPr>
          <w:rFonts w:ascii="Times New Roman" w:hAnsi="Times New Roman" w:cs="Times New Roman"/>
          <w:sz w:val="24"/>
          <w:szCs w:val="24"/>
        </w:rPr>
        <w:t xml:space="preserve">). Fungal effectors trigger the activation of MAPKs, which are linked to phytohormonal </w:t>
      </w:r>
      <w:proofErr w:type="spellStart"/>
      <w:r w:rsidRPr="00E7693B">
        <w:rPr>
          <w:rFonts w:ascii="Times New Roman" w:hAnsi="Times New Roman" w:cs="Times New Roman"/>
          <w:sz w:val="24"/>
          <w:szCs w:val="24"/>
        </w:rPr>
        <w:t>signaling</w:t>
      </w:r>
      <w:proofErr w:type="spellEnd"/>
      <w:r>
        <w:rPr>
          <w:rFonts w:ascii="Times New Roman" w:hAnsi="Times New Roman" w:cs="Times New Roman"/>
          <w:sz w:val="24"/>
          <w:szCs w:val="24"/>
        </w:rPr>
        <w:t xml:space="preserve"> pathways; for instance,</w:t>
      </w:r>
      <w:r w:rsidRPr="00E7693B">
        <w:rPr>
          <w:rFonts w:ascii="Times New Roman" w:hAnsi="Times New Roman" w:cs="Times New Roman"/>
          <w:sz w:val="24"/>
          <w:szCs w:val="24"/>
        </w:rPr>
        <w:t xml:space="preserve"> MAPK3,</w:t>
      </w:r>
      <w:r>
        <w:rPr>
          <w:rFonts w:ascii="Times New Roman" w:hAnsi="Times New Roman" w:cs="Times New Roman"/>
          <w:sz w:val="24"/>
          <w:szCs w:val="24"/>
        </w:rPr>
        <w:t xml:space="preserve"> </w:t>
      </w:r>
      <w:r w:rsidRPr="00E7693B">
        <w:rPr>
          <w:rFonts w:ascii="Times New Roman" w:hAnsi="Times New Roman" w:cs="Times New Roman"/>
          <w:sz w:val="24"/>
          <w:szCs w:val="24"/>
        </w:rPr>
        <w:t xml:space="preserve">4 and 6 </w:t>
      </w:r>
      <w:r>
        <w:rPr>
          <w:rFonts w:ascii="Times New Roman" w:hAnsi="Times New Roman" w:cs="Times New Roman"/>
          <w:sz w:val="24"/>
          <w:szCs w:val="24"/>
        </w:rPr>
        <w:t>regulate the</w:t>
      </w:r>
      <w:r w:rsidRPr="00E7693B">
        <w:rPr>
          <w:rFonts w:ascii="Times New Roman" w:hAnsi="Times New Roman" w:cs="Times New Roman"/>
          <w:sz w:val="24"/>
          <w:szCs w:val="24"/>
        </w:rPr>
        <w:t xml:space="preserve"> SA, JA, ET and ABA pathways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{"citationID":"au9uPNeN","properties":{"formattedCitation":"(Jagodzik et al., 2018)","plainCitation":"(Jagodzik et al., 2018)","noteIndex":0},"citationItems":[{"id":564,"uris":["http://zotero.org/users/10895598/items/7ZJIL4CD"],"itemData":{"id":564,"type":"article-journal","container-title":"Frontiers in Plant Science","DOI":"10.3389/fpls.2018.01387","ISSN":"1664-462X","journalAbbreviation":"Front. Plant Sci.","page":"1387","source":"DOI.org (Crossref)","title":"Mitogen-activated protein kinase cascades in plant hormone signaling","volume":"9","author":[{"family":"Jagodzik","given":"Przemysław"},{"family":"Tajdel-Zielinska","given":"Małgorzata"},{"family":"Ciesla","given":"Agata"},{"family":"Marczak","given":"Małgorzata"},{"family":"Ludwikow","given":"Agnieszka"}],"issued":{"date-parts":[["2018",10,8]]}}}],"schema":"https://github.com/citation-style-language/schema/raw/master/csl-citation.json"} </w:instrText>
      </w:r>
      <w:r>
        <w:rPr>
          <w:rFonts w:ascii="Times New Roman" w:hAnsi="Times New Roman" w:cs="Times New Roman"/>
          <w:sz w:val="24"/>
          <w:szCs w:val="24"/>
        </w:rPr>
        <w:fldChar w:fldCharType="separate"/>
      </w:r>
      <w:r w:rsidRPr="00632B4B">
        <w:rPr>
          <w:rFonts w:ascii="Times New Roman" w:hAnsi="Times New Roman" w:cs="Times New Roman"/>
          <w:sz w:val="24"/>
        </w:rPr>
        <w:t>(Jagodzik et al., 2018)</w:t>
      </w:r>
      <w:r>
        <w:rPr>
          <w:rFonts w:ascii="Times New Roman" w:hAnsi="Times New Roman" w:cs="Times New Roman"/>
          <w:sz w:val="24"/>
          <w:szCs w:val="24"/>
        </w:rPr>
        <w:fldChar w:fldCharType="end"/>
      </w:r>
      <w:r w:rsidRPr="00E7693B">
        <w:rPr>
          <w:rFonts w:ascii="Times New Roman" w:hAnsi="Times New Roman" w:cs="Times New Roman"/>
          <w:sz w:val="24"/>
          <w:szCs w:val="24"/>
        </w:rPr>
        <w:t>.</w:t>
      </w:r>
      <w:r>
        <w:rPr>
          <w:rFonts w:ascii="Times New Roman" w:hAnsi="Times New Roman" w:cs="Times New Roman"/>
          <w:sz w:val="24"/>
          <w:szCs w:val="24"/>
        </w:rPr>
        <w:t xml:space="preserve"> Furthermore, the AvrLm4-7 effector has been reported to attenuate hormonal and ROS </w:t>
      </w:r>
      <w:proofErr w:type="spellStart"/>
      <w:r>
        <w:rPr>
          <w:rFonts w:ascii="Times New Roman" w:hAnsi="Times New Roman" w:cs="Times New Roman"/>
          <w:sz w:val="24"/>
          <w:szCs w:val="24"/>
        </w:rPr>
        <w:t>signaling</w:t>
      </w:r>
      <w:proofErr w:type="spellEnd"/>
      <w:r>
        <w:rPr>
          <w:rFonts w:ascii="Times New Roman" w:hAnsi="Times New Roman" w:cs="Times New Roman"/>
          <w:sz w:val="24"/>
          <w:szCs w:val="24"/>
        </w:rPr>
        <w:t xml:space="preserve"> in </w:t>
      </w:r>
      <w:r>
        <w:rPr>
          <w:rFonts w:ascii="Times New Roman" w:hAnsi="Times New Roman" w:cs="Times New Roman"/>
          <w:i/>
          <w:iCs/>
          <w:sz w:val="24"/>
          <w:szCs w:val="24"/>
        </w:rPr>
        <w:t>B. napus</w:t>
      </w:r>
      <w:r>
        <w:rPr>
          <w:rFonts w:ascii="Times New Roman" w:hAnsi="Times New Roman" w:cs="Times New Roman"/>
          <w:sz w:val="24"/>
          <w:szCs w:val="24"/>
        </w:rPr>
        <w:t xml:space="preserve"> plants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{"citationID":"NWv6GTd9","properties":{"formattedCitation":"(Nov\\uc0\\u225{}kov\\uc0\\u225{} et al., 2016)","plainCitation":"(Nováková et al., 2016)","noteIndex":0},"citationItems":[{"id":715,"uris":["http://zotero.org/users/10895598/items/96ATBEDG"],"itemData":{"id":715,"type":"article-journal","abstract":"Summary\n            \n              To achieve host colonization, successful pathogens need to overcome plant basal defences. For this, (hemi)biotrophic pathogens secrete effectors that interfere with a range of physiological processes of the host plant. AvrLm4‐7 is one of the cloned effectors from the hemibiotrophic fungus\n              Leptosphaeria maculans\n              ‘brassicaceae’ infecting mainly oilseed rape (\n              Brassica napus\n              ). Although its mode of action is still unknown, AvrLm4‐7 is strongly involved in\n              L. maculans\n              virulence. Here, we investigated the effect of AvrLm4‐7 on plant defence responses in a susceptible cultivar of\n              B. napus\n              . Using two isogenic\n              L. maculans\n              isolates differing in the presence of a functional\n              AvrLm4‐7\n              allele [absence (‘\n              a4a7\n              ’) and presence (‘\n              A4A7\n              ’) of the allele], the plant hormone concentrations, defence‐related gene transcription and reactive oxygen species (ROS) accumulation were analysed in infected\n              B. napus\n              cotyledons. Various components of the plant immune system were affected. Infection with the ‘\n              A4A7\n              ’ isolate caused suppression of salicylic acid‐ and ethylene‐dependent signalling, the pathways regulating an effective defence against\n              L. maculans\n              infection. Furthermore, ROS accumulation was decreased in cotyledons infected with the ‘\n              A4A7\n              ’ isolate. Treatment with an antioxidant agent, ascorbic acid, increased the aggressiveness of the ‘\n              a4a7\n              ’\n              L. maculans\n              isolate, but not that of the ‘\n              A4A7\n              ’ isolate. Together, our results suggest that the increased aggressiveness of the ‘\n              A4A7\n              ’\n              L. maculans\n              isolate could be caused by defects in ROS‐dependent defence and/or linked to suppressed SA and ET signalling. This is the first study to provide insights into the manipulation of\n              B. napus\n              defence responses by an effector of\n              L. maculans\n              .","container-title":"Molecular Plant Pathology","DOI":"10.1111/mpp.12332","ISSN":"1464-6722, 1364-3703","issue":"6","journalAbbreviation":"Molecular Plant Pathology","language":"en","page":"818-831","source":"DOI.org (Crossref)","title":"&lt;i&gt;Leptosphaeria maculans&lt;/i&gt; effector AvrLm4‐7 affects salicylic acid (SA) and ethylene (ET) signalling and hydrogen peroxide (H&lt;sub&gt;2&lt;/sub&gt; O&lt;sub&gt;2&lt;/sub&gt;) accumulation in &lt;i&gt;Brassica napus&lt;/i&gt;","title-short":"&lt;span style=\"font-variant","volume":"17","author":[{"family":"Nováková","given":"Miroslava"},{"family":"Šašek","given":"Vladimír"},{"family":"Trdá","given":"Lucie"},{"family":"Krutinová","given":"Hana"},{"family":"Mongin","given":"Thomas"},{"family":"Valentová","given":"Olga"},{"family":"Balesdent","given":"Marie‐HelEne"},{"family":"Rouxel","given":"Thierry"},{"family":"Burketová","given":"Lenka"}],"issued":{"date-parts":[["2016",8]]}}}],"schema":"https://github.com/citation-style-language/schema/raw/master/csl-citation.json"} </w:instrText>
      </w:r>
      <w:r>
        <w:rPr>
          <w:rFonts w:ascii="Times New Roman" w:hAnsi="Times New Roman" w:cs="Times New Roman"/>
          <w:sz w:val="24"/>
          <w:szCs w:val="24"/>
        </w:rPr>
        <w:fldChar w:fldCharType="separate"/>
      </w:r>
      <w:r w:rsidRPr="004728B4">
        <w:rPr>
          <w:rFonts w:ascii="Times New Roman" w:hAnsi="Times New Roman" w:cs="Times New Roman"/>
          <w:sz w:val="24"/>
        </w:rPr>
        <w:t>(Nováková et al., 2016)</w:t>
      </w:r>
      <w:r>
        <w:rPr>
          <w:rFonts w:ascii="Times New Roman" w:hAnsi="Times New Roman" w:cs="Times New Roman"/>
          <w:sz w:val="24"/>
          <w:szCs w:val="24"/>
        </w:rPr>
        <w:fldChar w:fldCharType="end"/>
      </w:r>
      <w:r>
        <w:rPr>
          <w:rFonts w:ascii="Times New Roman" w:hAnsi="Times New Roman" w:cs="Times New Roman"/>
          <w:sz w:val="24"/>
          <w:szCs w:val="24"/>
        </w:rPr>
        <w:t xml:space="preserve">. In addition, </w:t>
      </w:r>
      <w:r>
        <w:rPr>
          <w:rFonts w:ascii="Times New Roman" w:hAnsi="Times New Roman" w:cs="Times New Roman"/>
          <w:i/>
          <w:iCs/>
          <w:sz w:val="24"/>
          <w:szCs w:val="24"/>
        </w:rPr>
        <w:t xml:space="preserve">L. </w:t>
      </w:r>
      <w:proofErr w:type="spellStart"/>
      <w:r>
        <w:rPr>
          <w:rFonts w:ascii="Times New Roman" w:hAnsi="Times New Roman" w:cs="Times New Roman"/>
          <w:i/>
          <w:iCs/>
          <w:sz w:val="24"/>
          <w:szCs w:val="24"/>
        </w:rPr>
        <w:t>maculans</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also produces phytohormones by which could manipulate host defence responses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{"citationID":"wNIrSa9d","properties":{"formattedCitation":"(Leontovy\\uc0\\u269{}ov\\uc0\\u225{} et al., 2020; Trd\\uc0\\u225{} et al., 2017)","plainCitation":"(Leontovyčová et al., 2020; Trdá et al., 2017)","noteIndex":0},"citationItems":[{"id":719,"uris":["http://zotero.org/users/10895598/items/6GX26K7J"],"itemData":{"id":719,"type":"article-journal","container-title":"Research in Microbiology","DOI":"10.1016/j.resmic.2020.05.001","ISSN":"09232508","issue":"5-6","journalAbbreviation":"Research in Microbiology","language":"en","page":"174-184","source":"DOI.org (Crossref)","title":"Auxin biosynthesis in the phytopathogenic fungus &lt;i&gt;Leptosphaeria maculans&lt;/i&gt; is associated with enhanced transcription of indole-3-pyruvate decarboxylase LmIPDC2 and tryptophan aminotransferase LmTAM1","volume":"171","author":[{"family":"Leontovyčová","given":"Hana"},{"family":"Trdá","given":"Lucie"},{"family":"Dobrev","given":"Petre Ivanov"},{"family":"Šašek","given":"Vladimír"},{"family":"Gay","given":"Elise"},{"family":"Balesdent","given":"Marie-Hélène"},{"family":"Burketová","given":"Lenka"}],"issued":{"date-parts":[["2020",7]]}},"label":"page"},{"id":717,"uris":["http://zotero.org/users/10895598/items/ZBQMTPFZ"],"itemData":{"id":717,"type":"article-journal","container-title":"Frontiers in Microbiology","DOI":"10.3389/fmicb.2017.01374","ISSN":"1664-302X","journalAbbreviation":"Front. Microbiol.","page":"1374","source":"DOI.org (Crossref)","title":"Cytokinin metabolism of pathogenic fungus &lt;i&gt;Leptosphaeria maculans&lt;/i&gt; involves isopentenyltransferase, adenosine kinase and cytokinin oxidase/dehydrogenase","volume":"8","author":[{"family":"Trdá","given":"Lucie"},{"family":"Barešová","given":"Monika"},{"family":"Šašek","given":"Vladimír"},{"family":"Nováková","given":"Miroslava"},{"family":"Zahajská","given":"Lenka"},{"family":"Dobrev","given":"Petre I."},{"family":"Motyka","given":"Václav"},{"family":"Burketová","given":"Lenka"}],"issued":{"date-parts":[["2017",7,21]]}},"label":"page"}],"schema":"https://github.com/citation-style-language/schema/raw/master/csl-citation.json"} </w:instrText>
      </w:r>
      <w:r>
        <w:rPr>
          <w:rFonts w:ascii="Times New Roman" w:hAnsi="Times New Roman" w:cs="Times New Roman"/>
          <w:sz w:val="24"/>
          <w:szCs w:val="24"/>
        </w:rPr>
        <w:fldChar w:fldCharType="separate"/>
      </w:r>
      <w:r w:rsidRPr="00355C14">
        <w:rPr>
          <w:rFonts w:ascii="Times New Roman" w:hAnsi="Times New Roman" w:cs="Times New Roman"/>
          <w:sz w:val="24"/>
        </w:rPr>
        <w:t>(Leontovyčová et al., 2020; Trdá et al., 2017)</w:t>
      </w:r>
      <w:r>
        <w:rPr>
          <w:rFonts w:ascii="Times New Roman" w:hAnsi="Times New Roman" w:cs="Times New Roman"/>
          <w:sz w:val="24"/>
          <w:szCs w:val="24"/>
        </w:rPr>
        <w:fldChar w:fldCharType="end"/>
      </w:r>
    </w:p>
    <w:p w14:paraId="4C763345" w14:textId="77777777" w:rsidR="00007653" w:rsidRPr="00E7693B" w:rsidRDefault="00007653" w:rsidP="00007653">
      <w:pPr>
        <w:pBdr>
          <w:top w:val="nil"/>
          <w:left w:val="nil"/>
          <w:bottom w:val="nil"/>
          <w:right w:val="nil"/>
          <w:between w:val="nil"/>
        </w:pBdr>
        <w:spacing w:line="360" w:lineRule="auto"/>
        <w:ind w:firstLine="720"/>
        <w:jc w:val="both"/>
        <w:rPr>
          <w:rFonts w:ascii="Times New Roman" w:hAnsi="Times New Roman" w:cs="Times New Roman"/>
          <w:sz w:val="24"/>
          <w:szCs w:val="24"/>
        </w:rPr>
      </w:pPr>
      <w:r w:rsidRPr="00E7693B">
        <w:rPr>
          <w:rFonts w:ascii="Times New Roman" w:hAnsi="Times New Roman" w:cs="Times New Roman"/>
          <w:sz w:val="24"/>
          <w:szCs w:val="24"/>
        </w:rPr>
        <w:t xml:space="preserve">Along with qualitative resistance, </w:t>
      </w:r>
      <w:r w:rsidRPr="00E7693B">
        <w:rPr>
          <w:rFonts w:ascii="Times New Roman" w:hAnsi="Times New Roman" w:cs="Times New Roman"/>
          <w:i/>
          <w:sz w:val="24"/>
          <w:szCs w:val="24"/>
        </w:rPr>
        <w:t xml:space="preserve">B. napus </w:t>
      </w:r>
      <w:r w:rsidRPr="00E7693B">
        <w:rPr>
          <w:rFonts w:ascii="Times New Roman" w:hAnsi="Times New Roman" w:cs="Times New Roman"/>
          <w:sz w:val="24"/>
          <w:szCs w:val="24"/>
        </w:rPr>
        <w:t xml:space="preserve">can also form quantitative resistance (QR) to </w:t>
      </w:r>
      <w:r w:rsidRPr="00E7693B">
        <w:rPr>
          <w:rFonts w:ascii="Times New Roman" w:hAnsi="Times New Roman" w:cs="Times New Roman"/>
          <w:i/>
          <w:sz w:val="24"/>
          <w:szCs w:val="24"/>
        </w:rPr>
        <w:t xml:space="preserve">L. </w:t>
      </w:r>
      <w:proofErr w:type="spellStart"/>
      <w:r w:rsidRPr="00E7693B">
        <w:rPr>
          <w:rFonts w:ascii="Times New Roman" w:hAnsi="Times New Roman" w:cs="Times New Roman"/>
          <w:i/>
          <w:sz w:val="24"/>
          <w:szCs w:val="24"/>
        </w:rPr>
        <w:t>maculans</w:t>
      </w:r>
      <w:proofErr w:type="spellEnd"/>
      <w:r w:rsidRPr="00E7693B">
        <w:rPr>
          <w:rFonts w:ascii="Times New Roman" w:hAnsi="Times New Roman" w:cs="Times New Roman"/>
          <w:sz w:val="24"/>
          <w:szCs w:val="24"/>
        </w:rPr>
        <w:t xml:space="preserve">, which remains poorly understood in comparison. QR is isolate-nonspecific resistance, generally influenced by multiple loci and by environmental factors. RMR is known as seedling resistance, whereas QR as adult plant resistance (Borhan et al., 2022). The combination of RMR and QR </w:t>
      </w:r>
      <w:r w:rsidRPr="00E7693B">
        <w:rPr>
          <w:rFonts w:ascii="Times New Roman" w:hAnsi="Times New Roman" w:cs="Times New Roman"/>
          <w:i/>
          <w:sz w:val="24"/>
          <w:szCs w:val="24"/>
        </w:rPr>
        <w:t>via</w:t>
      </w:r>
      <w:r w:rsidRPr="00E7693B">
        <w:rPr>
          <w:rFonts w:ascii="Times New Roman" w:hAnsi="Times New Roman" w:cs="Times New Roman"/>
          <w:sz w:val="24"/>
          <w:szCs w:val="24"/>
        </w:rPr>
        <w:t xml:space="preserve"> development of resistant plant cultivars represents </w:t>
      </w:r>
      <w:r>
        <w:rPr>
          <w:rFonts w:ascii="Times New Roman" w:hAnsi="Times New Roman" w:cs="Times New Roman"/>
          <w:sz w:val="24"/>
          <w:szCs w:val="24"/>
        </w:rPr>
        <w:t xml:space="preserve">an </w:t>
      </w:r>
      <w:r w:rsidRPr="00E7693B">
        <w:rPr>
          <w:rFonts w:ascii="Times New Roman" w:hAnsi="Times New Roman" w:cs="Times New Roman"/>
          <w:sz w:val="24"/>
          <w:szCs w:val="24"/>
        </w:rPr>
        <w:t xml:space="preserve">efficient way of controlling </w:t>
      </w:r>
      <w:r w:rsidRPr="00E7693B">
        <w:rPr>
          <w:rFonts w:ascii="Times New Roman" w:hAnsi="Times New Roman" w:cs="Times New Roman"/>
          <w:i/>
          <w:sz w:val="24"/>
          <w:szCs w:val="24"/>
        </w:rPr>
        <w:t xml:space="preserve">L. </w:t>
      </w:r>
      <w:proofErr w:type="spellStart"/>
      <w:r w:rsidRPr="00E7693B">
        <w:rPr>
          <w:rFonts w:ascii="Times New Roman" w:hAnsi="Times New Roman" w:cs="Times New Roman"/>
          <w:i/>
          <w:sz w:val="24"/>
          <w:szCs w:val="24"/>
        </w:rPr>
        <w:t>maculans</w:t>
      </w:r>
      <w:proofErr w:type="spellEnd"/>
      <w:r w:rsidRPr="00E7693B">
        <w:rPr>
          <w:rFonts w:ascii="Times New Roman" w:hAnsi="Times New Roman" w:cs="Times New Roman"/>
          <w:i/>
          <w:sz w:val="24"/>
          <w:szCs w:val="24"/>
        </w:rPr>
        <w:t xml:space="preserve"> </w:t>
      </w:r>
      <w:r w:rsidRPr="00E7693B">
        <w:rPr>
          <w:rFonts w:ascii="Times New Roman" w:hAnsi="Times New Roman" w:cs="Times New Roman"/>
          <w:sz w:val="24"/>
          <w:szCs w:val="24"/>
        </w:rPr>
        <w:t xml:space="preserve">infection in the field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{"citationID":"OJnIw2Dj","properties":{"formattedCitation":"(Petit\\uc0\\u8208{}Houdenot et al., 2019)","plainCitation":"(Petit‐Houdenot et al., 2019)","noteIndex":0},"citationItems":[{"id":562,"uris":["http://zotero.org/users/10895598/items/VKIC9QRI"],"itemData":{"id":562,"type":"article-journal","container-title":"New Phytologist","DOI":"10.1111/nph.15762","ISSN":"0028-646X, 1469-8137","issue":"1","journalAbbreviation":"New Phytologist","language":"en","page":"397-411","source":"DOI.org (Crossref)","title":"A two genes – for – one gene interaction between &lt;i&gt;Leptosphaeria maculans&lt;/i&gt; and &lt;i&gt;Brassica napus&lt;/i&gt;","volume":"223","author":[{"family":"Petit‐Houdenot","given":"Yohann"},{"family":"Degrave","given":"Alexandre"},{"family":"Meyer","given":"Michel"},{"family":"Blaise","given":"Françoise"},{"family":"Ollivier","given":"Bénédicte"},{"family":"Marais","given":"Claire‐Line"},{"family":"Jauneau","given":"Alain"},{"family":"Audran","given":"Corinne"},{"family":"Rivas","given":"Susana"},{"family":"Veneault‐Fourrey","given":"Claire"},{"family":"Brun","given":"Hortense"},{"family":"Rouxel","given":"Thierry"},{"family":"Fudal","given":"Isabelle"},{"family":"Balesdent","given":"Marie‐Hélène"}],"issued":{"date-parts":[["2019",7]]}}}],"schema":"https://github.com/citation-style-language/schema/raw/master/csl-citation.json"} </w:instrText>
      </w:r>
      <w:r>
        <w:rPr>
          <w:rFonts w:ascii="Times New Roman" w:hAnsi="Times New Roman" w:cs="Times New Roman"/>
          <w:sz w:val="24"/>
          <w:szCs w:val="24"/>
        </w:rPr>
        <w:fldChar w:fldCharType="separate"/>
      </w:r>
      <w:r w:rsidRPr="00632B4B">
        <w:rPr>
          <w:rFonts w:ascii="Times New Roman" w:hAnsi="Times New Roman" w:cs="Times New Roman"/>
          <w:sz w:val="24"/>
          <w:szCs w:val="24"/>
        </w:rPr>
        <w:t>(Petit‐Houdenot et al., 2019)</w:t>
      </w:r>
      <w:r>
        <w:rPr>
          <w:rFonts w:ascii="Times New Roman" w:hAnsi="Times New Roman" w:cs="Times New Roman"/>
          <w:sz w:val="24"/>
          <w:szCs w:val="24"/>
        </w:rPr>
        <w:fldChar w:fldCharType="end"/>
      </w:r>
      <w:r w:rsidRPr="00E7693B">
        <w:rPr>
          <w:rFonts w:ascii="Times New Roman" w:hAnsi="Times New Roman" w:cs="Times New Roman"/>
          <w:sz w:val="24"/>
          <w:szCs w:val="24"/>
        </w:rPr>
        <w:t>.</w:t>
      </w:r>
    </w:p>
    <w:p w14:paraId="6D99AF23" w14:textId="77777777" w:rsidR="00007653" w:rsidRPr="00E7693B" w:rsidRDefault="00007653" w:rsidP="00007653">
      <w:pPr>
        <w:pBdr>
          <w:top w:val="nil"/>
          <w:left w:val="nil"/>
          <w:bottom w:val="nil"/>
          <w:right w:val="nil"/>
          <w:between w:val="nil"/>
        </w:pBdr>
        <w:spacing w:line="360" w:lineRule="auto"/>
        <w:jc w:val="center"/>
        <w:rPr>
          <w:rFonts w:ascii="Times New Roman" w:hAnsi="Times New Roman" w:cs="Times New Roman"/>
        </w:rPr>
      </w:pPr>
      <w:r w:rsidRPr="00E7693B">
        <w:rPr>
          <w:rFonts w:ascii="Times New Roman" w:hAnsi="Times New Roman" w:cs="Times New Roman"/>
          <w:noProof/>
          <w:lang w:val="en-US"/>
        </w:rPr>
        <w:lastRenderedPageBreak/>
        <w:drawing>
          <wp:inline distT="0" distB="0" distL="0" distR="0" wp14:anchorId="04354B48" wp14:editId="0B95C6D3">
            <wp:extent cx="5030613" cy="3168327"/>
            <wp:effectExtent l="0" t="0" r="0" b="0"/>
            <wp:docPr id="1658551325" name="image24.png" descr="A diagram of a cell cy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A diagram of a cell cycle&#10;&#10;Description automatically generated"/>
                    <pic:cNvPicPr preferRelativeResize="0"/>
                  </pic:nvPicPr>
                  <pic:blipFill>
                    <a:blip r:embed="rId23"/>
                    <a:srcRect/>
                    <a:stretch>
                      <a:fillRect/>
                    </a:stretch>
                  </pic:blipFill>
                  <pic:spPr>
                    <a:xfrm>
                      <a:off x="0" y="0"/>
                      <a:ext cx="5030613" cy="3168327"/>
                    </a:xfrm>
                    <a:prstGeom prst="rect">
                      <a:avLst/>
                    </a:prstGeom>
                    <a:ln/>
                  </pic:spPr>
                </pic:pic>
              </a:graphicData>
            </a:graphic>
          </wp:inline>
        </w:drawing>
      </w:r>
    </w:p>
    <w:p w14:paraId="3835D4E6" w14:textId="7E5F82D4" w:rsidR="0074184F" w:rsidRDefault="00007653" w:rsidP="0074184F">
      <w:pPr>
        <w:pBdr>
          <w:top w:val="nil"/>
          <w:left w:val="nil"/>
          <w:bottom w:val="nil"/>
          <w:right w:val="nil"/>
          <w:between w:val="nil"/>
        </w:pBdr>
        <w:spacing w:before="240" w:after="0" w:line="360" w:lineRule="auto"/>
        <w:jc w:val="both"/>
        <w:rPr>
          <w:rFonts w:ascii="Times New Roman" w:hAnsi="Times New Roman" w:cs="Times New Roman"/>
        </w:rPr>
      </w:pPr>
      <w:r w:rsidRPr="00E7693B">
        <w:rPr>
          <w:rFonts w:ascii="Times New Roman" w:hAnsi="Times New Roman" w:cs="Times New Roman"/>
          <w:b/>
        </w:rPr>
        <w:t xml:space="preserve">Figure </w:t>
      </w:r>
      <w:r w:rsidR="00551A0A">
        <w:rPr>
          <w:rFonts w:ascii="Times New Roman" w:hAnsi="Times New Roman" w:cs="Times New Roman"/>
          <w:b/>
        </w:rPr>
        <w:t>6</w:t>
      </w:r>
      <w:r w:rsidRPr="00E7693B">
        <w:rPr>
          <w:rFonts w:ascii="Times New Roman" w:hAnsi="Times New Roman" w:cs="Times New Roman"/>
        </w:rPr>
        <w:t xml:space="preserve">. Molecular interactions in the </w:t>
      </w:r>
      <w:r w:rsidRPr="00E7693B">
        <w:rPr>
          <w:rFonts w:ascii="Times New Roman" w:hAnsi="Times New Roman" w:cs="Times New Roman"/>
          <w:i/>
        </w:rPr>
        <w:t xml:space="preserve">Brassica napus </w:t>
      </w:r>
      <w:r w:rsidRPr="00E7693B">
        <w:rPr>
          <w:rFonts w:ascii="Times New Roman" w:hAnsi="Times New Roman" w:cs="Times New Roman"/>
        </w:rPr>
        <w:t xml:space="preserve">–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rPr>
        <w:t>pathosystem</w:t>
      </w:r>
      <w:proofErr w:type="spellEnd"/>
      <w:r w:rsidRPr="00E7693B">
        <w:rPr>
          <w:rFonts w:ascii="Times New Roman" w:hAnsi="Times New Roman" w:cs="Times New Roman"/>
        </w:rPr>
        <w:t xml:space="preserve">. Abbreviations: </w:t>
      </w:r>
      <w:proofErr w:type="spellStart"/>
      <w:r w:rsidRPr="00E7693B">
        <w:rPr>
          <w:rFonts w:ascii="Times New Roman" w:hAnsi="Times New Roman" w:cs="Times New Roman"/>
        </w:rPr>
        <w:t>CAZys</w:t>
      </w:r>
      <w:proofErr w:type="spellEnd"/>
      <w:r w:rsidRPr="00E7693B">
        <w:rPr>
          <w:rFonts w:ascii="Times New Roman" w:hAnsi="Times New Roman" w:cs="Times New Roman"/>
        </w:rPr>
        <w:t xml:space="preserve"> = carbohydrate-active enzymes; CDPKs = calcium-dependent protein kinases; CNGCs = cyclic nucleotide-gated channels; CRKs = cysteine-rich receptor-like kinases; CWDEs = cell wall-degrading enzymes; DAMPs = danger-associated molecular patterns; </w:t>
      </w:r>
      <w:proofErr w:type="spellStart"/>
      <w:r w:rsidRPr="00E7693B">
        <w:rPr>
          <w:rFonts w:ascii="Times New Roman" w:hAnsi="Times New Roman" w:cs="Times New Roman"/>
        </w:rPr>
        <w:t>LecRKs</w:t>
      </w:r>
      <w:proofErr w:type="spellEnd"/>
      <w:r w:rsidRPr="00E7693B">
        <w:rPr>
          <w:rFonts w:ascii="Times New Roman" w:hAnsi="Times New Roman" w:cs="Times New Roman"/>
        </w:rPr>
        <w:t xml:space="preserve"> = lectin receptor kinases; LYKs =lysin motif receptor-like kinases; MAPK = mitogen-activated protein kinase; OGs = oligogalacturonides; RLKs = receptor-like kinases; RLPs = receptor-like proteins; TFs = transcription factors; WAKs = wall-associated kinases; WAKL = wall-associated kinase-like (Borhan et al., 2022).</w:t>
      </w:r>
    </w:p>
    <w:p w14:paraId="31ED799E" w14:textId="533465A6" w:rsidR="00007653" w:rsidRPr="0074184F" w:rsidRDefault="0074184F" w:rsidP="0074184F">
      <w:pPr>
        <w:rPr>
          <w:rFonts w:ascii="Times New Roman" w:hAnsi="Times New Roman" w:cs="Times New Roman"/>
        </w:rPr>
      </w:pPr>
      <w:r>
        <w:rPr>
          <w:rFonts w:ascii="Times New Roman" w:hAnsi="Times New Roman" w:cs="Times New Roman"/>
        </w:rPr>
        <w:br w:type="page"/>
      </w:r>
    </w:p>
    <w:p w14:paraId="7A3F8FCE" w14:textId="77777777" w:rsidR="00007653" w:rsidRPr="00E7693B" w:rsidRDefault="00007653" w:rsidP="006B61C5">
      <w:pPr>
        <w:pStyle w:val="Heading2"/>
      </w:pPr>
      <w:bookmarkStart w:id="24" w:name="_Toc167977598"/>
      <w:r w:rsidRPr="00E7693B">
        <w:lastRenderedPageBreak/>
        <w:t>Chewing insect herbivores</w:t>
      </w:r>
      <w:bookmarkEnd w:id="24"/>
    </w:p>
    <w:p w14:paraId="737CCAEB" w14:textId="77777777" w:rsidR="00007653" w:rsidRPr="00632B4B" w:rsidRDefault="00007653" w:rsidP="00007653">
      <w:pPr>
        <w:pBdr>
          <w:top w:val="nil"/>
          <w:left w:val="nil"/>
          <w:bottom w:val="nil"/>
          <w:right w:val="nil"/>
          <w:between w:val="nil"/>
        </w:pBdr>
        <w:spacing w:after="0" w:line="360" w:lineRule="auto"/>
        <w:ind w:firstLine="720"/>
        <w:jc w:val="both"/>
        <w:rPr>
          <w:rFonts w:ascii="Times New Roman" w:hAnsi="Times New Roman" w:cs="Times New Roman"/>
          <w:color w:val="000000"/>
          <w:sz w:val="24"/>
          <w:szCs w:val="24"/>
        </w:rPr>
      </w:pPr>
    </w:p>
    <w:p w14:paraId="15818798" w14:textId="236BC195" w:rsidR="00007653" w:rsidRDefault="00007653" w:rsidP="00007653">
      <w:pPr>
        <w:pBdr>
          <w:top w:val="nil"/>
          <w:left w:val="nil"/>
          <w:bottom w:val="nil"/>
          <w:right w:val="nil"/>
          <w:between w:val="nil"/>
        </w:pBdr>
        <w:spacing w:after="0" w:line="360" w:lineRule="auto"/>
        <w:ind w:firstLine="720"/>
        <w:jc w:val="both"/>
        <w:rPr>
          <w:rFonts w:ascii="Times New Roman" w:hAnsi="Times New Roman" w:cs="Times New Roman"/>
          <w:sz w:val="24"/>
          <w:szCs w:val="24"/>
        </w:rPr>
      </w:pPr>
      <w:r w:rsidRPr="00632B4B">
        <w:rPr>
          <w:rFonts w:ascii="Times New Roman" w:hAnsi="Times New Roman" w:cs="Times New Roman"/>
          <w:color w:val="000000"/>
          <w:sz w:val="24"/>
          <w:szCs w:val="24"/>
        </w:rPr>
        <w:t xml:space="preserve">When </w:t>
      </w:r>
      <w:r>
        <w:rPr>
          <w:rFonts w:ascii="Times New Roman" w:hAnsi="Times New Roman" w:cs="Times New Roman"/>
          <w:color w:val="000000"/>
          <w:sz w:val="24"/>
          <w:szCs w:val="24"/>
        </w:rPr>
        <w:t xml:space="preserve">chewing </w:t>
      </w:r>
      <w:r w:rsidRPr="00632B4B">
        <w:rPr>
          <w:rFonts w:ascii="Times New Roman" w:hAnsi="Times New Roman" w:cs="Times New Roman"/>
          <w:color w:val="000000"/>
          <w:sz w:val="24"/>
          <w:szCs w:val="24"/>
        </w:rPr>
        <w:t>caterpillars initiate the feeding process, they deliver specific elicitor compounds through saliva and regurgitant into the plant tissue, such as fatty-acid amino-acid conjugates (</w:t>
      </w:r>
      <w:r w:rsidRPr="00632B4B">
        <w:rPr>
          <w:rFonts w:ascii="Times New Roman" w:hAnsi="Times New Roman" w:cs="Times New Roman"/>
          <w:i/>
          <w:color w:val="000000"/>
          <w:sz w:val="24"/>
          <w:szCs w:val="24"/>
        </w:rPr>
        <w:t xml:space="preserve">e.g. </w:t>
      </w:r>
      <w:proofErr w:type="spellStart"/>
      <w:r w:rsidRPr="00632B4B">
        <w:rPr>
          <w:rFonts w:ascii="Times New Roman" w:hAnsi="Times New Roman" w:cs="Times New Roman"/>
          <w:color w:val="000000"/>
          <w:sz w:val="24"/>
          <w:szCs w:val="24"/>
        </w:rPr>
        <w:t>volicitin</w:t>
      </w:r>
      <w:proofErr w:type="spellEnd"/>
      <w:r w:rsidRPr="00632B4B">
        <w:rPr>
          <w:rFonts w:ascii="Times New Roman" w:hAnsi="Times New Roman" w:cs="Times New Roman"/>
          <w:color w:val="000000"/>
          <w:sz w:val="24"/>
          <w:szCs w:val="24"/>
        </w:rPr>
        <w:t xml:space="preserve">) and </w:t>
      </w:r>
      <w:r w:rsidRPr="00632B4B">
        <w:rPr>
          <w:rFonts w:ascii="Times New Roman" w:hAnsi="Times New Roman" w:cs="Times New Roman"/>
          <w:i/>
          <w:color w:val="000000"/>
          <w:sz w:val="24"/>
          <w:szCs w:val="24"/>
        </w:rPr>
        <w:t>β</w:t>
      </w:r>
      <w:r w:rsidRPr="00632B4B">
        <w:rPr>
          <w:rFonts w:ascii="Times New Roman" w:hAnsi="Times New Roman" w:cs="Times New Roman"/>
          <w:color w:val="000000"/>
          <w:sz w:val="24"/>
          <w:szCs w:val="24"/>
        </w:rPr>
        <w:t xml:space="preserve">-glucosidase (Jones et al., 2021), which induce early defence </w:t>
      </w:r>
      <w:proofErr w:type="spellStart"/>
      <w:r w:rsidRPr="00632B4B">
        <w:rPr>
          <w:rFonts w:ascii="Times New Roman" w:hAnsi="Times New Roman" w:cs="Times New Roman"/>
          <w:color w:val="000000"/>
          <w:sz w:val="24"/>
          <w:szCs w:val="24"/>
        </w:rPr>
        <w:t>signaling</w:t>
      </w:r>
      <w:proofErr w:type="spellEnd"/>
      <w:r w:rsidRPr="00632B4B">
        <w:rPr>
          <w:rFonts w:ascii="Times New Roman" w:hAnsi="Times New Roman" w:cs="Times New Roman"/>
          <w:color w:val="000000"/>
          <w:sz w:val="24"/>
          <w:szCs w:val="24"/>
        </w:rPr>
        <w:t xml:space="preserve"> responses in host plants. Depolarization of the plasma membrane occurs, followed by the rise in cytosolic Ca</w:t>
      </w:r>
      <w:r w:rsidRPr="00632B4B">
        <w:rPr>
          <w:rFonts w:ascii="Times New Roman" w:hAnsi="Times New Roman" w:cs="Times New Roman"/>
          <w:color w:val="000000"/>
          <w:sz w:val="24"/>
          <w:szCs w:val="24"/>
          <w:vertAlign w:val="superscript"/>
        </w:rPr>
        <w:t>2+</w:t>
      </w:r>
      <w:r w:rsidRPr="00632B4B">
        <w:rPr>
          <w:rFonts w:ascii="Times New Roman" w:hAnsi="Times New Roman" w:cs="Times New Roman"/>
          <w:color w:val="000000"/>
          <w:sz w:val="24"/>
          <w:szCs w:val="24"/>
        </w:rPr>
        <w:t>, production of ROS and activity of MAPKs and CDPKs (</w:t>
      </w:r>
      <w:proofErr w:type="spellStart"/>
      <w:r w:rsidRPr="00632B4B">
        <w:rPr>
          <w:rFonts w:ascii="Times New Roman" w:hAnsi="Times New Roman" w:cs="Times New Roman"/>
          <w:color w:val="000000"/>
          <w:sz w:val="24"/>
          <w:szCs w:val="24"/>
        </w:rPr>
        <w:t>Erb</w:t>
      </w:r>
      <w:proofErr w:type="spellEnd"/>
      <w:r w:rsidRPr="00632B4B">
        <w:rPr>
          <w:rFonts w:ascii="Times New Roman" w:hAnsi="Times New Roman" w:cs="Times New Roman"/>
          <w:color w:val="000000"/>
          <w:sz w:val="24"/>
          <w:szCs w:val="24"/>
        </w:rPr>
        <w:t xml:space="preserve"> and Reymond, 2019; Fig. 1). Many </w:t>
      </w:r>
      <w:r w:rsidR="00FB722B">
        <w:rPr>
          <w:rFonts w:ascii="Times New Roman" w:hAnsi="Times New Roman" w:cs="Times New Roman"/>
          <w:color w:val="000000"/>
          <w:sz w:val="24"/>
          <w:szCs w:val="24"/>
        </w:rPr>
        <w:t>l</w:t>
      </w:r>
      <w:r w:rsidRPr="00632B4B">
        <w:rPr>
          <w:rFonts w:ascii="Times New Roman" w:hAnsi="Times New Roman" w:cs="Times New Roman"/>
          <w:color w:val="000000"/>
          <w:sz w:val="24"/>
          <w:szCs w:val="24"/>
        </w:rPr>
        <w:t>epidoptera</w:t>
      </w:r>
      <w:r w:rsidR="00FB722B">
        <w:rPr>
          <w:rFonts w:ascii="Times New Roman" w:hAnsi="Times New Roman" w:cs="Times New Roman"/>
          <w:color w:val="000000"/>
          <w:sz w:val="24"/>
          <w:szCs w:val="24"/>
        </w:rPr>
        <w:t>ns</w:t>
      </w:r>
      <w:r w:rsidRPr="00632B4B">
        <w:rPr>
          <w:rFonts w:ascii="Times New Roman" w:hAnsi="Times New Roman" w:cs="Times New Roman"/>
          <w:color w:val="000000"/>
          <w:sz w:val="24"/>
          <w:szCs w:val="24"/>
        </w:rPr>
        <w:t xml:space="preserve"> evolved to produce effectors</w:t>
      </w:r>
      <w:r w:rsidRPr="00632B4B">
        <w:rPr>
          <w:rFonts w:ascii="Times New Roman" w:hAnsi="Times New Roman" w:cs="Times New Roman"/>
          <w:sz w:val="24"/>
          <w:szCs w:val="24"/>
        </w:rPr>
        <w:t>;</w:t>
      </w:r>
      <w:r w:rsidRPr="00632B4B">
        <w:rPr>
          <w:rFonts w:ascii="Times New Roman" w:hAnsi="Times New Roman" w:cs="Times New Roman"/>
          <w:color w:val="000000"/>
          <w:sz w:val="24"/>
          <w:szCs w:val="24"/>
        </w:rPr>
        <w:t xml:space="preserve"> one example is secretion of glucose oxidase (GOX), an enzyme involved in the production of H</w:t>
      </w:r>
      <w:r w:rsidRPr="00632B4B">
        <w:rPr>
          <w:rFonts w:ascii="Times New Roman" w:hAnsi="Times New Roman" w:cs="Times New Roman"/>
          <w:color w:val="000000"/>
          <w:sz w:val="24"/>
          <w:szCs w:val="24"/>
          <w:vertAlign w:val="subscript"/>
        </w:rPr>
        <w:t>2</w:t>
      </w:r>
      <w:r w:rsidRPr="00632B4B">
        <w:rPr>
          <w:rFonts w:ascii="Times New Roman" w:hAnsi="Times New Roman" w:cs="Times New Roman"/>
          <w:color w:val="000000"/>
          <w:sz w:val="24"/>
          <w:szCs w:val="24"/>
        </w:rPr>
        <w:t>O</w:t>
      </w:r>
      <w:r w:rsidRPr="00632B4B">
        <w:rPr>
          <w:rFonts w:ascii="Times New Roman" w:hAnsi="Times New Roman" w:cs="Times New Roman"/>
          <w:color w:val="000000"/>
          <w:sz w:val="24"/>
          <w:szCs w:val="24"/>
          <w:vertAlign w:val="subscript"/>
        </w:rPr>
        <w:t>2</w:t>
      </w:r>
      <w:r w:rsidRPr="00632B4B">
        <w:rPr>
          <w:rFonts w:ascii="Times New Roman" w:hAnsi="Times New Roman" w:cs="Times New Roman"/>
          <w:color w:val="000000"/>
          <w:sz w:val="24"/>
          <w:szCs w:val="24"/>
        </w:rPr>
        <w:t xml:space="preserve"> that some caterpillars may use to remove excessive sugars and increase the food quality, or to regulate plant defence mechanisms, as H</w:t>
      </w:r>
      <w:r w:rsidRPr="00632B4B">
        <w:rPr>
          <w:rFonts w:ascii="Times New Roman" w:hAnsi="Times New Roman" w:cs="Times New Roman"/>
          <w:color w:val="000000"/>
          <w:sz w:val="24"/>
          <w:szCs w:val="24"/>
          <w:vertAlign w:val="subscript"/>
        </w:rPr>
        <w:t>2</w:t>
      </w:r>
      <w:r w:rsidRPr="00632B4B">
        <w:rPr>
          <w:rFonts w:ascii="Times New Roman" w:hAnsi="Times New Roman" w:cs="Times New Roman"/>
          <w:color w:val="000000"/>
          <w:sz w:val="24"/>
          <w:szCs w:val="24"/>
        </w:rPr>
        <w:t>O</w:t>
      </w:r>
      <w:r>
        <w:rPr>
          <w:rFonts w:ascii="Times New Roman" w:hAnsi="Times New Roman" w:cs="Times New Roman"/>
          <w:color w:val="000000"/>
          <w:sz w:val="24"/>
          <w:szCs w:val="24"/>
          <w:vertAlign w:val="subscript"/>
        </w:rPr>
        <w:t>2</w:t>
      </w:r>
      <w:r w:rsidRPr="00632B4B">
        <w:rPr>
          <w:rFonts w:ascii="Times New Roman" w:hAnsi="Times New Roman" w:cs="Times New Roman"/>
          <w:color w:val="000000"/>
          <w:sz w:val="24"/>
          <w:szCs w:val="24"/>
        </w:rPr>
        <w:t xml:space="preserve"> is considered to be an upstream signal that triggers biosynthesis of plant hormones during caterpillar feeding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ZOTERO_ITEM CSL_CITATION {"citationID":"30k78RlI","properties":{"formattedCitation":"(Babic et al., 2008; Jones et al., 2021; Merkx-Jacques and Bede, 2005)","plainCitation":"(Babic et al., 2008; Jones et al., 2021; Merkx-Jacques and Bede, 2005)","noteIndex":0},"citationItems":[{"id":574,"uris":["http://zotero.org/users/10895598/items/9E5ZNR5E"],"itemData":{"id":574,"type":"article-journal","container-title":"Journal of Insect Physiology","DOI":"10.1016/j.jinsphys.2007.09.010","ISSN":"00221910","issue":"1","journalAbbreviation":"Journal of Insect Physiology","language":"en","page":"286-296","source":"DOI.org (Crossref)","title":"Influence of dietary nutritional composition on caterpillar salivary enzyme activity","volume":"54","author":[{"family":"Babic","given":"Branislav"},{"family":"Poisson","given":"Alexandre"},{"family":"Darwish","given":"Shireef"},{"family":"Lacasse","given":"Jean"},{"family":"Merkx-Jacques","given":"Magali"},{"family":"Despland","given":"Emma"},{"family":"Bede","given":"Jacqueline C."}],"issued":{"date-parts":[["2008",1]]}}},{"id":308,"uris":["http://zotero.org/users/10895598/items/QTXLGHIM"],"itemData":{"id":308,"type":"article-journal","container-title":"Plant Molecular Biology","DOI":"10.1007/s11103-021-01203-2","ISSN":"0167-4412, 1573-5028","journalAbbreviation":"Plant Mol Biol","language":"en","source":"DOI.org (Crossref)","title":"The dual function of elicitors and effectors from insects: reviewing the ‘arms race’ against plant defenses","title-short":"The dual function of elicitors and effectors from insects","URL":"https://link.springer.com/10.1007/s11103-021-01203-2","author":[{"family":"Jones","given":"Anne C."},{"family":"Felton","given":"Gary W."},{"family":"Tumlinson","given":"James H."}],"accessed":{"date-parts":[["2022",5,31]]},"issued":{"date-parts":[["2021",10,7]]}}},{"id":313,"uris":["http://zotero.org/users/10895598/items/LY234H8P"],"itemData":{"id":313,"type":"article-journal","container-title":"Journal of Insect Science","DOI":"10.1093/jis/5.1.48","ISSN":"1536-2442","issue":"1","language":"en","source":"DOI.org (Crossref)","title":"Influence of diet on the larval beet armyworm, &lt;i&gt;Spodoptera exigua&lt;/i&gt;, glucose oxidase activity","URL":"https://academic.oup.com/jinsectscience/article-lookup/doi/10.1093/jis/5.1.48","volume":"5","author":[{"family":"Merkx-Jacques","given":"Magali"},{"family":"Bede","given":"Jacqueline C."}],"accessed":{"date-parts":[["2022",6,1]]},"issued":{"date-parts":[["2005"]]}}}],"schema":"https://github.com/citation-style-language/schema/raw/master/csl-citation.json"} </w:instrText>
      </w:r>
      <w:r>
        <w:rPr>
          <w:rFonts w:ascii="Times New Roman" w:hAnsi="Times New Roman" w:cs="Times New Roman"/>
          <w:color w:val="000000"/>
          <w:sz w:val="24"/>
          <w:szCs w:val="24"/>
        </w:rPr>
        <w:fldChar w:fldCharType="separate"/>
      </w:r>
      <w:r w:rsidRPr="00632B4B">
        <w:rPr>
          <w:rFonts w:ascii="Times New Roman" w:hAnsi="Times New Roman" w:cs="Times New Roman"/>
          <w:sz w:val="24"/>
        </w:rPr>
        <w:t>(Babic et al., 2008; Jones et al., 2021; Merkx-Jacques and Bede, 2005)</w:t>
      </w:r>
      <w:r>
        <w:rPr>
          <w:rFonts w:ascii="Times New Roman" w:hAnsi="Times New Roman" w:cs="Times New Roman"/>
          <w:color w:val="000000"/>
          <w:sz w:val="24"/>
          <w:szCs w:val="24"/>
        </w:rPr>
        <w:fldChar w:fldCharType="end"/>
      </w:r>
      <w:r w:rsidRPr="00632B4B">
        <w:rPr>
          <w:rFonts w:ascii="Times New Roman" w:hAnsi="Times New Roman" w:cs="Times New Roman"/>
          <w:sz w:val="24"/>
          <w:szCs w:val="24"/>
        </w:rPr>
        <w:t xml:space="preserve">. </w:t>
      </w:r>
      <w:r w:rsidRPr="00632B4B">
        <w:rPr>
          <w:rFonts w:ascii="Times New Roman" w:hAnsi="Times New Roman" w:cs="Times New Roman"/>
          <w:color w:val="000000"/>
          <w:sz w:val="24"/>
          <w:szCs w:val="24"/>
        </w:rPr>
        <w:t xml:space="preserve">Nonetheless, GOX activity </w:t>
      </w:r>
      <w:r>
        <w:rPr>
          <w:rFonts w:ascii="Times New Roman" w:hAnsi="Times New Roman" w:cs="Times New Roman"/>
          <w:color w:val="000000"/>
          <w:sz w:val="24"/>
          <w:szCs w:val="24"/>
        </w:rPr>
        <w:t xml:space="preserve">is </w:t>
      </w:r>
      <w:r w:rsidRPr="00632B4B">
        <w:rPr>
          <w:rFonts w:ascii="Times New Roman" w:hAnsi="Times New Roman" w:cs="Times New Roman"/>
          <w:color w:val="000000"/>
          <w:sz w:val="24"/>
          <w:szCs w:val="24"/>
        </w:rPr>
        <w:t>highly depend</w:t>
      </w:r>
      <w:r>
        <w:rPr>
          <w:rFonts w:ascii="Times New Roman" w:hAnsi="Times New Roman" w:cs="Times New Roman"/>
          <w:color w:val="000000"/>
          <w:sz w:val="24"/>
          <w:szCs w:val="24"/>
        </w:rPr>
        <w:t>ent</w:t>
      </w:r>
      <w:r w:rsidRPr="00632B4B">
        <w:rPr>
          <w:rFonts w:ascii="Times New Roman" w:hAnsi="Times New Roman" w:cs="Times New Roman"/>
          <w:color w:val="000000"/>
          <w:sz w:val="24"/>
          <w:szCs w:val="24"/>
        </w:rPr>
        <w:t xml:space="preserve"> on </w:t>
      </w:r>
      <w:r>
        <w:rPr>
          <w:rFonts w:ascii="Times New Roman" w:hAnsi="Times New Roman" w:cs="Times New Roman"/>
          <w:color w:val="000000"/>
          <w:sz w:val="24"/>
          <w:szCs w:val="24"/>
        </w:rPr>
        <w:t xml:space="preserve">both the </w:t>
      </w:r>
      <w:r w:rsidRPr="00632B4B">
        <w:rPr>
          <w:rFonts w:ascii="Times New Roman" w:hAnsi="Times New Roman" w:cs="Times New Roman"/>
          <w:color w:val="000000"/>
          <w:sz w:val="24"/>
          <w:szCs w:val="24"/>
        </w:rPr>
        <w:t>caterpillar species</w:t>
      </w:r>
      <w:r>
        <w:rPr>
          <w:rFonts w:ascii="Times New Roman" w:hAnsi="Times New Roman" w:cs="Times New Roman"/>
          <w:color w:val="000000"/>
          <w:sz w:val="24"/>
          <w:szCs w:val="24"/>
        </w:rPr>
        <w:t xml:space="preserve"> and</w:t>
      </w:r>
      <w:r w:rsidRPr="00632B4B">
        <w:rPr>
          <w:rFonts w:ascii="Times New Roman" w:hAnsi="Times New Roman" w:cs="Times New Roman"/>
          <w:color w:val="000000"/>
          <w:sz w:val="24"/>
          <w:szCs w:val="24"/>
        </w:rPr>
        <w:t xml:space="preserve"> the </w:t>
      </w:r>
      <w:r w:rsidRPr="00632B4B">
        <w:rPr>
          <w:rFonts w:ascii="Times New Roman" w:hAnsi="Times New Roman" w:cs="Times New Roman"/>
          <w:sz w:val="24"/>
          <w:szCs w:val="24"/>
        </w:rPr>
        <w:t>plant host.</w:t>
      </w:r>
    </w:p>
    <w:p w14:paraId="253B8D30" w14:textId="77777777" w:rsidR="00007653" w:rsidRPr="00632B4B" w:rsidRDefault="00007653" w:rsidP="00007653">
      <w:pPr>
        <w:pBdr>
          <w:top w:val="nil"/>
          <w:left w:val="nil"/>
          <w:bottom w:val="nil"/>
          <w:right w:val="nil"/>
          <w:between w:val="nil"/>
        </w:pBdr>
        <w:spacing w:after="0" w:line="360" w:lineRule="auto"/>
        <w:jc w:val="both"/>
        <w:rPr>
          <w:rFonts w:ascii="Times New Roman" w:hAnsi="Times New Roman" w:cs="Times New Roman"/>
          <w:sz w:val="24"/>
          <w:szCs w:val="24"/>
        </w:rPr>
      </w:pPr>
    </w:p>
    <w:p w14:paraId="78A44266" w14:textId="77777777" w:rsidR="00007653" w:rsidRPr="00E7693B" w:rsidRDefault="00007653" w:rsidP="006B61C5">
      <w:pPr>
        <w:pStyle w:val="Heading3"/>
      </w:pPr>
      <w:bookmarkStart w:id="25" w:name="_Toc167977599"/>
      <w:proofErr w:type="spellStart"/>
      <w:r w:rsidRPr="00E7693B">
        <w:rPr>
          <w:i/>
        </w:rPr>
        <w:t>Plutella</w:t>
      </w:r>
      <w:proofErr w:type="spellEnd"/>
      <w:r w:rsidRPr="00E7693B">
        <w:rPr>
          <w:i/>
        </w:rPr>
        <w:t xml:space="preserve"> </w:t>
      </w:r>
      <w:proofErr w:type="spellStart"/>
      <w:r w:rsidRPr="00E7693B">
        <w:rPr>
          <w:i/>
        </w:rPr>
        <w:t>xylostella</w:t>
      </w:r>
      <w:proofErr w:type="spellEnd"/>
      <w:r w:rsidRPr="00E7693B">
        <w:t xml:space="preserve"> and its life cycle</w:t>
      </w:r>
      <w:bookmarkEnd w:id="25"/>
    </w:p>
    <w:p w14:paraId="50944CB3" w14:textId="77777777" w:rsidR="00007653" w:rsidRPr="00632B4B" w:rsidRDefault="00007653" w:rsidP="00007653">
      <w:pPr>
        <w:spacing w:after="0" w:line="360" w:lineRule="auto"/>
        <w:rPr>
          <w:rFonts w:ascii="Times New Roman" w:hAnsi="Times New Roman" w:cs="Times New Roman"/>
          <w:sz w:val="24"/>
          <w:szCs w:val="24"/>
        </w:rPr>
      </w:pPr>
    </w:p>
    <w:p w14:paraId="4ECE13CA" w14:textId="4C97E94A" w:rsidR="00007653" w:rsidRPr="00651897" w:rsidRDefault="00007653" w:rsidP="00651897">
      <w:pPr>
        <w:spacing w:after="240" w:line="360" w:lineRule="auto"/>
        <w:ind w:firstLine="720"/>
        <w:jc w:val="both"/>
        <w:rPr>
          <w:rFonts w:ascii="Times New Roman" w:hAnsi="Times New Roman" w:cs="Times New Roman"/>
          <w:sz w:val="24"/>
          <w:szCs w:val="24"/>
        </w:rPr>
      </w:pPr>
      <w:r w:rsidRPr="00632B4B">
        <w:rPr>
          <w:rFonts w:ascii="Times New Roman" w:hAnsi="Times New Roman" w:cs="Times New Roman"/>
          <w:sz w:val="24"/>
          <w:szCs w:val="24"/>
        </w:rPr>
        <w:t>One of the globally most destructive insect specialists o</w:t>
      </w:r>
      <w:r>
        <w:rPr>
          <w:rFonts w:ascii="Times New Roman" w:hAnsi="Times New Roman" w:cs="Times New Roman"/>
          <w:sz w:val="24"/>
          <w:szCs w:val="24"/>
        </w:rPr>
        <w:t>n</w:t>
      </w:r>
      <w:r w:rsidRPr="00632B4B">
        <w:rPr>
          <w:rFonts w:ascii="Times New Roman" w:hAnsi="Times New Roman" w:cs="Times New Roman"/>
          <w:sz w:val="24"/>
          <w:szCs w:val="24"/>
        </w:rPr>
        <w:t xml:space="preserve"> </w:t>
      </w:r>
      <w:r w:rsidRPr="00632B4B">
        <w:rPr>
          <w:rFonts w:ascii="Times New Roman" w:hAnsi="Times New Roman" w:cs="Times New Roman"/>
          <w:i/>
          <w:sz w:val="24"/>
          <w:szCs w:val="24"/>
        </w:rPr>
        <w:t xml:space="preserve">Brassica </w:t>
      </w:r>
      <w:r w:rsidRPr="00632B4B">
        <w:rPr>
          <w:rFonts w:ascii="Times New Roman" w:hAnsi="Times New Roman" w:cs="Times New Roman"/>
          <w:sz w:val="24"/>
          <w:szCs w:val="24"/>
        </w:rPr>
        <w:t xml:space="preserve">crops is </w:t>
      </w:r>
      <w:r w:rsidRPr="00632B4B">
        <w:rPr>
          <w:rFonts w:ascii="Times New Roman" w:hAnsi="Times New Roman" w:cs="Times New Roman"/>
          <w:i/>
          <w:sz w:val="24"/>
          <w:szCs w:val="24"/>
        </w:rPr>
        <w:t xml:space="preserve">P. </w:t>
      </w:r>
      <w:proofErr w:type="spellStart"/>
      <w:r w:rsidRPr="00632B4B">
        <w:rPr>
          <w:rFonts w:ascii="Times New Roman" w:hAnsi="Times New Roman" w:cs="Times New Roman"/>
          <w:i/>
          <w:sz w:val="24"/>
          <w:szCs w:val="24"/>
        </w:rPr>
        <w:t>xylostella</w:t>
      </w:r>
      <w:proofErr w:type="spellEnd"/>
      <w:r w:rsidRPr="00632B4B">
        <w:rPr>
          <w:rFonts w:ascii="Times New Roman" w:hAnsi="Times New Roman" w:cs="Times New Roman"/>
          <w:i/>
          <w:sz w:val="24"/>
          <w:szCs w:val="24"/>
        </w:rPr>
        <w:t xml:space="preserve"> </w:t>
      </w:r>
      <w:r w:rsidRPr="00632B4B">
        <w:rPr>
          <w:rFonts w:ascii="Times New Roman" w:hAnsi="Times New Roman" w:cs="Times New Roman"/>
          <w:sz w:val="24"/>
          <w:szCs w:val="24"/>
        </w:rPr>
        <w:t>or diamondback moth</w:t>
      </w:r>
      <w:r w:rsidRPr="00632B4B">
        <w:rPr>
          <w:rFonts w:ascii="Times New Roman" w:hAnsi="Times New Roman" w:cs="Times New Roman"/>
          <w:sz w:val="24"/>
          <w:szCs w:val="24"/>
          <w:vertAlign w:val="superscript"/>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{"citationID":"bQrpTKKi","properties":{"formattedCitation":"(Zalucki et al., 2012)","plainCitation":"(Zalucki et al., 2012)","noteIndex":0},"citationItems":[{"id":424,"uris":["http://zotero.org/users/10895598/items/EBU9YXBC"],"itemData":{"id":424,"type":"article-journal","container-title":"Journal of Economic Entomology","DOI":"10.1603/EC12107","ISSN":"00220493, 00220493","issue":"4","journalAbbreviation":"Journal of Economic Entomology","language":"en","page":"1115-1129","source":"DOI.org (Crossref)","title":"Estimating the economic cost of one of the world's major insect pests, &lt;i&gt;Plutella xylostella&lt;/i&gt; (Lepidoptera: Plutellidae): Just how long is a piece of string?","title-short":"Estimating the Economic Cost of One of the World's Major Insect Pests, &lt;I&gt;Plutella xylostella&lt;/I&gt; (Lepidoptera","volume":"105","author":[{"family":"Zalucki","given":"Myron P."},{"family":"Shabbir","given":"Asad"},{"family":"Silva","given":"Rehan"},{"family":"Adamson","given":"David"},{"family":"Shu-Sheng","given":"Liu"},{"family":"Furlong","given":"Michael J."}],"issued":{"date-parts":[["2012",8,1]]}}}],"schema":"https://github.com/citation-style-language/schema/raw/master/csl-citation.json"} </w:instrText>
      </w:r>
      <w:r>
        <w:rPr>
          <w:rFonts w:ascii="Times New Roman" w:hAnsi="Times New Roman" w:cs="Times New Roman"/>
          <w:sz w:val="24"/>
          <w:szCs w:val="24"/>
        </w:rPr>
        <w:fldChar w:fldCharType="separate"/>
      </w:r>
      <w:r w:rsidRPr="00EF28D8">
        <w:rPr>
          <w:rFonts w:ascii="Times New Roman" w:hAnsi="Times New Roman" w:cs="Times New Roman"/>
          <w:sz w:val="24"/>
        </w:rPr>
        <w:t>(Zalucki et al., 2012)</w:t>
      </w:r>
      <w:r>
        <w:rPr>
          <w:rFonts w:ascii="Times New Roman" w:hAnsi="Times New Roman" w:cs="Times New Roman"/>
          <w:sz w:val="24"/>
          <w:szCs w:val="24"/>
        </w:rPr>
        <w:fldChar w:fldCharType="end"/>
      </w:r>
      <w:r w:rsidRPr="00632B4B">
        <w:rPr>
          <w:rFonts w:ascii="Times New Roman" w:hAnsi="Times New Roman" w:cs="Times New Roman"/>
          <w:sz w:val="24"/>
          <w:szCs w:val="24"/>
        </w:rPr>
        <w:t xml:space="preserve">. The life cycle of </w:t>
      </w:r>
      <w:r w:rsidRPr="00632B4B">
        <w:rPr>
          <w:rFonts w:ascii="Times New Roman" w:hAnsi="Times New Roman" w:cs="Times New Roman"/>
          <w:i/>
          <w:sz w:val="24"/>
          <w:szCs w:val="24"/>
        </w:rPr>
        <w:t xml:space="preserve">P. </w:t>
      </w:r>
      <w:proofErr w:type="spellStart"/>
      <w:r w:rsidRPr="00632B4B">
        <w:rPr>
          <w:rFonts w:ascii="Times New Roman" w:hAnsi="Times New Roman" w:cs="Times New Roman"/>
          <w:i/>
          <w:sz w:val="24"/>
          <w:szCs w:val="24"/>
        </w:rPr>
        <w:t>xylostella</w:t>
      </w:r>
      <w:proofErr w:type="spellEnd"/>
      <w:r w:rsidRPr="00632B4B">
        <w:rPr>
          <w:rFonts w:ascii="Times New Roman" w:hAnsi="Times New Roman" w:cs="Times New Roman"/>
          <w:i/>
          <w:sz w:val="24"/>
          <w:szCs w:val="24"/>
        </w:rPr>
        <w:t xml:space="preserve"> </w:t>
      </w:r>
      <w:r w:rsidRPr="00632B4B">
        <w:rPr>
          <w:rFonts w:ascii="Times New Roman" w:hAnsi="Times New Roman" w:cs="Times New Roman"/>
          <w:sz w:val="24"/>
          <w:szCs w:val="24"/>
        </w:rPr>
        <w:t xml:space="preserve">(Fig. </w:t>
      </w:r>
      <w:r w:rsidR="00551A0A">
        <w:rPr>
          <w:rFonts w:ascii="Times New Roman" w:hAnsi="Times New Roman" w:cs="Times New Roman"/>
          <w:sz w:val="24"/>
          <w:szCs w:val="24"/>
        </w:rPr>
        <w:t>7</w:t>
      </w:r>
      <w:r w:rsidRPr="00632B4B">
        <w:rPr>
          <w:rFonts w:ascii="Times New Roman" w:hAnsi="Times New Roman" w:cs="Times New Roman"/>
          <w:sz w:val="24"/>
          <w:szCs w:val="24"/>
        </w:rPr>
        <w:t>) begins as an adult moth, around 9 mm long and greyish brown in colour with a recognizable whitish diamond-shaped band along its back. After mating, female moths lay eggs on the host plant. As reported on Chinese kale (</w:t>
      </w:r>
      <w:r w:rsidRPr="00632B4B">
        <w:rPr>
          <w:rFonts w:ascii="Times New Roman" w:hAnsi="Times New Roman" w:cs="Times New Roman"/>
          <w:i/>
          <w:sz w:val="24"/>
          <w:szCs w:val="24"/>
        </w:rPr>
        <w:t xml:space="preserve">Brassica oleracea </w:t>
      </w:r>
      <w:r w:rsidRPr="00632B4B">
        <w:rPr>
          <w:rFonts w:ascii="Times New Roman" w:hAnsi="Times New Roman" w:cs="Times New Roman"/>
          <w:sz w:val="24"/>
          <w:szCs w:val="24"/>
        </w:rPr>
        <w:t xml:space="preserve">var. </w:t>
      </w:r>
      <w:proofErr w:type="spellStart"/>
      <w:r w:rsidRPr="00632B4B">
        <w:rPr>
          <w:rFonts w:ascii="Times New Roman" w:hAnsi="Times New Roman" w:cs="Times New Roman"/>
          <w:i/>
          <w:sz w:val="24"/>
          <w:szCs w:val="24"/>
        </w:rPr>
        <w:t>alboglabra</w:t>
      </w:r>
      <w:proofErr w:type="spellEnd"/>
      <w:r w:rsidRPr="00632B4B">
        <w:rPr>
          <w:rFonts w:ascii="Times New Roman" w:hAnsi="Times New Roman" w:cs="Times New Roman"/>
          <w:sz w:val="24"/>
          <w:szCs w:val="24"/>
        </w:rPr>
        <w:t xml:space="preserve">), adults prefer to lay eggs on plant parts with less wax, such as cotyledons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{"citationID":"DG9wSsHf","properties":{"formattedCitation":"(Zhu et al., 2022)","plainCitation":"(Zhu et al., 2022)","noteIndex":0},"citationItems":[{"id":484,"uris":["http://zotero.org/users/10895598/items/XU63XEGB"],"itemData":{"id":484,"type":"article-journal","container-title":"Journal of Pest Science","DOI":"10.1007/s10340-021-01366-3","ISSN":"1612-4758, 1612-4766","issue":"1","journalAbbreviation":"J Pest Sci","language":"en","page":"203-214","source":"DOI.org (Crossref)","title":"Adaptations of &lt;i&gt;Plutella xylostella&lt;/i&gt; adult females and larvae to waxy host plants","volume":"95","author":[{"family":"Zhu","given":"Jing-Yun"},{"family":"Xiang","given":"Zhong-Wen"},{"family":"Zhang","given":"Shi-Ze"},{"family":"Wu","given":"Lin-Nan"},{"family":"Liu","given":"Tong-Xian"}],"issued":{"date-parts":[["2022",1]]}}}],"schema":"https://github.com/citation-style-language/schema/raw/master/csl-citation.json"} </w:instrText>
      </w:r>
      <w:r>
        <w:rPr>
          <w:rFonts w:ascii="Times New Roman" w:hAnsi="Times New Roman" w:cs="Times New Roman"/>
          <w:sz w:val="24"/>
          <w:szCs w:val="24"/>
        </w:rPr>
        <w:fldChar w:fldCharType="separate"/>
      </w:r>
      <w:r w:rsidRPr="00EF28D8">
        <w:rPr>
          <w:rFonts w:ascii="Times New Roman" w:hAnsi="Times New Roman" w:cs="Times New Roman"/>
          <w:sz w:val="24"/>
        </w:rPr>
        <w:t>(Zhu et al., 2022)</w:t>
      </w:r>
      <w:r>
        <w:rPr>
          <w:rFonts w:ascii="Times New Roman" w:hAnsi="Times New Roman" w:cs="Times New Roman"/>
          <w:sz w:val="24"/>
          <w:szCs w:val="24"/>
        </w:rPr>
        <w:fldChar w:fldCharType="end"/>
      </w:r>
      <w:r w:rsidRPr="00632B4B">
        <w:rPr>
          <w:rFonts w:ascii="Times New Roman" w:hAnsi="Times New Roman" w:cs="Times New Roman"/>
          <w:sz w:val="24"/>
          <w:szCs w:val="24"/>
        </w:rPr>
        <w:t>. Volatiles, secondary metabolites, temperature and trichomes also play a role in oviposition stimulation</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{"citationID":"iaq9Hiu0","properties":{"formattedCitation":"(Silva and Furlong, 2012; Talekar and Shelton, 1993)","plainCitation":"(Silva and Furlong, 2012; Talekar and Shelton, 1993)","noteIndex":0},"citationItems":[{"id":567,"uris":["http://zotero.org/users/10895598/items/HCL6A8NT"],"itemData":{"id":567,"type":"article-journal","container-title":"Entomologia Experimentalis et Applicata","DOI":"10.1111/j.1570-7458.2012.01255.x","ISSN":"00138703","issue":"3","language":"en","page":"218-230","source":"DOI.org (Crossref)","title":"Diamondback moth oviposition: effects of host plant and herbivory: Diamondback moth oviposition","title-short":"Diamondback moth oviposition","volume":"143","author":[{"family":"Silva","given":"Rehan"},{"family":"Furlong","given":"Michael J."}],"issued":{"date-parts":[["2012",6]]}}},{"id":568,"uris":["http://zotero.org/users/10895598/items/87IVMBM9"],"itemData":{"id":568,"type":"article-journal","container-title":"Annual Review of Entomology","DOI":"10.1146/annurev.en.38.010193.001423","ISSN":"0066-4170, 1545-4487","issue":"1","journalAbbreviation":"Annu. Rev. Entomol.","language":"en","page":"275-301","source":"DOI.org (Crossref)","title":"Biology, ecology, and management of the diamondback moth","volume":"38","author":[{"family":"Talekar","given":"N S"},{"family":"Shelton","given":"A M"}],"issued":{"date-parts":[["1993",1]]}}}],"schema":"https://github.com/citation-style-language/schema/raw/master/csl-citation.json"} </w:instrText>
      </w:r>
      <w:r>
        <w:rPr>
          <w:rFonts w:ascii="Times New Roman" w:hAnsi="Times New Roman" w:cs="Times New Roman"/>
          <w:sz w:val="24"/>
          <w:szCs w:val="24"/>
        </w:rPr>
        <w:fldChar w:fldCharType="separate"/>
      </w:r>
      <w:r w:rsidRPr="00EF28D8">
        <w:rPr>
          <w:rFonts w:ascii="Times New Roman" w:hAnsi="Times New Roman" w:cs="Times New Roman"/>
          <w:sz w:val="24"/>
        </w:rPr>
        <w:t>(Silva and Furlong, 2012; Talekar and Shelton, 1993)</w:t>
      </w:r>
      <w:r>
        <w:rPr>
          <w:rFonts w:ascii="Times New Roman" w:hAnsi="Times New Roman" w:cs="Times New Roman"/>
          <w:sz w:val="24"/>
          <w:szCs w:val="24"/>
        </w:rPr>
        <w:fldChar w:fldCharType="end"/>
      </w:r>
      <w:r w:rsidRPr="00632B4B">
        <w:rPr>
          <w:rFonts w:ascii="Times New Roman" w:hAnsi="Times New Roman" w:cs="Times New Roman"/>
          <w:sz w:val="24"/>
          <w:szCs w:val="24"/>
        </w:rPr>
        <w:t xml:space="preserve">. However, when ovipositing on older plants of </w:t>
      </w:r>
      <w:r w:rsidRPr="00632B4B">
        <w:rPr>
          <w:rFonts w:ascii="Times New Roman" w:hAnsi="Times New Roman" w:cs="Times New Roman"/>
          <w:i/>
          <w:sz w:val="24"/>
          <w:szCs w:val="24"/>
        </w:rPr>
        <w:t xml:space="preserve">B. oleracea </w:t>
      </w:r>
      <w:r w:rsidRPr="00632B4B">
        <w:rPr>
          <w:rFonts w:ascii="Times New Roman" w:hAnsi="Times New Roman" w:cs="Times New Roman"/>
          <w:sz w:val="24"/>
          <w:szCs w:val="24"/>
        </w:rPr>
        <w:t xml:space="preserve">and </w:t>
      </w:r>
      <w:r w:rsidRPr="00632B4B">
        <w:rPr>
          <w:rFonts w:ascii="Times New Roman" w:hAnsi="Times New Roman" w:cs="Times New Roman"/>
          <w:i/>
          <w:sz w:val="24"/>
          <w:szCs w:val="24"/>
        </w:rPr>
        <w:t xml:space="preserve">B. napus </w:t>
      </w:r>
      <w:r w:rsidRPr="00632B4B">
        <w:rPr>
          <w:rFonts w:ascii="Times New Roman" w:hAnsi="Times New Roman" w:cs="Times New Roman"/>
          <w:sz w:val="24"/>
          <w:szCs w:val="24"/>
        </w:rPr>
        <w:t xml:space="preserve">without cotyledons, most eggs were laid on the abaxial side of the leaf, whereas in the case of </w:t>
      </w:r>
      <w:r w:rsidRPr="00632B4B">
        <w:rPr>
          <w:rFonts w:ascii="Times New Roman" w:hAnsi="Times New Roman" w:cs="Times New Roman"/>
          <w:i/>
          <w:sz w:val="24"/>
          <w:szCs w:val="24"/>
        </w:rPr>
        <w:t xml:space="preserve">B. </w:t>
      </w:r>
      <w:proofErr w:type="spellStart"/>
      <w:r w:rsidRPr="00632B4B">
        <w:rPr>
          <w:rFonts w:ascii="Times New Roman" w:hAnsi="Times New Roman" w:cs="Times New Roman"/>
          <w:i/>
          <w:sz w:val="24"/>
          <w:szCs w:val="24"/>
        </w:rPr>
        <w:t>rapa</w:t>
      </w:r>
      <w:proofErr w:type="spellEnd"/>
      <w:r w:rsidRPr="00EF28D8">
        <w:rPr>
          <w:rFonts w:ascii="Times New Roman" w:hAnsi="Times New Roman" w:cs="Times New Roman"/>
          <w:sz w:val="24"/>
          <w:szCs w:val="24"/>
        </w:rPr>
        <w:t>,</w:t>
      </w:r>
      <w:r w:rsidRPr="00632B4B">
        <w:rPr>
          <w:rFonts w:ascii="Times New Roman" w:hAnsi="Times New Roman" w:cs="Times New Roman"/>
          <w:i/>
          <w:sz w:val="24"/>
          <w:szCs w:val="24"/>
        </w:rPr>
        <w:t xml:space="preserve"> </w:t>
      </w:r>
      <w:r w:rsidRPr="00632B4B">
        <w:rPr>
          <w:rFonts w:ascii="Times New Roman" w:hAnsi="Times New Roman" w:cs="Times New Roman"/>
          <w:sz w:val="24"/>
          <w:szCs w:val="24"/>
        </w:rPr>
        <w:t>the biggest number of eggs was detected on the adaxial leaf side (Silva and Furlong, 2012). The eggs are small</w:t>
      </w:r>
      <w:r>
        <w:rPr>
          <w:rFonts w:ascii="Times New Roman" w:hAnsi="Times New Roman" w:cs="Times New Roman"/>
          <w:sz w:val="24"/>
          <w:szCs w:val="24"/>
        </w:rPr>
        <w:t xml:space="preserve">, approximately 0.5 mm long </w:t>
      </w:r>
      <w:r w:rsidRPr="00632B4B">
        <w:rPr>
          <w:rFonts w:ascii="Times New Roman" w:hAnsi="Times New Roman" w:cs="Times New Roman"/>
          <w:sz w:val="24"/>
          <w:szCs w:val="24"/>
        </w:rPr>
        <w:t>and yellowish in colour</w:t>
      </w:r>
      <w:r>
        <w:rPr>
          <w:rFonts w:ascii="Times New Roman" w:hAnsi="Times New Roman" w:cs="Times New Roman"/>
          <w:sz w:val="24"/>
          <w:szCs w:val="24"/>
        </w:rPr>
        <w:t>,</w:t>
      </w:r>
      <w:r w:rsidRPr="00632B4B">
        <w:rPr>
          <w:rFonts w:ascii="Times New Roman" w:hAnsi="Times New Roman" w:cs="Times New Roman"/>
          <w:sz w:val="24"/>
          <w:szCs w:val="24"/>
        </w:rPr>
        <w:t xml:space="preserve"> and can be clearly seen through binocular or hand lens (Fig. </w:t>
      </w:r>
      <w:r w:rsidR="00551A0A">
        <w:rPr>
          <w:rFonts w:ascii="Times New Roman" w:hAnsi="Times New Roman" w:cs="Times New Roman"/>
          <w:sz w:val="24"/>
          <w:szCs w:val="24"/>
        </w:rPr>
        <w:t>7</w:t>
      </w:r>
      <w:r w:rsidRPr="00632B4B">
        <w:rPr>
          <w:rFonts w:ascii="Times New Roman" w:hAnsi="Times New Roman" w:cs="Times New Roman"/>
          <w:sz w:val="24"/>
          <w:szCs w:val="24"/>
        </w:rPr>
        <w:t>). After egg hatching and larval emergence, the feeding process is initiated on leaves. The larval stage is the primary cause of damage as caterpillars cause defoliation by chewing which results in major yield losses</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{"citationID":"Wxfeeubh","properties":{"formattedCitation":"(Akandeh et al., 2016; Nouri-Ganbalani et al., 2018)","plainCitation":"(Akandeh et al., 2016; Nouri-Ganbalani et al., 2018)","noteIndex":0},"citationItems":[{"id":425,"uris":["http://zotero.org/users/10895598/items/DMX5JLFX"],"itemData":{"id":425,"type":"article-journal","container-title":"Journal of Agricultural Science and Technology","issue":"4","language":"en","note":"Accepted: 2018-02-06T08:55:00Z","page":"985-998","source":"ir.jkuat.ac.ke","title":"Effect of canola physical mutation on &lt;i&gt;Plutella xylostella&lt;/i&gt; (L.) life table","volume":"18","author":[{"family":"Akandeh","given":"M."},{"family":"Kocheili","given":"F."},{"family":"Soufbaf","given":"M."},{"family":"Rasekh","given":"A."},{"family":"Mozafari","given":"K."}],"issued":{"date-parts":[["2016",2,6]]}}},{"id":18,"uris":["http://zotero.org/users/10895598/items/B4PNUZZK"],"itemData":{"id":18,"type":"article-journal","container-title":"Frontiers in Physiology","DOI":"10.3389/fphys.2018.00859","ISSN":"1664-042X","journalAbbreviation":"Front. Physiol.","page":"859","source":"DOI.org (Crossref)","title":"Induction of resistance against &lt;i&gt;Plutella xylostella&lt;/i&gt; (L.) (Lep.: Plutellidae) by jasmonic acid and mealy cabbage aphid feeding in &lt;i&gt;Brassica napus&lt;/i&gt; (L.)","title-short":"Induction of Resistance Against Plutella xylostella (L.) (Lep.","volume":"9","author":[{"family":"Nouri-Ganbalani","given":"Gadir"},{"family":"Borzoui","given":"Ehsan"},{"family":"Shahnavazi","given":"Maryam"},{"family":"Nouri","given":"Alireza"}],"issued":{"date-parts":[["2018",7,10]]}}}],"schema":"https://github.com/citation-style-language/schema/raw/master/csl-citation.json"} </w:instrText>
      </w:r>
      <w:r>
        <w:rPr>
          <w:rFonts w:ascii="Times New Roman" w:hAnsi="Times New Roman" w:cs="Times New Roman"/>
          <w:sz w:val="24"/>
          <w:szCs w:val="24"/>
        </w:rPr>
        <w:fldChar w:fldCharType="separate"/>
      </w:r>
      <w:r w:rsidRPr="00EF28D8">
        <w:rPr>
          <w:rFonts w:ascii="Times New Roman" w:hAnsi="Times New Roman" w:cs="Times New Roman"/>
          <w:sz w:val="24"/>
        </w:rPr>
        <w:t>(Akandeh et al., 2016; Nouri-Ganbalani et al., 2018)</w:t>
      </w:r>
      <w:r>
        <w:rPr>
          <w:rFonts w:ascii="Times New Roman" w:hAnsi="Times New Roman" w:cs="Times New Roman"/>
          <w:sz w:val="24"/>
          <w:szCs w:val="24"/>
        </w:rPr>
        <w:fldChar w:fldCharType="end"/>
      </w:r>
      <w:r w:rsidRPr="00632B4B">
        <w:rPr>
          <w:rFonts w:ascii="Times New Roman" w:hAnsi="Times New Roman" w:cs="Times New Roman"/>
          <w:sz w:val="24"/>
          <w:szCs w:val="24"/>
        </w:rPr>
        <w:t xml:space="preserve">. In general, caterpillars do not find </w:t>
      </w:r>
      <w:r w:rsidRPr="00632B4B">
        <w:rPr>
          <w:rFonts w:ascii="Times New Roman" w:hAnsi="Times New Roman" w:cs="Times New Roman"/>
          <w:sz w:val="24"/>
          <w:szCs w:val="24"/>
        </w:rPr>
        <w:lastRenderedPageBreak/>
        <w:t>cotyledons palatable and suitable for feeding, so when eggs hatch on cotyledons, caterpillars form silk nets which help them move to true leaves and feed there (Zhu et al., 2022). This process of net crawling and feeding changes the leaf structure and interestingly, lures females to oviposit on such damaged leaves (Silva and Furlong, 2012; Zhu et al., 2022). Caterpillars pass through four instars</w:t>
      </w:r>
      <w:r>
        <w:rPr>
          <w:rFonts w:ascii="Times New Roman" w:hAnsi="Times New Roman" w:cs="Times New Roman"/>
          <w:sz w:val="24"/>
          <w:szCs w:val="24"/>
        </w:rPr>
        <w:t>,</w:t>
      </w:r>
      <w:r w:rsidRPr="00632B4B">
        <w:rPr>
          <w:rFonts w:ascii="Times New Roman" w:hAnsi="Times New Roman" w:cs="Times New Roman"/>
          <w:sz w:val="24"/>
          <w:szCs w:val="24"/>
        </w:rPr>
        <w:t xml:space="preserve"> </w:t>
      </w:r>
      <w:r>
        <w:rPr>
          <w:rFonts w:ascii="Times New Roman" w:hAnsi="Times New Roman" w:cs="Times New Roman"/>
          <w:sz w:val="24"/>
          <w:szCs w:val="24"/>
        </w:rPr>
        <w:t>each</w:t>
      </w:r>
      <w:r w:rsidRPr="00632B4B">
        <w:rPr>
          <w:rFonts w:ascii="Times New Roman" w:hAnsi="Times New Roman" w:cs="Times New Roman"/>
          <w:sz w:val="24"/>
          <w:szCs w:val="24"/>
        </w:rPr>
        <w:t xml:space="preserve"> differ</w:t>
      </w:r>
      <w:r>
        <w:rPr>
          <w:rFonts w:ascii="Times New Roman" w:hAnsi="Times New Roman" w:cs="Times New Roman"/>
          <w:sz w:val="24"/>
          <w:szCs w:val="24"/>
        </w:rPr>
        <w:t>ing</w:t>
      </w:r>
      <w:r w:rsidRPr="00632B4B">
        <w:rPr>
          <w:rFonts w:ascii="Times New Roman" w:hAnsi="Times New Roman" w:cs="Times New Roman"/>
          <w:sz w:val="24"/>
          <w:szCs w:val="24"/>
        </w:rPr>
        <w:t xml:space="preserve"> morphologically and in</w:t>
      </w:r>
      <w:r>
        <w:rPr>
          <w:rFonts w:ascii="Times New Roman" w:hAnsi="Times New Roman" w:cs="Times New Roman"/>
          <w:sz w:val="24"/>
          <w:szCs w:val="24"/>
        </w:rPr>
        <w:t xml:space="preserve"> their method of</w:t>
      </w:r>
      <w:r w:rsidRPr="00632B4B">
        <w:rPr>
          <w:rFonts w:ascii="Times New Roman" w:hAnsi="Times New Roman" w:cs="Times New Roman"/>
          <w:sz w:val="24"/>
          <w:szCs w:val="24"/>
        </w:rPr>
        <w:t xml:space="preserve"> damag</w:t>
      </w:r>
      <w:r>
        <w:rPr>
          <w:rFonts w:ascii="Times New Roman" w:hAnsi="Times New Roman" w:cs="Times New Roman"/>
          <w:sz w:val="24"/>
          <w:szCs w:val="24"/>
        </w:rPr>
        <w:t>ing</w:t>
      </w:r>
      <w:r w:rsidRPr="00632B4B">
        <w:rPr>
          <w:rFonts w:ascii="Times New Roman" w:hAnsi="Times New Roman" w:cs="Times New Roman"/>
          <w:sz w:val="24"/>
          <w:szCs w:val="24"/>
        </w:rPr>
        <w:t xml:space="preserve"> leaves</w:t>
      </w:r>
      <w:r>
        <w:rPr>
          <w:rFonts w:ascii="Times New Roman" w:hAnsi="Times New Roman" w:cs="Times New Roman"/>
          <w:sz w:val="24"/>
          <w:szCs w:val="24"/>
        </w:rPr>
        <w:t xml:space="preserve"> (Fig. </w:t>
      </w:r>
      <w:r w:rsidR="00551A0A">
        <w:rPr>
          <w:rFonts w:ascii="Times New Roman" w:hAnsi="Times New Roman" w:cs="Times New Roman"/>
          <w:sz w:val="24"/>
          <w:szCs w:val="24"/>
        </w:rPr>
        <w:t>7</w:t>
      </w:r>
      <w:r>
        <w:rPr>
          <w:rFonts w:ascii="Times New Roman" w:hAnsi="Times New Roman" w:cs="Times New Roman"/>
          <w:sz w:val="24"/>
          <w:szCs w:val="24"/>
        </w:rPr>
        <w:t>)</w:t>
      </w:r>
      <w:r w:rsidRPr="00632B4B">
        <w:rPr>
          <w:rFonts w:ascii="Times New Roman" w:hAnsi="Times New Roman" w:cs="Times New Roman"/>
          <w:sz w:val="24"/>
          <w:szCs w:val="24"/>
        </w:rPr>
        <w:t xml:space="preserve">. First instar is around 1 mm long and pale white with dark head, and later stages are brownish to green with several short hairs, reaching the length of around 11 mm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{"citationID":"O66YoNim","properties":{"formattedCitation":"(Gen\\uc0\\u231{}, 2021; Philips et al., 2014)","plainCitation":"(Genç, 2021; Philips et al., 2014)","noteIndex":0},"citationItems":[{"id":569,"uris":["http://zotero.org/users/10895598/items/UAUS9Q2W"],"itemData":{"id":569,"type":"article-journal","abstract":"Plutella xylostella (Linnaeus, 1758), the diamondback moth is an important pest in Brassicae cultivars in the world. However, description regarding different biological stages and information about performance parameters of P. xylostella are important to survey in fields and design an effective management. In this study, wild population of diamondback moth was adapted on white cabbage then cauliflower, broccoli and white cabbage leaves were tested under laboratory conditions at 20±2°C, 50% relative humidity and 16:8 (L:D) photoperiod. The development times were 23.41±0.38 days on white cabbage, 25.12±0.56 days on cauliflower and 26.05±0.56 days on broccoli leaves. The generation times were 25.03±0.42 days on cauliflower, 29.99±1.49 days on broccoli and 30.47±1.04 days on white cabbage leaves. The eggs were laid individually or in the shape of small groups on the host leaves. There were 4 instars based on molting and head capsule diameters of all tested hosts. In this study, durations of larval stages, the number of laid eggs, larval sex differentiation and fitness parameters of the diamondback moth were determined on cauliflower, broccoli and white cabbage host plants.\n          , \n            Plutella xylostella (Linnaeus, 1758), elmas sırtlı güve, dünyadaki Brassicae çeşitlerindeki önemli bir zararlıdır. Bununla birlikte, farklı biyolojik dönemleri ile ilgili açıklamalar ve P. xylostella' nın performans parametreleri hakkındaki bilgiler, tarlalarda sörvey yapmak ve etkili bir mücadele tasarlamak için önemlidir. Bu çalışmada, yabani P. xylostella popülasyonu beyaz lahana üzerinde adapte edildikten sonra karnabahar, brokoli ve beyaz lahana yapraklarında 20±2 °C, %50 bağıl nem ve 16: 8 (L: D) fotoperiyottaki laboratuvar koşullarında test edilmiştir. Gelişme süresi, karnabaharda 23.41±0.38 gün, brokoli üzerinde 25.12±0.56 gün ve beyaz lahana yapraklarında 26.05±0.56 gündür. Generasyon süresi, karnabaharda 25.03±0.42 gün, brokoli üzerinde 29.99 ± 1.49 gün ve beyaz lahana yapraklarında 30.47 ± 1.04 gündür. Yumurtalar tek tek veya küçük gruplar halinde konukçu yaprakların üzerine bırakılmıştır. Test edilen tüm konukçulardaki larvalarda deri değiştirme ve kafa kapsül ölçümlerine bağlı olarak 4 larva dönemi belirlendi. Bu çalışmada, elmas sırtlı güvesinin karnabahar, brokoli ve beyaz lahanada üzerinde larva dönemlerinin gelişme süreleri, bırakılan yumurta sayısı, larva cinsiyet farklılaşması ve performans parameterleri belirlenmiştir.","container-title":"ÇOMÜ Ziraat Fakültesi Dergisi","DOI":"10.33202/comuagri.899370","ISSN":"2147-8384","issue":"1","page":"21-30","source":"DOI.org (Crossref)","title":"Determination of biological properties of &lt;i&gt;Plutella xylostella&lt;/i&gt; (Linnaeus, 1758) (Lepidoptera: Plutellidae)","title-short":"Determination of Biological Properties of Plutella xylostella (Linnaeus, 1758) (Lepidoptera","volume":"9","author":[{"family":"Genç","given":"Hanife"}],"issued":{"date-parts":[["2021",6,28]]}}},{"id":571,"uris":["http://zotero.org/users/10895598/items/QKHFJLCY"],"itemData":{"id":571,"type":"article-journal","container-title":"Journal of Integrated Pest Management","DOI":"10.1603/IPM14012","ISSN":"21557470, 21557470","issue":"3","journalAbbreviation":"j integ pest manage","language":"en","page":"1-11","source":"DOI.org (Crossref)","title":"Natural history, ecology, and management of diamondback moth (Lepidoptera: Plutellidae), with emphasis on the United States","title-short":"Natural History, Ecology, and Management of Diamondback Moth (Lepidoptera","volume":"5","author":[{"family":"Philips","given":"C. R."},{"family":"Fu","given":"Z."},{"family":"Kuhar","given":"T. P."},{"family":"Shelton","given":"A. M."},{"family":"Cordero","given":"R. J."}],"issued":{"date-parts":[["2014",9,1]]}}}],"schema":"https://github.com/citation-style-language/schema/raw/master/csl-citation.json"} </w:instrText>
      </w:r>
      <w:r>
        <w:rPr>
          <w:rFonts w:ascii="Times New Roman" w:hAnsi="Times New Roman" w:cs="Times New Roman"/>
          <w:sz w:val="24"/>
          <w:szCs w:val="24"/>
        </w:rPr>
        <w:fldChar w:fldCharType="separate"/>
      </w:r>
      <w:r w:rsidRPr="00EF28D8">
        <w:rPr>
          <w:rFonts w:ascii="Times New Roman" w:hAnsi="Times New Roman" w:cs="Times New Roman"/>
          <w:sz w:val="24"/>
          <w:szCs w:val="24"/>
        </w:rPr>
        <w:t>(Genç, 2021; Philips et al., 2014)</w:t>
      </w:r>
      <w:r>
        <w:rPr>
          <w:rFonts w:ascii="Times New Roman" w:hAnsi="Times New Roman" w:cs="Times New Roman"/>
          <w:sz w:val="24"/>
          <w:szCs w:val="24"/>
        </w:rPr>
        <w:fldChar w:fldCharType="end"/>
      </w:r>
      <w:r w:rsidRPr="00632B4B">
        <w:rPr>
          <w:rFonts w:ascii="Times New Roman" w:hAnsi="Times New Roman" w:cs="Times New Roman"/>
          <w:sz w:val="24"/>
          <w:szCs w:val="24"/>
        </w:rPr>
        <w:t xml:space="preserve">. Female and male caterpillars are easily distinguishable during the fourth instar, as only males have a pale mark on the eight abdominal segment (Genç, 2021). First instar creates so called “window-like” damage by mining only mesophyll cells, and later instars consume surface of leaves including the waxy layer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{"citationID":"el3HHR9P","properties":{"formattedCitation":"(Sarfraz et al., 2005)","plainCitation":"(Sarfraz et al., 2005)","noteIndex":0},"citationItems":[{"id":177,"uris":["http://zotero.org/users/10895598/items/3KWN2PXP"],"itemData":{"id":177,"type":"article-journal","container-title":"Biocontrol Science and Technology","DOI":"10.1080/09583150500136956","ISSN":"0958-3157, 1360-0478","issue":"8","journalAbbreviation":"Biocontrol Science and Technology","language":"en","page":"763-789","source":"DOI.org (Crossref)","title":"Biological control of the diamondback moth, &lt;i&gt;Plutella xylostella&lt;/i&gt; : A review","title-short":"Biological control of the diamondback moth, &lt;i&gt;Plutella xylostella&lt;/i&gt;","volume":"15","author":[{"family":"Sarfraz","given":"Muhammad"},{"family":"Keddie","given":"Andrew B"},{"family":"Dosdall","given":"Lloyd M"}],"issued":{"date-parts":[["2005",12]]}}}],"schema":"https://github.com/citation-style-language/schema/raw/master/csl-citation.json"} </w:instrText>
      </w:r>
      <w:r>
        <w:rPr>
          <w:rFonts w:ascii="Times New Roman" w:hAnsi="Times New Roman" w:cs="Times New Roman"/>
          <w:sz w:val="24"/>
          <w:szCs w:val="24"/>
        </w:rPr>
        <w:fldChar w:fldCharType="separate"/>
      </w:r>
      <w:r w:rsidRPr="0057176F">
        <w:rPr>
          <w:rFonts w:ascii="Times New Roman" w:hAnsi="Times New Roman" w:cs="Times New Roman"/>
          <w:sz w:val="24"/>
        </w:rPr>
        <w:t>(Sarfraz et al., 2005)</w:t>
      </w:r>
      <w:r>
        <w:rPr>
          <w:rFonts w:ascii="Times New Roman" w:hAnsi="Times New Roman" w:cs="Times New Roman"/>
          <w:sz w:val="24"/>
          <w:szCs w:val="24"/>
        </w:rPr>
        <w:fldChar w:fldCharType="end"/>
      </w:r>
      <w:r w:rsidRPr="00632B4B">
        <w:rPr>
          <w:rFonts w:ascii="Times New Roman" w:hAnsi="Times New Roman" w:cs="Times New Roman"/>
          <w:sz w:val="24"/>
          <w:szCs w:val="24"/>
        </w:rPr>
        <w:t>. When larvae are fully grown, they start to form silk cocoon</w:t>
      </w:r>
      <w:r>
        <w:rPr>
          <w:rFonts w:ascii="Times New Roman" w:hAnsi="Times New Roman" w:cs="Times New Roman"/>
          <w:sz w:val="24"/>
          <w:szCs w:val="24"/>
        </w:rPr>
        <w:t>s</w:t>
      </w:r>
      <w:r w:rsidRPr="00632B4B">
        <w:rPr>
          <w:rFonts w:ascii="Times New Roman" w:hAnsi="Times New Roman" w:cs="Times New Roman"/>
          <w:sz w:val="24"/>
          <w:szCs w:val="24"/>
        </w:rPr>
        <w:t xml:space="preserve"> on the host plant where they pupate (Fig. </w:t>
      </w:r>
      <w:r w:rsidR="00551A0A">
        <w:rPr>
          <w:rFonts w:ascii="Times New Roman" w:hAnsi="Times New Roman" w:cs="Times New Roman"/>
          <w:sz w:val="24"/>
          <w:szCs w:val="24"/>
        </w:rPr>
        <w:t>7</w:t>
      </w:r>
      <w:r w:rsidRPr="00632B4B">
        <w:rPr>
          <w:rFonts w:ascii="Times New Roman" w:hAnsi="Times New Roman" w:cs="Times New Roman"/>
          <w:sz w:val="24"/>
          <w:szCs w:val="24"/>
        </w:rPr>
        <w:t>). The time to complete one life cycle varies based on temperature levels: it took 27 days at 18°C to complete one generation on cabbage (</w:t>
      </w:r>
      <w:r w:rsidRPr="00632B4B">
        <w:rPr>
          <w:rFonts w:ascii="Times New Roman" w:hAnsi="Times New Roman" w:cs="Times New Roman"/>
          <w:i/>
          <w:sz w:val="24"/>
          <w:szCs w:val="24"/>
        </w:rPr>
        <w:t xml:space="preserve">B. oleracea </w:t>
      </w:r>
      <w:r w:rsidRPr="00632B4B">
        <w:rPr>
          <w:rFonts w:ascii="Times New Roman" w:hAnsi="Times New Roman" w:cs="Times New Roman"/>
          <w:sz w:val="24"/>
          <w:szCs w:val="24"/>
        </w:rPr>
        <w:t xml:space="preserve">var. </w:t>
      </w:r>
      <w:r w:rsidRPr="00632B4B">
        <w:rPr>
          <w:rFonts w:ascii="Times New Roman" w:hAnsi="Times New Roman" w:cs="Times New Roman"/>
          <w:i/>
          <w:sz w:val="24"/>
          <w:szCs w:val="24"/>
        </w:rPr>
        <w:t>capitata</w:t>
      </w:r>
      <w:r w:rsidRPr="00632B4B">
        <w:rPr>
          <w:rFonts w:ascii="Times New Roman" w:hAnsi="Times New Roman" w:cs="Times New Roman"/>
          <w:sz w:val="24"/>
          <w:szCs w:val="24"/>
        </w:rPr>
        <w:t xml:space="preserve">) plants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{"citationID":"toO9iXwg","properties":{"formattedCitation":"(Liu et al., 2002)","plainCitation":"(Liu et al., 2002)","noteIndex":0},"citationItems":[{"id":573,"uris":["http://zotero.org/users/10895598/items/3RC8AGVY"],"itemData":{"id":573,"type":"article-journal","container-title":"Environmental Entomology","DOI":"10.1603/0046-225X-31.2.221","ISSN":"0046-225X, 1938-2936","issue":"2","journalAbbreviation":"Environ Entomol","language":"en","page":"221-231","source":"DOI.org (Crossref)","title":"Development and survival of the diamondback moth (Lepidoptera: Plutellidae) at constant and alternating temperatures","title-short":"Development and Survival of the Diamondback Moth (Lepidoptera","volume":"31","author":[{"family":"Liu","given":"Shu-Sheng"},{"family":"Chen","given":"Fei-Zhou"},{"family":"Zalucki","given":"Myron P."}],"issued":{"date-parts":[["2002",4,1]]}}}],"schema":"https://github.com/citation-style-language/schema/raw/master/csl-citation.json"} </w:instrText>
      </w:r>
      <w:r>
        <w:rPr>
          <w:rFonts w:ascii="Times New Roman" w:hAnsi="Times New Roman" w:cs="Times New Roman"/>
          <w:sz w:val="24"/>
          <w:szCs w:val="24"/>
        </w:rPr>
        <w:fldChar w:fldCharType="separate"/>
      </w:r>
      <w:r w:rsidRPr="0057176F">
        <w:rPr>
          <w:rFonts w:ascii="Times New Roman" w:hAnsi="Times New Roman" w:cs="Times New Roman"/>
          <w:sz w:val="24"/>
        </w:rPr>
        <w:t>(Liu et al., 2002)</w:t>
      </w:r>
      <w:r>
        <w:rPr>
          <w:rFonts w:ascii="Times New Roman" w:hAnsi="Times New Roman" w:cs="Times New Roman"/>
          <w:sz w:val="24"/>
          <w:szCs w:val="24"/>
        </w:rPr>
        <w:fldChar w:fldCharType="end"/>
      </w:r>
      <w:r w:rsidRPr="00632B4B">
        <w:rPr>
          <w:rFonts w:ascii="Times New Roman" w:hAnsi="Times New Roman" w:cs="Times New Roman"/>
          <w:sz w:val="24"/>
          <w:szCs w:val="24"/>
        </w:rPr>
        <w:t>.</w:t>
      </w:r>
    </w:p>
    <w:p w14:paraId="52D9FF54" w14:textId="77777777" w:rsidR="00007653" w:rsidRPr="00E7693B" w:rsidRDefault="00007653" w:rsidP="00007653">
      <w:pPr>
        <w:spacing w:line="360" w:lineRule="auto"/>
        <w:jc w:val="center"/>
        <w:rPr>
          <w:rFonts w:ascii="Times New Roman" w:hAnsi="Times New Roman" w:cs="Times New Roman"/>
        </w:rPr>
      </w:pPr>
      <w:r>
        <w:rPr>
          <w:rFonts w:ascii="Times New Roman" w:hAnsi="Times New Roman" w:cs="Times New Roman"/>
          <w:noProof/>
          <w:lang w:val="en-US"/>
        </w:rPr>
        <w:drawing>
          <wp:inline distT="0" distB="0" distL="0" distR="0" wp14:anchorId="2E21C498" wp14:editId="607FCB2A">
            <wp:extent cx="5760085" cy="4080510"/>
            <wp:effectExtent l="0" t="0" r="0" b="0"/>
            <wp:docPr id="1812548924" name="Picture 181254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ure 4_new.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4080510"/>
                    </a:xfrm>
                    <a:prstGeom prst="rect">
                      <a:avLst/>
                    </a:prstGeom>
                  </pic:spPr>
                </pic:pic>
              </a:graphicData>
            </a:graphic>
          </wp:inline>
        </w:drawing>
      </w:r>
    </w:p>
    <w:p w14:paraId="10251648" w14:textId="409B124A" w:rsidR="00007653" w:rsidRPr="00E7693B" w:rsidRDefault="00007653" w:rsidP="00651897">
      <w:pPr>
        <w:spacing w:before="240" w:after="0" w:line="360" w:lineRule="auto"/>
        <w:jc w:val="center"/>
        <w:rPr>
          <w:rFonts w:ascii="Times New Roman" w:hAnsi="Times New Roman" w:cs="Times New Roman"/>
          <w:i/>
        </w:rPr>
      </w:pPr>
      <w:r w:rsidRPr="00E7693B">
        <w:rPr>
          <w:rFonts w:ascii="Times New Roman" w:hAnsi="Times New Roman" w:cs="Times New Roman"/>
          <w:b/>
        </w:rPr>
        <w:t xml:space="preserve">Figure </w:t>
      </w:r>
      <w:r w:rsidR="00551A0A">
        <w:rPr>
          <w:rFonts w:ascii="Times New Roman" w:hAnsi="Times New Roman" w:cs="Times New Roman"/>
          <w:b/>
        </w:rPr>
        <w:t>7</w:t>
      </w:r>
      <w:r w:rsidRPr="00E7693B">
        <w:rPr>
          <w:rFonts w:ascii="Times New Roman" w:hAnsi="Times New Roman" w:cs="Times New Roman"/>
        </w:rPr>
        <w:t xml:space="preserve">. Life cycle of </w:t>
      </w:r>
      <w:proofErr w:type="spellStart"/>
      <w:r w:rsidRPr="00E7693B">
        <w:rPr>
          <w:rFonts w:ascii="Times New Roman" w:hAnsi="Times New Roman" w:cs="Times New Roman"/>
          <w:i/>
        </w:rPr>
        <w:t>Plutella</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xylostella</w:t>
      </w:r>
      <w:proofErr w:type="spellEnd"/>
      <w:r w:rsidRPr="00E7693B">
        <w:rPr>
          <w:rFonts w:ascii="Times New Roman" w:hAnsi="Times New Roman" w:cs="Times New Roman"/>
          <w:i/>
        </w:rPr>
        <w:t>.</w:t>
      </w:r>
    </w:p>
    <w:p w14:paraId="79D476AF" w14:textId="77777777" w:rsidR="00007653" w:rsidRPr="00E7693B" w:rsidRDefault="00007653" w:rsidP="00651897">
      <w:pPr>
        <w:spacing w:after="0" w:line="360" w:lineRule="auto"/>
        <w:rPr>
          <w:rFonts w:ascii="Times New Roman" w:hAnsi="Times New Roman" w:cs="Times New Roman"/>
          <w:i/>
        </w:rPr>
      </w:pPr>
    </w:p>
    <w:p w14:paraId="66DA100F" w14:textId="77777777" w:rsidR="00007653" w:rsidRPr="00E7693B" w:rsidRDefault="00007653" w:rsidP="006B61C5">
      <w:pPr>
        <w:pStyle w:val="Heading3"/>
      </w:pPr>
      <w:bookmarkStart w:id="26" w:name="_Toc167977600"/>
      <w:proofErr w:type="spellStart"/>
      <w:r w:rsidRPr="006B61C5">
        <w:rPr>
          <w:i/>
          <w:iCs/>
        </w:rPr>
        <w:t>Plutella</w:t>
      </w:r>
      <w:proofErr w:type="spellEnd"/>
      <w:r w:rsidRPr="006B61C5">
        <w:rPr>
          <w:i/>
          <w:iCs/>
        </w:rPr>
        <w:t xml:space="preserve"> </w:t>
      </w:r>
      <w:proofErr w:type="spellStart"/>
      <w:r w:rsidRPr="006B61C5">
        <w:rPr>
          <w:i/>
          <w:iCs/>
        </w:rPr>
        <w:t>xylostella</w:t>
      </w:r>
      <w:proofErr w:type="spellEnd"/>
      <w:r w:rsidRPr="00E7693B">
        <w:t xml:space="preserve"> interaction with </w:t>
      </w:r>
      <w:r w:rsidRPr="006B61C5">
        <w:rPr>
          <w:i/>
          <w:iCs/>
        </w:rPr>
        <w:t>Brassica</w:t>
      </w:r>
      <w:r w:rsidRPr="00E7693B">
        <w:t xml:space="preserve"> crops</w:t>
      </w:r>
      <w:bookmarkEnd w:id="26"/>
    </w:p>
    <w:p w14:paraId="56A6EC49" w14:textId="77777777" w:rsidR="00007653" w:rsidRPr="0057176F" w:rsidRDefault="00007653" w:rsidP="00007653">
      <w:pPr>
        <w:pBdr>
          <w:top w:val="nil"/>
          <w:left w:val="nil"/>
          <w:bottom w:val="nil"/>
          <w:right w:val="nil"/>
          <w:between w:val="nil"/>
        </w:pBdr>
        <w:spacing w:after="0" w:line="360" w:lineRule="auto"/>
        <w:ind w:firstLine="720"/>
        <w:jc w:val="both"/>
        <w:rPr>
          <w:rFonts w:ascii="Times New Roman" w:hAnsi="Times New Roman" w:cs="Times New Roman"/>
          <w:sz w:val="24"/>
          <w:szCs w:val="24"/>
        </w:rPr>
      </w:pPr>
    </w:p>
    <w:p w14:paraId="5453E59A" w14:textId="178EDA39" w:rsidR="0074184F" w:rsidRDefault="00007653" w:rsidP="0074184F">
      <w:pPr>
        <w:spacing w:after="0" w:line="360" w:lineRule="auto"/>
        <w:ind w:firstLine="708"/>
        <w:jc w:val="both"/>
        <w:rPr>
          <w:rFonts w:ascii="Times New Roman" w:hAnsi="Times New Roman" w:cs="Times New Roman"/>
          <w:sz w:val="24"/>
          <w:szCs w:val="24"/>
        </w:rPr>
      </w:pPr>
      <w:r w:rsidRPr="0057176F">
        <w:rPr>
          <w:rFonts w:ascii="Times New Roman" w:hAnsi="Times New Roman" w:cs="Times New Roman"/>
          <w:sz w:val="24"/>
          <w:szCs w:val="24"/>
        </w:rPr>
        <w:t xml:space="preserve">As a chewing insect herbivore, </w:t>
      </w:r>
      <w:r w:rsidRPr="0057176F">
        <w:rPr>
          <w:rFonts w:ascii="Times New Roman" w:hAnsi="Times New Roman" w:cs="Times New Roman"/>
          <w:i/>
          <w:iCs/>
          <w:sz w:val="24"/>
          <w:szCs w:val="24"/>
        </w:rPr>
        <w:t xml:space="preserve">P. </w:t>
      </w:r>
      <w:proofErr w:type="spellStart"/>
      <w:r w:rsidRPr="0057176F">
        <w:rPr>
          <w:rFonts w:ascii="Times New Roman" w:hAnsi="Times New Roman" w:cs="Times New Roman"/>
          <w:i/>
          <w:iCs/>
          <w:sz w:val="24"/>
          <w:szCs w:val="24"/>
        </w:rPr>
        <w:t>xyslostella</w:t>
      </w:r>
      <w:proofErr w:type="spellEnd"/>
      <w:r w:rsidRPr="0057176F">
        <w:rPr>
          <w:rFonts w:ascii="Times New Roman" w:hAnsi="Times New Roman" w:cs="Times New Roman"/>
          <w:i/>
          <w:iCs/>
          <w:sz w:val="24"/>
          <w:szCs w:val="24"/>
        </w:rPr>
        <w:t xml:space="preserve"> </w:t>
      </w:r>
      <w:r w:rsidRPr="0057176F">
        <w:rPr>
          <w:rFonts w:ascii="Times New Roman" w:hAnsi="Times New Roman" w:cs="Times New Roman"/>
          <w:sz w:val="24"/>
          <w:szCs w:val="24"/>
        </w:rPr>
        <w:t xml:space="preserve">can cause defoliation of </w:t>
      </w:r>
      <w:r w:rsidRPr="0057176F">
        <w:rPr>
          <w:rFonts w:ascii="Times New Roman" w:hAnsi="Times New Roman" w:cs="Times New Roman"/>
          <w:i/>
          <w:iCs/>
          <w:sz w:val="24"/>
          <w:szCs w:val="24"/>
        </w:rPr>
        <w:t xml:space="preserve">Brassica </w:t>
      </w:r>
      <w:r w:rsidRPr="0057176F">
        <w:rPr>
          <w:rFonts w:ascii="Times New Roman" w:hAnsi="Times New Roman" w:cs="Times New Roman"/>
          <w:sz w:val="24"/>
          <w:szCs w:val="24"/>
        </w:rPr>
        <w:t xml:space="preserve">plants in the field. Plant secondary metabolites </w:t>
      </w:r>
      <w:r>
        <w:rPr>
          <w:rFonts w:ascii="Times New Roman" w:hAnsi="Times New Roman" w:cs="Times New Roman"/>
          <w:sz w:val="24"/>
          <w:szCs w:val="24"/>
        </w:rPr>
        <w:t xml:space="preserve">of </w:t>
      </w:r>
      <w:r w:rsidRPr="00F06945">
        <w:rPr>
          <w:rFonts w:ascii="Times New Roman" w:hAnsi="Times New Roman" w:cs="Times New Roman"/>
          <w:sz w:val="24"/>
          <w:szCs w:val="24"/>
        </w:rPr>
        <w:t>Brassicaceae,</w:t>
      </w:r>
      <w:r>
        <w:rPr>
          <w:rFonts w:ascii="Times New Roman" w:hAnsi="Times New Roman" w:cs="Times New Roman"/>
          <w:i/>
          <w:sz w:val="24"/>
          <w:szCs w:val="24"/>
        </w:rPr>
        <w:t xml:space="preserve"> i.e. </w:t>
      </w:r>
      <w:r w:rsidRPr="0057176F">
        <w:rPr>
          <w:rFonts w:ascii="Times New Roman" w:hAnsi="Times New Roman" w:cs="Times New Roman"/>
          <w:sz w:val="24"/>
          <w:szCs w:val="24"/>
        </w:rPr>
        <w:t xml:space="preserve">glucosinolates (GLSs) serve as important cues for </w:t>
      </w:r>
      <w:r w:rsidRPr="0057176F">
        <w:rPr>
          <w:rFonts w:ascii="Times New Roman" w:hAnsi="Times New Roman" w:cs="Times New Roman"/>
          <w:i/>
          <w:sz w:val="24"/>
          <w:szCs w:val="24"/>
        </w:rPr>
        <w:t xml:space="preserve">P. </w:t>
      </w:r>
      <w:proofErr w:type="spellStart"/>
      <w:r w:rsidRPr="0057176F">
        <w:rPr>
          <w:rFonts w:ascii="Times New Roman" w:hAnsi="Times New Roman" w:cs="Times New Roman"/>
          <w:i/>
          <w:sz w:val="24"/>
          <w:szCs w:val="24"/>
        </w:rPr>
        <w:t>xylostella</w:t>
      </w:r>
      <w:proofErr w:type="spellEnd"/>
      <w:r w:rsidRPr="0057176F">
        <w:rPr>
          <w:rFonts w:ascii="Times New Roman" w:hAnsi="Times New Roman" w:cs="Times New Roman"/>
          <w:sz w:val="24"/>
          <w:szCs w:val="24"/>
        </w:rPr>
        <w:t xml:space="preserve"> preference and performance</w:t>
      </w:r>
      <w:r>
        <w:rPr>
          <w:rFonts w:ascii="Times New Roman" w:hAnsi="Times New Roman" w:cs="Times New Roman"/>
          <w:sz w:val="24"/>
          <w:szCs w:val="24"/>
        </w:rPr>
        <w:t xml:space="preserve"> as caterpillars are biochemically adapted to feed and adult moths are lured to oviposit on GLSs-containing plants</w:t>
      </w:r>
      <w:r w:rsidRPr="0057176F">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{"citationID":"WowqxmJb","properties":{"formattedCitation":"(Chen et al., 2020; Ratzka et al., 2002; Robin et al., 2017; Sun et al., 2009)","plainCitation":"(Chen et al., 2020; Ratzka et al., 2002; Robin et al., 2017; Sun et al., 2009)","noteIndex":0},"citationItems":[{"id":704,"uris":["http://zotero.org/users/10895598/items/JB2XG3KV"],"itemData":{"id":704,"type":"article-journal","container-title":"Insect Biochemistry and Molecular Biology","DOI":"10.1016/j.ibmb.2020.103316","ISSN":"09651748","journalAbbreviation":"Insect Biochemistry and Molecular Biology","language":"en","page":"103316","source":"DOI.org (Crossref)","title":"Functions of duplicated glucosinolate sulfatases in the development and host adaptation of &lt;i&gt;Plutella xylostella&lt;/i&gt;","volume":"119","author":[{"family":"Chen","given":"Wei"},{"family":"Dong","given":"Yuhong"},{"family":"Saqib","given":"Hafiz Sohaib Ahmed"},{"family":"Vasseur","given":"Liette"},{"family":"Zhou","given":"Wenwu"},{"family":"Zheng","given":"Ling"},{"family":"Lai","given":"Yingfang"},{"family":"Ma","given":"Xiaoli"},{"family":"Lin","given":"Lianyun"},{"family":"Xu","given":"Xuejiao"},{"family":"Bai","given":"Jianlin"},{"family":"He","given":"Weiyi"},{"family":"You","given":"Minsheng"}],"issued":{"date-parts":[["2020",4]]}}},{"id":243,"uris":["http://zotero.org/users/10895598/items/WRAYTVZB"],"itemData":{"id":243,"type":"article-journal","container-title":"Proceedings of the National Academy of Sciences","DOI":"10.1073/pnas.172112899","ISSN":"0027-8424, 1091-6490","issue":"17","journalAbbreviation":"Proceedings of the National Academy of Sciences","language":"en","page":"11223-11228","source":"DOI.org (Crossref)","title":"Disarming the mustard oil bomb","volume":"99","author":[{"family":"Ratzka","given":"A."},{"family":"Vogel","given":"H."},{"family":"Kliebenstein","given":"D. J."},{"family":"Mitchell-Olds","given":"T."},{"family":"Kroymann","given":"J."}],"issued":{"date-parts":[["2002",8,20]]}}},{"id":157,"uris":["http://zotero.</w:instrText>
      </w:r>
      <w:r w:rsidRPr="00E65DA3">
        <w:rPr>
          <w:rFonts w:ascii="Times New Roman" w:hAnsi="Times New Roman" w:cs="Times New Roman"/>
          <w:sz w:val="24"/>
          <w:szCs w:val="24"/>
          <w:lang w:val="es-VE"/>
          <w:rPrChange w:id="27" w:author="Nikoleta Rubil" w:date="2024-05-28T23:57:00Z" w16du:dateUtc="2024-05-28T21:57:00Z">
            <w:rPr>
              <w:rFonts w:ascii="Times New Roman" w:hAnsi="Times New Roman" w:cs="Times New Roman"/>
              <w:sz w:val="24"/>
              <w:szCs w:val="24"/>
            </w:rPr>
          </w:rPrChange>
        </w:rPr>
        <w:instrText>org/users/10895598/items/CHVLQSS3"],"itemData":{"id":157,"type":"article-journal","container-title":"Frontiers in Plant Science","DOI":"10.3389/fpls.2017.01244","ISSN":"1664-462X","journalAbbreviation":"Front. Plant Sci.","page":"1244","source":"DOI.org (Crossref)","title":"Glucosinolate profiles in cabbage genotypes influence the preferential feeding of diamondback moth (&lt;i&gt;Plutella xylostella&lt;/i&gt;)","volume":"8","author":[{"family":"Robin","given":"Arif Hasan Khan"},{"family":"Hossain","given":"Mohammad Rashed"},{"family":"Park","given":"Jong-In"},{"family":"Kim","given":"Hye R."},{"family":"Nou","gi</w:instrText>
      </w:r>
      <w:r w:rsidRPr="00E65DA3">
        <w:rPr>
          <w:rFonts w:ascii="Times New Roman" w:hAnsi="Times New Roman" w:cs="Times New Roman"/>
          <w:sz w:val="24"/>
          <w:szCs w:val="24"/>
          <w:lang w:val="es-VE"/>
        </w:rPr>
        <w:instrText>ve</w:instrText>
      </w:r>
      <w:r w:rsidRPr="00F06945">
        <w:rPr>
          <w:rFonts w:ascii="Times New Roman" w:hAnsi="Times New Roman" w:cs="Times New Roman"/>
          <w:sz w:val="24"/>
          <w:szCs w:val="24"/>
          <w:lang w:val="es-VE"/>
        </w:rPr>
        <w:instrText xml:space="preserve">n":"Ill-Sup"}],"issued":{"date-parts":[["2017",7,18]]}}},{"id":68,"uris":["http://zotero.org/users/10895598/items/7CZ38FYP"],"itemData":{"id":68,"type":"article-journal","container-title":"Journal of Chemical Ecology","DOI":"10.1007/s10886-009-9723-4","ISSN":"0098-0331, 1573-1561","issue":"12","journalAbbreviation":"J Chem Ecol","language":"en","page":"1427-1436","source":"DOI.org (Crossref)","title":"Non-volatile intact indole glucosinolates are host recognition cues for ovipositing &lt;i&gt;Plutella xylostella&lt;/i&gt;","volume":"35","author":[{"family":"Sun","given":"Joel Y."},{"family":"Sønderby","given":"Ida E."},{"family":"Halkier","given":"Barbara A."},{"family":"Jander","given":"Georg"},{"family":"Vos","given":"Martin","non-dropping-particle":"de"}],"issued":{"date-parts":[["2009",12]]}}}],"schema":"https://github.com/citation-style-language/schema/raw/master/csl-citation.json"} </w:instrText>
      </w:r>
      <w:r>
        <w:rPr>
          <w:rFonts w:ascii="Times New Roman" w:hAnsi="Times New Roman" w:cs="Times New Roman"/>
          <w:sz w:val="24"/>
          <w:szCs w:val="24"/>
        </w:rPr>
        <w:fldChar w:fldCharType="separate"/>
      </w:r>
      <w:r w:rsidRPr="00F06945">
        <w:rPr>
          <w:rFonts w:ascii="Times New Roman" w:hAnsi="Times New Roman" w:cs="Times New Roman"/>
          <w:sz w:val="24"/>
          <w:lang w:val="es-VE"/>
        </w:rPr>
        <w:t>(Chen et al., 2020; Ratzka et al., 2002; Robin et al., 2017; Sun et al., 2009)</w:t>
      </w:r>
      <w:r>
        <w:rPr>
          <w:rFonts w:ascii="Times New Roman" w:hAnsi="Times New Roman" w:cs="Times New Roman"/>
          <w:sz w:val="24"/>
          <w:szCs w:val="24"/>
        </w:rPr>
        <w:fldChar w:fldCharType="end"/>
      </w:r>
      <w:r w:rsidRPr="00F06945">
        <w:rPr>
          <w:rFonts w:ascii="Times New Roman" w:hAnsi="Times New Roman" w:cs="Times New Roman"/>
          <w:sz w:val="24"/>
          <w:szCs w:val="24"/>
          <w:lang w:val="es-VE"/>
        </w:rPr>
        <w:t xml:space="preserve">. </w:t>
      </w:r>
      <w:r w:rsidRPr="0057176F">
        <w:rPr>
          <w:rFonts w:ascii="Times New Roman" w:hAnsi="Times New Roman" w:cs="Times New Roman"/>
          <w:sz w:val="24"/>
          <w:szCs w:val="24"/>
        </w:rPr>
        <w:t xml:space="preserve">Along with GLSs, volatile organic compounds (VOCs) play a major role in </w:t>
      </w:r>
      <w:r w:rsidRPr="0057176F">
        <w:rPr>
          <w:rFonts w:ascii="Times New Roman" w:hAnsi="Times New Roman" w:cs="Times New Roman"/>
          <w:color w:val="212121"/>
          <w:sz w:val="24"/>
          <w:szCs w:val="24"/>
        </w:rPr>
        <w:t xml:space="preserve">moth choice for the acceptable plant to oviposit as they strongly respond to olfactory cues </w:t>
      </w:r>
      <w:r>
        <w:rPr>
          <w:rFonts w:ascii="Times New Roman" w:hAnsi="Times New Roman" w:cs="Times New Roman"/>
          <w:color w:val="212121"/>
          <w:sz w:val="24"/>
          <w:szCs w:val="24"/>
        </w:rPr>
        <w:fldChar w:fldCharType="begin"/>
      </w:r>
      <w:r>
        <w:rPr>
          <w:rFonts w:ascii="Times New Roman" w:hAnsi="Times New Roman" w:cs="Times New Roman"/>
          <w:color w:val="212121"/>
          <w:sz w:val="24"/>
          <w:szCs w:val="24"/>
        </w:rPr>
        <w:instrText xml:space="preserve"> ADDIN ZOTERO_ITEM CSL_CITATION {"citationID":"J9wPTDBQ","properties":{"formattedCitation":"(Hussain et al., 2020; Liu et al., 2020; Renwick et al., 2006)","plainCitation":"(Hussain et al., 2020; Liu et al., 2020; Renwick et al., 2006)","noteIndex":0},"citationItems":[{"id":239,"uris":["http://zotero.org/users/10895598/items/CH4Z8H67"],"itemData":{"id":239,"type":"article-journal","abstract":"The diamondback moth (DBM) is a destructive pest of crucifer crops. In this study, DBM larvae shown to herbivore induced plant volatiles (HIPVs) that were attractive to adult females exposed in a Y-tube olfactometer. Our results showed that olfactory responses of adult females to HIPVs induced by third instar larvae feeding on Barbarea vulgaris were significantly higher (20.40 ± 1.78; mean moths (%) ± SD) than those induced by first instar larvae (14.80 ± 1.86; mean moths (%) ± SD). Meanwhile, a significant concentration of Sulphur-containing isothiocyanate, 3-methylsulfinylpropyl isothiocyanate, and 4-methylsulfinyl-3-butenyl isothiocyanate were detected in HIPVs released by third instar larvae compared to those released by first instar larvae while feeding on B. vulgaris. When the DBM females were exposed to synthetic chemicals, singly and in blend form, a similar response was observed as to natural HIPVs. Our study demonstrated that the relationship between isothiocyanates acting as plant defense compounds, host plant cues emission and regulation of the DBM adult female behavior due to key volatile triggered by the DBM larvae feeding on B. vulgaris.","container-title":"Insects","DOI":"10.3390/insects11110725","ISSN":"2075-4450","issue":"11","journalAbbreviation":"Insects","language":"en","page":"725","source":"DOI.org (Crossref)","title":"Diamondback moth larvae trigger host plant volatiles that lure its adult females for oviposition","volume":"11","author":[{"family":"Hussain","given":"Mubasher"},{"family":"Gao","given":"Jing"},{"family":"Bano","given":"Summyya"},{"family":"Wang","given":"Liande"},{"family":"Lin","given":"Yongwen"},{"family":"Arthurs","given":"Steve"},{"family":"Qasim","given":"Muhammad"},{"family":"Mao","given":"Runqian"}],"issued":{"date-parts":[["2020",10,23]]}}},{"id":256,"uris":["http://zotero.org/users/10895598/items/4KHRB68H"],"itemData":{"id":256,"type":"article-journal","container-title":"Current Biology","DOI":"10.1016/j.cub.2020.08.047","ISSN":"09609822","issue":"22","journalAbbreviation":"Current Biology","language":"en","page":"4476-4482.e5","source":"DOI.org (Crossref)","title":"The molecular basis of host selection in a crucifer-specialized moth","volume":"30","author":[{"family":"Liu","given":"Xiao-Long"},{"family":"Zhang","given":"Jin"},{"family":"Yan","given":"Qi"},{"family":"Miao","given":"Chun-Li"},{"family":"Han","given":"Wei-Kang"},{"family":"Hou","given":"Wen"},{"family":"Yang","given":"Ke"},{"family":"Hansson","given":"Bill S."},{"family":"Peng","given":"Ying-Chuan"},{"family":"Guo","given":"Jin-Meng"},{"family":"Xu","given":"Hao"},{"family":"Wang","given":"Chen-Zhu"},{"family":"Dong","given":"Shuang-Lin"},{"family":"Knaden","given":"Markus"}],"issued":{"date-parts":[["2020",11]]}}},{"id":241,"uris":["http://zotero.org/users/10895598/items/ZEJCXDUZ"],"itemData":{"id":241,"type":"article-journal","container-title":"Journal of Chemical Ecology","DOI":"10.1007/s10886-006-9036-9","ISSN":"0098-0331, 1573-1561","issue":"4","journalAbbreviation":"J Chem Ecol","language":"en","page":"755-766","source":"DOI.org (Crossref)","title":"Isothiocyanates stimulating oviposition by the diamondback moth, &lt;i&gt;Plutella xylostella&lt;/i&gt;","volume":"32","author":[{"family":"Renwick","given":"J. Alan A."},{"family":"Haribal","given":"Meena"},{"family":"Gouinguené","given":"Sandrine"},{"family":"Städler","given":"Erich"}],"issued":{"date-parts":[["2006",4]]}}}],"schema":"https://github.com/citation-style-language/schema/raw/master/csl-citation.json"} </w:instrText>
      </w:r>
      <w:r>
        <w:rPr>
          <w:rFonts w:ascii="Times New Roman" w:hAnsi="Times New Roman" w:cs="Times New Roman"/>
          <w:color w:val="212121"/>
          <w:sz w:val="24"/>
          <w:szCs w:val="24"/>
        </w:rPr>
        <w:fldChar w:fldCharType="separate"/>
      </w:r>
      <w:r w:rsidRPr="0057176F">
        <w:rPr>
          <w:rFonts w:ascii="Times New Roman" w:hAnsi="Times New Roman" w:cs="Times New Roman"/>
          <w:sz w:val="24"/>
        </w:rPr>
        <w:t>(Hussain et al., 2020; Liu et al., 2020; Renwick et al., 2006)</w:t>
      </w:r>
      <w:r>
        <w:rPr>
          <w:rFonts w:ascii="Times New Roman" w:hAnsi="Times New Roman" w:cs="Times New Roman"/>
          <w:color w:val="212121"/>
          <w:sz w:val="24"/>
          <w:szCs w:val="24"/>
        </w:rPr>
        <w:fldChar w:fldCharType="end"/>
      </w:r>
      <w:r>
        <w:rPr>
          <w:rFonts w:ascii="Times New Roman" w:hAnsi="Times New Roman" w:cs="Times New Roman"/>
          <w:color w:val="212121"/>
          <w:sz w:val="24"/>
          <w:szCs w:val="24"/>
        </w:rPr>
        <w:t xml:space="preserve">. </w:t>
      </w:r>
      <w:r w:rsidRPr="0057176F">
        <w:rPr>
          <w:rFonts w:ascii="Times New Roman" w:hAnsi="Times New Roman" w:cs="Times New Roman"/>
          <w:sz w:val="24"/>
          <w:szCs w:val="24"/>
        </w:rPr>
        <w:t xml:space="preserve">For </w:t>
      </w:r>
      <w:r>
        <w:rPr>
          <w:rFonts w:ascii="Times New Roman" w:hAnsi="Times New Roman" w:cs="Times New Roman"/>
          <w:sz w:val="24"/>
          <w:szCs w:val="24"/>
        </w:rPr>
        <w:t xml:space="preserve">the </w:t>
      </w:r>
      <w:r w:rsidRPr="0057176F">
        <w:rPr>
          <w:rFonts w:ascii="Times New Roman" w:hAnsi="Times New Roman" w:cs="Times New Roman"/>
          <w:sz w:val="24"/>
          <w:szCs w:val="24"/>
        </w:rPr>
        <w:t xml:space="preserve">larval stage, gustatory stimuli, </w:t>
      </w:r>
      <w:r w:rsidRPr="0057176F">
        <w:rPr>
          <w:rFonts w:ascii="Times New Roman" w:hAnsi="Times New Roman" w:cs="Times New Roman"/>
          <w:i/>
          <w:sz w:val="24"/>
          <w:szCs w:val="24"/>
        </w:rPr>
        <w:t xml:space="preserve">i.e. </w:t>
      </w:r>
      <w:r w:rsidRPr="0057176F">
        <w:rPr>
          <w:rFonts w:ascii="Times New Roman" w:hAnsi="Times New Roman" w:cs="Times New Roman"/>
          <w:sz w:val="24"/>
          <w:szCs w:val="24"/>
        </w:rPr>
        <w:t>GLSs</w:t>
      </w:r>
      <w:r>
        <w:rPr>
          <w:rFonts w:ascii="Times New Roman" w:hAnsi="Times New Roman" w:cs="Times New Roman"/>
          <w:sz w:val="24"/>
          <w:szCs w:val="24"/>
        </w:rPr>
        <w:t xml:space="preserve"> </w:t>
      </w:r>
      <w:r w:rsidRPr="0057176F">
        <w:rPr>
          <w:rFonts w:ascii="Times New Roman" w:hAnsi="Times New Roman" w:cs="Times New Roman"/>
          <w:sz w:val="24"/>
          <w:szCs w:val="24"/>
        </w:rPr>
        <w:t xml:space="preserve">are more important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{"citationID":"COIo1FGb","properties":{"formattedCitation":"(Robin et al., 2017)","plainCitation":"(Robin et al., 2017)","noteIndex":0},"citationItems":[{"id":157,"uris":["http://zotero.org/users/10895598/items/CHVLQSS3"],"itemData":{"id":157,"type":"article-journal","container-title":"Frontiers in Plant Science","DOI":"10.3389/fpls.2017.01244","ISSN":"1664-462X","journalAbbreviation":"Front. Plant Sci.","page":"1244","source":"DOI.org (Crossref)","title":"Glucosinolate profiles in cabbage genotypes influence the preferential feeding of diamondback moth (&lt;i&gt;Plutella xylostella&lt;/i&gt;)","volume":"8","author":[{"family":"Robin","given":"Arif Hasan Khan"},{"family":"Hossain","given":"Mohammad Rashed"},{"family":"Park","given":"Jong-In"},{"family":"Kim","given":"Hye R."},{"family":"Nou","given":"Ill-Sup"}],"issued":{"date-parts":[["2017",7,18]]}}}],"schema":"https://github.com/citation-style-language/schema/raw/master/csl-citation.json"} </w:instrText>
      </w:r>
      <w:r>
        <w:rPr>
          <w:rFonts w:ascii="Times New Roman" w:hAnsi="Times New Roman" w:cs="Times New Roman"/>
          <w:sz w:val="24"/>
          <w:szCs w:val="24"/>
        </w:rPr>
        <w:fldChar w:fldCharType="separate"/>
      </w:r>
      <w:r w:rsidRPr="0057176F">
        <w:rPr>
          <w:rFonts w:ascii="Times New Roman" w:hAnsi="Times New Roman" w:cs="Times New Roman"/>
          <w:sz w:val="24"/>
        </w:rPr>
        <w:t>(Robin et al., 2017)</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57176F">
        <w:rPr>
          <w:rFonts w:ascii="Times New Roman" w:hAnsi="Times New Roman" w:cs="Times New Roman"/>
          <w:sz w:val="24"/>
          <w:szCs w:val="24"/>
        </w:rPr>
        <w:t>and larvae are also able to choose food and move from one spot to another</w:t>
      </w:r>
      <w:r w:rsidRPr="0057176F">
        <w:rPr>
          <w:rFonts w:ascii="Times New Roman" w:hAnsi="Times New Roman" w:cs="Times New Roman"/>
          <w:sz w:val="24"/>
          <w:szCs w:val="24"/>
          <w:vertAlign w:val="superscript"/>
        </w:rPr>
        <w:t xml:space="preserve"> </w:t>
      </w:r>
      <w:r w:rsidRPr="0057176F">
        <w:rPr>
          <w:rFonts w:ascii="Times New Roman" w:hAnsi="Times New Roman" w:cs="Times New Roman"/>
          <w:sz w:val="24"/>
          <w:szCs w:val="24"/>
        </w:rPr>
        <w:t xml:space="preserve">(Zhu et al., 2022). Exogenously applied plant hormones or plant defence responses induced by previous attackers may also play a role in </w:t>
      </w:r>
      <w:r w:rsidRPr="0057176F">
        <w:rPr>
          <w:rFonts w:ascii="Times New Roman" w:hAnsi="Times New Roman" w:cs="Times New Roman"/>
          <w:i/>
          <w:sz w:val="24"/>
          <w:szCs w:val="24"/>
        </w:rPr>
        <w:t xml:space="preserve">P. </w:t>
      </w:r>
      <w:proofErr w:type="spellStart"/>
      <w:r w:rsidRPr="0057176F">
        <w:rPr>
          <w:rFonts w:ascii="Times New Roman" w:hAnsi="Times New Roman" w:cs="Times New Roman"/>
          <w:i/>
          <w:sz w:val="24"/>
          <w:szCs w:val="24"/>
        </w:rPr>
        <w:t>xylostella</w:t>
      </w:r>
      <w:proofErr w:type="spellEnd"/>
      <w:r w:rsidRPr="0057176F">
        <w:rPr>
          <w:rFonts w:ascii="Times New Roman" w:hAnsi="Times New Roman" w:cs="Times New Roman"/>
          <w:i/>
          <w:sz w:val="24"/>
          <w:szCs w:val="24"/>
        </w:rPr>
        <w:t xml:space="preserve"> </w:t>
      </w:r>
      <w:r w:rsidRPr="0057176F">
        <w:rPr>
          <w:rFonts w:ascii="Times New Roman" w:hAnsi="Times New Roman" w:cs="Times New Roman"/>
          <w:sz w:val="24"/>
          <w:szCs w:val="24"/>
        </w:rPr>
        <w:t>behaviour. Nouri-</w:t>
      </w:r>
      <w:proofErr w:type="spellStart"/>
      <w:r w:rsidRPr="0057176F">
        <w:rPr>
          <w:rFonts w:ascii="Times New Roman" w:hAnsi="Times New Roman" w:cs="Times New Roman"/>
          <w:sz w:val="24"/>
          <w:szCs w:val="24"/>
        </w:rPr>
        <w:t>Ganbalani</w:t>
      </w:r>
      <w:proofErr w:type="spellEnd"/>
      <w:r w:rsidRPr="0057176F">
        <w:rPr>
          <w:rFonts w:ascii="Times New Roman" w:hAnsi="Times New Roman" w:cs="Times New Roman"/>
          <w:sz w:val="24"/>
          <w:szCs w:val="24"/>
        </w:rPr>
        <w:t xml:space="preserve"> et al. (2018) found that </w:t>
      </w:r>
      <w:r w:rsidRPr="0057176F">
        <w:rPr>
          <w:rFonts w:ascii="Times New Roman" w:hAnsi="Times New Roman" w:cs="Times New Roman"/>
          <w:i/>
          <w:sz w:val="24"/>
          <w:szCs w:val="24"/>
        </w:rPr>
        <w:t xml:space="preserve">B. napus </w:t>
      </w:r>
      <w:r w:rsidRPr="0057176F">
        <w:rPr>
          <w:rFonts w:ascii="Times New Roman" w:hAnsi="Times New Roman" w:cs="Times New Roman"/>
          <w:sz w:val="24"/>
          <w:szCs w:val="24"/>
        </w:rPr>
        <w:t xml:space="preserve">plants previously treated with synthetic JA or pre-infested by a specialist aphid </w:t>
      </w:r>
      <w:r w:rsidRPr="0057176F">
        <w:rPr>
          <w:rFonts w:ascii="Times New Roman" w:hAnsi="Times New Roman" w:cs="Times New Roman"/>
          <w:i/>
          <w:sz w:val="24"/>
          <w:szCs w:val="24"/>
        </w:rPr>
        <w:t>B</w:t>
      </w:r>
      <w:r w:rsidR="00447AF6">
        <w:rPr>
          <w:rFonts w:ascii="Times New Roman" w:hAnsi="Times New Roman" w:cs="Times New Roman"/>
          <w:i/>
          <w:sz w:val="24"/>
          <w:szCs w:val="24"/>
        </w:rPr>
        <w:t>.</w:t>
      </w:r>
      <w:r w:rsidRPr="0057176F">
        <w:rPr>
          <w:rFonts w:ascii="Times New Roman" w:hAnsi="Times New Roman" w:cs="Times New Roman"/>
          <w:i/>
          <w:sz w:val="24"/>
          <w:szCs w:val="24"/>
        </w:rPr>
        <w:t xml:space="preserve"> </w:t>
      </w:r>
      <w:proofErr w:type="spellStart"/>
      <w:r w:rsidRPr="0057176F">
        <w:rPr>
          <w:rFonts w:ascii="Times New Roman" w:hAnsi="Times New Roman" w:cs="Times New Roman"/>
          <w:i/>
          <w:sz w:val="24"/>
          <w:szCs w:val="24"/>
        </w:rPr>
        <w:t>brassicae</w:t>
      </w:r>
      <w:proofErr w:type="spellEnd"/>
      <w:r w:rsidRPr="0057176F">
        <w:rPr>
          <w:rFonts w:ascii="Times New Roman" w:hAnsi="Times New Roman" w:cs="Times New Roman"/>
          <w:i/>
          <w:sz w:val="24"/>
          <w:szCs w:val="24"/>
        </w:rPr>
        <w:t xml:space="preserve"> </w:t>
      </w:r>
      <w:r w:rsidRPr="0057176F">
        <w:rPr>
          <w:rFonts w:ascii="Times New Roman" w:hAnsi="Times New Roman" w:cs="Times New Roman"/>
          <w:sz w:val="24"/>
          <w:szCs w:val="24"/>
        </w:rPr>
        <w:t xml:space="preserve">significantly affected the activity of GOX by </w:t>
      </w:r>
      <w:r w:rsidRPr="0057176F">
        <w:rPr>
          <w:rFonts w:ascii="Times New Roman" w:hAnsi="Times New Roman" w:cs="Times New Roman"/>
          <w:i/>
          <w:sz w:val="24"/>
          <w:szCs w:val="24"/>
        </w:rPr>
        <w:t xml:space="preserve">P. </w:t>
      </w:r>
      <w:proofErr w:type="spellStart"/>
      <w:r w:rsidRPr="0057176F">
        <w:rPr>
          <w:rFonts w:ascii="Times New Roman" w:hAnsi="Times New Roman" w:cs="Times New Roman"/>
          <w:i/>
          <w:sz w:val="24"/>
          <w:szCs w:val="24"/>
        </w:rPr>
        <w:t>xylostella</w:t>
      </w:r>
      <w:proofErr w:type="spellEnd"/>
      <w:r w:rsidRPr="0057176F">
        <w:rPr>
          <w:rFonts w:ascii="Times New Roman" w:hAnsi="Times New Roman" w:cs="Times New Roman"/>
          <w:i/>
          <w:sz w:val="24"/>
          <w:szCs w:val="24"/>
        </w:rPr>
        <w:t xml:space="preserve"> </w:t>
      </w:r>
      <w:r w:rsidRPr="0057176F">
        <w:rPr>
          <w:rFonts w:ascii="Times New Roman" w:hAnsi="Times New Roman" w:cs="Times New Roman"/>
          <w:sz w:val="24"/>
          <w:szCs w:val="24"/>
        </w:rPr>
        <w:t>caterpillars: higher activity was detected on pre-treated compared to non-treated plants in both scenarios.</w:t>
      </w:r>
    </w:p>
    <w:p w14:paraId="6338DD4E" w14:textId="1ACD12DF" w:rsidR="00007653" w:rsidRPr="0057176F" w:rsidRDefault="0074184F" w:rsidP="0074184F">
      <w:pPr>
        <w:rPr>
          <w:rFonts w:ascii="Times New Roman" w:hAnsi="Times New Roman" w:cs="Times New Roman"/>
          <w:sz w:val="24"/>
          <w:szCs w:val="24"/>
        </w:rPr>
      </w:pPr>
      <w:r>
        <w:rPr>
          <w:rFonts w:ascii="Times New Roman" w:hAnsi="Times New Roman" w:cs="Times New Roman"/>
          <w:sz w:val="24"/>
          <w:szCs w:val="24"/>
        </w:rPr>
        <w:br w:type="page"/>
      </w:r>
    </w:p>
    <w:p w14:paraId="319C2228" w14:textId="77777777" w:rsidR="00007653" w:rsidRPr="00E7693B" w:rsidRDefault="00007653" w:rsidP="006B61C5">
      <w:pPr>
        <w:pStyle w:val="Heading2"/>
      </w:pPr>
      <w:bookmarkStart w:id="28" w:name="_Toc167977601"/>
      <w:r w:rsidRPr="00E7693B">
        <w:lastRenderedPageBreak/>
        <w:t>Piercing-sucking insect herbivores</w:t>
      </w:r>
      <w:bookmarkEnd w:id="28"/>
    </w:p>
    <w:p w14:paraId="4DD730DF" w14:textId="77777777" w:rsidR="00007653" w:rsidRPr="001274B0" w:rsidRDefault="00007653" w:rsidP="00007653">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14:paraId="537ABAC5" w14:textId="77777777" w:rsidR="00007653" w:rsidRPr="001274B0" w:rsidRDefault="00007653" w:rsidP="00007653">
      <w:pPr>
        <w:pBdr>
          <w:top w:val="nil"/>
          <w:left w:val="nil"/>
          <w:bottom w:val="nil"/>
          <w:right w:val="nil"/>
          <w:between w:val="nil"/>
        </w:pBdr>
        <w:spacing w:after="0" w:line="360" w:lineRule="auto"/>
        <w:ind w:firstLine="720"/>
        <w:jc w:val="both"/>
        <w:rPr>
          <w:rFonts w:ascii="Times New Roman" w:hAnsi="Times New Roman" w:cs="Times New Roman"/>
          <w:color w:val="000000"/>
          <w:sz w:val="24"/>
          <w:szCs w:val="24"/>
        </w:rPr>
      </w:pPr>
      <w:r w:rsidRPr="001274B0">
        <w:rPr>
          <w:rFonts w:ascii="Times New Roman" w:hAnsi="Times New Roman" w:cs="Times New Roman"/>
          <w:color w:val="000000"/>
          <w:sz w:val="24"/>
          <w:szCs w:val="24"/>
        </w:rPr>
        <w:t xml:space="preserve">Aphids, </w:t>
      </w:r>
      <w:r>
        <w:rPr>
          <w:rFonts w:ascii="Times New Roman" w:hAnsi="Times New Roman" w:cs="Times New Roman"/>
          <w:color w:val="000000"/>
          <w:sz w:val="24"/>
          <w:szCs w:val="24"/>
        </w:rPr>
        <w:t>among</w:t>
      </w:r>
      <w:r w:rsidRPr="001274B0">
        <w:rPr>
          <w:rFonts w:ascii="Times New Roman" w:hAnsi="Times New Roman" w:cs="Times New Roman"/>
          <w:color w:val="000000"/>
          <w:sz w:val="24"/>
          <w:szCs w:val="24"/>
        </w:rPr>
        <w:t xml:space="preserve"> the most important phloem-sap feeders, can achieve high population densities, transmit viral pathogens and cause severe damage </w:t>
      </w:r>
      <w:r w:rsidRPr="001274B0">
        <w:rPr>
          <w:rFonts w:ascii="Times New Roman" w:hAnsi="Times New Roman" w:cs="Times New Roman"/>
          <w:sz w:val="24"/>
          <w:szCs w:val="24"/>
        </w:rPr>
        <w:t xml:space="preserve">on various </w:t>
      </w:r>
      <w:r w:rsidRPr="001274B0">
        <w:rPr>
          <w:rFonts w:ascii="Times New Roman" w:hAnsi="Times New Roman" w:cs="Times New Roman"/>
          <w:color w:val="000000"/>
          <w:sz w:val="24"/>
          <w:szCs w:val="24"/>
        </w:rPr>
        <w:t>crops worldwide</w:t>
      </w:r>
      <w:r>
        <w:rPr>
          <w:rFonts w:ascii="Times New Roman" w:hAnsi="Times New Roman" w:cs="Times New Roman"/>
          <w:color w:val="000000"/>
          <w:sz w:val="24"/>
          <w:szCs w:val="24"/>
        </w:rPr>
        <w:t xml:space="preserve">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ZOTERO_ITEM CSL_CITATION {"citationID":"SbkFobj3","properties":{"formattedCitation":"(Singh and Singh, 2021)","plainCitation":"(Singh and Singh, 2021)","noteIndex":0},"citationItems":[{"id":703,"uris":["http://zotero.org/users/10895598/items/D6JKJ2H3"],"itemData":{"id":703,"type":"chapter","container-title":"Polyphagous Pests of Crops","event-place":"Singapore","ISBN":"9789811580741","language":"en","note":"DOI: 10.1007/978-981-15-8075-8_3","page":"105-182","publisher":"Springer Singapore","publisher-place":"Singapore","source":"DOI.org (Crossref)","title":"Aphids","URL":"https://link.springer.com/10.1007/978-981-15-8075-8_3","editor":[{"literal":"Omkar"}],"author":[{"family":"Singh","given":"Rajendra"},{"family":"Singh","given":"Garima"}],"accessed":{"date-parts":[["2024",5,23]]},"issued":{"date-parts":[["2021"]]}}}],"schema":"https://github.com/citation-style-language/schema/raw/master/csl-citation.json"} </w:instrText>
      </w:r>
      <w:r>
        <w:rPr>
          <w:rFonts w:ascii="Times New Roman" w:hAnsi="Times New Roman" w:cs="Times New Roman"/>
          <w:color w:val="000000"/>
          <w:sz w:val="24"/>
          <w:szCs w:val="24"/>
        </w:rPr>
        <w:fldChar w:fldCharType="separate"/>
      </w:r>
      <w:r w:rsidRPr="002B7909">
        <w:rPr>
          <w:rFonts w:ascii="Times New Roman" w:hAnsi="Times New Roman" w:cs="Times New Roman"/>
          <w:sz w:val="24"/>
        </w:rPr>
        <w:t>(Singh and Singh, 2021)</w:t>
      </w:r>
      <w:r>
        <w:rPr>
          <w:rFonts w:ascii="Times New Roman" w:hAnsi="Times New Roman" w:cs="Times New Roman"/>
          <w:color w:val="000000"/>
          <w:sz w:val="24"/>
          <w:szCs w:val="24"/>
        </w:rPr>
        <w:fldChar w:fldCharType="end"/>
      </w:r>
      <w:r w:rsidRPr="001274B0">
        <w:rPr>
          <w:rFonts w:ascii="Times New Roman" w:hAnsi="Times New Roman" w:cs="Times New Roman"/>
          <w:color w:val="000000"/>
          <w:sz w:val="24"/>
          <w:szCs w:val="24"/>
        </w:rPr>
        <w:t xml:space="preserve">. They evolved a characteristic elongated mouthpart, termed stylet by which they probe inside the leaf tissue and secrete salivary molecules on the way to phloem. Stylets tend to avoid the activation of plant defence reactions by moving intercellularly and excreting gelling saliva that serves as a stylet sheath; however, many mesophyll cells are punctured along the way and filled with watery saliva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ZOTERO_ITEM CSL_CITATION {"citationID":"ZI3HJKLk","properties":{"formattedCitation":"(Miles, 2007, 1959; Tjallingii, 2006)","plainCitation":"(Miles, 2007, 1959; Tjallingii, 2006)","noteIndex":0},"citationItems":[{"id":110,"uris":["http://zotero.org/users/10895598/items/IIIL676Z"],"itemData":{"id":110,"type":"article-journal","container-title":"Biological Reviews","DOI":"10.1111/j.1469-185X.1999.tb00181.x","ISSN":"14647931","issue":"1","language":"en","page":"41-85","source":"DOI.org (Crossref)","title":"Aphid saliva","volume":"74","author":[{"family":"Miles","given":"Peter W."}],"issued":{"date-parts":[["2007",1,11]]}}},{"id":113,"uris":["http://zotero.org/users/10895598/items/XBFXXNCD"],"itemData":{"id":113,"type":"article-journal","container-title":"Nature","DOI":"10.1038/183756b0","ISSN":"0028-0836, 1476-4687","issue":"4663","journalAbbreviation":"Nature","language":"en","page":"756-756","source":"DOI.org (Crossref)","title":"Secretion of two types of saliva by an aphid","volume":"183","author":[{"family":"Miles","given":"P. W."}],"issued":{"date-parts":[["1959",3]]}}},{"id":111,"uris":["http://zotero.org/users/10895598/items/KFGPFZWY"],"itemData":{"id":111,"type":"article-journal","container-title":"Journal of Experimental Botany","DOI":"10.1093/jxb/erj088","ISSN":"1460-2431, 0022-0957","issue":"4","language":"en","page":"739-745","source":"DOI.org (Crossref)","title":"Salivary secretions by aphids interacting with proteins of phloem wound responses","volume":"57","author":[{"family":"Tjallingii","given":"W. Fred"}],"issued":{"date-parts":[["2006",3,1]]}}}],"schema":"https://github.com/citation-style-language/schema/raw/master/csl-citation.json"} </w:instrText>
      </w:r>
      <w:r>
        <w:rPr>
          <w:rFonts w:ascii="Times New Roman" w:hAnsi="Times New Roman" w:cs="Times New Roman"/>
          <w:color w:val="000000"/>
          <w:sz w:val="24"/>
          <w:szCs w:val="24"/>
        </w:rPr>
        <w:fldChar w:fldCharType="separate"/>
      </w:r>
      <w:r w:rsidRPr="001274B0">
        <w:rPr>
          <w:rFonts w:ascii="Times New Roman" w:hAnsi="Times New Roman" w:cs="Times New Roman"/>
          <w:sz w:val="24"/>
        </w:rPr>
        <w:t>(Miles, 2007, 1959; Tjallingii, 2006)</w:t>
      </w:r>
      <w:r>
        <w:rPr>
          <w:rFonts w:ascii="Times New Roman" w:hAnsi="Times New Roman" w:cs="Times New Roman"/>
          <w:color w:val="000000"/>
          <w:sz w:val="24"/>
          <w:szCs w:val="24"/>
        </w:rPr>
        <w:fldChar w:fldCharType="end"/>
      </w:r>
      <w:r w:rsidRPr="001274B0">
        <w:rPr>
          <w:rFonts w:ascii="Times New Roman" w:hAnsi="Times New Roman" w:cs="Times New Roman"/>
          <w:color w:val="000000"/>
          <w:sz w:val="24"/>
          <w:szCs w:val="24"/>
        </w:rPr>
        <w:t xml:space="preserve">. The massive secretion of watery salivary molecules occurs when stylet finally probes the sieve elements and initiates the feeding process. These molecules, or elicitor and effector proteins, trigger and manipulate plant defence responses during probing and feeding periods. At the same time, aphids tend to excrete honeydew on the leaf surface, a sugary liquid which also contains elicitor or effector molecules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{"citationID":"fp1WhQGR","properties":{"formattedCitation":"(Schwartzberg and Tumlinson, 2014)","plainCitation":"(Schwartzberg and Tumlinson, 2014)","noteIndex":0},"citationItems":[{"id":315,"uris":["http://zotero.org/users/10895598/items/EQN4V4TE"],"itemData":{"id":315,"type":"article-journal","container-title":"Functional Ecology","DOI":"10.1111/1365-2435.12182","ISSN":"02698463","issue":"2","journalAbbreviation":"Funct Ecol","language":"en","page":"386-394","source":"DOI.org (Crossref)","title":"Aphid honeydew alters plant defence responses","volume":"28","author":[{"family":"Schwartzberg","given":"Ezra G."},{"family":"Tumlinson","given":"James H."}],"editor":[{"family":"Jones","given":"Hefin"}],"issued":{"date-parts":[["2014",4]]}}}],"schema":"https://github.com/citation-style-language/schema/raw/master/csl-citation.json"} </w:instrText>
      </w:r>
      <w:r>
        <w:rPr>
          <w:rFonts w:ascii="Times New Roman" w:hAnsi="Times New Roman" w:cs="Times New Roman"/>
          <w:sz w:val="24"/>
          <w:szCs w:val="24"/>
        </w:rPr>
        <w:fldChar w:fldCharType="separate"/>
      </w:r>
      <w:r w:rsidRPr="001274B0">
        <w:rPr>
          <w:rFonts w:ascii="Times New Roman" w:hAnsi="Times New Roman" w:cs="Times New Roman"/>
          <w:sz w:val="24"/>
        </w:rPr>
        <w:t>(Schwartzberg and Tumlinson, 2014)</w:t>
      </w:r>
      <w:r>
        <w:rPr>
          <w:rFonts w:ascii="Times New Roman" w:hAnsi="Times New Roman" w:cs="Times New Roman"/>
          <w:sz w:val="24"/>
          <w:szCs w:val="24"/>
        </w:rPr>
        <w:fldChar w:fldCharType="end"/>
      </w:r>
      <w:r w:rsidRPr="001274B0">
        <w:rPr>
          <w:rFonts w:ascii="Times New Roman" w:hAnsi="Times New Roman" w:cs="Times New Roman"/>
          <w:color w:val="000000"/>
          <w:sz w:val="24"/>
          <w:szCs w:val="24"/>
        </w:rPr>
        <w:t xml:space="preserve">. Some aphid-delivered effectors have been described, such as Mp10 and Mp42 in </w:t>
      </w:r>
      <w:proofErr w:type="spellStart"/>
      <w:r w:rsidRPr="001274B0">
        <w:rPr>
          <w:rFonts w:ascii="Times New Roman" w:hAnsi="Times New Roman" w:cs="Times New Roman"/>
          <w:i/>
          <w:color w:val="000000"/>
          <w:sz w:val="24"/>
          <w:szCs w:val="24"/>
        </w:rPr>
        <w:t>Myzus</w:t>
      </w:r>
      <w:proofErr w:type="spellEnd"/>
      <w:r w:rsidRPr="001274B0">
        <w:rPr>
          <w:rFonts w:ascii="Times New Roman" w:hAnsi="Times New Roman" w:cs="Times New Roman"/>
          <w:i/>
          <w:color w:val="000000"/>
          <w:sz w:val="24"/>
          <w:szCs w:val="24"/>
        </w:rPr>
        <w:t xml:space="preserve"> </w:t>
      </w:r>
      <w:proofErr w:type="spellStart"/>
      <w:r w:rsidRPr="001274B0">
        <w:rPr>
          <w:rFonts w:ascii="Times New Roman" w:hAnsi="Times New Roman" w:cs="Times New Roman"/>
          <w:i/>
          <w:color w:val="000000"/>
          <w:sz w:val="24"/>
          <w:szCs w:val="24"/>
        </w:rPr>
        <w:t>persicae</w:t>
      </w:r>
      <w:proofErr w:type="spellEnd"/>
      <w:r w:rsidRPr="001274B0">
        <w:rPr>
          <w:rFonts w:ascii="Times New Roman" w:hAnsi="Times New Roman" w:cs="Times New Roman"/>
          <w:i/>
          <w:color w:val="000000"/>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{"citationID":"u6dTBgMK","properties":{"formattedCitation":"(Bos et al., 2010)","plainCitation":"(Bos et al., 2010)","noteIndex":0},"citationItems":[{"id":317,"uris":["http://zotero.org/users/10895598/items/FCKL5DKY"],"itemData":{"id":317,"type":"article-journal","container-title":"PLoS Genetics","DOI":"10.1371/journal.pgen.1001216","ISSN":"1553-7404","issue":"11","journalAbbreviation":"PLoS Genet","language":"en","page":"e1001216","source":"DOI.org (Crossref)","title":"A functional genomics approach identifies candidate effectors from the aphid species &lt;i&gt;Myzus persicae&lt;/i&gt; (green peach aphid)","volume":"6","author":[{"family":"Bos","given":"Jorunn I. B."},{"family":"Prince","given":"David"},{"family":"Pitino","given":"Marco"},{"family":"Maffei","given":"Massimo E."},{"family":"Win","given":"Joe"},{"family":"Hogenhout","given":"Saskia A."}],"editor":[{"family":"Copenhaver","given":"Gregory P."}],"issued":{"date-parts":[["2010",11,18]]}}}],"schema":"https://github.com/citation-style-language/schema/raw/master/csl-citation.json"} </w:instrText>
      </w:r>
      <w:r>
        <w:rPr>
          <w:rFonts w:ascii="Times New Roman" w:hAnsi="Times New Roman" w:cs="Times New Roman"/>
          <w:sz w:val="24"/>
          <w:szCs w:val="24"/>
        </w:rPr>
        <w:fldChar w:fldCharType="separate"/>
      </w:r>
      <w:r w:rsidRPr="001274B0">
        <w:rPr>
          <w:rFonts w:ascii="Times New Roman" w:hAnsi="Times New Roman" w:cs="Times New Roman"/>
          <w:sz w:val="24"/>
        </w:rPr>
        <w:t>(Bos et al., 2010)</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1274B0">
        <w:rPr>
          <w:rFonts w:ascii="Times New Roman" w:hAnsi="Times New Roman" w:cs="Times New Roman"/>
          <w:color w:val="000000"/>
          <w:sz w:val="24"/>
          <w:szCs w:val="24"/>
        </w:rPr>
        <w:t>Nonetheless, when plant cells are punctured by the stylet, Ca</w:t>
      </w:r>
      <w:r w:rsidRPr="001274B0">
        <w:rPr>
          <w:rFonts w:ascii="Times New Roman" w:hAnsi="Times New Roman" w:cs="Times New Roman"/>
          <w:color w:val="000000"/>
          <w:sz w:val="24"/>
          <w:szCs w:val="24"/>
          <w:vertAlign w:val="superscript"/>
        </w:rPr>
        <w:t xml:space="preserve">2+ </w:t>
      </w:r>
      <w:r w:rsidRPr="001274B0">
        <w:rPr>
          <w:rFonts w:ascii="Times New Roman" w:hAnsi="Times New Roman" w:cs="Times New Roman"/>
          <w:color w:val="000000"/>
          <w:sz w:val="24"/>
          <w:szCs w:val="24"/>
        </w:rPr>
        <w:t xml:space="preserve">increases and triggers protein and callose synthesis, with the goal to clog sieve tubes and prevent the loss </w:t>
      </w:r>
      <w:r w:rsidRPr="001274B0">
        <w:rPr>
          <w:rFonts w:ascii="Times New Roman" w:hAnsi="Times New Roman" w:cs="Times New Roman"/>
          <w:sz w:val="24"/>
          <w:szCs w:val="24"/>
        </w:rPr>
        <w:t xml:space="preserve">of phloem sap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{"citationID":"tXIPQ0Tn","properties":{"formattedCitation":"(Knoblauch and van Bel, 1998; Silva-Sanzana et al., 2020)","plainCitation":"(Knoblauch and van Bel, 1998; Silva-Sanzana et al., 2020)","noteIndex":0},"citationItems":[{"id":125,"uris":["http://zotero.org/users/10895598/items/BQH9GMQM"],"itemData":{"id":125,"type":"article-journal","container-title":"The Plant Cell","DOI":"10.1105/tpc.10.1.35","ISSN":"1040-4651, 1532-298X","issue":"1","journalAbbreviation":"Plant Cell","language":"en","page":"35-50","source":"DOI.org (Crossref)","title":"Sieve tubes in action","volume":"10","author":[{"family":"Knoblauch","given":"Michael"},{"family":"Bel","given":"Aart J. E.","non-dropping-particle":"van"}],"issued":{"date-parts":[["1998",1]]}}},{"id":121,"uris":["http://zotero.org/users/10895598/items/ERPKGY3E"],"itemData":{"id":121,"type":"article-journal","abstract":"Abstract\n            Aphids are a major issue for commercial crops. These pests drain phloem nutrients and transmit ~50% of the known insect-borne viral diseases. During aphid feeding, trophic structures called stylets advance toward the phloem intercellularly, disrupting cell wall polymers. It is thought that cell wall-modifying enzymes (CWMEs) present in aphid saliva facilitate stylet penetration through this intercellular polymer network. Additionally, different studies have demonstrated that host settling preference, feeding behavior, and colony performance of aphids are influenced by modulating the CWME expression levels in host plants. CWMEs have been described as critical defensive elements for plants, but also as a key virulence factor for plant pathogens. However, whether CWMEs are elements of the plant defense mechanisms or the aphid infestation process remains unclear. Therefore, in order to better consider the function of CWMEs and cell wall-derived damage-associated molecular patterns (DAMPs) during plant–aphid interactions, the present review integrates different hypotheses, perspectives, and experimental evidence in the field of plant–aphid interactions and discusses similarities to other well-characterized models such as the fungi–plant pathosystems from the host and the attacker perspectives.","container-title":"Journal of Experimental Botany","DOI":"10.1093/jxb/erz550","ISSN":"0022-0957, 1460-2431","issue":"13","language":"en","page":"3854-3864","source":"DOI.org (Crossref)","title":"Influence of cell wall polymers and their modifying enzymes during plant–aphid interactions","volume":"71","author":[{"family":"Silva-Sanzana","given":"Christian"},{"family":"Estevez","given":"José M"},{"family":"Blanco-Herrera","given":"Francisca"}],"editor":[{"family":"Doerner","given":"Peter"}],"issued":{"date-parts":[["2020",6,26]]}}}],"schema":"https://github.com/citation-style-language/schema/raw/master/csl-citation.json"} </w:instrText>
      </w:r>
      <w:r>
        <w:rPr>
          <w:rFonts w:ascii="Times New Roman" w:hAnsi="Times New Roman" w:cs="Times New Roman"/>
          <w:sz w:val="24"/>
          <w:szCs w:val="24"/>
        </w:rPr>
        <w:fldChar w:fldCharType="separate"/>
      </w:r>
      <w:r w:rsidRPr="001274B0">
        <w:rPr>
          <w:rFonts w:ascii="Times New Roman" w:hAnsi="Times New Roman" w:cs="Times New Roman"/>
          <w:sz w:val="24"/>
        </w:rPr>
        <w:t>(Knoblauch and van Bel, 1998; Silva-Sanzana et al., 2020)</w:t>
      </w:r>
      <w:r>
        <w:rPr>
          <w:rFonts w:ascii="Times New Roman" w:hAnsi="Times New Roman" w:cs="Times New Roman"/>
          <w:sz w:val="24"/>
          <w:szCs w:val="24"/>
        </w:rPr>
        <w:fldChar w:fldCharType="end"/>
      </w:r>
      <w:r w:rsidRPr="001274B0">
        <w:rPr>
          <w:rFonts w:ascii="Times New Roman" w:hAnsi="Times New Roman" w:cs="Times New Roman"/>
          <w:sz w:val="24"/>
          <w:szCs w:val="24"/>
        </w:rPr>
        <w:t>.</w:t>
      </w:r>
      <w:r w:rsidRPr="001274B0">
        <w:rPr>
          <w:rFonts w:ascii="Times New Roman" w:hAnsi="Times New Roman" w:cs="Times New Roman"/>
          <w:sz w:val="24"/>
          <w:szCs w:val="24"/>
          <w:highlight w:val="white"/>
        </w:rPr>
        <w:t xml:space="preserve"> Callose, a β-glucan polymer synthesized at the plasma membrane of plant cells, plays an important role in plant defence responses to aphid infestation </w:t>
      </w:r>
      <w:r w:rsidRPr="001274B0">
        <w:rPr>
          <w:rFonts w:ascii="Times New Roman" w:hAnsi="Times New Roman" w:cs="Times New Roman"/>
          <w:sz w:val="24"/>
          <w:szCs w:val="24"/>
        </w:rPr>
        <w:t>(Silva-</w:t>
      </w:r>
      <w:proofErr w:type="spellStart"/>
      <w:r w:rsidRPr="001274B0">
        <w:rPr>
          <w:rFonts w:ascii="Times New Roman" w:hAnsi="Times New Roman" w:cs="Times New Roman"/>
          <w:sz w:val="24"/>
          <w:szCs w:val="24"/>
        </w:rPr>
        <w:t>Sanzana</w:t>
      </w:r>
      <w:proofErr w:type="spellEnd"/>
      <w:r w:rsidRPr="001274B0">
        <w:rPr>
          <w:rFonts w:ascii="Times New Roman" w:hAnsi="Times New Roman" w:cs="Times New Roman"/>
          <w:sz w:val="24"/>
          <w:szCs w:val="24"/>
        </w:rPr>
        <w:t xml:space="preserve"> et al., 2020). In response to these plant reactions, </w:t>
      </w:r>
      <w:r w:rsidRPr="001274B0">
        <w:rPr>
          <w:rFonts w:ascii="Times New Roman" w:hAnsi="Times New Roman" w:cs="Times New Roman"/>
          <w:color w:val="000000"/>
          <w:sz w:val="24"/>
          <w:szCs w:val="24"/>
        </w:rPr>
        <w:t>aphids start secreting effectors, such as Ca</w:t>
      </w:r>
      <w:r w:rsidRPr="001274B0">
        <w:rPr>
          <w:rFonts w:ascii="Times New Roman" w:hAnsi="Times New Roman" w:cs="Times New Roman"/>
          <w:color w:val="000000"/>
          <w:sz w:val="24"/>
          <w:szCs w:val="24"/>
          <w:vertAlign w:val="superscript"/>
        </w:rPr>
        <w:t>2+</w:t>
      </w:r>
      <w:r w:rsidRPr="001274B0">
        <w:rPr>
          <w:rFonts w:ascii="Times New Roman" w:hAnsi="Times New Roman" w:cs="Times New Roman"/>
          <w:color w:val="000000"/>
          <w:sz w:val="24"/>
          <w:szCs w:val="24"/>
        </w:rPr>
        <w:t xml:space="preserve">-binding proteins, with the goal to suppress the blockage of nutrients and feed freely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ZOTERO_ITEM CSL_CITATION {"citationID":"zdT1GBRt","properties":{"formattedCitation":"(Tjallingii, 2006; Will et al., 2009, 2007)","plainCitation":"(Tjallingii, 2006; Will et al., 2009, 2007)","noteIndex":0},"citationItems":[{"id":111,"uris":["http://zotero.org/users/10895598/items/KFGPFZWY"],"itemData":{"id":111,"type":"article-journal","container-title":"Journal of Experimental Botany","DOI":"10.1093/jxb/erj088","ISSN":"1460-2431, 0022-0957","issue":"4","language":"en","page":"739-745","source":"DOI.org (Crossref)","title":"Salivary secretions by aphids interacting with proteins of phloem wound responses","volume":"57","author":[{"family":"Tjallingii","given":"W. Fred"}],"issued":{"date-parts":[["2006",3,1]]}}},{"id":114,"uris":["http://zotero.org/users/10895598/items/GIIM7VVS"],"itemData":{"id":114,"type":"article-journal","container-title":"Journal of Experimental Biology","DOI":"10.1242/jeb.028514","ISSN":"0022-0949, 1477-9145","issue":"20","journalAbbreviation":"Journal of Experimental Biology","language":"en","page":"3305-3312","source":"DOI.org (Crossref)","title":"Aphid watery saliva counteracts sieve-tube occlusion: a universal phenomenon?","title-short":"Aphid watery saliva counteracts sieve-tube occlusion","volume":"212","author":[{"family":"Will","given":"T."},{"family":"Kornemann","given":"S. R."},{"family":"Furch","given":"A. C. U."},{"family":"Tjallingii","given":"W. F."},{"family":"Bel","given":"A. J. E.","non-dropping-particle":"van"}],"issued":{"date-parts":[["2009",10,15]]}}},{"id":123,"uris":["http://zotero.org/users/10895598/items/TUE84PC4"],"itemData":{"id":123,"type":"article-journal","container-title":"Proceedings of the National Academy of Sciences","DOI":"10.1073/pnas.0703535104","ISSN":"0027-8424, 1091-6490","issue":"25","journalAbbreviation":"Proceedings of the National Academy of Sciences","language":"en","page":"10536-10541","source":"DOI.org (Crossref)","title":"Molecular sabotage of plant defense by aphid saliva","volume":"104","author":[{"family":"Will","given":"T."},{"family":"Tjallingii","given":"W. F."},{"family":"Thonnessen","given":"A."},{"family":"Bel","given":"A. J. E.","non-dropping-particle":"van"}],"issued":{"date-parts":[["2007",6,19]]}}}],"schema":"https://github.com/citation-style-language/schema/raw/master/csl-citation.json"} </w:instrText>
      </w:r>
      <w:r>
        <w:rPr>
          <w:rFonts w:ascii="Times New Roman" w:hAnsi="Times New Roman" w:cs="Times New Roman"/>
          <w:color w:val="000000"/>
          <w:sz w:val="24"/>
          <w:szCs w:val="24"/>
        </w:rPr>
        <w:fldChar w:fldCharType="separate"/>
      </w:r>
      <w:r w:rsidRPr="001274B0">
        <w:rPr>
          <w:rFonts w:ascii="Times New Roman" w:hAnsi="Times New Roman" w:cs="Times New Roman"/>
          <w:sz w:val="24"/>
        </w:rPr>
        <w:t>(Tjallingii, 2006; Will et al., 2009, 2007)</w:t>
      </w:r>
      <w:r>
        <w:rPr>
          <w:rFonts w:ascii="Times New Roman" w:hAnsi="Times New Roman" w:cs="Times New Roman"/>
          <w:color w:val="000000"/>
          <w:sz w:val="24"/>
          <w:szCs w:val="24"/>
        </w:rPr>
        <w:fldChar w:fldCharType="end"/>
      </w:r>
      <w:r w:rsidRPr="001274B0">
        <w:rPr>
          <w:rFonts w:ascii="Times New Roman" w:hAnsi="Times New Roman" w:cs="Times New Roman"/>
          <w:color w:val="000000"/>
          <w:sz w:val="24"/>
          <w:szCs w:val="24"/>
        </w:rPr>
        <w:t xml:space="preserve">. However, the host plant may recognize these molecules, resulting in a cascade of defence </w:t>
      </w:r>
      <w:proofErr w:type="spellStart"/>
      <w:r w:rsidRPr="001274B0">
        <w:rPr>
          <w:rFonts w:ascii="Times New Roman" w:hAnsi="Times New Roman" w:cs="Times New Roman"/>
          <w:color w:val="000000"/>
          <w:sz w:val="24"/>
          <w:szCs w:val="24"/>
        </w:rPr>
        <w:t>signaling</w:t>
      </w:r>
      <w:proofErr w:type="spellEnd"/>
      <w:r w:rsidRPr="001274B0">
        <w:rPr>
          <w:rFonts w:ascii="Times New Roman" w:hAnsi="Times New Roman" w:cs="Times New Roman"/>
          <w:color w:val="000000"/>
          <w:sz w:val="24"/>
          <w:szCs w:val="24"/>
        </w:rPr>
        <w:t xml:space="preserve"> responses (Fig. 1). Apart from directly damaging the plant by sucking the nutrients, aphids can also harm the plant by transmitting viral phytopathogens and by excreting honeydew, that can attract ants or sooty </w:t>
      </w:r>
      <w:proofErr w:type="spellStart"/>
      <w:r w:rsidRPr="001274B0">
        <w:rPr>
          <w:rFonts w:ascii="Times New Roman" w:hAnsi="Times New Roman" w:cs="Times New Roman"/>
          <w:color w:val="000000"/>
          <w:sz w:val="24"/>
          <w:szCs w:val="24"/>
        </w:rPr>
        <w:t>mold</w:t>
      </w:r>
      <w:proofErr w:type="spellEnd"/>
      <w:r w:rsidRPr="001274B0">
        <w:rPr>
          <w:rFonts w:ascii="Times New Roman" w:hAnsi="Times New Roman" w:cs="Times New Roman"/>
          <w:color w:val="000000"/>
          <w:sz w:val="24"/>
          <w:szCs w:val="24"/>
        </w:rPr>
        <w:t xml:space="preserve"> which further decrease plant photosynthetic activity</w:t>
      </w:r>
      <w:r>
        <w:rPr>
          <w:rFonts w:ascii="Times New Roman" w:hAnsi="Times New Roman" w:cs="Times New Roman"/>
          <w:color w:val="000000"/>
          <w:sz w:val="24"/>
          <w:szCs w:val="24"/>
        </w:rPr>
        <w:t xml:space="preserve">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ZOTERO_ITEM CSL_CITATION {"citationID":"Cbuo6Sbd","properties":{"formattedCitation":"(Singh and Singh, 2021)","plainCitation":"(Singh and Singh, 2021)","noteIndex":0},"citationItems":[{"id":703,"uris":["http://zotero.org/users/10895598/items/D6JKJ2H3"],"itemData":{"id":703,"type":"chapter","container-title":"Polyphagous Pests of Crops","event-place":"Singapore","ISBN":"9789811580741","language":"en","note":"DOI: 10.1007/978-981-15-8075-8_3","page":"105-182","publisher":"Springer Singapore","publisher-place":"Singapore","source":"DOI.org (Crossref)","title":"Aphids","URL":"https://link.springer.com/10.1007/978-981-15-8075-8_3","editor":[{"literal":"Omkar"}],"author":[{"family":"Singh","given":"Rajendra"},{"family":"Singh","given":"Garima"}],"accessed":{"date-parts":[["2024",5,23]]},"issued":{"date-parts":[["2021"]]}}}],"schema":"https://github.com/citation-style-language/schema/raw/master/csl-citation.json"} </w:instrText>
      </w:r>
      <w:r>
        <w:rPr>
          <w:rFonts w:ascii="Times New Roman" w:hAnsi="Times New Roman" w:cs="Times New Roman"/>
          <w:color w:val="000000"/>
          <w:sz w:val="24"/>
          <w:szCs w:val="24"/>
        </w:rPr>
        <w:fldChar w:fldCharType="separate"/>
      </w:r>
      <w:r w:rsidRPr="002B7909">
        <w:rPr>
          <w:rFonts w:ascii="Times New Roman" w:hAnsi="Times New Roman" w:cs="Times New Roman"/>
          <w:sz w:val="24"/>
        </w:rPr>
        <w:t>(Singh and Singh, 2021)</w:t>
      </w:r>
      <w:r>
        <w:rPr>
          <w:rFonts w:ascii="Times New Roman" w:hAnsi="Times New Roman" w:cs="Times New Roman"/>
          <w:color w:val="000000"/>
          <w:sz w:val="24"/>
          <w:szCs w:val="24"/>
        </w:rPr>
        <w:fldChar w:fldCharType="end"/>
      </w:r>
      <w:r w:rsidRPr="001274B0">
        <w:rPr>
          <w:rFonts w:ascii="Times New Roman" w:hAnsi="Times New Roman" w:cs="Times New Roman"/>
          <w:color w:val="000000"/>
          <w:sz w:val="24"/>
          <w:szCs w:val="24"/>
        </w:rPr>
        <w:t>.</w:t>
      </w:r>
    </w:p>
    <w:p w14:paraId="265BF6A7" w14:textId="77777777" w:rsidR="00007653" w:rsidRPr="001274B0" w:rsidRDefault="00007653" w:rsidP="00007653">
      <w:pPr>
        <w:pBdr>
          <w:top w:val="nil"/>
          <w:left w:val="nil"/>
          <w:bottom w:val="nil"/>
          <w:right w:val="nil"/>
          <w:between w:val="nil"/>
        </w:pBdr>
        <w:spacing w:after="0" w:line="360" w:lineRule="auto"/>
        <w:ind w:firstLine="720"/>
        <w:jc w:val="both"/>
        <w:rPr>
          <w:rFonts w:ascii="Times New Roman" w:hAnsi="Times New Roman" w:cs="Times New Roman"/>
          <w:color w:val="000000"/>
          <w:sz w:val="24"/>
          <w:szCs w:val="24"/>
        </w:rPr>
      </w:pPr>
    </w:p>
    <w:p w14:paraId="31122B67" w14:textId="77777777" w:rsidR="00007653" w:rsidRPr="00E7693B" w:rsidRDefault="00007653" w:rsidP="006B61C5">
      <w:pPr>
        <w:pStyle w:val="Heading3"/>
      </w:pPr>
      <w:bookmarkStart w:id="29" w:name="_Toc167977602"/>
      <w:proofErr w:type="spellStart"/>
      <w:r w:rsidRPr="006B61C5">
        <w:rPr>
          <w:i/>
          <w:iCs/>
        </w:rPr>
        <w:t>Brevicoryne</w:t>
      </w:r>
      <w:proofErr w:type="spellEnd"/>
      <w:r w:rsidRPr="006B61C5">
        <w:rPr>
          <w:i/>
          <w:iCs/>
        </w:rPr>
        <w:t xml:space="preserve"> </w:t>
      </w:r>
      <w:proofErr w:type="spellStart"/>
      <w:r w:rsidRPr="006B61C5">
        <w:rPr>
          <w:i/>
          <w:iCs/>
        </w:rPr>
        <w:t>brassicae</w:t>
      </w:r>
      <w:proofErr w:type="spellEnd"/>
      <w:r w:rsidRPr="00E7693B">
        <w:t xml:space="preserve"> and its life cycle</w:t>
      </w:r>
      <w:bookmarkEnd w:id="29"/>
    </w:p>
    <w:p w14:paraId="2117D3E1" w14:textId="77777777" w:rsidR="00007653" w:rsidRPr="001274B0" w:rsidRDefault="00007653" w:rsidP="00007653">
      <w:pPr>
        <w:spacing w:after="0" w:line="360" w:lineRule="auto"/>
        <w:rPr>
          <w:rFonts w:ascii="Times New Roman" w:hAnsi="Times New Roman" w:cs="Times New Roman"/>
          <w:sz w:val="24"/>
          <w:szCs w:val="24"/>
        </w:rPr>
      </w:pPr>
    </w:p>
    <w:p w14:paraId="2A2820D4" w14:textId="1617027A" w:rsidR="00007653" w:rsidRPr="001274B0" w:rsidRDefault="00007653" w:rsidP="00007653">
      <w:pPr>
        <w:spacing w:line="360" w:lineRule="auto"/>
        <w:ind w:firstLine="720"/>
        <w:jc w:val="both"/>
        <w:rPr>
          <w:rFonts w:ascii="Times New Roman" w:hAnsi="Times New Roman" w:cs="Times New Roman"/>
          <w:sz w:val="24"/>
          <w:szCs w:val="24"/>
        </w:rPr>
      </w:pPr>
      <w:r w:rsidRPr="001274B0">
        <w:rPr>
          <w:rFonts w:ascii="Times New Roman" w:hAnsi="Times New Roman" w:cs="Times New Roman"/>
          <w:sz w:val="24"/>
          <w:szCs w:val="24"/>
        </w:rPr>
        <w:t xml:space="preserve">Cabbage aphid or </w:t>
      </w:r>
      <w:r w:rsidRPr="001274B0">
        <w:rPr>
          <w:rFonts w:ascii="Times New Roman" w:hAnsi="Times New Roman" w:cs="Times New Roman"/>
          <w:i/>
          <w:sz w:val="24"/>
          <w:szCs w:val="24"/>
        </w:rPr>
        <w:t xml:space="preserve">B. </w:t>
      </w:r>
      <w:proofErr w:type="spellStart"/>
      <w:r w:rsidRPr="001274B0">
        <w:rPr>
          <w:rFonts w:ascii="Times New Roman" w:hAnsi="Times New Roman" w:cs="Times New Roman"/>
          <w:i/>
          <w:sz w:val="24"/>
          <w:szCs w:val="24"/>
        </w:rPr>
        <w:t>brassicae</w:t>
      </w:r>
      <w:proofErr w:type="spellEnd"/>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 xml:space="preserve">is a specialist insect pest on </w:t>
      </w:r>
      <w:r w:rsidRPr="001274B0">
        <w:rPr>
          <w:rFonts w:ascii="Times New Roman" w:hAnsi="Times New Roman" w:cs="Times New Roman"/>
          <w:i/>
          <w:sz w:val="24"/>
          <w:szCs w:val="24"/>
        </w:rPr>
        <w:t xml:space="preserve">Brassica </w:t>
      </w:r>
      <w:r w:rsidRPr="001274B0">
        <w:rPr>
          <w:rFonts w:ascii="Times New Roman" w:hAnsi="Times New Roman" w:cs="Times New Roman"/>
          <w:sz w:val="24"/>
          <w:szCs w:val="24"/>
        </w:rPr>
        <w:t>crops native to Europe but is currently distributed across the world. The name “</w:t>
      </w:r>
      <w:proofErr w:type="spellStart"/>
      <w:r w:rsidRPr="001274B0">
        <w:rPr>
          <w:rFonts w:ascii="Times New Roman" w:hAnsi="Times New Roman" w:cs="Times New Roman"/>
          <w:i/>
          <w:sz w:val="24"/>
          <w:szCs w:val="24"/>
        </w:rPr>
        <w:t>Brevicoryne</w:t>
      </w:r>
      <w:proofErr w:type="spellEnd"/>
      <w:r w:rsidRPr="001274B0">
        <w:rPr>
          <w:rFonts w:ascii="Times New Roman" w:hAnsi="Times New Roman" w:cs="Times New Roman"/>
          <w:sz w:val="24"/>
          <w:szCs w:val="24"/>
        </w:rPr>
        <w:t>”</w:t>
      </w:r>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roughly translates from Latin as small (“</w:t>
      </w:r>
      <w:proofErr w:type="spellStart"/>
      <w:r w:rsidRPr="001274B0">
        <w:rPr>
          <w:rFonts w:ascii="Times New Roman" w:hAnsi="Times New Roman" w:cs="Times New Roman"/>
          <w:sz w:val="24"/>
          <w:szCs w:val="24"/>
        </w:rPr>
        <w:t>brevi</w:t>
      </w:r>
      <w:proofErr w:type="spellEnd"/>
      <w:r w:rsidRPr="001274B0">
        <w:rPr>
          <w:rFonts w:ascii="Times New Roman" w:hAnsi="Times New Roman" w:cs="Times New Roman"/>
          <w:sz w:val="24"/>
          <w:szCs w:val="24"/>
        </w:rPr>
        <w:t>”) pipes (“</w:t>
      </w:r>
      <w:proofErr w:type="spellStart"/>
      <w:r w:rsidRPr="001274B0">
        <w:rPr>
          <w:rFonts w:ascii="Times New Roman" w:hAnsi="Times New Roman" w:cs="Times New Roman"/>
          <w:sz w:val="24"/>
          <w:szCs w:val="24"/>
        </w:rPr>
        <w:t>coryne</w:t>
      </w:r>
      <w:proofErr w:type="spellEnd"/>
      <w:r w:rsidRPr="001274B0">
        <w:rPr>
          <w:rFonts w:ascii="Times New Roman" w:hAnsi="Times New Roman" w:cs="Times New Roman"/>
          <w:sz w:val="24"/>
          <w:szCs w:val="24"/>
        </w:rPr>
        <w:t xml:space="preserve">”), as </w:t>
      </w:r>
      <w:r w:rsidRPr="001274B0">
        <w:rPr>
          <w:rFonts w:ascii="Times New Roman" w:hAnsi="Times New Roman" w:cs="Times New Roman"/>
          <w:i/>
          <w:sz w:val="24"/>
          <w:szCs w:val="24"/>
        </w:rPr>
        <w:t xml:space="preserve">B. </w:t>
      </w:r>
      <w:proofErr w:type="spellStart"/>
      <w:r w:rsidRPr="001274B0">
        <w:rPr>
          <w:rFonts w:ascii="Times New Roman" w:hAnsi="Times New Roman" w:cs="Times New Roman"/>
          <w:i/>
          <w:sz w:val="24"/>
          <w:szCs w:val="24"/>
        </w:rPr>
        <w:t>brassicae</w:t>
      </w:r>
      <w:proofErr w:type="spellEnd"/>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 xml:space="preserve">has two characteristic short </w:t>
      </w:r>
      <w:r w:rsidRPr="001274B0">
        <w:rPr>
          <w:rFonts w:ascii="Times New Roman" w:hAnsi="Times New Roman" w:cs="Times New Roman"/>
          <w:sz w:val="24"/>
          <w:szCs w:val="24"/>
        </w:rPr>
        <w:lastRenderedPageBreak/>
        <w:t xml:space="preserve">black cornicles or </w:t>
      </w:r>
      <w:proofErr w:type="spellStart"/>
      <w:r w:rsidRPr="001274B0">
        <w:rPr>
          <w:rFonts w:ascii="Times New Roman" w:hAnsi="Times New Roman" w:cs="Times New Roman"/>
          <w:sz w:val="24"/>
          <w:szCs w:val="24"/>
        </w:rPr>
        <w:t>siphunculi</w:t>
      </w:r>
      <w:proofErr w:type="spellEnd"/>
      <w:r w:rsidRPr="001274B0">
        <w:rPr>
          <w:rFonts w:ascii="Times New Roman" w:hAnsi="Times New Roman" w:cs="Times New Roman"/>
          <w:sz w:val="24"/>
          <w:szCs w:val="24"/>
        </w:rPr>
        <w:t xml:space="preserve"> on the abdomen, which can be seen through hand lens or stereomicroscope (Fig. </w:t>
      </w:r>
      <w:r w:rsidR="00C11546">
        <w:rPr>
          <w:rFonts w:ascii="Times New Roman" w:hAnsi="Times New Roman" w:cs="Times New Roman"/>
          <w:sz w:val="24"/>
          <w:szCs w:val="24"/>
        </w:rPr>
        <w:t>8</w:t>
      </w:r>
      <w:r w:rsidRPr="001274B0">
        <w:rPr>
          <w:rFonts w:ascii="Times New Roman" w:hAnsi="Times New Roman" w:cs="Times New Roman"/>
          <w:sz w:val="24"/>
          <w:szCs w:val="24"/>
        </w:rPr>
        <w:t xml:space="preserve">A). The short cornicles and the greyish waxy coating are morphological features which distinguish </w:t>
      </w:r>
      <w:r w:rsidRPr="001274B0">
        <w:rPr>
          <w:rFonts w:ascii="Times New Roman" w:hAnsi="Times New Roman" w:cs="Times New Roman"/>
          <w:i/>
          <w:sz w:val="24"/>
          <w:szCs w:val="24"/>
        </w:rPr>
        <w:t xml:space="preserve">B. </w:t>
      </w:r>
      <w:proofErr w:type="spellStart"/>
      <w:r w:rsidRPr="001274B0">
        <w:rPr>
          <w:rFonts w:ascii="Times New Roman" w:hAnsi="Times New Roman" w:cs="Times New Roman"/>
          <w:i/>
          <w:sz w:val="24"/>
          <w:szCs w:val="24"/>
        </w:rPr>
        <w:t>brassicae</w:t>
      </w:r>
      <w:proofErr w:type="spellEnd"/>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 xml:space="preserve">from other aphids. Generally, aphids are ectothermic organisms, hence their biology largely depends on temperature.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{"citationID":"Q8mHCQ5t","properties":{"formattedCitation":"(Soh et al., 2018)","plainCitation":"(Soh et al., 2018)","dontUpdate":true,"noteIndex":0},"citationItems":[{"id":576,"uris":["http://zotero.org/users/10895598/items/QGGHSIKQ"],"itemData":{"id":576,"type":"article-journal","container-title":"Ecology and Evolution","DOI":"10.1002/ece3.4639","ISSN":"20457758","issue":"23","journalAbbreviation":"Ecol Evol","language":"en","page":"11819-11832","source":"DOI.org (Crossref)","title":"Effect of temperature on the biological parameters of the cabbage aphid &lt;i&gt;Brevicoryne brassicae&lt;/i&gt;","volume":"8","author":[{"family":"Soh","given":"Bernard Steve Baleba"},{"family":"Kekeunou","given":"Sevilor"},{"family":"Nanga Nanga","given":"Samuel"},{"family":"Dongmo","given":"Michel"},{"family":"Rachid","given":"Hannah"}],"issued":{"date-parts":[["2018",12]]}}}],"schema":"https://github.com/citation-style-language/schema/raw/master/csl-citation.json"} </w:instrText>
      </w:r>
      <w:r>
        <w:rPr>
          <w:rFonts w:ascii="Times New Roman" w:hAnsi="Times New Roman" w:cs="Times New Roman"/>
          <w:sz w:val="24"/>
          <w:szCs w:val="24"/>
        </w:rPr>
        <w:fldChar w:fldCharType="separate"/>
      </w:r>
      <w:r w:rsidRPr="001274B0">
        <w:rPr>
          <w:rFonts w:ascii="Times New Roman" w:hAnsi="Times New Roman" w:cs="Times New Roman"/>
          <w:sz w:val="24"/>
        </w:rPr>
        <w:t>Soh et al.</w:t>
      </w:r>
      <w:r>
        <w:rPr>
          <w:rFonts w:ascii="Times New Roman" w:hAnsi="Times New Roman" w:cs="Times New Roman"/>
          <w:sz w:val="24"/>
        </w:rPr>
        <w:t xml:space="preserve"> (</w:t>
      </w:r>
      <w:r w:rsidRPr="001274B0">
        <w:rPr>
          <w:rFonts w:ascii="Times New Roman" w:hAnsi="Times New Roman" w:cs="Times New Roman"/>
          <w:sz w:val="24"/>
        </w:rPr>
        <w:t>2018)</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1274B0">
        <w:rPr>
          <w:rFonts w:ascii="Times New Roman" w:hAnsi="Times New Roman" w:cs="Times New Roman"/>
          <w:sz w:val="24"/>
          <w:szCs w:val="24"/>
        </w:rPr>
        <w:t xml:space="preserve">reported that </w:t>
      </w:r>
      <w:r w:rsidRPr="001274B0">
        <w:rPr>
          <w:rFonts w:ascii="Times New Roman" w:hAnsi="Times New Roman" w:cs="Times New Roman"/>
          <w:i/>
          <w:sz w:val="24"/>
          <w:szCs w:val="24"/>
        </w:rPr>
        <w:t xml:space="preserve">B. </w:t>
      </w:r>
      <w:proofErr w:type="spellStart"/>
      <w:r w:rsidRPr="001274B0">
        <w:rPr>
          <w:rFonts w:ascii="Times New Roman" w:hAnsi="Times New Roman" w:cs="Times New Roman"/>
          <w:i/>
          <w:sz w:val="24"/>
          <w:szCs w:val="24"/>
        </w:rPr>
        <w:t>brassicae</w:t>
      </w:r>
      <w:proofErr w:type="spellEnd"/>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 xml:space="preserve">successfully developed at temperatures ranging from 10°C to 30°C, and its development was inhibited at 35°C. Depending on the climate, life cycle of </w:t>
      </w:r>
      <w:r w:rsidRPr="001274B0">
        <w:rPr>
          <w:rFonts w:ascii="Times New Roman" w:hAnsi="Times New Roman" w:cs="Times New Roman"/>
          <w:i/>
          <w:sz w:val="24"/>
          <w:szCs w:val="24"/>
        </w:rPr>
        <w:t xml:space="preserve">B. </w:t>
      </w:r>
      <w:proofErr w:type="spellStart"/>
      <w:r w:rsidRPr="001274B0">
        <w:rPr>
          <w:rFonts w:ascii="Times New Roman" w:hAnsi="Times New Roman" w:cs="Times New Roman"/>
          <w:i/>
          <w:sz w:val="24"/>
          <w:szCs w:val="24"/>
        </w:rPr>
        <w:t>brassicae</w:t>
      </w:r>
      <w:proofErr w:type="spellEnd"/>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 xml:space="preserve">can be </w:t>
      </w:r>
      <w:proofErr w:type="spellStart"/>
      <w:r w:rsidRPr="001274B0">
        <w:rPr>
          <w:rFonts w:ascii="Times New Roman" w:hAnsi="Times New Roman" w:cs="Times New Roman"/>
          <w:sz w:val="24"/>
          <w:szCs w:val="24"/>
        </w:rPr>
        <w:t>holocyclic</w:t>
      </w:r>
      <w:proofErr w:type="spellEnd"/>
      <w:r w:rsidRPr="001274B0">
        <w:rPr>
          <w:rFonts w:ascii="Times New Roman" w:hAnsi="Times New Roman" w:cs="Times New Roman"/>
          <w:sz w:val="24"/>
          <w:szCs w:val="24"/>
        </w:rPr>
        <w:t xml:space="preserve"> (sexual reproduction) and anholocyclic (asexual reproduction; Fig. </w:t>
      </w:r>
      <w:r w:rsidR="00C11546">
        <w:rPr>
          <w:rFonts w:ascii="Times New Roman" w:hAnsi="Times New Roman" w:cs="Times New Roman"/>
          <w:sz w:val="24"/>
          <w:szCs w:val="24"/>
        </w:rPr>
        <w:t>8</w:t>
      </w:r>
      <w:r w:rsidRPr="001274B0">
        <w:rPr>
          <w:rFonts w:ascii="Times New Roman" w:hAnsi="Times New Roman" w:cs="Times New Roman"/>
          <w:sz w:val="24"/>
          <w:szCs w:val="24"/>
        </w:rPr>
        <w:t>B). When winters are cold, non-winged/apterous females mate with winged/alatae males and lay eggs that overwinter on the same host plant</w:t>
      </w:r>
      <w:r>
        <w:rPr>
          <w:rFonts w:ascii="Times New Roman" w:hAnsi="Times New Roman" w:cs="Times New Roman"/>
          <w:sz w:val="24"/>
          <w:szCs w:val="24"/>
        </w:rPr>
        <w:t>. W</w:t>
      </w:r>
      <w:r w:rsidRPr="001274B0">
        <w:rPr>
          <w:rFonts w:ascii="Times New Roman" w:hAnsi="Times New Roman" w:cs="Times New Roman"/>
          <w:sz w:val="24"/>
          <w:szCs w:val="24"/>
        </w:rPr>
        <w:t xml:space="preserve">hen the weather conditions are milder, apterous females are viviparous and reproduce parthenogenetically, </w:t>
      </w:r>
      <w:r w:rsidRPr="001274B0">
        <w:rPr>
          <w:rFonts w:ascii="Times New Roman" w:hAnsi="Times New Roman" w:cs="Times New Roman"/>
          <w:i/>
          <w:sz w:val="24"/>
          <w:szCs w:val="24"/>
        </w:rPr>
        <w:t xml:space="preserve">i.e. </w:t>
      </w:r>
      <w:r w:rsidRPr="001274B0">
        <w:rPr>
          <w:rFonts w:ascii="Times New Roman" w:hAnsi="Times New Roman" w:cs="Times New Roman"/>
          <w:sz w:val="24"/>
          <w:szCs w:val="24"/>
        </w:rPr>
        <w:t>give birth to young nymphs without mating. The nymphs go through four instars and turn into apterous females; however, if the host plant becomes overcrowded and the food quality declines, the fourth instar nymphs moult into migratory alatae females, which then fly to the new host plant and continue to reproduce parthenogenetically. Mainly such ability of aphid clonal reproduction brings deleterious outcome for the host plant.</w:t>
      </w:r>
    </w:p>
    <w:p w14:paraId="6080206F" w14:textId="77777777" w:rsidR="00007653" w:rsidRPr="00E7693B" w:rsidRDefault="00007653" w:rsidP="00007653">
      <w:pPr>
        <w:spacing w:line="360" w:lineRule="auto"/>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A20332" wp14:editId="5F614F15">
            <wp:extent cx="5760085" cy="2086610"/>
            <wp:effectExtent l="0" t="0" r="0" b="0"/>
            <wp:docPr id="555054061" name="image29.png" descr="A close-up of a bu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close-up of a bug&#10;&#10;Description automatically generated"/>
                    <pic:cNvPicPr preferRelativeResize="0"/>
                  </pic:nvPicPr>
                  <pic:blipFill>
                    <a:blip r:embed="rId25"/>
                    <a:srcRect/>
                    <a:stretch>
                      <a:fillRect/>
                    </a:stretch>
                  </pic:blipFill>
                  <pic:spPr>
                    <a:xfrm>
                      <a:off x="0" y="0"/>
                      <a:ext cx="5760085" cy="2086610"/>
                    </a:xfrm>
                    <a:prstGeom prst="rect">
                      <a:avLst/>
                    </a:prstGeom>
                    <a:ln/>
                  </pic:spPr>
                </pic:pic>
              </a:graphicData>
            </a:graphic>
          </wp:inline>
        </w:drawing>
      </w:r>
    </w:p>
    <w:p w14:paraId="2E691DBD" w14:textId="57DD1997" w:rsidR="00007653" w:rsidRDefault="00007653" w:rsidP="00007653">
      <w:pPr>
        <w:spacing w:after="0" w:line="360" w:lineRule="auto"/>
        <w:jc w:val="center"/>
        <w:rPr>
          <w:rFonts w:ascii="Times New Roman" w:hAnsi="Times New Roman" w:cs="Times New Roman"/>
          <w:i/>
        </w:rPr>
      </w:pPr>
      <w:r w:rsidRPr="00E7693B">
        <w:rPr>
          <w:rFonts w:ascii="Times New Roman" w:hAnsi="Times New Roman" w:cs="Times New Roman"/>
          <w:b/>
        </w:rPr>
        <w:t xml:space="preserve">Figure </w:t>
      </w:r>
      <w:r w:rsidR="00C11546">
        <w:rPr>
          <w:rFonts w:ascii="Times New Roman" w:hAnsi="Times New Roman" w:cs="Times New Roman"/>
          <w:b/>
        </w:rPr>
        <w:t>8</w:t>
      </w:r>
      <w:r w:rsidRPr="00E7693B">
        <w:rPr>
          <w:rFonts w:ascii="Times New Roman" w:hAnsi="Times New Roman" w:cs="Times New Roman"/>
        </w:rPr>
        <w:t xml:space="preserve">. </w:t>
      </w:r>
      <w:r w:rsidRPr="006B61C5">
        <w:rPr>
          <w:rFonts w:ascii="Times New Roman" w:hAnsi="Times New Roman" w:cs="Times New Roman"/>
          <w:b/>
          <w:bCs/>
        </w:rPr>
        <w:t xml:space="preserve">A: </w:t>
      </w:r>
      <w:proofErr w:type="spellStart"/>
      <w:r w:rsidRPr="00E7693B">
        <w:rPr>
          <w:rFonts w:ascii="Times New Roman" w:hAnsi="Times New Roman" w:cs="Times New Roman"/>
          <w:i/>
        </w:rPr>
        <w:t>Brevicoryne</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brassicae</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adult feeding on </w:t>
      </w:r>
      <w:r w:rsidRPr="00E7693B">
        <w:rPr>
          <w:rFonts w:ascii="Times New Roman" w:hAnsi="Times New Roman" w:cs="Times New Roman"/>
          <w:i/>
        </w:rPr>
        <w:t>Arabidopsis</w:t>
      </w:r>
      <w:r w:rsidRPr="00E7693B">
        <w:rPr>
          <w:rFonts w:ascii="Times New Roman" w:hAnsi="Times New Roman" w:cs="Times New Roman"/>
        </w:rPr>
        <w:t xml:space="preserve"> </w:t>
      </w:r>
      <w:r w:rsidRPr="00E7693B">
        <w:rPr>
          <w:rFonts w:ascii="Times New Roman" w:hAnsi="Times New Roman" w:cs="Times New Roman"/>
          <w:i/>
        </w:rPr>
        <w:t>thaliana</w:t>
      </w:r>
      <w:r w:rsidRPr="00E7693B">
        <w:rPr>
          <w:rFonts w:ascii="Times New Roman" w:hAnsi="Times New Roman" w:cs="Times New Roman"/>
        </w:rPr>
        <w:t xml:space="preserve">. White arrows point to the characteristic short cornicles. </w:t>
      </w:r>
      <w:r w:rsidRPr="006B61C5">
        <w:rPr>
          <w:rFonts w:ascii="Times New Roman" w:hAnsi="Times New Roman" w:cs="Times New Roman"/>
          <w:b/>
          <w:bCs/>
        </w:rPr>
        <w:t>B:</w:t>
      </w:r>
      <w:r w:rsidRPr="00E7693B">
        <w:rPr>
          <w:rFonts w:ascii="Times New Roman" w:hAnsi="Times New Roman" w:cs="Times New Roman"/>
        </w:rPr>
        <w:t xml:space="preserve"> Life cycle of </w:t>
      </w:r>
      <w:r>
        <w:rPr>
          <w:rFonts w:ascii="Times New Roman" w:hAnsi="Times New Roman" w:cs="Times New Roman"/>
          <w:i/>
        </w:rPr>
        <w:t xml:space="preserve">B. </w:t>
      </w:r>
      <w:proofErr w:type="spellStart"/>
      <w:r>
        <w:rPr>
          <w:rFonts w:ascii="Times New Roman" w:hAnsi="Times New Roman" w:cs="Times New Roman"/>
          <w:i/>
        </w:rPr>
        <w:t>brassicae</w:t>
      </w:r>
      <w:proofErr w:type="spellEnd"/>
      <w:r>
        <w:rPr>
          <w:rFonts w:ascii="Times New Roman" w:hAnsi="Times New Roman" w:cs="Times New Roman"/>
          <w:i/>
        </w:rPr>
        <w:t>.</w:t>
      </w:r>
    </w:p>
    <w:p w14:paraId="11A6A638" w14:textId="77777777" w:rsidR="00007653" w:rsidRPr="00E7693B" w:rsidRDefault="00007653" w:rsidP="00651897">
      <w:pPr>
        <w:spacing w:after="0" w:line="360" w:lineRule="auto"/>
        <w:jc w:val="center"/>
        <w:rPr>
          <w:rFonts w:ascii="Times New Roman" w:hAnsi="Times New Roman" w:cs="Times New Roman"/>
          <w:i/>
        </w:rPr>
      </w:pPr>
    </w:p>
    <w:p w14:paraId="41435B8E" w14:textId="77777777" w:rsidR="00007653" w:rsidRPr="00E7693B" w:rsidRDefault="00007653" w:rsidP="006B61C5">
      <w:pPr>
        <w:pStyle w:val="Heading3"/>
      </w:pPr>
      <w:bookmarkStart w:id="30" w:name="_Toc167977603"/>
      <w:proofErr w:type="spellStart"/>
      <w:r w:rsidRPr="006B61C5">
        <w:rPr>
          <w:i/>
          <w:iCs/>
        </w:rPr>
        <w:t>Brevicoryne</w:t>
      </w:r>
      <w:proofErr w:type="spellEnd"/>
      <w:r w:rsidRPr="006B61C5">
        <w:rPr>
          <w:i/>
          <w:iCs/>
        </w:rPr>
        <w:t xml:space="preserve"> </w:t>
      </w:r>
      <w:proofErr w:type="spellStart"/>
      <w:r w:rsidRPr="006B61C5">
        <w:rPr>
          <w:i/>
          <w:iCs/>
        </w:rPr>
        <w:t>brassicae</w:t>
      </w:r>
      <w:proofErr w:type="spellEnd"/>
      <w:r w:rsidRPr="00E7693B">
        <w:t xml:space="preserve"> interaction with </w:t>
      </w:r>
      <w:r w:rsidRPr="006B61C5">
        <w:rPr>
          <w:i/>
          <w:iCs/>
        </w:rPr>
        <w:t>Brassica</w:t>
      </w:r>
      <w:r w:rsidRPr="00E7693B">
        <w:t xml:space="preserve"> crops</w:t>
      </w:r>
      <w:bookmarkEnd w:id="30"/>
    </w:p>
    <w:p w14:paraId="501C2CAE" w14:textId="77777777" w:rsidR="00007653" w:rsidRPr="001274B0" w:rsidRDefault="00007653" w:rsidP="00007653">
      <w:pPr>
        <w:spacing w:after="0"/>
        <w:rPr>
          <w:rFonts w:ascii="Times New Roman" w:hAnsi="Times New Roman" w:cs="Times New Roman"/>
          <w:sz w:val="24"/>
          <w:szCs w:val="24"/>
        </w:rPr>
      </w:pPr>
    </w:p>
    <w:p w14:paraId="63EADDBC" w14:textId="77777777" w:rsidR="00007653" w:rsidRPr="001274B0" w:rsidRDefault="00007653" w:rsidP="00007653">
      <w:pPr>
        <w:spacing w:after="0" w:line="360" w:lineRule="auto"/>
        <w:ind w:firstLine="576"/>
        <w:jc w:val="both"/>
        <w:rPr>
          <w:rFonts w:ascii="Times New Roman" w:hAnsi="Times New Roman" w:cs="Times New Roman"/>
          <w:sz w:val="24"/>
          <w:szCs w:val="24"/>
        </w:rPr>
      </w:pPr>
      <w:r w:rsidRPr="001274B0">
        <w:rPr>
          <w:rFonts w:ascii="Times New Roman" w:hAnsi="Times New Roman" w:cs="Times New Roman"/>
          <w:sz w:val="24"/>
          <w:szCs w:val="24"/>
        </w:rPr>
        <w:t xml:space="preserve">As other insect pests, winged </w:t>
      </w:r>
      <w:r w:rsidRPr="001274B0">
        <w:rPr>
          <w:rFonts w:ascii="Times New Roman" w:hAnsi="Times New Roman" w:cs="Times New Roman"/>
          <w:i/>
          <w:sz w:val="24"/>
          <w:szCs w:val="24"/>
        </w:rPr>
        <w:t xml:space="preserve">B. </w:t>
      </w:r>
      <w:proofErr w:type="spellStart"/>
      <w:r w:rsidRPr="001274B0">
        <w:rPr>
          <w:rFonts w:ascii="Times New Roman" w:hAnsi="Times New Roman" w:cs="Times New Roman"/>
          <w:i/>
          <w:sz w:val="24"/>
          <w:szCs w:val="24"/>
        </w:rPr>
        <w:t>brassicae</w:t>
      </w:r>
      <w:proofErr w:type="spellEnd"/>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 xml:space="preserve">aphid uses a set of visual and olfactory cues to locate the host plant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{"citationID":"01u5YJDZ","properties":{"formattedCitation":"(D\\uc0\\u246{}ring, 2014)","plainCitation":"(Döring, 2014)","noteIndex":0},"citationItems":[{"id":583,"uris":["http://zotero.org/users/10895598/items/3LN7S4RK"],"itemData":{"id":583,"type":"article-journal","container-title":"Annals of Applied Biology","DOI":"10.1111/aab.12142","ISSN":"00034746","issue":"1","journalAbbreviation":"Ann Appl Biol","language":"en","page":"3-26","source":"DOI.org (Crossref)","title":"How aphids find their host plants, and how they don't: Aphid host finding","title-short":"How aphids find their host plants, and how they don't","volume":"165","author":[{"family":"Döring","given":"Thomas F."}],"issued":{"date-parts":[["2014",7]]}}}],"schema":"https://github.com/citation-style-language/schema/raw/master/csl-citation.json"}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szCs w:val="24"/>
        </w:rPr>
        <w:t>(Döring, 2014)</w:t>
      </w:r>
      <w:r>
        <w:rPr>
          <w:rFonts w:ascii="Times New Roman" w:hAnsi="Times New Roman" w:cs="Times New Roman"/>
          <w:sz w:val="24"/>
          <w:szCs w:val="24"/>
        </w:rPr>
        <w:fldChar w:fldCharType="end"/>
      </w:r>
      <w:r w:rsidRPr="001274B0">
        <w:rPr>
          <w:rFonts w:ascii="Times New Roman" w:hAnsi="Times New Roman" w:cs="Times New Roman"/>
          <w:sz w:val="24"/>
          <w:szCs w:val="24"/>
        </w:rPr>
        <w:t xml:space="preserve">. Then, for the host acceptance, aphids primarily rely on gustatory stimuli, and leaf structure and secondary metabolites play an important role in this </w:t>
      </w:r>
      <w:r w:rsidRPr="001274B0">
        <w:rPr>
          <w:rFonts w:ascii="Times New Roman" w:hAnsi="Times New Roman" w:cs="Times New Roman"/>
          <w:sz w:val="24"/>
          <w:szCs w:val="24"/>
        </w:rPr>
        <w:lastRenderedPageBreak/>
        <w:t xml:space="preserve">stage. For aphids to initiate the feeding process, stylet must first successfully penetrate the outer leaf layer (epidermis) of </w:t>
      </w:r>
      <w:r w:rsidRPr="001274B0">
        <w:rPr>
          <w:rFonts w:ascii="Times New Roman" w:hAnsi="Times New Roman" w:cs="Times New Roman"/>
          <w:i/>
          <w:sz w:val="24"/>
          <w:szCs w:val="24"/>
        </w:rPr>
        <w:t xml:space="preserve">Brassica </w:t>
      </w:r>
      <w:r w:rsidRPr="001274B0">
        <w:rPr>
          <w:rFonts w:ascii="Times New Roman" w:hAnsi="Times New Roman" w:cs="Times New Roman"/>
          <w:iCs/>
          <w:sz w:val="24"/>
          <w:szCs w:val="24"/>
        </w:rPr>
        <w:t>spp.</w:t>
      </w:r>
      <w:r w:rsidRPr="001274B0">
        <w:rPr>
          <w:rFonts w:ascii="Times New Roman" w:hAnsi="Times New Roman" w:cs="Times New Roman"/>
          <w:sz w:val="24"/>
          <w:szCs w:val="24"/>
        </w:rPr>
        <w:t xml:space="preserve">, then middle leaf tissues (mesophyll) composed of palisade and spongy parenchyma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{"citationID":"giB2DCzR","properties":{"formattedCitation":"(Hao et al., 2020)","plainCitation":"(Hao et al., 2020)","noteIndex":0},"citationItems":[{"id":581,"uris":["http://zotero.org/users/10895598/items/GJFDMI6Y"],"itemData":{"id":581,"type":"article-journal","container-title":"Arthropod-Plant Interactions","DOI":"10.1007/s11829-020-09782-5","ISSN":"1872-8855, 1872-8847","issue":"6","journalAbbreviation":"Arthropod-Plant Interactions","language":"en","page":"733-744","source":"DOI.org (Crossref)","title":"Possible effects of leaf tissue characteristics of oilseed rape &lt;i&gt;Brassica napus&lt;/i&gt; on probing and feeding behaviors of cabbage aphids &lt;i&gt;Brevicoryne brassicae&lt;/i&gt;","volume":"14","author":[{"family":"Hao","given":"Zhong-Ping"},{"family":"Zhan","given":"Hai-Xia"},{"family":"Gao","given":"Ling-Ling"},{"family":"Huang","given":"Fang"},{"family":"Zhu","given":"Li-Ni"},{"family":"Hou","given":"Shu-Min"}],"issued":{"date-parts":[["2020",12]]}}}],"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rPr>
        <w:t>(Hao et al., 2020)</w:t>
      </w:r>
      <w:r>
        <w:rPr>
          <w:rFonts w:ascii="Times New Roman" w:hAnsi="Times New Roman" w:cs="Times New Roman"/>
          <w:sz w:val="24"/>
          <w:szCs w:val="24"/>
        </w:rPr>
        <w:fldChar w:fldCharType="end"/>
      </w:r>
      <w:r>
        <w:rPr>
          <w:rFonts w:ascii="Times New Roman" w:hAnsi="Times New Roman" w:cs="Times New Roman"/>
          <w:sz w:val="24"/>
          <w:szCs w:val="24"/>
        </w:rPr>
        <w:t>,</w:t>
      </w:r>
      <w:r w:rsidRPr="001274B0">
        <w:rPr>
          <w:rFonts w:ascii="Times New Roman" w:hAnsi="Times New Roman" w:cs="Times New Roman"/>
          <w:sz w:val="24"/>
          <w:szCs w:val="24"/>
        </w:rPr>
        <w:t xml:space="preserve"> after which it finally reaches the sieve elements and ingests the sap. However, there are many barriers that aphids need to overcome to start the feeding process, and they vary between plant species and cultivars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{"citationID":"UkDT04b2","properties":{"formattedCitation":"(Gabry\\uc0\\u347{} and Pawluk, 1999; Hao et al., 2020)","plainCitation":"(Gabryś and Pawluk, 1999; Hao et al., 2020)","noteIndex":0},"citationItems":[{"id":584,"uris":["http://zotero.org/users/10895598/items/Z9C7N3RZ"],"itemData":{"id":584,"type":"chapter","container-title":"Proceedings of the 10th International Symposium on Insect-Plant Relationships","event-place":"Dordrecht","ISBN":"978-90-481-5247-6","language":"en","note":"DOI: 10.1007/978-94-017-1890-5_12","page":"105-109","publisher":"Springer Netherlands","publisher-place":"Dordrecht","source":"DOI.org (Crossref)","title":"Acceptability of different species of Brassicaceae as hosts for the cabbage aphid","URL":"http://link.springer.com/10.1007/978-94-017-1890-5_12","editor":[{"family":"Simpson","given":"Stephen J."},{"family":"Mordue","given":"A. Jennifer"},{"family":"Hardie","given":"Jim"}],"author":[{"family":"Gabryś","given":"Beata"},{"family":"Pawluk","given":"Magdalena"}],"accessed":{"date-parts":[["2023",7,31]]},"issued":{"date-parts":[["1999"]]}}},{"id":581,"uris":["http://zotero.org/users/10895598/items/GJFDMI6Y"],"itemData":{"id":581,"type":"article-journal","container-title":"Arthropod-Plant Interactions","DOI":"10.1007/s11829-020-09782-5","ISSN":"1872-8855, 1872-8847","issue":"6","journalAbbreviation":"Arthropod-Plant Interactions","language":"en","page":"733-744","source":"DOI.org (Crossref)","title":"Possible effects of leaf tissue characteristics of oilseed rape &lt;i&gt;Brassica napus&lt;/i&gt; on probing and feeding behaviors of cabbage aphids &lt;i&gt;Brevicoryne brassicae&lt;/i&gt;","volume":"14","author":[{"family":"Hao","given":"Zhong-Ping"},{"family":"Zhan","given":"Hai-Xia"},{"family":"Gao","given":"Ling-Ling"},{"family":"Huang","given":"Fang"},{"family":"Zhu","given":"Li-Ni"},{"family":"Hou","given":"Shu-Min"}],"issued":{"date-parts":[["2020",12]]}}}],"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szCs w:val="24"/>
        </w:rPr>
        <w:t>(Gabryś and Pawluk, 1999; Hao et al., 2020)</w:t>
      </w:r>
      <w:r>
        <w:rPr>
          <w:rFonts w:ascii="Times New Roman" w:hAnsi="Times New Roman" w:cs="Times New Roman"/>
          <w:sz w:val="24"/>
          <w:szCs w:val="24"/>
        </w:rPr>
        <w:fldChar w:fldCharType="end"/>
      </w:r>
      <w:r w:rsidRPr="001274B0">
        <w:rPr>
          <w:rFonts w:ascii="Times New Roman" w:hAnsi="Times New Roman" w:cs="Times New Roman"/>
          <w:sz w:val="24"/>
          <w:szCs w:val="24"/>
        </w:rPr>
        <w:t xml:space="preserve">. </w:t>
      </w:r>
      <w:proofErr w:type="spellStart"/>
      <w:r w:rsidRPr="001274B0">
        <w:rPr>
          <w:rFonts w:ascii="Times New Roman" w:hAnsi="Times New Roman" w:cs="Times New Roman"/>
          <w:sz w:val="24"/>
          <w:szCs w:val="24"/>
        </w:rPr>
        <w:t>Electropenetrography</w:t>
      </w:r>
      <w:proofErr w:type="spellEnd"/>
      <w:r w:rsidRPr="001274B0">
        <w:rPr>
          <w:rFonts w:ascii="Times New Roman" w:hAnsi="Times New Roman" w:cs="Times New Roman"/>
          <w:sz w:val="24"/>
          <w:szCs w:val="24"/>
        </w:rPr>
        <w:t xml:space="preserve"> (EPG) recordings of stylet probing periods through plant cells help to understand aphid resistance, and numerous stylet insertions and removals indicate that there might be certain factors present which hinder aphid feeding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{"citationID":"bwhf4PxR","properties":{"formattedCitation":"(Tjallingii, 2006)","plainCitation":"(Tjallingii, 2006)","noteIndex":0},"citationItems":[{"id":111,"uris":["http://zotero.org/users/10895598/items/KFGPFZWY"],"itemData":{"id":111,"type":"article-journal","container-title":"Journal of Experimental Botany","DOI":"10.1093/jxb/erj088","ISSN":"1460-2431, 0022-0957","issue":"4","language":"en","page":"739-745","source":"DOI.org (Crossref)","title":"Salivary secretions by aphids interacting with proteins of phloem wound responses","volume":"57","author":[{"family":"Tjallingii","given":"W. Fred"}],"issued":{"date-parts":[["2006",3,1]]}}}],"schema":"https://github.com/citation-style-language/schema/raw/master/csl-citation.json"}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rPr>
        <w:t>(Tjallingii, 2006)</w:t>
      </w:r>
      <w:r>
        <w:rPr>
          <w:rFonts w:ascii="Times New Roman" w:hAnsi="Times New Roman" w:cs="Times New Roman"/>
          <w:sz w:val="24"/>
          <w:szCs w:val="24"/>
        </w:rPr>
        <w:fldChar w:fldCharType="end"/>
      </w:r>
      <w:r w:rsidRPr="001274B0">
        <w:rPr>
          <w:rFonts w:ascii="Times New Roman" w:hAnsi="Times New Roman" w:cs="Times New Roman"/>
          <w:sz w:val="24"/>
          <w:szCs w:val="24"/>
        </w:rPr>
        <w:t xml:space="preserve">. Firstly, the structure of the outer epidermal layer, </w:t>
      </w:r>
      <w:r w:rsidRPr="001274B0">
        <w:rPr>
          <w:rFonts w:ascii="Times New Roman" w:hAnsi="Times New Roman" w:cs="Times New Roman"/>
          <w:i/>
          <w:sz w:val="24"/>
          <w:szCs w:val="24"/>
        </w:rPr>
        <w:t xml:space="preserve">e.g. </w:t>
      </w:r>
      <w:r w:rsidRPr="001274B0">
        <w:rPr>
          <w:rFonts w:ascii="Times New Roman" w:hAnsi="Times New Roman" w:cs="Times New Roman"/>
          <w:sz w:val="24"/>
          <w:szCs w:val="24"/>
        </w:rPr>
        <w:t xml:space="preserve">thickness, trichome density, as well as the epidermis-released volatile and non-volatile chemical substances play an important role in host acceptance: Hao et al. (2020) observed that </w:t>
      </w:r>
      <w:r w:rsidRPr="001274B0">
        <w:rPr>
          <w:rFonts w:ascii="Times New Roman" w:hAnsi="Times New Roman" w:cs="Times New Roman"/>
          <w:i/>
          <w:sz w:val="24"/>
          <w:szCs w:val="24"/>
        </w:rPr>
        <w:t xml:space="preserve">B. </w:t>
      </w:r>
      <w:proofErr w:type="spellStart"/>
      <w:r w:rsidRPr="001274B0">
        <w:rPr>
          <w:rFonts w:ascii="Times New Roman" w:hAnsi="Times New Roman" w:cs="Times New Roman"/>
          <w:i/>
          <w:sz w:val="24"/>
          <w:szCs w:val="24"/>
        </w:rPr>
        <w:t>brassicae</w:t>
      </w:r>
      <w:proofErr w:type="spellEnd"/>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 xml:space="preserve">took longer time to start the first penetration on cultivars of </w:t>
      </w:r>
      <w:r w:rsidRPr="001274B0">
        <w:rPr>
          <w:rFonts w:ascii="Times New Roman" w:hAnsi="Times New Roman" w:cs="Times New Roman"/>
          <w:i/>
          <w:sz w:val="24"/>
          <w:szCs w:val="24"/>
        </w:rPr>
        <w:t xml:space="preserve">B. napus </w:t>
      </w:r>
      <w:r w:rsidRPr="001274B0">
        <w:rPr>
          <w:rFonts w:ascii="Times New Roman" w:hAnsi="Times New Roman" w:cs="Times New Roman"/>
          <w:sz w:val="24"/>
          <w:szCs w:val="24"/>
        </w:rPr>
        <w:t xml:space="preserve">with the thick epidermal layer and dense and long trichomes. It is also speculated that mesophyll cells of different </w:t>
      </w:r>
      <w:r w:rsidRPr="001274B0">
        <w:rPr>
          <w:rFonts w:ascii="Times New Roman" w:hAnsi="Times New Roman" w:cs="Times New Roman"/>
          <w:i/>
          <w:sz w:val="24"/>
          <w:szCs w:val="24"/>
        </w:rPr>
        <w:t xml:space="preserve">B. napus </w:t>
      </w:r>
      <w:r w:rsidRPr="001274B0">
        <w:rPr>
          <w:rFonts w:ascii="Times New Roman" w:hAnsi="Times New Roman" w:cs="Times New Roman"/>
          <w:sz w:val="24"/>
          <w:szCs w:val="24"/>
        </w:rPr>
        <w:t xml:space="preserve">cultivars might possess certain chemical stimuli which contribute to less or longer probing periods (Hao et al., 2020). When stylet reaches the phloem, aphids initiate the salivation in order to manipulate plant defence responses, </w:t>
      </w:r>
      <w:r w:rsidRPr="001274B0">
        <w:rPr>
          <w:rFonts w:ascii="Times New Roman" w:hAnsi="Times New Roman" w:cs="Times New Roman"/>
          <w:i/>
          <w:sz w:val="24"/>
          <w:szCs w:val="24"/>
        </w:rPr>
        <w:t>e.g.</w:t>
      </w:r>
      <w:r w:rsidRPr="001274B0">
        <w:rPr>
          <w:rFonts w:ascii="Times New Roman" w:hAnsi="Times New Roman" w:cs="Times New Roman"/>
          <w:sz w:val="24"/>
          <w:szCs w:val="24"/>
        </w:rPr>
        <w:t xml:space="preserve"> sieve tube occlusion, and longer salivation periods indicate non-host or resistant plant species or cultivars (</w:t>
      </w:r>
      <w:proofErr w:type="spellStart"/>
      <w:r w:rsidRPr="001274B0">
        <w:rPr>
          <w:rFonts w:ascii="Times New Roman" w:hAnsi="Times New Roman" w:cs="Times New Roman"/>
          <w:sz w:val="24"/>
          <w:szCs w:val="24"/>
        </w:rPr>
        <w:t>Tjallingii</w:t>
      </w:r>
      <w:proofErr w:type="spellEnd"/>
      <w:r w:rsidRPr="001274B0">
        <w:rPr>
          <w:rFonts w:ascii="Times New Roman" w:hAnsi="Times New Roman" w:cs="Times New Roman"/>
          <w:sz w:val="24"/>
          <w:szCs w:val="24"/>
        </w:rPr>
        <w:t xml:space="preserve">, 2006; Will et al., 2009, 2007). Nutritional quality of the phloem sap and secondary metabolites, such as GLSs play an important role in </w:t>
      </w:r>
      <w:r w:rsidRPr="001274B0">
        <w:rPr>
          <w:rFonts w:ascii="Times New Roman" w:hAnsi="Times New Roman" w:cs="Times New Roman"/>
          <w:i/>
          <w:sz w:val="24"/>
          <w:szCs w:val="24"/>
        </w:rPr>
        <w:t xml:space="preserve">B. </w:t>
      </w:r>
      <w:proofErr w:type="spellStart"/>
      <w:r w:rsidRPr="001274B0">
        <w:rPr>
          <w:rFonts w:ascii="Times New Roman" w:hAnsi="Times New Roman" w:cs="Times New Roman"/>
          <w:i/>
          <w:sz w:val="24"/>
          <w:szCs w:val="24"/>
        </w:rPr>
        <w:t>brassicae</w:t>
      </w:r>
      <w:proofErr w:type="spellEnd"/>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 xml:space="preserve">feeding </w:t>
      </w:r>
      <w:r>
        <w:rPr>
          <w:rFonts w:ascii="Times New Roman" w:hAnsi="Times New Roman" w:cs="Times New Roman"/>
          <w:sz w:val="24"/>
          <w:szCs w:val="24"/>
        </w:rPr>
        <w:t>as this specialist developed a biochemical adaptation to the GLS-</w:t>
      </w:r>
      <w:proofErr w:type="spellStart"/>
      <w:r>
        <w:rPr>
          <w:rFonts w:ascii="Times New Roman" w:hAnsi="Times New Roman" w:cs="Times New Roman"/>
          <w:sz w:val="24"/>
          <w:szCs w:val="24"/>
        </w:rPr>
        <w:t>myrosinase</w:t>
      </w:r>
      <w:proofErr w:type="spellEnd"/>
      <w:r>
        <w:rPr>
          <w:rFonts w:ascii="Times New Roman" w:hAnsi="Times New Roman" w:cs="Times New Roman"/>
          <w:sz w:val="24"/>
          <w:szCs w:val="24"/>
        </w:rPr>
        <w:t xml:space="preserve"> system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{"citationID":"PV6cCYIO","properties":{"formattedCitation":"(Cole, 1997; Francis et al., 2002)","plainCitation":"(Cole, 1997; Francis et al., 2002)","noteIndex":0},"citationItems":[{"id":585,"uris":["http://zotero.org/users/10895598/items/CL428VFN"],"itemData":{"id":585,"type":"article-journal","container-title":"Entomologia Experimentalis et Applicata","DOI":"10.1046/j.1570-7458.1997.00242.x","ISSN":"0013-8703, 1570-7458","issue":"2","journalAbbreviation":"Entomologia Experimentalis et Applicata","language":"en","page":"121-133","source":"DOI.org (Crossref)","title":"The relative importance of glucosinolates and amino acids to the development of two aphid pests &lt;i&gt;Brevicoryne brassicae&lt;/i&gt; and &lt;i&gt;Myzus persicae&lt;/i&gt; on wild and cultivated brassica species","volume":"85","author":[{"family":"Cole","given":"R. A."}],"issued":{"date-parts":[["1997",11]]}}},{"id":246,"uris":["http://zotero.org/users/10895598/items/9MI3AZHJ"],"itemData":{"id":246,"type":"article-journal","container-title":"Archives of Insect Biochemistry and Physiology","DOI":"10.1002/arch.10042","ISSN":"0739-4462, 1520-6327","issue":"4","journalAbbreviation":"Arch. Insect Biochem. Physiol.","language":"en","page":"173-182","source":"DOI.org (Crossref)","title":"Characterisation of aphid myrosinase and degradation studies of glucosinolates","volume":"50","author":[{"family":"Francis","given":"Fr</w:instrText>
      </w:r>
      <w:r>
        <w:rPr>
          <w:rFonts w:ascii="Tahoma" w:hAnsi="Tahoma" w:cs="Tahoma"/>
          <w:sz w:val="24"/>
          <w:szCs w:val="24"/>
        </w:rPr>
        <w:instrText>�</w:instrText>
      </w:r>
      <w:r>
        <w:rPr>
          <w:rFonts w:ascii="Times New Roman" w:hAnsi="Times New Roman" w:cs="Times New Roman"/>
          <w:sz w:val="24"/>
          <w:szCs w:val="24"/>
        </w:rPr>
        <w:instrText>d</w:instrText>
      </w:r>
      <w:r>
        <w:rPr>
          <w:rFonts w:ascii="Tahoma" w:hAnsi="Tahoma" w:cs="Tahoma"/>
          <w:sz w:val="24"/>
          <w:szCs w:val="24"/>
        </w:rPr>
        <w:instrText>�</w:instrText>
      </w:r>
      <w:r>
        <w:rPr>
          <w:rFonts w:ascii="Times New Roman" w:hAnsi="Times New Roman" w:cs="Times New Roman"/>
          <w:sz w:val="24"/>
          <w:szCs w:val="24"/>
        </w:rPr>
        <w:instrText xml:space="preserve">ric"},{"family":"Lognay","given":"Georges"},{"family":"Wathelet","given":"Jean-Paul"},{"family":"Haubruge","given":"Eric"}],"issued":{"date-parts":[["2002",8]]}}}],"schema":"https://github.com/citation-style-language/schema/raw/master/csl-citation.json"} </w:instrText>
      </w:r>
      <w:r>
        <w:rPr>
          <w:rFonts w:ascii="Times New Roman" w:hAnsi="Times New Roman" w:cs="Times New Roman"/>
          <w:sz w:val="24"/>
          <w:szCs w:val="24"/>
        </w:rPr>
        <w:fldChar w:fldCharType="separate"/>
      </w:r>
      <w:r w:rsidRPr="002B7909">
        <w:rPr>
          <w:rFonts w:ascii="Times New Roman" w:hAnsi="Times New Roman" w:cs="Times New Roman"/>
          <w:sz w:val="24"/>
        </w:rPr>
        <w:t>(Cole, 1997; Francis et al., 2002)</w:t>
      </w:r>
      <w:r>
        <w:rPr>
          <w:rFonts w:ascii="Times New Roman" w:hAnsi="Times New Roman" w:cs="Times New Roman"/>
          <w:sz w:val="24"/>
          <w:szCs w:val="24"/>
        </w:rPr>
        <w:fldChar w:fldCharType="end"/>
      </w:r>
      <w:r w:rsidRPr="001274B0">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{"citationID":"iRlTjjC9","properties":{"formattedCitation":"(Mezgebe and Azerefegne, 2021)","plainCitation":"(Mezgebe and Azerefegne, 2021)","dontUpdate":true,"noteIndex":0},"citationItems":[{"id":586,"uris":["http://zotero.org/users/10895598/items/3JL6KURS"],"itemData":{"id":586,"type":"article-journal","container-title":"International Journal of Tropical Insect Science","DOI":"10.1007/s42690-020-00340-3","ISSN":"1742-7592","issue":"2","journalAbbreviation":"Int J Trop Insect Sci","language":"en","page":"953-960","source":"DOI.org (Crossref)","title":"Effect of water stress on glucosinolate content of &lt;i&gt;Brassica carinata&lt;/i&gt; and performance of &lt;i&gt;Brevicoryne brassicae&lt;/i&gt; and &lt;i&gt;Myzus persicae&lt;/i&gt;","volume":"41","author":[{"family":"Mezgebe","given":"Amlsha"},{"family":"Azerefegne","given":"Ferdu"}],"issued":{"date-parts":[["2021",6]]}}}],"schema":"https://github.com/citation-style-language/schema/raw/master/csl-citation.json"}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rPr>
        <w:t>Mezgebe and Az</w:t>
      </w:r>
      <w:r>
        <w:rPr>
          <w:rFonts w:ascii="Times New Roman" w:hAnsi="Times New Roman" w:cs="Times New Roman"/>
          <w:sz w:val="24"/>
        </w:rPr>
        <w:t>erefegne (</w:t>
      </w:r>
      <w:r w:rsidRPr="00595453">
        <w:rPr>
          <w:rFonts w:ascii="Times New Roman" w:hAnsi="Times New Roman" w:cs="Times New Roman"/>
          <w:sz w:val="24"/>
        </w:rPr>
        <w:t>2021)</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1274B0">
        <w:rPr>
          <w:rFonts w:ascii="Times New Roman" w:hAnsi="Times New Roman" w:cs="Times New Roman"/>
          <w:sz w:val="24"/>
          <w:szCs w:val="24"/>
        </w:rPr>
        <w:t xml:space="preserve">found that drought-stressed </w:t>
      </w:r>
      <w:r w:rsidRPr="001274B0">
        <w:rPr>
          <w:rFonts w:ascii="Times New Roman" w:hAnsi="Times New Roman" w:cs="Times New Roman"/>
          <w:i/>
          <w:sz w:val="24"/>
          <w:szCs w:val="24"/>
        </w:rPr>
        <w:t xml:space="preserve">Brassica </w:t>
      </w:r>
      <w:proofErr w:type="spellStart"/>
      <w:r w:rsidRPr="001274B0">
        <w:rPr>
          <w:rFonts w:ascii="Times New Roman" w:hAnsi="Times New Roman" w:cs="Times New Roman"/>
          <w:i/>
          <w:sz w:val="24"/>
          <w:szCs w:val="24"/>
        </w:rPr>
        <w:t>carinata</w:t>
      </w:r>
      <w:proofErr w:type="spellEnd"/>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 xml:space="preserve">had a lower GLS content than well-watered plants; later, when infested by </w:t>
      </w:r>
      <w:r w:rsidRPr="001274B0">
        <w:rPr>
          <w:rFonts w:ascii="Times New Roman" w:hAnsi="Times New Roman" w:cs="Times New Roman"/>
          <w:i/>
          <w:sz w:val="24"/>
          <w:szCs w:val="24"/>
        </w:rPr>
        <w:t xml:space="preserve">B. </w:t>
      </w:r>
      <w:proofErr w:type="spellStart"/>
      <w:r w:rsidRPr="001274B0">
        <w:rPr>
          <w:rFonts w:ascii="Times New Roman" w:hAnsi="Times New Roman" w:cs="Times New Roman"/>
          <w:i/>
          <w:sz w:val="24"/>
          <w:szCs w:val="24"/>
        </w:rPr>
        <w:t>brassicae</w:t>
      </w:r>
      <w:proofErr w:type="spellEnd"/>
      <w:r w:rsidRPr="001274B0">
        <w:rPr>
          <w:rFonts w:ascii="Times New Roman" w:hAnsi="Times New Roman" w:cs="Times New Roman"/>
          <w:sz w:val="24"/>
          <w:szCs w:val="24"/>
        </w:rPr>
        <w:t>,</w:t>
      </w:r>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the total GLS content increased significantly following the increased number of aphids.</w:t>
      </w:r>
    </w:p>
    <w:p w14:paraId="44495CEC" w14:textId="77777777" w:rsidR="00007653" w:rsidRPr="001274B0" w:rsidRDefault="00007653" w:rsidP="00007653">
      <w:pPr>
        <w:spacing w:after="0" w:line="360" w:lineRule="auto"/>
        <w:ind w:firstLine="576"/>
        <w:jc w:val="both"/>
        <w:rPr>
          <w:rFonts w:ascii="Times New Roman" w:hAnsi="Times New Roman" w:cs="Times New Roman"/>
          <w:sz w:val="24"/>
          <w:szCs w:val="24"/>
        </w:rPr>
      </w:pPr>
      <w:r w:rsidRPr="001274B0">
        <w:rPr>
          <w:rFonts w:ascii="Times New Roman" w:hAnsi="Times New Roman" w:cs="Times New Roman"/>
          <w:sz w:val="24"/>
          <w:szCs w:val="24"/>
        </w:rPr>
        <w:t xml:space="preserve">Plant hormones also play a role in </w:t>
      </w:r>
      <w:r w:rsidRPr="001274B0">
        <w:rPr>
          <w:rFonts w:ascii="Times New Roman" w:hAnsi="Times New Roman" w:cs="Times New Roman"/>
          <w:i/>
          <w:sz w:val="24"/>
          <w:szCs w:val="24"/>
        </w:rPr>
        <w:t xml:space="preserve">B. </w:t>
      </w:r>
      <w:proofErr w:type="spellStart"/>
      <w:r w:rsidRPr="001274B0">
        <w:rPr>
          <w:rFonts w:ascii="Times New Roman" w:hAnsi="Times New Roman" w:cs="Times New Roman"/>
          <w:i/>
          <w:sz w:val="24"/>
          <w:szCs w:val="24"/>
        </w:rPr>
        <w:t>brassicae</w:t>
      </w:r>
      <w:proofErr w:type="spellEnd"/>
      <w:r w:rsidRPr="001274B0">
        <w:rPr>
          <w:rFonts w:ascii="Times New Roman" w:hAnsi="Times New Roman" w:cs="Times New Roman"/>
          <w:i/>
          <w:sz w:val="24"/>
          <w:szCs w:val="24"/>
        </w:rPr>
        <w:t xml:space="preserve"> </w:t>
      </w:r>
      <w:r w:rsidRPr="001274B0">
        <w:rPr>
          <w:rFonts w:ascii="Times New Roman" w:hAnsi="Times New Roman" w:cs="Times New Roman"/>
          <w:sz w:val="24"/>
          <w:szCs w:val="24"/>
        </w:rPr>
        <w:t xml:space="preserve">feeding: the upregulation of JA </w:t>
      </w:r>
      <w:proofErr w:type="spellStart"/>
      <w:r w:rsidRPr="001274B0">
        <w:rPr>
          <w:rFonts w:ascii="Times New Roman" w:hAnsi="Times New Roman" w:cs="Times New Roman"/>
          <w:sz w:val="24"/>
          <w:szCs w:val="24"/>
        </w:rPr>
        <w:t>signaling</w:t>
      </w:r>
      <w:proofErr w:type="spellEnd"/>
      <w:r w:rsidRPr="001274B0">
        <w:rPr>
          <w:rFonts w:ascii="Times New Roman" w:hAnsi="Times New Roman" w:cs="Times New Roman"/>
          <w:sz w:val="24"/>
          <w:szCs w:val="24"/>
        </w:rPr>
        <w:t xml:space="preserve">, plant treatment with SA or ABA can have a negative effect on aphid reproduction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{"citationID":"MPxieqRH","properties":{"formattedCitation":"(Dehghan et al., 2023; Khoshfarman-Borji et al., 2020; Ku\\uc0\\u347{}nierczyk et al., 2011)","plainCitation":"(Dehghan et al., 2023; Khoshfarman-Borji et al., 2020; Kuśnierczyk et al., 2011)","noteIndex":0},"citationItems":[{"id":606,"uris":["http://zotero.org/users/10895598/items/I4QTSAPS"],"itemData":{"id":606,"type":"article-journal","abstract":"Abstract\n            The cabbage aphid, Brevicoryne brassicae L. (Hemiptera: Aphididae), is one of the important pests of cruciferous plants throughout the world including Iran. In the present study, we grew cultivated canola plants under different fertilizers or distilled water and sprayed them with 100 µM abscisic acid (ABA) or a control solution (NaOH dissolved in water) to study (i) the antibiosis parameters of B. brassicae on these plants; (ii) the antixenosis of B. brassicae adults on these plants; (iii) the plant’s peroxidase (POD), polyphenol oxidase (PPO), and phenylalanine ammonia-lyase (PAL) activity; and (iv) the plant’s total phenolic and glucosinolate content. The results of antibiosis experiments showed that ABA and fertilizers have a profound and negative effect on the performance of B. brassicae. In the antixenosis experiment, control plants attracted a significantly higher number of adult females in comparison to treated plants. Also, B. brassicae had lower performance and preference when they were reared on the ABA-treated fertilized plants with higher levels of phenolic and glucosinolate content. These results prompted us to hypothesize that fertilizers enable canola plants to trigger a higher level of secondary metabolites. Our findings reveal that the type and level of nutrient availability may have different impacts on how the plant regulates its defense mechanisms.","container-title":"Journal of Insect Science","DOI":"10.1093/jisesa/iead037","ISSN":"1536-2442","issue":"3","language":"en","page":"17","source":"DOI.org (Crossref)","title":"Induction of resistance, enzyme activity, and phytochemicals in canola plants treated with abscisic acid elevated based on nutrient availability: a case study on &lt;i&gt;Brevicoryne brassicae&lt;/i&gt; L. (Hemiptera: Aphididae)","title-short":"Induction of resistance, enzyme activity, and phytochemicals in canola plants treated with abscisic acid elevated based on nutrient availability","volume":"23","author":[{"family":"Dehghan","given":"Azita"},{"family":"Rounagh-Ardakani","given":"Hamed"},{"family":"Mohammadzadeh","given":"Ali"},{"family":"Mohammadzadeh","given":"Mohammad"},{"family":"Mohammadzadeh","given":"Mozhgan"},{"family":"Borzoui","given":"Ehsan"}],"editor":[{"family":"Ons","given":"Sheila"}],"issued":{"date-parts":[["2023",5,1]]}}},{"id":605,"uris":["http://zotero.org/users/10895598/items/NRM59D9D"],"itemData":{"id":605,"type":"article-journal","abstract":"Abstract\n            \n              The cabbage aphid,\n              Brevicoryne brassicae\n              L. (Hem: Aphididae), is one of the most serious pests of canola worldwide. In this research, the effects of\n              Pseudomonas putida\n              , salicylic acid (SA), and integrated application of both inducers were studied on the resistance of canola to\n              B. brassicae\n              . In free-choice situation, the number of\n              B. brassicae\n              attracted on canola plants under treatments containing\n              P. putida\n              and SA was significantly lower compared to control plants. In the life table study, pre-adult survival, longevity, reproductive period, and fecundity of this aphid were lowest on plants treated with\n              P. putida\n              + SA. The net reproductive rate (\n              R\n              0\n              ), intrinsic rate of population increase (\n              r\n              ), and finite rate of increase (\n              λ\n              ) of\n              B. brassicae\n              decreased significantly in the following order: control (47.19 offspring, 0.293 and 1.340 day\n              −1\n              ),\n              P. putida\n              (16.7 offspring, 0.238 and 1.269 day\n              −1\n              ), SA (6.37 offspring, 0.163 and 1.178 day\n              −1\n              ), and\n              P. putida\n              + SA (3.24 offspring, 0.112 and 1.119 day\n              −1\n              ). Moreover, the beneficial effect of the integrated application of\n              P. putida\n              and SA on plant growth parameters was significantly evident in our study. The highest values of glucosinolates, total phenol, and flavonoids were recorded in\n              P. putida\n              + SA treatment. We concluded that canola plants treated with\n              P. putida\n              + SA are more resistant to the cabbage aphid. These findings demonstrated that SA integrated with\n              P. putida\n              on canola plants act effectively for reducing the population of\n              B. brassicae\n              and can be used in integrated management programs of this pest.","container-title":"Bulletin of Entomological Research","DOI":"10.1017/S0007485320000097","ISSN":"0007-4853, 1475-2670","issue":"5","journalAbbreviation":"Bull. Entomol. Res.","language":"en","page":"597-610","source":"DOI.org (Crossref)","title":"Induction of resistance against &lt;i&gt;Brevicoryne brassicae&lt;/i&gt; by &lt;i&gt;Pseudomonas putida&lt;/i&gt; and salicylic acid in canola","volume":"110","author":[{"family":"Khoshfarman-Borji","given":"H."},{"family":"Pahlavan Yali","given":"M."},{"family":"Bozorg-Amirkalaee","given":"M."}],"issued":{"date-parts":[["2020",10]]}}},{"id":587,"uris":["http://zotero.org/users/10895598/items/FWR8JQBK"],"itemData":{"id":587,"type":"article-journal","abstract":"Abstract\n            \n              Background\n              Phloem-feeding aphids deprive plants of assimilates, but mostly manage to avoid causing the mechanical tissue damage inflicted by chewing insects. Nevertheless, jasmonate signalling that is induced by infestation is important in mediating resistance to phloem feeders. Aphid attack induces the jasmonic acid signalling pathway, but very little is known about the specific impact jasmonates have on the expression of genes that respond to aphid attack.\n            \n            \n              Results\n              \n                We have evaluated the function that jasmonates have in regulating\n                Arabidopsis thaliana\n                responses to cabbage aphid (\n                Brevicoryne brassicae\n                ) by conducting a large-scale transcriptional analysis of two mutants:\n                aos\n                , which is defective in jasmonate production, and\n                fou2\n                , which constitutively induces jasmonic acid biosynthesis. This analysis enabled us to determine which genes' expression patterns depend on the jasmonic acid signalling pathway. We identified more than 200 genes whose expression in non-challenged plants depended on jasmonate levels and more than 800 genes that responded differently to infestation in\n                aos\n                and\n                fou2\n                plants than in wt. Several aphid-induced changes were compromised in the\n                aos\n                mutant, particularly genes connected to regulation of transcription, defence responses and redox changes. Due to jasmonate-triggered pre-activation of\n                fou2\n                , its transcriptional profile in non-challenged plants mimicked the induction of defence responses in wt. Additional activation of\n                fou2\n                upon aphid attack was therefore limited. Insect fitness experiments revealed that the physiological consequences of\n                fou2\n                mutation contributed to more effective protection against\n                B. brassicae\n                . However, the observed resistance of the\n                fou2\n                mutant was based on antibiotic rather than feeding deterrent properties of the mutant as indicated by an analysis of aphid feeding behaviour.\n              \n            \n            \n              Conclusions\n              \n                Analysis of transcriptional profiles of wt,\n                aos\n                and\n                fou2\n                plants revealed that the expression of more than 200 genes is dependent on jasmonate status, regardless of external stimuli. Moreover, the aphid-induced response of more than 800 transcripts is regulated by jasmonate signalling. Thus, in plants lacking jasmonates many of the defence-related responses induced by infestation in wt plants are impaired. Constant up-regulation of jasmonate signalling as evident in the\n                fou2\n                mutant causes reduction in aphid population growth, likely as a result of antibiotic properties of\n                fou2\n                plants. However,\n                aos\n                mutation does not seem to affect aphid performance when the density of\n                B. brassicae\n                populations on plants is low and aphids are free to move around.","container-title":"BMC Genomics","DOI":"10.1186/1471-2164-12-423","ISSN":"1471-2164","issue":"1","journalAbbreviation":"BMC Genomics","language":"en","page":"423","source":"DOI.org (Crossref)","title":"Testing the importance of jasmonate signalling in induction of plant defences upon cabbage aphid (&lt;i&gt;Brevicoryne brassicae&lt;/i&gt;) attack","volume":"12","author":[{"family":"Kuśnierczyk","given":"Anna"},{"family":"Tran","given":"Diem Ht"},{"family":"Winge","given":"Per"},{"family":"Jørstad","given":"Tommy S"},{"family":"Reese","given":"John C"},{"family":"Troczyńska","given":"Joanna"},{"family":"Bones","given":"Atle M"}],"issued":{"date-parts":[["2011",12]]}}}],"schema":"https://github.com/citation-style-language/schema/raw/master/csl-citation.json"}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szCs w:val="24"/>
        </w:rPr>
        <w:t>(Dehghan et al., 2023; Khoshfarman-Borji et al., 2020; Kuśnierczyk et al., 2011)</w:t>
      </w:r>
      <w:r>
        <w:rPr>
          <w:rFonts w:ascii="Times New Roman" w:hAnsi="Times New Roman" w:cs="Times New Roman"/>
          <w:sz w:val="24"/>
          <w:szCs w:val="24"/>
        </w:rPr>
        <w:fldChar w:fldCharType="end"/>
      </w:r>
      <w:r w:rsidRPr="001274B0">
        <w:rPr>
          <w:rFonts w:ascii="Times New Roman" w:hAnsi="Times New Roman" w:cs="Times New Roman"/>
          <w:sz w:val="24"/>
          <w:szCs w:val="24"/>
        </w:rPr>
        <w:t>.</w:t>
      </w:r>
    </w:p>
    <w:p w14:paraId="0F89A23D" w14:textId="2A89AED7" w:rsidR="00651897" w:rsidRDefault="00007653" w:rsidP="00651897">
      <w:pPr>
        <w:spacing w:after="0" w:line="360" w:lineRule="auto"/>
        <w:ind w:firstLine="576"/>
        <w:jc w:val="both"/>
        <w:rPr>
          <w:rFonts w:ascii="Times New Roman" w:hAnsi="Times New Roman" w:cs="Times New Roman"/>
          <w:sz w:val="24"/>
          <w:szCs w:val="24"/>
        </w:rPr>
      </w:pPr>
      <w:r w:rsidRPr="001274B0">
        <w:rPr>
          <w:rFonts w:ascii="Times New Roman" w:hAnsi="Times New Roman" w:cs="Times New Roman"/>
          <w:sz w:val="24"/>
          <w:szCs w:val="24"/>
        </w:rPr>
        <w:t xml:space="preserve">It should also be noted that different cultivars may affect the aphid reproduction and longevity in different ways; hence the right choice of cultivar could control the aphid infestation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{"citationID":"mt4FxoAT","properties":{"formattedCitation":"(Jahan et al., 2013)","plainCitation":"(Jahan et al., 2013)","noteIndex":0},"citationItems":[{"id":588,"uris":["http://zotero.org/users/10895598/items/U5CHI6HK"],"itemData":{"id":588,"type":"article-journal","container-title":"Archives of Phytopathology and Plant Protection","DOI":"10.1080/03235408.2012.749697","ISSN":"0323-5408, 1477-2906","issue":"6","journalAbbreviation":"Archives Of Phytopathology And Plant Protection","language":"en","page":"636-642","source":"DOI.org (Crossref)","title":"Effect of eight cauliflower cultivars on biological parameters of the cabbage aphid, &lt;i&gt;Brevicoryne brassicae&lt;/i&gt; (L.) (Hem: Aphididae) in laboratory conditions","title-short":"Effect of eight cauliflower cultivars on biological parameters of the cabbage aphid, &lt;i&gt;Brevicoryne brassicae&lt;/i&gt; (L.) (Hem","volume":"46","author":[{"family":"Jahan","given":"Fatemeh"},{"family":"Abbasipour","given":"Habib"},{"family":"Askarianzade","given":"Alireza"},{"family":"Hasanshahi","given":"Gholamhossein"},{"family":"Saeedizadeh","given":"Ayatallah"}],"issued":{"date-parts":[["2013",4]]}}}],"schema":"https://github.com/citation-style-language/schema/raw/master/csl-citation.json"} </w:instrText>
      </w:r>
      <w:r>
        <w:rPr>
          <w:rFonts w:ascii="Times New Roman" w:hAnsi="Times New Roman" w:cs="Times New Roman"/>
          <w:sz w:val="24"/>
          <w:szCs w:val="24"/>
        </w:rPr>
        <w:fldChar w:fldCharType="separate"/>
      </w:r>
      <w:r w:rsidRPr="00595453">
        <w:rPr>
          <w:rFonts w:ascii="Times New Roman" w:hAnsi="Times New Roman" w:cs="Times New Roman"/>
          <w:sz w:val="24"/>
        </w:rPr>
        <w:t>(Jahan et al., 2013)</w:t>
      </w:r>
      <w:r>
        <w:rPr>
          <w:rFonts w:ascii="Times New Roman" w:hAnsi="Times New Roman" w:cs="Times New Roman"/>
          <w:sz w:val="24"/>
          <w:szCs w:val="24"/>
        </w:rPr>
        <w:fldChar w:fldCharType="end"/>
      </w:r>
      <w:r w:rsidRPr="001274B0">
        <w:rPr>
          <w:rFonts w:ascii="Times New Roman" w:hAnsi="Times New Roman" w:cs="Times New Roman"/>
          <w:sz w:val="24"/>
          <w:szCs w:val="24"/>
        </w:rPr>
        <w:t>.</w:t>
      </w:r>
    </w:p>
    <w:p w14:paraId="4E54E95F" w14:textId="3777ADBB" w:rsidR="00007653" w:rsidRPr="00651897" w:rsidRDefault="00651897" w:rsidP="00651897">
      <w:pPr>
        <w:rPr>
          <w:rFonts w:ascii="Times New Roman" w:hAnsi="Times New Roman" w:cs="Times New Roman"/>
          <w:sz w:val="24"/>
          <w:szCs w:val="24"/>
        </w:rPr>
      </w:pPr>
      <w:r>
        <w:rPr>
          <w:rFonts w:ascii="Times New Roman" w:hAnsi="Times New Roman" w:cs="Times New Roman"/>
          <w:sz w:val="24"/>
          <w:szCs w:val="24"/>
        </w:rPr>
        <w:br w:type="page"/>
      </w:r>
    </w:p>
    <w:p w14:paraId="215098C0" w14:textId="1009D9D0" w:rsidR="00E7693B" w:rsidRPr="00E7693B" w:rsidRDefault="00E7693B" w:rsidP="00BB742A">
      <w:pPr>
        <w:pStyle w:val="Heading1"/>
      </w:pPr>
      <w:bookmarkStart w:id="31" w:name="_Toc167977604"/>
      <w:r w:rsidRPr="00E7693B">
        <w:lastRenderedPageBreak/>
        <w:t xml:space="preserve">Scientific </w:t>
      </w:r>
      <w:r w:rsidR="009944C5">
        <w:t>h</w:t>
      </w:r>
      <w:r w:rsidRPr="00E7693B">
        <w:t>ypothes</w:t>
      </w:r>
      <w:r w:rsidR="003574E4">
        <w:t>i</w:t>
      </w:r>
      <w:r w:rsidRPr="00E7693B">
        <w:t xml:space="preserve">s and </w:t>
      </w:r>
      <w:r w:rsidR="009944C5">
        <w:t>o</w:t>
      </w:r>
      <w:r w:rsidRPr="00E7693B">
        <w:t>bjectives</w:t>
      </w:r>
      <w:bookmarkEnd w:id="31"/>
    </w:p>
    <w:p w14:paraId="215098C1" w14:textId="77777777" w:rsidR="00E7693B" w:rsidRPr="00E7693B" w:rsidRDefault="00E7693B" w:rsidP="00684A4C">
      <w:pPr>
        <w:spacing w:after="0" w:line="360" w:lineRule="auto"/>
        <w:jc w:val="both"/>
        <w:rPr>
          <w:rFonts w:ascii="Times New Roman" w:hAnsi="Times New Roman" w:cs="Times New Roman"/>
          <w:b/>
          <w:i/>
        </w:rPr>
      </w:pPr>
    </w:p>
    <w:p w14:paraId="215098C2" w14:textId="02004C91" w:rsidR="00E7693B" w:rsidRPr="00BB742A" w:rsidRDefault="00E7693B" w:rsidP="00684A4C">
      <w:pPr>
        <w:spacing w:after="0" w:line="360" w:lineRule="auto"/>
        <w:jc w:val="both"/>
        <w:rPr>
          <w:rFonts w:ascii="Times New Roman" w:hAnsi="Times New Roman" w:cs="Times New Roman"/>
          <w:b/>
          <w:sz w:val="24"/>
          <w:szCs w:val="24"/>
        </w:rPr>
      </w:pPr>
      <w:r w:rsidRPr="00BB742A">
        <w:rPr>
          <w:rFonts w:ascii="Times New Roman" w:hAnsi="Times New Roman" w:cs="Times New Roman"/>
          <w:b/>
          <w:i/>
          <w:sz w:val="24"/>
          <w:szCs w:val="24"/>
        </w:rPr>
        <w:t xml:space="preserve">Scientific </w:t>
      </w:r>
      <w:r w:rsidR="009944C5">
        <w:rPr>
          <w:rFonts w:ascii="Times New Roman" w:hAnsi="Times New Roman" w:cs="Times New Roman"/>
          <w:b/>
          <w:i/>
          <w:sz w:val="24"/>
          <w:szCs w:val="24"/>
        </w:rPr>
        <w:t>h</w:t>
      </w:r>
      <w:r w:rsidRPr="00BB742A">
        <w:rPr>
          <w:rFonts w:ascii="Times New Roman" w:hAnsi="Times New Roman" w:cs="Times New Roman"/>
          <w:b/>
          <w:i/>
          <w:sz w:val="24"/>
          <w:szCs w:val="24"/>
        </w:rPr>
        <w:t>ypothes</w:t>
      </w:r>
      <w:r w:rsidR="003574E4">
        <w:rPr>
          <w:rFonts w:ascii="Times New Roman" w:hAnsi="Times New Roman" w:cs="Times New Roman"/>
          <w:b/>
          <w:i/>
          <w:sz w:val="24"/>
          <w:szCs w:val="24"/>
        </w:rPr>
        <w:t>i</w:t>
      </w:r>
      <w:r w:rsidRPr="00BB742A">
        <w:rPr>
          <w:rFonts w:ascii="Times New Roman" w:hAnsi="Times New Roman" w:cs="Times New Roman"/>
          <w:b/>
          <w:i/>
          <w:sz w:val="24"/>
          <w:szCs w:val="24"/>
        </w:rPr>
        <w:t>s</w:t>
      </w:r>
      <w:r w:rsidRPr="00BB742A">
        <w:rPr>
          <w:rFonts w:ascii="Times New Roman" w:hAnsi="Times New Roman" w:cs="Times New Roman"/>
          <w:b/>
          <w:sz w:val="24"/>
          <w:szCs w:val="24"/>
        </w:rPr>
        <w:t>:</w:t>
      </w:r>
    </w:p>
    <w:p w14:paraId="215098C3" w14:textId="77777777" w:rsidR="00E7693B" w:rsidRPr="00BB742A" w:rsidRDefault="00E7693B" w:rsidP="00684A4C">
      <w:pPr>
        <w:spacing w:after="0" w:line="360" w:lineRule="auto"/>
        <w:jc w:val="both"/>
        <w:rPr>
          <w:rFonts w:ascii="Times New Roman" w:hAnsi="Times New Roman" w:cs="Times New Roman"/>
          <w:sz w:val="24"/>
          <w:szCs w:val="24"/>
        </w:rPr>
      </w:pPr>
    </w:p>
    <w:p w14:paraId="130E5472" w14:textId="29132CC1" w:rsidR="001F789F" w:rsidRDefault="001F789F" w:rsidP="006B61C5">
      <w:pPr>
        <w:widowControl w:val="0"/>
        <w:pBdr>
          <w:top w:val="nil"/>
          <w:left w:val="nil"/>
          <w:bottom w:val="nil"/>
          <w:right w:val="nil"/>
          <w:between w:val="nil"/>
        </w:pBdr>
        <w:spacing w:after="0" w:line="360" w:lineRule="auto"/>
        <w:ind w:right="117"/>
        <w:jc w:val="both"/>
        <w:rPr>
          <w:rFonts w:ascii="Times New Roman" w:hAnsi="Times New Roman" w:cs="Times New Roman"/>
          <w:color w:val="000000"/>
          <w:sz w:val="24"/>
          <w:szCs w:val="24"/>
        </w:rPr>
      </w:pPr>
      <w:r>
        <w:rPr>
          <w:rFonts w:ascii="Times New Roman" w:hAnsi="Times New Roman" w:cs="Times New Roman"/>
          <w:color w:val="1D2228"/>
          <w:sz w:val="24"/>
          <w:szCs w:val="24"/>
          <w:shd w:val="clear" w:color="auto" w:fill="FFFFFF"/>
        </w:rPr>
        <w:t>P</w:t>
      </w:r>
      <w:r w:rsidRPr="001F789F">
        <w:rPr>
          <w:rFonts w:ascii="Times New Roman" w:hAnsi="Times New Roman" w:cs="Times New Roman"/>
          <w:color w:val="1D2228"/>
          <w:sz w:val="24"/>
          <w:szCs w:val="24"/>
          <w:shd w:val="clear" w:color="auto" w:fill="FFFFFF"/>
        </w:rPr>
        <w:t>lant</w:t>
      </w:r>
      <w:r w:rsidR="003574E4">
        <w:rPr>
          <w:rFonts w:ascii="Times New Roman" w:hAnsi="Times New Roman" w:cs="Times New Roman"/>
          <w:color w:val="1D2228"/>
          <w:sz w:val="24"/>
          <w:szCs w:val="24"/>
          <w:shd w:val="clear" w:color="auto" w:fill="FFFFFF"/>
        </w:rPr>
        <w:t xml:space="preserve">s </w:t>
      </w:r>
      <w:r w:rsidRPr="001F789F">
        <w:rPr>
          <w:rFonts w:ascii="Times New Roman" w:hAnsi="Times New Roman" w:cs="Times New Roman"/>
          <w:color w:val="1D2228"/>
          <w:sz w:val="24"/>
          <w:szCs w:val="24"/>
          <w:shd w:val="clear" w:color="auto" w:fill="FFFFFF"/>
        </w:rPr>
        <w:t>under pathogen</w:t>
      </w:r>
      <w:r w:rsidR="00F80341">
        <w:rPr>
          <w:rFonts w:ascii="Times New Roman" w:hAnsi="Times New Roman" w:cs="Times New Roman"/>
          <w:color w:val="1D2228"/>
          <w:sz w:val="24"/>
          <w:szCs w:val="24"/>
          <w:shd w:val="clear" w:color="auto" w:fill="FFFFFF"/>
        </w:rPr>
        <w:t xml:space="preserve"> or insect pest</w:t>
      </w:r>
      <w:r w:rsidRPr="001F789F">
        <w:rPr>
          <w:rFonts w:ascii="Times New Roman" w:hAnsi="Times New Roman" w:cs="Times New Roman"/>
          <w:color w:val="1D2228"/>
          <w:sz w:val="24"/>
          <w:szCs w:val="24"/>
          <w:shd w:val="clear" w:color="auto" w:fill="FFFFFF"/>
        </w:rPr>
        <w:t xml:space="preserve"> attack</w:t>
      </w:r>
      <w:r w:rsidR="00F80341">
        <w:rPr>
          <w:rFonts w:ascii="Times New Roman" w:hAnsi="Times New Roman" w:cs="Times New Roman"/>
          <w:color w:val="1D2228"/>
          <w:sz w:val="24"/>
          <w:szCs w:val="24"/>
          <w:shd w:val="clear" w:color="auto" w:fill="FFFFFF"/>
        </w:rPr>
        <w:t xml:space="preserve">, </w:t>
      </w:r>
      <w:r w:rsidR="003574E4">
        <w:rPr>
          <w:rFonts w:ascii="Times New Roman" w:hAnsi="Times New Roman" w:cs="Times New Roman"/>
          <w:color w:val="1D2228"/>
          <w:sz w:val="24"/>
          <w:szCs w:val="24"/>
          <w:shd w:val="clear" w:color="auto" w:fill="FFFFFF"/>
        </w:rPr>
        <w:t>root as</w:t>
      </w:r>
      <w:r w:rsidR="00F80341">
        <w:rPr>
          <w:rFonts w:ascii="Times New Roman" w:hAnsi="Times New Roman" w:cs="Times New Roman"/>
          <w:color w:val="1D2228"/>
          <w:sz w:val="24"/>
          <w:szCs w:val="24"/>
          <w:shd w:val="clear" w:color="auto" w:fill="FFFFFF"/>
        </w:rPr>
        <w:t xml:space="preserve">sociation with beneficial fungi or </w:t>
      </w:r>
      <w:r w:rsidR="003574E4">
        <w:rPr>
          <w:rFonts w:ascii="Times New Roman" w:hAnsi="Times New Roman" w:cs="Times New Roman"/>
          <w:color w:val="1D2228"/>
          <w:sz w:val="24"/>
          <w:szCs w:val="24"/>
          <w:shd w:val="clear" w:color="auto" w:fill="FFFFFF"/>
        </w:rPr>
        <w:t xml:space="preserve">treatment with resistance inducers </w:t>
      </w:r>
      <w:r w:rsidRPr="001F789F">
        <w:rPr>
          <w:rFonts w:ascii="Times New Roman" w:hAnsi="Times New Roman" w:cs="Times New Roman"/>
          <w:color w:val="1D2228"/>
          <w:sz w:val="24"/>
          <w:szCs w:val="24"/>
          <w:shd w:val="clear" w:color="auto" w:fill="FFFFFF"/>
        </w:rPr>
        <w:t>activate a plethora of defence responses</w:t>
      </w:r>
      <w:r w:rsidR="003574E4">
        <w:rPr>
          <w:rFonts w:ascii="Times New Roman" w:hAnsi="Times New Roman" w:cs="Times New Roman"/>
          <w:color w:val="1D2228"/>
          <w:sz w:val="24"/>
          <w:szCs w:val="24"/>
          <w:shd w:val="clear" w:color="auto" w:fill="FFFFFF"/>
        </w:rPr>
        <w:t xml:space="preserve"> that</w:t>
      </w:r>
      <w:r w:rsidRPr="001F789F">
        <w:rPr>
          <w:rFonts w:ascii="Times New Roman" w:hAnsi="Times New Roman" w:cs="Times New Roman"/>
          <w:color w:val="1D2228"/>
          <w:sz w:val="24"/>
          <w:szCs w:val="24"/>
          <w:shd w:val="clear" w:color="auto" w:fill="FFFFFF"/>
        </w:rPr>
        <w:t xml:space="preserve"> </w:t>
      </w:r>
      <w:r w:rsidR="00964E27">
        <w:rPr>
          <w:rFonts w:ascii="Times New Roman" w:hAnsi="Times New Roman" w:cs="Times New Roman"/>
          <w:color w:val="1D2228"/>
          <w:sz w:val="24"/>
          <w:szCs w:val="24"/>
          <w:shd w:val="clear" w:color="auto" w:fill="FFFFFF"/>
        </w:rPr>
        <w:t>may alter</w:t>
      </w:r>
      <w:r w:rsidRPr="001F789F">
        <w:rPr>
          <w:rFonts w:ascii="Times New Roman" w:hAnsi="Times New Roman" w:cs="Times New Roman"/>
          <w:color w:val="1D2228"/>
          <w:sz w:val="24"/>
          <w:szCs w:val="24"/>
          <w:shd w:val="clear" w:color="auto" w:fill="FFFFFF"/>
        </w:rPr>
        <w:t xml:space="preserve"> </w:t>
      </w:r>
      <w:r w:rsidR="003574E4">
        <w:rPr>
          <w:rFonts w:ascii="Times New Roman" w:hAnsi="Times New Roman" w:cs="Times New Roman"/>
          <w:color w:val="1D2228"/>
          <w:sz w:val="24"/>
          <w:szCs w:val="24"/>
          <w:shd w:val="clear" w:color="auto" w:fill="FFFFFF"/>
        </w:rPr>
        <w:t>their</w:t>
      </w:r>
      <w:r w:rsidRPr="001F789F">
        <w:rPr>
          <w:rFonts w:ascii="Times New Roman" w:hAnsi="Times New Roman" w:cs="Times New Roman"/>
          <w:color w:val="1D2228"/>
          <w:sz w:val="24"/>
          <w:szCs w:val="24"/>
          <w:shd w:val="clear" w:color="auto" w:fill="FFFFFF"/>
        </w:rPr>
        <w:t xml:space="preserve"> palatability </w:t>
      </w:r>
      <w:r>
        <w:rPr>
          <w:rFonts w:ascii="Times New Roman" w:hAnsi="Times New Roman" w:cs="Times New Roman"/>
          <w:color w:val="1D2228"/>
          <w:sz w:val="24"/>
          <w:szCs w:val="24"/>
          <w:shd w:val="clear" w:color="auto" w:fill="FFFFFF"/>
        </w:rPr>
        <w:t xml:space="preserve">or </w:t>
      </w:r>
      <w:r w:rsidRPr="001F789F">
        <w:rPr>
          <w:rFonts w:ascii="Times New Roman" w:hAnsi="Times New Roman" w:cs="Times New Roman"/>
          <w:color w:val="1D2228"/>
          <w:sz w:val="24"/>
          <w:szCs w:val="24"/>
          <w:shd w:val="clear" w:color="auto" w:fill="FFFFFF"/>
        </w:rPr>
        <w:t xml:space="preserve">attractiveness to </w:t>
      </w:r>
      <w:r w:rsidR="003574E4">
        <w:rPr>
          <w:rFonts w:ascii="Times New Roman" w:hAnsi="Times New Roman" w:cs="Times New Roman"/>
          <w:color w:val="1D2228"/>
          <w:sz w:val="24"/>
          <w:szCs w:val="24"/>
          <w:shd w:val="clear" w:color="auto" w:fill="FFFFFF"/>
        </w:rPr>
        <w:t>subsequent attackers</w:t>
      </w:r>
      <w:r w:rsidRPr="001F789F">
        <w:rPr>
          <w:rFonts w:ascii="Times New Roman" w:hAnsi="Times New Roman" w:cs="Times New Roman"/>
          <w:color w:val="1D2228"/>
          <w:sz w:val="24"/>
          <w:szCs w:val="24"/>
          <w:shd w:val="clear" w:color="auto" w:fill="FFFFFF"/>
        </w:rPr>
        <w:t xml:space="preserve">. </w:t>
      </w:r>
      <w:r>
        <w:rPr>
          <w:rFonts w:ascii="Times New Roman" w:hAnsi="Times New Roman" w:cs="Times New Roman"/>
          <w:color w:val="1D2228"/>
          <w:sz w:val="24"/>
          <w:szCs w:val="24"/>
          <w:shd w:val="clear" w:color="auto" w:fill="FFFFFF"/>
        </w:rPr>
        <w:t xml:space="preserve">The mechanisms underlying this </w:t>
      </w:r>
      <w:r w:rsidR="003574E4">
        <w:rPr>
          <w:rFonts w:ascii="Times New Roman" w:hAnsi="Times New Roman" w:cs="Times New Roman"/>
          <w:color w:val="1D2228"/>
          <w:sz w:val="24"/>
          <w:szCs w:val="24"/>
          <w:shd w:val="clear" w:color="auto" w:fill="FFFFFF"/>
        </w:rPr>
        <w:t>altered</w:t>
      </w:r>
      <w:r w:rsidRPr="00BB742A">
        <w:rPr>
          <w:rFonts w:ascii="Times New Roman" w:hAnsi="Times New Roman" w:cs="Times New Roman"/>
          <w:color w:val="000000"/>
          <w:sz w:val="24"/>
          <w:szCs w:val="24"/>
        </w:rPr>
        <w:t xml:space="preserve"> susceptibility</w:t>
      </w:r>
      <w:r>
        <w:rPr>
          <w:rFonts w:ascii="Times New Roman" w:hAnsi="Times New Roman" w:cs="Times New Roman"/>
          <w:color w:val="000000"/>
          <w:sz w:val="24"/>
          <w:szCs w:val="24"/>
        </w:rPr>
        <w:t xml:space="preserve">/resistance </w:t>
      </w:r>
      <w:r w:rsidRPr="00BB742A">
        <w:rPr>
          <w:rFonts w:ascii="Times New Roman" w:hAnsi="Times New Roman" w:cs="Times New Roman"/>
          <w:color w:val="000000"/>
          <w:sz w:val="24"/>
          <w:szCs w:val="24"/>
        </w:rPr>
        <w:t>to subsequent infestation</w:t>
      </w:r>
      <w:r w:rsidR="003574E4">
        <w:rPr>
          <w:rFonts w:ascii="Times New Roman" w:hAnsi="Times New Roman" w:cs="Times New Roman"/>
          <w:color w:val="000000"/>
          <w:sz w:val="24"/>
          <w:szCs w:val="24"/>
        </w:rPr>
        <w:t xml:space="preserve">/infection </w:t>
      </w:r>
      <w:r w:rsidRPr="00BB742A">
        <w:rPr>
          <w:rFonts w:ascii="Times New Roman" w:hAnsi="Times New Roman" w:cs="Times New Roman"/>
          <w:color w:val="000000"/>
          <w:sz w:val="24"/>
          <w:szCs w:val="24"/>
        </w:rPr>
        <w:t xml:space="preserve">were defined </w:t>
      </w:r>
      <w:r w:rsidR="003574E4">
        <w:rPr>
          <w:rFonts w:ascii="Times New Roman" w:hAnsi="Times New Roman" w:cs="Times New Roman"/>
          <w:color w:val="000000"/>
          <w:sz w:val="24"/>
          <w:szCs w:val="24"/>
        </w:rPr>
        <w:t xml:space="preserve">at the </w:t>
      </w:r>
      <w:r w:rsidRPr="00BB742A">
        <w:rPr>
          <w:rFonts w:ascii="Times New Roman" w:hAnsi="Times New Roman" w:cs="Times New Roman"/>
          <w:color w:val="000000"/>
          <w:sz w:val="24"/>
          <w:szCs w:val="24"/>
        </w:rPr>
        <w:t xml:space="preserve">molecular level on the </w:t>
      </w:r>
      <w:r w:rsidRPr="00BB742A">
        <w:rPr>
          <w:rFonts w:ascii="Times New Roman" w:hAnsi="Times New Roman" w:cs="Times New Roman"/>
          <w:sz w:val="24"/>
          <w:szCs w:val="24"/>
        </w:rPr>
        <w:t>basis</w:t>
      </w:r>
      <w:r w:rsidRPr="00BB742A">
        <w:rPr>
          <w:rFonts w:ascii="Times New Roman" w:hAnsi="Times New Roman" w:cs="Times New Roman"/>
          <w:color w:val="000000"/>
          <w:sz w:val="24"/>
          <w:szCs w:val="24"/>
        </w:rPr>
        <w:t xml:space="preserve"> of transcriptome and metabolome analys</w:t>
      </w:r>
      <w:r w:rsidR="003574E4">
        <w:rPr>
          <w:rFonts w:ascii="Times New Roman" w:hAnsi="Times New Roman" w:cs="Times New Roman"/>
          <w:color w:val="000000"/>
          <w:sz w:val="24"/>
          <w:szCs w:val="24"/>
        </w:rPr>
        <w:t>e</w:t>
      </w:r>
      <w:r w:rsidRPr="00BB742A">
        <w:rPr>
          <w:rFonts w:ascii="Times New Roman" w:hAnsi="Times New Roman" w:cs="Times New Roman"/>
          <w:color w:val="000000"/>
          <w:sz w:val="24"/>
          <w:szCs w:val="24"/>
        </w:rPr>
        <w:t>s.</w:t>
      </w:r>
      <w:r w:rsidR="003574E4">
        <w:rPr>
          <w:rFonts w:ascii="Times New Roman" w:hAnsi="Times New Roman" w:cs="Times New Roman"/>
          <w:color w:val="000000"/>
          <w:sz w:val="24"/>
          <w:szCs w:val="24"/>
        </w:rPr>
        <w:t xml:space="preserve"> </w:t>
      </w:r>
      <w:r w:rsidR="003574E4" w:rsidRPr="003574E4">
        <w:rPr>
          <w:rFonts w:ascii="Times New Roman" w:hAnsi="Times New Roman" w:cs="Times New Roman"/>
          <w:color w:val="000000"/>
          <w:sz w:val="24"/>
          <w:szCs w:val="24"/>
        </w:rPr>
        <w:t xml:space="preserve">The basis of the altered palatability can be revealed by changes in the plant secondary metabolites glucosinolates, and the </w:t>
      </w:r>
      <w:r w:rsidR="00964E27">
        <w:rPr>
          <w:rFonts w:ascii="Times New Roman" w:hAnsi="Times New Roman" w:cs="Times New Roman"/>
          <w:color w:val="000000"/>
          <w:sz w:val="24"/>
          <w:szCs w:val="24"/>
        </w:rPr>
        <w:t xml:space="preserve">basis of </w:t>
      </w:r>
      <w:r w:rsidR="003574E4" w:rsidRPr="003574E4">
        <w:rPr>
          <w:rFonts w:ascii="Times New Roman" w:hAnsi="Times New Roman" w:cs="Times New Roman"/>
          <w:color w:val="000000"/>
          <w:sz w:val="24"/>
          <w:szCs w:val="24"/>
        </w:rPr>
        <w:t xml:space="preserve">altered attractiveness </w:t>
      </w:r>
      <w:r w:rsidR="00964E27">
        <w:rPr>
          <w:rFonts w:ascii="Times New Roman" w:hAnsi="Times New Roman" w:cs="Times New Roman"/>
          <w:color w:val="000000"/>
          <w:sz w:val="24"/>
          <w:szCs w:val="24"/>
        </w:rPr>
        <w:t xml:space="preserve">can be revealed </w:t>
      </w:r>
      <w:r w:rsidR="003574E4" w:rsidRPr="003574E4">
        <w:rPr>
          <w:rFonts w:ascii="Times New Roman" w:hAnsi="Times New Roman" w:cs="Times New Roman"/>
          <w:color w:val="000000"/>
          <w:sz w:val="24"/>
          <w:szCs w:val="24"/>
        </w:rPr>
        <w:t>by changes in the plant-emitted volatile spectrum.</w:t>
      </w:r>
    </w:p>
    <w:p w14:paraId="1733C8F6" w14:textId="77777777" w:rsidR="007516EC" w:rsidRPr="00BB742A" w:rsidRDefault="007516EC" w:rsidP="007516EC">
      <w:pPr>
        <w:widowControl w:val="0"/>
        <w:pBdr>
          <w:top w:val="nil"/>
          <w:left w:val="nil"/>
          <w:bottom w:val="nil"/>
          <w:right w:val="nil"/>
          <w:between w:val="nil"/>
        </w:pBdr>
        <w:spacing w:after="0" w:line="360" w:lineRule="auto"/>
        <w:ind w:left="720" w:right="117"/>
        <w:jc w:val="both"/>
        <w:rPr>
          <w:rFonts w:ascii="Times New Roman" w:hAnsi="Times New Roman" w:cs="Times New Roman"/>
          <w:color w:val="000000"/>
          <w:sz w:val="24"/>
          <w:szCs w:val="24"/>
        </w:rPr>
      </w:pPr>
    </w:p>
    <w:p w14:paraId="215098CA" w14:textId="5E409C1D" w:rsidR="00E7693B" w:rsidRPr="007516EC" w:rsidRDefault="009944C5" w:rsidP="007516EC">
      <w:pPr>
        <w:pBdr>
          <w:top w:val="nil"/>
          <w:left w:val="nil"/>
          <w:bottom w:val="nil"/>
          <w:right w:val="nil"/>
          <w:between w:val="nil"/>
        </w:pBdr>
        <w:spacing w:after="0" w:line="360" w:lineRule="auto"/>
        <w:jc w:val="both"/>
        <w:rPr>
          <w:rFonts w:ascii="Times New Roman" w:hAnsi="Times New Roman" w:cs="Times New Roman"/>
          <w:color w:val="000000"/>
          <w:sz w:val="24"/>
          <w:szCs w:val="24"/>
        </w:rPr>
      </w:pPr>
      <w:r w:rsidRPr="007516EC">
        <w:rPr>
          <w:rFonts w:ascii="Times New Roman" w:hAnsi="Times New Roman" w:cs="Times New Roman"/>
          <w:b/>
          <w:i/>
          <w:sz w:val="24"/>
          <w:szCs w:val="24"/>
        </w:rPr>
        <w:t>Scientific o</w:t>
      </w:r>
      <w:r w:rsidR="00E7693B" w:rsidRPr="007516EC">
        <w:rPr>
          <w:rFonts w:ascii="Times New Roman" w:hAnsi="Times New Roman" w:cs="Times New Roman"/>
          <w:b/>
          <w:i/>
          <w:sz w:val="24"/>
          <w:szCs w:val="24"/>
        </w:rPr>
        <w:t>bjectives</w:t>
      </w:r>
      <w:r w:rsidR="00E7693B" w:rsidRPr="007516EC">
        <w:rPr>
          <w:rFonts w:ascii="Times New Roman" w:hAnsi="Times New Roman" w:cs="Times New Roman"/>
          <w:b/>
          <w:sz w:val="24"/>
          <w:szCs w:val="24"/>
        </w:rPr>
        <w:t>:</w:t>
      </w:r>
    </w:p>
    <w:p w14:paraId="215098CB" w14:textId="77777777" w:rsidR="00E7693B" w:rsidRPr="00BB742A" w:rsidRDefault="00E7693B" w:rsidP="007516EC">
      <w:pPr>
        <w:widowControl w:val="0"/>
        <w:spacing w:after="0" w:line="360" w:lineRule="auto"/>
        <w:ind w:right="111"/>
        <w:jc w:val="both"/>
        <w:rPr>
          <w:rFonts w:ascii="Times New Roman" w:hAnsi="Times New Roman" w:cs="Times New Roman"/>
          <w:sz w:val="24"/>
          <w:szCs w:val="24"/>
        </w:rPr>
      </w:pPr>
    </w:p>
    <w:p w14:paraId="215098CC" w14:textId="03839768" w:rsidR="00E7693B" w:rsidRPr="00BB742A" w:rsidRDefault="009944C5" w:rsidP="00E7693B">
      <w:pPr>
        <w:widowControl w:val="0"/>
        <w:numPr>
          <w:ilvl w:val="0"/>
          <w:numId w:val="3"/>
        </w:numPr>
        <w:pBdr>
          <w:top w:val="nil"/>
          <w:left w:val="nil"/>
          <w:bottom w:val="nil"/>
          <w:right w:val="nil"/>
          <w:between w:val="nil"/>
        </w:pBdr>
        <w:spacing w:line="360" w:lineRule="auto"/>
        <w:ind w:right="11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To </w:t>
      </w:r>
      <w:r w:rsidR="00FC36B6">
        <w:rPr>
          <w:rFonts w:ascii="Times New Roman" w:hAnsi="Times New Roman" w:cs="Times New Roman"/>
          <w:color w:val="000000"/>
          <w:sz w:val="24"/>
          <w:szCs w:val="24"/>
        </w:rPr>
        <w:t>study</w:t>
      </w:r>
      <w:r>
        <w:rPr>
          <w:rFonts w:ascii="Times New Roman" w:hAnsi="Times New Roman" w:cs="Times New Roman"/>
          <w:color w:val="000000"/>
          <w:sz w:val="24"/>
          <w:szCs w:val="24"/>
        </w:rPr>
        <w:t xml:space="preserve"> c</w:t>
      </w:r>
      <w:r w:rsidR="00E7693B" w:rsidRPr="00BB742A">
        <w:rPr>
          <w:rFonts w:ascii="Times New Roman" w:hAnsi="Times New Roman" w:cs="Times New Roman"/>
          <w:color w:val="000000"/>
          <w:sz w:val="24"/>
          <w:szCs w:val="24"/>
        </w:rPr>
        <w:t xml:space="preserve">hanges in phytohormonal </w:t>
      </w:r>
      <w:proofErr w:type="spellStart"/>
      <w:r w:rsidR="00E7693B" w:rsidRPr="00BB742A">
        <w:rPr>
          <w:rFonts w:ascii="Times New Roman" w:hAnsi="Times New Roman" w:cs="Times New Roman"/>
          <w:color w:val="000000"/>
          <w:sz w:val="24"/>
          <w:szCs w:val="24"/>
        </w:rPr>
        <w:t>signaling</w:t>
      </w:r>
      <w:proofErr w:type="spellEnd"/>
      <w:r w:rsidR="00FC36B6">
        <w:rPr>
          <w:rFonts w:ascii="Times New Roman" w:hAnsi="Times New Roman" w:cs="Times New Roman"/>
          <w:color w:val="000000"/>
          <w:sz w:val="24"/>
          <w:szCs w:val="24"/>
        </w:rPr>
        <w:t>, glucosinolate and volatile level in diseased and infested plants</w:t>
      </w:r>
      <w:r w:rsidR="00E7693B" w:rsidRPr="00BB742A">
        <w:rPr>
          <w:rFonts w:ascii="Times New Roman" w:hAnsi="Times New Roman" w:cs="Times New Roman"/>
          <w:color w:val="000000"/>
          <w:sz w:val="24"/>
          <w:szCs w:val="24"/>
        </w:rPr>
        <w:t xml:space="preserve"> </w:t>
      </w:r>
      <w:r w:rsidR="00FC36B6" w:rsidRPr="00BB742A">
        <w:rPr>
          <w:rFonts w:ascii="Times New Roman" w:hAnsi="Times New Roman" w:cs="Times New Roman"/>
          <w:color w:val="000000"/>
          <w:sz w:val="24"/>
          <w:szCs w:val="24"/>
        </w:rPr>
        <w:t>and plants associated with beneficial fung</w:t>
      </w:r>
      <w:r w:rsidR="00FC36B6">
        <w:rPr>
          <w:rFonts w:ascii="Times New Roman" w:hAnsi="Times New Roman" w:cs="Times New Roman"/>
          <w:color w:val="000000"/>
          <w:sz w:val="24"/>
          <w:szCs w:val="24"/>
        </w:rPr>
        <w:t xml:space="preserve">i in different </w:t>
      </w:r>
      <w:proofErr w:type="spellStart"/>
      <w:r w:rsidR="00FC36B6">
        <w:rPr>
          <w:rFonts w:ascii="Times New Roman" w:hAnsi="Times New Roman" w:cs="Times New Roman"/>
          <w:color w:val="000000"/>
          <w:sz w:val="24"/>
          <w:szCs w:val="24"/>
        </w:rPr>
        <w:t>pathosystems</w:t>
      </w:r>
      <w:proofErr w:type="spellEnd"/>
      <w:r w:rsidR="00FC36B6">
        <w:rPr>
          <w:rFonts w:ascii="Times New Roman" w:hAnsi="Times New Roman" w:cs="Times New Roman"/>
          <w:color w:val="000000"/>
          <w:sz w:val="24"/>
          <w:szCs w:val="24"/>
        </w:rPr>
        <w:t>.</w:t>
      </w:r>
    </w:p>
    <w:p w14:paraId="215098D1" w14:textId="1F2D3A02" w:rsidR="00E7693B" w:rsidRPr="00BB742A" w:rsidRDefault="003001BB">
      <w:pPr>
        <w:widowControl w:val="0"/>
        <w:numPr>
          <w:ilvl w:val="0"/>
          <w:numId w:val="3"/>
        </w:numPr>
        <w:pBdr>
          <w:top w:val="nil"/>
          <w:left w:val="nil"/>
          <w:bottom w:val="nil"/>
          <w:right w:val="nil"/>
          <w:between w:val="nil"/>
        </w:pBdr>
        <w:spacing w:line="360" w:lineRule="auto"/>
        <w:ind w:right="123"/>
        <w:jc w:val="both"/>
        <w:rPr>
          <w:rFonts w:ascii="Times New Roman" w:hAnsi="Times New Roman" w:cs="Times New Roman"/>
          <w:color w:val="000000"/>
          <w:sz w:val="24"/>
          <w:szCs w:val="24"/>
        </w:rPr>
      </w:pPr>
      <w:r w:rsidRPr="003001BB">
        <w:rPr>
          <w:rFonts w:ascii="Times New Roman" w:hAnsi="Times New Roman" w:cs="Times New Roman"/>
          <w:color w:val="000000"/>
          <w:sz w:val="24"/>
          <w:szCs w:val="24"/>
        </w:rPr>
        <w:t>To assess the impact of different resistance inducers on the palatability of plants to insect herbivores</w:t>
      </w:r>
      <w:r w:rsidR="00E7693B" w:rsidRPr="00BB742A">
        <w:rPr>
          <w:rFonts w:ascii="Times New Roman" w:hAnsi="Times New Roman" w:cs="Times New Roman"/>
          <w:sz w:val="24"/>
          <w:szCs w:val="24"/>
        </w:rPr>
        <w:t>.</w:t>
      </w:r>
    </w:p>
    <w:p w14:paraId="215098D2" w14:textId="77777777" w:rsidR="00E7693B" w:rsidRPr="00BB742A" w:rsidRDefault="00E7693B">
      <w:pPr>
        <w:rPr>
          <w:rFonts w:ascii="Times New Roman" w:hAnsi="Times New Roman" w:cs="Times New Roman"/>
          <w:sz w:val="24"/>
          <w:szCs w:val="24"/>
        </w:rPr>
      </w:pPr>
      <w:bookmarkStart w:id="32" w:name="_heading=h.ku8muvutwgmh" w:colFirst="0" w:colLast="0"/>
      <w:bookmarkEnd w:id="32"/>
      <w:r w:rsidRPr="00BB742A">
        <w:rPr>
          <w:rFonts w:ascii="Times New Roman" w:hAnsi="Times New Roman" w:cs="Times New Roman"/>
          <w:sz w:val="24"/>
          <w:szCs w:val="24"/>
        </w:rPr>
        <w:br w:type="page"/>
      </w:r>
    </w:p>
    <w:p w14:paraId="215098D3" w14:textId="212BF3A7" w:rsidR="00E7693B" w:rsidRPr="00E7693B" w:rsidRDefault="00E7693B" w:rsidP="00BB742A">
      <w:pPr>
        <w:pStyle w:val="Heading1"/>
      </w:pPr>
      <w:bookmarkStart w:id="33" w:name="_Toc167977605"/>
      <w:r w:rsidRPr="00E7693B">
        <w:lastRenderedPageBreak/>
        <w:t xml:space="preserve">Materials and </w:t>
      </w:r>
      <w:r w:rsidR="00B91720">
        <w:t>m</w:t>
      </w:r>
      <w:r w:rsidRPr="00E7693B">
        <w:t>ethods</w:t>
      </w:r>
      <w:bookmarkEnd w:id="33"/>
    </w:p>
    <w:p w14:paraId="215098D4" w14:textId="77777777" w:rsidR="00E7693B" w:rsidRPr="00BB742A" w:rsidRDefault="00E7693B" w:rsidP="00684A4C">
      <w:pPr>
        <w:spacing w:after="0" w:line="360" w:lineRule="auto"/>
        <w:rPr>
          <w:rFonts w:ascii="Times New Roman" w:hAnsi="Times New Roman" w:cs="Times New Roman"/>
          <w:sz w:val="24"/>
          <w:szCs w:val="24"/>
        </w:rPr>
      </w:pPr>
    </w:p>
    <w:p w14:paraId="215098D5" w14:textId="77777777" w:rsidR="00E7693B" w:rsidRPr="00E7693B" w:rsidRDefault="00E7693B" w:rsidP="00BB742A">
      <w:pPr>
        <w:pStyle w:val="Heading2"/>
      </w:pPr>
      <w:bookmarkStart w:id="34" w:name="_Toc167977606"/>
      <w:r w:rsidRPr="00E7693B">
        <w:t>Plant material</w:t>
      </w:r>
      <w:bookmarkEnd w:id="34"/>
    </w:p>
    <w:p w14:paraId="215098D6" w14:textId="77777777" w:rsidR="00E7693B" w:rsidRPr="00BB742A" w:rsidRDefault="00E7693B" w:rsidP="00684A4C">
      <w:pPr>
        <w:pBdr>
          <w:top w:val="nil"/>
          <w:left w:val="nil"/>
          <w:bottom w:val="nil"/>
          <w:right w:val="nil"/>
          <w:between w:val="nil"/>
        </w:pBdr>
        <w:spacing w:after="0" w:line="360" w:lineRule="auto"/>
        <w:rPr>
          <w:rFonts w:ascii="Times New Roman" w:hAnsi="Times New Roman" w:cs="Times New Roman"/>
          <w:color w:val="000000"/>
          <w:sz w:val="24"/>
          <w:szCs w:val="24"/>
        </w:rPr>
      </w:pPr>
    </w:p>
    <w:p w14:paraId="215098D7" w14:textId="4FCE86AD"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color w:val="000000"/>
          <w:sz w:val="24"/>
          <w:szCs w:val="24"/>
        </w:rPr>
        <w:t>Oilseed rape (</w:t>
      </w:r>
      <w:r w:rsidRPr="00BB742A">
        <w:rPr>
          <w:rFonts w:ascii="Times New Roman" w:hAnsi="Times New Roman" w:cs="Times New Roman"/>
          <w:i/>
          <w:color w:val="000000"/>
          <w:sz w:val="24"/>
          <w:szCs w:val="24"/>
        </w:rPr>
        <w:t xml:space="preserve">Brassica napus </w:t>
      </w:r>
      <w:r w:rsidRPr="00BB742A">
        <w:rPr>
          <w:rFonts w:ascii="Times New Roman" w:hAnsi="Times New Roman" w:cs="Times New Roman"/>
          <w:color w:val="000000"/>
          <w:sz w:val="24"/>
          <w:szCs w:val="24"/>
        </w:rPr>
        <w:t>cv. Columbus), cauliflower (</w:t>
      </w:r>
      <w:r w:rsidRPr="00BB742A">
        <w:rPr>
          <w:rFonts w:ascii="Times New Roman" w:hAnsi="Times New Roman" w:cs="Times New Roman"/>
          <w:i/>
          <w:color w:val="000000"/>
          <w:sz w:val="24"/>
          <w:szCs w:val="24"/>
        </w:rPr>
        <w:t xml:space="preserve">Brassica oleracea </w:t>
      </w:r>
      <w:proofErr w:type="spellStart"/>
      <w:r w:rsidRPr="00BB742A">
        <w:rPr>
          <w:rFonts w:ascii="Times New Roman" w:hAnsi="Times New Roman" w:cs="Times New Roman"/>
          <w:color w:val="000000"/>
          <w:sz w:val="24"/>
          <w:szCs w:val="24"/>
        </w:rPr>
        <w:t>convar</w:t>
      </w:r>
      <w:proofErr w:type="spellEnd"/>
      <w:r w:rsidRPr="00BB742A">
        <w:rPr>
          <w:rFonts w:ascii="Times New Roman" w:hAnsi="Times New Roman" w:cs="Times New Roman"/>
          <w:color w:val="000000"/>
          <w:sz w:val="24"/>
          <w:szCs w:val="24"/>
        </w:rPr>
        <w:t xml:space="preserve">. </w:t>
      </w:r>
      <w:r w:rsidRPr="00BB742A">
        <w:rPr>
          <w:rFonts w:ascii="Times New Roman" w:hAnsi="Times New Roman" w:cs="Times New Roman"/>
          <w:i/>
          <w:color w:val="000000"/>
          <w:sz w:val="24"/>
          <w:szCs w:val="24"/>
        </w:rPr>
        <w:t xml:space="preserve">botrytis, </w:t>
      </w:r>
      <w:r w:rsidRPr="00BB742A">
        <w:rPr>
          <w:rFonts w:ascii="Times New Roman" w:hAnsi="Times New Roman" w:cs="Times New Roman"/>
          <w:color w:val="000000"/>
          <w:sz w:val="24"/>
          <w:szCs w:val="24"/>
        </w:rPr>
        <w:t>cv.</w:t>
      </w:r>
      <w:r w:rsidRPr="00BB742A">
        <w:rPr>
          <w:rFonts w:ascii="Times New Roman" w:hAnsi="Times New Roman" w:cs="Times New Roman"/>
          <w:i/>
          <w:color w:val="000000"/>
          <w:sz w:val="24"/>
          <w:szCs w:val="24"/>
        </w:rPr>
        <w:t xml:space="preserve"> </w:t>
      </w:r>
      <w:proofErr w:type="spellStart"/>
      <w:r w:rsidRPr="00BB742A">
        <w:rPr>
          <w:rFonts w:ascii="Times New Roman" w:hAnsi="Times New Roman" w:cs="Times New Roman"/>
          <w:color w:val="000000"/>
          <w:sz w:val="24"/>
          <w:szCs w:val="24"/>
        </w:rPr>
        <w:t>Opaal</w:t>
      </w:r>
      <w:proofErr w:type="spellEnd"/>
      <w:r w:rsidRPr="00BB742A">
        <w:rPr>
          <w:rFonts w:ascii="Times New Roman" w:hAnsi="Times New Roman" w:cs="Times New Roman"/>
          <w:color w:val="000000"/>
          <w:sz w:val="24"/>
          <w:szCs w:val="24"/>
        </w:rPr>
        <w:t xml:space="preserve">) and </w:t>
      </w:r>
      <w:r w:rsidRPr="00BB742A">
        <w:rPr>
          <w:rFonts w:ascii="Times New Roman" w:hAnsi="Times New Roman" w:cs="Times New Roman"/>
          <w:i/>
          <w:sz w:val="24"/>
          <w:szCs w:val="24"/>
        </w:rPr>
        <w:t>A</w:t>
      </w:r>
      <w:r w:rsidRPr="00BB742A">
        <w:rPr>
          <w:rFonts w:ascii="Times New Roman" w:hAnsi="Times New Roman" w:cs="Times New Roman"/>
          <w:i/>
          <w:color w:val="000000"/>
          <w:sz w:val="24"/>
          <w:szCs w:val="24"/>
        </w:rPr>
        <w:t>rabidopsis</w:t>
      </w:r>
      <w:r w:rsidRPr="00BB742A">
        <w:rPr>
          <w:rFonts w:ascii="Times New Roman" w:hAnsi="Times New Roman" w:cs="Times New Roman"/>
          <w:color w:val="000000"/>
          <w:sz w:val="24"/>
          <w:szCs w:val="24"/>
        </w:rPr>
        <w:t xml:space="preserve"> plants (</w:t>
      </w:r>
      <w:r w:rsidRPr="00BB742A">
        <w:rPr>
          <w:rFonts w:ascii="Times New Roman" w:hAnsi="Times New Roman" w:cs="Times New Roman"/>
          <w:i/>
          <w:color w:val="000000"/>
          <w:sz w:val="24"/>
          <w:szCs w:val="24"/>
        </w:rPr>
        <w:t>Arabidopsis thaliana</w:t>
      </w:r>
      <w:r w:rsidR="00CE7B79">
        <w:rPr>
          <w:rFonts w:ascii="Times New Roman" w:hAnsi="Times New Roman" w:cs="Times New Roman"/>
          <w:color w:val="000000"/>
          <w:sz w:val="24"/>
          <w:szCs w:val="24"/>
        </w:rPr>
        <w:t xml:space="preserve">, </w:t>
      </w:r>
      <w:r w:rsidR="00FB2D84">
        <w:rPr>
          <w:rFonts w:ascii="Times New Roman" w:hAnsi="Times New Roman" w:cs="Times New Roman"/>
          <w:color w:val="000000"/>
          <w:sz w:val="24"/>
          <w:szCs w:val="24"/>
        </w:rPr>
        <w:t xml:space="preserve">ecotype </w:t>
      </w:r>
      <w:r w:rsidR="00CE7B79">
        <w:rPr>
          <w:rFonts w:ascii="Times New Roman" w:hAnsi="Times New Roman" w:cs="Times New Roman"/>
          <w:color w:val="000000"/>
          <w:sz w:val="24"/>
          <w:szCs w:val="24"/>
        </w:rPr>
        <w:t>Columbia</w:t>
      </w:r>
      <w:r w:rsidR="008C4D2B">
        <w:rPr>
          <w:rFonts w:ascii="Times New Roman" w:hAnsi="Times New Roman" w:cs="Times New Roman"/>
          <w:color w:val="000000"/>
          <w:sz w:val="24"/>
          <w:szCs w:val="24"/>
        </w:rPr>
        <w:t>-</w:t>
      </w:r>
      <w:r w:rsidR="00CE7B79">
        <w:rPr>
          <w:rFonts w:ascii="Times New Roman" w:hAnsi="Times New Roman" w:cs="Times New Roman"/>
          <w:color w:val="000000"/>
          <w:sz w:val="24"/>
          <w:szCs w:val="24"/>
        </w:rPr>
        <w:t>0</w:t>
      </w:r>
      <w:r w:rsidR="008C4D2B">
        <w:rPr>
          <w:rFonts w:ascii="Times New Roman" w:hAnsi="Times New Roman" w:cs="Times New Roman"/>
          <w:color w:val="000000"/>
          <w:sz w:val="24"/>
          <w:szCs w:val="24"/>
        </w:rPr>
        <w:t>; Col-0</w:t>
      </w:r>
      <w:r w:rsidRPr="00BB742A">
        <w:rPr>
          <w:rFonts w:ascii="Times New Roman" w:hAnsi="Times New Roman" w:cs="Times New Roman"/>
          <w:color w:val="000000"/>
          <w:sz w:val="24"/>
          <w:szCs w:val="24"/>
        </w:rPr>
        <w:t xml:space="preserve">)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used for experiments. Oilseed rape is an important crop, and cauliflower is widely used vegetable in human nutrition. </w:t>
      </w:r>
      <w:r w:rsidRPr="00BB742A">
        <w:rPr>
          <w:rFonts w:ascii="Times New Roman" w:hAnsi="Times New Roman" w:cs="Times New Roman"/>
          <w:i/>
          <w:color w:val="000000"/>
          <w:sz w:val="24"/>
          <w:szCs w:val="24"/>
        </w:rPr>
        <w:t xml:space="preserve">Arabidopsis </w:t>
      </w:r>
      <w:r w:rsidRPr="00BB742A">
        <w:rPr>
          <w:rFonts w:ascii="Times New Roman" w:hAnsi="Times New Roman" w:cs="Times New Roman"/>
          <w:color w:val="000000"/>
          <w:sz w:val="24"/>
          <w:szCs w:val="24"/>
        </w:rPr>
        <w:t xml:space="preserve">is a well-described model plant, with completely sequenced genome and various mutants available, which are being used </w:t>
      </w:r>
      <w:r w:rsidRPr="00BB742A">
        <w:rPr>
          <w:rFonts w:ascii="Times New Roman" w:hAnsi="Times New Roman" w:cs="Times New Roman"/>
          <w:sz w:val="24"/>
          <w:szCs w:val="24"/>
        </w:rPr>
        <w:t xml:space="preserve">for basic physiology studies as well as </w:t>
      </w:r>
      <w:r w:rsidRPr="00BB742A">
        <w:rPr>
          <w:rFonts w:ascii="Times New Roman" w:hAnsi="Times New Roman" w:cs="Times New Roman"/>
          <w:color w:val="000000"/>
          <w:sz w:val="24"/>
          <w:szCs w:val="24"/>
        </w:rPr>
        <w:t xml:space="preserve">to address the role of </w:t>
      </w:r>
      <w:proofErr w:type="spellStart"/>
      <w:r w:rsidRPr="00BB742A">
        <w:rPr>
          <w:rFonts w:ascii="Times New Roman" w:hAnsi="Times New Roman" w:cs="Times New Roman"/>
          <w:color w:val="000000"/>
          <w:sz w:val="24"/>
          <w:szCs w:val="24"/>
        </w:rPr>
        <w:t>signaling</w:t>
      </w:r>
      <w:proofErr w:type="spellEnd"/>
      <w:r w:rsidRPr="00BB742A">
        <w:rPr>
          <w:rFonts w:ascii="Times New Roman" w:hAnsi="Times New Roman" w:cs="Times New Roman"/>
          <w:color w:val="000000"/>
          <w:sz w:val="24"/>
          <w:szCs w:val="24"/>
        </w:rPr>
        <w:t xml:space="preserve"> pathways and phytohormones </w:t>
      </w:r>
      <w:r w:rsidRPr="00BB742A">
        <w:rPr>
          <w:rFonts w:ascii="Times New Roman" w:hAnsi="Times New Roman" w:cs="Times New Roman"/>
          <w:sz w:val="24"/>
          <w:szCs w:val="24"/>
        </w:rPr>
        <w:t>as plant responses to biotic stressors.</w:t>
      </w:r>
    </w:p>
    <w:p w14:paraId="215098D8" w14:textId="49698BFA"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color w:val="000000"/>
          <w:sz w:val="24"/>
          <w:szCs w:val="24"/>
        </w:rPr>
        <w:t xml:space="preserve">Oilseed rape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cultivated individually in seedling trays, hydroponically in perlite in Steiner cultivation medium </w:t>
      </w:r>
      <w:r w:rsidR="002E4058">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{"citationID":"DonjTFnI","properties":{"formattedCitation":"(Steiner, 1984)","plainCitation":"(Steiner, 1984)","noteIndex":0},"citationItems":[{"id":436,"uris":["http://zotero.org/users/10895598/items/QH9GNXF7"],"itemData":{"id":436,"type":"paper-conference","abstract":"AGRICULTURAL SCIENCE AND TECHNOLOGY INFORMATION","event-title":"6. International Congress on Soilless Culture, Lunteren (Netherlands), 29 Apr - 5 May 1984","language":"English","publisher":"ISOSC","source":"agris.fao.org","title":"The universal nutrient solution","URL":"https://agris.fao.org/agris-search/search.do?recordID=XE8581917","author":[{"family":"Steiner","given":"A. A."}],"accessed":{"date-parts":[["2022",10,31]]},"issued":{"date-parts":[["1984"]]}}}],"schema":"https://github.com/citation-style-language/schema/raw/master/csl-citation.json"} </w:instrText>
      </w:r>
      <w:r w:rsidR="002E4058">
        <w:rPr>
          <w:rFonts w:ascii="Times New Roman" w:hAnsi="Times New Roman" w:cs="Times New Roman"/>
          <w:sz w:val="24"/>
          <w:szCs w:val="24"/>
        </w:rPr>
        <w:fldChar w:fldCharType="separate"/>
      </w:r>
      <w:r w:rsidR="002E4058" w:rsidRPr="002E4058">
        <w:rPr>
          <w:rFonts w:ascii="Times New Roman" w:hAnsi="Times New Roman" w:cs="Times New Roman"/>
          <w:sz w:val="24"/>
        </w:rPr>
        <w:t>(Steiner, 1984)</w:t>
      </w:r>
      <w:r w:rsidR="002E4058">
        <w:rPr>
          <w:rFonts w:ascii="Times New Roman" w:hAnsi="Times New Roman" w:cs="Times New Roman"/>
          <w:sz w:val="24"/>
          <w:szCs w:val="24"/>
        </w:rPr>
        <w:fldChar w:fldCharType="end"/>
      </w:r>
      <w:r w:rsidR="002E4058">
        <w:rPr>
          <w:rFonts w:ascii="Times New Roman" w:hAnsi="Times New Roman" w:cs="Times New Roman"/>
          <w:sz w:val="24"/>
          <w:szCs w:val="24"/>
        </w:rPr>
        <w:t xml:space="preserve"> </w:t>
      </w:r>
      <w:r w:rsidRPr="00BB742A">
        <w:rPr>
          <w:rFonts w:ascii="Times New Roman" w:hAnsi="Times New Roman" w:cs="Times New Roman"/>
          <w:color w:val="000000"/>
          <w:sz w:val="24"/>
          <w:szCs w:val="24"/>
        </w:rPr>
        <w:t xml:space="preserve">placed in a controlled environment room </w:t>
      </w:r>
      <w:r w:rsidRPr="00BB742A">
        <w:rPr>
          <w:rFonts w:ascii="Times New Roman" w:hAnsi="Times New Roman" w:cs="Times New Roman"/>
          <w:sz w:val="24"/>
          <w:szCs w:val="24"/>
        </w:rPr>
        <w:t xml:space="preserve">(photoperiod 14 h light/10 h dark, 24/22°C, photon flux density 150 </w:t>
      </w:r>
      <w:proofErr w:type="spellStart"/>
      <w:r w:rsidRPr="00BB742A">
        <w:rPr>
          <w:rFonts w:ascii="Times New Roman" w:hAnsi="Times New Roman" w:cs="Times New Roman"/>
          <w:sz w:val="24"/>
          <w:szCs w:val="24"/>
        </w:rPr>
        <w:t>μmol</w:t>
      </w:r>
      <w:proofErr w:type="spellEnd"/>
      <w:r w:rsidRPr="00BB742A">
        <w:rPr>
          <w:rFonts w:ascii="Times New Roman" w:hAnsi="Times New Roman" w:cs="Times New Roman"/>
          <w:sz w:val="24"/>
          <w:szCs w:val="24"/>
        </w:rPr>
        <w:t xml:space="preserve"> m</w:t>
      </w:r>
      <w:r w:rsidRPr="00BB742A">
        <w:rPr>
          <w:rFonts w:ascii="Times New Roman" w:hAnsi="Times New Roman" w:cs="Times New Roman"/>
          <w:sz w:val="24"/>
          <w:szCs w:val="24"/>
          <w:vertAlign w:val="superscript"/>
        </w:rPr>
        <w:t xml:space="preserve">-2 </w:t>
      </w:r>
      <w:r w:rsidRPr="00BB742A">
        <w:rPr>
          <w:rFonts w:ascii="Times New Roman" w:hAnsi="Times New Roman" w:cs="Times New Roman"/>
          <w:sz w:val="24"/>
          <w:szCs w:val="24"/>
        </w:rPr>
        <w:t>s</w:t>
      </w:r>
      <w:r w:rsidRPr="00BB742A">
        <w:rPr>
          <w:rFonts w:ascii="Times New Roman" w:hAnsi="Times New Roman" w:cs="Times New Roman"/>
          <w:sz w:val="24"/>
          <w:szCs w:val="24"/>
          <w:vertAlign w:val="superscript"/>
        </w:rPr>
        <w:t>-1</w:t>
      </w:r>
      <w:r w:rsidRPr="00BB742A">
        <w:rPr>
          <w:rFonts w:ascii="Times New Roman" w:hAnsi="Times New Roman" w:cs="Times New Roman"/>
          <w:sz w:val="24"/>
          <w:szCs w:val="24"/>
        </w:rPr>
        <w:t>)</w:t>
      </w:r>
      <w:r w:rsidRPr="00BB742A">
        <w:rPr>
          <w:rFonts w:ascii="Times New Roman" w:hAnsi="Times New Roman" w:cs="Times New Roman"/>
          <w:color w:val="000000"/>
          <w:sz w:val="24"/>
          <w:szCs w:val="24"/>
        </w:rPr>
        <w:t xml:space="preserve">. </w:t>
      </w:r>
      <w:r w:rsidRPr="00BB742A">
        <w:rPr>
          <w:rFonts w:ascii="Times New Roman" w:hAnsi="Times New Roman" w:cs="Times New Roman"/>
          <w:sz w:val="24"/>
          <w:szCs w:val="24"/>
        </w:rPr>
        <w:t>Second and third detached true leaves of three</w:t>
      </w:r>
      <w:r w:rsidR="002E4058">
        <w:rPr>
          <w:rFonts w:ascii="Times New Roman" w:hAnsi="Times New Roman" w:cs="Times New Roman"/>
          <w:sz w:val="24"/>
          <w:szCs w:val="24"/>
        </w:rPr>
        <w:t xml:space="preserve">-week old plants (BBCH growth stage </w:t>
      </w:r>
      <w:r w:rsidRPr="00BB742A">
        <w:rPr>
          <w:rFonts w:ascii="Times New Roman" w:hAnsi="Times New Roman" w:cs="Times New Roman"/>
          <w:sz w:val="24"/>
          <w:szCs w:val="24"/>
        </w:rPr>
        <w:t>12-13;</w:t>
      </w:r>
      <w:r w:rsidR="002E4058">
        <w:rPr>
          <w:rFonts w:ascii="Times New Roman" w:hAnsi="Times New Roman" w:cs="Times New Roman"/>
          <w:sz w:val="24"/>
          <w:szCs w:val="24"/>
        </w:rPr>
        <w:t xml:space="preserve"> </w:t>
      </w:r>
      <w:r w:rsidR="002E4058">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{"citationID":"x3kL0BWD","properties":{"formattedCitation":"(Lancashire et al., 1991)","plainCitation":"(Lancashire et al., 1991)","dontUpdate":true,"noteIndex":0},"citationItems":[{"id":689,"uris":["http://zotero.org/users/10895598/items/7VYTVAC7"],"itemData":{"id":689,"type":"article-journal","abstract":"Summary\n            A universal scale (to be known as the BBCH scale) using a decimal code for the description of the growth stages of most agricultural crops and weeds is proposed. The scale and codes are based on the well‐known Zadoks code for cereals.\n            Developmentally similar growth stages of different crops are given the same codes. The general scale provides a framework within which more specific scales for individual crops may be constructed. The uniformity of the scale makes it easy to remember and use in agricultural practice and simplifies storage and retrieval in a computer system.\n            A description of the general scale is given followed by specific scales for cereals, rice, maize, oilseed rape, field beans, peas and sunflower. Comparisons with scales currently in use are given where appropriate.","container-title":"Annals of Applied Biology","DOI":"10.1111/j.1744-7348.1991.tb04895.x","ISSN":"0003-4746, 1744-7348","issue":"3","journalAbbreviation":"Annals of Applied Biology","language":"en","page":"561-601","source":"DOI.org (Crossref)","title":"A uniform decimal code for growth stages of crops and weeds","volume":"119","author":[{"family":"Lancashire","given":"Peter D."},{"family":"Bleiholder","given":"H."},{"family":"Boom","given":"T. Van Den"},{"family":"Langelüddeke","given":"P."},{"family":"Stauss","given":"R."},{"family":"Weber","given":"Elfriede"},{"family":"Witzenberger","given":"A."}],"issued":{"date-parts":[["1991",12]]}}}],"schema":"https://github.com/citation-style-language/schema/raw/master/csl-citation.json"} </w:instrText>
      </w:r>
      <w:r w:rsidR="002E4058">
        <w:rPr>
          <w:rFonts w:ascii="Times New Roman" w:hAnsi="Times New Roman" w:cs="Times New Roman"/>
          <w:sz w:val="24"/>
          <w:szCs w:val="24"/>
        </w:rPr>
        <w:fldChar w:fldCharType="separate"/>
      </w:r>
      <w:r w:rsidR="002E4058" w:rsidRPr="002E4058">
        <w:rPr>
          <w:rFonts w:ascii="Times New Roman" w:hAnsi="Times New Roman" w:cs="Times New Roman"/>
          <w:sz w:val="24"/>
        </w:rPr>
        <w:t>Lancashire et al., 1991)</w:t>
      </w:r>
      <w:r w:rsidR="002E4058">
        <w:rPr>
          <w:rFonts w:ascii="Times New Roman" w:hAnsi="Times New Roman" w:cs="Times New Roman"/>
          <w:sz w:val="24"/>
          <w:szCs w:val="24"/>
        </w:rPr>
        <w:fldChar w:fldCharType="end"/>
      </w:r>
      <w:r w:rsidRPr="00BB742A">
        <w:rPr>
          <w:rFonts w:ascii="Times New Roman" w:hAnsi="Times New Roman" w:cs="Times New Roman"/>
          <w:sz w:val="24"/>
          <w:szCs w:val="24"/>
        </w:rPr>
        <w:t xml:space="preserve"> were used in all experiments. Leaves were cut and chosen randomly from approximately 40 plants for experiments on insect feeding choice </w:t>
      </w:r>
      <w:r w:rsidRPr="00BB742A">
        <w:rPr>
          <w:rFonts w:ascii="Times New Roman" w:hAnsi="Times New Roman" w:cs="Times New Roman"/>
          <w:color w:val="000000"/>
          <w:sz w:val="24"/>
          <w:szCs w:val="24"/>
        </w:rPr>
        <w:t xml:space="preserve">and for </w:t>
      </w:r>
      <w:r w:rsidR="00BA2BAD" w:rsidRPr="00BB742A">
        <w:rPr>
          <w:rFonts w:ascii="Times New Roman" w:hAnsi="Times New Roman" w:cs="Times New Roman"/>
          <w:color w:val="000000"/>
          <w:sz w:val="24"/>
          <w:szCs w:val="24"/>
        </w:rPr>
        <w:t>transcript (</w:t>
      </w:r>
      <w:r w:rsidR="008E24E0">
        <w:rPr>
          <w:rFonts w:ascii="Times New Roman" w:hAnsi="Times New Roman" w:cs="Times New Roman"/>
          <w:color w:val="000000"/>
          <w:sz w:val="24"/>
          <w:szCs w:val="24"/>
        </w:rPr>
        <w:t xml:space="preserve">defence </w:t>
      </w:r>
      <w:r w:rsidR="00BA2BAD" w:rsidRPr="00BB742A">
        <w:rPr>
          <w:rFonts w:ascii="Times New Roman" w:hAnsi="Times New Roman" w:cs="Times New Roman"/>
          <w:color w:val="000000"/>
          <w:sz w:val="24"/>
          <w:szCs w:val="24"/>
        </w:rPr>
        <w:t xml:space="preserve">gene transcription by </w:t>
      </w:r>
      <w:proofErr w:type="spellStart"/>
      <w:r w:rsidR="00BA2BAD" w:rsidRPr="00BB742A">
        <w:rPr>
          <w:rFonts w:ascii="Times New Roman" w:hAnsi="Times New Roman" w:cs="Times New Roman"/>
          <w:sz w:val="24"/>
          <w:szCs w:val="24"/>
        </w:rPr>
        <w:t>qRT</w:t>
      </w:r>
      <w:proofErr w:type="spellEnd"/>
      <w:r w:rsidR="00BA2BAD" w:rsidRPr="00BB742A">
        <w:rPr>
          <w:rFonts w:ascii="Times New Roman" w:hAnsi="Times New Roman" w:cs="Times New Roman"/>
          <w:sz w:val="24"/>
          <w:szCs w:val="24"/>
        </w:rPr>
        <w:t>-PCR)</w:t>
      </w:r>
      <w:r w:rsidR="00BA2BAD" w:rsidRPr="00BB742A">
        <w:rPr>
          <w:rFonts w:ascii="Times New Roman" w:hAnsi="Times New Roman" w:cs="Times New Roman"/>
          <w:color w:val="000000"/>
          <w:sz w:val="24"/>
          <w:szCs w:val="24"/>
        </w:rPr>
        <w:t xml:space="preserve"> </w:t>
      </w:r>
      <w:r w:rsidR="00BA2BAD">
        <w:rPr>
          <w:rFonts w:ascii="Times New Roman" w:hAnsi="Times New Roman" w:cs="Times New Roman"/>
          <w:color w:val="000000"/>
          <w:sz w:val="24"/>
          <w:szCs w:val="24"/>
        </w:rPr>
        <w:t xml:space="preserve">and </w:t>
      </w:r>
      <w:r w:rsidRPr="00BB742A">
        <w:rPr>
          <w:rFonts w:ascii="Times New Roman" w:hAnsi="Times New Roman" w:cs="Times New Roman"/>
          <w:color w:val="000000"/>
          <w:sz w:val="24"/>
          <w:szCs w:val="24"/>
        </w:rPr>
        <w:t>metabol</w:t>
      </w:r>
      <w:r w:rsidR="00CE7B79">
        <w:rPr>
          <w:rFonts w:ascii="Times New Roman" w:hAnsi="Times New Roman" w:cs="Times New Roman"/>
          <w:color w:val="000000"/>
          <w:sz w:val="24"/>
          <w:szCs w:val="24"/>
        </w:rPr>
        <w:t>ic profiling</w:t>
      </w:r>
      <w:r w:rsidRPr="00BB742A">
        <w:rPr>
          <w:rFonts w:ascii="Times New Roman" w:hAnsi="Times New Roman" w:cs="Times New Roman"/>
          <w:color w:val="000000"/>
          <w:sz w:val="24"/>
          <w:szCs w:val="24"/>
        </w:rPr>
        <w:t xml:space="preserve"> (</w:t>
      </w:r>
      <w:r w:rsidRPr="00BB742A">
        <w:rPr>
          <w:rFonts w:ascii="Times New Roman" w:hAnsi="Times New Roman" w:cs="Times New Roman"/>
          <w:sz w:val="24"/>
          <w:szCs w:val="24"/>
        </w:rPr>
        <w:t xml:space="preserve">GLSs and VOCs) </w:t>
      </w:r>
      <w:r w:rsidRPr="00BB742A">
        <w:rPr>
          <w:rFonts w:ascii="Times New Roman" w:hAnsi="Times New Roman" w:cs="Times New Roman"/>
          <w:color w:val="000000"/>
          <w:sz w:val="24"/>
          <w:szCs w:val="24"/>
        </w:rPr>
        <w:t>analyses.</w:t>
      </w:r>
    </w:p>
    <w:p w14:paraId="215098D9" w14:textId="4C973FFF"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color w:val="000000"/>
          <w:sz w:val="24"/>
          <w:szCs w:val="24"/>
        </w:rPr>
        <w:t xml:space="preserve">Cauliflower plants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cultivated in potting soil at 15 ± 5ºC under 16 h </w:t>
      </w:r>
      <w:r w:rsidRPr="00BB742A">
        <w:rPr>
          <w:rFonts w:ascii="Times New Roman" w:hAnsi="Times New Roman" w:cs="Times New Roman"/>
          <w:sz w:val="24"/>
          <w:szCs w:val="24"/>
        </w:rPr>
        <w:t>light/</w:t>
      </w:r>
      <w:r w:rsidRPr="00BB742A">
        <w:rPr>
          <w:rFonts w:ascii="Times New Roman" w:hAnsi="Times New Roman" w:cs="Times New Roman"/>
          <w:color w:val="000000"/>
          <w:sz w:val="24"/>
          <w:szCs w:val="24"/>
        </w:rPr>
        <w:t xml:space="preserve">8 </w:t>
      </w:r>
      <w:r w:rsidRPr="00BB742A">
        <w:rPr>
          <w:rFonts w:ascii="Times New Roman" w:hAnsi="Times New Roman" w:cs="Times New Roman"/>
          <w:sz w:val="24"/>
          <w:szCs w:val="24"/>
        </w:rPr>
        <w:t>h dark</w:t>
      </w:r>
      <w:r w:rsidRPr="00BB742A">
        <w:rPr>
          <w:rFonts w:ascii="Times New Roman" w:hAnsi="Times New Roman" w:cs="Times New Roman"/>
          <w:color w:val="000000"/>
          <w:sz w:val="24"/>
          <w:szCs w:val="24"/>
        </w:rPr>
        <w:t xml:space="preserve"> cycle. </w:t>
      </w:r>
      <w:r w:rsidR="00A85C9D">
        <w:rPr>
          <w:rFonts w:ascii="Times New Roman" w:hAnsi="Times New Roman" w:cs="Times New Roman"/>
          <w:color w:val="000000"/>
          <w:sz w:val="24"/>
          <w:szCs w:val="24"/>
        </w:rPr>
        <w:t>Inoculation was performed by</w:t>
      </w:r>
      <w:r w:rsidRPr="00BB742A">
        <w:rPr>
          <w:rFonts w:ascii="Times New Roman" w:hAnsi="Times New Roman" w:cs="Times New Roman"/>
          <w:color w:val="000000"/>
          <w:sz w:val="24"/>
          <w:szCs w:val="24"/>
        </w:rPr>
        <w:t xml:space="preserve"> adding </w:t>
      </w:r>
      <w:r w:rsidR="00A85C9D">
        <w:rPr>
          <w:rFonts w:ascii="Times New Roman" w:hAnsi="Times New Roman" w:cs="Times New Roman"/>
          <w:color w:val="000000"/>
          <w:sz w:val="24"/>
          <w:szCs w:val="24"/>
        </w:rPr>
        <w:t xml:space="preserve">the </w:t>
      </w:r>
      <w:r w:rsidRPr="00BB742A">
        <w:rPr>
          <w:rFonts w:ascii="Times New Roman" w:hAnsi="Times New Roman" w:cs="Times New Roman"/>
          <w:color w:val="000000"/>
          <w:sz w:val="24"/>
          <w:szCs w:val="24"/>
        </w:rPr>
        <w:t xml:space="preserve">spore suspension </w:t>
      </w:r>
      <w:r w:rsidR="00A85C9D">
        <w:rPr>
          <w:rFonts w:ascii="Times New Roman" w:hAnsi="Times New Roman" w:cs="Times New Roman"/>
          <w:color w:val="000000"/>
          <w:sz w:val="24"/>
          <w:szCs w:val="24"/>
        </w:rPr>
        <w:t xml:space="preserve">of the </w:t>
      </w:r>
      <w:r w:rsidR="00A85C9D" w:rsidRPr="00BB742A">
        <w:rPr>
          <w:rFonts w:ascii="Times New Roman" w:hAnsi="Times New Roman" w:cs="Times New Roman"/>
          <w:color w:val="000000"/>
          <w:sz w:val="24"/>
          <w:szCs w:val="24"/>
        </w:rPr>
        <w:t xml:space="preserve">beneficial insect-pathogenic fungi </w:t>
      </w:r>
      <w:r w:rsidRPr="00BB742A">
        <w:rPr>
          <w:rFonts w:ascii="Times New Roman" w:hAnsi="Times New Roman" w:cs="Times New Roman"/>
          <w:color w:val="000000"/>
          <w:sz w:val="24"/>
          <w:szCs w:val="24"/>
        </w:rPr>
        <w:t xml:space="preserve">in the soil around the </w:t>
      </w:r>
      <w:r w:rsidR="00A85C9D">
        <w:rPr>
          <w:rFonts w:ascii="Times New Roman" w:hAnsi="Times New Roman" w:cs="Times New Roman"/>
          <w:color w:val="000000"/>
          <w:sz w:val="24"/>
          <w:szCs w:val="24"/>
        </w:rPr>
        <w:t xml:space="preserve">germinating </w:t>
      </w:r>
      <w:r w:rsidRPr="00BB742A">
        <w:rPr>
          <w:rFonts w:ascii="Times New Roman" w:hAnsi="Times New Roman" w:cs="Times New Roman"/>
          <w:color w:val="000000"/>
          <w:sz w:val="24"/>
          <w:szCs w:val="24"/>
        </w:rPr>
        <w:t xml:space="preserve">seeds. Untreated seedlings and seedlings treated with 0.05 % Triton X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 xml:space="preserve">used as a control treatment. Cotyledons </w:t>
      </w:r>
      <w:r w:rsidR="00A85C9D">
        <w:rPr>
          <w:rFonts w:ascii="Times New Roman" w:hAnsi="Times New Roman" w:cs="Times New Roman"/>
          <w:color w:val="000000"/>
          <w:sz w:val="24"/>
          <w:szCs w:val="24"/>
        </w:rPr>
        <w:t>or</w:t>
      </w:r>
      <w:r w:rsidRPr="00BB742A">
        <w:rPr>
          <w:rFonts w:ascii="Times New Roman" w:hAnsi="Times New Roman" w:cs="Times New Roman"/>
          <w:color w:val="000000"/>
          <w:sz w:val="24"/>
          <w:szCs w:val="24"/>
        </w:rPr>
        <w:t xml:space="preserve"> two first true leaves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further inoculated by spores of a pathogenic </w:t>
      </w:r>
      <w:r w:rsidRPr="00BB742A">
        <w:rPr>
          <w:rFonts w:ascii="Times New Roman" w:hAnsi="Times New Roman" w:cs="Times New Roman"/>
          <w:sz w:val="24"/>
          <w:szCs w:val="24"/>
        </w:rPr>
        <w:t>fungus</w:t>
      </w:r>
      <w:r w:rsidRPr="00BB742A">
        <w:rPr>
          <w:rFonts w:ascii="Times New Roman" w:hAnsi="Times New Roman" w:cs="Times New Roman"/>
          <w:i/>
          <w:color w:val="000000"/>
          <w:sz w:val="24"/>
          <w:szCs w:val="24"/>
        </w:rPr>
        <w:t xml:space="preserve"> </w:t>
      </w:r>
      <w:r w:rsidRPr="00BB742A">
        <w:rPr>
          <w:rFonts w:ascii="Times New Roman" w:hAnsi="Times New Roman" w:cs="Times New Roman"/>
          <w:color w:val="000000"/>
          <w:sz w:val="24"/>
          <w:szCs w:val="24"/>
        </w:rPr>
        <w:t>and used for testing the fungal development and for</w:t>
      </w:r>
      <w:r w:rsidR="00BA2BAD">
        <w:rPr>
          <w:rFonts w:ascii="Times New Roman" w:hAnsi="Times New Roman" w:cs="Times New Roman"/>
          <w:color w:val="000000"/>
          <w:sz w:val="24"/>
          <w:szCs w:val="24"/>
        </w:rPr>
        <w:t xml:space="preserve"> the analyses of </w:t>
      </w:r>
      <w:r w:rsidR="008E24E0">
        <w:rPr>
          <w:rFonts w:ascii="Times New Roman" w:hAnsi="Times New Roman" w:cs="Times New Roman"/>
          <w:color w:val="000000"/>
          <w:sz w:val="24"/>
          <w:szCs w:val="24"/>
        </w:rPr>
        <w:t xml:space="preserve">defence </w:t>
      </w:r>
      <w:r w:rsidR="00BA2BAD" w:rsidRPr="00BB742A">
        <w:rPr>
          <w:rFonts w:ascii="Times New Roman" w:hAnsi="Times New Roman" w:cs="Times New Roman"/>
          <w:color w:val="000000"/>
          <w:sz w:val="24"/>
          <w:szCs w:val="24"/>
        </w:rPr>
        <w:t xml:space="preserve">gene </w:t>
      </w:r>
      <w:r w:rsidR="00BA2BAD" w:rsidRPr="00BB742A">
        <w:rPr>
          <w:rFonts w:ascii="Times New Roman" w:hAnsi="Times New Roman" w:cs="Times New Roman"/>
          <w:sz w:val="24"/>
          <w:szCs w:val="24"/>
        </w:rPr>
        <w:t xml:space="preserve">transcription </w:t>
      </w:r>
      <w:r w:rsidR="00BA2BAD">
        <w:rPr>
          <w:rFonts w:ascii="Times New Roman" w:hAnsi="Times New Roman" w:cs="Times New Roman"/>
          <w:color w:val="000000"/>
          <w:sz w:val="24"/>
          <w:szCs w:val="24"/>
        </w:rPr>
        <w:t>(</w:t>
      </w:r>
      <w:proofErr w:type="spellStart"/>
      <w:r w:rsidR="00BA2BAD" w:rsidRPr="00BB742A">
        <w:rPr>
          <w:rFonts w:ascii="Times New Roman" w:hAnsi="Times New Roman" w:cs="Times New Roman"/>
          <w:sz w:val="24"/>
          <w:szCs w:val="24"/>
        </w:rPr>
        <w:t>qRT</w:t>
      </w:r>
      <w:proofErr w:type="spellEnd"/>
      <w:r w:rsidR="00BA2BAD" w:rsidRPr="00BB742A">
        <w:rPr>
          <w:rFonts w:ascii="Times New Roman" w:hAnsi="Times New Roman" w:cs="Times New Roman"/>
          <w:sz w:val="24"/>
          <w:szCs w:val="24"/>
        </w:rPr>
        <w:t>-PCR</w:t>
      </w:r>
      <w:r w:rsidR="00BA2BAD">
        <w:rPr>
          <w:rFonts w:ascii="Times New Roman" w:hAnsi="Times New Roman" w:cs="Times New Roman"/>
          <w:sz w:val="24"/>
          <w:szCs w:val="24"/>
        </w:rPr>
        <w:t>) and</w:t>
      </w:r>
      <w:r w:rsidRPr="00BB742A">
        <w:rPr>
          <w:rFonts w:ascii="Times New Roman" w:hAnsi="Times New Roman" w:cs="Times New Roman"/>
          <w:color w:val="000000"/>
          <w:sz w:val="24"/>
          <w:szCs w:val="24"/>
        </w:rPr>
        <w:t xml:space="preserve"> </w:t>
      </w:r>
      <w:r w:rsidRPr="00BB742A">
        <w:rPr>
          <w:rFonts w:ascii="Times New Roman" w:hAnsi="Times New Roman" w:cs="Times New Roman"/>
          <w:sz w:val="24"/>
          <w:szCs w:val="24"/>
        </w:rPr>
        <w:t>GLSs</w:t>
      </w:r>
      <w:r w:rsidRPr="00BB742A">
        <w:rPr>
          <w:rFonts w:ascii="Times New Roman" w:hAnsi="Times New Roman" w:cs="Times New Roman"/>
          <w:color w:val="000000"/>
          <w:sz w:val="24"/>
          <w:szCs w:val="24"/>
        </w:rPr>
        <w:t xml:space="preserve">. </w:t>
      </w:r>
      <w:r w:rsidR="002E0D74">
        <w:rPr>
          <w:rFonts w:ascii="Times New Roman" w:hAnsi="Times New Roman" w:cs="Times New Roman"/>
          <w:color w:val="000000"/>
          <w:sz w:val="24"/>
          <w:szCs w:val="24"/>
        </w:rPr>
        <w:t xml:space="preserve">When cotyledons were used in the study, sprouting true leaves were removed. </w:t>
      </w:r>
      <w:r w:rsidRPr="00BB742A">
        <w:rPr>
          <w:rFonts w:ascii="Times New Roman" w:hAnsi="Times New Roman" w:cs="Times New Roman"/>
          <w:color w:val="000000"/>
          <w:sz w:val="24"/>
          <w:szCs w:val="24"/>
        </w:rPr>
        <w:t xml:space="preserve">Roots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harvested to examine the </w:t>
      </w:r>
      <w:r w:rsidR="0098094F">
        <w:rPr>
          <w:rFonts w:ascii="Times New Roman" w:hAnsi="Times New Roman" w:cs="Times New Roman"/>
          <w:color w:val="000000"/>
          <w:sz w:val="24"/>
          <w:szCs w:val="24"/>
        </w:rPr>
        <w:t xml:space="preserve">colonies </w:t>
      </w:r>
      <w:r w:rsidR="008743C6">
        <w:rPr>
          <w:rFonts w:ascii="Times New Roman" w:hAnsi="Times New Roman" w:cs="Times New Roman"/>
          <w:color w:val="000000"/>
          <w:sz w:val="24"/>
          <w:szCs w:val="24"/>
        </w:rPr>
        <w:t xml:space="preserve">formed by </w:t>
      </w:r>
      <w:r w:rsidRPr="00BB742A">
        <w:rPr>
          <w:rFonts w:ascii="Times New Roman" w:hAnsi="Times New Roman" w:cs="Times New Roman"/>
          <w:color w:val="000000"/>
          <w:sz w:val="24"/>
          <w:szCs w:val="24"/>
        </w:rPr>
        <w:t>the plant-beneficial fungus.</w:t>
      </w:r>
    </w:p>
    <w:p w14:paraId="215098DA" w14:textId="387673D7"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i/>
          <w:color w:val="000000"/>
          <w:sz w:val="24"/>
          <w:szCs w:val="24"/>
        </w:rPr>
        <w:t>Arabidopsis</w:t>
      </w:r>
      <w:r w:rsidRPr="00BB742A">
        <w:rPr>
          <w:rFonts w:ascii="Times New Roman" w:hAnsi="Times New Roman" w:cs="Times New Roman"/>
          <w:color w:val="000000"/>
          <w:sz w:val="24"/>
          <w:szCs w:val="24"/>
        </w:rPr>
        <w:t xml:space="preserve"> plants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cultivated </w:t>
      </w:r>
      <w:r w:rsidRPr="00BB742A">
        <w:rPr>
          <w:rFonts w:ascii="Times New Roman" w:hAnsi="Times New Roman" w:cs="Times New Roman"/>
          <w:sz w:val="24"/>
          <w:szCs w:val="24"/>
        </w:rPr>
        <w:t>in the potting</w:t>
      </w:r>
      <w:r w:rsidRPr="00BB742A">
        <w:rPr>
          <w:rFonts w:ascii="Times New Roman" w:hAnsi="Times New Roman" w:cs="Times New Roman"/>
          <w:color w:val="000000"/>
          <w:sz w:val="24"/>
          <w:szCs w:val="24"/>
        </w:rPr>
        <w:t xml:space="preserve"> soil at 22ºC under 10</w:t>
      </w:r>
      <w:r w:rsidRPr="00BB742A">
        <w:rPr>
          <w:rFonts w:ascii="Times New Roman" w:hAnsi="Times New Roman" w:cs="Times New Roman"/>
          <w:sz w:val="24"/>
          <w:szCs w:val="24"/>
        </w:rPr>
        <w:t xml:space="preserve"> h light/</w:t>
      </w:r>
      <w:r w:rsidRPr="00BB742A">
        <w:rPr>
          <w:rFonts w:ascii="Times New Roman" w:hAnsi="Times New Roman" w:cs="Times New Roman"/>
          <w:color w:val="000000"/>
          <w:sz w:val="24"/>
          <w:szCs w:val="24"/>
        </w:rPr>
        <w:t xml:space="preserve">14 </w:t>
      </w:r>
      <w:r w:rsidRPr="00BB742A">
        <w:rPr>
          <w:rFonts w:ascii="Times New Roman" w:hAnsi="Times New Roman" w:cs="Times New Roman"/>
          <w:sz w:val="24"/>
          <w:szCs w:val="24"/>
        </w:rPr>
        <w:t>h dark</w:t>
      </w:r>
      <w:r w:rsidRPr="00BB742A">
        <w:rPr>
          <w:rFonts w:ascii="Times New Roman" w:hAnsi="Times New Roman" w:cs="Times New Roman"/>
          <w:color w:val="000000"/>
          <w:sz w:val="24"/>
          <w:szCs w:val="24"/>
        </w:rPr>
        <w:t xml:space="preserve"> cycle and 65-70 % humidity. Wild type (Col-0) and transgenic lines of </w:t>
      </w:r>
      <w:r w:rsidRPr="00BB742A">
        <w:rPr>
          <w:rFonts w:ascii="Times New Roman" w:hAnsi="Times New Roman" w:cs="Times New Roman"/>
          <w:i/>
          <w:color w:val="000000"/>
          <w:sz w:val="24"/>
          <w:szCs w:val="24"/>
        </w:rPr>
        <w:t>A. thaliana</w:t>
      </w:r>
      <w:r w:rsidRPr="00BB742A">
        <w:rPr>
          <w:rFonts w:ascii="Times New Roman" w:hAnsi="Times New Roman" w:cs="Times New Roman"/>
          <w:color w:val="000000"/>
          <w:sz w:val="24"/>
          <w:szCs w:val="24"/>
        </w:rPr>
        <w:t xml:space="preserve"> in the Col</w:t>
      </w:r>
      <w:r w:rsidR="008C4D2B">
        <w:rPr>
          <w:rFonts w:ascii="Times New Roman" w:hAnsi="Times New Roman" w:cs="Times New Roman"/>
          <w:color w:val="000000"/>
          <w:sz w:val="24"/>
          <w:szCs w:val="24"/>
        </w:rPr>
        <w:t>-</w:t>
      </w:r>
      <w:r w:rsidRPr="00BB742A">
        <w:rPr>
          <w:rFonts w:ascii="Times New Roman" w:hAnsi="Times New Roman" w:cs="Times New Roman"/>
          <w:color w:val="000000"/>
          <w:sz w:val="24"/>
          <w:szCs w:val="24"/>
        </w:rPr>
        <w:t xml:space="preserve">0 background used for microscopic observation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w:t>
      </w:r>
      <w:r w:rsidRPr="00BB742A">
        <w:rPr>
          <w:rFonts w:ascii="Times New Roman" w:hAnsi="Times New Roman" w:cs="Times New Roman"/>
          <w:i/>
          <w:color w:val="000000"/>
          <w:sz w:val="24"/>
          <w:szCs w:val="24"/>
        </w:rPr>
        <w:t>PR1::GUS</w:t>
      </w:r>
      <w:r w:rsidRPr="00BB742A">
        <w:rPr>
          <w:rFonts w:ascii="Times New Roman" w:hAnsi="Times New Roman" w:cs="Times New Roman"/>
          <w:color w:val="000000"/>
          <w:sz w:val="24"/>
          <w:szCs w:val="24"/>
        </w:rPr>
        <w:t xml:space="preserve">, </w:t>
      </w:r>
      <w:r w:rsidRPr="00BB742A">
        <w:rPr>
          <w:rFonts w:ascii="Times New Roman" w:hAnsi="Times New Roman" w:cs="Times New Roman"/>
          <w:i/>
          <w:color w:val="000000"/>
          <w:sz w:val="24"/>
          <w:szCs w:val="24"/>
        </w:rPr>
        <w:t>pPR1::NLS3xVenus</w:t>
      </w:r>
      <w:r w:rsidRPr="00BB742A">
        <w:rPr>
          <w:rFonts w:ascii="Times New Roman" w:hAnsi="Times New Roman" w:cs="Times New Roman"/>
          <w:color w:val="000000"/>
          <w:sz w:val="24"/>
          <w:szCs w:val="24"/>
        </w:rPr>
        <w:t xml:space="preserve"> </w:t>
      </w:r>
      <w:r w:rsidR="002E4058">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{"citationID":"CcIBOMfe","properties":{"formattedCitation":"(Poncini et al., 2017)","plainCitation":"(Poncini et al., 2017)","noteIndex":0},"citationItems":[{"id":76,"uris":["http://zotero.org/users/10895598/items/MLR2PZML"],"itemData":{"id":76,"type":"article-journal","container-title":"PLOS ONE","DOI":"10.1371/journal.pone.0185808","ISSN":"1932-6203","issue":"10","journalAbbreviation":"PLoS ONE","language":"en","page":"e0185808","source":"DOI.org (Crossref)","title":"In roots of &lt;i&gt;Arabidopsis thaliana&lt;/i&gt;, the damage-associated molecular pattern AtPep1 is a stronger elicitor of immune signalling than flg22 or the chitin heptamer","volume":"12","author":[{"family":"Poncini","given":"Lorenzo"},{"family":"Wyrsch","given":"Ines"},{"family":"Dénervaud Tendon","given":"Valérie"},{"family":"Vorley","given":"Thomas"},{"family":"Boller","given":"Thomas"},{"family":"Geldner","given":"Niko"},{"family":"Métraux","given":"Jean-Pierre"},{"family":"Lehmann","given":"Silke"}],"editor":[{"family":"Zabotina","given":"Olga A."}],"issued":{"date-parts":[["2017",10,3]]}}}],"schema":"https://github.com/citation-style-language/schema/raw/master/csl-citation.json"} </w:instrText>
      </w:r>
      <w:r w:rsidR="002E4058">
        <w:rPr>
          <w:rFonts w:ascii="Times New Roman" w:hAnsi="Times New Roman" w:cs="Times New Roman"/>
          <w:sz w:val="24"/>
          <w:szCs w:val="24"/>
        </w:rPr>
        <w:fldChar w:fldCharType="separate"/>
      </w:r>
      <w:r w:rsidR="002E4058" w:rsidRPr="002E4058">
        <w:rPr>
          <w:rFonts w:ascii="Times New Roman" w:hAnsi="Times New Roman" w:cs="Times New Roman"/>
          <w:sz w:val="24"/>
        </w:rPr>
        <w:t>(Poncini et al., 2017)</w:t>
      </w:r>
      <w:r w:rsidR="002E4058">
        <w:rPr>
          <w:rFonts w:ascii="Times New Roman" w:hAnsi="Times New Roman" w:cs="Times New Roman"/>
          <w:sz w:val="24"/>
          <w:szCs w:val="24"/>
        </w:rPr>
        <w:fldChar w:fldCharType="end"/>
      </w:r>
      <w:r w:rsidRPr="00BB742A">
        <w:rPr>
          <w:rFonts w:ascii="Times New Roman" w:hAnsi="Times New Roman" w:cs="Times New Roman"/>
          <w:color w:val="000000"/>
          <w:sz w:val="24"/>
          <w:szCs w:val="24"/>
        </w:rPr>
        <w:t xml:space="preserve">, </w:t>
      </w:r>
      <w:r w:rsidRPr="00BB742A">
        <w:rPr>
          <w:rFonts w:ascii="Times New Roman" w:hAnsi="Times New Roman" w:cs="Times New Roman"/>
          <w:i/>
          <w:color w:val="000000"/>
          <w:sz w:val="24"/>
          <w:szCs w:val="24"/>
        </w:rPr>
        <w:t>pJAZ10::NLS3xVenus</w:t>
      </w:r>
      <w:r w:rsidRPr="00BB742A">
        <w:rPr>
          <w:rFonts w:ascii="Times New Roman" w:hAnsi="Times New Roman" w:cs="Times New Roman"/>
          <w:color w:val="000000"/>
          <w:sz w:val="24"/>
          <w:szCs w:val="24"/>
        </w:rPr>
        <w:t xml:space="preserve">, </w:t>
      </w:r>
      <w:proofErr w:type="spellStart"/>
      <w:r w:rsidRPr="00BB742A">
        <w:rPr>
          <w:rFonts w:ascii="Times New Roman" w:hAnsi="Times New Roman" w:cs="Times New Roman"/>
          <w:i/>
          <w:color w:val="000000"/>
          <w:sz w:val="24"/>
          <w:szCs w:val="24"/>
        </w:rPr>
        <w:t>pAOS</w:t>
      </w:r>
      <w:proofErr w:type="spellEnd"/>
      <w:r w:rsidRPr="00BB742A">
        <w:rPr>
          <w:rFonts w:ascii="Times New Roman" w:hAnsi="Times New Roman" w:cs="Times New Roman"/>
          <w:i/>
          <w:color w:val="000000"/>
          <w:sz w:val="24"/>
          <w:szCs w:val="24"/>
        </w:rPr>
        <w:t>::NLS3xVenus</w:t>
      </w:r>
      <w:r w:rsidRPr="00BB742A">
        <w:rPr>
          <w:rFonts w:ascii="Times New Roman" w:hAnsi="Times New Roman" w:cs="Times New Roman"/>
          <w:color w:val="000000"/>
          <w:sz w:val="24"/>
          <w:szCs w:val="24"/>
        </w:rPr>
        <w:t xml:space="preserve">, </w:t>
      </w:r>
      <w:r w:rsidRPr="00BB742A">
        <w:rPr>
          <w:rFonts w:ascii="Times New Roman" w:hAnsi="Times New Roman" w:cs="Times New Roman"/>
          <w:i/>
          <w:color w:val="000000"/>
          <w:sz w:val="24"/>
          <w:szCs w:val="24"/>
        </w:rPr>
        <w:t>pACS6::NLS3xVenus</w:t>
      </w:r>
      <w:r w:rsidRPr="00BB742A">
        <w:rPr>
          <w:rFonts w:ascii="Times New Roman" w:hAnsi="Times New Roman" w:cs="Times New Roman"/>
          <w:color w:val="000000"/>
          <w:sz w:val="24"/>
          <w:szCs w:val="24"/>
        </w:rPr>
        <w:t xml:space="preserve">, </w:t>
      </w:r>
      <w:r w:rsidRPr="00BB742A">
        <w:rPr>
          <w:rFonts w:ascii="Times New Roman" w:hAnsi="Times New Roman" w:cs="Times New Roman"/>
          <w:i/>
          <w:color w:val="000000"/>
          <w:sz w:val="24"/>
          <w:szCs w:val="24"/>
        </w:rPr>
        <w:t>pPR4/HEL::NLS3xVenus</w:t>
      </w:r>
      <w:r w:rsidRPr="00BB742A">
        <w:rPr>
          <w:rFonts w:ascii="Times New Roman" w:hAnsi="Times New Roman" w:cs="Times New Roman"/>
          <w:color w:val="000000"/>
          <w:sz w:val="24"/>
          <w:szCs w:val="24"/>
        </w:rPr>
        <w:t xml:space="preserve"> </w:t>
      </w:r>
      <w:r w:rsidR="002E4058">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{"citationID":"BahhHriT","properties":{"formattedCitation":"(Marhav\\uc0\\u253{} et al., 2019)","plainCitation":"(Marhavý et al., 2019)","noteIndex":0},"citationItems":[{"id":78,"uris":["http://zotero.org/users/10895598/items/HVLVTTW6"],"itemData":{"id":78,"type":"article-journal","container-title":"The EMBO Journal","DOI":"10.15252/embj.2018100972","ISSN":"0261-4189, 1460-2075","issue":"10","journalAbbreviation":"EMBO J","language":"en","source":"DOI.org (Crossref)","title":"Single‐cell damage elicits regional, nematode‐restricting ethylene responses in roots","URL":"https://onlinelibrary.wiley.com/doi/abs/10.15252/embj.2018100972","volume":"38","author":[{"family":"Marhavý","given":"Peter"},{"family":"Kurenda","given":"Andrzej"},{"family":"Siddique","given":"Shahid"},{"family":"Dénervaud Tendon","given":"Valerie"},{"family":"Zhou","given":"Feng"},{"family":"Holbein","given":"Julia"},{"family":"Hasan","given":"M Shamim"},{"family":"Grundler","given":"Florian MW"},{"family":"Farmer","given":"Edward E"},{"family":"Geldner","given":"Niko"}],"accessed":{"date-parts":[["2021",1,10]]},"issued":{"date-parts":[["2019",5,15]]}}}],"schema":"https://github.com/citation-style-language/schema/raw/master/csl-citation.json"} </w:instrText>
      </w:r>
      <w:r w:rsidR="002E4058">
        <w:rPr>
          <w:rFonts w:ascii="Times New Roman" w:hAnsi="Times New Roman" w:cs="Times New Roman"/>
          <w:sz w:val="24"/>
          <w:szCs w:val="24"/>
        </w:rPr>
        <w:fldChar w:fldCharType="separate"/>
      </w:r>
      <w:r w:rsidR="002E4058" w:rsidRPr="002E4058">
        <w:rPr>
          <w:rFonts w:ascii="Times New Roman" w:hAnsi="Times New Roman" w:cs="Times New Roman"/>
          <w:sz w:val="24"/>
          <w:szCs w:val="24"/>
        </w:rPr>
        <w:t>(Marhavý et al., 2019)</w:t>
      </w:r>
      <w:r w:rsidR="002E4058">
        <w:rPr>
          <w:rFonts w:ascii="Times New Roman" w:hAnsi="Times New Roman" w:cs="Times New Roman"/>
          <w:sz w:val="24"/>
          <w:szCs w:val="24"/>
        </w:rPr>
        <w:fldChar w:fldCharType="end"/>
      </w:r>
      <w:r w:rsidRPr="00BB742A">
        <w:rPr>
          <w:rFonts w:ascii="Times New Roman" w:hAnsi="Times New Roman" w:cs="Times New Roman"/>
          <w:color w:val="000000"/>
          <w:sz w:val="24"/>
          <w:szCs w:val="24"/>
        </w:rPr>
        <w:t xml:space="preserve">. Four- to five-week-old plants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used for </w:t>
      </w:r>
      <w:r w:rsidRPr="00BB742A">
        <w:rPr>
          <w:rFonts w:ascii="Times New Roman" w:hAnsi="Times New Roman" w:cs="Times New Roman"/>
          <w:color w:val="000000"/>
          <w:sz w:val="24"/>
          <w:szCs w:val="24"/>
        </w:rPr>
        <w:lastRenderedPageBreak/>
        <w:t xml:space="preserve">preference and performance tests with </w:t>
      </w:r>
      <w:r w:rsidR="00A85C9D">
        <w:rPr>
          <w:rFonts w:ascii="Times New Roman" w:hAnsi="Times New Roman" w:cs="Times New Roman"/>
          <w:color w:val="000000"/>
          <w:sz w:val="24"/>
          <w:szCs w:val="24"/>
        </w:rPr>
        <w:t>the</w:t>
      </w:r>
      <w:r w:rsidRPr="00BB742A">
        <w:rPr>
          <w:rFonts w:ascii="Times New Roman" w:hAnsi="Times New Roman" w:cs="Times New Roman"/>
          <w:color w:val="000000"/>
          <w:sz w:val="24"/>
          <w:szCs w:val="24"/>
        </w:rPr>
        <w:t xml:space="preserve"> piercing-sucking insect herbivore, and for further analyses of plant defence responses.</w:t>
      </w:r>
    </w:p>
    <w:p w14:paraId="215098DB" w14:textId="77777777" w:rsidR="00E7693B" w:rsidRPr="00BB742A" w:rsidRDefault="00E7693B">
      <w:pPr>
        <w:pBdr>
          <w:top w:val="nil"/>
          <w:left w:val="nil"/>
          <w:bottom w:val="nil"/>
          <w:right w:val="nil"/>
          <w:between w:val="nil"/>
        </w:pBdr>
        <w:spacing w:line="360" w:lineRule="auto"/>
        <w:jc w:val="both"/>
        <w:rPr>
          <w:rFonts w:ascii="Times New Roman" w:hAnsi="Times New Roman" w:cs="Times New Roman"/>
          <w:color w:val="000000"/>
          <w:sz w:val="24"/>
          <w:szCs w:val="24"/>
        </w:rPr>
      </w:pPr>
    </w:p>
    <w:p w14:paraId="215098DC" w14:textId="77777777" w:rsidR="00E7693B" w:rsidRPr="00BB742A" w:rsidRDefault="00E7693B" w:rsidP="00684A4C">
      <w:pPr>
        <w:pStyle w:val="Heading2"/>
      </w:pPr>
      <w:bookmarkStart w:id="35" w:name="_Toc167977607"/>
      <w:r w:rsidRPr="00BB742A">
        <w:t>Fungal inoculants</w:t>
      </w:r>
      <w:bookmarkEnd w:id="35"/>
    </w:p>
    <w:p w14:paraId="215098DD"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14:paraId="215098DE" w14:textId="4D5981B0"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i/>
          <w:sz w:val="24"/>
          <w:szCs w:val="24"/>
        </w:rPr>
        <w:t xml:space="preserve">Leptosphaeria </w:t>
      </w:r>
      <w:proofErr w:type="spellStart"/>
      <w:r w:rsidRPr="00BB742A">
        <w:rPr>
          <w:rFonts w:ascii="Times New Roman" w:hAnsi="Times New Roman" w:cs="Times New Roman"/>
          <w:i/>
          <w:sz w:val="24"/>
          <w:szCs w:val="24"/>
        </w:rPr>
        <w:t>maculans</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 xml:space="preserve">JN2 and JN3 isolates, also referred to as v23.1.2 and v23.1.3 </w:t>
      </w:r>
      <w:r w:rsidR="002E4058">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{"citationID":"M2GqeHb4","properties":{"formattedCitation":"(Balesdent et al., 2002)","plainCitation":"(Balesdent et al., 2002)","noteIndex":0},"citationItems":[{"id":181,"uris":["http://zotero.org/users/10895598/items/NYVTNYQX"],"itemData":{"id":181,"type":"article-journal","abstract":"Leptosphaeria maculans, the causal agent of stem canker of oilseed rape (Brassica napus), develops gene-for-gene interactions with oilseed rape, and four L. maculans avirulence (AVR) genes (AvrLm1, AvrLm2, AvrLm4, and alm1) were previously genetically characterized. Based on the analysis of progeny of numerous in vitro crosses between L. maculans isolates showing either already characterized or new differential interactions, this work aims to provide an overview of the AVR genes that may specify incompatibility toward B. napus and the related species B. juncea and B. rapa. Two novel differential interactions were thus identified between L. maculans and B. napus genotypes, one of them corresponding to a complete resistance to European races of L. maculans. In both cases, a single gene control of avirulence was established (genes AvrLm3 and AvrLm7). Similarly, a single gene control of avirulence toward a B. rapa genotype, also resistant to European L. maculans isolates, was demonstrated (gene AvrLm8). Finally, a digenic control of avirulence toward B. juncea was established (genes AvrLm5 and AvrLm6). Linkage analyses demonstrated that at least four unlinked L. maculans genomic regions, including at least one AVR gene cluster (AvrLm1-AvrLm2-AvrLm6), are involved in host specificity. The AvrLm3-AvrLm4-AvrLm7 region may correspond either to a second AVR gene cluster or to a multiallelic AVR gene.","container-title":"Phytopathology®","DOI":"10.1094/PHYTO.2002.92.10.1122","ISSN":"0031-949X, 1943-7684","issue":"10","journalAbbreviation":"Phytopathology®","language":"en","page":"1122-1133","source":"DOI.org (Crossref)","title":"New avirulence genes in the phytopathogenic fungus &lt;i&gt;Leptosphaeria maculans&lt;/i&gt;","volume":"92","author":[{"family":"Balesdent","given":"M. H."},{"family":"Attard","given":"A."},{"family":"Kühn","given":"M. L."},{"family":"Rouxel","given":"T."}],"issued":{"date-parts":[["2002",10]]}}}],"schema":"https://github.com/citation-style-language/schema/raw/master/csl-citation.json"} </w:instrText>
      </w:r>
      <w:r w:rsidR="002E4058">
        <w:rPr>
          <w:rFonts w:ascii="Times New Roman" w:hAnsi="Times New Roman" w:cs="Times New Roman"/>
          <w:sz w:val="24"/>
          <w:szCs w:val="24"/>
        </w:rPr>
        <w:fldChar w:fldCharType="separate"/>
      </w:r>
      <w:r w:rsidR="002E4058" w:rsidRPr="002E4058">
        <w:rPr>
          <w:rFonts w:ascii="Times New Roman" w:hAnsi="Times New Roman" w:cs="Times New Roman"/>
          <w:sz w:val="24"/>
        </w:rPr>
        <w:t>(Balesdent et al., 2002)</w:t>
      </w:r>
      <w:r w:rsidR="002E4058">
        <w:rPr>
          <w:rFonts w:ascii="Times New Roman" w:hAnsi="Times New Roman" w:cs="Times New Roman"/>
          <w:sz w:val="24"/>
          <w:szCs w:val="24"/>
        </w:rPr>
        <w:fldChar w:fldCharType="end"/>
      </w:r>
      <w:r w:rsidRPr="00BB742A">
        <w:rPr>
          <w:rFonts w:ascii="Times New Roman" w:hAnsi="Times New Roman" w:cs="Times New Roman"/>
          <w:sz w:val="24"/>
          <w:szCs w:val="24"/>
        </w:rPr>
        <w:t xml:space="preserve">, and </w:t>
      </w:r>
      <w:r w:rsidRPr="00BB742A">
        <w:rPr>
          <w:rFonts w:ascii="Times New Roman" w:hAnsi="Times New Roman" w:cs="Times New Roman"/>
          <w:i/>
          <w:sz w:val="24"/>
          <w:szCs w:val="24"/>
        </w:rPr>
        <w:t xml:space="preserve">L. </w:t>
      </w:r>
      <w:proofErr w:type="spellStart"/>
      <w:r w:rsidRPr="00BB742A">
        <w:rPr>
          <w:rFonts w:ascii="Times New Roman" w:hAnsi="Times New Roman" w:cs="Times New Roman"/>
          <w:i/>
          <w:sz w:val="24"/>
          <w:szCs w:val="24"/>
        </w:rPr>
        <w:t>maculans</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 xml:space="preserve">JN3 isolate transformed with a </w:t>
      </w:r>
      <w:proofErr w:type="spellStart"/>
      <w:r w:rsidRPr="00BB742A">
        <w:rPr>
          <w:rFonts w:ascii="Times New Roman" w:hAnsi="Times New Roman" w:cs="Times New Roman"/>
          <w:sz w:val="24"/>
          <w:szCs w:val="24"/>
        </w:rPr>
        <w:t>pCAMBgfp</w:t>
      </w:r>
      <w:proofErr w:type="spellEnd"/>
      <w:r w:rsidRPr="00BB742A">
        <w:rPr>
          <w:rFonts w:ascii="Times New Roman" w:hAnsi="Times New Roman" w:cs="Times New Roman"/>
          <w:sz w:val="24"/>
          <w:szCs w:val="24"/>
        </w:rPr>
        <w:t xml:space="preserve"> construct </w:t>
      </w:r>
      <w:r w:rsidR="002E4058">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{"citationID":"p5CuOMzH","properties":{"formattedCitation":"(Sesma and Osbourn, 2004)","plainCitation":"(Sesma and Osbourn, 2004)","noteIndex":0},"citationItems":[{"id":644,"uris":["http://zotero.org/users/10895598/items/9KUWL4KE"],"itemData":{"id":644,"type":"article-journal","container-title":"Nature","DOI":"10.1038/nature02880","ISSN":"0028-0836, 1476-4687","issue":"7008","journalAbbreviation":"Nature","language":"en","page":"582-586","source":"DOI.org (Crossref)","title":"The rice leaf blast pathogen undergoes developmental processes typical of root-infecting fungi","volume":"431","author":[{"family":"Sesma","given":"Ane"},{"family":"Osbourn","given":"Anne E."}],"issued":{"date-parts":[["2004",9]]}}}],"schema":"https://github.com/citation-style-language/schema/raw/master/csl-citation.json"} </w:instrText>
      </w:r>
      <w:r w:rsidR="002E4058">
        <w:rPr>
          <w:rFonts w:ascii="Times New Roman" w:hAnsi="Times New Roman" w:cs="Times New Roman"/>
          <w:sz w:val="24"/>
          <w:szCs w:val="24"/>
        </w:rPr>
        <w:fldChar w:fldCharType="separate"/>
      </w:r>
      <w:r w:rsidR="002E4058" w:rsidRPr="002E4058">
        <w:rPr>
          <w:rFonts w:ascii="Times New Roman" w:hAnsi="Times New Roman" w:cs="Times New Roman"/>
          <w:sz w:val="24"/>
        </w:rPr>
        <w:t>(Sesma and Osbourn, 2004)</w:t>
      </w:r>
      <w:r w:rsidR="002E4058">
        <w:rPr>
          <w:rFonts w:ascii="Times New Roman" w:hAnsi="Times New Roman" w:cs="Times New Roman"/>
          <w:sz w:val="24"/>
          <w:szCs w:val="24"/>
        </w:rPr>
        <w:fldChar w:fldCharType="end"/>
      </w:r>
      <w:r w:rsidR="002E4058">
        <w:rPr>
          <w:rFonts w:ascii="Times New Roman" w:hAnsi="Times New Roman" w:cs="Times New Roman"/>
          <w:sz w:val="24"/>
          <w:szCs w:val="24"/>
        </w:rPr>
        <w:t xml:space="preserve"> </w:t>
      </w:r>
      <w:r w:rsidRPr="00BB742A">
        <w:rPr>
          <w:rFonts w:ascii="Times New Roman" w:hAnsi="Times New Roman" w:cs="Times New Roman"/>
          <w:sz w:val="24"/>
          <w:szCs w:val="24"/>
        </w:rPr>
        <w:t xml:space="preserve">carrying the </w:t>
      </w:r>
      <w:proofErr w:type="spellStart"/>
      <w:r w:rsidRPr="00BB742A">
        <w:rPr>
          <w:rFonts w:ascii="Times New Roman" w:hAnsi="Times New Roman" w:cs="Times New Roman"/>
          <w:i/>
          <w:sz w:val="24"/>
          <w:szCs w:val="24"/>
        </w:rPr>
        <w:t>sGFP</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 xml:space="preserve">gene </w:t>
      </w:r>
      <w:r w:rsidR="002E4058">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{"citationID":"enoIY82J","properties":{"formattedCitation":"(\\uc0\\u352{}a\\uc0\\u353{}ek et al., 2012a)","plainCitation":"(Šašek et al., 2012a)","noteIndex":0},"citationItems":[{"id":645,"uris":["http://zotero.org/users/10895598/items/3I9FBGSE"],"itemData":{"id":645,"type":"article-journal","container-title":"European Journal of Plant Pathology","DOI":"10.1007/s10658-011-9897-9","ISSN":"0929-1873, 1573-8469","issue":"1","journalAbbreviation":"Eur J Plant Pathol","language":"en","page":"279-289","source":"DOI.org (Crossref)","title":"β-aminobutyric acid protects &lt;i&gt;Brassica napus&lt;/i&gt; plants from infection by &lt;i&gt;Leptosphaeria maculans&lt;/i&gt;. Resistance induction or a direct antifungal effect?","volume":"133","author":[{"family":"Šašek","given":"Vladimír"},{"family":"Nováková","given":"Miroslava"},{"family":"Dobrev","given":"Petre I."},{"family":"Valentová","given":"Olga"},{"family":"Burketová","given":"Lenka"}],"issued":{"date-parts":[["2012",5]]}}}],"schema":"https://github.com/citation-style-language/schema/raw/master/csl-citation.json"} </w:instrText>
      </w:r>
      <w:r w:rsidR="002E4058">
        <w:rPr>
          <w:rFonts w:ascii="Times New Roman" w:hAnsi="Times New Roman" w:cs="Times New Roman"/>
          <w:sz w:val="24"/>
          <w:szCs w:val="24"/>
        </w:rPr>
        <w:fldChar w:fldCharType="separate"/>
      </w:r>
      <w:r w:rsidR="002E4058" w:rsidRPr="002E4058">
        <w:rPr>
          <w:rFonts w:ascii="Times New Roman" w:hAnsi="Times New Roman" w:cs="Times New Roman"/>
          <w:sz w:val="24"/>
          <w:szCs w:val="24"/>
        </w:rPr>
        <w:t>(Šašek et al., 2012a)</w:t>
      </w:r>
      <w:r w:rsidR="002E4058">
        <w:rPr>
          <w:rFonts w:ascii="Times New Roman" w:hAnsi="Times New Roman" w:cs="Times New Roman"/>
          <w:sz w:val="24"/>
          <w:szCs w:val="24"/>
        </w:rPr>
        <w:fldChar w:fldCharType="end"/>
      </w:r>
      <w:r w:rsidRPr="00BB742A">
        <w:rPr>
          <w:rFonts w:ascii="Times New Roman" w:hAnsi="Times New Roman" w:cs="Times New Roman"/>
          <w:sz w:val="24"/>
          <w:szCs w:val="24"/>
          <w:shd w:val="clear" w:color="auto" w:fill="FCFCFC"/>
        </w:rPr>
        <w:t xml:space="preserve"> </w:t>
      </w:r>
      <w:r w:rsidRPr="00BB742A">
        <w:rPr>
          <w:rFonts w:ascii="Times New Roman" w:hAnsi="Times New Roman" w:cs="Times New Roman"/>
          <w:color w:val="000000"/>
          <w:sz w:val="24"/>
          <w:szCs w:val="24"/>
        </w:rPr>
        <w:t>were cultivated on V8 solidified medium at 26°C in the dark. Sporulation cultures and conidial suspension were prepared according to</w:t>
      </w:r>
      <w:r w:rsidR="002E4058">
        <w:rPr>
          <w:rFonts w:ascii="Times New Roman" w:hAnsi="Times New Roman" w:cs="Times New Roman"/>
          <w:color w:val="000000"/>
          <w:sz w:val="24"/>
          <w:szCs w:val="24"/>
        </w:rPr>
        <w:t xml:space="preserve"> </w:t>
      </w:r>
      <w:r w:rsidR="002E4058">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{"citationID":"17ANBFie","properties":{"formattedCitation":"(Ansan-Melayah et al., 1995)","plainCitation":"(Ansan-Melayah et al., 1995)","dontUpdate":true,"noteIndex":0},"citationItems":[{"id":31,"uris":["http://zotero.org/users/10895598/items/3CYJP4CJ"],"itemData":{"id":31,"type":"article-journal","container-title":"Phytopathology","DOI":"10.1094/Phyto-85-1525","ISSN":"0031949X","issue":"12","journalAbbreviation":"Phytopathology","page":"1525","source":"DOI.org (Crossref)","title":"Genetic characterization of &lt;i&gt;AvrLm1,&lt;/i&gt; the first avirulence gene of &lt;i&gt;Leptosphaeria maculans&lt;/i&gt;","volume":"85","author":[{"family":"Ansan-Melayah","given":"D."},{"family":"Balesdent","given":"M. H."},{"family":"Buée","given":"M."},{"family":"Rouxel","given":"T."}],"issued":{"date-parts":[["1995"]]}}}],"schema":"https://github.com/citation-style-language/schema/raw/master/csl-citation.json"} </w:instrText>
      </w:r>
      <w:r w:rsidR="002E4058">
        <w:rPr>
          <w:rFonts w:ascii="Times New Roman" w:hAnsi="Times New Roman" w:cs="Times New Roman"/>
          <w:color w:val="000000"/>
          <w:sz w:val="24"/>
          <w:szCs w:val="24"/>
        </w:rPr>
        <w:fldChar w:fldCharType="separate"/>
      </w:r>
      <w:r w:rsidR="002E4058">
        <w:rPr>
          <w:rFonts w:ascii="Times New Roman" w:hAnsi="Times New Roman" w:cs="Times New Roman"/>
          <w:sz w:val="24"/>
        </w:rPr>
        <w:t>Ansan-Melayah et al. (</w:t>
      </w:r>
      <w:r w:rsidR="002E4058" w:rsidRPr="002E4058">
        <w:rPr>
          <w:rFonts w:ascii="Times New Roman" w:hAnsi="Times New Roman" w:cs="Times New Roman"/>
          <w:sz w:val="24"/>
        </w:rPr>
        <w:t>1995)</w:t>
      </w:r>
      <w:r w:rsidR="002E4058">
        <w:rPr>
          <w:rFonts w:ascii="Times New Roman" w:hAnsi="Times New Roman" w:cs="Times New Roman"/>
          <w:color w:val="000000"/>
          <w:sz w:val="24"/>
          <w:szCs w:val="24"/>
        </w:rPr>
        <w:fldChar w:fldCharType="end"/>
      </w:r>
      <w:r w:rsidRPr="00BB742A">
        <w:rPr>
          <w:rFonts w:ascii="Times New Roman" w:hAnsi="Times New Roman" w:cs="Times New Roman"/>
          <w:color w:val="000000"/>
          <w:sz w:val="24"/>
          <w:szCs w:val="24"/>
        </w:rPr>
        <w:t xml:space="preserve">. Spores were washed once with autoclaved tap water after harvesting, diluted to </w:t>
      </w:r>
      <w:r w:rsidRPr="00BB742A">
        <w:rPr>
          <w:rFonts w:ascii="Times New Roman" w:hAnsi="Times New Roman" w:cs="Times New Roman"/>
          <w:sz w:val="24"/>
          <w:szCs w:val="24"/>
        </w:rPr>
        <w:t>10</w:t>
      </w:r>
      <w:r w:rsidRPr="00BB742A">
        <w:rPr>
          <w:rFonts w:ascii="Times New Roman" w:hAnsi="Times New Roman" w:cs="Times New Roman"/>
          <w:sz w:val="24"/>
          <w:szCs w:val="24"/>
          <w:vertAlign w:val="superscript"/>
        </w:rPr>
        <w:t>8</w:t>
      </w:r>
      <w:r w:rsidRPr="00BB742A">
        <w:rPr>
          <w:rFonts w:ascii="Times New Roman" w:hAnsi="Times New Roman" w:cs="Times New Roman"/>
          <w:sz w:val="24"/>
          <w:szCs w:val="24"/>
        </w:rPr>
        <w:t xml:space="preserve"> spore ml</w:t>
      </w:r>
      <w:r w:rsidRPr="00BB742A">
        <w:rPr>
          <w:rFonts w:ascii="Times New Roman" w:hAnsi="Times New Roman" w:cs="Times New Roman"/>
          <w:sz w:val="24"/>
          <w:szCs w:val="24"/>
          <w:vertAlign w:val="superscript"/>
        </w:rPr>
        <w:t>-1</w:t>
      </w:r>
      <w:r w:rsidRPr="00BB742A">
        <w:rPr>
          <w:rFonts w:ascii="Times New Roman" w:hAnsi="Times New Roman" w:cs="Times New Roman"/>
          <w:sz w:val="24"/>
          <w:szCs w:val="24"/>
        </w:rPr>
        <w:t xml:space="preserve">, </w:t>
      </w:r>
      <w:r w:rsidRPr="00BB742A">
        <w:rPr>
          <w:rFonts w:ascii="Times New Roman" w:hAnsi="Times New Roman" w:cs="Times New Roman"/>
          <w:color w:val="000000"/>
          <w:sz w:val="24"/>
          <w:szCs w:val="24"/>
        </w:rPr>
        <w:t>and stored at -20°C for a maximum period of 6 months.</w:t>
      </w:r>
    </w:p>
    <w:p w14:paraId="215098DF" w14:textId="343F1045" w:rsidR="00E7693B" w:rsidRPr="00BB742A" w:rsidRDefault="00E7693B" w:rsidP="00684A4C">
      <w:pPr>
        <w:spacing w:after="0" w:line="360" w:lineRule="auto"/>
        <w:ind w:firstLine="720"/>
        <w:jc w:val="both"/>
        <w:rPr>
          <w:rFonts w:ascii="Times New Roman" w:hAnsi="Times New Roman" w:cs="Times New Roman"/>
          <w:sz w:val="24"/>
          <w:szCs w:val="24"/>
        </w:rPr>
      </w:pPr>
      <w:r w:rsidRPr="00BB742A">
        <w:rPr>
          <w:rFonts w:ascii="Times New Roman" w:hAnsi="Times New Roman" w:cs="Times New Roman"/>
          <w:sz w:val="24"/>
          <w:szCs w:val="24"/>
        </w:rPr>
        <w:t xml:space="preserve">After cutting, oilseed rape leaves were inoculated with spore suspension of </w:t>
      </w:r>
      <w:r w:rsidR="007567C3">
        <w:rPr>
          <w:rFonts w:ascii="Times New Roman" w:hAnsi="Times New Roman" w:cs="Times New Roman"/>
          <w:sz w:val="24"/>
          <w:szCs w:val="24"/>
        </w:rPr>
        <w:t xml:space="preserve">the </w:t>
      </w:r>
      <w:r w:rsidRPr="00BB742A">
        <w:rPr>
          <w:rFonts w:ascii="Times New Roman" w:hAnsi="Times New Roman" w:cs="Times New Roman"/>
          <w:sz w:val="24"/>
          <w:szCs w:val="24"/>
        </w:rPr>
        <w:t>JN2 isolate (10</w:t>
      </w:r>
      <w:r w:rsidRPr="00BB742A">
        <w:rPr>
          <w:rFonts w:ascii="Times New Roman" w:hAnsi="Times New Roman" w:cs="Times New Roman"/>
          <w:sz w:val="24"/>
          <w:szCs w:val="24"/>
          <w:vertAlign w:val="superscript"/>
        </w:rPr>
        <w:t xml:space="preserve">5 </w:t>
      </w:r>
      <w:r w:rsidRPr="00BB742A">
        <w:rPr>
          <w:rFonts w:ascii="Times New Roman" w:hAnsi="Times New Roman" w:cs="Times New Roman"/>
          <w:sz w:val="24"/>
          <w:szCs w:val="24"/>
        </w:rPr>
        <w:t>spore ml</w:t>
      </w:r>
      <w:r w:rsidRPr="00BB742A">
        <w:rPr>
          <w:rFonts w:ascii="Times New Roman" w:hAnsi="Times New Roman" w:cs="Times New Roman"/>
          <w:sz w:val="24"/>
          <w:szCs w:val="24"/>
          <w:vertAlign w:val="superscript"/>
        </w:rPr>
        <w:t>-1</w:t>
      </w:r>
      <w:r w:rsidRPr="00BB742A">
        <w:rPr>
          <w:rFonts w:ascii="Times New Roman" w:hAnsi="Times New Roman" w:cs="Times New Roman"/>
          <w:sz w:val="24"/>
          <w:szCs w:val="24"/>
        </w:rPr>
        <w:t>) using vacuum infiltration. Briefly, leaves were immersed into conidial suspension in a glass beaker, and the beaker was placed in a desiccator for several minutes until the infiltration was successful. Detached leaves infiltrated with distilled water were used as controls. Subsequently, leaf petioles were submerged in distilled water and fixed with 0.3 cm glass beads.</w:t>
      </w:r>
    </w:p>
    <w:p w14:paraId="215098E0" w14:textId="20323BBA"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color w:val="000000"/>
          <w:sz w:val="24"/>
          <w:szCs w:val="24"/>
        </w:rPr>
        <w:t>True leaves of cauliflower plants were inoculated by making a puncture into the attached true leaf using a sterile needle and subsequently pipetting 10 µl drop of spore suspension (10</w:t>
      </w:r>
      <w:r w:rsidRPr="00BB742A">
        <w:rPr>
          <w:rFonts w:ascii="Times New Roman" w:hAnsi="Times New Roman" w:cs="Times New Roman"/>
          <w:color w:val="000000"/>
          <w:sz w:val="24"/>
          <w:szCs w:val="24"/>
          <w:vertAlign w:val="superscript"/>
        </w:rPr>
        <w:t xml:space="preserve">7 </w:t>
      </w:r>
      <w:r w:rsidRPr="00BB742A">
        <w:rPr>
          <w:rFonts w:ascii="Times New Roman" w:hAnsi="Times New Roman" w:cs="Times New Roman"/>
          <w:sz w:val="24"/>
          <w:szCs w:val="24"/>
        </w:rPr>
        <w:t>spore ml</w:t>
      </w:r>
      <w:r w:rsidRPr="00BB742A">
        <w:rPr>
          <w:rFonts w:ascii="Times New Roman" w:hAnsi="Times New Roman" w:cs="Times New Roman"/>
          <w:sz w:val="24"/>
          <w:szCs w:val="24"/>
          <w:vertAlign w:val="superscript"/>
        </w:rPr>
        <w:t>-1</w:t>
      </w:r>
      <w:r w:rsidRPr="00BB742A">
        <w:rPr>
          <w:rFonts w:ascii="Times New Roman" w:hAnsi="Times New Roman" w:cs="Times New Roman"/>
          <w:color w:val="000000"/>
          <w:sz w:val="24"/>
          <w:szCs w:val="24"/>
        </w:rPr>
        <w:t xml:space="preserve">) of </w:t>
      </w:r>
      <w:r w:rsidR="007567C3">
        <w:rPr>
          <w:rFonts w:ascii="Times New Roman" w:hAnsi="Times New Roman" w:cs="Times New Roman"/>
          <w:color w:val="000000"/>
          <w:sz w:val="24"/>
          <w:szCs w:val="24"/>
        </w:rPr>
        <w:t xml:space="preserve">the </w:t>
      </w:r>
      <w:r w:rsidRPr="00BB742A">
        <w:rPr>
          <w:rFonts w:ascii="Times New Roman" w:hAnsi="Times New Roman" w:cs="Times New Roman"/>
          <w:color w:val="000000"/>
          <w:sz w:val="24"/>
          <w:szCs w:val="24"/>
        </w:rPr>
        <w:t xml:space="preserve">JN3 or </w:t>
      </w:r>
      <w:r w:rsidRPr="00BB742A">
        <w:rPr>
          <w:rFonts w:ascii="Times New Roman" w:hAnsi="Times New Roman" w:cs="Times New Roman"/>
          <w:sz w:val="24"/>
          <w:szCs w:val="24"/>
        </w:rPr>
        <w:t xml:space="preserve">JN3-GFP </w:t>
      </w:r>
      <w:r w:rsidRPr="00BB742A">
        <w:rPr>
          <w:rFonts w:ascii="Times New Roman" w:hAnsi="Times New Roman" w:cs="Times New Roman"/>
          <w:color w:val="000000"/>
          <w:sz w:val="24"/>
          <w:szCs w:val="24"/>
        </w:rPr>
        <w:t>isolate. Cotyledons of cauliflower plants were inoculated with spore suspension (10</w:t>
      </w:r>
      <w:r w:rsidRPr="00BB742A">
        <w:rPr>
          <w:rFonts w:ascii="Times New Roman" w:hAnsi="Times New Roman" w:cs="Times New Roman"/>
          <w:color w:val="000000"/>
          <w:sz w:val="24"/>
          <w:szCs w:val="24"/>
          <w:vertAlign w:val="superscript"/>
        </w:rPr>
        <w:t>5</w:t>
      </w:r>
      <w:r w:rsidRPr="00BB742A">
        <w:rPr>
          <w:rFonts w:ascii="Times New Roman" w:hAnsi="Times New Roman" w:cs="Times New Roman"/>
          <w:color w:val="000000"/>
          <w:sz w:val="24"/>
          <w:szCs w:val="24"/>
        </w:rPr>
        <w:t xml:space="preserve"> </w:t>
      </w:r>
      <w:r w:rsidRPr="00BB742A">
        <w:rPr>
          <w:rFonts w:ascii="Times New Roman" w:hAnsi="Times New Roman" w:cs="Times New Roman"/>
          <w:sz w:val="24"/>
          <w:szCs w:val="24"/>
        </w:rPr>
        <w:t>spore ml</w:t>
      </w:r>
      <w:r w:rsidRPr="00BB742A">
        <w:rPr>
          <w:rFonts w:ascii="Times New Roman" w:hAnsi="Times New Roman" w:cs="Times New Roman"/>
          <w:sz w:val="24"/>
          <w:szCs w:val="24"/>
          <w:vertAlign w:val="superscript"/>
        </w:rPr>
        <w:t>-1</w:t>
      </w:r>
      <w:r w:rsidRPr="00BB742A">
        <w:rPr>
          <w:rFonts w:ascii="Times New Roman" w:hAnsi="Times New Roman" w:cs="Times New Roman"/>
          <w:sz w:val="24"/>
          <w:szCs w:val="24"/>
        </w:rPr>
        <w:t>)</w:t>
      </w:r>
      <w:r w:rsidRPr="00BB742A">
        <w:rPr>
          <w:rFonts w:ascii="Times New Roman" w:hAnsi="Times New Roman" w:cs="Times New Roman"/>
          <w:sz w:val="24"/>
          <w:szCs w:val="24"/>
          <w:vertAlign w:val="superscript"/>
        </w:rPr>
        <w:t xml:space="preserve"> </w:t>
      </w:r>
      <w:r w:rsidRPr="00BB742A">
        <w:rPr>
          <w:rFonts w:ascii="Times New Roman" w:hAnsi="Times New Roman" w:cs="Times New Roman"/>
          <w:color w:val="000000"/>
          <w:sz w:val="24"/>
          <w:szCs w:val="24"/>
        </w:rPr>
        <w:t xml:space="preserve">of </w:t>
      </w:r>
      <w:r w:rsidR="007567C3">
        <w:rPr>
          <w:rFonts w:ascii="Times New Roman" w:hAnsi="Times New Roman" w:cs="Times New Roman"/>
          <w:color w:val="000000"/>
          <w:sz w:val="24"/>
          <w:szCs w:val="24"/>
        </w:rPr>
        <w:t xml:space="preserve">the </w:t>
      </w:r>
      <w:r w:rsidRPr="00BB742A">
        <w:rPr>
          <w:rFonts w:ascii="Times New Roman" w:hAnsi="Times New Roman" w:cs="Times New Roman"/>
          <w:color w:val="000000"/>
          <w:sz w:val="24"/>
          <w:szCs w:val="24"/>
        </w:rPr>
        <w:t xml:space="preserve">JN3-GFP </w:t>
      </w:r>
      <w:r w:rsidRPr="00BB742A">
        <w:rPr>
          <w:rFonts w:ascii="Times New Roman" w:hAnsi="Times New Roman" w:cs="Times New Roman"/>
          <w:sz w:val="24"/>
          <w:szCs w:val="24"/>
        </w:rPr>
        <w:t xml:space="preserve">isolate using </w:t>
      </w:r>
      <w:r w:rsidRPr="00BB742A">
        <w:rPr>
          <w:rFonts w:ascii="Times New Roman" w:hAnsi="Times New Roman" w:cs="Times New Roman"/>
          <w:color w:val="000000"/>
          <w:sz w:val="24"/>
          <w:szCs w:val="24"/>
        </w:rPr>
        <w:t>syringe infiltration.</w:t>
      </w:r>
    </w:p>
    <w:p w14:paraId="215098E1" w14:textId="5C8B0C29"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i/>
          <w:color w:val="000000"/>
          <w:sz w:val="24"/>
          <w:szCs w:val="24"/>
        </w:rPr>
        <w:t xml:space="preserve">Metarhizium </w:t>
      </w:r>
      <w:proofErr w:type="spellStart"/>
      <w:r w:rsidRPr="00BB742A">
        <w:rPr>
          <w:rFonts w:ascii="Times New Roman" w:hAnsi="Times New Roman" w:cs="Times New Roman"/>
          <w:i/>
          <w:color w:val="000000"/>
          <w:sz w:val="24"/>
          <w:szCs w:val="24"/>
        </w:rPr>
        <w:t>robertsii</w:t>
      </w:r>
      <w:proofErr w:type="spellEnd"/>
      <w:r w:rsidRPr="00BB742A">
        <w:rPr>
          <w:rFonts w:ascii="Times New Roman" w:hAnsi="Times New Roman" w:cs="Times New Roman"/>
          <w:i/>
          <w:color w:val="000000"/>
          <w:sz w:val="24"/>
          <w:szCs w:val="24"/>
        </w:rPr>
        <w:t xml:space="preserve"> </w:t>
      </w:r>
      <w:r w:rsidRPr="00BB742A">
        <w:rPr>
          <w:rFonts w:ascii="Times New Roman" w:hAnsi="Times New Roman" w:cs="Times New Roman"/>
          <w:color w:val="000000"/>
          <w:sz w:val="24"/>
          <w:szCs w:val="24"/>
        </w:rPr>
        <w:t xml:space="preserve">KVL 12-35, isolated from the Danish agricultural soil, was stored at -80ºC. The strain </w:t>
      </w:r>
      <w:r w:rsidRPr="00BB742A">
        <w:rPr>
          <w:rFonts w:ascii="Times New Roman" w:hAnsi="Times New Roman" w:cs="Times New Roman"/>
          <w:sz w:val="24"/>
          <w:szCs w:val="24"/>
        </w:rPr>
        <w:t xml:space="preserve">was </w:t>
      </w:r>
      <w:r w:rsidRPr="00BB742A">
        <w:rPr>
          <w:rFonts w:ascii="Times New Roman" w:hAnsi="Times New Roman" w:cs="Times New Roman"/>
          <w:color w:val="000000"/>
          <w:sz w:val="24"/>
          <w:szCs w:val="24"/>
        </w:rPr>
        <w:t xml:space="preserve">then transferred to a quarter-strength dilution of SDAY: </w:t>
      </w:r>
      <w:proofErr w:type="spellStart"/>
      <w:r w:rsidRPr="00BB742A">
        <w:rPr>
          <w:rFonts w:ascii="Times New Roman" w:hAnsi="Times New Roman" w:cs="Times New Roman"/>
          <w:color w:val="000000"/>
          <w:sz w:val="24"/>
          <w:szCs w:val="24"/>
        </w:rPr>
        <w:t>Sabouraud</w:t>
      </w:r>
      <w:proofErr w:type="spellEnd"/>
      <w:r w:rsidRPr="00BB742A">
        <w:rPr>
          <w:rFonts w:ascii="Times New Roman" w:hAnsi="Times New Roman" w:cs="Times New Roman"/>
          <w:color w:val="000000"/>
          <w:sz w:val="24"/>
          <w:szCs w:val="24"/>
        </w:rPr>
        <w:t xml:space="preserve"> Dextrose Agar (SDA; Merck </w:t>
      </w:r>
      <w:proofErr w:type="spellStart"/>
      <w:r w:rsidRPr="00BB742A">
        <w:rPr>
          <w:rFonts w:ascii="Times New Roman" w:hAnsi="Times New Roman" w:cs="Times New Roman"/>
          <w:color w:val="000000"/>
          <w:sz w:val="24"/>
          <w:szCs w:val="24"/>
        </w:rPr>
        <w:t>KGaA</w:t>
      </w:r>
      <w:proofErr w:type="spellEnd"/>
      <w:r w:rsidRPr="00BB742A">
        <w:rPr>
          <w:rFonts w:ascii="Times New Roman" w:hAnsi="Times New Roman" w:cs="Times New Roman"/>
          <w:color w:val="000000"/>
          <w:sz w:val="24"/>
          <w:szCs w:val="24"/>
        </w:rPr>
        <w:t>, Darmstadt, Germany)</w:t>
      </w:r>
      <w:r w:rsidR="00AB4F2E">
        <w:rPr>
          <w:rFonts w:ascii="Times New Roman" w:hAnsi="Times New Roman" w:cs="Times New Roman"/>
          <w:color w:val="000000"/>
          <w:sz w:val="24"/>
          <w:szCs w:val="24"/>
        </w:rPr>
        <w:t xml:space="preserve"> with </w:t>
      </w:r>
      <w:r w:rsidRPr="00BB742A">
        <w:rPr>
          <w:rFonts w:ascii="Times New Roman" w:hAnsi="Times New Roman" w:cs="Times New Roman"/>
          <w:sz w:val="24"/>
          <w:szCs w:val="24"/>
        </w:rPr>
        <w:t>Y</w:t>
      </w:r>
      <w:r w:rsidRPr="00BB742A">
        <w:rPr>
          <w:rFonts w:ascii="Times New Roman" w:hAnsi="Times New Roman" w:cs="Times New Roman"/>
          <w:color w:val="000000"/>
          <w:sz w:val="24"/>
          <w:szCs w:val="24"/>
        </w:rPr>
        <w:t xml:space="preserve">east extract (Merck </w:t>
      </w:r>
      <w:proofErr w:type="spellStart"/>
      <w:r w:rsidRPr="00BB742A">
        <w:rPr>
          <w:rFonts w:ascii="Times New Roman" w:hAnsi="Times New Roman" w:cs="Times New Roman"/>
          <w:color w:val="000000"/>
          <w:sz w:val="24"/>
          <w:szCs w:val="24"/>
        </w:rPr>
        <w:t>KGaA</w:t>
      </w:r>
      <w:proofErr w:type="spellEnd"/>
      <w:r w:rsidRPr="00BB742A">
        <w:rPr>
          <w:rFonts w:ascii="Times New Roman" w:hAnsi="Times New Roman" w:cs="Times New Roman"/>
          <w:color w:val="000000"/>
          <w:sz w:val="24"/>
          <w:szCs w:val="24"/>
        </w:rPr>
        <w:t xml:space="preserve">, Darmstadt, Germany), and grown for three weeks at 25ºC. After three weeks, 10 ml </w:t>
      </w:r>
      <w:r w:rsidRPr="00BB742A">
        <w:rPr>
          <w:rFonts w:ascii="Times New Roman" w:hAnsi="Times New Roman" w:cs="Times New Roman"/>
          <w:sz w:val="24"/>
          <w:szCs w:val="24"/>
        </w:rPr>
        <w:t xml:space="preserve">of </w:t>
      </w:r>
      <w:r w:rsidRPr="00BB742A">
        <w:rPr>
          <w:rFonts w:ascii="Times New Roman" w:hAnsi="Times New Roman" w:cs="Times New Roman"/>
          <w:color w:val="000000"/>
          <w:sz w:val="24"/>
          <w:szCs w:val="24"/>
        </w:rPr>
        <w:t xml:space="preserve">sterile 0.05 % Triton X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added to the plates and conidia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harvested from sporulating cultures by rubbing the surface with a spatula. The conidial suspension was then transferred to a 50 ml centrifuge tube, washed twice by centrifugation, and the pellet resuspended in sterile 0.05 % Triton X. After preparing a serial dilution, conidial concentration </w:t>
      </w:r>
      <w:r w:rsidRPr="00BB742A">
        <w:rPr>
          <w:rFonts w:ascii="Times New Roman" w:hAnsi="Times New Roman" w:cs="Times New Roman"/>
          <w:sz w:val="24"/>
          <w:szCs w:val="24"/>
        </w:rPr>
        <w:t xml:space="preserve">was </w:t>
      </w:r>
      <w:r w:rsidRPr="00BB742A">
        <w:rPr>
          <w:rFonts w:ascii="Times New Roman" w:hAnsi="Times New Roman" w:cs="Times New Roman"/>
          <w:color w:val="000000"/>
          <w:sz w:val="24"/>
          <w:szCs w:val="24"/>
        </w:rPr>
        <w:t xml:space="preserve">estimated by adding 20 µl of spore suspension in a 0.2 mm </w:t>
      </w:r>
      <w:proofErr w:type="spellStart"/>
      <w:r w:rsidRPr="00BB742A">
        <w:rPr>
          <w:rFonts w:ascii="Times New Roman" w:hAnsi="Times New Roman" w:cs="Times New Roman"/>
          <w:color w:val="000000"/>
          <w:sz w:val="24"/>
          <w:szCs w:val="24"/>
        </w:rPr>
        <w:t>hemocytometer</w:t>
      </w:r>
      <w:proofErr w:type="spellEnd"/>
      <w:r w:rsidRPr="00BB742A">
        <w:rPr>
          <w:rFonts w:ascii="Times New Roman" w:hAnsi="Times New Roman" w:cs="Times New Roman"/>
          <w:color w:val="000000"/>
          <w:sz w:val="24"/>
          <w:szCs w:val="24"/>
        </w:rPr>
        <w:t xml:space="preserve"> (Fuchs-Rosenthal, Germany) and counting </w:t>
      </w:r>
      <w:r w:rsidRPr="00BB742A">
        <w:rPr>
          <w:rFonts w:ascii="Times New Roman" w:hAnsi="Times New Roman" w:cs="Times New Roman"/>
          <w:color w:val="000000"/>
          <w:sz w:val="24"/>
          <w:szCs w:val="24"/>
        </w:rPr>
        <w:lastRenderedPageBreak/>
        <w:t>the spores under microscope. Working suspensions were adjusted to 10</w:t>
      </w:r>
      <w:r w:rsidRPr="00BB742A">
        <w:rPr>
          <w:rFonts w:ascii="Times New Roman" w:hAnsi="Times New Roman" w:cs="Times New Roman"/>
          <w:color w:val="000000"/>
          <w:sz w:val="24"/>
          <w:szCs w:val="24"/>
          <w:vertAlign w:val="superscript"/>
        </w:rPr>
        <w:t>8</w:t>
      </w:r>
      <w:r w:rsidRPr="00BB742A">
        <w:rPr>
          <w:rFonts w:ascii="Times New Roman" w:hAnsi="Times New Roman" w:cs="Times New Roman"/>
          <w:color w:val="000000"/>
          <w:sz w:val="24"/>
          <w:szCs w:val="24"/>
        </w:rPr>
        <w:t xml:space="preserve"> conidia</w:t>
      </w:r>
      <w:r w:rsidRPr="00BB742A">
        <w:rPr>
          <w:rFonts w:ascii="Times New Roman" w:hAnsi="Times New Roman" w:cs="Times New Roman"/>
          <w:sz w:val="24"/>
          <w:szCs w:val="24"/>
        </w:rPr>
        <w:t xml:space="preserve"> ml</w:t>
      </w:r>
      <w:r w:rsidRPr="00BB742A">
        <w:rPr>
          <w:rFonts w:ascii="Times New Roman" w:hAnsi="Times New Roman" w:cs="Times New Roman"/>
          <w:sz w:val="24"/>
          <w:szCs w:val="24"/>
          <w:vertAlign w:val="superscript"/>
        </w:rPr>
        <w:t xml:space="preserve">-1 </w:t>
      </w:r>
      <w:r w:rsidRPr="00BB742A">
        <w:rPr>
          <w:rFonts w:ascii="Times New Roman" w:hAnsi="Times New Roman" w:cs="Times New Roman"/>
          <w:color w:val="000000"/>
          <w:sz w:val="24"/>
          <w:szCs w:val="24"/>
        </w:rPr>
        <w:t xml:space="preserve">and stored at 4ºC for maximum 24 h. Germination test was then prepared on </w:t>
      </w:r>
      <w:proofErr w:type="spellStart"/>
      <w:r w:rsidRPr="00BB742A">
        <w:rPr>
          <w:rFonts w:ascii="Times New Roman" w:hAnsi="Times New Roman" w:cs="Times New Roman"/>
          <w:color w:val="000000"/>
          <w:sz w:val="24"/>
          <w:szCs w:val="24"/>
        </w:rPr>
        <w:t>Sabouraud</w:t>
      </w:r>
      <w:proofErr w:type="spellEnd"/>
      <w:r w:rsidRPr="00BB742A">
        <w:rPr>
          <w:rFonts w:ascii="Times New Roman" w:hAnsi="Times New Roman" w:cs="Times New Roman"/>
          <w:color w:val="000000"/>
          <w:sz w:val="24"/>
          <w:szCs w:val="24"/>
        </w:rPr>
        <w:t xml:space="preserve"> Dextrose Agar (SDA; Merck </w:t>
      </w:r>
      <w:proofErr w:type="spellStart"/>
      <w:r w:rsidRPr="00BB742A">
        <w:rPr>
          <w:rFonts w:ascii="Times New Roman" w:hAnsi="Times New Roman" w:cs="Times New Roman"/>
          <w:color w:val="000000"/>
          <w:sz w:val="24"/>
          <w:szCs w:val="24"/>
        </w:rPr>
        <w:t>KGaA</w:t>
      </w:r>
      <w:proofErr w:type="spellEnd"/>
      <w:r w:rsidRPr="00BB742A">
        <w:rPr>
          <w:rFonts w:ascii="Times New Roman" w:hAnsi="Times New Roman" w:cs="Times New Roman"/>
          <w:color w:val="000000"/>
          <w:sz w:val="24"/>
          <w:szCs w:val="24"/>
        </w:rPr>
        <w:t xml:space="preserve">, Darmstadt, Germany) plate by transferring 100 µl of dilution used for spore counting. Plates were further stored at 25ºC and spores were counted under microscope 24 h after plating by cutting three small pieces of agar with a sterile knife. Germination rate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then calculated as the average of germinated spores from three agar pieces. For spores to be considered highly effective, germination rate should exceed 95 %. Fresh conidial suspension was prepared for each experimental repetition.</w:t>
      </w:r>
    </w:p>
    <w:p w14:paraId="215098E2"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14:paraId="215098E3" w14:textId="77777777" w:rsidR="00E7693B" w:rsidRPr="00BB742A" w:rsidRDefault="00E7693B" w:rsidP="00684A4C">
      <w:pPr>
        <w:pStyle w:val="Heading2"/>
      </w:pPr>
      <w:bookmarkStart w:id="36" w:name="_Toc167977608"/>
      <w:r w:rsidRPr="00BB742A">
        <w:t>Insects</w:t>
      </w:r>
      <w:bookmarkEnd w:id="36"/>
    </w:p>
    <w:p w14:paraId="215098E4"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14:paraId="215098E5" w14:textId="08446A8A"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color w:val="000000"/>
          <w:sz w:val="24"/>
          <w:szCs w:val="24"/>
        </w:rPr>
        <w:t>Caterpillars of diamondback moth (</w:t>
      </w:r>
      <w:proofErr w:type="spellStart"/>
      <w:r w:rsidRPr="00BB742A">
        <w:rPr>
          <w:rFonts w:ascii="Times New Roman" w:hAnsi="Times New Roman" w:cs="Times New Roman"/>
          <w:i/>
          <w:color w:val="000000"/>
          <w:sz w:val="24"/>
          <w:szCs w:val="24"/>
        </w:rPr>
        <w:t>Plutella</w:t>
      </w:r>
      <w:proofErr w:type="spellEnd"/>
      <w:r w:rsidRPr="00BB742A">
        <w:rPr>
          <w:rFonts w:ascii="Times New Roman" w:hAnsi="Times New Roman" w:cs="Times New Roman"/>
          <w:i/>
          <w:color w:val="000000"/>
          <w:sz w:val="24"/>
          <w:szCs w:val="24"/>
        </w:rPr>
        <w:t xml:space="preserve"> </w:t>
      </w:r>
      <w:proofErr w:type="spellStart"/>
      <w:r w:rsidRPr="00BB742A">
        <w:rPr>
          <w:rFonts w:ascii="Times New Roman" w:hAnsi="Times New Roman" w:cs="Times New Roman"/>
          <w:i/>
          <w:color w:val="000000"/>
          <w:sz w:val="24"/>
          <w:szCs w:val="24"/>
        </w:rPr>
        <w:t>xylostella</w:t>
      </w:r>
      <w:proofErr w:type="spellEnd"/>
      <w:r w:rsidRPr="00BB742A">
        <w:rPr>
          <w:rFonts w:ascii="Times New Roman" w:hAnsi="Times New Roman" w:cs="Times New Roman"/>
          <w:color w:val="000000"/>
          <w:sz w:val="24"/>
          <w:szCs w:val="24"/>
        </w:rPr>
        <w:t>) were reared on broccoli (</w:t>
      </w:r>
      <w:r w:rsidRPr="00BB742A">
        <w:rPr>
          <w:rFonts w:ascii="Times New Roman" w:hAnsi="Times New Roman" w:cs="Times New Roman"/>
          <w:i/>
          <w:color w:val="000000"/>
          <w:sz w:val="24"/>
          <w:szCs w:val="24"/>
        </w:rPr>
        <w:t xml:space="preserve">Brassica oleracea </w:t>
      </w:r>
      <w:r w:rsidRPr="00BB742A">
        <w:rPr>
          <w:rFonts w:ascii="Times New Roman" w:hAnsi="Times New Roman" w:cs="Times New Roman"/>
          <w:color w:val="000000"/>
          <w:sz w:val="24"/>
          <w:szCs w:val="24"/>
        </w:rPr>
        <w:t xml:space="preserve">var. </w:t>
      </w:r>
      <w:proofErr w:type="spellStart"/>
      <w:r w:rsidRPr="00BB742A">
        <w:rPr>
          <w:rFonts w:ascii="Times New Roman" w:hAnsi="Times New Roman" w:cs="Times New Roman"/>
          <w:i/>
          <w:color w:val="000000"/>
          <w:sz w:val="24"/>
          <w:szCs w:val="24"/>
        </w:rPr>
        <w:t>italica</w:t>
      </w:r>
      <w:proofErr w:type="spellEnd"/>
      <w:r w:rsidRPr="00BB742A">
        <w:rPr>
          <w:rFonts w:ascii="Times New Roman" w:hAnsi="Times New Roman" w:cs="Times New Roman"/>
          <w:color w:val="000000"/>
          <w:sz w:val="24"/>
          <w:szCs w:val="24"/>
        </w:rPr>
        <w:t>) and cabbage (</w:t>
      </w:r>
      <w:r w:rsidRPr="00BB742A">
        <w:rPr>
          <w:rFonts w:ascii="Times New Roman" w:hAnsi="Times New Roman" w:cs="Times New Roman"/>
          <w:i/>
          <w:color w:val="000000"/>
          <w:sz w:val="24"/>
          <w:szCs w:val="24"/>
        </w:rPr>
        <w:t xml:space="preserve">Brassica oleracea </w:t>
      </w:r>
      <w:r w:rsidRPr="00BB742A">
        <w:rPr>
          <w:rFonts w:ascii="Times New Roman" w:hAnsi="Times New Roman" w:cs="Times New Roman"/>
          <w:color w:val="000000"/>
          <w:sz w:val="24"/>
          <w:szCs w:val="24"/>
        </w:rPr>
        <w:t xml:space="preserve">var. </w:t>
      </w:r>
      <w:r w:rsidRPr="00BB742A">
        <w:rPr>
          <w:rFonts w:ascii="Times New Roman" w:hAnsi="Times New Roman" w:cs="Times New Roman"/>
          <w:i/>
          <w:color w:val="000000"/>
          <w:sz w:val="24"/>
          <w:szCs w:val="24"/>
        </w:rPr>
        <w:t>capitata</w:t>
      </w:r>
      <w:r w:rsidRPr="00BB742A">
        <w:rPr>
          <w:rFonts w:ascii="Times New Roman" w:hAnsi="Times New Roman" w:cs="Times New Roman"/>
          <w:color w:val="000000"/>
          <w:sz w:val="24"/>
          <w:szCs w:val="24"/>
        </w:rPr>
        <w:t xml:space="preserve">) in an enclosed cage (45 x 45 x 45 cm) placed at 18ºC under 16 h </w:t>
      </w:r>
      <w:r w:rsidRPr="00BB742A">
        <w:rPr>
          <w:rFonts w:ascii="Times New Roman" w:hAnsi="Times New Roman" w:cs="Times New Roman"/>
          <w:sz w:val="24"/>
          <w:szCs w:val="24"/>
        </w:rPr>
        <w:t>light/</w:t>
      </w:r>
      <w:r w:rsidRPr="00BB742A">
        <w:rPr>
          <w:rFonts w:ascii="Times New Roman" w:hAnsi="Times New Roman" w:cs="Times New Roman"/>
          <w:color w:val="000000"/>
          <w:sz w:val="24"/>
          <w:szCs w:val="24"/>
        </w:rPr>
        <w:t xml:space="preserve">8 </w:t>
      </w:r>
      <w:r w:rsidRPr="00BB742A">
        <w:rPr>
          <w:rFonts w:ascii="Times New Roman" w:hAnsi="Times New Roman" w:cs="Times New Roman"/>
          <w:sz w:val="24"/>
          <w:szCs w:val="24"/>
        </w:rPr>
        <w:t>h dark</w:t>
      </w:r>
      <w:r w:rsidRPr="00BB742A">
        <w:rPr>
          <w:rFonts w:ascii="Times New Roman" w:hAnsi="Times New Roman" w:cs="Times New Roman"/>
          <w:color w:val="000000"/>
          <w:sz w:val="24"/>
          <w:szCs w:val="24"/>
        </w:rPr>
        <w:t xml:space="preserve"> cycle. After pupation and </w:t>
      </w:r>
      <w:r w:rsidRPr="00BB742A">
        <w:rPr>
          <w:rFonts w:ascii="Times New Roman" w:hAnsi="Times New Roman" w:cs="Times New Roman"/>
          <w:sz w:val="24"/>
          <w:szCs w:val="24"/>
        </w:rPr>
        <w:t>emergence</w:t>
      </w:r>
      <w:r w:rsidRPr="00BB742A">
        <w:rPr>
          <w:rFonts w:ascii="Times New Roman" w:hAnsi="Times New Roman" w:cs="Times New Roman"/>
          <w:color w:val="000000"/>
          <w:sz w:val="24"/>
          <w:szCs w:val="24"/>
        </w:rPr>
        <w:t xml:space="preserve"> of adult moths, a small cotton-wool wick soaked in </w:t>
      </w:r>
      <w:r w:rsidR="00EE1A72">
        <w:rPr>
          <w:rFonts w:ascii="Times New Roman" w:hAnsi="Times New Roman" w:cs="Times New Roman"/>
          <w:color w:val="000000"/>
          <w:sz w:val="24"/>
          <w:szCs w:val="24"/>
        </w:rPr>
        <w:t>saccharose</w:t>
      </w:r>
      <w:r w:rsidR="00EE1A72" w:rsidRPr="00BB742A">
        <w:rPr>
          <w:rFonts w:ascii="Times New Roman" w:hAnsi="Times New Roman" w:cs="Times New Roman"/>
          <w:color w:val="000000"/>
          <w:sz w:val="24"/>
          <w:szCs w:val="24"/>
        </w:rPr>
        <w:t xml:space="preserve"> </w:t>
      </w:r>
      <w:r w:rsidRPr="00BB742A">
        <w:rPr>
          <w:rFonts w:ascii="Times New Roman" w:hAnsi="Times New Roman" w:cs="Times New Roman"/>
          <w:color w:val="000000"/>
          <w:sz w:val="24"/>
          <w:szCs w:val="24"/>
        </w:rPr>
        <w:t>solution was provided as a source of carbohydrates for adults. Third-instar caterpillars</w:t>
      </w:r>
      <w:r w:rsidRPr="00BB742A">
        <w:rPr>
          <w:rFonts w:ascii="Times New Roman" w:hAnsi="Times New Roman" w:cs="Times New Roman"/>
          <w:sz w:val="24"/>
          <w:szCs w:val="24"/>
        </w:rPr>
        <w:t xml:space="preserve"> were </w:t>
      </w:r>
      <w:r w:rsidRPr="00BB742A">
        <w:rPr>
          <w:rFonts w:ascii="Times New Roman" w:hAnsi="Times New Roman" w:cs="Times New Roman"/>
          <w:color w:val="000000"/>
          <w:sz w:val="24"/>
          <w:szCs w:val="24"/>
        </w:rPr>
        <w:t>used for experiments.</w:t>
      </w:r>
    </w:p>
    <w:p w14:paraId="215098E6" w14:textId="00DB817F"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color w:val="000000"/>
          <w:sz w:val="24"/>
          <w:szCs w:val="24"/>
        </w:rPr>
        <w:t>Cabbage aphids (</w:t>
      </w:r>
      <w:proofErr w:type="spellStart"/>
      <w:r w:rsidRPr="00BB742A">
        <w:rPr>
          <w:rFonts w:ascii="Times New Roman" w:hAnsi="Times New Roman" w:cs="Times New Roman"/>
          <w:i/>
          <w:color w:val="000000"/>
          <w:sz w:val="24"/>
          <w:szCs w:val="24"/>
        </w:rPr>
        <w:t>Brevicoryne</w:t>
      </w:r>
      <w:proofErr w:type="spellEnd"/>
      <w:r w:rsidRPr="00BB742A">
        <w:rPr>
          <w:rFonts w:ascii="Times New Roman" w:hAnsi="Times New Roman" w:cs="Times New Roman"/>
          <w:i/>
          <w:color w:val="000000"/>
          <w:sz w:val="24"/>
          <w:szCs w:val="24"/>
        </w:rPr>
        <w:t xml:space="preserve"> </w:t>
      </w:r>
      <w:proofErr w:type="spellStart"/>
      <w:r w:rsidRPr="00BB742A">
        <w:rPr>
          <w:rFonts w:ascii="Times New Roman" w:hAnsi="Times New Roman" w:cs="Times New Roman"/>
          <w:i/>
          <w:color w:val="000000"/>
          <w:sz w:val="24"/>
          <w:szCs w:val="24"/>
        </w:rPr>
        <w:t>brassicae</w:t>
      </w:r>
      <w:proofErr w:type="spellEnd"/>
      <w:r w:rsidRPr="00BB742A">
        <w:rPr>
          <w:rFonts w:ascii="Times New Roman" w:hAnsi="Times New Roman" w:cs="Times New Roman"/>
          <w:color w:val="000000"/>
          <w:sz w:val="24"/>
          <w:szCs w:val="24"/>
        </w:rPr>
        <w:t xml:space="preserve">)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reared on broccoli plants in an enclosed cage (45 x 45 x 45 cm) and kept in a climate chamber at 23ºC under 16 h </w:t>
      </w:r>
      <w:r w:rsidRPr="00BB742A">
        <w:rPr>
          <w:rFonts w:ascii="Times New Roman" w:hAnsi="Times New Roman" w:cs="Times New Roman"/>
          <w:sz w:val="24"/>
          <w:szCs w:val="24"/>
        </w:rPr>
        <w:t>light/</w:t>
      </w:r>
      <w:r w:rsidRPr="00BB742A">
        <w:rPr>
          <w:rFonts w:ascii="Times New Roman" w:hAnsi="Times New Roman" w:cs="Times New Roman"/>
          <w:color w:val="000000"/>
          <w:sz w:val="24"/>
          <w:szCs w:val="24"/>
        </w:rPr>
        <w:t xml:space="preserve">8 </w:t>
      </w:r>
      <w:r w:rsidRPr="00BB742A">
        <w:rPr>
          <w:rFonts w:ascii="Times New Roman" w:hAnsi="Times New Roman" w:cs="Times New Roman"/>
          <w:sz w:val="24"/>
          <w:szCs w:val="24"/>
        </w:rPr>
        <w:t>h dark</w:t>
      </w:r>
      <w:r w:rsidRPr="00BB742A">
        <w:rPr>
          <w:rFonts w:ascii="Times New Roman" w:hAnsi="Times New Roman" w:cs="Times New Roman"/>
          <w:color w:val="000000"/>
          <w:sz w:val="24"/>
          <w:szCs w:val="24"/>
        </w:rPr>
        <w:t xml:space="preserve"> cycle </w:t>
      </w:r>
      <w:r w:rsidR="00F34ED2">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{"citationID":"k5t00X2B","properties":{"formattedCitation":"(Kroes et al., 2017b)","plainCitation":"(Kroes et al., 2017b)","noteIndex":0},"citationItems":[{"id":175,"uris":["http://zotero.org/users/10895598/items/B9A7C62F"],"itemData":{"id":175,"type":"article-journal","container-title":"Oecologia","DOI":"10.1007/s00442-017-3985-2","ISSN":"0029-8549, 1432-1939","issue":"4","journalAbbreviation":"Oecologia","language":"en","page":"699-712","source":"DOI.org (Crossref)","title":"Terpenoid biosynthesis in &lt;i&gt;Arabidopsis&lt;/i&gt; attacked by caterpillars and aphids: effects of aphid density on the attraction of a caterpillar parasitoid","title-short":"Terpenoid biosynthesis in Arabidopsis attacked by caterpillars and aphids","volume":"185","author":[{"family":"Kroes","given":"Anneke"},{"family":"Weldegergis","given":"Berhane T."},{"family":"Cappai","given":"Francesco"},{"family":"Dicke","given":"Marcel"},{"family":"Loon","given":"Joop J. A.","non-dropping-particle":"van"}],"issued":{"date-parts":[["2017",12]]}}}],"schema":"https://github.com/citation-style-language/schema/raw/master/csl-citation.json"} </w:instrText>
      </w:r>
      <w:r w:rsidR="00F34ED2">
        <w:rPr>
          <w:rFonts w:ascii="Times New Roman" w:hAnsi="Times New Roman" w:cs="Times New Roman"/>
          <w:sz w:val="24"/>
          <w:szCs w:val="24"/>
        </w:rPr>
        <w:fldChar w:fldCharType="separate"/>
      </w:r>
      <w:r w:rsidR="00F34ED2" w:rsidRPr="00F34ED2">
        <w:rPr>
          <w:rFonts w:ascii="Times New Roman" w:hAnsi="Times New Roman" w:cs="Times New Roman"/>
          <w:sz w:val="24"/>
        </w:rPr>
        <w:t>(Kroes et al., 2017b)</w:t>
      </w:r>
      <w:r w:rsidR="00F34ED2">
        <w:rPr>
          <w:rFonts w:ascii="Times New Roman" w:hAnsi="Times New Roman" w:cs="Times New Roman"/>
          <w:sz w:val="24"/>
          <w:szCs w:val="24"/>
        </w:rPr>
        <w:fldChar w:fldCharType="end"/>
      </w:r>
      <w:r w:rsidRPr="00BB742A">
        <w:rPr>
          <w:rFonts w:ascii="Times New Roman" w:hAnsi="Times New Roman" w:cs="Times New Roman"/>
          <w:color w:val="000000"/>
          <w:sz w:val="24"/>
          <w:szCs w:val="24"/>
        </w:rPr>
        <w:t xml:space="preserve">. </w:t>
      </w:r>
      <w:r w:rsidRPr="00BB742A">
        <w:rPr>
          <w:rFonts w:ascii="Times New Roman" w:hAnsi="Times New Roman" w:cs="Times New Roman"/>
          <w:sz w:val="24"/>
          <w:szCs w:val="24"/>
        </w:rPr>
        <w:t>The wingless (apterae) a</w:t>
      </w:r>
      <w:r w:rsidRPr="00BB742A">
        <w:rPr>
          <w:rFonts w:ascii="Times New Roman" w:hAnsi="Times New Roman" w:cs="Times New Roman"/>
          <w:color w:val="000000"/>
          <w:sz w:val="24"/>
          <w:szCs w:val="24"/>
        </w:rPr>
        <w:t>dults were used for experiments.</w:t>
      </w:r>
    </w:p>
    <w:p w14:paraId="215098E7"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sz w:val="24"/>
          <w:szCs w:val="24"/>
        </w:rPr>
      </w:pPr>
    </w:p>
    <w:p w14:paraId="215098E8" w14:textId="77777777" w:rsidR="00E7693B" w:rsidRPr="00BB742A" w:rsidRDefault="00E7693B" w:rsidP="00684A4C">
      <w:pPr>
        <w:pStyle w:val="Heading2"/>
      </w:pPr>
      <w:bookmarkStart w:id="37" w:name="_Toc167977609"/>
      <w:r w:rsidRPr="00BB742A">
        <w:t>Plant elicitors</w:t>
      </w:r>
      <w:bookmarkEnd w:id="37"/>
    </w:p>
    <w:p w14:paraId="215098E9"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sz w:val="24"/>
          <w:szCs w:val="24"/>
        </w:rPr>
      </w:pPr>
    </w:p>
    <w:p w14:paraId="215098EA" w14:textId="036109CB"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sz w:val="24"/>
          <w:szCs w:val="24"/>
        </w:rPr>
      </w:pPr>
      <w:r w:rsidRPr="00BB742A">
        <w:rPr>
          <w:rFonts w:ascii="Times New Roman" w:hAnsi="Times New Roman" w:cs="Times New Roman"/>
          <w:sz w:val="24"/>
          <w:szCs w:val="24"/>
        </w:rPr>
        <w:t>Benzothiadiazole (BTH; 1,2,3-benzothiadiazole-7-carbothioic acid S-</w:t>
      </w:r>
      <w:proofErr w:type="spellStart"/>
      <w:r w:rsidRPr="00BB742A">
        <w:rPr>
          <w:rFonts w:ascii="Times New Roman" w:hAnsi="Times New Roman" w:cs="Times New Roman"/>
          <w:sz w:val="24"/>
          <w:szCs w:val="24"/>
        </w:rPr>
        <w:t>methylester</w:t>
      </w:r>
      <w:proofErr w:type="spellEnd"/>
      <w:r w:rsidR="0098094F">
        <w:rPr>
          <w:rFonts w:ascii="Times New Roman" w:hAnsi="Times New Roman" w:cs="Times New Roman"/>
          <w:sz w:val="24"/>
          <w:szCs w:val="24"/>
        </w:rPr>
        <w:t>;</w:t>
      </w:r>
      <w:r w:rsidRPr="00BB742A">
        <w:rPr>
          <w:rFonts w:ascii="Times New Roman" w:hAnsi="Times New Roman" w:cs="Times New Roman"/>
          <w:sz w:val="24"/>
          <w:szCs w:val="24"/>
        </w:rPr>
        <w:t xml:space="preserve"> commercial product BION 50 WG</w:t>
      </w:r>
      <w:r w:rsidR="0098094F">
        <w:rPr>
          <w:rFonts w:ascii="Times New Roman" w:hAnsi="Times New Roman" w:cs="Times New Roman"/>
          <w:sz w:val="24"/>
          <w:szCs w:val="24"/>
        </w:rPr>
        <w:t xml:space="preserve">, </w:t>
      </w:r>
      <w:r w:rsidRPr="00BB742A">
        <w:rPr>
          <w:rFonts w:ascii="Times New Roman" w:hAnsi="Times New Roman" w:cs="Times New Roman"/>
          <w:sz w:val="24"/>
          <w:szCs w:val="24"/>
        </w:rPr>
        <w:t xml:space="preserve">Syngenta), was used for infiltration of oilseed rape cotyledons and true leaves (32 µM); 24 h after infiltration, plants were used for </w:t>
      </w:r>
      <w:proofErr w:type="spellStart"/>
      <w:r w:rsidRPr="00BB742A">
        <w:rPr>
          <w:rFonts w:ascii="Times New Roman" w:hAnsi="Times New Roman" w:cs="Times New Roman"/>
          <w:sz w:val="24"/>
          <w:szCs w:val="24"/>
          <w:highlight w:val="white"/>
        </w:rPr>
        <w:t>qRT</w:t>
      </w:r>
      <w:proofErr w:type="spellEnd"/>
      <w:r w:rsidRPr="00BB742A">
        <w:rPr>
          <w:rFonts w:ascii="Times New Roman" w:hAnsi="Times New Roman" w:cs="Times New Roman"/>
          <w:sz w:val="24"/>
          <w:szCs w:val="24"/>
          <w:highlight w:val="white"/>
        </w:rPr>
        <w:t>-PCR</w:t>
      </w:r>
      <w:r w:rsidRPr="00BB742A">
        <w:rPr>
          <w:rFonts w:ascii="Times New Roman" w:hAnsi="Times New Roman" w:cs="Times New Roman"/>
          <w:sz w:val="24"/>
          <w:szCs w:val="24"/>
        </w:rPr>
        <w:t xml:space="preserve"> analysis and choice tests with </w:t>
      </w:r>
      <w:r w:rsidRPr="00BB742A">
        <w:rPr>
          <w:rFonts w:ascii="Times New Roman" w:hAnsi="Times New Roman" w:cs="Times New Roman"/>
          <w:i/>
          <w:sz w:val="24"/>
          <w:szCs w:val="24"/>
        </w:rPr>
        <w:t xml:space="preserve">P. </w:t>
      </w:r>
      <w:proofErr w:type="spellStart"/>
      <w:r w:rsidRPr="00BB742A">
        <w:rPr>
          <w:rFonts w:ascii="Times New Roman" w:hAnsi="Times New Roman" w:cs="Times New Roman"/>
          <w:i/>
          <w:sz w:val="24"/>
          <w:szCs w:val="24"/>
        </w:rPr>
        <w:t>xylostella</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caterpillars. Plants infiltrated with distilled water were used as a control.</w:t>
      </w:r>
    </w:p>
    <w:p w14:paraId="215098EB" w14:textId="05ADF2B8"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sz w:val="24"/>
          <w:szCs w:val="24"/>
        </w:rPr>
      </w:pPr>
      <w:r w:rsidRPr="00BB742A">
        <w:rPr>
          <w:rFonts w:ascii="Times New Roman" w:hAnsi="Times New Roman" w:cs="Times New Roman"/>
          <w:sz w:val="24"/>
          <w:szCs w:val="24"/>
        </w:rPr>
        <w:t xml:space="preserve">Ulvan extraction was performed by the method described previously </w:t>
      </w:r>
      <w:r w:rsidR="00F34ED2">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{"citationID":"wyMv9kKx","properties":{"formattedCitation":"(P\\uc0\\u345{}erovsk\\uc0\\u225{} et al., 2022)","plainCitation":"(Přerovská et al., 2022)","noteIndex":0},"citationItems":[{"id":669,"uris":["http://zotero.org/users/10895598/items/9HZI6LW4"],"itemData":{"id":669,"type":"article-journal","abstract":"Natural compounds isolated from macroalgae are promising, ecofriendly, and multifunctional bioinoculants, which have been tested and used in agriculture. Ulvans, for instance, one of the major polysaccharides present in\n              Ulva\n              spp. cell walls, have been tested for their plant growth-promoting properties as well as their ability to activate plant immune defense, on a large variety of crops. Recently, we have characterized for the first time an arabinogalactan protein-like (AGP-like) from\n              Ulva lactuca\n              , which exhibits several features associated to land plant AGPs. In land plant, AGPs were shown to play a role in several plant biological functions, including cell morphogenesis, reproduction, and plant-microbe interactions. Thus, isolated AGP-like proteins may be good candidates for either the plant growth-promoting properties or the activation of plant immune defense. Here, we have isolated an AGP-like enriched fraction from\n              Ulva lactuca\n              and we have evaluated its ability to (i) protect oilseed rape (\n              Brassica napus\n              ) cotyledons against\n              Leptosphaeria maculans\n              , and (ii) its ability to activate immune responses. Preventive application of the\n              Ulva\n              AGP-like enriched fraction on oilseed rape, followed by cotyledon inoculation with the fungal hemibiotroph\n              L. maculans\n              , resulted in a major reduction of infection propagation. The noticed reduction correlated with an accumulation of H\n              2\n              O\n              2\n              in treated cotyledons and with the activation of SA and ET signaling pathways in oilseed rape cotyledons. In parallel, an ulvan was also isolated from\n              Ulva lactuca\n              . Preventive application of ulvan also enhanced plant resistance against\n              L. maculans\n              . Surprisingly, reduction of infection severity was only observed at high concentration of ulvan. Here, no such significant changes in gene expression and H\n              2\n              O\n              2\n              production were observed. Together, this study indicates that\n              U. lactuca\n              AGP-like glycoproteins exhibit promising elicitor activity and that plant eliciting properties of\n              Ulva\n              extract, might result not only from an ulvan-originated eliciting activities, but also AGP-like originated.","container-title":"Frontiers in Plant Science","DOI":"10.3389/fpls.2022.893858","ISSN":"1664-462X","journalAbbreviation":"Front. Plant Sci.","page":"893858","source":"DOI.org (Crossref)","title":"Arabinogalactan protein-like proteins from &lt;i&gt;Ulva lactuca&lt;/i&gt; activate immune responses and plant resistance in an oilseed crop","volume":"13","author":[{"family":"Přerovská","given":"Tereza"},{"family":"Jindřichová","given":"Barbora"},{"family":"Henke","given":"Svatopluk"},{"family":"Yvin","given":"Jean-Claude"},{"family":"Ferrieres","given":"Vincent"},{"family":"Burketová","given":"Lenka"},{"family":"Lipovová","given":"Petra"},{"family":"Nguema-Ona","given":"Eric"}],"issued":{"date-parts":[["2022",5,20]]}}}],"schema":"https://github.com/citation-style-language/schema/raw/master/csl-citation.json"} </w:instrText>
      </w:r>
      <w:r w:rsidR="00F34ED2">
        <w:rPr>
          <w:rFonts w:ascii="Times New Roman" w:hAnsi="Times New Roman" w:cs="Times New Roman"/>
          <w:sz w:val="24"/>
          <w:szCs w:val="24"/>
        </w:rPr>
        <w:fldChar w:fldCharType="separate"/>
      </w:r>
      <w:r w:rsidR="00F34ED2" w:rsidRPr="00F34ED2">
        <w:rPr>
          <w:rFonts w:ascii="Times New Roman" w:hAnsi="Times New Roman" w:cs="Times New Roman"/>
          <w:sz w:val="24"/>
          <w:szCs w:val="24"/>
        </w:rPr>
        <w:t>(Přerovská et al., 2022)</w:t>
      </w:r>
      <w:r w:rsidR="00F34ED2">
        <w:rPr>
          <w:rFonts w:ascii="Times New Roman" w:hAnsi="Times New Roman" w:cs="Times New Roman"/>
          <w:sz w:val="24"/>
          <w:szCs w:val="24"/>
        </w:rPr>
        <w:fldChar w:fldCharType="end"/>
      </w:r>
      <w:r w:rsidRPr="00BB742A">
        <w:rPr>
          <w:rFonts w:ascii="Times New Roman" w:hAnsi="Times New Roman" w:cs="Times New Roman"/>
          <w:sz w:val="24"/>
          <w:szCs w:val="24"/>
        </w:rPr>
        <w:t>. Then, the concentration of 1 mg ml</w:t>
      </w:r>
      <w:r w:rsidRPr="00BB742A">
        <w:rPr>
          <w:rFonts w:ascii="Times New Roman" w:hAnsi="Times New Roman" w:cs="Times New Roman"/>
          <w:sz w:val="24"/>
          <w:szCs w:val="24"/>
          <w:vertAlign w:val="superscript"/>
        </w:rPr>
        <w:t>-1</w:t>
      </w:r>
      <w:r w:rsidRPr="00BB742A">
        <w:rPr>
          <w:rFonts w:ascii="Times New Roman" w:hAnsi="Times New Roman" w:cs="Times New Roman"/>
          <w:sz w:val="24"/>
          <w:szCs w:val="24"/>
        </w:rPr>
        <w:t xml:space="preserve"> was prepared and used for spraying three-week old plants of oilseed rape; 48 h after spraying, plants were used for choice test experiments with </w:t>
      </w:r>
      <w:r w:rsidRPr="00BB742A">
        <w:rPr>
          <w:rFonts w:ascii="Times New Roman" w:hAnsi="Times New Roman" w:cs="Times New Roman"/>
          <w:i/>
          <w:sz w:val="24"/>
          <w:szCs w:val="24"/>
        </w:rPr>
        <w:t xml:space="preserve">P. </w:t>
      </w:r>
      <w:proofErr w:type="spellStart"/>
      <w:r w:rsidRPr="00BB742A">
        <w:rPr>
          <w:rFonts w:ascii="Times New Roman" w:hAnsi="Times New Roman" w:cs="Times New Roman"/>
          <w:i/>
          <w:sz w:val="24"/>
          <w:szCs w:val="24"/>
        </w:rPr>
        <w:t>xylostella</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caterpillars. Plants sprayed with distilled water were used as a control.</w:t>
      </w:r>
    </w:p>
    <w:p w14:paraId="215098EC"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sz w:val="24"/>
          <w:szCs w:val="24"/>
        </w:rPr>
      </w:pPr>
    </w:p>
    <w:p w14:paraId="153828E9" w14:textId="77777777" w:rsidR="00D5128E" w:rsidRPr="00BB742A" w:rsidRDefault="00D5128E" w:rsidP="00D5128E">
      <w:pPr>
        <w:pStyle w:val="Heading2"/>
      </w:pPr>
      <w:bookmarkStart w:id="38" w:name="_Toc167977610"/>
      <w:r w:rsidRPr="00BB742A">
        <w:lastRenderedPageBreak/>
        <w:t xml:space="preserve">RNA isolation and gene transcription analysis of plant defence and </w:t>
      </w:r>
      <w:proofErr w:type="spellStart"/>
      <w:r w:rsidRPr="00BB742A">
        <w:t>signaling</w:t>
      </w:r>
      <w:bookmarkEnd w:id="38"/>
      <w:proofErr w:type="spellEnd"/>
    </w:p>
    <w:p w14:paraId="26862A9E" w14:textId="77777777" w:rsidR="00D5128E" w:rsidRPr="00BB742A" w:rsidRDefault="00D5128E" w:rsidP="00D5128E">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14:paraId="041DBD2E" w14:textId="77777777" w:rsidR="00D5128E" w:rsidRPr="00BB742A" w:rsidRDefault="00D5128E" w:rsidP="00D5128E">
      <w:pPr>
        <w:pBdr>
          <w:top w:val="nil"/>
          <w:left w:val="nil"/>
          <w:bottom w:val="nil"/>
          <w:right w:val="nil"/>
          <w:between w:val="nil"/>
        </w:pBdr>
        <w:spacing w:after="0" w:line="360" w:lineRule="auto"/>
        <w:ind w:firstLine="576"/>
        <w:jc w:val="both"/>
        <w:rPr>
          <w:rFonts w:ascii="Times New Roman" w:hAnsi="Times New Roman" w:cs="Times New Roman"/>
          <w:sz w:val="24"/>
          <w:szCs w:val="24"/>
        </w:rPr>
      </w:pPr>
      <w:r w:rsidRPr="00BB742A">
        <w:rPr>
          <w:rFonts w:ascii="Times New Roman" w:hAnsi="Times New Roman" w:cs="Times New Roman"/>
          <w:color w:val="000000"/>
          <w:sz w:val="24"/>
          <w:szCs w:val="24"/>
        </w:rPr>
        <w:t xml:space="preserve">Plant response to infection or infestation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mainly being studied on transcriptomic level. </w:t>
      </w:r>
      <w:r w:rsidRPr="00BB742A">
        <w:rPr>
          <w:rFonts w:ascii="Times New Roman" w:hAnsi="Times New Roman" w:cs="Times New Roman"/>
          <w:sz w:val="24"/>
          <w:szCs w:val="24"/>
        </w:rPr>
        <w:t>Briefly, leaf discs, around 150 mg in total weight per one sample, were cut and immediately frozen in liquid nitrogen.</w:t>
      </w:r>
    </w:p>
    <w:p w14:paraId="03EF2FA8" w14:textId="77777777" w:rsidR="00D5128E" w:rsidRPr="00BB742A" w:rsidRDefault="00D5128E" w:rsidP="00D5128E">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color w:val="000000"/>
          <w:sz w:val="24"/>
          <w:szCs w:val="24"/>
        </w:rPr>
        <w:t>Leaf tissues of oilseed rape and</w:t>
      </w:r>
      <w:r w:rsidRPr="00BB742A">
        <w:rPr>
          <w:rFonts w:ascii="Times New Roman" w:hAnsi="Times New Roman" w:cs="Times New Roman"/>
          <w:i/>
          <w:color w:val="000000"/>
          <w:sz w:val="24"/>
          <w:szCs w:val="24"/>
        </w:rPr>
        <w:t xml:space="preserve"> </w:t>
      </w:r>
      <w:r w:rsidRPr="00BB742A">
        <w:rPr>
          <w:rFonts w:ascii="Times New Roman" w:hAnsi="Times New Roman" w:cs="Times New Roman"/>
          <w:i/>
          <w:sz w:val="24"/>
          <w:szCs w:val="24"/>
        </w:rPr>
        <w:t>Arabidopsis</w:t>
      </w:r>
      <w:r w:rsidRPr="00BB742A">
        <w:rPr>
          <w:rFonts w:ascii="Times New Roman" w:hAnsi="Times New Roman" w:cs="Times New Roman"/>
          <w:sz w:val="24"/>
          <w:szCs w:val="24"/>
        </w:rPr>
        <w:t>, and cotyledons of cauliflower</w:t>
      </w:r>
      <w:r w:rsidRPr="00BB742A">
        <w:rPr>
          <w:rFonts w:ascii="Times New Roman" w:hAnsi="Times New Roman" w:cs="Times New Roman"/>
          <w:color w:val="000000"/>
          <w:sz w:val="24"/>
          <w:szCs w:val="24"/>
        </w:rPr>
        <w:t xml:space="preserve">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 xml:space="preserve">homogenised in tubes with 1 g of 1.3 mm silica beads using a FastPrep-24 instrument (MP Biomedicals, USA). Total RNA </w:t>
      </w:r>
      <w:r w:rsidRPr="00BB742A">
        <w:rPr>
          <w:rFonts w:ascii="Times New Roman" w:hAnsi="Times New Roman" w:cs="Times New Roman"/>
          <w:sz w:val="24"/>
          <w:szCs w:val="24"/>
        </w:rPr>
        <w:t xml:space="preserve">was </w:t>
      </w:r>
      <w:r w:rsidRPr="00BB742A">
        <w:rPr>
          <w:rFonts w:ascii="Times New Roman" w:hAnsi="Times New Roman" w:cs="Times New Roman"/>
          <w:color w:val="000000"/>
          <w:sz w:val="24"/>
          <w:szCs w:val="24"/>
        </w:rPr>
        <w:t>then isolated using a Spectrum Plant Total RNA Kit (Sigma-Aldrich, USA) and treated with a DNA-free kit (</w:t>
      </w:r>
      <w:proofErr w:type="spellStart"/>
      <w:r w:rsidRPr="00BB742A">
        <w:rPr>
          <w:rFonts w:ascii="Times New Roman" w:hAnsi="Times New Roman" w:cs="Times New Roman"/>
          <w:color w:val="000000"/>
          <w:sz w:val="24"/>
          <w:szCs w:val="24"/>
        </w:rPr>
        <w:t>Ambion</w:t>
      </w:r>
      <w:proofErr w:type="spellEnd"/>
      <w:r w:rsidRPr="00BB742A">
        <w:rPr>
          <w:rFonts w:ascii="Times New Roman" w:hAnsi="Times New Roman" w:cs="Times New Roman"/>
          <w:color w:val="000000"/>
          <w:sz w:val="24"/>
          <w:szCs w:val="24"/>
        </w:rPr>
        <w:t xml:space="preserve">, USA). The quantity of extracted RNA </w:t>
      </w:r>
      <w:r w:rsidRPr="00BB742A">
        <w:rPr>
          <w:rFonts w:ascii="Times New Roman" w:hAnsi="Times New Roman" w:cs="Times New Roman"/>
          <w:sz w:val="24"/>
          <w:szCs w:val="24"/>
        </w:rPr>
        <w:t xml:space="preserve">was </w:t>
      </w:r>
      <w:r w:rsidRPr="00BB742A">
        <w:rPr>
          <w:rFonts w:ascii="Times New Roman" w:hAnsi="Times New Roman" w:cs="Times New Roman"/>
          <w:color w:val="000000"/>
          <w:sz w:val="24"/>
          <w:szCs w:val="24"/>
        </w:rPr>
        <w:t xml:space="preserve">further measured using </w:t>
      </w:r>
      <w:proofErr w:type="spellStart"/>
      <w:r w:rsidRPr="00BB742A">
        <w:rPr>
          <w:rFonts w:ascii="Times New Roman" w:hAnsi="Times New Roman" w:cs="Times New Roman"/>
          <w:color w:val="000000"/>
          <w:sz w:val="24"/>
          <w:szCs w:val="24"/>
        </w:rPr>
        <w:t>NanoDrop</w:t>
      </w:r>
      <w:proofErr w:type="spellEnd"/>
      <w:r w:rsidRPr="00BB742A">
        <w:rPr>
          <w:rFonts w:ascii="Times New Roman" w:hAnsi="Times New Roman" w:cs="Times New Roman"/>
          <w:color w:val="000000"/>
          <w:sz w:val="24"/>
          <w:szCs w:val="24"/>
        </w:rPr>
        <w:t>. Subsequently, 1 </w:t>
      </w:r>
      <w:proofErr w:type="spellStart"/>
      <w:r w:rsidRPr="00BB742A">
        <w:rPr>
          <w:rFonts w:ascii="Times New Roman" w:hAnsi="Times New Roman" w:cs="Times New Roman"/>
          <w:color w:val="000000"/>
          <w:sz w:val="24"/>
          <w:szCs w:val="24"/>
        </w:rPr>
        <w:t>μg</w:t>
      </w:r>
      <w:proofErr w:type="spellEnd"/>
      <w:r w:rsidRPr="00BB742A">
        <w:rPr>
          <w:rFonts w:ascii="Times New Roman" w:hAnsi="Times New Roman" w:cs="Times New Roman"/>
          <w:color w:val="000000"/>
          <w:sz w:val="24"/>
          <w:szCs w:val="24"/>
        </w:rPr>
        <w:t xml:space="preserve"> of RNA </w:t>
      </w:r>
      <w:r w:rsidRPr="00BB742A">
        <w:rPr>
          <w:rFonts w:ascii="Times New Roman" w:hAnsi="Times New Roman" w:cs="Times New Roman"/>
          <w:sz w:val="24"/>
          <w:szCs w:val="24"/>
        </w:rPr>
        <w:t xml:space="preserve">was </w:t>
      </w:r>
      <w:r w:rsidRPr="00BB742A">
        <w:rPr>
          <w:rFonts w:ascii="Times New Roman" w:eastAsia="Gungsuh" w:hAnsi="Times New Roman" w:cs="Times New Roman"/>
          <w:color w:val="000000"/>
          <w:sz w:val="24"/>
          <w:szCs w:val="24"/>
        </w:rPr>
        <w:t>then converted to cDNA with M-MLV RNase H− Point Mutant reverse transcriptase (Promega Corp., USA) and an anchored oligo dT21 primer (</w:t>
      </w:r>
      <w:proofErr w:type="spellStart"/>
      <w:r w:rsidRPr="00BB742A">
        <w:rPr>
          <w:rFonts w:ascii="Times New Roman" w:eastAsia="Gungsuh" w:hAnsi="Times New Roman" w:cs="Times New Roman"/>
          <w:color w:val="000000"/>
          <w:sz w:val="24"/>
          <w:szCs w:val="24"/>
        </w:rPr>
        <w:t>Metabion</w:t>
      </w:r>
      <w:proofErr w:type="spellEnd"/>
      <w:r w:rsidRPr="00BB742A">
        <w:rPr>
          <w:rFonts w:ascii="Times New Roman" w:eastAsia="Gungsuh" w:hAnsi="Times New Roman" w:cs="Times New Roman"/>
          <w:color w:val="000000"/>
          <w:sz w:val="24"/>
          <w:szCs w:val="24"/>
        </w:rPr>
        <w:t>, Germany).</w:t>
      </w:r>
    </w:p>
    <w:p w14:paraId="0A03FE60" w14:textId="77777777" w:rsidR="00D5128E" w:rsidRPr="00BB742A" w:rsidRDefault="00D5128E" w:rsidP="00D5128E">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color w:val="000000"/>
          <w:sz w:val="24"/>
          <w:szCs w:val="24"/>
        </w:rPr>
        <w:t xml:space="preserve">Leaf tissues of cauliflower </w:t>
      </w:r>
      <w:r w:rsidRPr="00BB742A">
        <w:rPr>
          <w:rFonts w:ascii="Times New Roman" w:hAnsi="Times New Roman" w:cs="Times New Roman"/>
          <w:sz w:val="24"/>
          <w:szCs w:val="24"/>
        </w:rPr>
        <w:t xml:space="preserve">were </w:t>
      </w:r>
      <w:r w:rsidRPr="00F34ED2">
        <w:rPr>
          <w:rFonts w:ascii="Times New Roman" w:hAnsi="Times New Roman" w:cs="Times New Roman"/>
          <w:color w:val="000000"/>
          <w:sz w:val="24"/>
          <w:szCs w:val="24"/>
        </w:rPr>
        <w:t>homogenised</w:t>
      </w:r>
      <w:r w:rsidRPr="00BB742A">
        <w:rPr>
          <w:rFonts w:ascii="Times New Roman" w:hAnsi="Times New Roman" w:cs="Times New Roman"/>
          <w:color w:val="000000"/>
          <w:sz w:val="24"/>
          <w:szCs w:val="24"/>
        </w:rPr>
        <w:t xml:space="preserve"> using a Tissue </w:t>
      </w:r>
      <w:proofErr w:type="spellStart"/>
      <w:r w:rsidRPr="00BB742A">
        <w:rPr>
          <w:rFonts w:ascii="Times New Roman" w:hAnsi="Times New Roman" w:cs="Times New Roman"/>
          <w:color w:val="000000"/>
          <w:sz w:val="24"/>
          <w:szCs w:val="24"/>
        </w:rPr>
        <w:t>Lyzer</w:t>
      </w:r>
      <w:proofErr w:type="spellEnd"/>
      <w:r w:rsidRPr="00BB742A">
        <w:rPr>
          <w:rFonts w:ascii="Times New Roman" w:hAnsi="Times New Roman" w:cs="Times New Roman"/>
          <w:color w:val="000000"/>
          <w:sz w:val="24"/>
          <w:szCs w:val="24"/>
        </w:rPr>
        <w:t xml:space="preserve"> II (Qiagen, USA). Total RNA </w:t>
      </w:r>
      <w:r w:rsidRPr="00BB742A">
        <w:rPr>
          <w:rFonts w:ascii="Times New Roman" w:hAnsi="Times New Roman" w:cs="Times New Roman"/>
          <w:sz w:val="24"/>
          <w:szCs w:val="24"/>
        </w:rPr>
        <w:t xml:space="preserve">was </w:t>
      </w:r>
      <w:r w:rsidRPr="00BB742A">
        <w:rPr>
          <w:rFonts w:ascii="Times New Roman" w:hAnsi="Times New Roman" w:cs="Times New Roman"/>
          <w:color w:val="000000"/>
          <w:sz w:val="24"/>
          <w:szCs w:val="24"/>
        </w:rPr>
        <w:t xml:space="preserve">then extracted using RNeasy Plant Mini Kit (Qiagen, USA) and treated with a DNase I, Amp Grade (Invitrogen, USA). The quantity of RNA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further measured using </w:t>
      </w:r>
      <w:proofErr w:type="spellStart"/>
      <w:r w:rsidRPr="00BB742A">
        <w:rPr>
          <w:rFonts w:ascii="Times New Roman" w:hAnsi="Times New Roman" w:cs="Times New Roman"/>
          <w:color w:val="000000"/>
          <w:sz w:val="24"/>
          <w:szCs w:val="24"/>
        </w:rPr>
        <w:t>mySPEC</w:t>
      </w:r>
      <w:proofErr w:type="spellEnd"/>
      <w:r w:rsidRPr="00BB742A">
        <w:rPr>
          <w:rFonts w:ascii="Times New Roman" w:hAnsi="Times New Roman" w:cs="Times New Roman"/>
          <w:color w:val="000000"/>
          <w:sz w:val="24"/>
          <w:szCs w:val="24"/>
        </w:rPr>
        <w:t xml:space="preserve"> (VWR, USA). Subsequently, 1 </w:t>
      </w:r>
      <w:proofErr w:type="spellStart"/>
      <w:r w:rsidRPr="00BB742A">
        <w:rPr>
          <w:rFonts w:ascii="Times New Roman" w:hAnsi="Times New Roman" w:cs="Times New Roman"/>
          <w:color w:val="000000"/>
          <w:sz w:val="24"/>
          <w:szCs w:val="24"/>
        </w:rPr>
        <w:t>μg</w:t>
      </w:r>
      <w:proofErr w:type="spellEnd"/>
      <w:r w:rsidRPr="00BB742A">
        <w:rPr>
          <w:rFonts w:ascii="Times New Roman" w:hAnsi="Times New Roman" w:cs="Times New Roman"/>
          <w:color w:val="000000"/>
          <w:sz w:val="24"/>
          <w:szCs w:val="24"/>
        </w:rPr>
        <w:t xml:space="preserve"> of RNA </w:t>
      </w:r>
      <w:r w:rsidRPr="00BB742A">
        <w:rPr>
          <w:rFonts w:ascii="Times New Roman" w:hAnsi="Times New Roman" w:cs="Times New Roman"/>
          <w:sz w:val="24"/>
          <w:szCs w:val="24"/>
        </w:rPr>
        <w:t xml:space="preserve">was </w:t>
      </w:r>
      <w:r w:rsidRPr="00BB742A">
        <w:rPr>
          <w:rFonts w:ascii="Times New Roman" w:hAnsi="Times New Roman" w:cs="Times New Roman"/>
          <w:color w:val="000000"/>
          <w:sz w:val="24"/>
          <w:szCs w:val="24"/>
        </w:rPr>
        <w:t xml:space="preserve">then converted to cDNA using </w:t>
      </w:r>
      <w:proofErr w:type="spellStart"/>
      <w:r w:rsidRPr="00BB742A">
        <w:rPr>
          <w:rFonts w:ascii="Times New Roman" w:hAnsi="Times New Roman" w:cs="Times New Roman"/>
          <w:color w:val="000000"/>
          <w:sz w:val="24"/>
          <w:szCs w:val="24"/>
        </w:rPr>
        <w:t>iScript</w:t>
      </w:r>
      <w:proofErr w:type="spellEnd"/>
      <w:r w:rsidRPr="00BB742A">
        <w:rPr>
          <w:rFonts w:ascii="Times New Roman" w:hAnsi="Times New Roman" w:cs="Times New Roman"/>
          <w:color w:val="000000"/>
          <w:sz w:val="24"/>
          <w:szCs w:val="24"/>
        </w:rPr>
        <w:t xml:space="preserve"> cDNA Synthesis Kit (BIO-RAD, USA).</w:t>
      </w:r>
    </w:p>
    <w:p w14:paraId="56426125" w14:textId="7D3E6484" w:rsidR="00D5128E" w:rsidRPr="00BF245A" w:rsidRDefault="00D5128E" w:rsidP="00D5128E">
      <w:pP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color w:val="000000"/>
          <w:sz w:val="24"/>
          <w:szCs w:val="24"/>
        </w:rPr>
        <w:t xml:space="preserve">Gene transcription </w:t>
      </w:r>
      <w:r w:rsidRPr="00BB742A">
        <w:rPr>
          <w:rFonts w:ascii="Times New Roman" w:hAnsi="Times New Roman" w:cs="Times New Roman"/>
          <w:sz w:val="24"/>
          <w:szCs w:val="24"/>
        </w:rPr>
        <w:t xml:space="preserve">was </w:t>
      </w:r>
      <w:r w:rsidRPr="00BB742A">
        <w:rPr>
          <w:rFonts w:ascii="Times New Roman" w:hAnsi="Times New Roman" w:cs="Times New Roman"/>
          <w:color w:val="000000"/>
          <w:sz w:val="24"/>
          <w:szCs w:val="24"/>
        </w:rPr>
        <w:t xml:space="preserve">then quantified by </w:t>
      </w:r>
      <w:r w:rsidRPr="00BB742A">
        <w:rPr>
          <w:rFonts w:ascii="Times New Roman" w:hAnsi="Times New Roman" w:cs="Times New Roman"/>
          <w:sz w:val="24"/>
          <w:szCs w:val="24"/>
          <w:highlight w:val="white"/>
        </w:rPr>
        <w:t>quantitative reverse transcription PCR (</w:t>
      </w:r>
      <w:proofErr w:type="spellStart"/>
      <w:r w:rsidRPr="00BB742A">
        <w:rPr>
          <w:rFonts w:ascii="Times New Roman" w:hAnsi="Times New Roman" w:cs="Times New Roman"/>
          <w:sz w:val="24"/>
          <w:szCs w:val="24"/>
          <w:highlight w:val="white"/>
        </w:rPr>
        <w:t>qRT</w:t>
      </w:r>
      <w:proofErr w:type="spellEnd"/>
      <w:r w:rsidRPr="00BB742A">
        <w:rPr>
          <w:rFonts w:ascii="Times New Roman" w:hAnsi="Times New Roman" w:cs="Times New Roman"/>
          <w:sz w:val="24"/>
          <w:szCs w:val="24"/>
          <w:highlight w:val="white"/>
        </w:rPr>
        <w:t>-PCR)</w:t>
      </w:r>
      <w:r w:rsidRPr="00BB742A">
        <w:rPr>
          <w:rFonts w:ascii="Times New Roman" w:hAnsi="Times New Roman" w:cs="Times New Roman"/>
          <w:color w:val="000000"/>
          <w:sz w:val="24"/>
          <w:szCs w:val="24"/>
        </w:rPr>
        <w:t xml:space="preserve"> using a </w:t>
      </w:r>
      <w:proofErr w:type="spellStart"/>
      <w:r w:rsidRPr="00BB742A">
        <w:rPr>
          <w:rFonts w:ascii="Times New Roman" w:hAnsi="Times New Roman" w:cs="Times New Roman"/>
          <w:color w:val="000000"/>
          <w:sz w:val="24"/>
          <w:szCs w:val="24"/>
        </w:rPr>
        <w:t>LightCycler</w:t>
      </w:r>
      <w:proofErr w:type="spellEnd"/>
      <w:r w:rsidRPr="00BB742A">
        <w:rPr>
          <w:rFonts w:ascii="Times New Roman" w:hAnsi="Times New Roman" w:cs="Times New Roman"/>
          <w:color w:val="000000"/>
          <w:sz w:val="24"/>
          <w:szCs w:val="24"/>
        </w:rPr>
        <w:t xml:space="preserve"> 480 SYBR Green I Master kit and </w:t>
      </w:r>
      <w:proofErr w:type="spellStart"/>
      <w:r w:rsidRPr="00BB742A">
        <w:rPr>
          <w:rFonts w:ascii="Times New Roman" w:hAnsi="Times New Roman" w:cs="Times New Roman"/>
          <w:color w:val="000000"/>
          <w:sz w:val="24"/>
          <w:szCs w:val="24"/>
        </w:rPr>
        <w:t>LightCycler</w:t>
      </w:r>
      <w:proofErr w:type="spellEnd"/>
      <w:r w:rsidRPr="00BB742A">
        <w:rPr>
          <w:rFonts w:ascii="Times New Roman" w:hAnsi="Times New Roman" w:cs="Times New Roman"/>
          <w:color w:val="000000"/>
          <w:sz w:val="24"/>
          <w:szCs w:val="24"/>
        </w:rPr>
        <w:t xml:space="preserve"> 480 (Roche, Switzerland). The activation of plant defence </w:t>
      </w:r>
      <w:proofErr w:type="spellStart"/>
      <w:r w:rsidRPr="00BB742A">
        <w:rPr>
          <w:rFonts w:ascii="Times New Roman" w:hAnsi="Times New Roman" w:cs="Times New Roman"/>
          <w:color w:val="000000"/>
          <w:sz w:val="24"/>
          <w:szCs w:val="24"/>
        </w:rPr>
        <w:t>signaling</w:t>
      </w:r>
      <w:proofErr w:type="spellEnd"/>
      <w:r w:rsidRPr="00BB742A">
        <w:rPr>
          <w:rFonts w:ascii="Times New Roman" w:hAnsi="Times New Roman" w:cs="Times New Roman"/>
          <w:color w:val="000000"/>
          <w:sz w:val="24"/>
          <w:szCs w:val="24"/>
        </w:rPr>
        <w:t xml:space="preserve"> pathways</w:t>
      </w:r>
      <w:r w:rsidRPr="00BB742A">
        <w:rPr>
          <w:rFonts w:ascii="Times New Roman" w:hAnsi="Times New Roman" w:cs="Times New Roman"/>
          <w:sz w:val="24"/>
          <w:szCs w:val="24"/>
        </w:rPr>
        <w:t xml:space="preserve"> was </w:t>
      </w:r>
      <w:r w:rsidRPr="00BB742A">
        <w:rPr>
          <w:rFonts w:ascii="Times New Roman" w:hAnsi="Times New Roman" w:cs="Times New Roman"/>
          <w:color w:val="000000"/>
          <w:sz w:val="24"/>
          <w:szCs w:val="24"/>
        </w:rPr>
        <w:t xml:space="preserve">evaluated by transcription of marker genes associated with </w:t>
      </w:r>
      <w:r w:rsidR="00F22465">
        <w:rPr>
          <w:rFonts w:ascii="Times New Roman" w:hAnsi="Times New Roman" w:cs="Times New Roman"/>
          <w:color w:val="000000"/>
          <w:sz w:val="24"/>
          <w:szCs w:val="24"/>
        </w:rPr>
        <w:t>SA</w:t>
      </w:r>
      <w:r w:rsidRPr="00BB742A">
        <w:rPr>
          <w:rFonts w:ascii="Times New Roman" w:hAnsi="Times New Roman" w:cs="Times New Roman"/>
          <w:color w:val="000000"/>
          <w:sz w:val="24"/>
          <w:szCs w:val="24"/>
        </w:rPr>
        <w:t xml:space="preserve"> (</w:t>
      </w:r>
      <w:proofErr w:type="spellStart"/>
      <w:r w:rsidRPr="00CF0A23">
        <w:rPr>
          <w:rFonts w:ascii="Times New Roman" w:hAnsi="Times New Roman" w:cs="Times New Roman"/>
          <w:i/>
          <w:sz w:val="24"/>
          <w:szCs w:val="24"/>
        </w:rPr>
        <w:t>isochorismate</w:t>
      </w:r>
      <w:proofErr w:type="spellEnd"/>
      <w:r w:rsidRPr="00CF0A23">
        <w:rPr>
          <w:rFonts w:ascii="Times New Roman" w:hAnsi="Times New Roman" w:cs="Times New Roman"/>
          <w:i/>
          <w:sz w:val="24"/>
          <w:szCs w:val="24"/>
        </w:rPr>
        <w:t xml:space="preserve"> synthase 1</w:t>
      </w:r>
      <w:r w:rsidRPr="00BF245A">
        <w:rPr>
          <w:rFonts w:ascii="Times New Roman" w:hAnsi="Times New Roman" w:cs="Times New Roman"/>
          <w:iCs/>
          <w:sz w:val="24"/>
          <w:szCs w:val="24"/>
        </w:rPr>
        <w:t xml:space="preserve">, </w:t>
      </w:r>
      <w:r w:rsidRPr="0022320E">
        <w:rPr>
          <w:rFonts w:ascii="Times New Roman" w:hAnsi="Times New Roman" w:cs="Times New Roman"/>
          <w:iCs/>
          <w:sz w:val="24"/>
          <w:szCs w:val="24"/>
        </w:rPr>
        <w:t>‘</w:t>
      </w:r>
      <w:r w:rsidRPr="00CF0A23">
        <w:rPr>
          <w:rFonts w:ascii="Times New Roman" w:hAnsi="Times New Roman" w:cs="Times New Roman"/>
          <w:i/>
          <w:sz w:val="24"/>
          <w:szCs w:val="24"/>
        </w:rPr>
        <w:t>ICS1</w:t>
      </w:r>
      <w:r w:rsidRPr="0022320E">
        <w:rPr>
          <w:rFonts w:ascii="Times New Roman" w:hAnsi="Times New Roman" w:cs="Times New Roman"/>
          <w:sz w:val="24"/>
          <w:szCs w:val="24"/>
        </w:rPr>
        <w:t>’</w:t>
      </w:r>
      <w:r w:rsidRPr="00BF245A">
        <w:rPr>
          <w:rFonts w:ascii="Times New Roman" w:hAnsi="Times New Roman" w:cs="Times New Roman"/>
          <w:iCs/>
          <w:color w:val="000000"/>
          <w:sz w:val="24"/>
          <w:szCs w:val="24"/>
        </w:rPr>
        <w:t>;</w:t>
      </w:r>
      <w:r>
        <w:rPr>
          <w:rFonts w:ascii="Times New Roman" w:hAnsi="Times New Roman" w:cs="Times New Roman"/>
          <w:i/>
          <w:color w:val="000000"/>
          <w:sz w:val="24"/>
          <w:szCs w:val="24"/>
        </w:rPr>
        <w:t xml:space="preserve"> </w:t>
      </w:r>
      <w:proofErr w:type="spellStart"/>
      <w:r w:rsidRPr="00CF0A23">
        <w:rPr>
          <w:rFonts w:ascii="Times New Roman" w:hAnsi="Times New Roman" w:cs="Times New Roman"/>
          <w:i/>
          <w:sz w:val="24"/>
          <w:szCs w:val="24"/>
        </w:rPr>
        <w:t>isochorismate</w:t>
      </w:r>
      <w:proofErr w:type="spellEnd"/>
      <w:r w:rsidRPr="00CF0A23">
        <w:rPr>
          <w:rFonts w:ascii="Times New Roman" w:hAnsi="Times New Roman" w:cs="Times New Roman"/>
          <w:i/>
          <w:sz w:val="24"/>
          <w:szCs w:val="24"/>
        </w:rPr>
        <w:t xml:space="preserve"> synthase </w:t>
      </w:r>
      <w:r>
        <w:rPr>
          <w:rFonts w:ascii="Times New Roman" w:hAnsi="Times New Roman" w:cs="Times New Roman"/>
          <w:i/>
          <w:sz w:val="24"/>
          <w:szCs w:val="24"/>
        </w:rPr>
        <w:t>2</w:t>
      </w:r>
      <w:r w:rsidRPr="00BF245A">
        <w:rPr>
          <w:rFonts w:ascii="Times New Roman" w:hAnsi="Times New Roman" w:cs="Times New Roman"/>
          <w:iCs/>
          <w:sz w:val="24"/>
          <w:szCs w:val="24"/>
        </w:rPr>
        <w:t xml:space="preserve">, </w:t>
      </w:r>
      <w:r w:rsidRPr="0022320E">
        <w:rPr>
          <w:rFonts w:ascii="Times New Roman" w:hAnsi="Times New Roman" w:cs="Times New Roman"/>
          <w:iCs/>
          <w:sz w:val="24"/>
          <w:szCs w:val="24"/>
        </w:rPr>
        <w:t>‘</w:t>
      </w:r>
      <w:r w:rsidRPr="00CF0A23">
        <w:rPr>
          <w:rFonts w:ascii="Times New Roman" w:hAnsi="Times New Roman" w:cs="Times New Roman"/>
          <w:i/>
          <w:sz w:val="24"/>
          <w:szCs w:val="24"/>
        </w:rPr>
        <w:t>ICS</w:t>
      </w:r>
      <w:r>
        <w:rPr>
          <w:rFonts w:ascii="Times New Roman" w:hAnsi="Times New Roman" w:cs="Times New Roman"/>
          <w:i/>
          <w:sz w:val="24"/>
          <w:szCs w:val="24"/>
        </w:rPr>
        <w:t>2</w:t>
      </w:r>
      <w:r w:rsidRPr="00BF245A">
        <w:rPr>
          <w:rFonts w:ascii="Times New Roman" w:hAnsi="Times New Roman" w:cs="Times New Roman"/>
          <w:iCs/>
          <w:sz w:val="24"/>
          <w:szCs w:val="24"/>
        </w:rPr>
        <w:t>’</w:t>
      </w:r>
      <w:r w:rsidRPr="00BF245A">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 xml:space="preserve"> </w:t>
      </w:r>
      <w:r w:rsidRPr="00CF0A23">
        <w:rPr>
          <w:rFonts w:ascii="Times New Roman" w:hAnsi="Times New Roman" w:cs="Times New Roman"/>
          <w:i/>
          <w:sz w:val="24"/>
          <w:szCs w:val="24"/>
        </w:rPr>
        <w:t>phenylalanine ammonia lyase 1</w:t>
      </w:r>
      <w:r w:rsidRPr="00CF0A23">
        <w:rPr>
          <w:rFonts w:ascii="Times New Roman" w:hAnsi="Times New Roman" w:cs="Times New Roman"/>
          <w:sz w:val="24"/>
          <w:szCs w:val="24"/>
        </w:rPr>
        <w:t>, ‘</w:t>
      </w:r>
      <w:r w:rsidRPr="00CF0A23">
        <w:rPr>
          <w:rFonts w:ascii="Times New Roman" w:hAnsi="Times New Roman" w:cs="Times New Roman"/>
          <w:i/>
          <w:sz w:val="24"/>
          <w:szCs w:val="24"/>
        </w:rPr>
        <w:t>PAL1</w:t>
      </w:r>
      <w:r w:rsidRPr="0022320E">
        <w:rPr>
          <w:rFonts w:ascii="Times New Roman" w:hAnsi="Times New Roman" w:cs="Times New Roman"/>
          <w:sz w:val="24"/>
          <w:szCs w:val="24"/>
        </w:rPr>
        <w:t>’</w:t>
      </w:r>
      <w:r>
        <w:rPr>
          <w:rFonts w:ascii="Times New Roman" w:hAnsi="Times New Roman" w:cs="Times New Roman"/>
          <w:sz w:val="24"/>
          <w:szCs w:val="24"/>
        </w:rPr>
        <w:t xml:space="preserve">; </w:t>
      </w:r>
      <w:r w:rsidRPr="00CF0A23">
        <w:rPr>
          <w:rFonts w:ascii="Times New Roman" w:hAnsi="Times New Roman" w:cs="Times New Roman"/>
          <w:i/>
          <w:sz w:val="24"/>
          <w:szCs w:val="24"/>
        </w:rPr>
        <w:t>pathogenesis related 1</w:t>
      </w:r>
      <w:r w:rsidRPr="00CF0A23">
        <w:rPr>
          <w:rFonts w:ascii="Times New Roman" w:hAnsi="Times New Roman" w:cs="Times New Roman"/>
          <w:sz w:val="24"/>
          <w:szCs w:val="24"/>
        </w:rPr>
        <w:t>, ‘</w:t>
      </w:r>
      <w:r w:rsidRPr="00CF0A23">
        <w:rPr>
          <w:rFonts w:ascii="Times New Roman" w:hAnsi="Times New Roman" w:cs="Times New Roman"/>
          <w:i/>
          <w:sz w:val="24"/>
          <w:szCs w:val="24"/>
        </w:rPr>
        <w:t>PR1</w:t>
      </w:r>
      <w:r w:rsidRPr="00CF0A23">
        <w:rPr>
          <w:rFonts w:ascii="Times New Roman" w:hAnsi="Times New Roman" w:cs="Times New Roman"/>
          <w:sz w:val="24"/>
          <w:szCs w:val="24"/>
        </w:rPr>
        <w:t>’</w:t>
      </w:r>
      <w:r>
        <w:rPr>
          <w:rFonts w:ascii="Times New Roman" w:hAnsi="Times New Roman" w:cs="Times New Roman"/>
          <w:sz w:val="24"/>
          <w:szCs w:val="24"/>
        </w:rPr>
        <w:t xml:space="preserve">; </w:t>
      </w:r>
      <w:r w:rsidRPr="00CF0A23">
        <w:rPr>
          <w:rFonts w:ascii="Times New Roman" w:hAnsi="Times New Roman" w:cs="Times New Roman"/>
          <w:i/>
          <w:sz w:val="24"/>
          <w:szCs w:val="24"/>
        </w:rPr>
        <w:t xml:space="preserve">pathogenesis related </w:t>
      </w:r>
      <w:r>
        <w:rPr>
          <w:rFonts w:ascii="Times New Roman" w:hAnsi="Times New Roman" w:cs="Times New Roman"/>
          <w:i/>
          <w:sz w:val="24"/>
          <w:szCs w:val="24"/>
        </w:rPr>
        <w:t>2</w:t>
      </w:r>
      <w:r w:rsidRPr="00CF0A23">
        <w:rPr>
          <w:rFonts w:ascii="Times New Roman" w:hAnsi="Times New Roman" w:cs="Times New Roman"/>
          <w:sz w:val="24"/>
          <w:szCs w:val="24"/>
        </w:rPr>
        <w:t>, ‘</w:t>
      </w:r>
      <w:r w:rsidRPr="00CF0A23">
        <w:rPr>
          <w:rFonts w:ascii="Times New Roman" w:hAnsi="Times New Roman" w:cs="Times New Roman"/>
          <w:i/>
          <w:sz w:val="24"/>
          <w:szCs w:val="24"/>
        </w:rPr>
        <w:t>PR</w:t>
      </w:r>
      <w:r>
        <w:rPr>
          <w:rFonts w:ascii="Times New Roman" w:hAnsi="Times New Roman" w:cs="Times New Roman"/>
          <w:i/>
          <w:sz w:val="24"/>
          <w:szCs w:val="24"/>
        </w:rPr>
        <w:t>2</w:t>
      </w:r>
      <w:r w:rsidRPr="00CF0A23">
        <w:rPr>
          <w:rFonts w:ascii="Times New Roman" w:hAnsi="Times New Roman" w:cs="Times New Roman"/>
          <w:sz w:val="24"/>
          <w:szCs w:val="24"/>
        </w:rPr>
        <w:t>’</w:t>
      </w:r>
      <w:r>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 xml:space="preserve"> </w:t>
      </w:r>
      <w:r w:rsidRPr="00CF0A23">
        <w:rPr>
          <w:rFonts w:ascii="Times New Roman" w:hAnsi="Times New Roman" w:cs="Times New Roman"/>
          <w:i/>
          <w:sz w:val="24"/>
          <w:szCs w:val="24"/>
        </w:rPr>
        <w:t xml:space="preserve">pathogenesis related </w:t>
      </w:r>
      <w:r>
        <w:rPr>
          <w:rFonts w:ascii="Times New Roman" w:hAnsi="Times New Roman" w:cs="Times New Roman"/>
          <w:i/>
          <w:sz w:val="24"/>
          <w:szCs w:val="24"/>
        </w:rPr>
        <w:t>5</w:t>
      </w:r>
      <w:r w:rsidRPr="00CF0A23">
        <w:rPr>
          <w:rFonts w:ascii="Times New Roman" w:hAnsi="Times New Roman" w:cs="Times New Roman"/>
          <w:sz w:val="24"/>
          <w:szCs w:val="24"/>
        </w:rPr>
        <w:t>, ‘</w:t>
      </w:r>
      <w:r w:rsidRPr="00CF0A23">
        <w:rPr>
          <w:rFonts w:ascii="Times New Roman" w:hAnsi="Times New Roman" w:cs="Times New Roman"/>
          <w:i/>
          <w:sz w:val="24"/>
          <w:szCs w:val="24"/>
        </w:rPr>
        <w:t>PR</w:t>
      </w:r>
      <w:r>
        <w:rPr>
          <w:rFonts w:ascii="Times New Roman" w:hAnsi="Times New Roman" w:cs="Times New Roman"/>
          <w:i/>
          <w:sz w:val="24"/>
          <w:szCs w:val="24"/>
        </w:rPr>
        <w:t>5</w:t>
      </w:r>
      <w:r w:rsidRPr="00CF0A23">
        <w:rPr>
          <w:rFonts w:ascii="Times New Roman" w:hAnsi="Times New Roman" w:cs="Times New Roman"/>
          <w:sz w:val="24"/>
          <w:szCs w:val="24"/>
        </w:rPr>
        <w:t>’</w:t>
      </w:r>
      <w:r>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 xml:space="preserve"> </w:t>
      </w:r>
      <w:r w:rsidRPr="005B6C8D">
        <w:rPr>
          <w:rFonts w:ascii="Times New Roman" w:hAnsi="Times New Roman" w:cs="Times New Roman"/>
          <w:i/>
          <w:sz w:val="24"/>
          <w:szCs w:val="24"/>
        </w:rPr>
        <w:t>WRKY70 transcription factor</w:t>
      </w:r>
      <w:r w:rsidRPr="00BF245A">
        <w:rPr>
          <w:rFonts w:ascii="Times New Roman" w:hAnsi="Times New Roman" w:cs="Times New Roman"/>
          <w:iCs/>
          <w:sz w:val="24"/>
          <w:szCs w:val="24"/>
        </w:rPr>
        <w:t>,</w:t>
      </w:r>
      <w:r w:rsidRPr="005B6C8D">
        <w:rPr>
          <w:rFonts w:ascii="Times New Roman" w:hAnsi="Times New Roman" w:cs="Times New Roman"/>
          <w:sz w:val="24"/>
          <w:szCs w:val="24"/>
        </w:rPr>
        <w:t xml:space="preserve"> </w:t>
      </w:r>
      <w:r>
        <w:rPr>
          <w:rFonts w:ascii="Times New Roman" w:hAnsi="Times New Roman" w:cs="Times New Roman"/>
          <w:sz w:val="24"/>
          <w:szCs w:val="24"/>
        </w:rPr>
        <w:t>‘</w:t>
      </w:r>
      <w:r w:rsidRPr="00BB742A">
        <w:rPr>
          <w:rFonts w:ascii="Times New Roman" w:hAnsi="Times New Roman" w:cs="Times New Roman"/>
          <w:i/>
          <w:color w:val="000000"/>
          <w:sz w:val="24"/>
          <w:szCs w:val="24"/>
        </w:rPr>
        <w:t>WRKY70</w:t>
      </w:r>
      <w:r>
        <w:rPr>
          <w:rFonts w:ascii="Times New Roman" w:hAnsi="Times New Roman" w:cs="Times New Roman"/>
          <w:iCs/>
          <w:color w:val="000000"/>
          <w:sz w:val="24"/>
          <w:szCs w:val="24"/>
        </w:rPr>
        <w:t>’</w:t>
      </w:r>
      <w:r w:rsidRPr="00BB742A">
        <w:rPr>
          <w:rFonts w:ascii="Times New Roman" w:hAnsi="Times New Roman" w:cs="Times New Roman"/>
          <w:color w:val="000000"/>
          <w:sz w:val="24"/>
          <w:szCs w:val="24"/>
        </w:rPr>
        <w:t xml:space="preserve">), </w:t>
      </w:r>
      <w:r w:rsidR="00F22465">
        <w:rPr>
          <w:rFonts w:ascii="Times New Roman" w:hAnsi="Times New Roman" w:cs="Times New Roman"/>
          <w:color w:val="000000"/>
          <w:sz w:val="24"/>
          <w:szCs w:val="24"/>
        </w:rPr>
        <w:t>JA</w:t>
      </w:r>
      <w:r w:rsidRPr="00BB742A">
        <w:rPr>
          <w:rFonts w:ascii="Times New Roman" w:hAnsi="Times New Roman" w:cs="Times New Roman"/>
          <w:color w:val="000000"/>
          <w:sz w:val="24"/>
          <w:szCs w:val="24"/>
        </w:rPr>
        <w:t xml:space="preserve"> (</w:t>
      </w:r>
      <w:r w:rsidRPr="005B6C8D">
        <w:rPr>
          <w:rFonts w:ascii="Times New Roman" w:hAnsi="Times New Roman" w:cs="Times New Roman"/>
          <w:i/>
          <w:sz w:val="24"/>
          <w:szCs w:val="24"/>
        </w:rPr>
        <w:t>allene oxide synthase</w:t>
      </w:r>
      <w:r w:rsidRPr="005B6C8D">
        <w:rPr>
          <w:rFonts w:ascii="Times New Roman" w:hAnsi="Times New Roman" w:cs="Times New Roman"/>
          <w:sz w:val="24"/>
          <w:szCs w:val="24"/>
        </w:rPr>
        <w:t>,</w:t>
      </w:r>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w:t>
      </w:r>
      <w:r w:rsidRPr="005B6C8D">
        <w:rPr>
          <w:rFonts w:ascii="Times New Roman" w:hAnsi="Times New Roman" w:cs="Times New Roman"/>
          <w:i/>
          <w:sz w:val="24"/>
          <w:szCs w:val="24"/>
        </w:rPr>
        <w:t>AOS</w:t>
      </w:r>
      <w:r w:rsidRPr="005B6C8D">
        <w:rPr>
          <w:rFonts w:ascii="Times New Roman" w:hAnsi="Times New Roman" w:cs="Times New Roman"/>
          <w:iCs/>
          <w:sz w:val="24"/>
          <w:szCs w:val="24"/>
        </w:rPr>
        <w:t>’</w:t>
      </w:r>
      <w:r>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 xml:space="preserve"> </w:t>
      </w:r>
      <w:r w:rsidRPr="00CF0A23">
        <w:rPr>
          <w:rFonts w:ascii="Times New Roman" w:hAnsi="Times New Roman" w:cs="Times New Roman"/>
          <w:i/>
          <w:sz w:val="24"/>
          <w:szCs w:val="24"/>
        </w:rPr>
        <w:t xml:space="preserve">lipoxygenase </w:t>
      </w:r>
      <w:r>
        <w:rPr>
          <w:rFonts w:ascii="Times New Roman" w:hAnsi="Times New Roman" w:cs="Times New Roman"/>
          <w:i/>
          <w:sz w:val="24"/>
          <w:szCs w:val="24"/>
        </w:rPr>
        <w:t>2</w:t>
      </w:r>
      <w:r w:rsidRPr="00CF0A23">
        <w:rPr>
          <w:rFonts w:ascii="Times New Roman" w:hAnsi="Times New Roman" w:cs="Times New Roman"/>
          <w:sz w:val="24"/>
          <w:szCs w:val="24"/>
        </w:rPr>
        <w:t>, ‘</w:t>
      </w:r>
      <w:r w:rsidRPr="00CF0A23">
        <w:rPr>
          <w:rFonts w:ascii="Times New Roman" w:hAnsi="Times New Roman" w:cs="Times New Roman"/>
          <w:i/>
          <w:sz w:val="24"/>
          <w:szCs w:val="24"/>
        </w:rPr>
        <w:t>LOX</w:t>
      </w:r>
      <w:r>
        <w:rPr>
          <w:rFonts w:ascii="Times New Roman" w:hAnsi="Times New Roman" w:cs="Times New Roman"/>
          <w:i/>
          <w:sz w:val="24"/>
          <w:szCs w:val="24"/>
        </w:rPr>
        <w:t>2</w:t>
      </w:r>
      <w:r w:rsidRPr="00CF0A23">
        <w:rPr>
          <w:rFonts w:ascii="Times New Roman" w:hAnsi="Times New Roman" w:cs="Times New Roman"/>
          <w:sz w:val="24"/>
          <w:szCs w:val="24"/>
        </w:rPr>
        <w:t>’</w:t>
      </w:r>
      <w:r>
        <w:rPr>
          <w:rFonts w:ascii="Times New Roman" w:hAnsi="Times New Roman" w:cs="Times New Roman"/>
          <w:iCs/>
          <w:color w:val="000000"/>
          <w:sz w:val="24"/>
          <w:szCs w:val="24"/>
        </w:rPr>
        <w:t xml:space="preserve">; </w:t>
      </w:r>
      <w:r w:rsidRPr="00CF0A23">
        <w:rPr>
          <w:rFonts w:ascii="Times New Roman" w:hAnsi="Times New Roman" w:cs="Times New Roman"/>
          <w:i/>
          <w:sz w:val="24"/>
          <w:szCs w:val="24"/>
        </w:rPr>
        <w:t>lipoxygenase 3</w:t>
      </w:r>
      <w:r w:rsidRPr="00CF0A23">
        <w:rPr>
          <w:rFonts w:ascii="Times New Roman" w:hAnsi="Times New Roman" w:cs="Times New Roman"/>
          <w:sz w:val="24"/>
          <w:szCs w:val="24"/>
        </w:rPr>
        <w:t>, ‘</w:t>
      </w:r>
      <w:r w:rsidRPr="00CF0A23">
        <w:rPr>
          <w:rFonts w:ascii="Times New Roman" w:hAnsi="Times New Roman" w:cs="Times New Roman"/>
          <w:i/>
          <w:sz w:val="24"/>
          <w:szCs w:val="24"/>
        </w:rPr>
        <w:t>LOX3</w:t>
      </w:r>
      <w:r w:rsidRPr="00CF0A23">
        <w:rPr>
          <w:rFonts w:ascii="Times New Roman" w:hAnsi="Times New Roman" w:cs="Times New Roman"/>
          <w:sz w:val="24"/>
          <w:szCs w:val="24"/>
        </w:rPr>
        <w:t>’</w:t>
      </w:r>
      <w:r>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 xml:space="preserve"> </w:t>
      </w:r>
      <w:r w:rsidRPr="00CF0A23">
        <w:rPr>
          <w:rFonts w:ascii="Times New Roman" w:hAnsi="Times New Roman" w:cs="Times New Roman"/>
          <w:i/>
          <w:sz w:val="24"/>
          <w:szCs w:val="24"/>
        </w:rPr>
        <w:t>vegetative storage protein</w:t>
      </w:r>
      <w:r w:rsidRPr="00CF0A23">
        <w:rPr>
          <w:rFonts w:ascii="Times New Roman" w:hAnsi="Times New Roman" w:cs="Times New Roman"/>
          <w:sz w:val="24"/>
          <w:szCs w:val="24"/>
        </w:rPr>
        <w:t>, ‘</w:t>
      </w:r>
      <w:r w:rsidRPr="00CF0A23">
        <w:rPr>
          <w:rFonts w:ascii="Times New Roman" w:hAnsi="Times New Roman" w:cs="Times New Roman"/>
          <w:i/>
          <w:sz w:val="24"/>
          <w:szCs w:val="24"/>
        </w:rPr>
        <w:t>VSP</w:t>
      </w:r>
      <w:r w:rsidRPr="00CF0A23">
        <w:rPr>
          <w:rFonts w:ascii="Times New Roman" w:hAnsi="Times New Roman" w:cs="Times New Roman"/>
          <w:sz w:val="24"/>
          <w:szCs w:val="24"/>
        </w:rPr>
        <w:t>’</w:t>
      </w:r>
      <w:r>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 xml:space="preserve"> </w:t>
      </w:r>
      <w:proofErr w:type="spellStart"/>
      <w:r>
        <w:rPr>
          <w:rFonts w:ascii="Times New Roman" w:hAnsi="Times New Roman" w:cs="Times New Roman"/>
          <w:i/>
          <w:color w:val="000000"/>
          <w:sz w:val="24"/>
          <w:szCs w:val="24"/>
        </w:rPr>
        <w:t>jasmonate</w:t>
      </w:r>
      <w:proofErr w:type="spellEnd"/>
      <w:r>
        <w:rPr>
          <w:rFonts w:ascii="Times New Roman" w:hAnsi="Times New Roman" w:cs="Times New Roman"/>
          <w:i/>
          <w:color w:val="000000"/>
          <w:sz w:val="24"/>
          <w:szCs w:val="24"/>
        </w:rPr>
        <w:t xml:space="preserve"> ZIM-domain 8</w:t>
      </w:r>
      <w:r>
        <w:rPr>
          <w:rFonts w:ascii="Times New Roman" w:hAnsi="Times New Roman" w:cs="Times New Roman"/>
          <w:iCs/>
          <w:color w:val="000000"/>
          <w:sz w:val="24"/>
          <w:szCs w:val="24"/>
        </w:rPr>
        <w:t>,</w:t>
      </w:r>
      <w:r>
        <w:rPr>
          <w:rFonts w:ascii="Times New Roman" w:hAnsi="Times New Roman" w:cs="Times New Roman"/>
          <w:i/>
          <w:color w:val="000000"/>
          <w:sz w:val="24"/>
          <w:szCs w:val="24"/>
        </w:rPr>
        <w:t xml:space="preserve"> </w:t>
      </w:r>
      <w:r>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JAZ8</w:t>
      </w:r>
      <w:r>
        <w:rPr>
          <w:rFonts w:ascii="Times New Roman" w:hAnsi="Times New Roman" w:cs="Times New Roman"/>
          <w:iCs/>
          <w:color w:val="000000"/>
          <w:sz w:val="24"/>
          <w:szCs w:val="24"/>
        </w:rPr>
        <w:t xml:space="preserve">’; </w:t>
      </w:r>
      <w:proofErr w:type="spellStart"/>
      <w:r>
        <w:rPr>
          <w:rFonts w:ascii="Times New Roman" w:hAnsi="Times New Roman" w:cs="Times New Roman"/>
          <w:i/>
          <w:color w:val="000000"/>
          <w:sz w:val="24"/>
          <w:szCs w:val="24"/>
        </w:rPr>
        <w:t>jasmonate</w:t>
      </w:r>
      <w:proofErr w:type="spellEnd"/>
      <w:r>
        <w:rPr>
          <w:rFonts w:ascii="Times New Roman" w:hAnsi="Times New Roman" w:cs="Times New Roman"/>
          <w:i/>
          <w:color w:val="000000"/>
          <w:sz w:val="24"/>
          <w:szCs w:val="24"/>
        </w:rPr>
        <w:t xml:space="preserve"> ZIM-domain 10</w:t>
      </w:r>
      <w:r>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 xml:space="preserve"> </w:t>
      </w:r>
      <w:r>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JAZ10</w:t>
      </w:r>
      <w:r>
        <w:rPr>
          <w:rFonts w:ascii="Times New Roman" w:hAnsi="Times New Roman" w:cs="Times New Roman"/>
          <w:iCs/>
          <w:color w:val="000000"/>
          <w:sz w:val="24"/>
          <w:szCs w:val="24"/>
        </w:rPr>
        <w:t>’</w:t>
      </w:r>
      <w:r w:rsidRPr="00BB742A">
        <w:rPr>
          <w:rFonts w:ascii="Times New Roman" w:hAnsi="Times New Roman" w:cs="Times New Roman"/>
          <w:color w:val="000000"/>
          <w:sz w:val="24"/>
          <w:szCs w:val="24"/>
        </w:rPr>
        <w:t xml:space="preserve">), </w:t>
      </w:r>
      <w:r w:rsidR="00F22465">
        <w:rPr>
          <w:rFonts w:ascii="Times New Roman" w:hAnsi="Times New Roman" w:cs="Times New Roman"/>
          <w:color w:val="000000"/>
          <w:sz w:val="24"/>
          <w:szCs w:val="24"/>
        </w:rPr>
        <w:t>ET</w:t>
      </w:r>
      <w:r w:rsidRPr="00BB742A">
        <w:rPr>
          <w:rFonts w:ascii="Times New Roman" w:hAnsi="Times New Roman" w:cs="Times New Roman"/>
          <w:color w:val="000000"/>
          <w:sz w:val="24"/>
          <w:szCs w:val="24"/>
        </w:rPr>
        <w:t xml:space="preserve"> (</w:t>
      </w:r>
      <w:r w:rsidRPr="00CF0A23">
        <w:rPr>
          <w:rFonts w:ascii="Times New Roman" w:hAnsi="Times New Roman" w:cs="Times New Roman"/>
          <w:i/>
          <w:sz w:val="24"/>
          <w:szCs w:val="24"/>
        </w:rPr>
        <w:t>ACC synthase 2</w:t>
      </w:r>
      <w:r w:rsidRPr="00CF0A23">
        <w:rPr>
          <w:rFonts w:ascii="Times New Roman" w:hAnsi="Times New Roman" w:cs="Times New Roman"/>
          <w:sz w:val="24"/>
          <w:szCs w:val="24"/>
        </w:rPr>
        <w:t>, ‘</w:t>
      </w:r>
      <w:r w:rsidRPr="00CF0A23">
        <w:rPr>
          <w:rFonts w:ascii="Times New Roman" w:hAnsi="Times New Roman" w:cs="Times New Roman"/>
          <w:i/>
          <w:sz w:val="24"/>
          <w:szCs w:val="24"/>
        </w:rPr>
        <w:t>ACS2</w:t>
      </w:r>
      <w:r w:rsidRPr="00CF0A23">
        <w:rPr>
          <w:rFonts w:ascii="Times New Roman" w:hAnsi="Times New Roman" w:cs="Times New Roman"/>
          <w:sz w:val="24"/>
          <w:szCs w:val="24"/>
        </w:rPr>
        <w:t>’</w:t>
      </w:r>
      <w:r>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 xml:space="preserve"> </w:t>
      </w:r>
      <w:r w:rsidRPr="00CF0A23">
        <w:rPr>
          <w:rFonts w:ascii="Times New Roman" w:hAnsi="Times New Roman" w:cs="Times New Roman"/>
          <w:i/>
          <w:sz w:val="24"/>
          <w:szCs w:val="24"/>
        </w:rPr>
        <w:t xml:space="preserve">ACC synthase </w:t>
      </w:r>
      <w:r>
        <w:rPr>
          <w:rFonts w:ascii="Times New Roman" w:hAnsi="Times New Roman" w:cs="Times New Roman"/>
          <w:i/>
          <w:sz w:val="24"/>
          <w:szCs w:val="24"/>
        </w:rPr>
        <w:t>6</w:t>
      </w:r>
      <w:r w:rsidRPr="00CF0A23">
        <w:rPr>
          <w:rFonts w:ascii="Times New Roman" w:hAnsi="Times New Roman" w:cs="Times New Roman"/>
          <w:sz w:val="24"/>
          <w:szCs w:val="24"/>
        </w:rPr>
        <w:t>, ‘</w:t>
      </w:r>
      <w:r w:rsidRPr="00CF0A23">
        <w:rPr>
          <w:rFonts w:ascii="Times New Roman" w:hAnsi="Times New Roman" w:cs="Times New Roman"/>
          <w:i/>
          <w:sz w:val="24"/>
          <w:szCs w:val="24"/>
        </w:rPr>
        <w:t>ACS</w:t>
      </w:r>
      <w:r>
        <w:rPr>
          <w:rFonts w:ascii="Times New Roman" w:hAnsi="Times New Roman" w:cs="Times New Roman"/>
          <w:i/>
          <w:sz w:val="24"/>
          <w:szCs w:val="24"/>
        </w:rPr>
        <w:t>6</w:t>
      </w:r>
      <w:r w:rsidRPr="00CF0A23">
        <w:rPr>
          <w:rFonts w:ascii="Times New Roman" w:hAnsi="Times New Roman" w:cs="Times New Roman"/>
          <w:sz w:val="24"/>
          <w:szCs w:val="24"/>
        </w:rPr>
        <w:t>’</w:t>
      </w:r>
      <w:r w:rsidRPr="00BB742A">
        <w:rPr>
          <w:rFonts w:ascii="Times New Roman" w:hAnsi="Times New Roman" w:cs="Times New Roman"/>
          <w:color w:val="000000"/>
          <w:sz w:val="24"/>
          <w:szCs w:val="24"/>
        </w:rPr>
        <w:t>)</w:t>
      </w:r>
      <w:r w:rsidR="00F22465">
        <w:rPr>
          <w:rFonts w:ascii="Times New Roman" w:hAnsi="Times New Roman" w:cs="Times New Roman"/>
          <w:color w:val="000000"/>
          <w:sz w:val="24"/>
          <w:szCs w:val="24"/>
        </w:rPr>
        <w:t xml:space="preserve"> and</w:t>
      </w:r>
      <w:r w:rsidRPr="00BB742A">
        <w:rPr>
          <w:rFonts w:ascii="Times New Roman" w:hAnsi="Times New Roman" w:cs="Times New Roman"/>
          <w:color w:val="000000"/>
          <w:sz w:val="24"/>
          <w:szCs w:val="24"/>
        </w:rPr>
        <w:t xml:space="preserve"> </w:t>
      </w:r>
      <w:r w:rsidR="00F22465">
        <w:rPr>
          <w:rFonts w:ascii="Times New Roman" w:hAnsi="Times New Roman" w:cs="Times New Roman"/>
          <w:color w:val="000000"/>
          <w:sz w:val="24"/>
          <w:szCs w:val="24"/>
        </w:rPr>
        <w:t>ET</w:t>
      </w:r>
      <w:r w:rsidRPr="00BB742A">
        <w:rPr>
          <w:rFonts w:ascii="Times New Roman" w:hAnsi="Times New Roman" w:cs="Times New Roman"/>
          <w:color w:val="000000"/>
          <w:sz w:val="24"/>
          <w:szCs w:val="24"/>
        </w:rPr>
        <w:t>/</w:t>
      </w:r>
      <w:r w:rsidR="00F22465">
        <w:rPr>
          <w:rFonts w:ascii="Times New Roman" w:hAnsi="Times New Roman" w:cs="Times New Roman"/>
          <w:color w:val="000000"/>
          <w:sz w:val="24"/>
          <w:szCs w:val="24"/>
        </w:rPr>
        <w:t xml:space="preserve">JA </w:t>
      </w:r>
      <w:r w:rsidRPr="00BB742A">
        <w:rPr>
          <w:rFonts w:ascii="Times New Roman" w:hAnsi="Times New Roman" w:cs="Times New Roman"/>
          <w:color w:val="000000"/>
          <w:sz w:val="24"/>
          <w:szCs w:val="24"/>
        </w:rPr>
        <w:t>(</w:t>
      </w:r>
      <w:r w:rsidRPr="00CF0A23">
        <w:rPr>
          <w:rFonts w:ascii="Times New Roman" w:hAnsi="Times New Roman" w:cs="Times New Roman"/>
          <w:i/>
          <w:sz w:val="24"/>
          <w:szCs w:val="24"/>
        </w:rPr>
        <w:t>β-chitinase</w:t>
      </w:r>
      <w:r w:rsidRPr="00CF0A23">
        <w:rPr>
          <w:rFonts w:ascii="Times New Roman" w:hAnsi="Times New Roman" w:cs="Times New Roman"/>
          <w:sz w:val="24"/>
          <w:szCs w:val="24"/>
        </w:rPr>
        <w:t>, ‘</w:t>
      </w:r>
      <w:r w:rsidRPr="00CF0A23">
        <w:rPr>
          <w:rFonts w:ascii="Times New Roman" w:hAnsi="Times New Roman" w:cs="Times New Roman"/>
          <w:i/>
          <w:sz w:val="24"/>
          <w:szCs w:val="24"/>
        </w:rPr>
        <w:t>βCHI</w:t>
      </w:r>
      <w:r w:rsidRPr="00CF0A2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CF0A23">
        <w:rPr>
          <w:rFonts w:ascii="Times New Roman" w:hAnsi="Times New Roman" w:cs="Times New Roman"/>
          <w:i/>
          <w:sz w:val="24"/>
          <w:szCs w:val="24"/>
        </w:rPr>
        <w:t>hevein</w:t>
      </w:r>
      <w:proofErr w:type="spellEnd"/>
      <w:r w:rsidRPr="00CF0A23">
        <w:rPr>
          <w:rFonts w:ascii="Times New Roman" w:hAnsi="Times New Roman" w:cs="Times New Roman"/>
          <w:i/>
          <w:sz w:val="24"/>
          <w:szCs w:val="24"/>
        </w:rPr>
        <w:t>-like</w:t>
      </w:r>
      <w:r>
        <w:rPr>
          <w:rFonts w:ascii="Times New Roman" w:hAnsi="Times New Roman" w:cs="Times New Roman"/>
          <w:i/>
          <w:iCs/>
          <w:sz w:val="24"/>
          <w:szCs w:val="24"/>
        </w:rPr>
        <w:t>/pathogenesis related 4</w:t>
      </w:r>
      <w:r w:rsidRPr="00CF0A23">
        <w:rPr>
          <w:rFonts w:ascii="Times New Roman" w:hAnsi="Times New Roman" w:cs="Times New Roman"/>
          <w:sz w:val="24"/>
          <w:szCs w:val="24"/>
        </w:rPr>
        <w:t>, ‘</w:t>
      </w:r>
      <w:r w:rsidRPr="00CF0A23">
        <w:rPr>
          <w:rFonts w:ascii="Times New Roman" w:hAnsi="Times New Roman" w:cs="Times New Roman"/>
          <w:i/>
          <w:sz w:val="24"/>
          <w:szCs w:val="24"/>
        </w:rPr>
        <w:t>HEL</w:t>
      </w:r>
      <w:r>
        <w:rPr>
          <w:rFonts w:ascii="Times New Roman" w:hAnsi="Times New Roman" w:cs="Times New Roman"/>
          <w:i/>
          <w:sz w:val="24"/>
          <w:szCs w:val="24"/>
        </w:rPr>
        <w:t>/PR4</w:t>
      </w:r>
      <w:r w:rsidRPr="00CF0A23">
        <w:rPr>
          <w:rFonts w:ascii="Times New Roman" w:hAnsi="Times New Roman" w:cs="Times New Roman"/>
          <w:sz w:val="24"/>
          <w:szCs w:val="24"/>
        </w:rPr>
        <w:t>’</w:t>
      </w:r>
      <w:r>
        <w:rPr>
          <w:rFonts w:ascii="Times New Roman" w:hAnsi="Times New Roman" w:cs="Times New Roman"/>
          <w:sz w:val="24"/>
          <w:szCs w:val="24"/>
        </w:rPr>
        <w:t xml:space="preserve">; </w:t>
      </w:r>
      <w:r w:rsidRPr="005B6C8D">
        <w:rPr>
          <w:rFonts w:ascii="Times New Roman" w:hAnsi="Times New Roman" w:cs="Times New Roman"/>
          <w:i/>
          <w:sz w:val="24"/>
          <w:szCs w:val="24"/>
        </w:rPr>
        <w:t xml:space="preserve">plant defensin </w:t>
      </w:r>
      <w:r>
        <w:rPr>
          <w:rFonts w:ascii="Times New Roman" w:hAnsi="Times New Roman" w:cs="Times New Roman"/>
          <w:i/>
          <w:sz w:val="24"/>
          <w:szCs w:val="24"/>
        </w:rPr>
        <w:t>1.2</w:t>
      </w:r>
      <w:r w:rsidRPr="005B6C8D">
        <w:rPr>
          <w:rFonts w:ascii="Times New Roman" w:hAnsi="Times New Roman" w:cs="Times New Roman"/>
          <w:sz w:val="24"/>
          <w:szCs w:val="24"/>
        </w:rPr>
        <w:t>,</w:t>
      </w:r>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w:t>
      </w:r>
      <w:r w:rsidRPr="005B6C8D">
        <w:rPr>
          <w:rFonts w:ascii="Times New Roman" w:hAnsi="Times New Roman" w:cs="Times New Roman"/>
          <w:i/>
          <w:sz w:val="24"/>
          <w:szCs w:val="24"/>
        </w:rPr>
        <w:t>PDF</w:t>
      </w:r>
      <w:r>
        <w:rPr>
          <w:rFonts w:ascii="Times New Roman" w:hAnsi="Times New Roman" w:cs="Times New Roman"/>
          <w:i/>
          <w:sz w:val="24"/>
          <w:szCs w:val="24"/>
        </w:rPr>
        <w:t>1.2</w:t>
      </w:r>
      <w:r w:rsidRPr="005B6C8D">
        <w:rPr>
          <w:rFonts w:ascii="Times New Roman" w:hAnsi="Times New Roman" w:cs="Times New Roman"/>
          <w:iCs/>
          <w:sz w:val="24"/>
          <w:szCs w:val="24"/>
        </w:rPr>
        <w:t>’</w:t>
      </w:r>
      <w:r>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 xml:space="preserve"> </w:t>
      </w:r>
      <w:r w:rsidRPr="005B6C8D">
        <w:rPr>
          <w:rFonts w:ascii="Times New Roman" w:hAnsi="Times New Roman" w:cs="Times New Roman"/>
          <w:i/>
          <w:sz w:val="24"/>
          <w:szCs w:val="24"/>
        </w:rPr>
        <w:t>plant defensin 3</w:t>
      </w:r>
      <w:r w:rsidRPr="005B6C8D">
        <w:rPr>
          <w:rFonts w:ascii="Times New Roman" w:hAnsi="Times New Roman" w:cs="Times New Roman"/>
          <w:sz w:val="24"/>
          <w:szCs w:val="24"/>
        </w:rPr>
        <w:t>,</w:t>
      </w:r>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w:t>
      </w:r>
      <w:r w:rsidRPr="005B6C8D">
        <w:rPr>
          <w:rFonts w:ascii="Times New Roman" w:hAnsi="Times New Roman" w:cs="Times New Roman"/>
          <w:i/>
          <w:sz w:val="24"/>
          <w:szCs w:val="24"/>
        </w:rPr>
        <w:t>PDF3</w:t>
      </w:r>
      <w:r w:rsidRPr="00BB742A">
        <w:rPr>
          <w:rFonts w:ascii="Times New Roman" w:hAnsi="Times New Roman" w:cs="Times New Roman"/>
          <w:color w:val="000000"/>
          <w:sz w:val="24"/>
          <w:szCs w:val="24"/>
        </w:rPr>
        <w:t>)</w:t>
      </w:r>
      <w:r w:rsidR="00F22465">
        <w:rPr>
          <w:rFonts w:ascii="Times New Roman" w:hAnsi="Times New Roman" w:cs="Times New Roman"/>
          <w:color w:val="000000"/>
          <w:sz w:val="24"/>
          <w:szCs w:val="24"/>
        </w:rPr>
        <w:t xml:space="preserve"> pathways</w:t>
      </w:r>
      <w:r w:rsidRPr="00BB742A">
        <w:rPr>
          <w:rFonts w:ascii="Times New Roman" w:hAnsi="Times New Roman" w:cs="Times New Roman"/>
          <w:color w:val="000000"/>
          <w:sz w:val="24"/>
          <w:szCs w:val="24"/>
        </w:rPr>
        <w:t>, and genes involved in oxidative stress (</w:t>
      </w:r>
      <w:r w:rsidRPr="005B6C8D">
        <w:rPr>
          <w:rFonts w:ascii="Times New Roman" w:hAnsi="Times New Roman" w:cs="Times New Roman"/>
          <w:i/>
          <w:sz w:val="24"/>
          <w:szCs w:val="24"/>
        </w:rPr>
        <w:t>respiratory burst oxidase homolog C</w:t>
      </w:r>
      <w:r w:rsidRPr="005B6C8D">
        <w:rPr>
          <w:rFonts w:ascii="Times New Roman" w:hAnsi="Times New Roman" w:cs="Times New Roman"/>
          <w:sz w:val="24"/>
          <w:szCs w:val="24"/>
        </w:rPr>
        <w:t xml:space="preserve">, </w:t>
      </w:r>
      <w:r w:rsidRPr="005B6C8D">
        <w:rPr>
          <w:rFonts w:ascii="Times New Roman" w:hAnsi="Times New Roman" w:cs="Times New Roman"/>
          <w:iCs/>
          <w:sz w:val="24"/>
          <w:szCs w:val="24"/>
        </w:rPr>
        <w:t>‘</w:t>
      </w:r>
      <w:proofErr w:type="spellStart"/>
      <w:r w:rsidRPr="005B6C8D">
        <w:rPr>
          <w:rFonts w:ascii="Times New Roman" w:hAnsi="Times New Roman" w:cs="Times New Roman"/>
          <w:i/>
          <w:sz w:val="24"/>
          <w:szCs w:val="24"/>
        </w:rPr>
        <w:t>rbohC</w:t>
      </w:r>
      <w:proofErr w:type="spellEnd"/>
      <w:r w:rsidRPr="005B6C8D">
        <w:rPr>
          <w:rFonts w:ascii="Times New Roman" w:hAnsi="Times New Roman" w:cs="Times New Roman"/>
          <w:iCs/>
          <w:sz w:val="24"/>
          <w:szCs w:val="24"/>
        </w:rPr>
        <w:t>’</w:t>
      </w:r>
      <w:r w:rsidRPr="005B6C8D">
        <w:rPr>
          <w:rFonts w:ascii="Times New Roman" w:hAnsi="Times New Roman" w:cs="Times New Roman"/>
          <w:sz w:val="24"/>
          <w:szCs w:val="24"/>
        </w:rPr>
        <w:t xml:space="preserve">; </w:t>
      </w:r>
      <w:r w:rsidRPr="005B6C8D">
        <w:rPr>
          <w:rFonts w:ascii="Times New Roman" w:hAnsi="Times New Roman" w:cs="Times New Roman"/>
          <w:i/>
          <w:sz w:val="24"/>
          <w:szCs w:val="24"/>
        </w:rPr>
        <w:t>respiratory burst oxidase homolog F</w:t>
      </w:r>
      <w:r w:rsidRPr="00BF245A">
        <w:rPr>
          <w:rFonts w:ascii="Times New Roman" w:hAnsi="Times New Roman" w:cs="Times New Roman"/>
          <w:iCs/>
          <w:sz w:val="24"/>
          <w:szCs w:val="24"/>
        </w:rPr>
        <w:t>,</w:t>
      </w:r>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w:t>
      </w:r>
      <w:proofErr w:type="spellStart"/>
      <w:r w:rsidRPr="005B6C8D">
        <w:rPr>
          <w:rFonts w:ascii="Times New Roman" w:hAnsi="Times New Roman" w:cs="Times New Roman"/>
          <w:i/>
          <w:sz w:val="24"/>
          <w:szCs w:val="24"/>
        </w:rPr>
        <w:t>rbohF</w:t>
      </w:r>
      <w:proofErr w:type="spellEnd"/>
      <w:r w:rsidRPr="005B6C8D">
        <w:rPr>
          <w:rFonts w:ascii="Times New Roman" w:hAnsi="Times New Roman" w:cs="Times New Roman"/>
          <w:iCs/>
          <w:sz w:val="24"/>
          <w:szCs w:val="24"/>
        </w:rPr>
        <w:t>’</w:t>
      </w:r>
      <w:r w:rsidRPr="00BF245A">
        <w:rPr>
          <w:rFonts w:ascii="Times New Roman" w:hAnsi="Times New Roman" w:cs="Times New Roman"/>
          <w:iCs/>
          <w:color w:val="000000"/>
          <w:sz w:val="24"/>
          <w:szCs w:val="24"/>
        </w:rPr>
        <w:t>;</w:t>
      </w:r>
      <w:r w:rsidRPr="00BB742A">
        <w:rPr>
          <w:rFonts w:ascii="Times New Roman" w:hAnsi="Times New Roman" w:cs="Times New Roman"/>
          <w:i/>
          <w:color w:val="000000"/>
          <w:sz w:val="24"/>
          <w:szCs w:val="24"/>
        </w:rPr>
        <w:t xml:space="preserve"> </w:t>
      </w:r>
      <w:r w:rsidRPr="00BB742A">
        <w:rPr>
          <w:rFonts w:ascii="Times New Roman" w:hAnsi="Times New Roman" w:cs="Times New Roman"/>
          <w:color w:val="000000"/>
          <w:sz w:val="24"/>
          <w:szCs w:val="24"/>
        </w:rPr>
        <w:t xml:space="preserve">Tab. 1). Fungal mass was determined in cotyledons and true leaves of cauliflower using constitutively expressed </w:t>
      </w:r>
      <w:r w:rsidR="00F22465" w:rsidRPr="00F22465">
        <w:rPr>
          <w:rFonts w:ascii="Times New Roman" w:hAnsi="Times New Roman" w:cs="Times New Roman"/>
          <w:i/>
          <w:iCs/>
          <w:color w:val="000000"/>
          <w:sz w:val="24"/>
          <w:szCs w:val="24"/>
        </w:rPr>
        <w:t>internal transcribed spacer 1</w:t>
      </w:r>
      <w:r w:rsidR="00F22465">
        <w:rPr>
          <w:rFonts w:ascii="Times New Roman" w:hAnsi="Times New Roman" w:cs="Times New Roman"/>
          <w:color w:val="000000"/>
          <w:sz w:val="24"/>
          <w:szCs w:val="24"/>
        </w:rPr>
        <w:t xml:space="preserve"> for </w:t>
      </w:r>
      <w:r w:rsidR="00F22465">
        <w:rPr>
          <w:rFonts w:ascii="Times New Roman" w:hAnsi="Times New Roman" w:cs="Times New Roman"/>
          <w:i/>
          <w:iCs/>
          <w:color w:val="000000"/>
          <w:sz w:val="24"/>
          <w:szCs w:val="24"/>
        </w:rPr>
        <w:t xml:space="preserve">L. </w:t>
      </w:r>
      <w:proofErr w:type="spellStart"/>
      <w:r w:rsidR="00F22465">
        <w:rPr>
          <w:rFonts w:ascii="Times New Roman" w:hAnsi="Times New Roman" w:cs="Times New Roman"/>
          <w:i/>
          <w:iCs/>
          <w:color w:val="000000"/>
          <w:sz w:val="24"/>
          <w:szCs w:val="24"/>
        </w:rPr>
        <w:t>maculans</w:t>
      </w:r>
      <w:proofErr w:type="spellEnd"/>
      <w:r w:rsidR="00F22465">
        <w:rPr>
          <w:rFonts w:ascii="Times New Roman" w:hAnsi="Times New Roman" w:cs="Times New Roman"/>
          <w:i/>
          <w:iCs/>
          <w:color w:val="000000"/>
          <w:sz w:val="24"/>
          <w:szCs w:val="24"/>
        </w:rPr>
        <w:t xml:space="preserve">, </w:t>
      </w:r>
      <w:r w:rsidR="00F22465">
        <w:rPr>
          <w:rFonts w:ascii="Times New Roman" w:hAnsi="Times New Roman" w:cs="Times New Roman"/>
          <w:color w:val="000000"/>
          <w:sz w:val="24"/>
          <w:szCs w:val="24"/>
        </w:rPr>
        <w:t>‘</w:t>
      </w:r>
      <w:r w:rsidRPr="00BB742A">
        <w:rPr>
          <w:rFonts w:ascii="Times New Roman" w:hAnsi="Times New Roman" w:cs="Times New Roman"/>
          <w:i/>
          <w:color w:val="000000"/>
          <w:sz w:val="24"/>
          <w:szCs w:val="24"/>
        </w:rPr>
        <w:t>LmITS1</w:t>
      </w:r>
      <w:r w:rsidR="00F22465">
        <w:rPr>
          <w:rFonts w:ascii="Times New Roman" w:hAnsi="Times New Roman" w:cs="Times New Roman"/>
          <w:iCs/>
          <w:color w:val="000000"/>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{"citationID":"DUaqwBCr","properties":{"formattedCitation":"(Persson et al., 2009)","plainCitation":"(Persson et al., 2009)","dontUpdate":true,"noteIndex":0},"citationItems":[{"id":641,"uris":["http://zotero.org/users/10895598/items/ESWDGFY8"],"itemData":{"id":641,"type":"article-journal","container-title":"New Phytologist","DOI":"10.1111/j.1469-8137.2009.02763.x","ISSN":"0028-646X, 1469-8137","issue":"2","journalAbbreviation":"New Phytologist","language":"en","page":"470-482","source":"DOI.org (Crossref)","title":"Layers of defense responses to &lt;i&gt;Leptosphaeria maculans&lt;/i&gt; below the &lt;i&gt;RLM1&lt;/i&gt; ‐ and camalexin‐dependent resistances","volume":"182","author":[{"family":"Persson","given":"Mattias"},{"family":"Staal","given":"Jens"},{"family":"Oide","given":"Shinichi"},{"family":"Dixelius","given":"Christina"}],"issued":{"date-parts":[["2009",4]]}}}],"schema":"https://github.com/citation-style-language/schema/raw/master/csl-citation.json"} </w:instrText>
      </w:r>
      <w:r>
        <w:rPr>
          <w:rFonts w:ascii="Times New Roman" w:hAnsi="Times New Roman" w:cs="Times New Roman"/>
          <w:sz w:val="24"/>
          <w:szCs w:val="24"/>
        </w:rPr>
        <w:fldChar w:fldCharType="separate"/>
      </w:r>
      <w:r w:rsidRPr="00F34ED2">
        <w:rPr>
          <w:rFonts w:ascii="Times New Roman" w:hAnsi="Times New Roman" w:cs="Times New Roman"/>
          <w:sz w:val="24"/>
        </w:rPr>
        <w:t>Persson et al., 2009</w:t>
      </w:r>
      <w:r>
        <w:rPr>
          <w:rFonts w:ascii="Times New Roman" w:hAnsi="Times New Roman" w:cs="Times New Roman"/>
          <w:sz w:val="24"/>
          <w:szCs w:val="24"/>
        </w:rPr>
        <w:fldChar w:fldCharType="end"/>
      </w:r>
      <w:r w:rsidRPr="00BB742A">
        <w:rPr>
          <w:rFonts w:ascii="Times New Roman" w:hAnsi="Times New Roman" w:cs="Times New Roman"/>
          <w:sz w:val="24"/>
          <w:szCs w:val="24"/>
        </w:rPr>
        <w:t xml:space="preserve">; </w:t>
      </w:r>
      <w:r w:rsidRPr="00BB742A">
        <w:rPr>
          <w:rFonts w:ascii="Times New Roman" w:hAnsi="Times New Roman" w:cs="Times New Roman"/>
          <w:color w:val="000000"/>
          <w:sz w:val="24"/>
          <w:szCs w:val="24"/>
        </w:rPr>
        <w:t xml:space="preserve">Tab. 1). </w:t>
      </w:r>
      <w:r w:rsidRPr="008E24E0">
        <w:rPr>
          <w:rFonts w:ascii="Times New Roman" w:hAnsi="Times New Roman" w:cs="Times New Roman"/>
          <w:color w:val="000000"/>
          <w:sz w:val="24"/>
          <w:szCs w:val="24"/>
        </w:rPr>
        <w:t>The relative transcription</w:t>
      </w:r>
      <w:r>
        <w:rPr>
          <w:rFonts w:ascii="Times New Roman" w:hAnsi="Times New Roman" w:cs="Times New Roman"/>
          <w:color w:val="000000"/>
          <w:sz w:val="24"/>
          <w:szCs w:val="24"/>
        </w:rPr>
        <w:t xml:space="preserve"> </w:t>
      </w:r>
      <w:r w:rsidRPr="008E24E0">
        <w:rPr>
          <w:rFonts w:ascii="Times New Roman" w:hAnsi="Times New Roman" w:cs="Times New Roman"/>
          <w:color w:val="000000"/>
          <w:sz w:val="24"/>
          <w:szCs w:val="24"/>
        </w:rPr>
        <w:t>was calculated with an efficiency correction and</w:t>
      </w:r>
      <w:r>
        <w:rPr>
          <w:rFonts w:ascii="Times New Roman" w:hAnsi="Times New Roman" w:cs="Times New Roman"/>
          <w:color w:val="000000"/>
          <w:sz w:val="24"/>
          <w:szCs w:val="24"/>
        </w:rPr>
        <w:t xml:space="preserve"> </w:t>
      </w:r>
      <w:r w:rsidRPr="008E24E0">
        <w:rPr>
          <w:rFonts w:ascii="Times New Roman" w:hAnsi="Times New Roman" w:cs="Times New Roman"/>
          <w:color w:val="000000"/>
          <w:sz w:val="24"/>
          <w:szCs w:val="24"/>
        </w:rPr>
        <w:lastRenderedPageBreak/>
        <w:t>normali</w:t>
      </w:r>
      <w:r>
        <w:rPr>
          <w:rFonts w:ascii="Times New Roman" w:hAnsi="Times New Roman" w:cs="Times New Roman"/>
          <w:color w:val="000000"/>
          <w:sz w:val="24"/>
          <w:szCs w:val="24"/>
        </w:rPr>
        <w:t>s</w:t>
      </w:r>
      <w:r w:rsidRPr="008E24E0">
        <w:rPr>
          <w:rFonts w:ascii="Times New Roman" w:hAnsi="Times New Roman" w:cs="Times New Roman"/>
          <w:color w:val="000000"/>
          <w:sz w:val="24"/>
          <w:szCs w:val="24"/>
        </w:rPr>
        <w:t xml:space="preserve">ation to the reference gene </w:t>
      </w:r>
      <w:r w:rsidRPr="00BB742A">
        <w:rPr>
          <w:rFonts w:ascii="Times New Roman" w:hAnsi="Times New Roman" w:cs="Times New Roman"/>
          <w:i/>
          <w:color w:val="000000"/>
          <w:sz w:val="24"/>
          <w:szCs w:val="24"/>
        </w:rPr>
        <w:t xml:space="preserve">ACT </w:t>
      </w:r>
      <w:r w:rsidRPr="00BB742A">
        <w:rPr>
          <w:rFonts w:ascii="Times New Roman" w:hAnsi="Times New Roman" w:cs="Times New Roman"/>
          <w:color w:val="000000"/>
          <w:sz w:val="24"/>
          <w:szCs w:val="24"/>
        </w:rPr>
        <w:t xml:space="preserve">(for oilseed rape; Tab. 1), </w:t>
      </w:r>
      <w:r w:rsidRPr="00BB742A">
        <w:rPr>
          <w:rFonts w:ascii="Times New Roman" w:hAnsi="Times New Roman" w:cs="Times New Roman"/>
          <w:i/>
          <w:color w:val="000000"/>
          <w:sz w:val="24"/>
          <w:szCs w:val="24"/>
        </w:rPr>
        <w:t xml:space="preserve">ACT8 </w:t>
      </w:r>
      <w:r w:rsidRPr="00BB742A">
        <w:rPr>
          <w:rFonts w:ascii="Times New Roman" w:hAnsi="Times New Roman" w:cs="Times New Roman"/>
          <w:color w:val="000000"/>
          <w:sz w:val="24"/>
          <w:szCs w:val="24"/>
        </w:rPr>
        <w:t xml:space="preserve">and </w:t>
      </w:r>
      <w:r w:rsidRPr="00BB742A">
        <w:rPr>
          <w:rFonts w:ascii="Times New Roman" w:hAnsi="Times New Roman" w:cs="Times New Roman"/>
          <w:i/>
          <w:color w:val="000000"/>
          <w:sz w:val="24"/>
          <w:szCs w:val="24"/>
        </w:rPr>
        <w:t xml:space="preserve">SAND </w:t>
      </w:r>
      <w:r w:rsidRPr="00BB742A">
        <w:rPr>
          <w:rFonts w:ascii="Times New Roman" w:hAnsi="Times New Roman" w:cs="Times New Roman"/>
          <w:color w:val="000000"/>
          <w:sz w:val="24"/>
          <w:szCs w:val="24"/>
        </w:rPr>
        <w:t xml:space="preserve">(for </w:t>
      </w:r>
      <w:r w:rsidRPr="00BB742A">
        <w:rPr>
          <w:rFonts w:ascii="Times New Roman" w:hAnsi="Times New Roman" w:cs="Times New Roman"/>
          <w:i/>
          <w:color w:val="000000"/>
          <w:sz w:val="24"/>
          <w:szCs w:val="24"/>
        </w:rPr>
        <w:t>Arabidopsis</w:t>
      </w:r>
      <w:r w:rsidRPr="00BB742A">
        <w:rPr>
          <w:rFonts w:ascii="Times New Roman" w:hAnsi="Times New Roman" w:cs="Times New Roman"/>
          <w:color w:val="000000"/>
          <w:sz w:val="24"/>
          <w:szCs w:val="24"/>
        </w:rPr>
        <w:t>;</w:t>
      </w:r>
      <w:r w:rsidRPr="00BB742A">
        <w:rPr>
          <w:rFonts w:ascii="Times New Roman" w:hAnsi="Times New Roman" w:cs="Times New Roman"/>
          <w:i/>
          <w:color w:val="000000"/>
          <w:sz w:val="24"/>
          <w:szCs w:val="24"/>
        </w:rPr>
        <w:t xml:space="preserve"> </w:t>
      </w:r>
      <w:r w:rsidRPr="00BB742A">
        <w:rPr>
          <w:rFonts w:ascii="Times New Roman" w:hAnsi="Times New Roman" w:cs="Times New Roman"/>
          <w:color w:val="000000"/>
          <w:sz w:val="24"/>
          <w:szCs w:val="24"/>
        </w:rPr>
        <w:t xml:space="preserve">Tab. 1), and </w:t>
      </w:r>
      <w:r w:rsidRPr="00BB742A">
        <w:rPr>
          <w:rFonts w:ascii="Times New Roman" w:hAnsi="Times New Roman" w:cs="Times New Roman"/>
          <w:i/>
          <w:color w:val="000000"/>
          <w:sz w:val="24"/>
          <w:szCs w:val="24"/>
        </w:rPr>
        <w:t xml:space="preserve">EF1α </w:t>
      </w:r>
      <w:r w:rsidRPr="00BB742A">
        <w:rPr>
          <w:rFonts w:ascii="Times New Roman" w:hAnsi="Times New Roman" w:cs="Times New Roman"/>
          <w:color w:val="000000"/>
          <w:sz w:val="24"/>
          <w:szCs w:val="24"/>
        </w:rPr>
        <w:t xml:space="preserve">and </w:t>
      </w:r>
      <w:r w:rsidRPr="00BB742A">
        <w:rPr>
          <w:rFonts w:ascii="Times New Roman" w:hAnsi="Times New Roman" w:cs="Times New Roman"/>
          <w:i/>
          <w:color w:val="000000"/>
          <w:sz w:val="24"/>
          <w:szCs w:val="24"/>
        </w:rPr>
        <w:t xml:space="preserve">SAND </w:t>
      </w:r>
      <w:r w:rsidRPr="00BB742A">
        <w:rPr>
          <w:rFonts w:ascii="Times New Roman" w:hAnsi="Times New Roman" w:cs="Times New Roman"/>
          <w:color w:val="000000"/>
          <w:sz w:val="24"/>
          <w:szCs w:val="24"/>
        </w:rPr>
        <w:t xml:space="preserve">(for cauliflower; Tab. 1). The data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 xml:space="preserve">finally compared to the open transcriptomic databases, </w:t>
      </w:r>
      <w:r w:rsidRPr="00BB742A">
        <w:rPr>
          <w:rFonts w:ascii="Times New Roman" w:hAnsi="Times New Roman" w:cs="Times New Roman"/>
          <w:i/>
          <w:color w:val="000000"/>
          <w:sz w:val="24"/>
          <w:szCs w:val="24"/>
        </w:rPr>
        <w:t>i.e.</w:t>
      </w:r>
      <w:r w:rsidRPr="00BB742A">
        <w:rPr>
          <w:rFonts w:ascii="Times New Roman" w:hAnsi="Times New Roman" w:cs="Times New Roman"/>
          <w:color w:val="000000"/>
          <w:sz w:val="24"/>
          <w:szCs w:val="24"/>
        </w:rPr>
        <w:t xml:space="preserve"> </w:t>
      </w:r>
      <w:proofErr w:type="spellStart"/>
      <w:r w:rsidRPr="00BB742A">
        <w:rPr>
          <w:rFonts w:ascii="Times New Roman" w:hAnsi="Times New Roman" w:cs="Times New Roman"/>
          <w:color w:val="000000"/>
          <w:sz w:val="24"/>
          <w:szCs w:val="24"/>
        </w:rPr>
        <w:t>Genevestigator</w:t>
      </w:r>
      <w:proofErr w:type="spellEnd"/>
      <w:r w:rsidRPr="00BB742A">
        <w:rPr>
          <w:rFonts w:ascii="Times New Roman" w:hAnsi="Times New Roman" w:cs="Times New Roman"/>
          <w:color w:val="000000"/>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{"citationID":"awSeg0F2","properties":{"formattedCitation":"(Hruz et al., 2008)","plainCitation":"(Hruz et al., 2008)","noteIndex":0},"citationItems":[{"id":187,"uris":["http://zotero.org/users/10895598/items/QY6DUC49"],"itemData":{"id":187,"type":"article-journal","abstract":"The Web-based software tool Genevestigator provides powerful tools for biologists to explore gene expression across a wide variety of biological contexts. Its first releases, however, were limited by the scaling ability of the system architecture, multiorganism data storage and analysis capability, and availability of computationally intensive analysis methods. Genevestigator V3 is a novel meta-analysis system resulting from new algorithmic and software development using a client/server architecture, large-scale manual curation and quality control of microarray data for several organisms, and curation of pathway data for mouse and Arabidopsis. In addition to improved querying features, Genevestigator V3 provides new tools to analyze the expression of genes in many different contexts, to identify biomarker genes, to cluster genes into expression modules, and to model expression responses in the context of metabolic and regulatory networks. Being a reference expression database with user-friendly tools, Genevestigator V3 facilitates discovery research and hypothesis validation.","container-title":"Advances in Bioinformatics","DOI":"10.1155/2008/420747","ISSN":"1687-8027, 1687-8035","journalAbbreviation":"Advances in Bioinformatics","language":"en","page":"1-5","source":"DOI.org (Crossref)","title":"Genevestigator V3: a reference expression database for the meta-analysis of transcriptomes","title-short":"Genevestigator V3","volume":"2008","author":[{"family":"Hruz","given":"Tomas"},{"family":"Laule","given":"Oliver"},{"family":"Szabo","given":"Gabor"},{"family":"Wessendorp","given":"Frans"},{"family":"Bleuler","given":"Stefan"},{"family":"Oertle","given":"Lukas"},{"family":"Widmayer","given":"Peter"},{"family":"Gruissem","given":"Wilhelm"},{"family":"Zimmermann","given":"Philip"}],"issued":{"date-parts":[["2008",7,8]]}}}],"schema":"https://github.com/citation-style-language/schema/raw/master/csl-citation.json"} </w:instrText>
      </w:r>
      <w:r>
        <w:rPr>
          <w:rFonts w:ascii="Times New Roman" w:hAnsi="Times New Roman" w:cs="Times New Roman"/>
          <w:sz w:val="24"/>
          <w:szCs w:val="24"/>
        </w:rPr>
        <w:fldChar w:fldCharType="separate"/>
      </w:r>
      <w:r w:rsidRPr="00F34ED2">
        <w:rPr>
          <w:rFonts w:ascii="Times New Roman" w:hAnsi="Times New Roman" w:cs="Times New Roman"/>
          <w:sz w:val="24"/>
        </w:rPr>
        <w:t>(Hruz et al., 2008)</w:t>
      </w:r>
      <w:r>
        <w:rPr>
          <w:rFonts w:ascii="Times New Roman" w:hAnsi="Times New Roman" w:cs="Times New Roman"/>
          <w:sz w:val="24"/>
          <w:szCs w:val="24"/>
        </w:rPr>
        <w:fldChar w:fldCharType="end"/>
      </w:r>
      <w:r w:rsidRPr="00BB742A">
        <w:rPr>
          <w:rFonts w:ascii="Times New Roman" w:hAnsi="Times New Roman" w:cs="Times New Roman"/>
          <w:color w:val="000000"/>
          <w:sz w:val="24"/>
          <w:szCs w:val="24"/>
        </w:rPr>
        <w:t>.</w:t>
      </w:r>
    </w:p>
    <w:p w14:paraId="4B95B217" w14:textId="77777777" w:rsidR="00D5128E" w:rsidRPr="00E7693B" w:rsidRDefault="00D5128E" w:rsidP="00D5128E">
      <w:pPr>
        <w:pBdr>
          <w:top w:val="nil"/>
          <w:left w:val="nil"/>
          <w:bottom w:val="nil"/>
          <w:right w:val="nil"/>
          <w:between w:val="nil"/>
        </w:pBdr>
        <w:spacing w:after="0" w:line="360" w:lineRule="auto"/>
        <w:jc w:val="both"/>
        <w:rPr>
          <w:rFonts w:ascii="Times New Roman" w:hAnsi="Times New Roman" w:cs="Times New Roman"/>
          <w:color w:val="000000"/>
        </w:rPr>
      </w:pPr>
    </w:p>
    <w:p w14:paraId="48DDFA8A" w14:textId="77777777" w:rsidR="00D5128E" w:rsidRPr="00E7693B" w:rsidRDefault="00D5128E" w:rsidP="00D5128E">
      <w:pPr>
        <w:pBdr>
          <w:top w:val="nil"/>
          <w:left w:val="nil"/>
          <w:bottom w:val="nil"/>
          <w:right w:val="nil"/>
          <w:between w:val="nil"/>
        </w:pBdr>
        <w:spacing w:line="360" w:lineRule="auto"/>
        <w:jc w:val="both"/>
        <w:rPr>
          <w:rFonts w:ascii="Times New Roman" w:hAnsi="Times New Roman" w:cs="Times New Roman"/>
          <w:color w:val="000000"/>
        </w:rPr>
      </w:pPr>
      <w:r w:rsidRPr="00E7693B">
        <w:rPr>
          <w:rFonts w:ascii="Times New Roman" w:hAnsi="Times New Roman" w:cs="Times New Roman"/>
          <w:b/>
          <w:color w:val="000000"/>
        </w:rPr>
        <w:t>Table 1.</w:t>
      </w:r>
      <w:r w:rsidRPr="00E7693B">
        <w:rPr>
          <w:rFonts w:ascii="Times New Roman" w:hAnsi="Times New Roman" w:cs="Times New Roman"/>
          <w:color w:val="000000"/>
        </w:rPr>
        <w:t xml:space="preserve"> Primer pairs used for </w:t>
      </w:r>
      <w:proofErr w:type="spellStart"/>
      <w:r w:rsidRPr="00E7693B">
        <w:rPr>
          <w:rFonts w:ascii="Times New Roman" w:hAnsi="Times New Roman" w:cs="Times New Roman"/>
          <w:color w:val="000000"/>
        </w:rPr>
        <w:t>qRT</w:t>
      </w:r>
      <w:proofErr w:type="spellEnd"/>
      <w:r w:rsidRPr="00E7693B">
        <w:rPr>
          <w:rFonts w:ascii="Times New Roman" w:hAnsi="Times New Roman" w:cs="Times New Roman"/>
          <w:color w:val="000000"/>
        </w:rPr>
        <w:t>-PCR.</w:t>
      </w:r>
    </w:p>
    <w:tbl>
      <w:tblPr>
        <w:tblW w:w="82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00" w:firstRow="0" w:lastRow="0" w:firstColumn="0" w:lastColumn="0" w:noHBand="0" w:noVBand="1"/>
      </w:tblPr>
      <w:tblGrid>
        <w:gridCol w:w="1309"/>
        <w:gridCol w:w="1039"/>
        <w:gridCol w:w="1539"/>
        <w:gridCol w:w="897"/>
        <w:gridCol w:w="3444"/>
      </w:tblGrid>
      <w:tr w:rsidR="00D5128E" w:rsidRPr="00E7693B" w14:paraId="44363C16" w14:textId="77777777" w:rsidTr="00BF245A">
        <w:trPr>
          <w:trHeight w:val="500"/>
          <w:jc w:val="center"/>
        </w:trPr>
        <w:tc>
          <w:tcPr>
            <w:tcW w:w="1309" w:type="dxa"/>
            <w:tcBorders>
              <w:bottom w:val="single" w:sz="12" w:space="0" w:color="000000"/>
            </w:tcBorders>
          </w:tcPr>
          <w:p w14:paraId="06E16657" w14:textId="77777777" w:rsidR="00D5128E" w:rsidRPr="00E7693B" w:rsidRDefault="00D5128E" w:rsidP="00BF245A">
            <w:pPr>
              <w:spacing w:after="240"/>
              <w:jc w:val="center"/>
              <w:rPr>
                <w:rFonts w:ascii="Times New Roman" w:hAnsi="Times New Roman" w:cs="Times New Roman"/>
                <w:b/>
                <w:color w:val="000000"/>
              </w:rPr>
            </w:pPr>
            <w:r w:rsidRPr="00E7693B">
              <w:rPr>
                <w:rFonts w:ascii="Times New Roman" w:hAnsi="Times New Roman" w:cs="Times New Roman"/>
                <w:b/>
                <w:color w:val="000000"/>
              </w:rPr>
              <w:t>Plant</w:t>
            </w:r>
          </w:p>
        </w:tc>
        <w:tc>
          <w:tcPr>
            <w:tcW w:w="1039" w:type="dxa"/>
            <w:tcBorders>
              <w:bottom w:val="single" w:sz="12" w:space="0" w:color="000000"/>
            </w:tcBorders>
          </w:tcPr>
          <w:p w14:paraId="101FC1CB" w14:textId="77777777" w:rsidR="00D5128E" w:rsidRPr="00E7693B" w:rsidRDefault="00D5128E" w:rsidP="00BF245A">
            <w:pPr>
              <w:spacing w:after="240"/>
              <w:jc w:val="center"/>
              <w:rPr>
                <w:rFonts w:ascii="Times New Roman" w:hAnsi="Times New Roman" w:cs="Times New Roman"/>
              </w:rPr>
            </w:pPr>
            <w:r w:rsidRPr="00E7693B">
              <w:rPr>
                <w:rFonts w:ascii="Times New Roman" w:hAnsi="Times New Roman" w:cs="Times New Roman"/>
                <w:b/>
                <w:color w:val="000000"/>
              </w:rPr>
              <w:t>Gene</w:t>
            </w:r>
          </w:p>
        </w:tc>
        <w:tc>
          <w:tcPr>
            <w:tcW w:w="1539" w:type="dxa"/>
            <w:tcBorders>
              <w:bottom w:val="single" w:sz="12" w:space="0" w:color="000000"/>
            </w:tcBorders>
          </w:tcPr>
          <w:p w14:paraId="2D5A4657" w14:textId="77777777" w:rsidR="00D5128E" w:rsidRPr="00E7693B" w:rsidRDefault="00D5128E" w:rsidP="00BF245A">
            <w:pPr>
              <w:spacing w:after="240"/>
              <w:jc w:val="center"/>
              <w:rPr>
                <w:rFonts w:ascii="Times New Roman" w:hAnsi="Times New Roman" w:cs="Times New Roman"/>
              </w:rPr>
            </w:pPr>
            <w:r w:rsidRPr="00E7693B">
              <w:rPr>
                <w:rFonts w:ascii="Times New Roman" w:hAnsi="Times New Roman" w:cs="Times New Roman"/>
                <w:b/>
                <w:color w:val="000000"/>
              </w:rPr>
              <w:t>Accession No.</w:t>
            </w:r>
          </w:p>
        </w:tc>
        <w:tc>
          <w:tcPr>
            <w:tcW w:w="897" w:type="dxa"/>
            <w:tcBorders>
              <w:bottom w:val="single" w:sz="12" w:space="0" w:color="000000"/>
            </w:tcBorders>
          </w:tcPr>
          <w:p w14:paraId="7B4936EB" w14:textId="77777777" w:rsidR="00D5128E" w:rsidRPr="00E7693B" w:rsidRDefault="00D5128E" w:rsidP="00BF245A">
            <w:pPr>
              <w:spacing w:after="240"/>
              <w:jc w:val="center"/>
              <w:rPr>
                <w:rFonts w:ascii="Times New Roman" w:hAnsi="Times New Roman" w:cs="Times New Roman"/>
              </w:rPr>
            </w:pPr>
            <w:r w:rsidRPr="00E7693B">
              <w:rPr>
                <w:rFonts w:ascii="Times New Roman" w:hAnsi="Times New Roman" w:cs="Times New Roman"/>
                <w:b/>
                <w:color w:val="000000"/>
              </w:rPr>
              <w:t>Primer</w:t>
            </w:r>
          </w:p>
        </w:tc>
        <w:tc>
          <w:tcPr>
            <w:tcW w:w="3444" w:type="dxa"/>
            <w:tcBorders>
              <w:bottom w:val="single" w:sz="12" w:space="0" w:color="000000"/>
            </w:tcBorders>
          </w:tcPr>
          <w:p w14:paraId="42CCC1DE" w14:textId="77777777" w:rsidR="00D5128E" w:rsidRPr="00E7693B" w:rsidRDefault="00D5128E" w:rsidP="00BF245A">
            <w:pPr>
              <w:spacing w:after="240"/>
              <w:jc w:val="center"/>
              <w:rPr>
                <w:rFonts w:ascii="Times New Roman" w:hAnsi="Times New Roman" w:cs="Times New Roman"/>
                <w:b/>
              </w:rPr>
            </w:pPr>
            <w:r w:rsidRPr="00E7693B">
              <w:rPr>
                <w:rFonts w:ascii="Times New Roman" w:hAnsi="Times New Roman" w:cs="Times New Roman"/>
                <w:b/>
              </w:rPr>
              <w:t>Sequence (5'-&gt;3')</w:t>
            </w:r>
          </w:p>
        </w:tc>
      </w:tr>
      <w:tr w:rsidR="00D5128E" w:rsidRPr="00E7693B" w14:paraId="4557B8E4" w14:textId="77777777" w:rsidTr="00BF245A">
        <w:trPr>
          <w:trHeight w:val="251"/>
          <w:jc w:val="center"/>
        </w:trPr>
        <w:tc>
          <w:tcPr>
            <w:tcW w:w="1309" w:type="dxa"/>
            <w:vMerge w:val="restart"/>
            <w:tcBorders>
              <w:top w:val="single" w:sz="12" w:space="0" w:color="000000"/>
            </w:tcBorders>
          </w:tcPr>
          <w:p w14:paraId="6FABFB0B" w14:textId="77777777" w:rsidR="00D5128E" w:rsidRPr="00E7693B" w:rsidRDefault="00D5128E" w:rsidP="00BF245A">
            <w:pPr>
              <w:spacing w:after="240"/>
              <w:jc w:val="center"/>
              <w:rPr>
                <w:rFonts w:ascii="Times New Roman" w:hAnsi="Times New Roman" w:cs="Times New Roman"/>
                <w:b/>
                <w:i/>
                <w:color w:val="000000"/>
              </w:rPr>
            </w:pPr>
            <w:r w:rsidRPr="00E7693B">
              <w:rPr>
                <w:rFonts w:ascii="Times New Roman" w:hAnsi="Times New Roman" w:cs="Times New Roman"/>
                <w:b/>
                <w:color w:val="000000"/>
              </w:rPr>
              <w:t>Oilseed rape</w:t>
            </w:r>
            <w:r w:rsidRPr="00E7693B">
              <w:rPr>
                <w:rFonts w:ascii="Times New Roman" w:hAnsi="Times New Roman" w:cs="Times New Roman"/>
                <w:b/>
                <w:i/>
                <w:color w:val="000000"/>
              </w:rPr>
              <w:t xml:space="preserve"> (Brassica napus)</w:t>
            </w:r>
          </w:p>
        </w:tc>
        <w:tc>
          <w:tcPr>
            <w:tcW w:w="1039" w:type="dxa"/>
            <w:vMerge w:val="restart"/>
            <w:tcBorders>
              <w:top w:val="single" w:sz="12" w:space="0" w:color="000000"/>
            </w:tcBorders>
          </w:tcPr>
          <w:p w14:paraId="33CADA25"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color w:val="000000"/>
                <w:sz w:val="20"/>
                <w:szCs w:val="20"/>
              </w:rPr>
              <w:t>ACT</w:t>
            </w:r>
          </w:p>
        </w:tc>
        <w:tc>
          <w:tcPr>
            <w:tcW w:w="1539" w:type="dxa"/>
            <w:vMerge w:val="restart"/>
            <w:tcBorders>
              <w:top w:val="single" w:sz="12" w:space="0" w:color="000000"/>
            </w:tcBorders>
          </w:tcPr>
          <w:p w14:paraId="081F8EBE"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AF111812</w:t>
            </w:r>
          </w:p>
        </w:tc>
        <w:tc>
          <w:tcPr>
            <w:tcW w:w="897" w:type="dxa"/>
            <w:tcBorders>
              <w:top w:val="single" w:sz="12" w:space="0" w:color="000000"/>
            </w:tcBorders>
          </w:tcPr>
          <w:p w14:paraId="3DB3C59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FP</w:t>
            </w:r>
          </w:p>
        </w:tc>
        <w:tc>
          <w:tcPr>
            <w:tcW w:w="3444" w:type="dxa"/>
            <w:tcBorders>
              <w:top w:val="single" w:sz="12" w:space="0" w:color="000000"/>
            </w:tcBorders>
          </w:tcPr>
          <w:p w14:paraId="34AF54DF"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CTGGAATTGCTGACCGTATGAG</w:t>
            </w:r>
          </w:p>
        </w:tc>
      </w:tr>
      <w:tr w:rsidR="00D5128E" w:rsidRPr="00E7693B" w14:paraId="5BDB4E87" w14:textId="77777777" w:rsidTr="00BF245A">
        <w:trPr>
          <w:trHeight w:val="269"/>
          <w:jc w:val="center"/>
        </w:trPr>
        <w:tc>
          <w:tcPr>
            <w:tcW w:w="1309" w:type="dxa"/>
            <w:vMerge/>
            <w:tcBorders>
              <w:top w:val="single" w:sz="12" w:space="0" w:color="000000"/>
            </w:tcBorders>
          </w:tcPr>
          <w:p w14:paraId="515CE06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Borders>
              <w:top w:val="single" w:sz="12" w:space="0" w:color="000000"/>
            </w:tcBorders>
          </w:tcPr>
          <w:p w14:paraId="731A175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Borders>
              <w:top w:val="single" w:sz="12" w:space="0" w:color="000000"/>
            </w:tcBorders>
          </w:tcPr>
          <w:p w14:paraId="4AFDBCAB"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033BCD28"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RP</w:t>
            </w:r>
          </w:p>
        </w:tc>
        <w:tc>
          <w:tcPr>
            <w:tcW w:w="3444" w:type="dxa"/>
          </w:tcPr>
          <w:p w14:paraId="283A33A0"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TGTTGGAAAGTGCTGAGGGA</w:t>
            </w:r>
          </w:p>
        </w:tc>
      </w:tr>
      <w:tr w:rsidR="00D5128E" w:rsidRPr="00E7693B" w14:paraId="77A83D00" w14:textId="77777777" w:rsidTr="00BF245A">
        <w:trPr>
          <w:trHeight w:val="251"/>
          <w:jc w:val="center"/>
        </w:trPr>
        <w:tc>
          <w:tcPr>
            <w:tcW w:w="1309" w:type="dxa"/>
            <w:vMerge/>
            <w:tcBorders>
              <w:top w:val="single" w:sz="12" w:space="0" w:color="000000"/>
            </w:tcBorders>
          </w:tcPr>
          <w:p w14:paraId="076073E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1A4A224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color w:val="000000"/>
                <w:sz w:val="20"/>
                <w:szCs w:val="20"/>
              </w:rPr>
              <w:t>PR1</w:t>
            </w:r>
          </w:p>
        </w:tc>
        <w:tc>
          <w:tcPr>
            <w:tcW w:w="1539" w:type="dxa"/>
            <w:vMerge w:val="restart"/>
          </w:tcPr>
          <w:p w14:paraId="2910F533"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BNU21849</w:t>
            </w:r>
          </w:p>
        </w:tc>
        <w:tc>
          <w:tcPr>
            <w:tcW w:w="897" w:type="dxa"/>
          </w:tcPr>
          <w:p w14:paraId="0A9B7A5A"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FP</w:t>
            </w:r>
          </w:p>
        </w:tc>
        <w:tc>
          <w:tcPr>
            <w:tcW w:w="3444" w:type="dxa"/>
          </w:tcPr>
          <w:p w14:paraId="09B1737D"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CATCCCTCGAAAGCTCAAGAC</w:t>
            </w:r>
          </w:p>
        </w:tc>
      </w:tr>
      <w:tr w:rsidR="00D5128E" w:rsidRPr="00E7693B" w14:paraId="1D4BE175" w14:textId="77777777" w:rsidTr="00BF245A">
        <w:trPr>
          <w:trHeight w:val="269"/>
          <w:jc w:val="center"/>
        </w:trPr>
        <w:tc>
          <w:tcPr>
            <w:tcW w:w="1309" w:type="dxa"/>
            <w:vMerge/>
            <w:tcBorders>
              <w:top w:val="single" w:sz="12" w:space="0" w:color="000000"/>
            </w:tcBorders>
          </w:tcPr>
          <w:p w14:paraId="0C392ADB"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082DBECC"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5DFD442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582CF7F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RP</w:t>
            </w:r>
          </w:p>
        </w:tc>
        <w:tc>
          <w:tcPr>
            <w:tcW w:w="3444" w:type="dxa"/>
          </w:tcPr>
          <w:p w14:paraId="5031B079"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CCACTGCACGGGACCTAC</w:t>
            </w:r>
          </w:p>
        </w:tc>
      </w:tr>
      <w:tr w:rsidR="00D5128E" w:rsidRPr="00E7693B" w14:paraId="2E10364A" w14:textId="77777777" w:rsidTr="00BF245A">
        <w:trPr>
          <w:trHeight w:val="251"/>
          <w:jc w:val="center"/>
        </w:trPr>
        <w:tc>
          <w:tcPr>
            <w:tcW w:w="1309" w:type="dxa"/>
            <w:vMerge/>
            <w:tcBorders>
              <w:top w:val="single" w:sz="12" w:space="0" w:color="000000"/>
            </w:tcBorders>
          </w:tcPr>
          <w:p w14:paraId="031514A2"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5AC5372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color w:val="000000"/>
                <w:sz w:val="20"/>
                <w:szCs w:val="20"/>
              </w:rPr>
              <w:t>ICS1</w:t>
            </w:r>
          </w:p>
        </w:tc>
        <w:tc>
          <w:tcPr>
            <w:tcW w:w="1539" w:type="dxa"/>
            <w:vMerge w:val="restart"/>
          </w:tcPr>
          <w:p w14:paraId="5AE0FA9B"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EV225528</w:t>
            </w:r>
          </w:p>
        </w:tc>
        <w:tc>
          <w:tcPr>
            <w:tcW w:w="897" w:type="dxa"/>
          </w:tcPr>
          <w:p w14:paraId="03FAE255"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FP</w:t>
            </w:r>
          </w:p>
        </w:tc>
        <w:tc>
          <w:tcPr>
            <w:tcW w:w="3444" w:type="dxa"/>
          </w:tcPr>
          <w:p w14:paraId="4AC9781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CAAACTCATCATCTTCCCTC</w:t>
            </w:r>
          </w:p>
        </w:tc>
      </w:tr>
      <w:tr w:rsidR="00D5128E" w:rsidRPr="00E7693B" w14:paraId="63BF8A5F" w14:textId="77777777" w:rsidTr="00BF245A">
        <w:trPr>
          <w:trHeight w:val="269"/>
          <w:jc w:val="center"/>
        </w:trPr>
        <w:tc>
          <w:tcPr>
            <w:tcW w:w="1309" w:type="dxa"/>
            <w:vMerge/>
            <w:tcBorders>
              <w:top w:val="single" w:sz="12" w:space="0" w:color="000000"/>
            </w:tcBorders>
          </w:tcPr>
          <w:p w14:paraId="3EFF7000"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687895E6"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751B99F4"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3EEE1A1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RP</w:t>
            </w:r>
          </w:p>
        </w:tc>
        <w:tc>
          <w:tcPr>
            <w:tcW w:w="3444" w:type="dxa"/>
          </w:tcPr>
          <w:p w14:paraId="4F6B5598"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AGCGTGACTTACTAACCAG</w:t>
            </w:r>
          </w:p>
        </w:tc>
      </w:tr>
      <w:tr w:rsidR="00D5128E" w:rsidRPr="00E7693B" w14:paraId="66FD3CDA" w14:textId="77777777" w:rsidTr="00BF245A">
        <w:trPr>
          <w:trHeight w:val="251"/>
          <w:jc w:val="center"/>
        </w:trPr>
        <w:tc>
          <w:tcPr>
            <w:tcW w:w="1309" w:type="dxa"/>
            <w:vMerge/>
            <w:tcBorders>
              <w:top w:val="single" w:sz="12" w:space="0" w:color="000000"/>
            </w:tcBorders>
          </w:tcPr>
          <w:p w14:paraId="462C5CC4"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2EEFA78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color w:val="000000"/>
                <w:sz w:val="20"/>
                <w:szCs w:val="20"/>
              </w:rPr>
              <w:t>PAL1</w:t>
            </w:r>
          </w:p>
        </w:tc>
        <w:tc>
          <w:tcPr>
            <w:tcW w:w="1539" w:type="dxa"/>
            <w:vMerge w:val="restart"/>
          </w:tcPr>
          <w:p w14:paraId="3AFA446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DQ341308.1</w:t>
            </w:r>
          </w:p>
        </w:tc>
        <w:tc>
          <w:tcPr>
            <w:tcW w:w="897" w:type="dxa"/>
          </w:tcPr>
          <w:p w14:paraId="2E1EE7E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FP</w:t>
            </w:r>
          </w:p>
        </w:tc>
        <w:tc>
          <w:tcPr>
            <w:tcW w:w="3444" w:type="dxa"/>
          </w:tcPr>
          <w:p w14:paraId="72B3638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GACTAATCTCATCTCGCAAG</w:t>
            </w:r>
          </w:p>
        </w:tc>
      </w:tr>
      <w:tr w:rsidR="00D5128E" w:rsidRPr="00E7693B" w14:paraId="7FBDE69F" w14:textId="77777777" w:rsidTr="00BF245A">
        <w:trPr>
          <w:trHeight w:val="179"/>
          <w:jc w:val="center"/>
        </w:trPr>
        <w:tc>
          <w:tcPr>
            <w:tcW w:w="1309" w:type="dxa"/>
            <w:vMerge/>
            <w:tcBorders>
              <w:top w:val="single" w:sz="12" w:space="0" w:color="000000"/>
            </w:tcBorders>
          </w:tcPr>
          <w:p w14:paraId="1C14741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57B6DB6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1D0C66C6"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7FCF77AB"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RP</w:t>
            </w:r>
          </w:p>
        </w:tc>
        <w:tc>
          <w:tcPr>
            <w:tcW w:w="3444" w:type="dxa"/>
          </w:tcPr>
          <w:p w14:paraId="552ECEBC"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ATTCTCCTCCAAGTGTCTTAG</w:t>
            </w:r>
          </w:p>
        </w:tc>
      </w:tr>
      <w:tr w:rsidR="00D5128E" w:rsidRPr="00E7693B" w14:paraId="0703BC08" w14:textId="77777777" w:rsidTr="00BF245A">
        <w:trPr>
          <w:trHeight w:val="224"/>
          <w:jc w:val="center"/>
        </w:trPr>
        <w:tc>
          <w:tcPr>
            <w:tcW w:w="1309" w:type="dxa"/>
            <w:vMerge/>
            <w:tcBorders>
              <w:top w:val="single" w:sz="12" w:space="0" w:color="000000"/>
            </w:tcBorders>
          </w:tcPr>
          <w:p w14:paraId="33456A48"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090B2433"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color w:val="000000"/>
                <w:sz w:val="20"/>
                <w:szCs w:val="20"/>
              </w:rPr>
              <w:t>LOX3</w:t>
            </w:r>
          </w:p>
        </w:tc>
        <w:tc>
          <w:tcPr>
            <w:tcW w:w="1539" w:type="dxa"/>
            <w:vMerge w:val="restart"/>
          </w:tcPr>
          <w:p w14:paraId="0B787C6A"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EV113862</w:t>
            </w:r>
          </w:p>
        </w:tc>
        <w:tc>
          <w:tcPr>
            <w:tcW w:w="897" w:type="dxa"/>
          </w:tcPr>
          <w:p w14:paraId="2849B7B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FP</w:t>
            </w:r>
          </w:p>
        </w:tc>
        <w:tc>
          <w:tcPr>
            <w:tcW w:w="3444" w:type="dxa"/>
          </w:tcPr>
          <w:p w14:paraId="2F19ACB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GAAGTTTATGGCGGTGGT</w:t>
            </w:r>
          </w:p>
        </w:tc>
      </w:tr>
      <w:tr w:rsidR="00D5128E" w:rsidRPr="00E7693B" w14:paraId="52DE9547" w14:textId="77777777" w:rsidTr="00BF245A">
        <w:trPr>
          <w:trHeight w:val="269"/>
          <w:jc w:val="center"/>
        </w:trPr>
        <w:tc>
          <w:tcPr>
            <w:tcW w:w="1309" w:type="dxa"/>
            <w:vMerge/>
            <w:tcBorders>
              <w:top w:val="single" w:sz="12" w:space="0" w:color="000000"/>
            </w:tcBorders>
          </w:tcPr>
          <w:p w14:paraId="3551205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0451EA72"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559BC62B"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540E46A6"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RP</w:t>
            </w:r>
          </w:p>
        </w:tc>
        <w:tc>
          <w:tcPr>
            <w:tcW w:w="3444" w:type="dxa"/>
          </w:tcPr>
          <w:p w14:paraId="42B91EC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CCTGTTTCTACGGTTAGGA</w:t>
            </w:r>
          </w:p>
        </w:tc>
      </w:tr>
      <w:tr w:rsidR="00D5128E" w:rsidRPr="00E7693B" w14:paraId="511A0015" w14:textId="77777777" w:rsidTr="00BF245A">
        <w:trPr>
          <w:trHeight w:val="359"/>
          <w:jc w:val="center"/>
        </w:trPr>
        <w:tc>
          <w:tcPr>
            <w:tcW w:w="1309" w:type="dxa"/>
            <w:vMerge/>
            <w:tcBorders>
              <w:top w:val="single" w:sz="12" w:space="0" w:color="000000"/>
            </w:tcBorders>
          </w:tcPr>
          <w:p w14:paraId="4011AE98"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0163C2FB"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color w:val="000000"/>
                <w:sz w:val="20"/>
                <w:szCs w:val="20"/>
              </w:rPr>
              <w:t>VSP</w:t>
            </w:r>
          </w:p>
        </w:tc>
        <w:tc>
          <w:tcPr>
            <w:tcW w:w="1539" w:type="dxa"/>
            <w:vMerge w:val="restart"/>
          </w:tcPr>
          <w:p w14:paraId="6B3BCEC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CN726858</w:t>
            </w:r>
          </w:p>
        </w:tc>
        <w:tc>
          <w:tcPr>
            <w:tcW w:w="897" w:type="dxa"/>
          </w:tcPr>
          <w:p w14:paraId="70789FF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FP</w:t>
            </w:r>
          </w:p>
        </w:tc>
        <w:tc>
          <w:tcPr>
            <w:tcW w:w="3444" w:type="dxa"/>
          </w:tcPr>
          <w:p w14:paraId="5E9D3C2A"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CCTCTCACTTTCACTTCTCTTGC</w:t>
            </w:r>
          </w:p>
        </w:tc>
      </w:tr>
      <w:tr w:rsidR="00D5128E" w:rsidRPr="00E7693B" w14:paraId="04BF52DC" w14:textId="77777777" w:rsidTr="00BF245A">
        <w:trPr>
          <w:trHeight w:val="179"/>
          <w:jc w:val="center"/>
        </w:trPr>
        <w:tc>
          <w:tcPr>
            <w:tcW w:w="1309" w:type="dxa"/>
            <w:vMerge/>
            <w:tcBorders>
              <w:top w:val="single" w:sz="12" w:space="0" w:color="000000"/>
            </w:tcBorders>
          </w:tcPr>
          <w:p w14:paraId="6D8203E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2FDC08A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274421B8"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7BCE54C6"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RP</w:t>
            </w:r>
          </w:p>
        </w:tc>
        <w:tc>
          <w:tcPr>
            <w:tcW w:w="3444" w:type="dxa"/>
          </w:tcPr>
          <w:p w14:paraId="3597345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GTTCGGCTTCGTCCTCAATG</w:t>
            </w:r>
          </w:p>
        </w:tc>
      </w:tr>
      <w:tr w:rsidR="00D5128E" w:rsidRPr="00E7693B" w14:paraId="50B711EA" w14:textId="77777777" w:rsidTr="00BF245A">
        <w:trPr>
          <w:trHeight w:val="224"/>
          <w:jc w:val="center"/>
        </w:trPr>
        <w:tc>
          <w:tcPr>
            <w:tcW w:w="1309" w:type="dxa"/>
            <w:vMerge/>
            <w:tcBorders>
              <w:top w:val="single" w:sz="12" w:space="0" w:color="000000"/>
            </w:tcBorders>
          </w:tcPr>
          <w:p w14:paraId="3ADA7B5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6AB9B18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color w:val="000000"/>
                <w:sz w:val="20"/>
                <w:szCs w:val="20"/>
              </w:rPr>
              <w:t>βCHI</w:t>
            </w:r>
          </w:p>
        </w:tc>
        <w:tc>
          <w:tcPr>
            <w:tcW w:w="1539" w:type="dxa"/>
            <w:vMerge w:val="restart"/>
          </w:tcPr>
          <w:p w14:paraId="70DBB55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X61488</w:t>
            </w:r>
          </w:p>
        </w:tc>
        <w:tc>
          <w:tcPr>
            <w:tcW w:w="897" w:type="dxa"/>
          </w:tcPr>
          <w:p w14:paraId="37C7F69D"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FP</w:t>
            </w:r>
          </w:p>
        </w:tc>
        <w:tc>
          <w:tcPr>
            <w:tcW w:w="3444" w:type="dxa"/>
          </w:tcPr>
          <w:p w14:paraId="0D4CA733"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TGCTACATAGAAGAAATAAACGG</w:t>
            </w:r>
          </w:p>
        </w:tc>
      </w:tr>
      <w:tr w:rsidR="00D5128E" w:rsidRPr="00E7693B" w14:paraId="48CF41D2" w14:textId="77777777" w:rsidTr="00BF245A">
        <w:trPr>
          <w:trHeight w:val="251"/>
          <w:jc w:val="center"/>
        </w:trPr>
        <w:tc>
          <w:tcPr>
            <w:tcW w:w="1309" w:type="dxa"/>
            <w:vMerge/>
            <w:tcBorders>
              <w:top w:val="single" w:sz="12" w:space="0" w:color="000000"/>
            </w:tcBorders>
          </w:tcPr>
          <w:p w14:paraId="1A37154D"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4E38F5E7"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7A3E6AF8"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479A93F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RP</w:t>
            </w:r>
          </w:p>
        </w:tc>
        <w:tc>
          <w:tcPr>
            <w:tcW w:w="3444" w:type="dxa"/>
          </w:tcPr>
          <w:p w14:paraId="102A7B7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TTCCATGATAGTTGAATCGG</w:t>
            </w:r>
          </w:p>
        </w:tc>
      </w:tr>
      <w:tr w:rsidR="00D5128E" w:rsidRPr="00E7693B" w14:paraId="3A4CDDC6" w14:textId="77777777" w:rsidTr="00BF245A">
        <w:trPr>
          <w:trHeight w:val="269"/>
          <w:jc w:val="center"/>
        </w:trPr>
        <w:tc>
          <w:tcPr>
            <w:tcW w:w="1309" w:type="dxa"/>
            <w:vMerge/>
            <w:tcBorders>
              <w:top w:val="single" w:sz="12" w:space="0" w:color="000000"/>
            </w:tcBorders>
          </w:tcPr>
          <w:p w14:paraId="521CFAF7"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3CD4C23A"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color w:val="000000"/>
                <w:sz w:val="20"/>
                <w:szCs w:val="20"/>
              </w:rPr>
              <w:t>PR4/HEL</w:t>
            </w:r>
          </w:p>
        </w:tc>
        <w:tc>
          <w:tcPr>
            <w:tcW w:w="1539" w:type="dxa"/>
            <w:vMerge w:val="restart"/>
          </w:tcPr>
          <w:p w14:paraId="492C058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FG577475</w:t>
            </w:r>
          </w:p>
        </w:tc>
        <w:tc>
          <w:tcPr>
            <w:tcW w:w="897" w:type="dxa"/>
          </w:tcPr>
          <w:p w14:paraId="38DC2F48"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FP</w:t>
            </w:r>
          </w:p>
        </w:tc>
        <w:tc>
          <w:tcPr>
            <w:tcW w:w="3444" w:type="dxa"/>
          </w:tcPr>
          <w:p w14:paraId="720EBBF0"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GGAACACAAGGACTAATGC</w:t>
            </w:r>
          </w:p>
        </w:tc>
      </w:tr>
      <w:tr w:rsidR="00D5128E" w:rsidRPr="00E7693B" w14:paraId="7028763F" w14:textId="77777777" w:rsidTr="00BF245A">
        <w:trPr>
          <w:trHeight w:val="251"/>
          <w:jc w:val="center"/>
        </w:trPr>
        <w:tc>
          <w:tcPr>
            <w:tcW w:w="1309" w:type="dxa"/>
            <w:vMerge/>
            <w:tcBorders>
              <w:top w:val="single" w:sz="12" w:space="0" w:color="000000"/>
            </w:tcBorders>
          </w:tcPr>
          <w:p w14:paraId="31E4CAE0"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3147B3F7"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26CFD43D"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0E0DE2E8"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RP</w:t>
            </w:r>
          </w:p>
        </w:tc>
        <w:tc>
          <w:tcPr>
            <w:tcW w:w="3444" w:type="dxa"/>
          </w:tcPr>
          <w:p w14:paraId="45C6A158"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TTTCGATAGCCATCACCA</w:t>
            </w:r>
          </w:p>
        </w:tc>
      </w:tr>
      <w:tr w:rsidR="00D5128E" w:rsidRPr="00E7693B" w14:paraId="509257B2" w14:textId="77777777" w:rsidTr="00BF245A">
        <w:trPr>
          <w:trHeight w:val="269"/>
          <w:jc w:val="center"/>
        </w:trPr>
        <w:tc>
          <w:tcPr>
            <w:tcW w:w="1309" w:type="dxa"/>
            <w:vMerge/>
            <w:tcBorders>
              <w:top w:val="single" w:sz="12" w:space="0" w:color="000000"/>
            </w:tcBorders>
          </w:tcPr>
          <w:p w14:paraId="5B4D417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3DD4CEA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color w:val="000000"/>
                <w:sz w:val="20"/>
                <w:szCs w:val="20"/>
              </w:rPr>
              <w:t>ACS2</w:t>
            </w:r>
          </w:p>
        </w:tc>
        <w:tc>
          <w:tcPr>
            <w:tcW w:w="1539" w:type="dxa"/>
            <w:vMerge w:val="restart"/>
          </w:tcPr>
          <w:p w14:paraId="280838B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HM450312</w:t>
            </w:r>
          </w:p>
        </w:tc>
        <w:tc>
          <w:tcPr>
            <w:tcW w:w="897" w:type="dxa"/>
          </w:tcPr>
          <w:p w14:paraId="5E742409"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FP</w:t>
            </w:r>
          </w:p>
        </w:tc>
        <w:tc>
          <w:tcPr>
            <w:tcW w:w="3444" w:type="dxa"/>
          </w:tcPr>
          <w:p w14:paraId="28975486" w14:textId="77777777" w:rsidR="00D5128E" w:rsidRPr="00E7693B" w:rsidRDefault="00D5128E" w:rsidP="00BF245A">
            <w:pPr>
              <w:spacing w:after="240"/>
              <w:ind w:left="-618" w:firstLine="618"/>
              <w:jc w:val="center"/>
              <w:rPr>
                <w:rFonts w:ascii="Times New Roman" w:hAnsi="Times New Roman" w:cs="Times New Roman"/>
                <w:sz w:val="20"/>
                <w:szCs w:val="20"/>
              </w:rPr>
            </w:pPr>
            <w:r w:rsidRPr="00E7693B">
              <w:rPr>
                <w:rFonts w:ascii="Times New Roman" w:hAnsi="Times New Roman" w:cs="Times New Roman"/>
                <w:color w:val="000000"/>
                <w:sz w:val="20"/>
                <w:szCs w:val="20"/>
              </w:rPr>
              <w:t>TATAGAAGGAGCAACGCA</w:t>
            </w:r>
          </w:p>
        </w:tc>
      </w:tr>
      <w:tr w:rsidR="00D5128E" w:rsidRPr="00E7693B" w14:paraId="63408FF0" w14:textId="77777777" w:rsidTr="00BF245A">
        <w:trPr>
          <w:trHeight w:val="251"/>
          <w:jc w:val="center"/>
        </w:trPr>
        <w:tc>
          <w:tcPr>
            <w:tcW w:w="1309" w:type="dxa"/>
            <w:vMerge/>
            <w:tcBorders>
              <w:top w:val="single" w:sz="12" w:space="0" w:color="000000"/>
            </w:tcBorders>
          </w:tcPr>
          <w:p w14:paraId="193B184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0B1F9372"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5568379B"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Borders>
              <w:bottom w:val="single" w:sz="12" w:space="0" w:color="000000"/>
            </w:tcBorders>
          </w:tcPr>
          <w:p w14:paraId="1A2A222F"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RP</w:t>
            </w:r>
          </w:p>
        </w:tc>
        <w:tc>
          <w:tcPr>
            <w:tcW w:w="3444" w:type="dxa"/>
            <w:tcBorders>
              <w:bottom w:val="single" w:sz="12" w:space="0" w:color="000000"/>
            </w:tcBorders>
          </w:tcPr>
          <w:p w14:paraId="5D6E15A0"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rPr>
              <w:t>ACCGAGTCGTTGTAAGAATA</w:t>
            </w:r>
          </w:p>
        </w:tc>
      </w:tr>
      <w:tr w:rsidR="00D5128E" w:rsidRPr="00E7693B" w14:paraId="11C6E2FC" w14:textId="77777777" w:rsidTr="00BF245A">
        <w:trPr>
          <w:trHeight w:val="251"/>
          <w:jc w:val="center"/>
        </w:trPr>
        <w:tc>
          <w:tcPr>
            <w:tcW w:w="1309" w:type="dxa"/>
            <w:vMerge w:val="restart"/>
            <w:tcBorders>
              <w:top w:val="single" w:sz="12" w:space="0" w:color="000000"/>
            </w:tcBorders>
          </w:tcPr>
          <w:p w14:paraId="3EDECAD8" w14:textId="77777777" w:rsidR="00D5128E" w:rsidRPr="00E7693B" w:rsidRDefault="00D5128E" w:rsidP="00BF245A">
            <w:pPr>
              <w:ind w:left="-20"/>
              <w:jc w:val="center"/>
              <w:rPr>
                <w:rFonts w:ascii="Times New Roman" w:hAnsi="Times New Roman" w:cs="Times New Roman"/>
                <w:b/>
                <w:i/>
              </w:rPr>
            </w:pPr>
            <w:r w:rsidRPr="00E7693B">
              <w:rPr>
                <w:rFonts w:ascii="Times New Roman" w:hAnsi="Times New Roman" w:cs="Times New Roman"/>
                <w:b/>
                <w:i/>
              </w:rPr>
              <w:t>Arabidopsis thaliana</w:t>
            </w:r>
          </w:p>
        </w:tc>
        <w:tc>
          <w:tcPr>
            <w:tcW w:w="1039" w:type="dxa"/>
            <w:vMerge w:val="restart"/>
            <w:tcBorders>
              <w:top w:val="single" w:sz="12" w:space="0" w:color="000000"/>
            </w:tcBorders>
          </w:tcPr>
          <w:p w14:paraId="0418A673"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sz w:val="20"/>
                <w:szCs w:val="20"/>
              </w:rPr>
              <w:t>ACT8</w:t>
            </w:r>
          </w:p>
          <w:p w14:paraId="40B6456C" w14:textId="77777777" w:rsidR="00D5128E" w:rsidRPr="00E7693B" w:rsidRDefault="00D5128E" w:rsidP="00BF245A">
            <w:pPr>
              <w:spacing w:after="240"/>
              <w:jc w:val="center"/>
              <w:rPr>
                <w:rFonts w:ascii="Times New Roman" w:hAnsi="Times New Roman" w:cs="Times New Roman"/>
                <w:sz w:val="20"/>
                <w:szCs w:val="20"/>
              </w:rPr>
            </w:pPr>
          </w:p>
        </w:tc>
        <w:tc>
          <w:tcPr>
            <w:tcW w:w="1539" w:type="dxa"/>
            <w:vMerge w:val="restart"/>
            <w:tcBorders>
              <w:top w:val="single" w:sz="12" w:space="0" w:color="000000"/>
            </w:tcBorders>
          </w:tcPr>
          <w:p w14:paraId="2B920A3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At1g49240</w:t>
            </w:r>
          </w:p>
          <w:p w14:paraId="1C9DB7FE" w14:textId="77777777" w:rsidR="00D5128E" w:rsidRPr="00E7693B" w:rsidRDefault="00D5128E" w:rsidP="00BF245A">
            <w:pPr>
              <w:spacing w:after="240"/>
              <w:jc w:val="center"/>
              <w:rPr>
                <w:rFonts w:ascii="Times New Roman" w:hAnsi="Times New Roman" w:cs="Times New Roman"/>
                <w:sz w:val="20"/>
                <w:szCs w:val="20"/>
              </w:rPr>
            </w:pPr>
          </w:p>
        </w:tc>
        <w:tc>
          <w:tcPr>
            <w:tcW w:w="897" w:type="dxa"/>
            <w:tcBorders>
              <w:top w:val="single" w:sz="12" w:space="0" w:color="000000"/>
            </w:tcBorders>
          </w:tcPr>
          <w:p w14:paraId="69A85BF8"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FP</w:t>
            </w:r>
          </w:p>
        </w:tc>
        <w:tc>
          <w:tcPr>
            <w:tcW w:w="3444" w:type="dxa"/>
            <w:tcBorders>
              <w:top w:val="single" w:sz="12" w:space="0" w:color="000000"/>
            </w:tcBorders>
          </w:tcPr>
          <w:p w14:paraId="7ADD2AFB"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TTCATCGGCCGTTGCATTTC</w:t>
            </w:r>
          </w:p>
        </w:tc>
      </w:tr>
      <w:tr w:rsidR="00D5128E" w:rsidRPr="00E7693B" w14:paraId="4C78933C" w14:textId="77777777" w:rsidTr="00BF245A">
        <w:trPr>
          <w:trHeight w:val="251"/>
          <w:jc w:val="center"/>
        </w:trPr>
        <w:tc>
          <w:tcPr>
            <w:tcW w:w="1309" w:type="dxa"/>
            <w:vMerge/>
            <w:tcBorders>
              <w:top w:val="single" w:sz="12" w:space="0" w:color="000000"/>
            </w:tcBorders>
          </w:tcPr>
          <w:p w14:paraId="15FEA482"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tcBorders>
              <w:top w:val="single" w:sz="12" w:space="0" w:color="000000"/>
            </w:tcBorders>
          </w:tcPr>
          <w:p w14:paraId="64F9C33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539" w:type="dxa"/>
            <w:vMerge/>
            <w:tcBorders>
              <w:top w:val="single" w:sz="12" w:space="0" w:color="000000"/>
            </w:tcBorders>
          </w:tcPr>
          <w:p w14:paraId="5CC36428"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897" w:type="dxa"/>
          </w:tcPr>
          <w:p w14:paraId="4EE63570"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RP</w:t>
            </w:r>
          </w:p>
        </w:tc>
        <w:tc>
          <w:tcPr>
            <w:tcW w:w="3444" w:type="dxa"/>
          </w:tcPr>
          <w:p w14:paraId="709CDA88"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AATGTCATCAGCATCGGCCA</w:t>
            </w:r>
          </w:p>
        </w:tc>
      </w:tr>
      <w:tr w:rsidR="00D5128E" w:rsidRPr="00E7693B" w14:paraId="1A96EDC3" w14:textId="77777777" w:rsidTr="00BF245A">
        <w:trPr>
          <w:trHeight w:val="251"/>
          <w:jc w:val="center"/>
        </w:trPr>
        <w:tc>
          <w:tcPr>
            <w:tcW w:w="1309" w:type="dxa"/>
            <w:vMerge/>
            <w:tcBorders>
              <w:top w:val="single" w:sz="12" w:space="0" w:color="000000"/>
            </w:tcBorders>
          </w:tcPr>
          <w:p w14:paraId="48B53A24"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val="restart"/>
          </w:tcPr>
          <w:p w14:paraId="6B844CA5"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sz w:val="20"/>
                <w:szCs w:val="20"/>
              </w:rPr>
              <w:t>SAND</w:t>
            </w:r>
          </w:p>
          <w:p w14:paraId="4D7D406A" w14:textId="77777777" w:rsidR="00D5128E" w:rsidRPr="00E7693B" w:rsidRDefault="00D5128E" w:rsidP="00BF245A">
            <w:pPr>
              <w:spacing w:after="240"/>
              <w:jc w:val="center"/>
              <w:rPr>
                <w:rFonts w:ascii="Times New Roman" w:hAnsi="Times New Roman" w:cs="Times New Roman"/>
                <w:sz w:val="20"/>
                <w:szCs w:val="20"/>
              </w:rPr>
            </w:pPr>
          </w:p>
        </w:tc>
        <w:tc>
          <w:tcPr>
            <w:tcW w:w="1539" w:type="dxa"/>
            <w:vMerge w:val="restart"/>
          </w:tcPr>
          <w:p w14:paraId="591D00B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At2g28390</w:t>
            </w:r>
          </w:p>
          <w:p w14:paraId="48B06C81"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333F616A"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FP</w:t>
            </w:r>
          </w:p>
        </w:tc>
        <w:tc>
          <w:tcPr>
            <w:tcW w:w="3444" w:type="dxa"/>
          </w:tcPr>
          <w:p w14:paraId="2188DD1A"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CTGTCTTCTCATCTCTTGTC</w:t>
            </w:r>
          </w:p>
        </w:tc>
      </w:tr>
      <w:tr w:rsidR="00D5128E" w:rsidRPr="00E7693B" w14:paraId="428970B2" w14:textId="77777777" w:rsidTr="00BF245A">
        <w:trPr>
          <w:trHeight w:val="251"/>
          <w:jc w:val="center"/>
        </w:trPr>
        <w:tc>
          <w:tcPr>
            <w:tcW w:w="1309" w:type="dxa"/>
            <w:vMerge/>
            <w:tcBorders>
              <w:top w:val="single" w:sz="12" w:space="0" w:color="000000"/>
            </w:tcBorders>
          </w:tcPr>
          <w:p w14:paraId="2B2C17F9"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tcPr>
          <w:p w14:paraId="55A085E5"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539" w:type="dxa"/>
            <w:vMerge/>
          </w:tcPr>
          <w:p w14:paraId="0A3D8540"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897" w:type="dxa"/>
          </w:tcPr>
          <w:p w14:paraId="752DA0AB"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RP</w:t>
            </w:r>
          </w:p>
        </w:tc>
        <w:tc>
          <w:tcPr>
            <w:tcW w:w="3444" w:type="dxa"/>
          </w:tcPr>
          <w:p w14:paraId="7279B7B4"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TCTTGCAATATGGTTCCTG</w:t>
            </w:r>
          </w:p>
        </w:tc>
      </w:tr>
      <w:tr w:rsidR="00D5128E" w:rsidRPr="00E7693B" w14:paraId="3A8EE2AC" w14:textId="77777777" w:rsidTr="00BF245A">
        <w:trPr>
          <w:trHeight w:val="251"/>
          <w:jc w:val="center"/>
        </w:trPr>
        <w:tc>
          <w:tcPr>
            <w:tcW w:w="1309" w:type="dxa"/>
            <w:vMerge/>
            <w:tcBorders>
              <w:top w:val="single" w:sz="12" w:space="0" w:color="000000"/>
            </w:tcBorders>
          </w:tcPr>
          <w:p w14:paraId="2DB543B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val="restart"/>
          </w:tcPr>
          <w:p w14:paraId="1DF2ADC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sz w:val="20"/>
                <w:szCs w:val="20"/>
              </w:rPr>
              <w:t>PR1</w:t>
            </w:r>
          </w:p>
          <w:p w14:paraId="020161EB" w14:textId="77777777" w:rsidR="00D5128E" w:rsidRPr="00E7693B" w:rsidRDefault="00D5128E" w:rsidP="00BF245A">
            <w:pPr>
              <w:spacing w:after="240"/>
              <w:jc w:val="center"/>
              <w:rPr>
                <w:rFonts w:ascii="Times New Roman" w:hAnsi="Times New Roman" w:cs="Times New Roman"/>
                <w:sz w:val="20"/>
                <w:szCs w:val="20"/>
              </w:rPr>
            </w:pPr>
          </w:p>
        </w:tc>
        <w:tc>
          <w:tcPr>
            <w:tcW w:w="1539" w:type="dxa"/>
            <w:vMerge w:val="restart"/>
          </w:tcPr>
          <w:p w14:paraId="0A1637CF"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At2g14610</w:t>
            </w:r>
          </w:p>
          <w:p w14:paraId="1167C5F7"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55223CF5"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FP</w:t>
            </w:r>
          </w:p>
        </w:tc>
        <w:tc>
          <w:tcPr>
            <w:tcW w:w="3444" w:type="dxa"/>
          </w:tcPr>
          <w:p w14:paraId="1D89625A"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AGTTGTTTGGAGAAAGTCAG</w:t>
            </w:r>
          </w:p>
        </w:tc>
      </w:tr>
      <w:tr w:rsidR="00D5128E" w:rsidRPr="00E7693B" w14:paraId="386BB8CB" w14:textId="77777777" w:rsidTr="00BF245A">
        <w:trPr>
          <w:trHeight w:val="251"/>
          <w:jc w:val="center"/>
        </w:trPr>
        <w:tc>
          <w:tcPr>
            <w:tcW w:w="1309" w:type="dxa"/>
            <w:vMerge/>
            <w:tcBorders>
              <w:top w:val="single" w:sz="12" w:space="0" w:color="000000"/>
            </w:tcBorders>
          </w:tcPr>
          <w:p w14:paraId="169AC15F"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tcPr>
          <w:p w14:paraId="49F907AB"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539" w:type="dxa"/>
            <w:vMerge/>
          </w:tcPr>
          <w:p w14:paraId="71A800C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897" w:type="dxa"/>
          </w:tcPr>
          <w:p w14:paraId="55322A48"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RP</w:t>
            </w:r>
          </w:p>
        </w:tc>
        <w:tc>
          <w:tcPr>
            <w:tcW w:w="3444" w:type="dxa"/>
          </w:tcPr>
          <w:p w14:paraId="008CE64D"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GTTCACATAATTCCCACGA</w:t>
            </w:r>
          </w:p>
        </w:tc>
      </w:tr>
      <w:tr w:rsidR="00D5128E" w:rsidRPr="00E7693B" w14:paraId="3F11E781" w14:textId="77777777" w:rsidTr="00BF245A">
        <w:trPr>
          <w:trHeight w:val="251"/>
          <w:jc w:val="center"/>
        </w:trPr>
        <w:tc>
          <w:tcPr>
            <w:tcW w:w="1309" w:type="dxa"/>
            <w:vMerge/>
            <w:tcBorders>
              <w:top w:val="single" w:sz="12" w:space="0" w:color="000000"/>
            </w:tcBorders>
          </w:tcPr>
          <w:p w14:paraId="179D0CA8"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val="restart"/>
          </w:tcPr>
          <w:p w14:paraId="7EFB3DDA"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sz w:val="20"/>
                <w:szCs w:val="20"/>
              </w:rPr>
              <w:t>PR2</w:t>
            </w:r>
          </w:p>
          <w:p w14:paraId="0780D693" w14:textId="77777777" w:rsidR="00D5128E" w:rsidRPr="00E7693B" w:rsidRDefault="00D5128E" w:rsidP="00BF245A">
            <w:pPr>
              <w:spacing w:after="240"/>
              <w:jc w:val="center"/>
              <w:rPr>
                <w:rFonts w:ascii="Times New Roman" w:hAnsi="Times New Roman" w:cs="Times New Roman"/>
                <w:sz w:val="20"/>
                <w:szCs w:val="20"/>
              </w:rPr>
            </w:pPr>
          </w:p>
        </w:tc>
        <w:tc>
          <w:tcPr>
            <w:tcW w:w="1539" w:type="dxa"/>
            <w:vMerge w:val="restart"/>
          </w:tcPr>
          <w:p w14:paraId="74B47AF9"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At3g57260</w:t>
            </w:r>
          </w:p>
          <w:p w14:paraId="4ADE9DCA"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5958279F"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FP</w:t>
            </w:r>
          </w:p>
        </w:tc>
        <w:tc>
          <w:tcPr>
            <w:tcW w:w="3444" w:type="dxa"/>
          </w:tcPr>
          <w:p w14:paraId="25F4E56A"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TATAGCCACTGACACCAC</w:t>
            </w:r>
          </w:p>
        </w:tc>
      </w:tr>
      <w:tr w:rsidR="00D5128E" w:rsidRPr="00E7693B" w14:paraId="2055F9E4" w14:textId="77777777" w:rsidTr="00BF245A">
        <w:trPr>
          <w:trHeight w:val="251"/>
          <w:jc w:val="center"/>
        </w:trPr>
        <w:tc>
          <w:tcPr>
            <w:tcW w:w="1309" w:type="dxa"/>
            <w:vMerge/>
            <w:tcBorders>
              <w:top w:val="single" w:sz="12" w:space="0" w:color="000000"/>
            </w:tcBorders>
          </w:tcPr>
          <w:p w14:paraId="2CEB0B18"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tcPr>
          <w:p w14:paraId="50155948"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539" w:type="dxa"/>
            <w:vMerge/>
          </w:tcPr>
          <w:p w14:paraId="5E0EF685"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897" w:type="dxa"/>
          </w:tcPr>
          <w:p w14:paraId="7F144493"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RP</w:t>
            </w:r>
          </w:p>
        </w:tc>
        <w:tc>
          <w:tcPr>
            <w:tcW w:w="3444" w:type="dxa"/>
          </w:tcPr>
          <w:p w14:paraId="4797A9B2"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GCCAAGAAACCTATCACTG</w:t>
            </w:r>
          </w:p>
        </w:tc>
      </w:tr>
      <w:tr w:rsidR="00D5128E" w:rsidRPr="00E7693B" w14:paraId="074E11BD" w14:textId="77777777" w:rsidTr="00BF245A">
        <w:trPr>
          <w:trHeight w:val="251"/>
          <w:jc w:val="center"/>
        </w:trPr>
        <w:tc>
          <w:tcPr>
            <w:tcW w:w="1309" w:type="dxa"/>
            <w:vMerge/>
            <w:tcBorders>
              <w:top w:val="single" w:sz="12" w:space="0" w:color="000000"/>
            </w:tcBorders>
          </w:tcPr>
          <w:p w14:paraId="1D606CB5"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val="restart"/>
          </w:tcPr>
          <w:p w14:paraId="17371D2B"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sz w:val="20"/>
                <w:szCs w:val="20"/>
              </w:rPr>
              <w:t>PR5</w:t>
            </w:r>
          </w:p>
          <w:p w14:paraId="3866C40D" w14:textId="77777777" w:rsidR="00D5128E" w:rsidRPr="00E7693B" w:rsidRDefault="00D5128E" w:rsidP="00BF245A">
            <w:pPr>
              <w:spacing w:after="240"/>
              <w:jc w:val="center"/>
              <w:rPr>
                <w:rFonts w:ascii="Times New Roman" w:hAnsi="Times New Roman" w:cs="Times New Roman"/>
                <w:sz w:val="20"/>
                <w:szCs w:val="20"/>
              </w:rPr>
            </w:pPr>
          </w:p>
        </w:tc>
        <w:tc>
          <w:tcPr>
            <w:tcW w:w="1539" w:type="dxa"/>
            <w:vMerge w:val="restart"/>
          </w:tcPr>
          <w:p w14:paraId="597C00DC"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At1g75040</w:t>
            </w:r>
          </w:p>
          <w:p w14:paraId="0539E579"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1924F580"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FP</w:t>
            </w:r>
          </w:p>
        </w:tc>
        <w:tc>
          <w:tcPr>
            <w:tcW w:w="3444" w:type="dxa"/>
          </w:tcPr>
          <w:p w14:paraId="39EAFF39"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TCTCCAGTATTCACATTCTCTTCC</w:t>
            </w:r>
          </w:p>
        </w:tc>
      </w:tr>
      <w:tr w:rsidR="00D5128E" w:rsidRPr="00E7693B" w14:paraId="275879CC" w14:textId="77777777" w:rsidTr="00BF245A">
        <w:trPr>
          <w:trHeight w:val="251"/>
          <w:jc w:val="center"/>
        </w:trPr>
        <w:tc>
          <w:tcPr>
            <w:tcW w:w="1309" w:type="dxa"/>
            <w:vMerge/>
            <w:tcBorders>
              <w:top w:val="single" w:sz="12" w:space="0" w:color="000000"/>
            </w:tcBorders>
          </w:tcPr>
          <w:p w14:paraId="590B45F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tcPr>
          <w:p w14:paraId="208716EE"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539" w:type="dxa"/>
            <w:vMerge/>
          </w:tcPr>
          <w:p w14:paraId="79875CE8"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897" w:type="dxa"/>
          </w:tcPr>
          <w:p w14:paraId="5904362D"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RP</w:t>
            </w:r>
          </w:p>
        </w:tc>
        <w:tc>
          <w:tcPr>
            <w:tcW w:w="3444" w:type="dxa"/>
          </w:tcPr>
          <w:p w14:paraId="119F4CF8"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CAATTCAAATCCTCCATCGCC</w:t>
            </w:r>
          </w:p>
        </w:tc>
      </w:tr>
      <w:tr w:rsidR="00D5128E" w:rsidRPr="00E7693B" w14:paraId="0E1B1AA4" w14:textId="77777777" w:rsidTr="00BF245A">
        <w:trPr>
          <w:trHeight w:val="251"/>
          <w:jc w:val="center"/>
        </w:trPr>
        <w:tc>
          <w:tcPr>
            <w:tcW w:w="1309" w:type="dxa"/>
            <w:vMerge/>
            <w:tcBorders>
              <w:top w:val="single" w:sz="12" w:space="0" w:color="000000"/>
            </w:tcBorders>
          </w:tcPr>
          <w:p w14:paraId="08454754"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val="restart"/>
          </w:tcPr>
          <w:p w14:paraId="64CE082D"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sz w:val="20"/>
                <w:szCs w:val="20"/>
              </w:rPr>
              <w:t>ICS1</w:t>
            </w:r>
          </w:p>
          <w:p w14:paraId="4F1C9C0F" w14:textId="77777777" w:rsidR="00D5128E" w:rsidRPr="00E7693B" w:rsidRDefault="00D5128E" w:rsidP="00BF245A">
            <w:pPr>
              <w:spacing w:after="240"/>
              <w:jc w:val="center"/>
              <w:rPr>
                <w:rFonts w:ascii="Times New Roman" w:hAnsi="Times New Roman" w:cs="Times New Roman"/>
                <w:sz w:val="20"/>
                <w:szCs w:val="20"/>
              </w:rPr>
            </w:pPr>
          </w:p>
        </w:tc>
        <w:tc>
          <w:tcPr>
            <w:tcW w:w="1539" w:type="dxa"/>
            <w:vMerge w:val="restart"/>
          </w:tcPr>
          <w:p w14:paraId="179BD30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At1g74710</w:t>
            </w:r>
          </w:p>
          <w:p w14:paraId="4FFA81E3"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5855C7F7"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FP</w:t>
            </w:r>
          </w:p>
        </w:tc>
        <w:tc>
          <w:tcPr>
            <w:tcW w:w="3444" w:type="dxa"/>
          </w:tcPr>
          <w:p w14:paraId="6DE53B26"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GCAAGAATCATGTTCCTACC</w:t>
            </w:r>
          </w:p>
        </w:tc>
      </w:tr>
      <w:tr w:rsidR="00D5128E" w:rsidRPr="00E7693B" w14:paraId="76840403" w14:textId="77777777" w:rsidTr="00BF245A">
        <w:trPr>
          <w:trHeight w:val="251"/>
          <w:jc w:val="center"/>
        </w:trPr>
        <w:tc>
          <w:tcPr>
            <w:tcW w:w="1309" w:type="dxa"/>
            <w:vMerge/>
            <w:tcBorders>
              <w:top w:val="single" w:sz="12" w:space="0" w:color="000000"/>
            </w:tcBorders>
          </w:tcPr>
          <w:p w14:paraId="40D9C68B"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tcPr>
          <w:p w14:paraId="7DA2887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539" w:type="dxa"/>
            <w:vMerge/>
          </w:tcPr>
          <w:p w14:paraId="5F5AA32F"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897" w:type="dxa"/>
          </w:tcPr>
          <w:p w14:paraId="33332D73"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RP</w:t>
            </w:r>
          </w:p>
        </w:tc>
        <w:tc>
          <w:tcPr>
            <w:tcW w:w="3444" w:type="dxa"/>
          </w:tcPr>
          <w:p w14:paraId="4D63536B"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AATTATCCTGCTGTTACGAG</w:t>
            </w:r>
          </w:p>
        </w:tc>
      </w:tr>
      <w:tr w:rsidR="00D5128E" w:rsidRPr="00E7693B" w14:paraId="1163664D" w14:textId="77777777" w:rsidTr="00BF245A">
        <w:trPr>
          <w:trHeight w:val="251"/>
          <w:jc w:val="center"/>
        </w:trPr>
        <w:tc>
          <w:tcPr>
            <w:tcW w:w="1309" w:type="dxa"/>
            <w:vMerge/>
            <w:tcBorders>
              <w:top w:val="single" w:sz="12" w:space="0" w:color="000000"/>
            </w:tcBorders>
          </w:tcPr>
          <w:p w14:paraId="419AE69E"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val="restart"/>
          </w:tcPr>
          <w:p w14:paraId="6E8E1B3B"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sz w:val="20"/>
                <w:szCs w:val="20"/>
              </w:rPr>
              <w:t>ICS2</w:t>
            </w:r>
          </w:p>
          <w:p w14:paraId="5CB78C7C" w14:textId="77777777" w:rsidR="00D5128E" w:rsidRPr="00E7693B" w:rsidRDefault="00D5128E" w:rsidP="00BF245A">
            <w:pPr>
              <w:spacing w:after="240"/>
              <w:jc w:val="center"/>
              <w:rPr>
                <w:rFonts w:ascii="Times New Roman" w:hAnsi="Times New Roman" w:cs="Times New Roman"/>
                <w:sz w:val="20"/>
                <w:szCs w:val="20"/>
              </w:rPr>
            </w:pPr>
          </w:p>
        </w:tc>
        <w:tc>
          <w:tcPr>
            <w:tcW w:w="1539" w:type="dxa"/>
            <w:vMerge w:val="restart"/>
          </w:tcPr>
          <w:p w14:paraId="08955A2D"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At1g18870</w:t>
            </w:r>
          </w:p>
          <w:p w14:paraId="64B11DC1"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79CF51CC"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FP</w:t>
            </w:r>
          </w:p>
        </w:tc>
        <w:tc>
          <w:tcPr>
            <w:tcW w:w="3444" w:type="dxa"/>
          </w:tcPr>
          <w:p w14:paraId="2181F366"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TGTCTTCAAAGTCTCCTCTG</w:t>
            </w:r>
          </w:p>
        </w:tc>
      </w:tr>
      <w:tr w:rsidR="00D5128E" w:rsidRPr="00E7693B" w14:paraId="10A76833" w14:textId="77777777" w:rsidTr="00BF245A">
        <w:trPr>
          <w:trHeight w:val="251"/>
          <w:jc w:val="center"/>
        </w:trPr>
        <w:tc>
          <w:tcPr>
            <w:tcW w:w="1309" w:type="dxa"/>
            <w:vMerge/>
            <w:tcBorders>
              <w:top w:val="single" w:sz="12" w:space="0" w:color="000000"/>
            </w:tcBorders>
          </w:tcPr>
          <w:p w14:paraId="2D584E1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tcPr>
          <w:p w14:paraId="2FB7E7ED"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539" w:type="dxa"/>
            <w:vMerge/>
          </w:tcPr>
          <w:p w14:paraId="3D492B57"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897" w:type="dxa"/>
          </w:tcPr>
          <w:p w14:paraId="3B1083F2"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RP</w:t>
            </w:r>
          </w:p>
        </w:tc>
        <w:tc>
          <w:tcPr>
            <w:tcW w:w="3444" w:type="dxa"/>
          </w:tcPr>
          <w:p w14:paraId="03A29E81"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CTTCCTCCAAACTCATCAAAC</w:t>
            </w:r>
          </w:p>
        </w:tc>
      </w:tr>
      <w:tr w:rsidR="00D5128E" w:rsidRPr="00E7693B" w14:paraId="40A74DA7" w14:textId="77777777" w:rsidTr="00BF245A">
        <w:trPr>
          <w:trHeight w:val="251"/>
          <w:jc w:val="center"/>
        </w:trPr>
        <w:tc>
          <w:tcPr>
            <w:tcW w:w="1309" w:type="dxa"/>
            <w:vMerge/>
            <w:tcBorders>
              <w:top w:val="single" w:sz="12" w:space="0" w:color="000000"/>
            </w:tcBorders>
          </w:tcPr>
          <w:p w14:paraId="01551BE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val="restart"/>
          </w:tcPr>
          <w:p w14:paraId="391B7F26"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sz w:val="20"/>
                <w:szCs w:val="20"/>
              </w:rPr>
              <w:t>AOS</w:t>
            </w:r>
          </w:p>
          <w:p w14:paraId="6EE9AAAC" w14:textId="77777777" w:rsidR="00D5128E" w:rsidRPr="00E7693B" w:rsidRDefault="00D5128E" w:rsidP="00BF245A">
            <w:pPr>
              <w:spacing w:after="240"/>
              <w:jc w:val="center"/>
              <w:rPr>
                <w:rFonts w:ascii="Times New Roman" w:hAnsi="Times New Roman" w:cs="Times New Roman"/>
                <w:sz w:val="20"/>
                <w:szCs w:val="20"/>
              </w:rPr>
            </w:pPr>
          </w:p>
        </w:tc>
        <w:tc>
          <w:tcPr>
            <w:tcW w:w="1539" w:type="dxa"/>
            <w:vMerge w:val="restart"/>
          </w:tcPr>
          <w:p w14:paraId="154573EF"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At5g42650</w:t>
            </w:r>
          </w:p>
          <w:p w14:paraId="247D5D96"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787BFB16"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FP</w:t>
            </w:r>
          </w:p>
        </w:tc>
        <w:tc>
          <w:tcPr>
            <w:tcW w:w="3444" w:type="dxa"/>
          </w:tcPr>
          <w:p w14:paraId="475C72A7"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GAACCGCCTTTAATTTCTTG</w:t>
            </w:r>
          </w:p>
        </w:tc>
      </w:tr>
      <w:tr w:rsidR="00D5128E" w:rsidRPr="00E7693B" w14:paraId="6AF0C5A1" w14:textId="77777777" w:rsidTr="00BF245A">
        <w:trPr>
          <w:trHeight w:val="251"/>
          <w:jc w:val="center"/>
        </w:trPr>
        <w:tc>
          <w:tcPr>
            <w:tcW w:w="1309" w:type="dxa"/>
            <w:vMerge/>
            <w:tcBorders>
              <w:top w:val="single" w:sz="12" w:space="0" w:color="000000"/>
            </w:tcBorders>
          </w:tcPr>
          <w:p w14:paraId="6D5AE977"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tcPr>
          <w:p w14:paraId="53BB665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539" w:type="dxa"/>
            <w:vMerge/>
          </w:tcPr>
          <w:p w14:paraId="575268BB"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897" w:type="dxa"/>
          </w:tcPr>
          <w:p w14:paraId="0F88A634"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RP</w:t>
            </w:r>
          </w:p>
        </w:tc>
        <w:tc>
          <w:tcPr>
            <w:tcW w:w="3444" w:type="dxa"/>
          </w:tcPr>
          <w:p w14:paraId="085CCB52"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GAGAGTAATGGATGGAGATTG</w:t>
            </w:r>
          </w:p>
        </w:tc>
      </w:tr>
      <w:tr w:rsidR="00D5128E" w:rsidRPr="00E7693B" w14:paraId="4FF23A2A" w14:textId="77777777" w:rsidTr="00BF245A">
        <w:trPr>
          <w:trHeight w:val="251"/>
          <w:jc w:val="center"/>
        </w:trPr>
        <w:tc>
          <w:tcPr>
            <w:tcW w:w="1309" w:type="dxa"/>
            <w:vMerge/>
            <w:tcBorders>
              <w:top w:val="single" w:sz="12" w:space="0" w:color="000000"/>
            </w:tcBorders>
          </w:tcPr>
          <w:p w14:paraId="31DA9E36"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val="restart"/>
          </w:tcPr>
          <w:p w14:paraId="2AF446AD"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sz w:val="20"/>
                <w:szCs w:val="20"/>
              </w:rPr>
              <w:t>LOX2</w:t>
            </w:r>
          </w:p>
          <w:p w14:paraId="78481224" w14:textId="77777777" w:rsidR="00D5128E" w:rsidRPr="00E7693B" w:rsidRDefault="00D5128E" w:rsidP="00BF245A">
            <w:pPr>
              <w:spacing w:after="240"/>
              <w:jc w:val="center"/>
              <w:rPr>
                <w:rFonts w:ascii="Times New Roman" w:hAnsi="Times New Roman" w:cs="Times New Roman"/>
                <w:sz w:val="20"/>
                <w:szCs w:val="20"/>
              </w:rPr>
            </w:pPr>
          </w:p>
        </w:tc>
        <w:tc>
          <w:tcPr>
            <w:tcW w:w="1539" w:type="dxa"/>
            <w:vMerge w:val="restart"/>
          </w:tcPr>
          <w:p w14:paraId="7FECF13A"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At3g45140</w:t>
            </w:r>
          </w:p>
          <w:p w14:paraId="3FEF2B8A"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55663582"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FP</w:t>
            </w:r>
          </w:p>
        </w:tc>
        <w:tc>
          <w:tcPr>
            <w:tcW w:w="3444" w:type="dxa"/>
          </w:tcPr>
          <w:p w14:paraId="4D1F970A"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ATCCCACCTCACTCATTACT</w:t>
            </w:r>
          </w:p>
        </w:tc>
      </w:tr>
      <w:tr w:rsidR="00D5128E" w:rsidRPr="00E7693B" w14:paraId="7E2283F2" w14:textId="77777777" w:rsidTr="00BF245A">
        <w:trPr>
          <w:trHeight w:val="251"/>
          <w:jc w:val="center"/>
        </w:trPr>
        <w:tc>
          <w:tcPr>
            <w:tcW w:w="1309" w:type="dxa"/>
            <w:vMerge/>
            <w:tcBorders>
              <w:top w:val="single" w:sz="12" w:space="0" w:color="000000"/>
            </w:tcBorders>
          </w:tcPr>
          <w:p w14:paraId="1AAE4DCD"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tcPr>
          <w:p w14:paraId="2BEB8492"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539" w:type="dxa"/>
            <w:vMerge/>
          </w:tcPr>
          <w:p w14:paraId="0549996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897" w:type="dxa"/>
          </w:tcPr>
          <w:p w14:paraId="738DC486"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RP</w:t>
            </w:r>
          </w:p>
        </w:tc>
        <w:tc>
          <w:tcPr>
            <w:tcW w:w="3444" w:type="dxa"/>
          </w:tcPr>
          <w:p w14:paraId="20B941EA"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ATCCAACACGAACAATCTCT</w:t>
            </w:r>
          </w:p>
        </w:tc>
      </w:tr>
      <w:tr w:rsidR="00D5128E" w:rsidRPr="00E7693B" w14:paraId="691D1EB7" w14:textId="77777777" w:rsidTr="00BF245A">
        <w:trPr>
          <w:trHeight w:val="251"/>
          <w:jc w:val="center"/>
        </w:trPr>
        <w:tc>
          <w:tcPr>
            <w:tcW w:w="1309" w:type="dxa"/>
            <w:vMerge/>
            <w:tcBorders>
              <w:top w:val="single" w:sz="12" w:space="0" w:color="000000"/>
            </w:tcBorders>
          </w:tcPr>
          <w:p w14:paraId="0D2CE83B"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val="restart"/>
          </w:tcPr>
          <w:p w14:paraId="0ED5E91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b/>
                <w:i/>
                <w:sz w:val="20"/>
                <w:szCs w:val="20"/>
              </w:rPr>
              <w:t>JAZ8</w:t>
            </w:r>
          </w:p>
          <w:p w14:paraId="3F5BE009" w14:textId="77777777" w:rsidR="00D5128E" w:rsidRPr="00E7693B" w:rsidRDefault="00D5128E" w:rsidP="00BF245A">
            <w:pPr>
              <w:spacing w:after="240"/>
              <w:jc w:val="center"/>
              <w:rPr>
                <w:rFonts w:ascii="Times New Roman" w:hAnsi="Times New Roman" w:cs="Times New Roman"/>
                <w:sz w:val="20"/>
                <w:szCs w:val="20"/>
              </w:rPr>
            </w:pPr>
          </w:p>
        </w:tc>
        <w:tc>
          <w:tcPr>
            <w:tcW w:w="1539" w:type="dxa"/>
            <w:vMerge w:val="restart"/>
          </w:tcPr>
          <w:p w14:paraId="42AE9A7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At1g30135</w:t>
            </w:r>
          </w:p>
          <w:p w14:paraId="3F681E2C"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185A4325"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FP</w:t>
            </w:r>
          </w:p>
        </w:tc>
        <w:tc>
          <w:tcPr>
            <w:tcW w:w="3444" w:type="dxa"/>
          </w:tcPr>
          <w:p w14:paraId="59CEAF04" w14:textId="77777777" w:rsidR="00D5128E" w:rsidRPr="00E7693B" w:rsidRDefault="00D5128E" w:rsidP="00BF245A">
            <w:pPr>
              <w:spacing w:after="240"/>
              <w:jc w:val="center"/>
              <w:rPr>
                <w:rFonts w:ascii="Times New Roman" w:hAnsi="Times New Roman" w:cs="Times New Roman"/>
                <w:color w:val="000000"/>
                <w:sz w:val="20"/>
                <w:szCs w:val="20"/>
              </w:rPr>
            </w:pPr>
            <w:r w:rsidRPr="00E7693B">
              <w:rPr>
                <w:rFonts w:ascii="Times New Roman" w:hAnsi="Times New Roman" w:cs="Times New Roman"/>
                <w:sz w:val="20"/>
                <w:szCs w:val="20"/>
              </w:rPr>
              <w:t>TGTGACTTGGAACTTCGT</w:t>
            </w:r>
          </w:p>
        </w:tc>
      </w:tr>
      <w:tr w:rsidR="00D5128E" w:rsidRPr="00E7693B" w14:paraId="4A2C27CB" w14:textId="77777777" w:rsidTr="00BF245A">
        <w:trPr>
          <w:trHeight w:val="251"/>
          <w:jc w:val="center"/>
        </w:trPr>
        <w:tc>
          <w:tcPr>
            <w:tcW w:w="1309" w:type="dxa"/>
            <w:vMerge/>
            <w:tcBorders>
              <w:top w:val="single" w:sz="12" w:space="0" w:color="000000"/>
            </w:tcBorders>
          </w:tcPr>
          <w:p w14:paraId="1D3052C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tcPr>
          <w:p w14:paraId="61E3B51D"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539" w:type="dxa"/>
            <w:vMerge/>
          </w:tcPr>
          <w:p w14:paraId="77A8152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897" w:type="dxa"/>
          </w:tcPr>
          <w:p w14:paraId="0640E13A"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020D100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GATTCTTCATTTGGTTGTGG</w:t>
            </w:r>
          </w:p>
        </w:tc>
      </w:tr>
      <w:tr w:rsidR="00D5128E" w:rsidRPr="00E7693B" w14:paraId="13733E15" w14:textId="77777777" w:rsidTr="00BF245A">
        <w:trPr>
          <w:trHeight w:val="251"/>
          <w:jc w:val="center"/>
        </w:trPr>
        <w:tc>
          <w:tcPr>
            <w:tcW w:w="1309" w:type="dxa"/>
            <w:vMerge/>
            <w:tcBorders>
              <w:top w:val="single" w:sz="12" w:space="0" w:color="000000"/>
            </w:tcBorders>
          </w:tcPr>
          <w:p w14:paraId="1AFF756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55470AE4"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JAZ10</w:t>
            </w:r>
          </w:p>
          <w:p w14:paraId="2179A1F3"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5246A7F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highlight w:val="white"/>
              </w:rPr>
              <w:t>At5g13220</w:t>
            </w:r>
          </w:p>
          <w:p w14:paraId="7BA59905"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1AEC582B"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77FF2D2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GGTCGCTAATGAAGCAGCATC</w:t>
            </w:r>
          </w:p>
        </w:tc>
      </w:tr>
      <w:tr w:rsidR="00D5128E" w:rsidRPr="00E7693B" w14:paraId="3872D514" w14:textId="77777777" w:rsidTr="00BF245A">
        <w:trPr>
          <w:trHeight w:val="251"/>
          <w:jc w:val="center"/>
        </w:trPr>
        <w:tc>
          <w:tcPr>
            <w:tcW w:w="1309" w:type="dxa"/>
            <w:vMerge/>
            <w:tcBorders>
              <w:top w:val="single" w:sz="12" w:space="0" w:color="000000"/>
            </w:tcBorders>
          </w:tcPr>
          <w:p w14:paraId="47215F1B"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664A607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4E64281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73622F20"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18B6D0BE"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TCTGTCTCCATCGACGACTCG</w:t>
            </w:r>
          </w:p>
        </w:tc>
      </w:tr>
      <w:tr w:rsidR="00D5128E" w:rsidRPr="00E7693B" w14:paraId="7CC5BE9C" w14:textId="77777777" w:rsidTr="00BF245A">
        <w:trPr>
          <w:trHeight w:val="251"/>
          <w:jc w:val="center"/>
        </w:trPr>
        <w:tc>
          <w:tcPr>
            <w:tcW w:w="1309" w:type="dxa"/>
            <w:vMerge/>
            <w:tcBorders>
              <w:top w:val="single" w:sz="12" w:space="0" w:color="000000"/>
            </w:tcBorders>
          </w:tcPr>
          <w:p w14:paraId="286521C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4ACCB983"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ACS2</w:t>
            </w:r>
          </w:p>
          <w:p w14:paraId="2AF5AC9C"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2DEBA43B" w14:textId="77777777" w:rsidR="00D5128E" w:rsidRPr="00E7693B" w:rsidRDefault="00D5128E" w:rsidP="00BF245A">
            <w:pPr>
              <w:spacing w:after="240"/>
              <w:jc w:val="center"/>
              <w:rPr>
                <w:rFonts w:ascii="Times New Roman" w:hAnsi="Times New Roman" w:cs="Times New Roman"/>
                <w:color w:val="000000"/>
                <w:sz w:val="20"/>
                <w:szCs w:val="20"/>
                <w:highlight w:val="white"/>
              </w:rPr>
            </w:pPr>
            <w:r w:rsidRPr="00E7693B">
              <w:rPr>
                <w:rFonts w:ascii="Times New Roman" w:hAnsi="Times New Roman" w:cs="Times New Roman"/>
                <w:sz w:val="20"/>
                <w:szCs w:val="20"/>
              </w:rPr>
              <w:t>At1g01480</w:t>
            </w:r>
          </w:p>
          <w:p w14:paraId="440830D1" w14:textId="77777777" w:rsidR="00D5128E" w:rsidRPr="00E7693B" w:rsidRDefault="00D5128E" w:rsidP="00BF245A">
            <w:pPr>
              <w:spacing w:after="240"/>
              <w:jc w:val="center"/>
              <w:rPr>
                <w:rFonts w:ascii="Times New Roman" w:hAnsi="Times New Roman" w:cs="Times New Roman"/>
                <w:color w:val="000000"/>
                <w:sz w:val="20"/>
                <w:szCs w:val="20"/>
                <w:highlight w:val="white"/>
              </w:rPr>
            </w:pPr>
          </w:p>
        </w:tc>
        <w:tc>
          <w:tcPr>
            <w:tcW w:w="897" w:type="dxa"/>
          </w:tcPr>
          <w:p w14:paraId="0945A369"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4F9AB2AF"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GTTAAGCTCAATGTGTCTCC</w:t>
            </w:r>
          </w:p>
        </w:tc>
      </w:tr>
      <w:tr w:rsidR="00D5128E" w:rsidRPr="00E7693B" w14:paraId="23A858CF" w14:textId="77777777" w:rsidTr="00BF245A">
        <w:trPr>
          <w:trHeight w:val="251"/>
          <w:jc w:val="center"/>
        </w:trPr>
        <w:tc>
          <w:tcPr>
            <w:tcW w:w="1309" w:type="dxa"/>
            <w:vMerge/>
            <w:tcBorders>
              <w:top w:val="single" w:sz="12" w:space="0" w:color="000000"/>
            </w:tcBorders>
          </w:tcPr>
          <w:p w14:paraId="492E5B1C"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126A258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0D2D81A9"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25D3E1ED"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4C8EF70C"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AAGCAAATCCTAAACCATCC</w:t>
            </w:r>
          </w:p>
        </w:tc>
      </w:tr>
      <w:tr w:rsidR="00D5128E" w:rsidRPr="00E7693B" w14:paraId="3C096424" w14:textId="77777777" w:rsidTr="00BF245A">
        <w:trPr>
          <w:trHeight w:val="251"/>
          <w:jc w:val="center"/>
        </w:trPr>
        <w:tc>
          <w:tcPr>
            <w:tcW w:w="1309" w:type="dxa"/>
            <w:vMerge/>
            <w:tcBorders>
              <w:top w:val="single" w:sz="12" w:space="0" w:color="000000"/>
            </w:tcBorders>
          </w:tcPr>
          <w:p w14:paraId="0C63C1B0"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6A0A3129"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ACS6</w:t>
            </w:r>
          </w:p>
          <w:p w14:paraId="240CE2E3"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1D68F50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000000"/>
                <w:sz w:val="20"/>
                <w:szCs w:val="20"/>
                <w:highlight w:val="white"/>
              </w:rPr>
              <w:t>At4g11280</w:t>
            </w:r>
          </w:p>
          <w:p w14:paraId="5E8C1FB2"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40A8E4ED"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2A633C3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TTAGCTAATCCCGGCGATGG</w:t>
            </w:r>
          </w:p>
        </w:tc>
      </w:tr>
      <w:tr w:rsidR="00D5128E" w:rsidRPr="00E7693B" w14:paraId="03DFE090" w14:textId="77777777" w:rsidTr="00BF245A">
        <w:trPr>
          <w:trHeight w:val="251"/>
          <w:jc w:val="center"/>
        </w:trPr>
        <w:tc>
          <w:tcPr>
            <w:tcW w:w="1309" w:type="dxa"/>
            <w:vMerge/>
            <w:tcBorders>
              <w:top w:val="single" w:sz="12" w:space="0" w:color="000000"/>
            </w:tcBorders>
          </w:tcPr>
          <w:p w14:paraId="4F539D55"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55C7A11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667AE530"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13B73E6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77E0BDD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ACAAGATTCACTCCGGTTCTCCA</w:t>
            </w:r>
          </w:p>
        </w:tc>
      </w:tr>
      <w:tr w:rsidR="00D5128E" w:rsidRPr="00E7693B" w14:paraId="00500754" w14:textId="77777777" w:rsidTr="00BF245A">
        <w:trPr>
          <w:trHeight w:val="251"/>
          <w:jc w:val="center"/>
        </w:trPr>
        <w:tc>
          <w:tcPr>
            <w:tcW w:w="1309" w:type="dxa"/>
            <w:vMerge/>
            <w:tcBorders>
              <w:top w:val="single" w:sz="12" w:space="0" w:color="000000"/>
            </w:tcBorders>
          </w:tcPr>
          <w:p w14:paraId="3EB6A6BD"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002783DF"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PDF1.2</w:t>
            </w:r>
          </w:p>
          <w:p w14:paraId="06FAA203"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5825EFB5" w14:textId="77777777" w:rsidR="00D5128E" w:rsidRPr="00E7693B" w:rsidRDefault="00D5128E" w:rsidP="00BF245A">
            <w:pPr>
              <w:spacing w:after="240"/>
              <w:jc w:val="center"/>
              <w:rPr>
                <w:rFonts w:ascii="Times New Roman" w:hAnsi="Times New Roman" w:cs="Times New Roman"/>
                <w:color w:val="000000"/>
                <w:sz w:val="20"/>
                <w:szCs w:val="20"/>
                <w:highlight w:val="white"/>
              </w:rPr>
            </w:pPr>
            <w:r w:rsidRPr="00E7693B">
              <w:rPr>
                <w:rFonts w:ascii="Times New Roman" w:hAnsi="Times New Roman" w:cs="Times New Roman"/>
                <w:sz w:val="20"/>
                <w:szCs w:val="20"/>
              </w:rPr>
              <w:lastRenderedPageBreak/>
              <w:t>At5g44420</w:t>
            </w:r>
          </w:p>
          <w:p w14:paraId="4269D7D3" w14:textId="77777777" w:rsidR="00D5128E" w:rsidRPr="00E7693B" w:rsidRDefault="00D5128E" w:rsidP="00BF245A">
            <w:pPr>
              <w:spacing w:after="240"/>
              <w:jc w:val="center"/>
              <w:rPr>
                <w:rFonts w:ascii="Times New Roman" w:hAnsi="Times New Roman" w:cs="Times New Roman"/>
                <w:color w:val="000000"/>
                <w:sz w:val="20"/>
                <w:szCs w:val="20"/>
                <w:highlight w:val="white"/>
              </w:rPr>
            </w:pPr>
          </w:p>
        </w:tc>
        <w:tc>
          <w:tcPr>
            <w:tcW w:w="897" w:type="dxa"/>
          </w:tcPr>
          <w:p w14:paraId="7189857A"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lastRenderedPageBreak/>
              <w:t>FP</w:t>
            </w:r>
          </w:p>
        </w:tc>
        <w:tc>
          <w:tcPr>
            <w:tcW w:w="3444" w:type="dxa"/>
          </w:tcPr>
          <w:p w14:paraId="43D292A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CTGTTACGTCCCATGTTAAA</w:t>
            </w:r>
          </w:p>
        </w:tc>
      </w:tr>
      <w:tr w:rsidR="00D5128E" w:rsidRPr="00E7693B" w14:paraId="160467FC" w14:textId="77777777" w:rsidTr="00BF245A">
        <w:trPr>
          <w:trHeight w:val="251"/>
          <w:jc w:val="center"/>
        </w:trPr>
        <w:tc>
          <w:tcPr>
            <w:tcW w:w="1309" w:type="dxa"/>
            <w:vMerge/>
            <w:tcBorders>
              <w:top w:val="single" w:sz="12" w:space="0" w:color="000000"/>
            </w:tcBorders>
          </w:tcPr>
          <w:p w14:paraId="1935D704"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41868275"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604787B8"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332E794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18EEA388"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TTACTCATAGAGTGACAGAGAC</w:t>
            </w:r>
          </w:p>
        </w:tc>
      </w:tr>
      <w:tr w:rsidR="00D5128E" w:rsidRPr="00E7693B" w14:paraId="566BCBBE" w14:textId="77777777" w:rsidTr="00BF245A">
        <w:trPr>
          <w:trHeight w:val="251"/>
          <w:jc w:val="center"/>
        </w:trPr>
        <w:tc>
          <w:tcPr>
            <w:tcW w:w="1309" w:type="dxa"/>
            <w:vMerge/>
            <w:tcBorders>
              <w:top w:val="single" w:sz="12" w:space="0" w:color="000000"/>
            </w:tcBorders>
          </w:tcPr>
          <w:p w14:paraId="4215DE47"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5BFD1851"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PR4/HEL</w:t>
            </w:r>
          </w:p>
          <w:p w14:paraId="179AC30E"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2739AB95"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At3g04720</w:t>
            </w:r>
          </w:p>
          <w:p w14:paraId="6A782F25"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1FB58B3D"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12AB731D"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CAAGTGTTTAAGGGTGAAGA</w:t>
            </w:r>
          </w:p>
        </w:tc>
      </w:tr>
      <w:tr w:rsidR="00D5128E" w:rsidRPr="00E7693B" w14:paraId="35454A71" w14:textId="77777777" w:rsidTr="00BF245A">
        <w:trPr>
          <w:trHeight w:val="251"/>
          <w:jc w:val="center"/>
        </w:trPr>
        <w:tc>
          <w:tcPr>
            <w:tcW w:w="1309" w:type="dxa"/>
            <w:vMerge/>
            <w:tcBorders>
              <w:top w:val="single" w:sz="12" w:space="0" w:color="000000"/>
            </w:tcBorders>
          </w:tcPr>
          <w:p w14:paraId="0074184F"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00D551D7"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12B14EFF"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Borders>
              <w:bottom w:val="single" w:sz="12" w:space="0" w:color="000000"/>
            </w:tcBorders>
          </w:tcPr>
          <w:p w14:paraId="373039DB"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Borders>
              <w:bottom w:val="single" w:sz="12" w:space="0" w:color="000000"/>
            </w:tcBorders>
          </w:tcPr>
          <w:p w14:paraId="50284E0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CATTGCTACATCCAAATCCA</w:t>
            </w:r>
          </w:p>
        </w:tc>
      </w:tr>
      <w:tr w:rsidR="00D5128E" w:rsidRPr="00E7693B" w14:paraId="30655D70" w14:textId="77777777" w:rsidTr="00BF245A">
        <w:trPr>
          <w:trHeight w:val="251"/>
          <w:jc w:val="center"/>
        </w:trPr>
        <w:tc>
          <w:tcPr>
            <w:tcW w:w="1309" w:type="dxa"/>
            <w:vMerge w:val="restart"/>
            <w:tcBorders>
              <w:top w:val="single" w:sz="12" w:space="0" w:color="000000"/>
            </w:tcBorders>
          </w:tcPr>
          <w:p w14:paraId="3E458EDE" w14:textId="77777777" w:rsidR="00D5128E" w:rsidRPr="00E7693B" w:rsidRDefault="00D5128E" w:rsidP="00BF245A">
            <w:pPr>
              <w:ind w:left="-20"/>
              <w:jc w:val="center"/>
              <w:rPr>
                <w:rFonts w:ascii="Times New Roman" w:hAnsi="Times New Roman" w:cs="Times New Roman"/>
                <w:b/>
                <w:i/>
              </w:rPr>
            </w:pPr>
            <w:r w:rsidRPr="00E7693B">
              <w:rPr>
                <w:rFonts w:ascii="Times New Roman" w:hAnsi="Times New Roman" w:cs="Times New Roman"/>
                <w:b/>
              </w:rPr>
              <w:t>Cauliflower</w:t>
            </w:r>
            <w:r w:rsidRPr="00E7693B">
              <w:rPr>
                <w:rFonts w:ascii="Times New Roman" w:hAnsi="Times New Roman" w:cs="Times New Roman"/>
                <w:b/>
                <w:i/>
              </w:rPr>
              <w:t xml:space="preserve"> (Brassica oleracea)</w:t>
            </w:r>
          </w:p>
          <w:p w14:paraId="0D86AEDF" w14:textId="77777777" w:rsidR="00D5128E" w:rsidRPr="00E7693B" w:rsidRDefault="00D5128E" w:rsidP="00BF245A">
            <w:pPr>
              <w:spacing w:after="240"/>
              <w:jc w:val="center"/>
              <w:rPr>
                <w:rFonts w:ascii="Times New Roman" w:hAnsi="Times New Roman" w:cs="Times New Roman"/>
                <w:sz w:val="18"/>
                <w:szCs w:val="18"/>
              </w:rPr>
            </w:pPr>
          </w:p>
        </w:tc>
        <w:tc>
          <w:tcPr>
            <w:tcW w:w="1039" w:type="dxa"/>
            <w:vMerge w:val="restart"/>
            <w:tcBorders>
              <w:top w:val="single" w:sz="12" w:space="0" w:color="000000"/>
            </w:tcBorders>
          </w:tcPr>
          <w:p w14:paraId="02EF5AC9"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EF1α</w:t>
            </w:r>
          </w:p>
          <w:p w14:paraId="337A8638"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Borders>
              <w:top w:val="single" w:sz="12" w:space="0" w:color="000000"/>
            </w:tcBorders>
          </w:tcPr>
          <w:p w14:paraId="7E7BEAD5" w14:textId="77777777" w:rsidR="00D5128E" w:rsidRPr="00E7693B" w:rsidRDefault="00D5128E" w:rsidP="00BF245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0"/>
                <w:szCs w:val="20"/>
              </w:rPr>
            </w:pPr>
            <w:r w:rsidRPr="00E7693B">
              <w:rPr>
                <w:rFonts w:ascii="Times New Roman" w:hAnsi="Times New Roman" w:cs="Times New Roman"/>
                <w:color w:val="000000"/>
                <w:sz w:val="20"/>
                <w:szCs w:val="20"/>
              </w:rPr>
              <w:t>XM_013730661</w:t>
            </w:r>
          </w:p>
          <w:p w14:paraId="72ECF213" w14:textId="77777777" w:rsidR="00D5128E" w:rsidRPr="00E7693B" w:rsidRDefault="00D5128E" w:rsidP="00BF245A">
            <w:pPr>
              <w:spacing w:after="240"/>
              <w:jc w:val="center"/>
              <w:rPr>
                <w:rFonts w:ascii="Times New Roman" w:hAnsi="Times New Roman" w:cs="Times New Roman"/>
                <w:sz w:val="20"/>
                <w:szCs w:val="20"/>
              </w:rPr>
            </w:pPr>
          </w:p>
        </w:tc>
        <w:tc>
          <w:tcPr>
            <w:tcW w:w="897" w:type="dxa"/>
            <w:tcBorders>
              <w:top w:val="single" w:sz="12" w:space="0" w:color="000000"/>
            </w:tcBorders>
          </w:tcPr>
          <w:p w14:paraId="070FB71F"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Borders>
              <w:top w:val="single" w:sz="12" w:space="0" w:color="000000"/>
            </w:tcBorders>
          </w:tcPr>
          <w:p w14:paraId="00F0C940"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ACAGGCGTTCTGGTAAG</w:t>
            </w:r>
          </w:p>
        </w:tc>
      </w:tr>
      <w:tr w:rsidR="00D5128E" w:rsidRPr="00E7693B" w14:paraId="0DC148B8" w14:textId="77777777" w:rsidTr="00BF245A">
        <w:trPr>
          <w:trHeight w:val="251"/>
          <w:jc w:val="center"/>
        </w:trPr>
        <w:tc>
          <w:tcPr>
            <w:tcW w:w="1309" w:type="dxa"/>
            <w:vMerge/>
            <w:tcBorders>
              <w:top w:val="single" w:sz="12" w:space="0" w:color="000000"/>
            </w:tcBorders>
          </w:tcPr>
          <w:p w14:paraId="3BBE6C94"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Borders>
              <w:top w:val="single" w:sz="12" w:space="0" w:color="000000"/>
            </w:tcBorders>
          </w:tcPr>
          <w:p w14:paraId="13583569"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Borders>
              <w:top w:val="single" w:sz="12" w:space="0" w:color="000000"/>
            </w:tcBorders>
          </w:tcPr>
          <w:p w14:paraId="3A05AB7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068F3E5C"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4058124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GCAACAGTCTGCCTCAT</w:t>
            </w:r>
          </w:p>
        </w:tc>
      </w:tr>
      <w:tr w:rsidR="00D5128E" w:rsidRPr="00E7693B" w14:paraId="14350C71" w14:textId="77777777" w:rsidTr="00BF245A">
        <w:trPr>
          <w:trHeight w:val="251"/>
          <w:jc w:val="center"/>
        </w:trPr>
        <w:tc>
          <w:tcPr>
            <w:tcW w:w="1309" w:type="dxa"/>
            <w:vMerge/>
            <w:tcBorders>
              <w:top w:val="single" w:sz="12" w:space="0" w:color="000000"/>
            </w:tcBorders>
          </w:tcPr>
          <w:p w14:paraId="4B0F6D0C"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29D733A9"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SAND</w:t>
            </w:r>
          </w:p>
          <w:p w14:paraId="3FE5AD1E"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692F1FC1" w14:textId="77777777" w:rsidR="00D5128E" w:rsidRPr="00E7693B" w:rsidRDefault="00D5128E" w:rsidP="00BF245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0"/>
                <w:szCs w:val="20"/>
              </w:rPr>
            </w:pPr>
            <w:r w:rsidRPr="00E7693B">
              <w:rPr>
                <w:rFonts w:ascii="Times New Roman" w:hAnsi="Times New Roman" w:cs="Times New Roman"/>
                <w:color w:val="000000"/>
                <w:sz w:val="20"/>
                <w:szCs w:val="20"/>
              </w:rPr>
              <w:t>XM_013775105</w:t>
            </w:r>
          </w:p>
          <w:p w14:paraId="4FE2105F"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2E9ADD83"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0630ABA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GATCAATCGCTGAAGGTG</w:t>
            </w:r>
          </w:p>
        </w:tc>
      </w:tr>
      <w:tr w:rsidR="00D5128E" w:rsidRPr="00E7693B" w14:paraId="3049A6E2" w14:textId="77777777" w:rsidTr="00BF245A">
        <w:trPr>
          <w:trHeight w:val="251"/>
          <w:jc w:val="center"/>
        </w:trPr>
        <w:tc>
          <w:tcPr>
            <w:tcW w:w="1309" w:type="dxa"/>
            <w:vMerge/>
            <w:tcBorders>
              <w:top w:val="single" w:sz="12" w:space="0" w:color="000000"/>
            </w:tcBorders>
          </w:tcPr>
          <w:p w14:paraId="522B136E"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59954EA2"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4FF6775D"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3D4E14CF"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778123DC"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GAAATGCCAAAGTCCAAA</w:t>
            </w:r>
          </w:p>
        </w:tc>
      </w:tr>
      <w:tr w:rsidR="00D5128E" w:rsidRPr="00E7693B" w14:paraId="226AD44A" w14:textId="77777777" w:rsidTr="00BF245A">
        <w:trPr>
          <w:trHeight w:val="251"/>
          <w:jc w:val="center"/>
        </w:trPr>
        <w:tc>
          <w:tcPr>
            <w:tcW w:w="1309" w:type="dxa"/>
            <w:vMerge/>
            <w:tcBorders>
              <w:top w:val="single" w:sz="12" w:space="0" w:color="000000"/>
            </w:tcBorders>
          </w:tcPr>
          <w:p w14:paraId="1493FE9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0C9B0CE6"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334A9AD0"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5021ED6F"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409EAD4A"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GACATGTCACCACTGCTCCA</w:t>
            </w:r>
          </w:p>
        </w:tc>
      </w:tr>
      <w:tr w:rsidR="00D5128E" w:rsidRPr="00E7693B" w14:paraId="31AFD114" w14:textId="77777777" w:rsidTr="00BF245A">
        <w:trPr>
          <w:trHeight w:val="251"/>
          <w:jc w:val="center"/>
        </w:trPr>
        <w:tc>
          <w:tcPr>
            <w:tcW w:w="1309" w:type="dxa"/>
            <w:vMerge/>
            <w:tcBorders>
              <w:top w:val="single" w:sz="12" w:space="0" w:color="000000"/>
            </w:tcBorders>
          </w:tcPr>
          <w:p w14:paraId="775EDDA4"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0D69D6B7"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ICS1</w:t>
            </w:r>
          </w:p>
          <w:p w14:paraId="305EE0F4"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42E8CC81" w14:textId="77777777" w:rsidR="00D5128E" w:rsidRPr="00E7693B" w:rsidRDefault="00D5128E" w:rsidP="00BF245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0"/>
                <w:szCs w:val="20"/>
              </w:rPr>
            </w:pPr>
            <w:r w:rsidRPr="00E7693B">
              <w:rPr>
                <w:rFonts w:ascii="Times New Roman" w:hAnsi="Times New Roman" w:cs="Times New Roman"/>
                <w:color w:val="000000"/>
                <w:sz w:val="20"/>
                <w:szCs w:val="20"/>
              </w:rPr>
              <w:t>XM_013732875</w:t>
            </w:r>
          </w:p>
          <w:p w14:paraId="77FA3EDC"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564A817F"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0356BD7B"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GGCCAGGCCTAATCTGAATG</w:t>
            </w:r>
          </w:p>
        </w:tc>
      </w:tr>
      <w:tr w:rsidR="00D5128E" w:rsidRPr="00E7693B" w14:paraId="0EC37B74" w14:textId="77777777" w:rsidTr="00BF245A">
        <w:trPr>
          <w:trHeight w:val="251"/>
          <w:jc w:val="center"/>
        </w:trPr>
        <w:tc>
          <w:tcPr>
            <w:tcW w:w="1309" w:type="dxa"/>
            <w:vMerge/>
            <w:tcBorders>
              <w:top w:val="single" w:sz="12" w:space="0" w:color="000000"/>
            </w:tcBorders>
          </w:tcPr>
          <w:p w14:paraId="40F4CB5A"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0A2A026E"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08ABFB6C"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48D9205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4CB9CB9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rPr>
              <w:t>CTGCTTCTGATGAGAGAACACT</w:t>
            </w:r>
          </w:p>
        </w:tc>
      </w:tr>
      <w:tr w:rsidR="00D5128E" w:rsidRPr="00E7693B" w14:paraId="5474A27F" w14:textId="77777777" w:rsidTr="00BF245A">
        <w:trPr>
          <w:trHeight w:val="251"/>
          <w:jc w:val="center"/>
        </w:trPr>
        <w:tc>
          <w:tcPr>
            <w:tcW w:w="1309" w:type="dxa"/>
            <w:vMerge/>
            <w:tcBorders>
              <w:top w:val="single" w:sz="12" w:space="0" w:color="000000"/>
            </w:tcBorders>
          </w:tcPr>
          <w:p w14:paraId="7C63DBB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1DF00B3E"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WRKY70</w:t>
            </w:r>
          </w:p>
          <w:p w14:paraId="1CEBF968"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23CBC0E2" w14:textId="77777777" w:rsidR="00D5128E" w:rsidRPr="00E7693B" w:rsidRDefault="00D5128E" w:rsidP="00BF245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0"/>
                <w:szCs w:val="20"/>
              </w:rPr>
            </w:pPr>
            <w:r w:rsidRPr="00E7693B">
              <w:rPr>
                <w:rFonts w:ascii="Times New Roman" w:hAnsi="Times New Roman" w:cs="Times New Roman"/>
                <w:color w:val="000000"/>
                <w:sz w:val="20"/>
                <w:szCs w:val="20"/>
              </w:rPr>
              <w:t>XM_013744419</w:t>
            </w:r>
          </w:p>
          <w:p w14:paraId="5AB3571F"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2D2222DE"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11A079FD"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GCAAGCTTGAGGATTCCGGT</w:t>
            </w:r>
          </w:p>
        </w:tc>
      </w:tr>
      <w:tr w:rsidR="00D5128E" w:rsidRPr="00E7693B" w14:paraId="60488F03" w14:textId="77777777" w:rsidTr="00BF245A">
        <w:trPr>
          <w:trHeight w:val="251"/>
          <w:jc w:val="center"/>
        </w:trPr>
        <w:tc>
          <w:tcPr>
            <w:tcW w:w="1309" w:type="dxa"/>
            <w:vMerge/>
            <w:tcBorders>
              <w:top w:val="single" w:sz="12" w:space="0" w:color="000000"/>
            </w:tcBorders>
          </w:tcPr>
          <w:p w14:paraId="198AB5D6"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796E8218"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1F81CB2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515A86EE"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18F73F6A"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TCTACAGTCCACGTCTCCGA</w:t>
            </w:r>
          </w:p>
        </w:tc>
      </w:tr>
      <w:tr w:rsidR="00D5128E" w:rsidRPr="00E7693B" w14:paraId="2FFF639F" w14:textId="77777777" w:rsidTr="00BF245A">
        <w:trPr>
          <w:trHeight w:val="251"/>
          <w:jc w:val="center"/>
        </w:trPr>
        <w:tc>
          <w:tcPr>
            <w:tcW w:w="1309" w:type="dxa"/>
            <w:vMerge/>
            <w:tcBorders>
              <w:top w:val="single" w:sz="12" w:space="0" w:color="000000"/>
            </w:tcBorders>
          </w:tcPr>
          <w:p w14:paraId="5AA34732"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44EF3297"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AOS</w:t>
            </w:r>
          </w:p>
          <w:p w14:paraId="27749423"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3E63CEEB" w14:textId="77777777" w:rsidR="00D5128E" w:rsidRPr="00E7693B" w:rsidRDefault="00D5128E" w:rsidP="00BF245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0"/>
                <w:szCs w:val="20"/>
              </w:rPr>
            </w:pPr>
            <w:r w:rsidRPr="00E7693B">
              <w:rPr>
                <w:rFonts w:ascii="Times New Roman" w:hAnsi="Times New Roman" w:cs="Times New Roman"/>
                <w:color w:val="000000"/>
                <w:sz w:val="20"/>
                <w:szCs w:val="20"/>
              </w:rPr>
              <w:t>XM_013765565</w:t>
            </w:r>
          </w:p>
          <w:p w14:paraId="1605DCCC"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79F44643"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2B387579"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rPr>
              <w:t>TAACCCGTCCGATCAAAGCC</w:t>
            </w:r>
          </w:p>
        </w:tc>
      </w:tr>
      <w:tr w:rsidR="00D5128E" w:rsidRPr="00E7693B" w14:paraId="515FFBA4" w14:textId="77777777" w:rsidTr="00BF245A">
        <w:trPr>
          <w:trHeight w:val="251"/>
          <w:jc w:val="center"/>
        </w:trPr>
        <w:tc>
          <w:tcPr>
            <w:tcW w:w="1309" w:type="dxa"/>
            <w:vMerge/>
            <w:tcBorders>
              <w:top w:val="single" w:sz="12" w:space="0" w:color="000000"/>
            </w:tcBorders>
          </w:tcPr>
          <w:p w14:paraId="739D9B3B"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005929C9"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77A4C787"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07877923"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733EF593"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rPr>
              <w:t>AGACCGTAGCTTCCAGGGAT</w:t>
            </w:r>
          </w:p>
        </w:tc>
      </w:tr>
      <w:tr w:rsidR="00D5128E" w:rsidRPr="00E7693B" w14:paraId="057F7A7A" w14:textId="77777777" w:rsidTr="00BF245A">
        <w:trPr>
          <w:trHeight w:val="251"/>
          <w:jc w:val="center"/>
        </w:trPr>
        <w:tc>
          <w:tcPr>
            <w:tcW w:w="1309" w:type="dxa"/>
            <w:vMerge/>
            <w:tcBorders>
              <w:top w:val="single" w:sz="12" w:space="0" w:color="000000"/>
            </w:tcBorders>
          </w:tcPr>
          <w:p w14:paraId="6A45AA80"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0DAAEE3C"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71821F54"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27F8C7D0"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0E16386E"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rPr>
              <w:t>TCGAACCCGTTGGCTTGAAT</w:t>
            </w:r>
          </w:p>
        </w:tc>
      </w:tr>
      <w:tr w:rsidR="00D5128E" w:rsidRPr="00E7693B" w14:paraId="2CAE26D7" w14:textId="77777777" w:rsidTr="00BF245A">
        <w:trPr>
          <w:trHeight w:val="251"/>
          <w:jc w:val="center"/>
        </w:trPr>
        <w:tc>
          <w:tcPr>
            <w:tcW w:w="1309" w:type="dxa"/>
            <w:vMerge/>
            <w:tcBorders>
              <w:top w:val="single" w:sz="12" w:space="0" w:color="000000"/>
            </w:tcBorders>
          </w:tcPr>
          <w:p w14:paraId="068A5BBD"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04EE04BB"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LOX3</w:t>
            </w:r>
          </w:p>
          <w:p w14:paraId="3A382DB6"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183E664D" w14:textId="77777777" w:rsidR="00D5128E" w:rsidRPr="00E7693B" w:rsidRDefault="00D5128E" w:rsidP="00BF245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0"/>
                <w:szCs w:val="20"/>
              </w:rPr>
            </w:pPr>
            <w:r w:rsidRPr="00E7693B">
              <w:rPr>
                <w:rFonts w:ascii="Times New Roman" w:hAnsi="Times New Roman" w:cs="Times New Roman"/>
                <w:color w:val="000000"/>
                <w:sz w:val="20"/>
                <w:szCs w:val="20"/>
              </w:rPr>
              <w:t>XM_013749276</w:t>
            </w:r>
          </w:p>
          <w:p w14:paraId="2CE760E1"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437C6776"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1699FDE6"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TCTGACCTCCAAAAGACCCT</w:t>
            </w:r>
          </w:p>
        </w:tc>
      </w:tr>
      <w:tr w:rsidR="00D5128E" w:rsidRPr="00E7693B" w14:paraId="6E99E3CB" w14:textId="77777777" w:rsidTr="00BF245A">
        <w:trPr>
          <w:trHeight w:val="251"/>
          <w:jc w:val="center"/>
        </w:trPr>
        <w:tc>
          <w:tcPr>
            <w:tcW w:w="1309" w:type="dxa"/>
            <w:vMerge/>
            <w:tcBorders>
              <w:top w:val="single" w:sz="12" w:space="0" w:color="000000"/>
            </w:tcBorders>
          </w:tcPr>
          <w:p w14:paraId="3014C81E"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284E01B7"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53A482A6"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69350AD8"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32EDF9EE"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ATCTTCACTGATGGCCGCAA</w:t>
            </w:r>
          </w:p>
        </w:tc>
      </w:tr>
      <w:tr w:rsidR="00D5128E" w:rsidRPr="00E7693B" w14:paraId="10EDA62E" w14:textId="77777777" w:rsidTr="00BF245A">
        <w:trPr>
          <w:trHeight w:val="251"/>
          <w:jc w:val="center"/>
        </w:trPr>
        <w:tc>
          <w:tcPr>
            <w:tcW w:w="1309" w:type="dxa"/>
            <w:vMerge/>
            <w:tcBorders>
              <w:top w:val="single" w:sz="12" w:space="0" w:color="000000"/>
            </w:tcBorders>
          </w:tcPr>
          <w:p w14:paraId="20C4D5C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3A496CC9"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ACS2</w:t>
            </w:r>
          </w:p>
          <w:p w14:paraId="2DDF37C8"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676BC88C" w14:textId="77777777" w:rsidR="00D5128E" w:rsidRPr="00E7693B" w:rsidRDefault="00D5128E" w:rsidP="00BF245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0"/>
                <w:szCs w:val="20"/>
              </w:rPr>
            </w:pPr>
            <w:r w:rsidRPr="00E7693B">
              <w:rPr>
                <w:rFonts w:ascii="Times New Roman" w:hAnsi="Times New Roman" w:cs="Times New Roman"/>
                <w:color w:val="000000"/>
                <w:sz w:val="20"/>
                <w:szCs w:val="20"/>
              </w:rPr>
              <w:t>XM_013781510</w:t>
            </w:r>
          </w:p>
          <w:p w14:paraId="2CF99B58"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7EC95BCD"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0DD3C9B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rPr>
              <w:t>CTACCAAAATGCCCAAGCCT</w:t>
            </w:r>
          </w:p>
        </w:tc>
      </w:tr>
      <w:tr w:rsidR="00D5128E" w:rsidRPr="00E7693B" w14:paraId="433EAED4" w14:textId="77777777" w:rsidTr="00BF245A">
        <w:trPr>
          <w:trHeight w:val="251"/>
          <w:jc w:val="center"/>
        </w:trPr>
        <w:tc>
          <w:tcPr>
            <w:tcW w:w="1309" w:type="dxa"/>
            <w:vMerge/>
            <w:tcBorders>
              <w:top w:val="single" w:sz="12" w:space="0" w:color="000000"/>
            </w:tcBorders>
          </w:tcPr>
          <w:p w14:paraId="080CF780"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747F933B"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5D40454E"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05AF996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3C9BE220"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AAGTCTGTCCAACGGGGATG</w:t>
            </w:r>
          </w:p>
        </w:tc>
      </w:tr>
      <w:tr w:rsidR="00D5128E" w:rsidRPr="00E7693B" w14:paraId="4B1204B0" w14:textId="77777777" w:rsidTr="00BF245A">
        <w:trPr>
          <w:trHeight w:val="251"/>
          <w:jc w:val="center"/>
        </w:trPr>
        <w:tc>
          <w:tcPr>
            <w:tcW w:w="1309" w:type="dxa"/>
            <w:vMerge/>
            <w:tcBorders>
              <w:top w:val="single" w:sz="12" w:space="0" w:color="000000"/>
            </w:tcBorders>
          </w:tcPr>
          <w:p w14:paraId="56C5E69D"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012CE896"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32E363E9"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587CBBEF"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4442A07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GGCGACAAAAGCGGAAAGTT</w:t>
            </w:r>
          </w:p>
        </w:tc>
      </w:tr>
      <w:tr w:rsidR="00D5128E" w:rsidRPr="00E7693B" w14:paraId="22B3A2D0" w14:textId="77777777" w:rsidTr="00BF245A">
        <w:trPr>
          <w:trHeight w:val="251"/>
          <w:jc w:val="center"/>
        </w:trPr>
        <w:tc>
          <w:tcPr>
            <w:tcW w:w="1309" w:type="dxa"/>
            <w:vMerge/>
            <w:tcBorders>
              <w:top w:val="single" w:sz="12" w:space="0" w:color="000000"/>
            </w:tcBorders>
          </w:tcPr>
          <w:p w14:paraId="0D4AB486"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05FC3154"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PDF3</w:t>
            </w:r>
          </w:p>
          <w:p w14:paraId="36FD2348"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283F4ABD" w14:textId="77777777" w:rsidR="00D5128E" w:rsidRPr="00E7693B" w:rsidRDefault="00D5128E" w:rsidP="00BF245A">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0"/>
                <w:szCs w:val="20"/>
              </w:rPr>
            </w:pPr>
            <w:r w:rsidRPr="00E7693B">
              <w:rPr>
                <w:rFonts w:ascii="Times New Roman" w:hAnsi="Times New Roman" w:cs="Times New Roman"/>
                <w:color w:val="000000"/>
                <w:sz w:val="20"/>
                <w:szCs w:val="20"/>
              </w:rPr>
              <w:t>XM_013736136</w:t>
            </w:r>
          </w:p>
          <w:p w14:paraId="1F22F660"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1B527FD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46FE3E95"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TGCAACAATGTGTTCCCTGC</w:t>
            </w:r>
          </w:p>
        </w:tc>
      </w:tr>
      <w:tr w:rsidR="00D5128E" w:rsidRPr="00E7693B" w14:paraId="17E13819" w14:textId="77777777" w:rsidTr="00BF245A">
        <w:trPr>
          <w:trHeight w:val="251"/>
          <w:jc w:val="center"/>
        </w:trPr>
        <w:tc>
          <w:tcPr>
            <w:tcW w:w="1309" w:type="dxa"/>
            <w:vMerge/>
            <w:tcBorders>
              <w:top w:val="single" w:sz="12" w:space="0" w:color="000000"/>
            </w:tcBorders>
          </w:tcPr>
          <w:p w14:paraId="6079C06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39D639A2"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6A6DC102"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0F925CAB"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7CF9D805"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TTGGTGTACTCGGTCTTCGG</w:t>
            </w:r>
          </w:p>
        </w:tc>
      </w:tr>
      <w:tr w:rsidR="00D5128E" w:rsidRPr="00E7693B" w14:paraId="2712DD1C" w14:textId="77777777" w:rsidTr="00BF245A">
        <w:trPr>
          <w:trHeight w:val="251"/>
          <w:jc w:val="center"/>
        </w:trPr>
        <w:tc>
          <w:tcPr>
            <w:tcW w:w="1309" w:type="dxa"/>
            <w:vMerge/>
            <w:tcBorders>
              <w:top w:val="single" w:sz="12" w:space="0" w:color="000000"/>
            </w:tcBorders>
          </w:tcPr>
          <w:p w14:paraId="3631C95C"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2F06A3B1"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20"/>
                <w:szCs w:val="20"/>
              </w:rPr>
              <w:t>PR4/HEL</w:t>
            </w:r>
          </w:p>
          <w:p w14:paraId="2CC28BE7"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3E7DE526" w14:textId="77777777" w:rsidR="00D5128E" w:rsidRPr="00E7693B" w:rsidRDefault="00D5128E" w:rsidP="00BF245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0"/>
                <w:szCs w:val="20"/>
              </w:rPr>
            </w:pPr>
            <w:r w:rsidRPr="00E7693B">
              <w:rPr>
                <w:rFonts w:ascii="Times New Roman" w:hAnsi="Times New Roman" w:cs="Times New Roman"/>
                <w:color w:val="000000"/>
                <w:sz w:val="20"/>
                <w:szCs w:val="20"/>
              </w:rPr>
              <w:t>XM_013770974</w:t>
            </w:r>
          </w:p>
          <w:p w14:paraId="7ECCC089"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100350E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6A42FDE3"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CTGGACAGCTTTTTGCGGTC</w:t>
            </w:r>
          </w:p>
        </w:tc>
      </w:tr>
      <w:tr w:rsidR="00D5128E" w:rsidRPr="00E7693B" w14:paraId="48FD95A5" w14:textId="77777777" w:rsidTr="00BF245A">
        <w:trPr>
          <w:trHeight w:val="251"/>
          <w:jc w:val="center"/>
        </w:trPr>
        <w:tc>
          <w:tcPr>
            <w:tcW w:w="1309" w:type="dxa"/>
            <w:vMerge/>
            <w:tcBorders>
              <w:top w:val="single" w:sz="12" w:space="0" w:color="000000"/>
            </w:tcBorders>
          </w:tcPr>
          <w:p w14:paraId="19B94760"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73F3FD4C"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72493B20"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7E6E37D4"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6560ADEF"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TCACAGTAGCTTGTGCTCCG</w:t>
            </w:r>
          </w:p>
        </w:tc>
      </w:tr>
      <w:tr w:rsidR="00D5128E" w:rsidRPr="00E7693B" w14:paraId="6FC371D1" w14:textId="77777777" w:rsidTr="00BF245A">
        <w:trPr>
          <w:trHeight w:val="251"/>
          <w:jc w:val="center"/>
        </w:trPr>
        <w:tc>
          <w:tcPr>
            <w:tcW w:w="1309" w:type="dxa"/>
            <w:vMerge/>
            <w:tcBorders>
              <w:top w:val="single" w:sz="12" w:space="0" w:color="000000"/>
            </w:tcBorders>
          </w:tcPr>
          <w:p w14:paraId="4362C364"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3EEEB51C" w14:textId="77777777" w:rsidR="00D5128E" w:rsidRPr="00E7693B" w:rsidRDefault="00D5128E" w:rsidP="00BF245A">
            <w:pPr>
              <w:spacing w:after="240"/>
              <w:jc w:val="center"/>
              <w:rPr>
                <w:rFonts w:ascii="Times New Roman" w:hAnsi="Times New Roman" w:cs="Times New Roman"/>
                <w:b/>
                <w:i/>
                <w:sz w:val="20"/>
                <w:szCs w:val="20"/>
              </w:rPr>
            </w:pPr>
            <w:proofErr w:type="spellStart"/>
            <w:r w:rsidRPr="00E7693B">
              <w:rPr>
                <w:rFonts w:ascii="Times New Roman" w:hAnsi="Times New Roman" w:cs="Times New Roman"/>
                <w:b/>
                <w:i/>
                <w:sz w:val="20"/>
                <w:szCs w:val="20"/>
              </w:rPr>
              <w:t>rbohC</w:t>
            </w:r>
            <w:proofErr w:type="spellEnd"/>
          </w:p>
          <w:p w14:paraId="66A6CE95"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28501B0C" w14:textId="77777777" w:rsidR="00D5128E" w:rsidRPr="00E7693B" w:rsidRDefault="00D5128E" w:rsidP="00BF245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0"/>
                <w:szCs w:val="20"/>
              </w:rPr>
            </w:pPr>
            <w:r w:rsidRPr="00E7693B">
              <w:rPr>
                <w:rFonts w:ascii="Times New Roman" w:hAnsi="Times New Roman" w:cs="Times New Roman"/>
                <w:color w:val="000000"/>
                <w:sz w:val="20"/>
                <w:szCs w:val="20"/>
              </w:rPr>
              <w:lastRenderedPageBreak/>
              <w:t>XM_013775186</w:t>
            </w:r>
          </w:p>
          <w:p w14:paraId="242A6AEF"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0A5528EC"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lastRenderedPageBreak/>
              <w:t>FP</w:t>
            </w:r>
          </w:p>
        </w:tc>
        <w:tc>
          <w:tcPr>
            <w:tcW w:w="3444" w:type="dxa"/>
          </w:tcPr>
          <w:p w14:paraId="000F8DE6"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rPr>
              <w:t>ATCGATGGTCCATACGGTGC</w:t>
            </w:r>
          </w:p>
        </w:tc>
      </w:tr>
      <w:tr w:rsidR="00D5128E" w:rsidRPr="00E7693B" w14:paraId="69DB3557" w14:textId="77777777" w:rsidTr="00BF245A">
        <w:trPr>
          <w:trHeight w:val="251"/>
          <w:jc w:val="center"/>
        </w:trPr>
        <w:tc>
          <w:tcPr>
            <w:tcW w:w="1309" w:type="dxa"/>
            <w:vMerge/>
            <w:tcBorders>
              <w:top w:val="single" w:sz="12" w:space="0" w:color="000000"/>
            </w:tcBorders>
          </w:tcPr>
          <w:p w14:paraId="37F240C9"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63AC28D2"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5EA6FD45"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474F1902"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407F2C8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TCGCTTGTTCCATGCTCCAT</w:t>
            </w:r>
          </w:p>
        </w:tc>
      </w:tr>
      <w:tr w:rsidR="00D5128E" w:rsidRPr="00E7693B" w14:paraId="1503F712" w14:textId="77777777" w:rsidTr="00BF245A">
        <w:trPr>
          <w:trHeight w:val="251"/>
          <w:jc w:val="center"/>
        </w:trPr>
        <w:tc>
          <w:tcPr>
            <w:tcW w:w="1309" w:type="dxa"/>
            <w:vMerge/>
            <w:tcBorders>
              <w:top w:val="single" w:sz="12" w:space="0" w:color="000000"/>
            </w:tcBorders>
          </w:tcPr>
          <w:p w14:paraId="199A3AB3"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4CCAB4AD" w14:textId="77777777" w:rsidR="00D5128E" w:rsidRPr="00E7693B" w:rsidRDefault="00D5128E" w:rsidP="00BF245A">
            <w:pPr>
              <w:spacing w:after="240"/>
              <w:jc w:val="center"/>
              <w:rPr>
                <w:rFonts w:ascii="Times New Roman" w:hAnsi="Times New Roman" w:cs="Times New Roman"/>
                <w:b/>
                <w:i/>
                <w:sz w:val="20"/>
                <w:szCs w:val="20"/>
              </w:rPr>
            </w:pPr>
            <w:proofErr w:type="spellStart"/>
            <w:r w:rsidRPr="00E7693B">
              <w:rPr>
                <w:rFonts w:ascii="Times New Roman" w:hAnsi="Times New Roman" w:cs="Times New Roman"/>
                <w:b/>
                <w:i/>
                <w:sz w:val="20"/>
                <w:szCs w:val="20"/>
              </w:rPr>
              <w:t>rbohF</w:t>
            </w:r>
            <w:proofErr w:type="spellEnd"/>
          </w:p>
          <w:p w14:paraId="17822DE9" w14:textId="77777777" w:rsidR="00D5128E" w:rsidRPr="00E7693B" w:rsidRDefault="00D5128E" w:rsidP="00BF245A">
            <w:pPr>
              <w:spacing w:after="240"/>
              <w:jc w:val="center"/>
              <w:rPr>
                <w:rFonts w:ascii="Times New Roman" w:hAnsi="Times New Roman" w:cs="Times New Roman"/>
                <w:b/>
                <w:i/>
                <w:sz w:val="20"/>
                <w:szCs w:val="20"/>
              </w:rPr>
            </w:pPr>
          </w:p>
        </w:tc>
        <w:tc>
          <w:tcPr>
            <w:tcW w:w="1539" w:type="dxa"/>
            <w:vMerge w:val="restart"/>
          </w:tcPr>
          <w:p w14:paraId="78280E0C" w14:textId="77777777" w:rsidR="00D5128E" w:rsidRPr="00E7693B" w:rsidRDefault="00D5128E" w:rsidP="00BF245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sz w:val="20"/>
                <w:szCs w:val="20"/>
              </w:rPr>
            </w:pPr>
            <w:r w:rsidRPr="00E7693B">
              <w:rPr>
                <w:rFonts w:ascii="Times New Roman" w:hAnsi="Times New Roman" w:cs="Times New Roman"/>
                <w:color w:val="000000"/>
                <w:sz w:val="20"/>
                <w:szCs w:val="20"/>
              </w:rPr>
              <w:t>XM_013756987</w:t>
            </w:r>
          </w:p>
          <w:p w14:paraId="33AFCA5C" w14:textId="77777777" w:rsidR="00D5128E" w:rsidRPr="00E7693B" w:rsidRDefault="00D5128E" w:rsidP="00BF245A">
            <w:pPr>
              <w:spacing w:after="240"/>
              <w:jc w:val="center"/>
              <w:rPr>
                <w:rFonts w:ascii="Times New Roman" w:hAnsi="Times New Roman" w:cs="Times New Roman"/>
                <w:sz w:val="20"/>
                <w:szCs w:val="20"/>
              </w:rPr>
            </w:pPr>
          </w:p>
        </w:tc>
        <w:tc>
          <w:tcPr>
            <w:tcW w:w="897" w:type="dxa"/>
          </w:tcPr>
          <w:p w14:paraId="79F309C1"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7BCA2540"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CTTGGCATTGGTGCAACTCC</w:t>
            </w:r>
          </w:p>
        </w:tc>
      </w:tr>
      <w:tr w:rsidR="00D5128E" w:rsidRPr="00E7693B" w14:paraId="0038A48A" w14:textId="77777777" w:rsidTr="00BF245A">
        <w:trPr>
          <w:trHeight w:val="251"/>
          <w:jc w:val="center"/>
        </w:trPr>
        <w:tc>
          <w:tcPr>
            <w:tcW w:w="1309" w:type="dxa"/>
            <w:vMerge/>
            <w:tcBorders>
              <w:top w:val="single" w:sz="12" w:space="0" w:color="000000"/>
            </w:tcBorders>
          </w:tcPr>
          <w:p w14:paraId="542A39E4"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tcPr>
          <w:p w14:paraId="72FBBD30"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539" w:type="dxa"/>
            <w:vMerge/>
          </w:tcPr>
          <w:p w14:paraId="3E95C0B7"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897" w:type="dxa"/>
          </w:tcPr>
          <w:p w14:paraId="120F0413"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651C0D5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color w:val="222222"/>
                <w:sz w:val="20"/>
                <w:szCs w:val="20"/>
                <w:highlight w:val="white"/>
              </w:rPr>
              <w:t>GTTGCCACTGTTGCTTCCTG</w:t>
            </w:r>
          </w:p>
        </w:tc>
      </w:tr>
      <w:tr w:rsidR="00D5128E" w:rsidRPr="00E7693B" w14:paraId="306CAD6A" w14:textId="77777777" w:rsidTr="00BF245A">
        <w:trPr>
          <w:trHeight w:val="251"/>
          <w:jc w:val="center"/>
        </w:trPr>
        <w:tc>
          <w:tcPr>
            <w:tcW w:w="1309" w:type="dxa"/>
            <w:vMerge/>
            <w:tcBorders>
              <w:top w:val="single" w:sz="12" w:space="0" w:color="000000"/>
            </w:tcBorders>
          </w:tcPr>
          <w:p w14:paraId="180D051F"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39" w:type="dxa"/>
            <w:vMerge w:val="restart"/>
          </w:tcPr>
          <w:p w14:paraId="468A3893" w14:textId="77777777" w:rsidR="00D5128E" w:rsidRPr="00E7693B" w:rsidRDefault="00D5128E" w:rsidP="00BF245A">
            <w:pPr>
              <w:spacing w:after="240"/>
              <w:jc w:val="center"/>
              <w:rPr>
                <w:rFonts w:ascii="Times New Roman" w:hAnsi="Times New Roman" w:cs="Times New Roman"/>
                <w:b/>
                <w:i/>
                <w:sz w:val="20"/>
                <w:szCs w:val="20"/>
              </w:rPr>
            </w:pPr>
            <w:r w:rsidRPr="00E7693B">
              <w:rPr>
                <w:rFonts w:ascii="Times New Roman" w:hAnsi="Times New Roman" w:cs="Times New Roman"/>
                <w:b/>
                <w:i/>
                <w:sz w:val="18"/>
                <w:szCs w:val="18"/>
              </w:rPr>
              <w:t>LmITS1</w:t>
            </w:r>
          </w:p>
        </w:tc>
        <w:tc>
          <w:tcPr>
            <w:tcW w:w="1539" w:type="dxa"/>
            <w:vMerge w:val="restart"/>
          </w:tcPr>
          <w:p w14:paraId="3FA93E18"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FJ172239</w:t>
            </w:r>
          </w:p>
        </w:tc>
        <w:tc>
          <w:tcPr>
            <w:tcW w:w="897" w:type="dxa"/>
          </w:tcPr>
          <w:p w14:paraId="5ABFF0D7"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FP</w:t>
            </w:r>
          </w:p>
        </w:tc>
        <w:tc>
          <w:tcPr>
            <w:tcW w:w="3444" w:type="dxa"/>
          </w:tcPr>
          <w:p w14:paraId="108744F2" w14:textId="77777777" w:rsidR="00D5128E" w:rsidRPr="00E7693B" w:rsidRDefault="00D5128E" w:rsidP="00BF245A">
            <w:pPr>
              <w:jc w:val="center"/>
              <w:rPr>
                <w:rFonts w:ascii="Times New Roman" w:hAnsi="Times New Roman" w:cs="Times New Roman"/>
                <w:color w:val="000000"/>
                <w:sz w:val="20"/>
                <w:szCs w:val="20"/>
              </w:rPr>
            </w:pPr>
            <w:r w:rsidRPr="00E7693B">
              <w:rPr>
                <w:rFonts w:ascii="Times New Roman" w:hAnsi="Times New Roman" w:cs="Times New Roman"/>
                <w:color w:val="000000"/>
                <w:sz w:val="20"/>
                <w:szCs w:val="20"/>
              </w:rPr>
              <w:t>GGTGTTGGGTGTTTGTTCCAC</w:t>
            </w:r>
          </w:p>
        </w:tc>
      </w:tr>
      <w:tr w:rsidR="00D5128E" w:rsidRPr="00E7693B" w14:paraId="67DB08EC" w14:textId="77777777" w:rsidTr="00BF245A">
        <w:trPr>
          <w:trHeight w:val="251"/>
          <w:jc w:val="center"/>
        </w:trPr>
        <w:tc>
          <w:tcPr>
            <w:tcW w:w="1309" w:type="dxa"/>
            <w:vMerge/>
            <w:tcBorders>
              <w:top w:val="single" w:sz="12" w:space="0" w:color="000000"/>
            </w:tcBorders>
          </w:tcPr>
          <w:p w14:paraId="54458982"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039" w:type="dxa"/>
            <w:vMerge/>
          </w:tcPr>
          <w:p w14:paraId="0AB91D71"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1539" w:type="dxa"/>
            <w:vMerge/>
          </w:tcPr>
          <w:p w14:paraId="7AAB2A06" w14:textId="77777777" w:rsidR="00D5128E" w:rsidRPr="00E7693B" w:rsidRDefault="00D5128E" w:rsidP="00BF245A">
            <w:pPr>
              <w:widowControl w:val="0"/>
              <w:pBdr>
                <w:top w:val="nil"/>
                <w:left w:val="nil"/>
                <w:bottom w:val="nil"/>
                <w:right w:val="nil"/>
                <w:between w:val="nil"/>
              </w:pBdr>
              <w:spacing w:line="276" w:lineRule="auto"/>
              <w:rPr>
                <w:rFonts w:ascii="Times New Roman" w:hAnsi="Times New Roman" w:cs="Times New Roman"/>
                <w:color w:val="000000"/>
                <w:sz w:val="20"/>
                <w:szCs w:val="20"/>
              </w:rPr>
            </w:pPr>
          </w:p>
        </w:tc>
        <w:tc>
          <w:tcPr>
            <w:tcW w:w="897" w:type="dxa"/>
          </w:tcPr>
          <w:p w14:paraId="13782E4E" w14:textId="77777777" w:rsidR="00D5128E" w:rsidRPr="00E7693B" w:rsidRDefault="00D5128E" w:rsidP="00BF245A">
            <w:pPr>
              <w:spacing w:after="240"/>
              <w:jc w:val="center"/>
              <w:rPr>
                <w:rFonts w:ascii="Times New Roman" w:hAnsi="Times New Roman" w:cs="Times New Roman"/>
                <w:sz w:val="20"/>
                <w:szCs w:val="20"/>
              </w:rPr>
            </w:pPr>
            <w:r w:rsidRPr="00E7693B">
              <w:rPr>
                <w:rFonts w:ascii="Times New Roman" w:hAnsi="Times New Roman" w:cs="Times New Roman"/>
                <w:sz w:val="20"/>
                <w:szCs w:val="20"/>
              </w:rPr>
              <w:t>RP</w:t>
            </w:r>
          </w:p>
        </w:tc>
        <w:tc>
          <w:tcPr>
            <w:tcW w:w="3444" w:type="dxa"/>
          </w:tcPr>
          <w:p w14:paraId="04951F36" w14:textId="77777777" w:rsidR="00D5128E" w:rsidRPr="00E7693B" w:rsidRDefault="00D5128E" w:rsidP="00BF245A">
            <w:pPr>
              <w:jc w:val="center"/>
              <w:rPr>
                <w:rFonts w:ascii="Times New Roman" w:hAnsi="Times New Roman" w:cs="Times New Roman"/>
                <w:color w:val="000000"/>
                <w:sz w:val="20"/>
                <w:szCs w:val="20"/>
              </w:rPr>
            </w:pPr>
            <w:r w:rsidRPr="00E7693B">
              <w:rPr>
                <w:rFonts w:ascii="Times New Roman" w:hAnsi="Times New Roman" w:cs="Times New Roman"/>
                <w:color w:val="000000"/>
                <w:sz w:val="20"/>
                <w:szCs w:val="20"/>
              </w:rPr>
              <w:t>GGCTGCCAATTGTTTCAAGG</w:t>
            </w:r>
          </w:p>
        </w:tc>
      </w:tr>
    </w:tbl>
    <w:p w14:paraId="58F22950" w14:textId="77777777" w:rsidR="00D5128E" w:rsidRPr="00285415" w:rsidRDefault="00D5128E" w:rsidP="00D5128E">
      <w:pPr>
        <w:rPr>
          <w:rFonts w:ascii="Times New Roman" w:hAnsi="Times New Roman" w:cs="Times New Roman"/>
          <w:color w:val="000000"/>
          <w:sz w:val="24"/>
          <w:szCs w:val="24"/>
        </w:rPr>
      </w:pPr>
    </w:p>
    <w:p w14:paraId="215098ED" w14:textId="77777777" w:rsidR="00E7693B" w:rsidRPr="00BB742A" w:rsidRDefault="00E7693B" w:rsidP="00684A4C">
      <w:pPr>
        <w:pStyle w:val="Heading2"/>
      </w:pPr>
      <w:bookmarkStart w:id="39" w:name="_Toc167977611"/>
      <w:r w:rsidRPr="00BB742A">
        <w:t>Glucosinolate (GLS) analysis</w:t>
      </w:r>
      <w:bookmarkEnd w:id="39"/>
    </w:p>
    <w:p w14:paraId="215098EE"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14:paraId="215098EF" w14:textId="38F9DF86" w:rsidR="00E7693B" w:rsidRPr="00BB742A" w:rsidRDefault="00E7693B" w:rsidP="00684A4C">
      <w:pPr>
        <w:spacing w:after="0" w:line="360" w:lineRule="auto"/>
        <w:ind w:firstLine="576"/>
        <w:jc w:val="both"/>
        <w:rPr>
          <w:rFonts w:ascii="Times New Roman" w:hAnsi="Times New Roman" w:cs="Times New Roman"/>
          <w:sz w:val="24"/>
          <w:szCs w:val="24"/>
        </w:rPr>
      </w:pPr>
      <w:r w:rsidRPr="00BB742A">
        <w:rPr>
          <w:rFonts w:ascii="Times New Roman" w:hAnsi="Times New Roman" w:cs="Times New Roman"/>
          <w:color w:val="000000"/>
          <w:sz w:val="24"/>
          <w:szCs w:val="24"/>
        </w:rPr>
        <w:t xml:space="preserve">Freeze-dried true leaves and cotyledons of oilseed rape, and true leaves of cauliflower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first ground in a pre-cooled mortar and 20 – 80 mg leaf material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then used for extraction with 300 </w:t>
      </w:r>
      <w:proofErr w:type="spellStart"/>
      <w:r w:rsidRPr="00BB742A">
        <w:rPr>
          <w:rFonts w:ascii="Times New Roman" w:hAnsi="Times New Roman" w:cs="Times New Roman"/>
          <w:color w:val="000000"/>
          <w:sz w:val="24"/>
          <w:szCs w:val="24"/>
        </w:rPr>
        <w:t>μl</w:t>
      </w:r>
      <w:proofErr w:type="spellEnd"/>
      <w:r w:rsidRPr="00BB742A">
        <w:rPr>
          <w:rFonts w:ascii="Times New Roman" w:hAnsi="Times New Roman" w:cs="Times New Roman"/>
          <w:color w:val="000000"/>
          <w:sz w:val="24"/>
          <w:szCs w:val="24"/>
        </w:rPr>
        <w:t xml:space="preserve"> of 85 % methanol (v/v) for 5 min at room temperature before 10 </w:t>
      </w:r>
      <w:proofErr w:type="spellStart"/>
      <w:r w:rsidRPr="00BB742A">
        <w:rPr>
          <w:rFonts w:ascii="Times New Roman" w:hAnsi="Times New Roman" w:cs="Times New Roman"/>
          <w:color w:val="000000"/>
          <w:sz w:val="24"/>
          <w:szCs w:val="24"/>
        </w:rPr>
        <w:t>μM</w:t>
      </w:r>
      <w:proofErr w:type="spellEnd"/>
      <w:r w:rsidRPr="00BB742A">
        <w:rPr>
          <w:rFonts w:ascii="Times New Roman" w:hAnsi="Times New Roman" w:cs="Times New Roman"/>
          <w:color w:val="000000"/>
          <w:sz w:val="24"/>
          <w:szCs w:val="24"/>
        </w:rPr>
        <w:t xml:space="preserve"> p-OH-benzyl glucosinolate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added as an internal standard. Then, 96-well filter plates (Millipore, cat. no. MAHVN 4550) with 45 </w:t>
      </w:r>
      <w:proofErr w:type="spellStart"/>
      <w:r w:rsidRPr="00BB742A">
        <w:rPr>
          <w:rFonts w:ascii="Times New Roman" w:hAnsi="Times New Roman" w:cs="Times New Roman"/>
          <w:color w:val="000000"/>
          <w:sz w:val="24"/>
          <w:szCs w:val="24"/>
        </w:rPr>
        <w:t>μl</w:t>
      </w:r>
      <w:proofErr w:type="spellEnd"/>
      <w:r w:rsidRPr="00BB742A">
        <w:rPr>
          <w:rFonts w:ascii="Times New Roman" w:hAnsi="Times New Roman" w:cs="Times New Roman"/>
          <w:color w:val="000000"/>
          <w:sz w:val="24"/>
          <w:szCs w:val="24"/>
        </w:rPr>
        <w:t xml:space="preserve"> Sephadex A-25</w:t>
      </w:r>
      <w:r w:rsidRPr="00BB742A">
        <w:rPr>
          <w:rFonts w:ascii="Times New Roman" w:hAnsi="Times New Roman" w:cs="Times New Roman"/>
          <w:sz w:val="24"/>
          <w:szCs w:val="24"/>
        </w:rPr>
        <w:t xml:space="preserve"> were</w:t>
      </w:r>
      <w:r w:rsidRPr="00BB742A">
        <w:rPr>
          <w:rFonts w:ascii="Times New Roman" w:hAnsi="Times New Roman" w:cs="Times New Roman"/>
          <w:color w:val="000000"/>
          <w:sz w:val="24"/>
          <w:szCs w:val="24"/>
        </w:rPr>
        <w:t xml:space="preserve"> loaded using the Millipore multiscreen column loader (Millipore, cat. no. MACL 09645), and 300 </w:t>
      </w:r>
      <w:proofErr w:type="spellStart"/>
      <w:r w:rsidRPr="00BB742A">
        <w:rPr>
          <w:rFonts w:ascii="Times New Roman" w:hAnsi="Times New Roman" w:cs="Times New Roman"/>
          <w:color w:val="000000"/>
          <w:sz w:val="24"/>
          <w:szCs w:val="24"/>
        </w:rPr>
        <w:t>μl</w:t>
      </w:r>
      <w:proofErr w:type="spellEnd"/>
      <w:r w:rsidRPr="00BB742A">
        <w:rPr>
          <w:rFonts w:ascii="Times New Roman" w:hAnsi="Times New Roman" w:cs="Times New Roman"/>
          <w:color w:val="000000"/>
          <w:sz w:val="24"/>
          <w:szCs w:val="24"/>
        </w:rPr>
        <w:t xml:space="preserve"> of water was added and equilibrated. After 2 – 6 h, the water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removed from 96-well filter plates using vacuum for 2</w:t>
      </w:r>
      <w:r w:rsidRPr="00BB742A">
        <w:rPr>
          <w:rFonts w:ascii="Times New Roman" w:hAnsi="Times New Roman" w:cs="Times New Roman"/>
          <w:sz w:val="24"/>
          <w:szCs w:val="24"/>
        </w:rPr>
        <w:t xml:space="preserve"> – 4 s</w:t>
      </w:r>
      <w:r w:rsidRPr="00BB742A">
        <w:rPr>
          <w:rFonts w:ascii="Times New Roman" w:hAnsi="Times New Roman" w:cs="Times New Roman"/>
          <w:color w:val="000000"/>
          <w:sz w:val="24"/>
          <w:szCs w:val="24"/>
        </w:rPr>
        <w:t xml:space="preserve">. Then, 150 </w:t>
      </w:r>
      <w:proofErr w:type="spellStart"/>
      <w:r w:rsidRPr="00BB742A">
        <w:rPr>
          <w:rFonts w:ascii="Times New Roman" w:hAnsi="Times New Roman" w:cs="Times New Roman"/>
          <w:color w:val="000000"/>
          <w:sz w:val="24"/>
          <w:szCs w:val="24"/>
        </w:rPr>
        <w:t>μl</w:t>
      </w:r>
      <w:proofErr w:type="spellEnd"/>
      <w:r w:rsidRPr="00BB742A">
        <w:rPr>
          <w:rFonts w:ascii="Times New Roman" w:hAnsi="Times New Roman" w:cs="Times New Roman"/>
          <w:color w:val="000000"/>
          <w:sz w:val="24"/>
          <w:szCs w:val="24"/>
        </w:rPr>
        <w:t xml:space="preserve"> of supernatant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added into each well in the filter plates and vacuum applied for 2 </w:t>
      </w:r>
      <w:r w:rsidRPr="00BB742A">
        <w:rPr>
          <w:rFonts w:ascii="Times New Roman" w:hAnsi="Times New Roman" w:cs="Times New Roman"/>
          <w:sz w:val="24"/>
          <w:szCs w:val="24"/>
        </w:rPr>
        <w:t xml:space="preserve">– </w:t>
      </w:r>
      <w:r w:rsidRPr="00BB742A">
        <w:rPr>
          <w:rFonts w:ascii="Times New Roman" w:hAnsi="Times New Roman" w:cs="Times New Roman"/>
          <w:color w:val="000000"/>
          <w:sz w:val="24"/>
          <w:szCs w:val="24"/>
        </w:rPr>
        <w:t xml:space="preserve">4 s. The column </w:t>
      </w:r>
      <w:r w:rsidRPr="00BB742A">
        <w:rPr>
          <w:rFonts w:ascii="Times New Roman" w:hAnsi="Times New Roman" w:cs="Times New Roman"/>
          <w:sz w:val="24"/>
          <w:szCs w:val="24"/>
        </w:rPr>
        <w:t xml:space="preserve">was </w:t>
      </w:r>
      <w:r w:rsidRPr="00BB742A">
        <w:rPr>
          <w:rFonts w:ascii="Times New Roman" w:hAnsi="Times New Roman" w:cs="Times New Roman"/>
          <w:color w:val="000000"/>
          <w:sz w:val="24"/>
          <w:szCs w:val="24"/>
        </w:rPr>
        <w:t xml:space="preserve">then washed two times with 100 </w:t>
      </w:r>
      <w:proofErr w:type="spellStart"/>
      <w:r w:rsidRPr="00BB742A">
        <w:rPr>
          <w:rFonts w:ascii="Times New Roman" w:hAnsi="Times New Roman" w:cs="Times New Roman"/>
          <w:color w:val="000000"/>
          <w:sz w:val="24"/>
          <w:szCs w:val="24"/>
        </w:rPr>
        <w:t>μl</w:t>
      </w:r>
      <w:proofErr w:type="spellEnd"/>
      <w:r w:rsidRPr="00BB742A">
        <w:rPr>
          <w:rFonts w:ascii="Times New Roman" w:hAnsi="Times New Roman" w:cs="Times New Roman"/>
          <w:color w:val="000000"/>
          <w:sz w:val="24"/>
          <w:szCs w:val="24"/>
        </w:rPr>
        <w:t xml:space="preserve"> of 70 % methanol and two times with 100 </w:t>
      </w:r>
      <w:proofErr w:type="spellStart"/>
      <w:r w:rsidRPr="00BB742A">
        <w:rPr>
          <w:rFonts w:ascii="Times New Roman" w:hAnsi="Times New Roman" w:cs="Times New Roman"/>
          <w:color w:val="000000"/>
          <w:sz w:val="24"/>
          <w:szCs w:val="24"/>
        </w:rPr>
        <w:t>μl</w:t>
      </w:r>
      <w:proofErr w:type="spellEnd"/>
      <w:r w:rsidRPr="00BB742A">
        <w:rPr>
          <w:rFonts w:ascii="Times New Roman" w:hAnsi="Times New Roman" w:cs="Times New Roman"/>
          <w:color w:val="000000"/>
          <w:sz w:val="24"/>
          <w:szCs w:val="24"/>
        </w:rPr>
        <w:t xml:space="preserve"> of water, and vacuum applied between each washing step. After washing, 20 </w:t>
      </w:r>
      <w:proofErr w:type="spellStart"/>
      <w:r w:rsidRPr="00BB742A">
        <w:rPr>
          <w:rFonts w:ascii="Times New Roman" w:hAnsi="Times New Roman" w:cs="Times New Roman"/>
          <w:color w:val="000000"/>
          <w:sz w:val="24"/>
          <w:szCs w:val="24"/>
        </w:rPr>
        <w:t>μl</w:t>
      </w:r>
      <w:proofErr w:type="spellEnd"/>
      <w:r w:rsidRPr="00BB742A">
        <w:rPr>
          <w:rFonts w:ascii="Times New Roman" w:hAnsi="Times New Roman" w:cs="Times New Roman"/>
          <w:color w:val="000000"/>
          <w:sz w:val="24"/>
          <w:szCs w:val="24"/>
        </w:rPr>
        <w:t xml:space="preserve"> of sulfatase solution </w:t>
      </w:r>
      <w:r w:rsidRPr="00BB742A">
        <w:rPr>
          <w:rFonts w:ascii="Times New Roman" w:hAnsi="Times New Roman" w:cs="Times New Roman"/>
          <w:sz w:val="24"/>
          <w:szCs w:val="24"/>
        </w:rPr>
        <w:t xml:space="preserve">was </w:t>
      </w:r>
      <w:r w:rsidRPr="00BB742A">
        <w:rPr>
          <w:rFonts w:ascii="Times New Roman" w:hAnsi="Times New Roman" w:cs="Times New Roman"/>
          <w:color w:val="000000"/>
          <w:sz w:val="24"/>
          <w:szCs w:val="24"/>
        </w:rPr>
        <w:t xml:space="preserve">added, and the plate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incubated </w:t>
      </w:r>
      <w:r w:rsidRPr="00BB742A">
        <w:rPr>
          <w:rFonts w:ascii="Times New Roman" w:hAnsi="Times New Roman" w:cs="Times New Roman"/>
          <w:sz w:val="24"/>
          <w:szCs w:val="24"/>
        </w:rPr>
        <w:t>at room</w:t>
      </w:r>
      <w:r w:rsidRPr="00BB742A">
        <w:rPr>
          <w:rFonts w:ascii="Times New Roman" w:hAnsi="Times New Roman" w:cs="Times New Roman"/>
          <w:color w:val="000000"/>
          <w:sz w:val="24"/>
          <w:szCs w:val="24"/>
        </w:rPr>
        <w:t xml:space="preserve"> temperature. The next day, 100 </w:t>
      </w:r>
      <w:proofErr w:type="spellStart"/>
      <w:r w:rsidRPr="00BB742A">
        <w:rPr>
          <w:rFonts w:ascii="Times New Roman" w:hAnsi="Times New Roman" w:cs="Times New Roman"/>
          <w:color w:val="000000"/>
          <w:sz w:val="24"/>
          <w:szCs w:val="24"/>
        </w:rPr>
        <w:t>μl</w:t>
      </w:r>
      <w:proofErr w:type="spellEnd"/>
      <w:r w:rsidRPr="00BB742A">
        <w:rPr>
          <w:rFonts w:ascii="Times New Roman" w:hAnsi="Times New Roman" w:cs="Times New Roman"/>
          <w:color w:val="000000"/>
          <w:sz w:val="24"/>
          <w:szCs w:val="24"/>
        </w:rPr>
        <w:t xml:space="preserve"> of Milli-Q water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added to each well in the 96-well filter plates. Filter plates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then placed on top of 96-well plates (Millipore, cat. no. MDCPN2M50) and aligned. After a short centrifugation, samples </w:t>
      </w:r>
      <w:r w:rsidRPr="00BB742A">
        <w:rPr>
          <w:rFonts w:ascii="Times New Roman" w:hAnsi="Times New Roman" w:cs="Times New Roman"/>
          <w:sz w:val="24"/>
          <w:szCs w:val="24"/>
        </w:rPr>
        <w:t>were</w:t>
      </w:r>
      <w:r w:rsidRPr="00BB742A">
        <w:rPr>
          <w:rFonts w:ascii="Times New Roman" w:hAnsi="Times New Roman" w:cs="Times New Roman"/>
          <w:color w:val="000000"/>
          <w:sz w:val="24"/>
          <w:szCs w:val="24"/>
        </w:rPr>
        <w:t xml:space="preserve"> diluted </w:t>
      </w:r>
      <w:r w:rsidRPr="00BB742A">
        <w:rPr>
          <w:rFonts w:ascii="Times New Roman" w:hAnsi="Times New Roman" w:cs="Times New Roman"/>
          <w:sz w:val="24"/>
          <w:szCs w:val="24"/>
        </w:rPr>
        <w:t>to</w:t>
      </w:r>
      <w:r w:rsidRPr="00BB742A">
        <w:rPr>
          <w:rFonts w:ascii="Times New Roman" w:hAnsi="Times New Roman" w:cs="Times New Roman"/>
          <w:color w:val="000000"/>
          <w:sz w:val="24"/>
          <w:szCs w:val="24"/>
        </w:rPr>
        <w:t xml:space="preserve"> 1:10 with Milli-Q water for </w:t>
      </w:r>
      <w:r w:rsidR="007567C3" w:rsidRPr="007567C3">
        <w:rPr>
          <w:rFonts w:ascii="Times New Roman" w:hAnsi="Times New Roman" w:cs="Times New Roman"/>
          <w:color w:val="000000"/>
          <w:sz w:val="24"/>
          <w:szCs w:val="24"/>
        </w:rPr>
        <w:t>UHPLC/TQ</w:t>
      </w:r>
      <w:r w:rsidR="007567C3">
        <w:rPr>
          <w:rFonts w:ascii="Times New Roman" w:hAnsi="Times New Roman" w:cs="Times New Roman"/>
          <w:color w:val="000000"/>
          <w:sz w:val="24"/>
          <w:szCs w:val="24"/>
        </w:rPr>
        <w:noBreakHyphen/>
      </w:r>
      <w:r w:rsidR="007567C3" w:rsidRPr="007567C3">
        <w:rPr>
          <w:rFonts w:ascii="Times New Roman" w:hAnsi="Times New Roman" w:cs="Times New Roman"/>
          <w:color w:val="000000"/>
          <w:sz w:val="24"/>
          <w:szCs w:val="24"/>
        </w:rPr>
        <w:t>MS</w:t>
      </w:r>
      <w:r w:rsidRPr="00BB742A">
        <w:rPr>
          <w:rFonts w:ascii="Times New Roman" w:hAnsi="Times New Roman" w:cs="Times New Roman"/>
          <w:color w:val="000000"/>
          <w:sz w:val="24"/>
          <w:szCs w:val="24"/>
        </w:rPr>
        <w:t xml:space="preserve"> analysis </w:t>
      </w:r>
      <w:r w:rsidR="00F34ED2">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{"citationID":"AW0xU5fp","properties":{"formattedCitation":"(Burow et al., 2006; Crocoll et al., 2016)","plainCitation":"(Burow et al., 2006; Crocoll et al., 2016)","noteIndex":0},"citationItems":[{"id":195,"uris":["http://zotero.org/users/10895598/items/VCCAIX27"],"itemData":{"id":195,"type":"article-journal","container-title":"Journal of Chemical Ecology","DOI":"10.1007/s10886-006-9149-1","ISSN":"0098-0331, 1573-1561","issue":"11","journalAbbreviation":"J Chem Ecol","language":"en","page":"2333-2349","source":"DOI.org (Crossref)","title":"Altered glucosinolate hydrolysis in genetically engineered &lt;i&gt;Arabidopsis thaliana&lt;/i&gt; and its influence on the larval development of &lt;i&gt;Spodoptera littoralis&lt;/i&gt;","volume":"32","author":[{"family":"Burow","given":"Meike"},{"family":"Müller","given":"René"},{"family":"Gershenzon","given":"Jonathan"},{"family":"Wittstock","given":"Ute"}],"issued":{"date-parts":[["2006",11,15]]}}},{"id":288,"uris":["http://zotero.org/users/10895598/items/RWPFLDVC"],"itemData":{"id":288,"type":"article-journal","container-title":"Current Protocols in Plant Biology","DOI":"10.1002/cppb.20027","ISSN":"23798068","issue":"2","journalAbbreviation":"Current Protocols in Plant Biology","language":"en","page":"385-409","source":"DOI.org (Crossref)","title":"Analysis and quantification of glucosinolates","volume":"1","author":[{"family":"Crocoll","given":"Christoph"},{"family":"Halkier","given":"Barbara Ann"},{"family":"Burow","given":"Meike"}],"issued":{"date-parts":[["2016",3]]}}}],"schema":"https://github.com/citation-style-language/schema/raw/master/csl-citation.json"} </w:instrText>
      </w:r>
      <w:r w:rsidR="00F34ED2">
        <w:rPr>
          <w:rFonts w:ascii="Times New Roman" w:hAnsi="Times New Roman" w:cs="Times New Roman"/>
          <w:sz w:val="24"/>
          <w:szCs w:val="24"/>
        </w:rPr>
        <w:fldChar w:fldCharType="separate"/>
      </w:r>
      <w:r w:rsidR="00487590" w:rsidRPr="00487590">
        <w:rPr>
          <w:rFonts w:ascii="Times New Roman" w:hAnsi="Times New Roman" w:cs="Times New Roman"/>
          <w:sz w:val="24"/>
        </w:rPr>
        <w:t>(Burow et al., 2006; Crocoll et al., 2016)</w:t>
      </w:r>
      <w:r w:rsidR="00F34ED2">
        <w:rPr>
          <w:rFonts w:ascii="Times New Roman" w:hAnsi="Times New Roman" w:cs="Times New Roman"/>
          <w:sz w:val="24"/>
          <w:szCs w:val="24"/>
        </w:rPr>
        <w:fldChar w:fldCharType="end"/>
      </w:r>
      <w:r w:rsidRPr="00BB742A">
        <w:rPr>
          <w:rFonts w:ascii="Times New Roman" w:hAnsi="Times New Roman" w:cs="Times New Roman"/>
          <w:color w:val="000000"/>
          <w:sz w:val="24"/>
          <w:szCs w:val="24"/>
          <w:highlight w:val="white"/>
        </w:rPr>
        <w:t>.</w:t>
      </w:r>
      <w:r w:rsidRPr="00BB742A">
        <w:rPr>
          <w:rFonts w:ascii="Times New Roman" w:hAnsi="Times New Roman" w:cs="Times New Roman"/>
          <w:color w:val="000000"/>
          <w:sz w:val="24"/>
          <w:szCs w:val="24"/>
        </w:rPr>
        <w:t xml:space="preserve"> </w:t>
      </w:r>
    </w:p>
    <w:p w14:paraId="215098F0"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14:paraId="215098F1" w14:textId="77777777" w:rsidR="00E7693B" w:rsidRPr="00BB742A" w:rsidRDefault="00E7693B" w:rsidP="00684A4C">
      <w:pPr>
        <w:pStyle w:val="Heading2"/>
      </w:pPr>
      <w:bookmarkStart w:id="40" w:name="_Toc167977612"/>
      <w:r w:rsidRPr="00BB742A">
        <w:t>Volatile organic compound (VOC) analysis</w:t>
      </w:r>
      <w:bookmarkEnd w:id="40"/>
    </w:p>
    <w:p w14:paraId="215098F2"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14:paraId="215098F3" w14:textId="3D2857CF" w:rsidR="00E7693B" w:rsidRPr="00BB742A" w:rsidRDefault="00E7693B" w:rsidP="00684A4C">
      <w:pPr>
        <w:spacing w:after="0" w:line="360" w:lineRule="auto"/>
        <w:ind w:firstLine="576"/>
        <w:jc w:val="both"/>
        <w:rPr>
          <w:rFonts w:ascii="Times New Roman" w:hAnsi="Times New Roman" w:cs="Times New Roman"/>
          <w:sz w:val="24"/>
          <w:szCs w:val="24"/>
        </w:rPr>
      </w:pPr>
      <w:r w:rsidRPr="00BB742A">
        <w:rPr>
          <w:rFonts w:ascii="Times New Roman" w:hAnsi="Times New Roman" w:cs="Times New Roman"/>
          <w:sz w:val="24"/>
          <w:szCs w:val="24"/>
        </w:rPr>
        <w:t xml:space="preserve">Analysis of VOCs was performed only on detached true leaves of oilseed rape inoculated with </w:t>
      </w:r>
      <w:r w:rsidRPr="00BB742A">
        <w:rPr>
          <w:rFonts w:ascii="Times New Roman" w:hAnsi="Times New Roman" w:cs="Times New Roman"/>
          <w:i/>
          <w:sz w:val="24"/>
          <w:szCs w:val="24"/>
        </w:rPr>
        <w:t xml:space="preserve">L. </w:t>
      </w:r>
      <w:proofErr w:type="spellStart"/>
      <w:r w:rsidRPr="00BB742A">
        <w:rPr>
          <w:rFonts w:ascii="Times New Roman" w:hAnsi="Times New Roman" w:cs="Times New Roman"/>
          <w:i/>
          <w:sz w:val="24"/>
          <w:szCs w:val="24"/>
        </w:rPr>
        <w:t>maculans</w:t>
      </w:r>
      <w:proofErr w:type="spellEnd"/>
      <w:r w:rsidRPr="00BB742A">
        <w:rPr>
          <w:rFonts w:ascii="Times New Roman" w:hAnsi="Times New Roman" w:cs="Times New Roman"/>
          <w:sz w:val="24"/>
          <w:szCs w:val="24"/>
        </w:rPr>
        <w:t xml:space="preserve">. VOCs trapping from control and </w:t>
      </w:r>
      <w:r w:rsidRPr="00BB742A">
        <w:rPr>
          <w:rFonts w:ascii="Times New Roman" w:hAnsi="Times New Roman" w:cs="Times New Roman"/>
          <w:i/>
          <w:sz w:val="24"/>
          <w:szCs w:val="24"/>
        </w:rPr>
        <w:t xml:space="preserve">L. </w:t>
      </w:r>
      <w:proofErr w:type="spellStart"/>
      <w:r w:rsidRPr="00BB742A">
        <w:rPr>
          <w:rFonts w:ascii="Times New Roman" w:hAnsi="Times New Roman" w:cs="Times New Roman"/>
          <w:i/>
          <w:sz w:val="24"/>
          <w:szCs w:val="24"/>
        </w:rPr>
        <w:t>maculans</w:t>
      </w:r>
      <w:proofErr w:type="spellEnd"/>
      <w:r w:rsidRPr="00BB742A">
        <w:rPr>
          <w:rFonts w:ascii="Times New Roman" w:hAnsi="Times New Roman" w:cs="Times New Roman"/>
          <w:sz w:val="24"/>
          <w:szCs w:val="24"/>
        </w:rPr>
        <w:t xml:space="preserve">-inoculated leaves was performed on day 0, and at 3 and 7 dpi in parallel arrangement: control leaves in one chamber vs. inoculated leaves in the second chamber during a single trapping event (Fig. 9). All corresponding trapping events were done at the same time of the day for each dpi and at precise </w:t>
      </w:r>
      <w:r w:rsidRPr="00BB742A">
        <w:rPr>
          <w:rFonts w:ascii="Times New Roman" w:hAnsi="Times New Roman" w:cs="Times New Roman"/>
          <w:sz w:val="24"/>
          <w:szCs w:val="24"/>
        </w:rPr>
        <w:lastRenderedPageBreak/>
        <w:t>time intervals after removal from the cultivation chamber, with all time delays being the same. Four detached leaves were placed in a glass beaker containing glass balls and closed in a glass gas-tight trapping apparatus (4 l in volume). Synthetic air Zero Plus (purity 6.0, Air Products, Czech Republic) was supplied to the apparatus through an active charcoal Hydrocarbon trap (</w:t>
      </w:r>
      <w:proofErr w:type="spellStart"/>
      <w:r w:rsidRPr="00BB742A">
        <w:rPr>
          <w:rFonts w:ascii="Times New Roman" w:hAnsi="Times New Roman" w:cs="Times New Roman"/>
          <w:sz w:val="24"/>
          <w:szCs w:val="24"/>
        </w:rPr>
        <w:t>Restek</w:t>
      </w:r>
      <w:proofErr w:type="spellEnd"/>
      <w:r w:rsidRPr="00BB742A">
        <w:rPr>
          <w:rFonts w:ascii="Times New Roman" w:hAnsi="Times New Roman" w:cs="Times New Roman"/>
          <w:sz w:val="24"/>
          <w:szCs w:val="24"/>
        </w:rPr>
        <w:t xml:space="preserve"> Corporation, Bellefonte, PA, USA, Fig. S2). After 1 min air wash at flow 5 l min</w:t>
      </w:r>
      <w:r w:rsidRPr="00BB742A">
        <w:rPr>
          <w:rFonts w:ascii="Times New Roman" w:hAnsi="Times New Roman" w:cs="Times New Roman"/>
          <w:sz w:val="24"/>
          <w:szCs w:val="24"/>
          <w:vertAlign w:val="superscript"/>
        </w:rPr>
        <w:t>-1</w:t>
      </w:r>
      <w:r w:rsidRPr="00BB742A">
        <w:rPr>
          <w:rFonts w:ascii="Times New Roman" w:hAnsi="Times New Roman" w:cs="Times New Roman"/>
          <w:sz w:val="24"/>
          <w:szCs w:val="24"/>
        </w:rPr>
        <w:t xml:space="preserve"> and 10 min equilibration (system gas-tight, no air flow), a 20 min trapping period using </w:t>
      </w:r>
      <w:proofErr w:type="spellStart"/>
      <w:r w:rsidRPr="00BB742A">
        <w:rPr>
          <w:rFonts w:ascii="Times New Roman" w:hAnsi="Times New Roman" w:cs="Times New Roman"/>
          <w:sz w:val="24"/>
          <w:szCs w:val="24"/>
        </w:rPr>
        <w:t>Tenax</w:t>
      </w:r>
      <w:proofErr w:type="spellEnd"/>
      <w:r w:rsidRPr="00BB742A">
        <w:rPr>
          <w:rFonts w:ascii="Times New Roman" w:hAnsi="Times New Roman" w:cs="Times New Roman"/>
          <w:sz w:val="24"/>
          <w:szCs w:val="24"/>
        </w:rPr>
        <w:t xml:space="preserve"> TA sorbent tubes (Gerstel GmbH &amp; Co. KG, </w:t>
      </w:r>
      <w:proofErr w:type="spellStart"/>
      <w:r w:rsidRPr="00BB742A">
        <w:rPr>
          <w:rFonts w:ascii="Times New Roman" w:hAnsi="Times New Roman" w:cs="Times New Roman"/>
          <w:sz w:val="24"/>
          <w:szCs w:val="24"/>
        </w:rPr>
        <w:t>Mülheim</w:t>
      </w:r>
      <w:proofErr w:type="spellEnd"/>
      <w:r w:rsidRPr="00BB742A">
        <w:rPr>
          <w:rFonts w:ascii="Times New Roman" w:hAnsi="Times New Roman" w:cs="Times New Roman"/>
          <w:sz w:val="24"/>
          <w:szCs w:val="24"/>
        </w:rPr>
        <w:t xml:space="preserve"> an der Ruhr, Germany) was performed at 50 ml min</w:t>
      </w:r>
      <w:r w:rsidRPr="00BB742A">
        <w:rPr>
          <w:rFonts w:ascii="Times New Roman" w:hAnsi="Times New Roman" w:cs="Times New Roman"/>
          <w:sz w:val="24"/>
          <w:szCs w:val="24"/>
          <w:vertAlign w:val="superscript"/>
        </w:rPr>
        <w:t>-1</w:t>
      </w:r>
      <w:r w:rsidRPr="00BB742A">
        <w:rPr>
          <w:rFonts w:ascii="Times New Roman" w:hAnsi="Times New Roman" w:cs="Times New Roman"/>
          <w:sz w:val="24"/>
          <w:szCs w:val="24"/>
        </w:rPr>
        <w:t xml:space="preserve"> (1 l of gas phase) using programmable suction pumps (Gilian </w:t>
      </w:r>
      <w:proofErr w:type="spellStart"/>
      <w:r w:rsidRPr="00BB742A">
        <w:rPr>
          <w:rFonts w:ascii="Times New Roman" w:hAnsi="Times New Roman" w:cs="Times New Roman"/>
          <w:sz w:val="24"/>
          <w:szCs w:val="24"/>
        </w:rPr>
        <w:t>GilAir</w:t>
      </w:r>
      <w:proofErr w:type="spellEnd"/>
      <w:r w:rsidRPr="00BB742A">
        <w:rPr>
          <w:rFonts w:ascii="Times New Roman" w:hAnsi="Times New Roman" w:cs="Times New Roman"/>
          <w:sz w:val="24"/>
          <w:szCs w:val="24"/>
        </w:rPr>
        <w:t xml:space="preserve"> Plus, </w:t>
      </w:r>
      <w:proofErr w:type="spellStart"/>
      <w:r w:rsidRPr="00BB742A">
        <w:rPr>
          <w:rFonts w:ascii="Times New Roman" w:hAnsi="Times New Roman" w:cs="Times New Roman"/>
          <w:sz w:val="24"/>
          <w:szCs w:val="24"/>
        </w:rPr>
        <w:t>Sensidyne</w:t>
      </w:r>
      <w:proofErr w:type="spellEnd"/>
      <w:r w:rsidRPr="00BB742A">
        <w:rPr>
          <w:rFonts w:ascii="Times New Roman" w:hAnsi="Times New Roman" w:cs="Times New Roman"/>
          <w:sz w:val="24"/>
          <w:szCs w:val="24"/>
        </w:rPr>
        <w:t>, LP, St. Petersburg, FL, USA).</w:t>
      </w:r>
    </w:p>
    <w:p w14:paraId="215098F4" w14:textId="77777777" w:rsidR="00E7693B" w:rsidRPr="00BB742A" w:rsidRDefault="00E7693B" w:rsidP="00684A4C">
      <w:pPr>
        <w:spacing w:after="0" w:line="360" w:lineRule="auto"/>
        <w:ind w:firstLine="720"/>
        <w:jc w:val="both"/>
        <w:rPr>
          <w:rFonts w:ascii="Times New Roman" w:hAnsi="Times New Roman" w:cs="Times New Roman"/>
          <w:sz w:val="24"/>
          <w:szCs w:val="24"/>
        </w:rPr>
      </w:pPr>
      <w:r w:rsidRPr="00BB742A">
        <w:rPr>
          <w:rFonts w:ascii="Times New Roman" w:hAnsi="Times New Roman" w:cs="Times New Roman"/>
          <w:sz w:val="24"/>
          <w:szCs w:val="24"/>
        </w:rPr>
        <w:t xml:space="preserve">LECO Pegasus 4D GC×GC-TOFMS system (Leco Corporation, St. Joseph, MI, USA) containing Agilent 7890 gas chromatograph (Agilent technologies, Santa Clara, CF, USA) equipped with a LECO quad-jet dual stage thermal modulator, Gerstel </w:t>
      </w:r>
      <w:proofErr w:type="spellStart"/>
      <w:r w:rsidRPr="00BB742A">
        <w:rPr>
          <w:rFonts w:ascii="Times New Roman" w:hAnsi="Times New Roman" w:cs="Times New Roman"/>
          <w:sz w:val="24"/>
          <w:szCs w:val="24"/>
        </w:rPr>
        <w:t>MultiPurpose</w:t>
      </w:r>
      <w:proofErr w:type="spellEnd"/>
      <w:r w:rsidRPr="00BB742A">
        <w:rPr>
          <w:rFonts w:ascii="Times New Roman" w:hAnsi="Times New Roman" w:cs="Times New Roman"/>
          <w:sz w:val="24"/>
          <w:szCs w:val="24"/>
        </w:rPr>
        <w:t xml:space="preserve"> Sampler (MPS), Gerstel Thermal Desorption Unit (TDU) and temperature programmed CIS4 inlet (Gerstel GmbH &amp; Co. KG, </w:t>
      </w:r>
      <w:proofErr w:type="spellStart"/>
      <w:r w:rsidRPr="00BB742A">
        <w:rPr>
          <w:rFonts w:ascii="Times New Roman" w:hAnsi="Times New Roman" w:cs="Times New Roman"/>
          <w:sz w:val="24"/>
          <w:szCs w:val="24"/>
        </w:rPr>
        <w:t>Mülheim</w:t>
      </w:r>
      <w:proofErr w:type="spellEnd"/>
      <w:r w:rsidRPr="00BB742A">
        <w:rPr>
          <w:rFonts w:ascii="Times New Roman" w:hAnsi="Times New Roman" w:cs="Times New Roman"/>
          <w:sz w:val="24"/>
          <w:szCs w:val="24"/>
        </w:rPr>
        <w:t xml:space="preserve"> an der Ruhr, Germany) was used for analysis. The Gas chromatograph was equipped with a precolumn (Phenomenex ZB 624plus, 1.3 m × 0.25 mm I.D. × 1.4 µm film, Phenomenex, Torrance, CA, USA), primary and modulatory column (SGE Analytical Science BPX-5, 29.3 + 0.1 m × 0.25 mm I.D. × 0.5 µm film, Trajan Scientific and Medical, Ringwood, Victoria, Australia), and secondary column and transfer line (SGE Analytical Science BPX-50, 1.9 + 0.21 m × 0.1 mm I.D. × 0.1 µm film). Helium with BIP (Built In Purifier) technology (purity 5.7) was used as a carrier gas (Air Products, Czech Republic). Tentative identification of compounds was based on comparison of their spectra with those of mass libraries (NIST, LECO/Fiehn Metabolomics Library, own user libraries).</w:t>
      </w:r>
    </w:p>
    <w:p w14:paraId="215098F6" w14:textId="6E9F43C8" w:rsidR="00E7693B" w:rsidRPr="00BB742A" w:rsidRDefault="00E7693B" w:rsidP="00684A4C">
      <w:pPr>
        <w:spacing w:line="360" w:lineRule="auto"/>
        <w:ind w:firstLine="720"/>
        <w:jc w:val="both"/>
        <w:rPr>
          <w:rFonts w:ascii="Times New Roman" w:hAnsi="Times New Roman" w:cs="Times New Roman"/>
          <w:sz w:val="24"/>
          <w:szCs w:val="24"/>
        </w:rPr>
      </w:pPr>
      <w:proofErr w:type="spellStart"/>
      <w:r w:rsidRPr="00BB742A">
        <w:rPr>
          <w:rFonts w:ascii="Times New Roman" w:hAnsi="Times New Roman" w:cs="Times New Roman"/>
          <w:sz w:val="24"/>
          <w:szCs w:val="24"/>
        </w:rPr>
        <w:t>ChromaTOF</w:t>
      </w:r>
      <w:proofErr w:type="spellEnd"/>
      <w:r w:rsidRPr="00BB742A">
        <w:rPr>
          <w:rFonts w:ascii="Times New Roman" w:hAnsi="Times New Roman" w:cs="Times New Roman"/>
          <w:sz w:val="24"/>
          <w:szCs w:val="24"/>
        </w:rPr>
        <w:t xml:space="preserve"> software (Leco Corporation, St. Joseph, MI, USA) served for initial processing. Due to the high complexity of data, where roughly 1500 peaks per chromatogram were detected in each sample (data processing at signal/noise = 10), the sensitivity was decreased (data processing at signal/noise = 100) leading to approximately 250 VOCs per chromatogram. Peak alignment, comparison of chromatograms and basic statistics was performed using the </w:t>
      </w:r>
      <w:proofErr w:type="spellStart"/>
      <w:r w:rsidRPr="00BB742A">
        <w:rPr>
          <w:rFonts w:ascii="Times New Roman" w:hAnsi="Times New Roman" w:cs="Times New Roman"/>
          <w:sz w:val="24"/>
          <w:szCs w:val="24"/>
        </w:rPr>
        <w:t>ChromaTOF</w:t>
      </w:r>
      <w:proofErr w:type="spellEnd"/>
      <w:r w:rsidRPr="00BB742A">
        <w:rPr>
          <w:rFonts w:ascii="Times New Roman" w:hAnsi="Times New Roman" w:cs="Times New Roman"/>
          <w:sz w:val="24"/>
          <w:szCs w:val="24"/>
        </w:rPr>
        <w:t xml:space="preserve"> Tile software (Leco Corporation, St. Joseph, MI, USA). A group of 55 VOCs, demonstrating the highest variability in their content between treatments, was then identified and final processing was performed in </w:t>
      </w:r>
      <w:proofErr w:type="spellStart"/>
      <w:r w:rsidRPr="00BB742A">
        <w:rPr>
          <w:rFonts w:ascii="Times New Roman" w:hAnsi="Times New Roman" w:cs="Times New Roman"/>
          <w:sz w:val="24"/>
          <w:szCs w:val="24"/>
        </w:rPr>
        <w:t>ChromaTOF</w:t>
      </w:r>
      <w:proofErr w:type="spellEnd"/>
      <w:r w:rsidRPr="00BB742A">
        <w:rPr>
          <w:rFonts w:ascii="Times New Roman" w:hAnsi="Times New Roman" w:cs="Times New Roman"/>
          <w:sz w:val="24"/>
          <w:szCs w:val="24"/>
        </w:rPr>
        <w:t xml:space="preserve"> softwa</w:t>
      </w:r>
      <w:r w:rsidR="00684A4C">
        <w:rPr>
          <w:rFonts w:ascii="Times New Roman" w:hAnsi="Times New Roman" w:cs="Times New Roman"/>
          <w:sz w:val="24"/>
          <w:szCs w:val="24"/>
        </w:rPr>
        <w:t>re using the References module.</w:t>
      </w:r>
    </w:p>
    <w:p w14:paraId="215098F7" w14:textId="77D9E051" w:rsidR="00E7693B" w:rsidRPr="00E7693B" w:rsidRDefault="00E7693B">
      <w:pPr>
        <w:spacing w:line="360" w:lineRule="auto"/>
        <w:jc w:val="center"/>
        <w:rPr>
          <w:rFonts w:ascii="Times New Roman" w:hAnsi="Times New Roman" w:cs="Times New Roman"/>
        </w:rPr>
      </w:pPr>
      <w:r w:rsidRPr="00E7693B">
        <w:rPr>
          <w:rFonts w:ascii="Times New Roman" w:hAnsi="Times New Roman" w:cs="Times New Roman"/>
          <w:noProof/>
          <w:lang w:val="en-US"/>
        </w:rPr>
        <w:lastRenderedPageBreak/>
        <w:drawing>
          <wp:inline distT="0" distB="0" distL="0" distR="0" wp14:anchorId="2150A580" wp14:editId="5247779F">
            <wp:extent cx="2154804" cy="5446644"/>
            <wp:effectExtent l="0" t="0" r="0" b="1905"/>
            <wp:docPr id="3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6"/>
                    <a:srcRect/>
                    <a:stretch>
                      <a:fillRect/>
                    </a:stretch>
                  </pic:blipFill>
                  <pic:spPr>
                    <a:xfrm>
                      <a:off x="0" y="0"/>
                      <a:ext cx="2170020" cy="5485104"/>
                    </a:xfrm>
                    <a:prstGeom prst="rect">
                      <a:avLst/>
                    </a:prstGeom>
                    <a:ln/>
                  </pic:spPr>
                </pic:pic>
              </a:graphicData>
            </a:graphic>
          </wp:inline>
        </w:drawing>
      </w:r>
    </w:p>
    <w:p w14:paraId="215098F8" w14:textId="116A7EF3" w:rsidR="00E7693B" w:rsidRPr="00E7693B" w:rsidRDefault="00E7693B" w:rsidP="00684A4C">
      <w:pPr>
        <w:spacing w:before="240" w:after="0" w:line="360" w:lineRule="auto"/>
        <w:jc w:val="both"/>
        <w:rPr>
          <w:rFonts w:ascii="Times New Roman" w:hAnsi="Times New Roman" w:cs="Times New Roman"/>
        </w:rPr>
      </w:pPr>
      <w:r w:rsidRPr="00E7693B">
        <w:rPr>
          <w:rFonts w:ascii="Times New Roman" w:hAnsi="Times New Roman" w:cs="Times New Roman"/>
          <w:b/>
        </w:rPr>
        <w:t>Figure 9.</w:t>
      </w:r>
      <w:r w:rsidRPr="00E7693B">
        <w:rPr>
          <w:rFonts w:ascii="Times New Roman" w:hAnsi="Times New Roman" w:cs="Times New Roman"/>
        </w:rPr>
        <w:t xml:space="preserve"> Volatile organic compound (VOC) trapping apparatus</w:t>
      </w:r>
      <w:r w:rsidR="008D22D6">
        <w:rPr>
          <w:rFonts w:ascii="Times New Roman" w:hAnsi="Times New Roman" w:cs="Times New Roman"/>
        </w:rPr>
        <w:t xml:space="preserve"> (</w:t>
      </w:r>
      <w:r w:rsidR="008D22D6" w:rsidRPr="008D22D6">
        <w:rPr>
          <w:rFonts w:ascii="Times New Roman" w:hAnsi="Times New Roman" w:cs="Times New Roman"/>
          <w:b/>
          <w:bCs/>
        </w:rPr>
        <w:t>A</w:t>
      </w:r>
      <w:r w:rsidR="008D22D6">
        <w:rPr>
          <w:rFonts w:ascii="Times New Roman" w:hAnsi="Times New Roman" w:cs="Times New Roman"/>
        </w:rPr>
        <w:t>)</w:t>
      </w:r>
      <w:r w:rsidRPr="00E7693B">
        <w:rPr>
          <w:rFonts w:ascii="Times New Roman" w:hAnsi="Times New Roman" w:cs="Times New Roman"/>
        </w:rPr>
        <w:t>: the parallel VOC trapping in two chambers during a single trapping event; non-inoculated (control) leaves in chamber “a” (</w:t>
      </w:r>
      <w:r w:rsidRPr="008D22D6">
        <w:rPr>
          <w:rFonts w:ascii="Times New Roman" w:hAnsi="Times New Roman" w:cs="Times New Roman"/>
          <w:b/>
          <w:bCs/>
        </w:rPr>
        <w:t>B, D</w:t>
      </w:r>
      <w:r w:rsidRPr="00E7693B">
        <w:rPr>
          <w:rFonts w:ascii="Times New Roman" w:hAnsi="Times New Roman" w:cs="Times New Roman"/>
        </w:rPr>
        <w:t xml:space="preserve">);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rPr>
        <w:t>-inoculated leaves in chamber “b” (</w:t>
      </w:r>
      <w:r w:rsidRPr="008D22D6">
        <w:rPr>
          <w:rFonts w:ascii="Times New Roman" w:hAnsi="Times New Roman" w:cs="Times New Roman"/>
          <w:b/>
          <w:bCs/>
        </w:rPr>
        <w:t>C, E</w:t>
      </w:r>
      <w:r w:rsidRPr="00E7693B">
        <w:rPr>
          <w:rFonts w:ascii="Times New Roman" w:hAnsi="Times New Roman" w:cs="Times New Roman"/>
        </w:rPr>
        <w:t>). Visual comparison of non-inoculated (control) leaves (</w:t>
      </w:r>
      <w:r w:rsidRPr="008D22D6">
        <w:rPr>
          <w:rFonts w:ascii="Times New Roman" w:hAnsi="Times New Roman" w:cs="Times New Roman"/>
          <w:b/>
          <w:bCs/>
        </w:rPr>
        <w:t>F</w:t>
      </w:r>
      <w:r w:rsidRPr="00E7693B">
        <w:rPr>
          <w:rFonts w:ascii="Times New Roman" w:hAnsi="Times New Roman" w:cs="Times New Roman"/>
        </w:rPr>
        <w:t xml:space="preserve">) and </w:t>
      </w:r>
      <w:r w:rsidRPr="00E7693B">
        <w:rPr>
          <w:rFonts w:ascii="Times New Roman" w:hAnsi="Times New Roman" w:cs="Times New Roman"/>
          <w:i/>
        </w:rPr>
        <w:t xml:space="preserve">L. </w:t>
      </w:r>
      <w:proofErr w:type="spellStart"/>
      <w:r w:rsidRPr="00E7693B">
        <w:rPr>
          <w:rFonts w:ascii="Times New Roman" w:hAnsi="Times New Roman" w:cs="Times New Roman"/>
          <w:i/>
        </w:rPr>
        <w:t>maculans</w:t>
      </w:r>
      <w:proofErr w:type="spellEnd"/>
      <w:r w:rsidRPr="00E7693B">
        <w:rPr>
          <w:rFonts w:ascii="Times New Roman" w:hAnsi="Times New Roman" w:cs="Times New Roman"/>
        </w:rPr>
        <w:t>-inoculated leaves (</w:t>
      </w:r>
      <w:r w:rsidRPr="008D22D6">
        <w:rPr>
          <w:rFonts w:ascii="Times New Roman" w:hAnsi="Times New Roman" w:cs="Times New Roman"/>
          <w:b/>
          <w:bCs/>
        </w:rPr>
        <w:t>G</w:t>
      </w:r>
      <w:r w:rsidRPr="00E7693B">
        <w:rPr>
          <w:rFonts w:ascii="Times New Roman" w:hAnsi="Times New Roman" w:cs="Times New Roman"/>
        </w:rPr>
        <w:t>) immediately after the trapping event.</w:t>
      </w:r>
    </w:p>
    <w:p w14:paraId="215098F9" w14:textId="77777777" w:rsidR="00E7693B" w:rsidRPr="00E7693B" w:rsidRDefault="00E7693B" w:rsidP="00684A4C">
      <w:pPr>
        <w:spacing w:after="0" w:line="360" w:lineRule="auto"/>
        <w:rPr>
          <w:rFonts w:ascii="Times New Roman" w:hAnsi="Times New Roman" w:cs="Times New Roman"/>
        </w:rPr>
      </w:pPr>
    </w:p>
    <w:p w14:paraId="21509B00" w14:textId="77777777" w:rsidR="00E7693B" w:rsidRPr="00BB742A" w:rsidRDefault="00E7693B" w:rsidP="00684A4C">
      <w:pPr>
        <w:pStyle w:val="Heading2"/>
      </w:pPr>
      <w:bookmarkStart w:id="41" w:name="_Toc167977613"/>
      <w:r w:rsidRPr="00BB742A">
        <w:t>Imaging of defence gene activation and fungal mycelium formation</w:t>
      </w:r>
      <w:bookmarkEnd w:id="41"/>
    </w:p>
    <w:p w14:paraId="21509B01" w14:textId="77777777" w:rsidR="00E7693B" w:rsidRPr="00285415" w:rsidRDefault="00E7693B" w:rsidP="00684A4C">
      <w:pPr>
        <w:spacing w:after="0"/>
        <w:rPr>
          <w:rFonts w:ascii="Times New Roman" w:hAnsi="Times New Roman" w:cs="Times New Roman"/>
          <w:sz w:val="24"/>
          <w:szCs w:val="24"/>
        </w:rPr>
      </w:pPr>
    </w:p>
    <w:p w14:paraId="21509B02" w14:textId="7D507BCC" w:rsidR="00E7693B" w:rsidRPr="00BB742A" w:rsidRDefault="00E7693B" w:rsidP="00684A4C">
      <w:pPr>
        <w:spacing w:after="0" w:line="360" w:lineRule="auto"/>
        <w:ind w:firstLine="576"/>
        <w:jc w:val="both"/>
        <w:rPr>
          <w:rFonts w:ascii="Times New Roman" w:hAnsi="Times New Roman" w:cs="Times New Roman"/>
          <w:sz w:val="24"/>
          <w:szCs w:val="24"/>
        </w:rPr>
      </w:pPr>
      <w:r w:rsidRPr="00BB742A">
        <w:rPr>
          <w:rFonts w:ascii="Times New Roman" w:hAnsi="Times New Roman" w:cs="Times New Roman"/>
          <w:sz w:val="24"/>
          <w:szCs w:val="24"/>
        </w:rPr>
        <w:t xml:space="preserve">To study the activation of expression </w:t>
      </w:r>
      <w:r w:rsidR="00CC4E49">
        <w:rPr>
          <w:rFonts w:ascii="Times New Roman" w:hAnsi="Times New Roman" w:cs="Times New Roman"/>
          <w:sz w:val="24"/>
          <w:szCs w:val="24"/>
        </w:rPr>
        <w:t>in</w:t>
      </w:r>
      <w:r w:rsidR="00CC4E49" w:rsidRPr="00BB742A">
        <w:rPr>
          <w:rFonts w:ascii="Times New Roman" w:hAnsi="Times New Roman" w:cs="Times New Roman"/>
          <w:sz w:val="24"/>
          <w:szCs w:val="24"/>
        </w:rPr>
        <w:t xml:space="preserve"> </w:t>
      </w:r>
      <w:r w:rsidRPr="00BB742A">
        <w:rPr>
          <w:rFonts w:ascii="Times New Roman" w:hAnsi="Times New Roman" w:cs="Times New Roman"/>
          <w:i/>
          <w:sz w:val="24"/>
          <w:szCs w:val="24"/>
        </w:rPr>
        <w:t xml:space="preserve">A. thaliana </w:t>
      </w:r>
      <w:r w:rsidRPr="00BB742A">
        <w:rPr>
          <w:rFonts w:ascii="Times New Roman" w:hAnsi="Times New Roman" w:cs="Times New Roman"/>
          <w:sz w:val="24"/>
          <w:szCs w:val="24"/>
        </w:rPr>
        <w:t xml:space="preserve">transgenic lines </w:t>
      </w:r>
      <w:r w:rsidRPr="00BB742A">
        <w:rPr>
          <w:rFonts w:ascii="Times New Roman" w:hAnsi="Times New Roman" w:cs="Times New Roman"/>
          <w:i/>
          <w:sz w:val="24"/>
          <w:szCs w:val="24"/>
        </w:rPr>
        <w:t>pPR1::NLS3xVenus,</w:t>
      </w:r>
      <w:r w:rsidRPr="00BB742A">
        <w:rPr>
          <w:rFonts w:ascii="Times New Roman" w:hAnsi="Times New Roman" w:cs="Times New Roman"/>
          <w:sz w:val="24"/>
          <w:szCs w:val="24"/>
        </w:rPr>
        <w:t xml:space="preserve"> </w:t>
      </w:r>
      <w:r w:rsidRPr="00BB742A">
        <w:rPr>
          <w:rFonts w:ascii="Times New Roman" w:hAnsi="Times New Roman" w:cs="Times New Roman"/>
          <w:i/>
          <w:sz w:val="24"/>
          <w:szCs w:val="24"/>
        </w:rPr>
        <w:t xml:space="preserve">pJAZ10::NLS3xVenus, </w:t>
      </w:r>
      <w:proofErr w:type="spellStart"/>
      <w:r w:rsidRPr="00BB742A">
        <w:rPr>
          <w:rFonts w:ascii="Times New Roman" w:hAnsi="Times New Roman" w:cs="Times New Roman"/>
          <w:i/>
          <w:sz w:val="24"/>
          <w:szCs w:val="24"/>
        </w:rPr>
        <w:t>pAOS</w:t>
      </w:r>
      <w:proofErr w:type="spellEnd"/>
      <w:r w:rsidRPr="00BB742A">
        <w:rPr>
          <w:rFonts w:ascii="Times New Roman" w:hAnsi="Times New Roman" w:cs="Times New Roman"/>
          <w:i/>
          <w:sz w:val="24"/>
          <w:szCs w:val="24"/>
        </w:rPr>
        <w:t xml:space="preserve">::NLS3xVenus, pACS6::NLS3xVenus </w:t>
      </w:r>
      <w:r w:rsidRPr="00BB742A">
        <w:rPr>
          <w:rFonts w:ascii="Times New Roman" w:hAnsi="Times New Roman" w:cs="Times New Roman"/>
          <w:sz w:val="24"/>
          <w:szCs w:val="24"/>
        </w:rPr>
        <w:t xml:space="preserve">and </w:t>
      </w:r>
      <w:r w:rsidRPr="00BB742A">
        <w:rPr>
          <w:rFonts w:ascii="Times New Roman" w:hAnsi="Times New Roman" w:cs="Times New Roman"/>
          <w:i/>
          <w:sz w:val="24"/>
          <w:szCs w:val="24"/>
        </w:rPr>
        <w:t>pPR4/HEL::NLS3xVenus</w:t>
      </w:r>
      <w:r w:rsidRPr="00BB742A">
        <w:rPr>
          <w:rFonts w:ascii="Times New Roman" w:hAnsi="Times New Roman" w:cs="Times New Roman"/>
          <w:sz w:val="24"/>
          <w:szCs w:val="24"/>
        </w:rPr>
        <w:t xml:space="preserve">, leaf discs from infested plants were used, with non-infested plants as a control. Venus fluorescence was detected by fluorescence microscope Zeiss </w:t>
      </w:r>
      <w:proofErr w:type="spellStart"/>
      <w:r w:rsidRPr="00BB742A">
        <w:rPr>
          <w:rFonts w:ascii="Times New Roman" w:hAnsi="Times New Roman" w:cs="Times New Roman"/>
          <w:sz w:val="24"/>
          <w:szCs w:val="24"/>
        </w:rPr>
        <w:t>AxioImager</w:t>
      </w:r>
      <w:proofErr w:type="spellEnd"/>
      <w:r w:rsidRPr="00BB742A">
        <w:rPr>
          <w:rFonts w:ascii="Times New Roman" w:hAnsi="Times New Roman" w:cs="Times New Roman"/>
          <w:sz w:val="24"/>
          <w:szCs w:val="24"/>
        </w:rPr>
        <w:t xml:space="preserve"> </w:t>
      </w:r>
      <w:r w:rsidRPr="00BB742A">
        <w:rPr>
          <w:rFonts w:ascii="Times New Roman" w:hAnsi="Times New Roman" w:cs="Times New Roman"/>
          <w:sz w:val="24"/>
          <w:szCs w:val="24"/>
        </w:rPr>
        <w:lastRenderedPageBreak/>
        <w:t>ApoTome2 with EC Plan-</w:t>
      </w:r>
      <w:proofErr w:type="spellStart"/>
      <w:r w:rsidRPr="00BB742A">
        <w:rPr>
          <w:rFonts w:ascii="Times New Roman" w:hAnsi="Times New Roman" w:cs="Times New Roman"/>
          <w:sz w:val="24"/>
          <w:szCs w:val="24"/>
        </w:rPr>
        <w:t>Neofluar</w:t>
      </w:r>
      <w:proofErr w:type="spellEnd"/>
      <w:r w:rsidRPr="00BB742A">
        <w:rPr>
          <w:rFonts w:ascii="Times New Roman" w:hAnsi="Times New Roman" w:cs="Times New Roman"/>
          <w:sz w:val="24"/>
          <w:szCs w:val="24"/>
        </w:rPr>
        <w:t xml:space="preserve"> 5x/0.16 M27 objective and fluorescence cube FS09/GFP. The number of induced cells per leaf disc (6 mm-diameter) was quantified manually; at least 10 leaf discs from three independent plants were sampled. Illustrative images of </w:t>
      </w:r>
      <w:r w:rsidRPr="00BB742A">
        <w:rPr>
          <w:rFonts w:ascii="Times New Roman" w:hAnsi="Times New Roman" w:cs="Times New Roman"/>
          <w:i/>
          <w:sz w:val="24"/>
          <w:szCs w:val="24"/>
        </w:rPr>
        <w:t xml:space="preserve">pPR1::NLS3xVenus </w:t>
      </w:r>
      <w:r w:rsidRPr="00BB742A">
        <w:rPr>
          <w:rFonts w:ascii="Times New Roman" w:hAnsi="Times New Roman" w:cs="Times New Roman"/>
          <w:sz w:val="24"/>
          <w:szCs w:val="24"/>
        </w:rPr>
        <w:t xml:space="preserve">and </w:t>
      </w:r>
      <w:r w:rsidRPr="00BB742A">
        <w:rPr>
          <w:rFonts w:ascii="Times New Roman" w:hAnsi="Times New Roman" w:cs="Times New Roman"/>
          <w:i/>
          <w:sz w:val="24"/>
          <w:szCs w:val="24"/>
        </w:rPr>
        <w:t xml:space="preserve">pJAZ10::NLS3xVenus </w:t>
      </w:r>
      <w:r w:rsidRPr="00BB742A">
        <w:rPr>
          <w:rFonts w:ascii="Times New Roman" w:hAnsi="Times New Roman" w:cs="Times New Roman"/>
          <w:sz w:val="24"/>
          <w:szCs w:val="24"/>
        </w:rPr>
        <w:t xml:space="preserve">activation during live aphid feeding were captured using Stereomicroscope Leica M205FA, objective </w:t>
      </w:r>
      <w:r w:rsidRPr="00BB742A">
        <w:rPr>
          <w:rFonts w:ascii="Times New Roman" w:hAnsi="Times New Roman" w:cs="Times New Roman"/>
          <w:sz w:val="24"/>
          <w:szCs w:val="24"/>
          <w:highlight w:val="white"/>
        </w:rPr>
        <w:t xml:space="preserve">Plan-Apochromat 2.0x, Filter set ET GFP Ex470/40x Em525/50. Cellular-resolution images of </w:t>
      </w:r>
      <w:r w:rsidRPr="00BB742A">
        <w:rPr>
          <w:rFonts w:ascii="Times New Roman" w:hAnsi="Times New Roman" w:cs="Times New Roman"/>
          <w:i/>
          <w:sz w:val="24"/>
          <w:szCs w:val="24"/>
        </w:rPr>
        <w:t xml:space="preserve">pPR1::NLS3xVenus </w:t>
      </w:r>
      <w:r w:rsidRPr="00BB742A">
        <w:rPr>
          <w:rFonts w:ascii="Times New Roman" w:hAnsi="Times New Roman" w:cs="Times New Roman"/>
          <w:sz w:val="24"/>
          <w:szCs w:val="24"/>
        </w:rPr>
        <w:t xml:space="preserve">and </w:t>
      </w:r>
      <w:r w:rsidRPr="00BB742A">
        <w:rPr>
          <w:rFonts w:ascii="Times New Roman" w:hAnsi="Times New Roman" w:cs="Times New Roman"/>
          <w:i/>
          <w:sz w:val="24"/>
          <w:szCs w:val="24"/>
        </w:rPr>
        <w:t xml:space="preserve">pJAZ10::NLS3xVenus </w:t>
      </w:r>
      <w:r w:rsidRPr="00BB742A">
        <w:rPr>
          <w:rFonts w:ascii="Times New Roman" w:hAnsi="Times New Roman" w:cs="Times New Roman"/>
          <w:sz w:val="24"/>
          <w:szCs w:val="24"/>
        </w:rPr>
        <w:t xml:space="preserve">activation </w:t>
      </w:r>
      <w:r w:rsidRPr="00BB742A">
        <w:rPr>
          <w:rFonts w:ascii="Times New Roman" w:hAnsi="Times New Roman" w:cs="Times New Roman"/>
          <w:sz w:val="24"/>
          <w:szCs w:val="24"/>
          <w:highlight w:val="white"/>
        </w:rPr>
        <w:t>were captured using Zeiss LSM 880 inverted confocal laser scanning microscope (Carl Zeiss AG, Germany), Plan-Apochromat 20x/0.8 DIC M27 objective, Ex = 488 nm, detection 499-522 nm.</w:t>
      </w:r>
    </w:p>
    <w:p w14:paraId="21509B03" w14:textId="77777777" w:rsidR="00E7693B" w:rsidRPr="00BB742A" w:rsidRDefault="00E7693B" w:rsidP="00684A4C">
      <w:pPr>
        <w:spacing w:after="0" w:line="360" w:lineRule="auto"/>
        <w:ind w:firstLine="576"/>
        <w:jc w:val="both"/>
        <w:rPr>
          <w:rFonts w:ascii="Times New Roman" w:hAnsi="Times New Roman" w:cs="Times New Roman"/>
          <w:sz w:val="24"/>
          <w:szCs w:val="24"/>
        </w:rPr>
      </w:pPr>
      <w:r w:rsidRPr="00BB742A">
        <w:rPr>
          <w:rFonts w:ascii="Times New Roman" w:hAnsi="Times New Roman" w:cs="Times New Roman"/>
          <w:sz w:val="24"/>
          <w:szCs w:val="24"/>
        </w:rPr>
        <w:t xml:space="preserve">Fluorescence of mycelium of </w:t>
      </w:r>
      <w:r w:rsidRPr="00BB742A">
        <w:rPr>
          <w:rFonts w:ascii="Times New Roman" w:hAnsi="Times New Roman" w:cs="Times New Roman"/>
          <w:i/>
          <w:sz w:val="24"/>
          <w:szCs w:val="24"/>
        </w:rPr>
        <w:t xml:space="preserve">L. </w:t>
      </w:r>
      <w:proofErr w:type="spellStart"/>
      <w:r w:rsidRPr="00BB742A">
        <w:rPr>
          <w:rFonts w:ascii="Times New Roman" w:hAnsi="Times New Roman" w:cs="Times New Roman"/>
          <w:i/>
          <w:sz w:val="24"/>
          <w:szCs w:val="24"/>
        </w:rPr>
        <w:t>maculans</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 xml:space="preserve">JN3-GFP in cotyledons of </w:t>
      </w:r>
      <w:r w:rsidRPr="00BB742A">
        <w:rPr>
          <w:rFonts w:ascii="Times New Roman" w:hAnsi="Times New Roman" w:cs="Times New Roman"/>
          <w:i/>
          <w:sz w:val="24"/>
          <w:szCs w:val="24"/>
        </w:rPr>
        <w:t xml:space="preserve">B. oleracea </w:t>
      </w:r>
      <w:r w:rsidRPr="00BB742A">
        <w:rPr>
          <w:rFonts w:ascii="Times New Roman" w:hAnsi="Times New Roman" w:cs="Times New Roman"/>
          <w:sz w:val="24"/>
          <w:szCs w:val="24"/>
        </w:rPr>
        <w:t xml:space="preserve">was detected by fluorescence microscope Zeiss </w:t>
      </w:r>
      <w:proofErr w:type="spellStart"/>
      <w:r w:rsidRPr="00BB742A">
        <w:rPr>
          <w:rFonts w:ascii="Times New Roman" w:hAnsi="Times New Roman" w:cs="Times New Roman"/>
          <w:sz w:val="24"/>
          <w:szCs w:val="24"/>
        </w:rPr>
        <w:t>AxioImager</w:t>
      </w:r>
      <w:proofErr w:type="spellEnd"/>
      <w:r w:rsidRPr="00BB742A">
        <w:rPr>
          <w:rFonts w:ascii="Times New Roman" w:hAnsi="Times New Roman" w:cs="Times New Roman"/>
          <w:sz w:val="24"/>
          <w:szCs w:val="24"/>
        </w:rPr>
        <w:t xml:space="preserve"> ApoTome2 with EC Plan-</w:t>
      </w:r>
      <w:proofErr w:type="spellStart"/>
      <w:r w:rsidRPr="00BB742A">
        <w:rPr>
          <w:rFonts w:ascii="Times New Roman" w:hAnsi="Times New Roman" w:cs="Times New Roman"/>
          <w:sz w:val="24"/>
          <w:szCs w:val="24"/>
        </w:rPr>
        <w:t>Neofluar</w:t>
      </w:r>
      <w:proofErr w:type="spellEnd"/>
      <w:r w:rsidRPr="00BB742A">
        <w:rPr>
          <w:rFonts w:ascii="Times New Roman" w:hAnsi="Times New Roman" w:cs="Times New Roman"/>
          <w:sz w:val="24"/>
          <w:szCs w:val="24"/>
        </w:rPr>
        <w:t xml:space="preserve"> 5x/0.16 M27 objective and fluorescence cube FS09/GFP.</w:t>
      </w:r>
    </w:p>
    <w:p w14:paraId="21509B04" w14:textId="77777777" w:rsidR="00E7693B" w:rsidRPr="00BB742A" w:rsidRDefault="00E7693B" w:rsidP="00684A4C">
      <w:pPr>
        <w:spacing w:after="0" w:line="360" w:lineRule="auto"/>
        <w:jc w:val="both"/>
        <w:rPr>
          <w:rFonts w:ascii="Times New Roman" w:hAnsi="Times New Roman" w:cs="Times New Roman"/>
          <w:sz w:val="24"/>
          <w:szCs w:val="24"/>
        </w:rPr>
      </w:pPr>
    </w:p>
    <w:p w14:paraId="21509B05" w14:textId="77777777" w:rsidR="00E7693B" w:rsidRPr="00BB742A" w:rsidRDefault="00E7693B" w:rsidP="00684A4C">
      <w:pPr>
        <w:pStyle w:val="Heading2"/>
      </w:pPr>
      <w:bookmarkStart w:id="42" w:name="_Toc167977614"/>
      <w:r w:rsidRPr="00BB742A">
        <w:t>Histochemical staining for GUS activity and callose deposition</w:t>
      </w:r>
      <w:bookmarkEnd w:id="42"/>
    </w:p>
    <w:p w14:paraId="21509B06"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14:paraId="21509B07" w14:textId="3E107316" w:rsidR="00E7693B" w:rsidRPr="00BB742A" w:rsidRDefault="00E7693B" w:rsidP="00684A4C">
      <w:pPr>
        <w:pBdr>
          <w:top w:val="nil"/>
          <w:left w:val="nil"/>
          <w:bottom w:val="nil"/>
          <w:right w:val="nil"/>
          <w:between w:val="nil"/>
        </w:pBdr>
        <w:spacing w:after="0" w:line="360" w:lineRule="auto"/>
        <w:ind w:firstLine="576"/>
        <w:jc w:val="both"/>
        <w:rPr>
          <w:rFonts w:ascii="Times New Roman" w:hAnsi="Times New Roman" w:cs="Times New Roman"/>
          <w:color w:val="000000"/>
          <w:sz w:val="24"/>
          <w:szCs w:val="24"/>
        </w:rPr>
      </w:pPr>
      <w:r w:rsidRPr="00BB742A">
        <w:rPr>
          <w:rFonts w:ascii="Times New Roman" w:hAnsi="Times New Roman" w:cs="Times New Roman"/>
          <w:color w:val="000000"/>
          <w:sz w:val="24"/>
          <w:szCs w:val="24"/>
        </w:rPr>
        <w:t xml:space="preserve">The histochemical GUS assay </w:t>
      </w:r>
      <w:r w:rsidR="00F34ED2">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{"citationID":"QWB0bfNO","properties":{"formattedCitation":"(Jefferson et al., 1987)","plainCitation":"(Jefferson et al., 1987)","noteIndex":0},"citationItems":[{"id":84,"uris":["http://zotero.org/users/10895598/items/BP8W27YX"],"itemData":{"id":84,"type":"article-journal","container-title":"The EMBO Journal","DOI":"10.1002/j.1460-2075.1987.tb02730.x","ISSN":"02614189","issue":"13","journalAbbreviation":"The EMBO Journal","language":"en","page":"3901-3907","source":"DOI.org (Crossref)","title":"GUS fusions: beta-glucuronidase as a sensitive and versatile gene fusion marker in higher plants.","title-short":"GUS fusions","volume":"6","author":[{"family":"Jefferson","given":"R. A."},{"family":"Kavanagh","given":"T. A."},{"family":"Bevan","given":"M. W."}],"issued":{"date-parts":[["1987",12]]}}}],"schema":"https://github.com/citation-style-language/schema/raw/master/csl-citation.json"} </w:instrText>
      </w:r>
      <w:r w:rsidR="00F34ED2">
        <w:rPr>
          <w:rFonts w:ascii="Times New Roman" w:hAnsi="Times New Roman" w:cs="Times New Roman"/>
          <w:sz w:val="24"/>
          <w:szCs w:val="24"/>
        </w:rPr>
        <w:fldChar w:fldCharType="separate"/>
      </w:r>
      <w:r w:rsidR="00F34ED2" w:rsidRPr="00F34ED2">
        <w:rPr>
          <w:rFonts w:ascii="Times New Roman" w:hAnsi="Times New Roman" w:cs="Times New Roman"/>
          <w:sz w:val="24"/>
        </w:rPr>
        <w:t>(Jefferson et al., 1987)</w:t>
      </w:r>
      <w:r w:rsidR="00F34ED2">
        <w:rPr>
          <w:rFonts w:ascii="Times New Roman" w:hAnsi="Times New Roman" w:cs="Times New Roman"/>
          <w:sz w:val="24"/>
          <w:szCs w:val="24"/>
        </w:rPr>
        <w:fldChar w:fldCharType="end"/>
      </w:r>
      <w:r w:rsidR="00F34ED2">
        <w:rPr>
          <w:rFonts w:ascii="Times New Roman" w:hAnsi="Times New Roman" w:cs="Times New Roman"/>
          <w:sz w:val="24"/>
          <w:szCs w:val="24"/>
        </w:rPr>
        <w:t xml:space="preserve"> </w:t>
      </w:r>
      <w:r w:rsidRPr="00BB742A">
        <w:rPr>
          <w:rFonts w:ascii="Times New Roman" w:hAnsi="Times New Roman" w:cs="Times New Roman"/>
          <w:sz w:val="24"/>
          <w:szCs w:val="24"/>
        </w:rPr>
        <w:t xml:space="preserve">was </w:t>
      </w:r>
      <w:r w:rsidRPr="00BB742A">
        <w:rPr>
          <w:rFonts w:ascii="Times New Roman" w:hAnsi="Times New Roman" w:cs="Times New Roman"/>
          <w:color w:val="000000"/>
          <w:sz w:val="24"/>
          <w:szCs w:val="24"/>
        </w:rPr>
        <w:t xml:space="preserve">performed on four- to five-weeks old </w:t>
      </w:r>
      <w:r w:rsidRPr="00BB742A">
        <w:rPr>
          <w:rFonts w:ascii="Times New Roman" w:hAnsi="Times New Roman" w:cs="Times New Roman"/>
          <w:i/>
          <w:color w:val="000000"/>
          <w:sz w:val="24"/>
          <w:szCs w:val="24"/>
        </w:rPr>
        <w:t>PR1::GUS</w:t>
      </w:r>
      <w:r w:rsidRPr="00BB742A">
        <w:rPr>
          <w:rFonts w:ascii="Times New Roman" w:hAnsi="Times New Roman" w:cs="Times New Roman"/>
          <w:color w:val="000000"/>
          <w:sz w:val="24"/>
          <w:szCs w:val="24"/>
        </w:rPr>
        <w:t xml:space="preserve"> transgenic lines of </w:t>
      </w:r>
      <w:r w:rsidRPr="00BB742A">
        <w:rPr>
          <w:rFonts w:ascii="Times New Roman" w:hAnsi="Times New Roman" w:cs="Times New Roman"/>
          <w:i/>
          <w:color w:val="000000"/>
          <w:sz w:val="24"/>
          <w:szCs w:val="24"/>
        </w:rPr>
        <w:t>A. thaliana</w:t>
      </w:r>
      <w:r w:rsidRPr="00BB742A">
        <w:rPr>
          <w:rFonts w:ascii="Times New Roman" w:hAnsi="Times New Roman" w:cs="Times New Roman"/>
          <w:color w:val="000000"/>
          <w:sz w:val="24"/>
          <w:szCs w:val="24"/>
        </w:rPr>
        <w:t xml:space="preserve">. Leaves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 xml:space="preserve">soaked </w:t>
      </w:r>
      <w:r w:rsidRPr="00BB742A">
        <w:rPr>
          <w:rFonts w:ascii="Times New Roman" w:hAnsi="Times New Roman" w:cs="Times New Roman"/>
          <w:sz w:val="24"/>
          <w:szCs w:val="24"/>
        </w:rPr>
        <w:t>in X-GLUC</w:t>
      </w:r>
      <w:r w:rsidRPr="00BB742A">
        <w:rPr>
          <w:rFonts w:ascii="Times New Roman" w:hAnsi="Times New Roman" w:cs="Times New Roman"/>
          <w:color w:val="000000"/>
          <w:sz w:val="24"/>
          <w:szCs w:val="24"/>
        </w:rPr>
        <w:t xml:space="preserve"> buffer for 16 h at 37°C as described previously </w:t>
      </w:r>
      <w:r w:rsidR="00F34ED2">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{"citationID":"11VzcUMa","properties":{"formattedCitation":"(Kr\\uc0\\u269{}kov\\uc0\\u225{} et al., 2018)","plainCitation":"(Krčková et al., 2018)","noteIndex":0},"citationItems":[{"id":82,"uris":["http://zotero.org/users/10895598/items/F4WDJD3V"],"itemData":{"id":82,"type":"article-journal","container-title":"Annals of Botany","DOI":"10.1093/aob/mcx160","ISSN":"0305-7364, 1095-8290","issue":"2","language":"en","page":"297-310","source":"DOI.org (Crossref)","title":"The &lt;i&gt;Arabidopsis thaliana&lt;/i&gt; non-specific phospholipase C2 is involved in the response to &lt;i&gt;Pseudomonas syringae&lt;/i&gt; attack","volume":"121","author":[{"family":"Krčková","given":"Zuzana"},{"family":"Kocourková","given":"Daniela"},{"family":"Daněk","given":"Michal"},{"family":"Brouzdová","given":"Jitka"},{"family":"Pejchar","given":"Přemysl"},{"family":"Janda","given":"Martin"},{"family":"Pokotylo","given":"Igor"},{"family":"Ott","given":"Peter G"},{"family":"Valentová","given":"Olga"},{"family":"Martinec","given":"Jan"}],"issued":{"date-parts":[["2018",2,12]]}}}],"schema":"https://github.com/citation-style-language/schema/raw/master/csl-citation.json"} </w:instrText>
      </w:r>
      <w:r w:rsidR="00F34ED2">
        <w:rPr>
          <w:rFonts w:ascii="Times New Roman" w:hAnsi="Times New Roman" w:cs="Times New Roman"/>
          <w:sz w:val="24"/>
          <w:szCs w:val="24"/>
        </w:rPr>
        <w:fldChar w:fldCharType="separate"/>
      </w:r>
      <w:r w:rsidR="00F34ED2" w:rsidRPr="00F34ED2">
        <w:rPr>
          <w:rFonts w:ascii="Times New Roman" w:hAnsi="Times New Roman" w:cs="Times New Roman"/>
          <w:sz w:val="24"/>
          <w:szCs w:val="24"/>
        </w:rPr>
        <w:t>(Krčková et al., 2018)</w:t>
      </w:r>
      <w:r w:rsidR="00F34ED2">
        <w:rPr>
          <w:rFonts w:ascii="Times New Roman" w:hAnsi="Times New Roman" w:cs="Times New Roman"/>
          <w:sz w:val="24"/>
          <w:szCs w:val="24"/>
        </w:rPr>
        <w:fldChar w:fldCharType="end"/>
      </w:r>
      <w:r w:rsidRPr="00BB742A">
        <w:rPr>
          <w:rFonts w:ascii="Times New Roman" w:hAnsi="Times New Roman" w:cs="Times New Roman"/>
          <w:color w:val="000000"/>
          <w:sz w:val="24"/>
          <w:szCs w:val="24"/>
        </w:rPr>
        <w:t xml:space="preserve">. Next, leaves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 xml:space="preserve">fixed and </w:t>
      </w:r>
      <w:r w:rsidRPr="00BB742A">
        <w:rPr>
          <w:rFonts w:ascii="Times New Roman" w:hAnsi="Times New Roman" w:cs="Times New Roman"/>
          <w:sz w:val="24"/>
          <w:szCs w:val="24"/>
        </w:rPr>
        <w:t>discoloured</w:t>
      </w:r>
      <w:r w:rsidRPr="00BB742A">
        <w:rPr>
          <w:rFonts w:ascii="Times New Roman" w:hAnsi="Times New Roman" w:cs="Times New Roman"/>
          <w:color w:val="000000"/>
          <w:sz w:val="24"/>
          <w:szCs w:val="24"/>
        </w:rPr>
        <w:t xml:space="preserve"> in </w:t>
      </w:r>
      <w:proofErr w:type="spellStart"/>
      <w:r w:rsidRPr="00BB742A">
        <w:rPr>
          <w:rFonts w:ascii="Times New Roman" w:hAnsi="Times New Roman" w:cs="Times New Roman"/>
          <w:color w:val="000000"/>
          <w:sz w:val="24"/>
          <w:szCs w:val="24"/>
        </w:rPr>
        <w:t>ethanol:glacial</w:t>
      </w:r>
      <w:proofErr w:type="spellEnd"/>
      <w:r w:rsidRPr="00BB742A">
        <w:rPr>
          <w:rFonts w:ascii="Times New Roman" w:hAnsi="Times New Roman" w:cs="Times New Roman"/>
          <w:color w:val="000000"/>
          <w:sz w:val="24"/>
          <w:szCs w:val="24"/>
        </w:rPr>
        <w:t xml:space="preserve"> acetic acid (3:1 v/v) and further rehydrated in different concentrations of ethanol, each applied for at least one h in successive order: 70 % ethanol, 50 % ethanol and 30 % ethanol. Fully discoloured leaves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 xml:space="preserve">then soaked in distilled water and left overnight in the dark. Later, leaves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incubated for at l</w:t>
      </w:r>
      <w:r w:rsidR="00F34ED2">
        <w:rPr>
          <w:rFonts w:ascii="Times New Roman" w:hAnsi="Times New Roman" w:cs="Times New Roman"/>
          <w:color w:val="000000"/>
          <w:sz w:val="24"/>
          <w:szCs w:val="24"/>
        </w:rPr>
        <w:t>east 4 h in 150 mM K2HPO4 (pH 9.</w:t>
      </w:r>
      <w:r w:rsidRPr="00BB742A">
        <w:rPr>
          <w:rFonts w:ascii="Times New Roman" w:hAnsi="Times New Roman" w:cs="Times New Roman"/>
          <w:color w:val="000000"/>
          <w:sz w:val="24"/>
          <w:szCs w:val="24"/>
        </w:rPr>
        <w:t>5) containing 0.01 % aniline blue (Sigma-Aldrich; #415049</w:t>
      </w:r>
      <w:r w:rsidRPr="00BB742A">
        <w:rPr>
          <w:rFonts w:ascii="Times New Roman" w:hAnsi="Times New Roman" w:cs="Times New Roman"/>
          <w:sz w:val="24"/>
          <w:szCs w:val="24"/>
        </w:rPr>
        <w:t xml:space="preserve">; </w:t>
      </w:r>
      <w:r w:rsidR="00F34ED2">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{"citationID":"xbF9SQD7","properties":{"formattedCitation":"(Kalachova et al., 2020)","plainCitation":"(Kalachova et al., 2020)","dontUpdate":true,"noteIndex":0},"citationItems":[{"id":86,"uris":["http://zotero.org/users/10895598/items/V8XVCSXN"],"itemData":{"id":86,"type":"article-journal","abstract":"Abstract\n            \n              Background and Aims\n              We have recently shown that an Arabidopsis thaliana double mutant of type III phosphatidylinositol-4-kinases (PI4Ks), pi4kβ1β2, constitutively accumulated a high level of salicylic acid (SA). By crossing this pi4kβ1β2 double mutant with mutants impaired in SA synthesis (such as sid2 impaired in isochorismate synthase) or transduction, we demonstrated that the high SA level was responsible for the dwarfism phenotype of the double mutant. Here we aimed to distinguish between the SA-dependent and SA-independent effects triggered by the deficiency in PI4Kβ1 and PI4Kβ2.\n            \n            \n              Methods\n              To achieve this we used the sid2pi4kβ1β2 triple mutant. High-throughput analyses of phytohormones were performed on this mutant together with pi4kβ1β2 and sid2 mutants and wild-type plants. Responses to pathogens, namely Hyaloperonospora arabidopsidis, Pseudomonas syringae and Botrytis cinerea, and also to the non-host fungus Blumeria graminis, were also determined. Callose accumulation was monitored in response to flagellin.\n            \n            \n              Key Results\n              We show here the prominent role of high SA levels in influencing the concentration of many other tested phytohormones, including abscisic acid and its derivatives, the aspartate-conjugated form of indole-3-acetic acid and some cytokinins such as cis-zeatin. We show that the increased resistance of pi4kβ1β2 plants to the host pathogens H. arabidopsidis, P. syringae pv. tomato DC3000 and Bothrytis cinerea is dependent on accumulation of high SA levels. In contrast, accumulation of callose in pi4kβ1β2 after flagellin treatment was independent of SA. Concerning the response to Blumeria graminis, both callose accumulation and fungal penetration were enhanced in the pi4kβ1β2 double mutant compared to wild-type plants. Both of these processes occurred in an SA-independent manner.\n            \n            \n              Conclusions\n              Our data extensively illustrate the influence of SA on other phytohormone levels. The sid2pi4kβ1β2 triple mutant revealed the role of PI4Kβ1/β2 per se, thus showing the importance of these enzymes in plant defence responses.","container-title":"Annals of Botany","DOI":"10.1093/aob/mcz112","ISSN":"0305-7364, 1095-8290","issue":"5","language":"en","page":"775-784","source":"DOI.org (Crossref)","title":"Identification of salicylic acid-independent responses in an &lt;i&gt;Arabidopsis&lt;/i&gt; phosphatidylinositol 4-kinase beta double mutant","volume":"125","author":[{"family":"Kalachova","given":"Tetiana"},{"family":"Janda","given":"Martin"},{"family":"Šašek","given":"Vladimír"},{"family":"Ortmannová","given":"Jitka"},{"family":"Nováková","given":"Pavla"},{"family":"Dobrev","given":"I Petre"},{"family":"Kravets","given":"Volodymyr"},{"family":"Guivarc’h","given":"Anne"},{"family":"Moura","given":"Deborah"},{"family":"Burketová","given":"Lenka"},{"family":"Valentová","given":"Olga"},{"family":"Ruelland","given":"Eric"}],"issued":{"date-parts":[["2020",4,25]]}}}],"schema":"https://github.com/citation-style-language/schema/raw/master/csl-citation.json"} </w:instrText>
      </w:r>
      <w:r w:rsidR="00F34ED2">
        <w:rPr>
          <w:rFonts w:ascii="Times New Roman" w:hAnsi="Times New Roman" w:cs="Times New Roman"/>
          <w:sz w:val="24"/>
          <w:szCs w:val="24"/>
        </w:rPr>
        <w:fldChar w:fldCharType="separate"/>
      </w:r>
      <w:r w:rsidR="00F34ED2" w:rsidRPr="00F34ED2">
        <w:rPr>
          <w:rFonts w:ascii="Times New Roman" w:hAnsi="Times New Roman" w:cs="Times New Roman"/>
          <w:sz w:val="24"/>
        </w:rPr>
        <w:t>Kalachova et al., 2020)</w:t>
      </w:r>
      <w:r w:rsidR="00F34ED2">
        <w:rPr>
          <w:rFonts w:ascii="Times New Roman" w:hAnsi="Times New Roman" w:cs="Times New Roman"/>
          <w:sz w:val="24"/>
          <w:szCs w:val="24"/>
        </w:rPr>
        <w:fldChar w:fldCharType="end"/>
      </w:r>
      <w:r w:rsidRPr="00BB742A">
        <w:rPr>
          <w:rFonts w:ascii="Times New Roman" w:hAnsi="Times New Roman" w:cs="Times New Roman"/>
          <w:color w:val="000000"/>
          <w:sz w:val="24"/>
          <w:szCs w:val="24"/>
        </w:rPr>
        <w:t xml:space="preserve">. Leaves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finally scanned on Epson Perfection V700 Photo (</w:t>
      </w:r>
      <w:proofErr w:type="spellStart"/>
      <w:r w:rsidRPr="00BB742A">
        <w:rPr>
          <w:rFonts w:ascii="Times New Roman" w:hAnsi="Times New Roman" w:cs="Times New Roman"/>
          <w:color w:val="000000"/>
          <w:sz w:val="24"/>
          <w:szCs w:val="24"/>
        </w:rPr>
        <w:t>Suwa</w:t>
      </w:r>
      <w:proofErr w:type="spellEnd"/>
      <w:r w:rsidRPr="00BB742A">
        <w:rPr>
          <w:rFonts w:ascii="Times New Roman" w:hAnsi="Times New Roman" w:cs="Times New Roman"/>
          <w:color w:val="000000"/>
          <w:sz w:val="24"/>
          <w:szCs w:val="24"/>
        </w:rPr>
        <w:t xml:space="preserve">, Japan) and then </w:t>
      </w:r>
      <w:r w:rsidRPr="00BB742A">
        <w:rPr>
          <w:rFonts w:ascii="Times New Roman" w:hAnsi="Times New Roman" w:cs="Times New Roman"/>
          <w:sz w:val="24"/>
          <w:szCs w:val="24"/>
        </w:rPr>
        <w:t>analysed</w:t>
      </w:r>
      <w:r w:rsidRPr="00BB742A">
        <w:rPr>
          <w:rFonts w:ascii="Times New Roman" w:hAnsi="Times New Roman" w:cs="Times New Roman"/>
          <w:color w:val="000000"/>
          <w:sz w:val="24"/>
          <w:szCs w:val="24"/>
        </w:rPr>
        <w:t xml:space="preserve"> for callose deposition using Zeiss </w:t>
      </w:r>
      <w:proofErr w:type="spellStart"/>
      <w:r w:rsidRPr="00BB742A">
        <w:rPr>
          <w:rFonts w:ascii="Times New Roman" w:hAnsi="Times New Roman" w:cs="Times New Roman"/>
          <w:color w:val="000000"/>
          <w:sz w:val="24"/>
          <w:szCs w:val="24"/>
        </w:rPr>
        <w:t>AxioImager</w:t>
      </w:r>
      <w:proofErr w:type="spellEnd"/>
      <w:r w:rsidRPr="00BB742A">
        <w:rPr>
          <w:rFonts w:ascii="Times New Roman" w:hAnsi="Times New Roman" w:cs="Times New Roman"/>
          <w:color w:val="000000"/>
          <w:sz w:val="24"/>
          <w:szCs w:val="24"/>
        </w:rPr>
        <w:t xml:space="preserve"> ApoTome2 microscope, EC Plan-</w:t>
      </w:r>
      <w:proofErr w:type="spellStart"/>
      <w:r w:rsidRPr="00BB742A">
        <w:rPr>
          <w:rFonts w:ascii="Times New Roman" w:hAnsi="Times New Roman" w:cs="Times New Roman"/>
          <w:color w:val="000000"/>
          <w:sz w:val="24"/>
          <w:szCs w:val="24"/>
        </w:rPr>
        <w:t>Neofluar</w:t>
      </w:r>
      <w:proofErr w:type="spellEnd"/>
      <w:r w:rsidRPr="00BB742A">
        <w:rPr>
          <w:rFonts w:ascii="Times New Roman" w:hAnsi="Times New Roman" w:cs="Times New Roman"/>
          <w:color w:val="000000"/>
          <w:sz w:val="24"/>
          <w:szCs w:val="24"/>
        </w:rPr>
        <w:t xml:space="preserve"> 10x/0.3 M27 objective.</w:t>
      </w:r>
    </w:p>
    <w:p w14:paraId="21509B08"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14:paraId="21509B09" w14:textId="77777777" w:rsidR="00E7693B" w:rsidRPr="00BB742A" w:rsidRDefault="00E7693B" w:rsidP="00684A4C">
      <w:pPr>
        <w:pStyle w:val="Heading2"/>
      </w:pPr>
      <w:bookmarkStart w:id="43" w:name="_Toc167977615"/>
      <w:r w:rsidRPr="00BB742A">
        <w:t>Root colonization test on selective media</w:t>
      </w:r>
      <w:bookmarkEnd w:id="43"/>
    </w:p>
    <w:p w14:paraId="21509B0A" w14:textId="77777777" w:rsidR="00E7693B" w:rsidRPr="00BB742A" w:rsidRDefault="00E7693B" w:rsidP="00684A4C">
      <w:pPr>
        <w:pBdr>
          <w:top w:val="nil"/>
          <w:left w:val="nil"/>
          <w:bottom w:val="nil"/>
          <w:right w:val="nil"/>
          <w:between w:val="nil"/>
        </w:pBdr>
        <w:spacing w:after="0" w:line="360" w:lineRule="auto"/>
        <w:jc w:val="both"/>
        <w:rPr>
          <w:rFonts w:ascii="Times New Roman" w:hAnsi="Times New Roman" w:cs="Times New Roman"/>
          <w:color w:val="000000"/>
          <w:sz w:val="24"/>
          <w:szCs w:val="24"/>
        </w:rPr>
      </w:pPr>
    </w:p>
    <w:p w14:paraId="21509B0B" w14:textId="77777777" w:rsidR="00E7693B" w:rsidRPr="00BB742A" w:rsidRDefault="00E7693B" w:rsidP="00684A4C">
      <w:pPr>
        <w:pBdr>
          <w:top w:val="nil"/>
          <w:left w:val="nil"/>
          <w:bottom w:val="nil"/>
          <w:right w:val="nil"/>
          <w:between w:val="nil"/>
        </w:pBdr>
        <w:spacing w:after="0" w:line="360" w:lineRule="auto"/>
        <w:ind w:firstLine="432"/>
        <w:jc w:val="both"/>
        <w:rPr>
          <w:rFonts w:ascii="Times New Roman" w:hAnsi="Times New Roman" w:cs="Times New Roman"/>
          <w:color w:val="000000"/>
          <w:sz w:val="24"/>
          <w:szCs w:val="24"/>
        </w:rPr>
      </w:pPr>
      <w:r w:rsidRPr="00BB742A">
        <w:rPr>
          <w:rFonts w:ascii="Times New Roman" w:hAnsi="Times New Roman" w:cs="Times New Roman"/>
          <w:color w:val="000000"/>
          <w:sz w:val="24"/>
          <w:szCs w:val="24"/>
        </w:rPr>
        <w:t xml:space="preserve">Roots of cauliflower plants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 xml:space="preserve">harvested and washed with tap water to remove the soil. Different parts of roots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 xml:space="preserve">sampled by cutting 5 pieces of 2 cm roots that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 xml:space="preserve">subsequently submerged in 5 ml 0.05 % Triton X. Then, roots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 xml:space="preserve">drilled until only small pieces of roots </w:t>
      </w:r>
      <w:r w:rsidRPr="00BB742A">
        <w:rPr>
          <w:rFonts w:ascii="Times New Roman" w:hAnsi="Times New Roman" w:cs="Times New Roman"/>
          <w:sz w:val="24"/>
          <w:szCs w:val="24"/>
        </w:rPr>
        <w:lastRenderedPageBreak/>
        <w:t xml:space="preserve">were </w:t>
      </w:r>
      <w:r w:rsidRPr="00BB742A">
        <w:rPr>
          <w:rFonts w:ascii="Times New Roman" w:hAnsi="Times New Roman" w:cs="Times New Roman"/>
          <w:color w:val="000000"/>
          <w:sz w:val="24"/>
          <w:szCs w:val="24"/>
        </w:rPr>
        <w:t xml:space="preserve">left, vortexed and 100 </w:t>
      </w:r>
      <w:proofErr w:type="spellStart"/>
      <w:r w:rsidRPr="00BB742A">
        <w:rPr>
          <w:rFonts w:ascii="Times New Roman" w:hAnsi="Times New Roman" w:cs="Times New Roman"/>
          <w:color w:val="000000"/>
          <w:sz w:val="24"/>
          <w:szCs w:val="24"/>
        </w:rPr>
        <w:t>μl</w:t>
      </w:r>
      <w:proofErr w:type="spellEnd"/>
      <w:r w:rsidRPr="00BB742A">
        <w:rPr>
          <w:rFonts w:ascii="Times New Roman" w:hAnsi="Times New Roman" w:cs="Times New Roman"/>
          <w:color w:val="000000"/>
          <w:sz w:val="24"/>
          <w:szCs w:val="24"/>
        </w:rPr>
        <w:t xml:space="preserve"> of suspension </w:t>
      </w:r>
      <w:r w:rsidRPr="00BB742A">
        <w:rPr>
          <w:rFonts w:ascii="Times New Roman" w:hAnsi="Times New Roman" w:cs="Times New Roman"/>
          <w:sz w:val="24"/>
          <w:szCs w:val="24"/>
        </w:rPr>
        <w:t xml:space="preserve">was </w:t>
      </w:r>
      <w:r w:rsidRPr="00BB742A">
        <w:rPr>
          <w:rFonts w:ascii="Times New Roman" w:hAnsi="Times New Roman" w:cs="Times New Roman"/>
          <w:color w:val="000000"/>
          <w:sz w:val="24"/>
          <w:szCs w:val="24"/>
        </w:rPr>
        <w:t xml:space="preserve">then placed on a plate with selective media containing peptone, glucose, agar, and antibiotics </w:t>
      </w:r>
      <w:proofErr w:type="spellStart"/>
      <w:r w:rsidRPr="00BB742A">
        <w:rPr>
          <w:rFonts w:ascii="Times New Roman" w:hAnsi="Times New Roman" w:cs="Times New Roman"/>
          <w:color w:val="000000"/>
          <w:sz w:val="24"/>
          <w:szCs w:val="24"/>
        </w:rPr>
        <w:t>dodine</w:t>
      </w:r>
      <w:proofErr w:type="spellEnd"/>
      <w:r w:rsidRPr="00BB742A">
        <w:rPr>
          <w:rFonts w:ascii="Times New Roman" w:hAnsi="Times New Roman" w:cs="Times New Roman"/>
          <w:color w:val="000000"/>
          <w:sz w:val="24"/>
          <w:szCs w:val="24"/>
        </w:rPr>
        <w:t xml:space="preserve"> (0.1 g ml</w:t>
      </w:r>
      <w:r w:rsidRPr="00BB742A">
        <w:rPr>
          <w:rFonts w:ascii="Times New Roman" w:hAnsi="Times New Roman" w:cs="Times New Roman"/>
          <w:color w:val="000000"/>
          <w:sz w:val="24"/>
          <w:szCs w:val="24"/>
          <w:vertAlign w:val="superscript"/>
        </w:rPr>
        <w:t>-1</w:t>
      </w:r>
      <w:r w:rsidRPr="00BB742A">
        <w:rPr>
          <w:rFonts w:ascii="Times New Roman" w:hAnsi="Times New Roman" w:cs="Times New Roman"/>
          <w:color w:val="000000"/>
          <w:sz w:val="24"/>
          <w:szCs w:val="24"/>
        </w:rPr>
        <w:t>), streptomycin (0.6 g ml</w:t>
      </w:r>
      <w:r w:rsidRPr="00BB742A">
        <w:rPr>
          <w:rFonts w:ascii="Times New Roman" w:hAnsi="Times New Roman" w:cs="Times New Roman"/>
          <w:color w:val="000000"/>
          <w:sz w:val="24"/>
          <w:szCs w:val="24"/>
          <w:vertAlign w:val="superscript"/>
        </w:rPr>
        <w:t>-1</w:t>
      </w:r>
      <w:r w:rsidRPr="00BB742A">
        <w:rPr>
          <w:rFonts w:ascii="Times New Roman" w:hAnsi="Times New Roman" w:cs="Times New Roman"/>
          <w:color w:val="000000"/>
          <w:sz w:val="24"/>
          <w:szCs w:val="24"/>
        </w:rPr>
        <w:t>), tetracycline (0.05 g ml</w:t>
      </w:r>
      <w:r w:rsidRPr="00BB742A">
        <w:rPr>
          <w:rFonts w:ascii="Times New Roman" w:hAnsi="Times New Roman" w:cs="Times New Roman"/>
          <w:color w:val="000000"/>
          <w:sz w:val="24"/>
          <w:szCs w:val="24"/>
          <w:vertAlign w:val="superscript"/>
        </w:rPr>
        <w:t>-1</w:t>
      </w:r>
      <w:r w:rsidRPr="00BB742A">
        <w:rPr>
          <w:rFonts w:ascii="Times New Roman" w:hAnsi="Times New Roman" w:cs="Times New Roman"/>
          <w:color w:val="000000"/>
          <w:sz w:val="24"/>
          <w:szCs w:val="24"/>
        </w:rPr>
        <w:t xml:space="preserve">) and </w:t>
      </w:r>
      <w:proofErr w:type="spellStart"/>
      <w:r w:rsidRPr="00BB742A">
        <w:rPr>
          <w:rFonts w:ascii="Times New Roman" w:hAnsi="Times New Roman" w:cs="Times New Roman"/>
          <w:color w:val="000000"/>
          <w:sz w:val="24"/>
          <w:szCs w:val="24"/>
        </w:rPr>
        <w:t>cyclohexamide</w:t>
      </w:r>
      <w:proofErr w:type="spellEnd"/>
      <w:r w:rsidRPr="00BB742A">
        <w:rPr>
          <w:rFonts w:ascii="Times New Roman" w:hAnsi="Times New Roman" w:cs="Times New Roman"/>
          <w:color w:val="000000"/>
          <w:sz w:val="24"/>
          <w:szCs w:val="24"/>
        </w:rPr>
        <w:t xml:space="preserve"> (0.05 g ml</w:t>
      </w:r>
      <w:r w:rsidRPr="00BB742A">
        <w:rPr>
          <w:rFonts w:ascii="Times New Roman" w:hAnsi="Times New Roman" w:cs="Times New Roman"/>
          <w:color w:val="000000"/>
          <w:sz w:val="24"/>
          <w:szCs w:val="24"/>
          <w:vertAlign w:val="superscript"/>
        </w:rPr>
        <w:t>-1</w:t>
      </w:r>
      <w:r w:rsidRPr="00BB742A">
        <w:rPr>
          <w:rFonts w:ascii="Times New Roman" w:hAnsi="Times New Roman" w:cs="Times New Roman"/>
          <w:color w:val="000000"/>
          <w:sz w:val="24"/>
          <w:szCs w:val="24"/>
        </w:rPr>
        <w:t xml:space="preserve">). Plates </w:t>
      </w:r>
      <w:r w:rsidRPr="00BB742A">
        <w:rPr>
          <w:rFonts w:ascii="Times New Roman" w:hAnsi="Times New Roman" w:cs="Times New Roman"/>
          <w:sz w:val="24"/>
          <w:szCs w:val="24"/>
        </w:rPr>
        <w:t xml:space="preserve">were </w:t>
      </w:r>
      <w:r w:rsidRPr="00BB742A">
        <w:rPr>
          <w:rFonts w:ascii="Times New Roman" w:hAnsi="Times New Roman" w:cs="Times New Roman"/>
          <w:color w:val="000000"/>
          <w:sz w:val="24"/>
          <w:szCs w:val="24"/>
        </w:rPr>
        <w:t xml:space="preserve">further stored at 25°C for 14 days </w:t>
      </w:r>
      <w:r w:rsidRPr="00BB742A">
        <w:rPr>
          <w:rFonts w:ascii="Times New Roman" w:hAnsi="Times New Roman" w:cs="Times New Roman"/>
          <w:sz w:val="24"/>
          <w:szCs w:val="24"/>
        </w:rPr>
        <w:t>and the number</w:t>
      </w:r>
      <w:r w:rsidRPr="00BB742A">
        <w:rPr>
          <w:rFonts w:ascii="Times New Roman" w:hAnsi="Times New Roman" w:cs="Times New Roman"/>
          <w:color w:val="000000"/>
          <w:sz w:val="24"/>
          <w:szCs w:val="24"/>
        </w:rPr>
        <w:t xml:space="preserve"> of fungal colonies </w:t>
      </w:r>
      <w:r w:rsidRPr="00BB742A">
        <w:rPr>
          <w:rFonts w:ascii="Times New Roman" w:hAnsi="Times New Roman" w:cs="Times New Roman"/>
          <w:sz w:val="24"/>
          <w:szCs w:val="24"/>
        </w:rPr>
        <w:t>was</w:t>
      </w:r>
      <w:r w:rsidRPr="00BB742A">
        <w:rPr>
          <w:rFonts w:ascii="Times New Roman" w:hAnsi="Times New Roman" w:cs="Times New Roman"/>
          <w:color w:val="000000"/>
          <w:sz w:val="24"/>
          <w:szCs w:val="24"/>
        </w:rPr>
        <w:t xml:space="preserve"> then counted.</w:t>
      </w:r>
    </w:p>
    <w:p w14:paraId="21509B0C" w14:textId="77777777" w:rsidR="00E7693B" w:rsidRPr="00BB742A" w:rsidRDefault="00E7693B" w:rsidP="00684A4C">
      <w:pPr>
        <w:pBdr>
          <w:top w:val="nil"/>
          <w:left w:val="nil"/>
          <w:bottom w:val="nil"/>
          <w:right w:val="nil"/>
          <w:between w:val="nil"/>
        </w:pBdr>
        <w:spacing w:after="0" w:line="360" w:lineRule="auto"/>
        <w:ind w:firstLine="432"/>
        <w:jc w:val="both"/>
        <w:rPr>
          <w:rFonts w:ascii="Times New Roman" w:hAnsi="Times New Roman" w:cs="Times New Roman"/>
          <w:sz w:val="24"/>
          <w:szCs w:val="24"/>
        </w:rPr>
      </w:pPr>
    </w:p>
    <w:p w14:paraId="21509B0D" w14:textId="77777777" w:rsidR="00E7693B" w:rsidRPr="00BB742A" w:rsidRDefault="00E7693B" w:rsidP="00684A4C">
      <w:pPr>
        <w:pStyle w:val="Heading2"/>
      </w:pPr>
      <w:bookmarkStart w:id="44" w:name="_Toc167977616"/>
      <w:r w:rsidRPr="00BB742A">
        <w:t>Statistical analyses</w:t>
      </w:r>
      <w:bookmarkEnd w:id="44"/>
    </w:p>
    <w:p w14:paraId="21509B0E" w14:textId="77777777" w:rsidR="00E7693B" w:rsidRPr="00BB742A" w:rsidRDefault="00E7693B" w:rsidP="00684A4C">
      <w:pPr>
        <w:spacing w:after="0"/>
        <w:rPr>
          <w:rFonts w:ascii="Times New Roman" w:hAnsi="Times New Roman" w:cs="Times New Roman"/>
          <w:sz w:val="24"/>
          <w:szCs w:val="24"/>
        </w:rPr>
      </w:pPr>
    </w:p>
    <w:p w14:paraId="21509B0F" w14:textId="77777777" w:rsidR="00E7693B" w:rsidRPr="00BB742A" w:rsidRDefault="00E7693B" w:rsidP="00684A4C">
      <w:pPr>
        <w:spacing w:after="0" w:line="360" w:lineRule="auto"/>
        <w:ind w:firstLine="576"/>
        <w:jc w:val="both"/>
        <w:rPr>
          <w:rFonts w:ascii="Times New Roman" w:hAnsi="Times New Roman" w:cs="Times New Roman"/>
          <w:sz w:val="24"/>
          <w:szCs w:val="24"/>
        </w:rPr>
      </w:pPr>
      <w:r w:rsidRPr="00BB742A">
        <w:rPr>
          <w:rFonts w:ascii="Times New Roman" w:hAnsi="Times New Roman" w:cs="Times New Roman"/>
          <w:sz w:val="24"/>
          <w:szCs w:val="24"/>
        </w:rPr>
        <w:t>Data were predominantly analysed in R (R Development Core Team 2020) with a significance threshold of 5 %.</w:t>
      </w:r>
    </w:p>
    <w:p w14:paraId="21509B10" w14:textId="10CA97F4" w:rsidR="00E7693B" w:rsidRPr="00BB742A" w:rsidRDefault="00E7693B" w:rsidP="00684A4C">
      <w:pPr>
        <w:spacing w:after="0" w:line="360" w:lineRule="auto"/>
        <w:jc w:val="both"/>
        <w:rPr>
          <w:rFonts w:ascii="Times New Roman" w:hAnsi="Times New Roman" w:cs="Times New Roman"/>
          <w:sz w:val="24"/>
          <w:szCs w:val="24"/>
        </w:rPr>
      </w:pPr>
      <w:r w:rsidRPr="00BB742A">
        <w:rPr>
          <w:rFonts w:ascii="Times New Roman" w:hAnsi="Times New Roman" w:cs="Times New Roman"/>
          <w:sz w:val="24"/>
          <w:szCs w:val="24"/>
        </w:rPr>
        <w:t xml:space="preserve">Regarding the evaluation of the feeding choice tests with cotyledons and true leaves of </w:t>
      </w:r>
      <w:r w:rsidRPr="00BB742A">
        <w:rPr>
          <w:rFonts w:ascii="Times New Roman" w:hAnsi="Times New Roman" w:cs="Times New Roman"/>
          <w:i/>
          <w:sz w:val="24"/>
          <w:szCs w:val="24"/>
        </w:rPr>
        <w:t xml:space="preserve">B. napus </w:t>
      </w:r>
      <w:r w:rsidRPr="00BB742A">
        <w:rPr>
          <w:rFonts w:ascii="Times New Roman" w:hAnsi="Times New Roman" w:cs="Times New Roman"/>
          <w:sz w:val="24"/>
          <w:szCs w:val="24"/>
        </w:rPr>
        <w:t xml:space="preserve">within vials by </w:t>
      </w:r>
      <w:r w:rsidRPr="00BB742A">
        <w:rPr>
          <w:rFonts w:ascii="Times New Roman" w:hAnsi="Times New Roman" w:cs="Times New Roman"/>
          <w:i/>
          <w:sz w:val="24"/>
          <w:szCs w:val="24"/>
        </w:rPr>
        <w:t xml:space="preserve">P. </w:t>
      </w:r>
      <w:proofErr w:type="spellStart"/>
      <w:r w:rsidRPr="00BB742A">
        <w:rPr>
          <w:rFonts w:ascii="Times New Roman" w:hAnsi="Times New Roman" w:cs="Times New Roman"/>
          <w:i/>
          <w:sz w:val="24"/>
          <w:szCs w:val="24"/>
        </w:rPr>
        <w:t>xylostella</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 xml:space="preserve">caterpillars, data were analysed using the mean consumption of leaf area in pixels, and the feeding choice tests with </w:t>
      </w:r>
      <w:r w:rsidRPr="00BB742A">
        <w:rPr>
          <w:rFonts w:ascii="Times New Roman" w:hAnsi="Times New Roman" w:cs="Times New Roman"/>
          <w:i/>
          <w:sz w:val="24"/>
          <w:szCs w:val="24"/>
        </w:rPr>
        <w:t xml:space="preserve">P. </w:t>
      </w:r>
      <w:proofErr w:type="spellStart"/>
      <w:r w:rsidRPr="00BB742A">
        <w:rPr>
          <w:rFonts w:ascii="Times New Roman" w:hAnsi="Times New Roman" w:cs="Times New Roman"/>
          <w:i/>
          <w:sz w:val="24"/>
          <w:szCs w:val="24"/>
        </w:rPr>
        <w:t>xylostella</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 xml:space="preserve">and </w:t>
      </w:r>
      <w:r w:rsidRPr="00BB742A">
        <w:rPr>
          <w:rFonts w:ascii="Times New Roman" w:hAnsi="Times New Roman" w:cs="Times New Roman"/>
          <w:i/>
          <w:sz w:val="24"/>
          <w:szCs w:val="24"/>
        </w:rPr>
        <w:t xml:space="preserve">L. </w:t>
      </w:r>
      <w:proofErr w:type="spellStart"/>
      <w:r w:rsidRPr="00BB742A">
        <w:rPr>
          <w:rFonts w:ascii="Times New Roman" w:hAnsi="Times New Roman" w:cs="Times New Roman"/>
          <w:i/>
          <w:sz w:val="24"/>
          <w:szCs w:val="24"/>
        </w:rPr>
        <w:t>maculans</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on true leaves within vials, using the mean consumption of leaf area in %. The effect of the experimental factors was tested using the linear model (‘</w:t>
      </w:r>
      <w:r w:rsidRPr="00BB742A">
        <w:rPr>
          <w:rFonts w:ascii="Times New Roman" w:hAnsi="Times New Roman" w:cs="Times New Roman"/>
          <w:i/>
          <w:sz w:val="24"/>
          <w:szCs w:val="24"/>
        </w:rPr>
        <w:t>lme4</w:t>
      </w:r>
      <w:r w:rsidRPr="00BB742A">
        <w:rPr>
          <w:rFonts w:ascii="Times New Roman" w:hAnsi="Times New Roman" w:cs="Times New Roman"/>
          <w:sz w:val="24"/>
          <w:szCs w:val="24"/>
        </w:rPr>
        <w:t xml:space="preserve">’ package, </w:t>
      </w:r>
      <w:r w:rsidR="00F34ED2">
        <w:rPr>
          <w:rFonts w:ascii="Times New Roman" w:hAnsi="Times New Roman" w:cs="Times New Roman"/>
          <w:sz w:val="24"/>
          <w:szCs w:val="24"/>
        </w:rPr>
        <w:fldChar w:fldCharType="begin"/>
      </w:r>
      <w:r w:rsidR="00C46636">
        <w:rPr>
          <w:rFonts w:ascii="Times New Roman" w:hAnsi="Times New Roman" w:cs="Times New Roman"/>
          <w:sz w:val="24"/>
          <w:szCs w:val="24"/>
        </w:rPr>
        <w:instrText xml:space="preserve"> ADDIN ZOTERO_ITEM CSL_CITATION {"citationID":"DgidFstu","properties":{"formattedCitation":"(Bates et al., 2015)","plainCitation":"(Bates et al., 2015)","dontUpdate":true,"noteIndex":0},"citationItems":[{"id":"r57bDo6W/KvSxHI5l","uris":["http://zotero.org/users/10895598/items/ZH9YZMGW"],"itemData":{"id":45,"type":"article-journal","container-title":"Journal of Statistical Software","DOI":"10.18637/jss.v067.i01","ISSN":"1548-7660","issue":"1","journalAbbreviation":"J. Stat. Soft.","language":"en","source":"DOI.org (Crossref)","title":"Fitting linear mixed-effects models using &lt;b&gt;lme4&lt;/b&gt;","URL":"http://www.jstatsoft.org/v67/i01/","volume":"67","author":[{"family":"Bates","given":"Douglas"},{"family":"Mächler","given":"Martin"},{"family":"Bolker","given":"Ben"},{"family":"Walker","given":"Steve"}],"accessed":{"date-parts":[["2022",10,31]]},"issued":{"date-parts":[["2015"]]}}}],"schema":"https://github.com/citation-style-language/schema/raw/master/csl-citation.json"} </w:instrText>
      </w:r>
      <w:r w:rsidR="00F34ED2">
        <w:rPr>
          <w:rFonts w:ascii="Times New Roman" w:hAnsi="Times New Roman" w:cs="Times New Roman"/>
          <w:sz w:val="24"/>
          <w:szCs w:val="24"/>
        </w:rPr>
        <w:fldChar w:fldCharType="separate"/>
      </w:r>
      <w:r w:rsidR="00F34ED2" w:rsidRPr="00F34ED2">
        <w:rPr>
          <w:rFonts w:ascii="Times New Roman" w:hAnsi="Times New Roman" w:cs="Times New Roman"/>
          <w:sz w:val="24"/>
        </w:rPr>
        <w:t>Bates et al., 2015)</w:t>
      </w:r>
      <w:r w:rsidR="00F34ED2">
        <w:rPr>
          <w:rFonts w:ascii="Times New Roman" w:hAnsi="Times New Roman" w:cs="Times New Roman"/>
          <w:sz w:val="24"/>
          <w:szCs w:val="24"/>
        </w:rPr>
        <w:fldChar w:fldCharType="end"/>
      </w:r>
      <w:r w:rsidRPr="00BB742A">
        <w:rPr>
          <w:rFonts w:ascii="Times New Roman" w:hAnsi="Times New Roman" w:cs="Times New Roman"/>
          <w:sz w:val="24"/>
          <w:szCs w:val="24"/>
        </w:rPr>
        <w:t xml:space="preserve"> without transformation. As for the evaluation of the choice tests by </w:t>
      </w:r>
      <w:r w:rsidRPr="00BB742A">
        <w:rPr>
          <w:rFonts w:ascii="Times New Roman" w:hAnsi="Times New Roman" w:cs="Times New Roman"/>
          <w:i/>
          <w:sz w:val="24"/>
          <w:szCs w:val="24"/>
        </w:rPr>
        <w:t xml:space="preserve">B. </w:t>
      </w:r>
      <w:proofErr w:type="spellStart"/>
      <w:r w:rsidRPr="00BB742A">
        <w:rPr>
          <w:rFonts w:ascii="Times New Roman" w:hAnsi="Times New Roman" w:cs="Times New Roman"/>
          <w:i/>
          <w:sz w:val="24"/>
          <w:szCs w:val="24"/>
        </w:rPr>
        <w:t>brassicae</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aphids within Petri dishes, the effect of the experimental factors was tested using the generalized linear model (</w:t>
      </w:r>
      <w:proofErr w:type="spellStart"/>
      <w:r w:rsidRPr="00BB742A">
        <w:rPr>
          <w:rFonts w:ascii="Times New Roman" w:hAnsi="Times New Roman" w:cs="Times New Roman"/>
          <w:sz w:val="24"/>
          <w:szCs w:val="24"/>
        </w:rPr>
        <w:t>glm</w:t>
      </w:r>
      <w:proofErr w:type="spellEnd"/>
      <w:r w:rsidRPr="00BB742A">
        <w:rPr>
          <w:rFonts w:ascii="Times New Roman" w:hAnsi="Times New Roman" w:cs="Times New Roman"/>
          <w:sz w:val="24"/>
          <w:szCs w:val="24"/>
        </w:rPr>
        <w:t>) and Poisson distribution without transformation. For details on significance tests, see univariate analyses below.</w:t>
      </w:r>
    </w:p>
    <w:p w14:paraId="21509B11" w14:textId="44120F9D" w:rsidR="00E7693B" w:rsidRPr="00BB742A" w:rsidRDefault="00E7693B" w:rsidP="00684A4C">
      <w:pPr>
        <w:spacing w:after="0" w:line="360" w:lineRule="auto"/>
        <w:ind w:firstLine="720"/>
        <w:jc w:val="both"/>
        <w:rPr>
          <w:rFonts w:ascii="Times New Roman" w:hAnsi="Times New Roman" w:cs="Times New Roman"/>
          <w:sz w:val="24"/>
          <w:szCs w:val="24"/>
          <w:highlight w:val="white"/>
        </w:rPr>
      </w:pPr>
      <w:r w:rsidRPr="00BB742A">
        <w:rPr>
          <w:rFonts w:ascii="Times New Roman" w:hAnsi="Times New Roman" w:cs="Times New Roman"/>
          <w:sz w:val="24"/>
          <w:szCs w:val="24"/>
        </w:rPr>
        <w:t xml:space="preserve">Univariate analyses were performed on feeding tests, gene transcription, GLS and VOC data. Regarding the VOC dataset, filtering was performed by removing the compounds if more than 50 % of all samples had a value no higher than 0.1 for that compound. Individual gene transcription, GLSs and VOCs, as well as the total content of aliphatic (AG), indole (IG) and all </w:t>
      </w:r>
      <w:r w:rsidR="00CC4E49">
        <w:rPr>
          <w:rFonts w:ascii="Times New Roman" w:hAnsi="Times New Roman" w:cs="Times New Roman"/>
          <w:sz w:val="24"/>
          <w:szCs w:val="24"/>
        </w:rPr>
        <w:t>groups</w:t>
      </w:r>
      <w:r w:rsidR="00CC4E49" w:rsidRPr="00BB742A">
        <w:rPr>
          <w:rFonts w:ascii="Times New Roman" w:hAnsi="Times New Roman" w:cs="Times New Roman"/>
          <w:sz w:val="24"/>
          <w:szCs w:val="24"/>
        </w:rPr>
        <w:t xml:space="preserve"> </w:t>
      </w:r>
      <w:r w:rsidRPr="00BB742A">
        <w:rPr>
          <w:rFonts w:ascii="Times New Roman" w:hAnsi="Times New Roman" w:cs="Times New Roman"/>
          <w:sz w:val="24"/>
          <w:szCs w:val="24"/>
        </w:rPr>
        <w:t>of GLSs were analysed against the treatment, the time and their interaction, using a linear model (‘</w:t>
      </w:r>
      <w:r w:rsidRPr="00BB742A">
        <w:rPr>
          <w:rFonts w:ascii="Times New Roman" w:hAnsi="Times New Roman" w:cs="Times New Roman"/>
          <w:i/>
          <w:sz w:val="24"/>
          <w:szCs w:val="24"/>
        </w:rPr>
        <w:t>lme4</w:t>
      </w:r>
      <w:r w:rsidRPr="00BB742A">
        <w:rPr>
          <w:rFonts w:ascii="Times New Roman" w:hAnsi="Times New Roman" w:cs="Times New Roman"/>
          <w:sz w:val="24"/>
          <w:szCs w:val="24"/>
        </w:rPr>
        <w:t>’ package, Bates et al., 2015), after transforming the data to the fourth root. A</w:t>
      </w:r>
      <w:r w:rsidRPr="00BB742A">
        <w:rPr>
          <w:rFonts w:ascii="Times New Roman" w:hAnsi="Times New Roman" w:cs="Times New Roman"/>
          <w:sz w:val="24"/>
          <w:szCs w:val="24"/>
          <w:highlight w:val="white"/>
        </w:rPr>
        <w:t xml:space="preserve">fter checking the normality and homoscedasticity of the model residues </w:t>
      </w:r>
      <w:r w:rsidRPr="00BB742A">
        <w:rPr>
          <w:rFonts w:ascii="Times New Roman" w:hAnsi="Times New Roman" w:cs="Times New Roman"/>
          <w:sz w:val="24"/>
          <w:szCs w:val="24"/>
        </w:rPr>
        <w:t>using the Shapiro-Wilk normality test</w:t>
      </w:r>
      <w:r w:rsidRPr="00BB742A">
        <w:rPr>
          <w:rFonts w:ascii="Times New Roman" w:hAnsi="Times New Roman" w:cs="Times New Roman"/>
          <w:sz w:val="24"/>
          <w:szCs w:val="24"/>
          <w:highlight w:val="white"/>
        </w:rPr>
        <w:t>, the significance of each term of the model was tested by the F-test as a type II analysis of variance (‘</w:t>
      </w:r>
      <w:proofErr w:type="spellStart"/>
      <w:r w:rsidRPr="00BB742A">
        <w:rPr>
          <w:rFonts w:ascii="Times New Roman" w:hAnsi="Times New Roman" w:cs="Times New Roman"/>
          <w:i/>
          <w:sz w:val="24"/>
          <w:szCs w:val="24"/>
          <w:highlight w:val="white"/>
        </w:rPr>
        <w:t>Anova</w:t>
      </w:r>
      <w:proofErr w:type="spellEnd"/>
      <w:r w:rsidRPr="00BB742A">
        <w:rPr>
          <w:rFonts w:ascii="Times New Roman" w:hAnsi="Times New Roman" w:cs="Times New Roman"/>
          <w:sz w:val="24"/>
          <w:szCs w:val="24"/>
          <w:highlight w:val="white"/>
        </w:rPr>
        <w:t>’ function, ‘</w:t>
      </w:r>
      <w:r w:rsidRPr="00BB742A">
        <w:rPr>
          <w:rFonts w:ascii="Times New Roman" w:hAnsi="Times New Roman" w:cs="Times New Roman"/>
          <w:i/>
          <w:sz w:val="24"/>
          <w:szCs w:val="24"/>
          <w:highlight w:val="white"/>
        </w:rPr>
        <w:t>car</w:t>
      </w:r>
      <w:r w:rsidRPr="00BB742A">
        <w:rPr>
          <w:rFonts w:ascii="Times New Roman" w:hAnsi="Times New Roman" w:cs="Times New Roman"/>
          <w:sz w:val="24"/>
          <w:szCs w:val="24"/>
          <w:highlight w:val="white"/>
        </w:rPr>
        <w:t xml:space="preserve">’ package, </w:t>
      </w:r>
      <w:r w:rsidR="00F34ED2">
        <w:rPr>
          <w:rFonts w:ascii="Times New Roman" w:hAnsi="Times New Roman" w:cs="Times New Roman"/>
          <w:sz w:val="24"/>
          <w:szCs w:val="24"/>
          <w:highlight w:val="white"/>
        </w:rPr>
        <w:fldChar w:fldCharType="begin"/>
      </w:r>
      <w:r w:rsidR="00D5193C">
        <w:rPr>
          <w:rFonts w:ascii="Times New Roman" w:hAnsi="Times New Roman" w:cs="Times New Roman"/>
          <w:sz w:val="24"/>
          <w:szCs w:val="24"/>
          <w:highlight w:val="white"/>
        </w:rPr>
        <w:instrText xml:space="preserve"> ADDIN ZOTERO_ITEM CSL_CITATION {"citationID":"tqlyZlHi","properties":{"formattedCitation":"(Fox and Weisberg, 2011)","plainCitation":"(Fox and Weisberg, 2011)","dontUpdate":true,"noteIndex":0},"citationItems":[{"id":435,"uris":["http://zotero.org/users/10895598/items/DPNQ643A"],"itemData":{"id":435,"type":"article-journal","container-title":"An R Companion to Applied Regression. Los Angeles: Thousand Oaks","journalAbbreviation":"An R Companion to Applied Regression. Los Angeles: Thousand Oaks","title":"Multivariate linear models in R","author":[{"family":"Fox","given":"John"},{"family":"Weisberg","given":"Sanford"}],"issued":{"date-parts":[["2011"]]}}}],"schema":"https://github.com/citation-style-language/schema/raw/master/csl-citation.json"} </w:instrText>
      </w:r>
      <w:r w:rsidR="00F34ED2">
        <w:rPr>
          <w:rFonts w:ascii="Times New Roman" w:hAnsi="Times New Roman" w:cs="Times New Roman"/>
          <w:sz w:val="24"/>
          <w:szCs w:val="24"/>
          <w:highlight w:val="white"/>
        </w:rPr>
        <w:fldChar w:fldCharType="separate"/>
      </w:r>
      <w:r w:rsidR="00F34ED2" w:rsidRPr="00F34ED2">
        <w:rPr>
          <w:rFonts w:ascii="Times New Roman" w:hAnsi="Times New Roman" w:cs="Times New Roman"/>
          <w:sz w:val="24"/>
          <w:highlight w:val="white"/>
        </w:rPr>
        <w:t>Fox and Weisberg, 2011)</w:t>
      </w:r>
      <w:r w:rsidR="00F34ED2">
        <w:rPr>
          <w:rFonts w:ascii="Times New Roman" w:hAnsi="Times New Roman" w:cs="Times New Roman"/>
          <w:sz w:val="24"/>
          <w:szCs w:val="24"/>
          <w:highlight w:val="white"/>
        </w:rPr>
        <w:fldChar w:fldCharType="end"/>
      </w:r>
      <w:r w:rsidRPr="00BB742A">
        <w:rPr>
          <w:rFonts w:ascii="Times New Roman" w:hAnsi="Times New Roman" w:cs="Times New Roman"/>
          <w:sz w:val="24"/>
          <w:szCs w:val="24"/>
          <w:highlight w:val="white"/>
        </w:rPr>
        <w:t>. For significant factors, pairwise comparisons were tested by estimated marginal means in the R package ‘</w:t>
      </w:r>
      <w:proofErr w:type="spellStart"/>
      <w:r w:rsidRPr="00BB742A">
        <w:rPr>
          <w:rFonts w:ascii="Times New Roman" w:hAnsi="Times New Roman" w:cs="Times New Roman"/>
          <w:i/>
          <w:sz w:val="24"/>
          <w:szCs w:val="24"/>
          <w:highlight w:val="white"/>
        </w:rPr>
        <w:t>emmeans</w:t>
      </w:r>
      <w:proofErr w:type="spellEnd"/>
      <w:r w:rsidRPr="00BB742A">
        <w:rPr>
          <w:rFonts w:ascii="Times New Roman" w:hAnsi="Times New Roman" w:cs="Times New Roman"/>
          <w:sz w:val="24"/>
          <w:szCs w:val="24"/>
          <w:highlight w:val="white"/>
        </w:rPr>
        <w:t xml:space="preserve">’ </w:t>
      </w:r>
      <w:r w:rsidR="00F34ED2">
        <w:rPr>
          <w:rFonts w:ascii="Times New Roman" w:hAnsi="Times New Roman" w:cs="Times New Roman"/>
          <w:sz w:val="24"/>
          <w:szCs w:val="24"/>
          <w:highlight w:val="white"/>
        </w:rPr>
        <w:fldChar w:fldCharType="begin"/>
      </w:r>
      <w:r w:rsidR="00D5193C">
        <w:rPr>
          <w:rFonts w:ascii="Times New Roman" w:hAnsi="Times New Roman" w:cs="Times New Roman"/>
          <w:sz w:val="24"/>
          <w:szCs w:val="24"/>
          <w:highlight w:val="white"/>
        </w:rPr>
        <w:instrText xml:space="preserve"> ADDIN ZOTERO_ITEM CSL_CITATION {"citationID":"vxx3rOqO","properties":{"formattedCitation":"(Lenth et al., 2019)","plainCitation":"(Lenth et al., 2019)","noteIndex":0},"citationItems":[{"id":498,"uris":["http://zotero.org/users/10895598/items/6K7JTLBZ"],"itemData":{"id":498,"type":"article-journal","title":"Package &lt;i&gt;'emmeans'&lt;/i&gt;","author":[{"family":"Lenth","given":"Russell"},{"family":"Singmann","given":"H"},{"family":"Love","given":"J"},{"family":"Buerkner","given":"P"},{"family":"Herve","given":"M"}],"issued":{"date-parts":[["2019"]]}}}],"schema":"https://github.com/citation-style-language/schema/raw/master/csl-citation.json"} </w:instrText>
      </w:r>
      <w:r w:rsidR="00F34ED2">
        <w:rPr>
          <w:rFonts w:ascii="Times New Roman" w:hAnsi="Times New Roman" w:cs="Times New Roman"/>
          <w:sz w:val="24"/>
          <w:szCs w:val="24"/>
          <w:highlight w:val="white"/>
        </w:rPr>
        <w:fldChar w:fldCharType="separate"/>
      </w:r>
      <w:r w:rsidR="00F34ED2" w:rsidRPr="00F34ED2">
        <w:rPr>
          <w:rFonts w:ascii="Times New Roman" w:hAnsi="Times New Roman" w:cs="Times New Roman"/>
          <w:sz w:val="24"/>
          <w:highlight w:val="white"/>
        </w:rPr>
        <w:t>(Lenth et al., 2019)</w:t>
      </w:r>
      <w:r w:rsidR="00F34ED2">
        <w:rPr>
          <w:rFonts w:ascii="Times New Roman" w:hAnsi="Times New Roman" w:cs="Times New Roman"/>
          <w:sz w:val="24"/>
          <w:szCs w:val="24"/>
          <w:highlight w:val="white"/>
        </w:rPr>
        <w:fldChar w:fldCharType="end"/>
      </w:r>
      <w:r w:rsidRPr="00BB742A">
        <w:rPr>
          <w:rFonts w:ascii="Times New Roman" w:hAnsi="Times New Roman" w:cs="Times New Roman"/>
          <w:sz w:val="24"/>
          <w:szCs w:val="24"/>
          <w:highlight w:val="white"/>
        </w:rPr>
        <w:t>, using P-values corrected with the False Discovery Rate. The ‘</w:t>
      </w:r>
      <w:proofErr w:type="spellStart"/>
      <w:r w:rsidRPr="00BB742A">
        <w:rPr>
          <w:rFonts w:ascii="Times New Roman" w:hAnsi="Times New Roman" w:cs="Times New Roman"/>
          <w:i/>
          <w:sz w:val="24"/>
          <w:szCs w:val="24"/>
          <w:highlight w:val="white"/>
        </w:rPr>
        <w:t>cld</w:t>
      </w:r>
      <w:proofErr w:type="spellEnd"/>
      <w:r w:rsidRPr="00BB742A">
        <w:rPr>
          <w:rFonts w:ascii="Times New Roman" w:hAnsi="Times New Roman" w:cs="Times New Roman"/>
          <w:sz w:val="24"/>
          <w:szCs w:val="24"/>
          <w:highlight w:val="white"/>
        </w:rPr>
        <w:t>’ function from the ‘</w:t>
      </w:r>
      <w:proofErr w:type="spellStart"/>
      <w:r w:rsidRPr="00BB742A">
        <w:rPr>
          <w:rFonts w:ascii="Times New Roman" w:hAnsi="Times New Roman" w:cs="Times New Roman"/>
          <w:i/>
          <w:sz w:val="24"/>
          <w:szCs w:val="24"/>
          <w:highlight w:val="white"/>
        </w:rPr>
        <w:t>multcomp</w:t>
      </w:r>
      <w:proofErr w:type="spellEnd"/>
      <w:r w:rsidRPr="00BB742A">
        <w:rPr>
          <w:rFonts w:ascii="Times New Roman" w:hAnsi="Times New Roman" w:cs="Times New Roman"/>
          <w:sz w:val="24"/>
          <w:szCs w:val="24"/>
          <w:highlight w:val="white"/>
        </w:rPr>
        <w:t>’</w:t>
      </w:r>
      <w:r w:rsidRPr="00BB742A">
        <w:rPr>
          <w:rFonts w:ascii="Times New Roman" w:hAnsi="Times New Roman" w:cs="Times New Roman"/>
          <w:i/>
          <w:sz w:val="24"/>
          <w:szCs w:val="24"/>
          <w:highlight w:val="white"/>
        </w:rPr>
        <w:t xml:space="preserve"> </w:t>
      </w:r>
      <w:r w:rsidRPr="00BB742A">
        <w:rPr>
          <w:rFonts w:ascii="Times New Roman" w:hAnsi="Times New Roman" w:cs="Times New Roman"/>
          <w:sz w:val="24"/>
          <w:szCs w:val="24"/>
          <w:highlight w:val="white"/>
        </w:rPr>
        <w:t>package</w:t>
      </w:r>
      <w:r w:rsidRPr="00BB742A">
        <w:rPr>
          <w:rFonts w:ascii="Times New Roman" w:hAnsi="Times New Roman" w:cs="Times New Roman"/>
          <w:sz w:val="24"/>
          <w:szCs w:val="24"/>
          <w:vertAlign w:val="superscript"/>
        </w:rPr>
        <w:t xml:space="preserve"> </w:t>
      </w:r>
      <w:r w:rsidR="005841FD">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{"citationID":"IYBhgU1L","properties":{"formattedCitation":"(Hothorn et al., 2008)","plainCitation":"(Hothorn et al., 2008)","noteIndex":0},"citationItems":[{"id":497,"uris":["http://zotero.org/users/10895598/items/7JY3BQ7A"],"itemData":{"id":497,"type":"article-journal","container-title":"Biometrical Journal","DOI":"10.1002/bimj.200810425","ISSN":"03233847, 15214036","issue":"3","journalAbbreviation":"Biom. J.","language":"en","page":"346-363","source":"DOI.org (Crossref)","title":"Simultaneous inference in general parametric models","volume":"50","author":[{"family":"Hothorn","given":"Torsten"},{"family":"Bretz","given":"Frank"},{"family":"Westfall","given":"Peter"}],"issued":{"date-parts":[["2008",6]]}}}],"schema":"https://github.com/citation-style-language/schema/raw/master/csl-citation.json"} </w:instrText>
      </w:r>
      <w:r w:rsidR="005841FD">
        <w:rPr>
          <w:rFonts w:ascii="Times New Roman" w:hAnsi="Times New Roman" w:cs="Times New Roman"/>
          <w:sz w:val="24"/>
          <w:szCs w:val="24"/>
        </w:rPr>
        <w:fldChar w:fldCharType="separate"/>
      </w:r>
      <w:r w:rsidR="005841FD" w:rsidRPr="005841FD">
        <w:rPr>
          <w:rFonts w:ascii="Times New Roman" w:hAnsi="Times New Roman" w:cs="Times New Roman"/>
          <w:sz w:val="24"/>
        </w:rPr>
        <w:t>(Hothorn et al., 2008)</w:t>
      </w:r>
      <w:r w:rsidR="005841FD">
        <w:rPr>
          <w:rFonts w:ascii="Times New Roman" w:hAnsi="Times New Roman" w:cs="Times New Roman"/>
          <w:sz w:val="24"/>
          <w:szCs w:val="24"/>
        </w:rPr>
        <w:fldChar w:fldCharType="end"/>
      </w:r>
      <w:r w:rsidR="005841FD">
        <w:rPr>
          <w:rFonts w:ascii="Times New Roman" w:hAnsi="Times New Roman" w:cs="Times New Roman"/>
          <w:sz w:val="24"/>
          <w:szCs w:val="24"/>
        </w:rPr>
        <w:t xml:space="preserve"> </w:t>
      </w:r>
      <w:r w:rsidRPr="00BB742A">
        <w:rPr>
          <w:rFonts w:ascii="Times New Roman" w:hAnsi="Times New Roman" w:cs="Times New Roman"/>
          <w:sz w:val="24"/>
          <w:szCs w:val="24"/>
          <w:highlight w:val="white"/>
        </w:rPr>
        <w:t>was used to display pairwise comparisons.</w:t>
      </w:r>
    </w:p>
    <w:p w14:paraId="21509B12" w14:textId="3FD4480D" w:rsidR="00E7693B" w:rsidRPr="00BB742A" w:rsidRDefault="00E7693B" w:rsidP="00684A4C">
      <w:pPr>
        <w:spacing w:after="0" w:line="360" w:lineRule="auto"/>
        <w:ind w:firstLine="720"/>
        <w:jc w:val="both"/>
        <w:rPr>
          <w:rFonts w:ascii="Times New Roman" w:hAnsi="Times New Roman" w:cs="Times New Roman"/>
          <w:sz w:val="24"/>
          <w:szCs w:val="24"/>
        </w:rPr>
      </w:pPr>
      <w:bookmarkStart w:id="45" w:name="_heading=h.4f1mdlm" w:colFirst="0" w:colLast="0"/>
      <w:bookmarkEnd w:id="45"/>
      <w:r w:rsidRPr="00BB742A">
        <w:rPr>
          <w:rFonts w:ascii="Times New Roman" w:hAnsi="Times New Roman" w:cs="Times New Roman"/>
          <w:sz w:val="24"/>
          <w:szCs w:val="24"/>
          <w:highlight w:val="white"/>
        </w:rPr>
        <w:lastRenderedPageBreak/>
        <w:t xml:space="preserve">Multivariate redundancy analyses (RDA) were performed on GLS and VOC data, using individual compounds, the fourth root transformation and the </w:t>
      </w:r>
      <w:r w:rsidRPr="00BB742A">
        <w:rPr>
          <w:rFonts w:ascii="Times New Roman" w:hAnsi="Times New Roman" w:cs="Times New Roman"/>
          <w:iCs/>
          <w:sz w:val="24"/>
          <w:szCs w:val="24"/>
          <w:highlight w:val="white"/>
        </w:rPr>
        <w:t>‘</w:t>
      </w:r>
      <w:proofErr w:type="spellStart"/>
      <w:r w:rsidRPr="00BB742A">
        <w:rPr>
          <w:rFonts w:ascii="Times New Roman" w:hAnsi="Times New Roman" w:cs="Times New Roman"/>
          <w:i/>
          <w:sz w:val="24"/>
          <w:szCs w:val="24"/>
          <w:highlight w:val="white"/>
        </w:rPr>
        <w:t>rda</w:t>
      </w:r>
      <w:proofErr w:type="spellEnd"/>
      <w:r w:rsidRPr="00BB742A">
        <w:rPr>
          <w:rFonts w:ascii="Times New Roman" w:hAnsi="Times New Roman" w:cs="Times New Roman"/>
          <w:iCs/>
          <w:color w:val="2A2A2A"/>
          <w:sz w:val="24"/>
          <w:szCs w:val="24"/>
          <w:highlight w:val="white"/>
        </w:rPr>
        <w:t>’</w:t>
      </w:r>
      <w:r w:rsidRPr="00BB742A">
        <w:rPr>
          <w:rFonts w:ascii="Times New Roman" w:hAnsi="Times New Roman" w:cs="Times New Roman"/>
          <w:i/>
          <w:sz w:val="24"/>
          <w:szCs w:val="24"/>
          <w:highlight w:val="white"/>
        </w:rPr>
        <w:t xml:space="preserve"> </w:t>
      </w:r>
      <w:r w:rsidRPr="00BB742A">
        <w:rPr>
          <w:rFonts w:ascii="Times New Roman" w:hAnsi="Times New Roman" w:cs="Times New Roman"/>
          <w:sz w:val="24"/>
          <w:szCs w:val="24"/>
          <w:highlight w:val="white"/>
        </w:rPr>
        <w:t xml:space="preserve">function from the </w:t>
      </w:r>
      <w:r w:rsidRPr="00BB742A">
        <w:rPr>
          <w:rFonts w:ascii="Times New Roman" w:hAnsi="Times New Roman" w:cs="Times New Roman"/>
          <w:iCs/>
          <w:sz w:val="24"/>
          <w:szCs w:val="24"/>
          <w:highlight w:val="white"/>
        </w:rPr>
        <w:t>‘</w:t>
      </w:r>
      <w:r w:rsidRPr="00BB742A">
        <w:rPr>
          <w:rFonts w:ascii="Times New Roman" w:hAnsi="Times New Roman" w:cs="Times New Roman"/>
          <w:i/>
          <w:sz w:val="24"/>
          <w:szCs w:val="24"/>
          <w:highlight w:val="white"/>
        </w:rPr>
        <w:t>vegan</w:t>
      </w:r>
      <w:r w:rsidRPr="00BB742A">
        <w:rPr>
          <w:rFonts w:ascii="Times New Roman" w:hAnsi="Times New Roman" w:cs="Times New Roman"/>
          <w:iCs/>
          <w:color w:val="2A2A2A"/>
          <w:sz w:val="24"/>
          <w:szCs w:val="24"/>
          <w:highlight w:val="white"/>
        </w:rPr>
        <w:t>’</w:t>
      </w:r>
      <w:r w:rsidRPr="00BB742A">
        <w:rPr>
          <w:rFonts w:ascii="Times New Roman" w:hAnsi="Times New Roman" w:cs="Times New Roman"/>
          <w:sz w:val="24"/>
          <w:szCs w:val="24"/>
          <w:highlight w:val="white"/>
        </w:rPr>
        <w:t xml:space="preserve"> package </w:t>
      </w:r>
      <w:r w:rsidR="005841FD">
        <w:rPr>
          <w:rFonts w:ascii="Times New Roman" w:hAnsi="Times New Roman" w:cs="Times New Roman"/>
          <w:sz w:val="24"/>
          <w:szCs w:val="24"/>
          <w:highlight w:val="white"/>
        </w:rPr>
        <w:fldChar w:fldCharType="begin"/>
      </w:r>
      <w:r w:rsidR="00D5193C">
        <w:rPr>
          <w:rFonts w:ascii="Times New Roman" w:hAnsi="Times New Roman" w:cs="Times New Roman"/>
          <w:sz w:val="24"/>
          <w:szCs w:val="24"/>
          <w:highlight w:val="white"/>
        </w:rPr>
        <w:instrText xml:space="preserve"> ADDIN ZOTERO_ITEM CSL_CITATION {"citationID":"82FrZT5L","properties":{"formattedCitation":"(Oksanen et al., 2020)","plainCitation":"(Oksanen et al., 2020)","noteIndex":0},"citationItems":[{"id":496,"uris":["http://zotero.org/users/10895598/items/FPNHUZTJ"],"itemData":{"id":496,"type":"article-journal","container-title":"Scientific Reports","journalAbbreviation":"Scientific Reports","page":"20354","title":"'&lt;i&gt;Vegan&lt;/i&gt;': community ecology package. R package version 2.3-0; 2015","volume":"10","author":[{"family":"Oksanen","given":"J"},{"family":"Blanchet","given":"F Guillaume"},{"family":"Kindt","given":"R"},{"family":"Legendre","given":"P"},{"family":"Minchin","given":"PR"},{"family":"O’hara","given":"RB"},{"family":"Simpson","given":"GL"},{"family":"Solymos","given":"P"},{"family":"Stevens","given":"MHH"},{"family":"Wagner","given":"H"}],"issued":{"date-parts":[["2020"]]}}}],"schema":"https://github.com/citation-style-language/schema/raw/master/csl-citation.json"} </w:instrText>
      </w:r>
      <w:r w:rsidR="005841FD">
        <w:rPr>
          <w:rFonts w:ascii="Times New Roman" w:hAnsi="Times New Roman" w:cs="Times New Roman"/>
          <w:sz w:val="24"/>
          <w:szCs w:val="24"/>
          <w:highlight w:val="white"/>
        </w:rPr>
        <w:fldChar w:fldCharType="separate"/>
      </w:r>
      <w:r w:rsidR="005841FD" w:rsidRPr="005841FD">
        <w:rPr>
          <w:rFonts w:ascii="Times New Roman" w:hAnsi="Times New Roman" w:cs="Times New Roman"/>
          <w:sz w:val="24"/>
          <w:highlight w:val="white"/>
        </w:rPr>
        <w:t>(Oksanen et al., 2020)</w:t>
      </w:r>
      <w:r w:rsidR="005841FD">
        <w:rPr>
          <w:rFonts w:ascii="Times New Roman" w:hAnsi="Times New Roman" w:cs="Times New Roman"/>
          <w:sz w:val="24"/>
          <w:szCs w:val="24"/>
          <w:highlight w:val="white"/>
        </w:rPr>
        <w:fldChar w:fldCharType="end"/>
      </w:r>
      <w:r w:rsidRPr="00BB742A">
        <w:rPr>
          <w:rFonts w:ascii="Times New Roman" w:hAnsi="Times New Roman" w:cs="Times New Roman"/>
          <w:sz w:val="24"/>
          <w:szCs w:val="24"/>
          <w:highlight w:val="white"/>
        </w:rPr>
        <w:t>. The ‘</w:t>
      </w:r>
      <w:proofErr w:type="spellStart"/>
      <w:r w:rsidRPr="00BB742A">
        <w:rPr>
          <w:rFonts w:ascii="Times New Roman" w:hAnsi="Times New Roman" w:cs="Times New Roman"/>
          <w:i/>
          <w:sz w:val="24"/>
          <w:szCs w:val="24"/>
          <w:highlight w:val="white"/>
        </w:rPr>
        <w:t>RVAideMemoire</w:t>
      </w:r>
      <w:proofErr w:type="spellEnd"/>
      <w:r w:rsidRPr="00BB742A">
        <w:rPr>
          <w:rFonts w:ascii="Times New Roman" w:hAnsi="Times New Roman" w:cs="Times New Roman"/>
          <w:sz w:val="24"/>
          <w:szCs w:val="24"/>
          <w:highlight w:val="white"/>
        </w:rPr>
        <w:t>’ package</w:t>
      </w:r>
      <w:r w:rsidRPr="00BB742A">
        <w:rPr>
          <w:rFonts w:ascii="Times New Roman" w:hAnsi="Times New Roman" w:cs="Times New Roman"/>
          <w:sz w:val="24"/>
          <w:szCs w:val="24"/>
        </w:rPr>
        <w:t xml:space="preserve"> </w:t>
      </w:r>
      <w:r w:rsidR="005841FD">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{"citationID":"ARiZRK2W","properties":{"formattedCitation":"(Herv\\uc0\\u233{}, 2015)","plainCitation":"(Hervé, 2015)","noteIndex":0},"citationItems":[{"id":372,"uris":["http://zotero.org/users/10895598/items/E5WP7RVG"],"itemData":{"id":372,"type":"article-journal","container-title":"R package version 0.9-50","title":"RVAideMemoire: diverse basic statistical and graphical functions","author":[{"family":"Hervé","given":"Maxime"}],"issued":{"date-parts":[["2015"]]}}}],"schema":"https://github.com/citation-style-language/schema/raw/master/csl-citation.json"} </w:instrText>
      </w:r>
      <w:r w:rsidR="005841FD">
        <w:rPr>
          <w:rFonts w:ascii="Times New Roman" w:hAnsi="Times New Roman" w:cs="Times New Roman"/>
          <w:sz w:val="24"/>
          <w:szCs w:val="24"/>
        </w:rPr>
        <w:fldChar w:fldCharType="separate"/>
      </w:r>
      <w:r w:rsidR="005841FD" w:rsidRPr="005841FD">
        <w:rPr>
          <w:rFonts w:ascii="Times New Roman" w:hAnsi="Times New Roman" w:cs="Times New Roman"/>
          <w:sz w:val="24"/>
          <w:szCs w:val="24"/>
        </w:rPr>
        <w:t>(Hervé, 2015)</w:t>
      </w:r>
      <w:r w:rsidR="005841FD">
        <w:rPr>
          <w:rFonts w:ascii="Times New Roman" w:hAnsi="Times New Roman" w:cs="Times New Roman"/>
          <w:sz w:val="24"/>
          <w:szCs w:val="24"/>
        </w:rPr>
        <w:fldChar w:fldCharType="end"/>
      </w:r>
      <w:r w:rsidR="005841FD">
        <w:rPr>
          <w:rFonts w:ascii="Times New Roman" w:hAnsi="Times New Roman" w:cs="Times New Roman"/>
          <w:sz w:val="24"/>
          <w:szCs w:val="24"/>
        </w:rPr>
        <w:t xml:space="preserve"> </w:t>
      </w:r>
      <w:r w:rsidRPr="00BB742A">
        <w:rPr>
          <w:rFonts w:ascii="Times New Roman" w:hAnsi="Times New Roman" w:cs="Times New Roman"/>
          <w:sz w:val="24"/>
          <w:szCs w:val="24"/>
          <w:highlight w:val="white"/>
        </w:rPr>
        <w:t>was used to test the significance of each term (same as the above univariate analyses) in the model with a type II permutation F-test for constrained multivariate analyses (‘</w:t>
      </w:r>
      <w:proofErr w:type="spellStart"/>
      <w:r w:rsidRPr="00BB742A">
        <w:rPr>
          <w:rFonts w:ascii="Times New Roman" w:hAnsi="Times New Roman" w:cs="Times New Roman"/>
          <w:i/>
          <w:sz w:val="24"/>
          <w:szCs w:val="24"/>
          <w:highlight w:val="white"/>
        </w:rPr>
        <w:t>MVA.anova</w:t>
      </w:r>
      <w:proofErr w:type="spellEnd"/>
      <w:r w:rsidRPr="00BB742A">
        <w:rPr>
          <w:rFonts w:ascii="Times New Roman" w:hAnsi="Times New Roman" w:cs="Times New Roman"/>
          <w:sz w:val="24"/>
          <w:szCs w:val="24"/>
          <w:highlight w:val="white"/>
        </w:rPr>
        <w:t>’ function); to perform pairwise comparisons when a factor was significant (‘</w:t>
      </w:r>
      <w:proofErr w:type="spellStart"/>
      <w:r w:rsidRPr="00BB742A">
        <w:rPr>
          <w:rFonts w:ascii="Times New Roman" w:hAnsi="Times New Roman" w:cs="Times New Roman"/>
          <w:i/>
          <w:sz w:val="24"/>
          <w:szCs w:val="24"/>
          <w:highlight w:val="white"/>
        </w:rPr>
        <w:t>pairwise.factorfit</w:t>
      </w:r>
      <w:proofErr w:type="spellEnd"/>
      <w:r w:rsidRPr="00BB742A">
        <w:rPr>
          <w:rFonts w:ascii="Times New Roman" w:hAnsi="Times New Roman" w:cs="Times New Roman"/>
          <w:sz w:val="24"/>
          <w:szCs w:val="24"/>
          <w:highlight w:val="white"/>
        </w:rPr>
        <w:t>’ function) and to plot the data for RDA (‘</w:t>
      </w:r>
      <w:proofErr w:type="spellStart"/>
      <w:r w:rsidRPr="00BB742A">
        <w:rPr>
          <w:rFonts w:ascii="Times New Roman" w:hAnsi="Times New Roman" w:cs="Times New Roman"/>
          <w:i/>
          <w:sz w:val="24"/>
          <w:szCs w:val="24"/>
          <w:highlight w:val="white"/>
        </w:rPr>
        <w:t>MVA.plot</w:t>
      </w:r>
      <w:proofErr w:type="spellEnd"/>
      <w:r w:rsidRPr="00BB742A">
        <w:rPr>
          <w:rFonts w:ascii="Times New Roman" w:hAnsi="Times New Roman" w:cs="Times New Roman"/>
          <w:sz w:val="24"/>
          <w:szCs w:val="24"/>
          <w:highlight w:val="white"/>
        </w:rPr>
        <w:t xml:space="preserve">’ function). </w:t>
      </w:r>
      <w:r w:rsidRPr="00BB742A">
        <w:rPr>
          <w:rFonts w:ascii="Times New Roman" w:hAnsi="Times New Roman" w:cs="Times New Roman"/>
          <w:sz w:val="24"/>
          <w:szCs w:val="24"/>
        </w:rPr>
        <w:t>The ‘</w:t>
      </w:r>
      <w:proofErr w:type="spellStart"/>
      <w:r w:rsidRPr="00BB742A">
        <w:rPr>
          <w:rFonts w:ascii="Times New Roman" w:hAnsi="Times New Roman" w:cs="Times New Roman"/>
          <w:i/>
          <w:sz w:val="24"/>
          <w:szCs w:val="24"/>
        </w:rPr>
        <w:t>ggplot</w:t>
      </w:r>
      <w:proofErr w:type="spellEnd"/>
      <w:r w:rsidRPr="00BB742A">
        <w:rPr>
          <w:rFonts w:ascii="Times New Roman" w:hAnsi="Times New Roman" w:cs="Times New Roman"/>
          <w:sz w:val="24"/>
          <w:szCs w:val="24"/>
        </w:rPr>
        <w:t xml:space="preserve">’ package </w:t>
      </w:r>
      <w:r w:rsidR="005841FD">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{"citationID":"I8cUtKHD","properties":{"formattedCitation":"(Wickham, 2009)","plainCitation":"(Wickham, 2009)","noteIndex":0},"citationItems":[{"id":353,"uris":["http://zotero.org/users/10895598/items/F3X6X6L6"],"itemData":{"id":353,"type":"book","event-place":"New York, NY","ISBN":"978-0-387-98140-6","language":"en","note":"DOI: 10.1007/978-0-387-98141-3","publisher":"Springer New York","publisher-place":"New York, NY","source":"DOI.org (Crossref)","title":"ggplot2","URL":"http://link.springer.com/10.1007/978-0-387-98141-3","author":[{"family":"Wickham","given":"Hadley"}],"accessed":{"date-parts":[["2022",8,10]]},"issued":{"date-parts":[["2009"]]}}}],"schema":"https://github.com/citation-style-language/schema/raw/master/csl-citation.json"} </w:instrText>
      </w:r>
      <w:r w:rsidR="005841FD">
        <w:rPr>
          <w:rFonts w:ascii="Times New Roman" w:hAnsi="Times New Roman" w:cs="Times New Roman"/>
          <w:sz w:val="24"/>
          <w:szCs w:val="24"/>
        </w:rPr>
        <w:fldChar w:fldCharType="separate"/>
      </w:r>
      <w:r w:rsidR="005841FD" w:rsidRPr="005841FD">
        <w:rPr>
          <w:rFonts w:ascii="Times New Roman" w:hAnsi="Times New Roman" w:cs="Times New Roman"/>
          <w:sz w:val="24"/>
        </w:rPr>
        <w:t>(Wickham, 2009)</w:t>
      </w:r>
      <w:r w:rsidR="005841FD">
        <w:rPr>
          <w:rFonts w:ascii="Times New Roman" w:hAnsi="Times New Roman" w:cs="Times New Roman"/>
          <w:sz w:val="24"/>
          <w:szCs w:val="24"/>
        </w:rPr>
        <w:fldChar w:fldCharType="end"/>
      </w:r>
      <w:r w:rsidRPr="00BB742A">
        <w:rPr>
          <w:rFonts w:ascii="Times New Roman" w:hAnsi="Times New Roman" w:cs="Times New Roman"/>
          <w:sz w:val="24"/>
          <w:szCs w:val="24"/>
        </w:rPr>
        <w:t xml:space="preserve"> was used to generate the rest of the plots.</w:t>
      </w:r>
    </w:p>
    <w:p w14:paraId="21509B13" w14:textId="77777777" w:rsidR="00E7693B" w:rsidRPr="00BB742A" w:rsidRDefault="00E7693B">
      <w:pPr>
        <w:spacing w:line="360" w:lineRule="auto"/>
        <w:ind w:firstLine="432"/>
        <w:jc w:val="both"/>
        <w:rPr>
          <w:rFonts w:ascii="Times New Roman" w:hAnsi="Times New Roman" w:cs="Times New Roman"/>
          <w:sz w:val="24"/>
          <w:szCs w:val="24"/>
          <w:highlight w:val="white"/>
        </w:rPr>
      </w:pPr>
      <w:r w:rsidRPr="00BB742A">
        <w:rPr>
          <w:rFonts w:ascii="Times New Roman" w:hAnsi="Times New Roman" w:cs="Times New Roman"/>
          <w:sz w:val="24"/>
          <w:szCs w:val="24"/>
        </w:rPr>
        <w:t xml:space="preserve">Data collected from the experiments with </w:t>
      </w:r>
      <w:r w:rsidRPr="00BB742A">
        <w:rPr>
          <w:rFonts w:ascii="Times New Roman" w:hAnsi="Times New Roman" w:cs="Times New Roman"/>
          <w:i/>
          <w:sz w:val="24"/>
          <w:szCs w:val="24"/>
        </w:rPr>
        <w:t xml:space="preserve">B. </w:t>
      </w:r>
      <w:proofErr w:type="spellStart"/>
      <w:r w:rsidRPr="00BB742A">
        <w:rPr>
          <w:rFonts w:ascii="Times New Roman" w:hAnsi="Times New Roman" w:cs="Times New Roman"/>
          <w:i/>
          <w:sz w:val="24"/>
          <w:szCs w:val="24"/>
        </w:rPr>
        <w:t>brassicae</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 xml:space="preserve">and </w:t>
      </w:r>
      <w:r w:rsidRPr="00BB742A">
        <w:rPr>
          <w:rFonts w:ascii="Times New Roman" w:hAnsi="Times New Roman" w:cs="Times New Roman"/>
          <w:i/>
          <w:sz w:val="24"/>
          <w:szCs w:val="24"/>
        </w:rPr>
        <w:t xml:space="preserve">A. thaliana </w:t>
      </w:r>
      <w:r w:rsidRPr="00BB742A">
        <w:rPr>
          <w:rFonts w:ascii="Times New Roman" w:hAnsi="Times New Roman" w:cs="Times New Roman"/>
          <w:sz w:val="24"/>
          <w:szCs w:val="24"/>
        </w:rPr>
        <w:t xml:space="preserve">were analysed and graphs were generated in GraphPad Prism 8 software (https://www.graphpad.com/scientific-software/prism/). Data distribution normality was checked using the Shapiro-Wilk test. Control and </w:t>
      </w:r>
      <w:r w:rsidRPr="00BB742A">
        <w:rPr>
          <w:rFonts w:ascii="Times New Roman" w:hAnsi="Times New Roman" w:cs="Times New Roman"/>
          <w:i/>
          <w:sz w:val="24"/>
          <w:szCs w:val="24"/>
        </w:rPr>
        <w:t xml:space="preserve">B. </w:t>
      </w:r>
      <w:proofErr w:type="spellStart"/>
      <w:r w:rsidRPr="00BB742A">
        <w:rPr>
          <w:rFonts w:ascii="Times New Roman" w:hAnsi="Times New Roman" w:cs="Times New Roman"/>
          <w:i/>
          <w:sz w:val="24"/>
          <w:szCs w:val="24"/>
        </w:rPr>
        <w:t>brassicae</w:t>
      </w:r>
      <w:proofErr w:type="spellEnd"/>
      <w:r w:rsidRPr="00BB742A">
        <w:rPr>
          <w:rFonts w:ascii="Times New Roman" w:hAnsi="Times New Roman" w:cs="Times New Roman"/>
          <w:sz w:val="24"/>
          <w:szCs w:val="24"/>
        </w:rPr>
        <w:t xml:space="preserve">-infested leaf samples were compared within each time point with unpaired </w:t>
      </w:r>
      <w:r w:rsidRPr="00BB742A">
        <w:rPr>
          <w:rFonts w:ascii="Times New Roman" w:hAnsi="Times New Roman" w:cs="Times New Roman"/>
          <w:i/>
          <w:sz w:val="24"/>
          <w:szCs w:val="24"/>
        </w:rPr>
        <w:t>t-</w:t>
      </w:r>
      <w:r w:rsidRPr="00BB742A">
        <w:rPr>
          <w:rFonts w:ascii="Times New Roman" w:hAnsi="Times New Roman" w:cs="Times New Roman"/>
          <w:sz w:val="24"/>
          <w:szCs w:val="24"/>
        </w:rPr>
        <w:t xml:space="preserve">test for unequal variances. The maximum intensity projections obtained from 40 </w:t>
      </w:r>
      <w:proofErr w:type="spellStart"/>
      <w:r w:rsidRPr="00BB742A">
        <w:rPr>
          <w:rFonts w:ascii="Times New Roman" w:hAnsi="Times New Roman" w:cs="Times New Roman"/>
          <w:sz w:val="24"/>
          <w:szCs w:val="24"/>
        </w:rPr>
        <w:t>μm</w:t>
      </w:r>
      <w:proofErr w:type="spellEnd"/>
      <w:r w:rsidRPr="00BB742A">
        <w:rPr>
          <w:rFonts w:ascii="Times New Roman" w:hAnsi="Times New Roman" w:cs="Times New Roman"/>
          <w:sz w:val="24"/>
          <w:szCs w:val="24"/>
        </w:rPr>
        <w:t xml:space="preserve"> z-stacks were created using Zeiss ZEN Black software. Fiji software (https://fiji.sc/) was used for microscopy image analysis.</w:t>
      </w:r>
    </w:p>
    <w:p w14:paraId="21509B14" w14:textId="77777777" w:rsidR="00E7693B" w:rsidRPr="00BB742A" w:rsidRDefault="00E7693B">
      <w:pPr>
        <w:rPr>
          <w:rFonts w:ascii="Times New Roman" w:hAnsi="Times New Roman" w:cs="Times New Roman"/>
          <w:sz w:val="24"/>
          <w:szCs w:val="24"/>
        </w:rPr>
      </w:pPr>
      <w:r w:rsidRPr="00BB742A">
        <w:rPr>
          <w:rFonts w:ascii="Times New Roman" w:hAnsi="Times New Roman" w:cs="Times New Roman"/>
          <w:sz w:val="24"/>
          <w:szCs w:val="24"/>
        </w:rPr>
        <w:br w:type="page"/>
      </w:r>
    </w:p>
    <w:p w14:paraId="21509B15" w14:textId="5056A204" w:rsidR="00E7693B" w:rsidRDefault="00EC70C2" w:rsidP="00BB742A">
      <w:pPr>
        <w:pStyle w:val="Heading1"/>
      </w:pPr>
      <w:bookmarkStart w:id="46" w:name="_Toc167977617"/>
      <w:r>
        <w:lastRenderedPageBreak/>
        <w:t>Individual studies and their results</w:t>
      </w:r>
      <w:bookmarkEnd w:id="46"/>
    </w:p>
    <w:p w14:paraId="4C6A0729" w14:textId="77777777" w:rsidR="00EC70C2" w:rsidRPr="0074184F" w:rsidRDefault="00EC70C2" w:rsidP="00EC70C2">
      <w:pPr>
        <w:rPr>
          <w:rFonts w:ascii="Times New Roman" w:hAnsi="Times New Roman" w:cs="Times New Roman"/>
          <w:sz w:val="24"/>
          <w:szCs w:val="24"/>
        </w:rPr>
      </w:pPr>
    </w:p>
    <w:p w14:paraId="21509B18" w14:textId="63FAD685" w:rsidR="00E7693B" w:rsidRDefault="00E7693B" w:rsidP="0074184F">
      <w:pPr>
        <w:pStyle w:val="Heading2"/>
      </w:pPr>
      <w:bookmarkStart w:id="47" w:name="_Toc167977618"/>
      <w:r w:rsidRPr="00E7693B">
        <w:t xml:space="preserve">Development of a feeding choice test method for studying leaf palatability for </w:t>
      </w:r>
      <w:proofErr w:type="spellStart"/>
      <w:r w:rsidRPr="00E7693B">
        <w:rPr>
          <w:i/>
        </w:rPr>
        <w:t>Plutella</w:t>
      </w:r>
      <w:proofErr w:type="spellEnd"/>
      <w:r w:rsidRPr="00E7693B">
        <w:rPr>
          <w:i/>
        </w:rPr>
        <w:t xml:space="preserve"> </w:t>
      </w:r>
      <w:proofErr w:type="spellStart"/>
      <w:r w:rsidRPr="00E7693B">
        <w:rPr>
          <w:i/>
        </w:rPr>
        <w:t>xylostella</w:t>
      </w:r>
      <w:proofErr w:type="spellEnd"/>
      <w:r w:rsidRPr="00E7693B">
        <w:rPr>
          <w:i/>
        </w:rPr>
        <w:t xml:space="preserve"> </w:t>
      </w:r>
      <w:r w:rsidRPr="00E7693B">
        <w:t>caterpillars</w:t>
      </w:r>
      <w:bookmarkEnd w:id="47"/>
    </w:p>
    <w:p w14:paraId="2D847F3D" w14:textId="77777777" w:rsidR="0074184F" w:rsidRPr="0074184F" w:rsidRDefault="0074184F" w:rsidP="0074184F">
      <w:pPr>
        <w:rPr>
          <w:rFonts w:ascii="Times New Roman" w:hAnsi="Times New Roman" w:cs="Times New Roman"/>
          <w:sz w:val="24"/>
          <w:szCs w:val="24"/>
        </w:rPr>
      </w:pPr>
    </w:p>
    <w:p w14:paraId="21509B19" w14:textId="36244994" w:rsidR="00E7693B" w:rsidRPr="00BB742A" w:rsidRDefault="00E7693B" w:rsidP="00EC70C2">
      <w:pPr>
        <w:pStyle w:val="Heading3"/>
      </w:pPr>
      <w:bookmarkStart w:id="48" w:name="_Toc167977619"/>
      <w:r w:rsidRPr="00BB742A">
        <w:t xml:space="preserve">Development of </w:t>
      </w:r>
      <w:r w:rsidR="00115163">
        <w:t xml:space="preserve">a </w:t>
      </w:r>
      <w:r w:rsidRPr="00BB742A">
        <w:t>T-tube connected vial system</w:t>
      </w:r>
      <w:bookmarkEnd w:id="48"/>
    </w:p>
    <w:p w14:paraId="21509B1A" w14:textId="77777777" w:rsidR="00E7693B" w:rsidRPr="00BB742A" w:rsidRDefault="00E7693B" w:rsidP="00684A4C">
      <w:pPr>
        <w:spacing w:after="0"/>
        <w:rPr>
          <w:rFonts w:ascii="Times New Roman" w:hAnsi="Times New Roman" w:cs="Times New Roman"/>
          <w:sz w:val="24"/>
          <w:szCs w:val="24"/>
        </w:rPr>
      </w:pPr>
    </w:p>
    <w:p w14:paraId="21509B1B" w14:textId="79157554" w:rsidR="00E7693B" w:rsidRPr="00BB742A" w:rsidRDefault="00E7693B">
      <w:pPr>
        <w:spacing w:after="240" w:line="360" w:lineRule="auto"/>
        <w:ind w:firstLine="576"/>
        <w:jc w:val="both"/>
        <w:rPr>
          <w:rFonts w:ascii="Times New Roman" w:hAnsi="Times New Roman" w:cs="Times New Roman"/>
          <w:sz w:val="24"/>
          <w:szCs w:val="24"/>
        </w:rPr>
      </w:pPr>
      <w:r w:rsidRPr="00BB742A">
        <w:rPr>
          <w:rFonts w:ascii="Times New Roman" w:hAnsi="Times New Roman" w:cs="Times New Roman"/>
          <w:sz w:val="24"/>
          <w:szCs w:val="24"/>
        </w:rPr>
        <w:t xml:space="preserve">A feeding choice test for </w:t>
      </w:r>
      <w:r w:rsidRPr="00BB742A">
        <w:rPr>
          <w:rFonts w:ascii="Times New Roman" w:hAnsi="Times New Roman" w:cs="Times New Roman"/>
          <w:i/>
          <w:sz w:val="24"/>
          <w:szCs w:val="24"/>
        </w:rPr>
        <w:t xml:space="preserve">P. </w:t>
      </w:r>
      <w:proofErr w:type="spellStart"/>
      <w:r w:rsidRPr="00BB742A">
        <w:rPr>
          <w:rFonts w:ascii="Times New Roman" w:hAnsi="Times New Roman" w:cs="Times New Roman"/>
          <w:i/>
          <w:sz w:val="24"/>
          <w:szCs w:val="24"/>
        </w:rPr>
        <w:t>xylostella</w:t>
      </w:r>
      <w:proofErr w:type="spellEnd"/>
      <w:r w:rsidRPr="00BB742A">
        <w:rPr>
          <w:rFonts w:ascii="Times New Roman" w:hAnsi="Times New Roman" w:cs="Times New Roman"/>
          <w:i/>
          <w:sz w:val="24"/>
          <w:szCs w:val="24"/>
        </w:rPr>
        <w:t xml:space="preserve"> </w:t>
      </w:r>
      <w:r w:rsidRPr="00BB742A">
        <w:rPr>
          <w:rFonts w:ascii="Times New Roman" w:hAnsi="Times New Roman" w:cs="Times New Roman"/>
          <w:sz w:val="24"/>
          <w:szCs w:val="24"/>
        </w:rPr>
        <w:t>caterpillars was developed comprising two 100 ml plastic vials connected with a plastic T-shaped connector (Fig. 10). One detached leaf was placed in each vial, fixed with glass balls soaked in distilled water and covered with filter paper used to prevent caterpillars from drowning. Three third-instar caterpillars were added in the T-tube with a fine paintbrush and were given a choice to feed on two types of leaves</w:t>
      </w:r>
      <w:r w:rsidRPr="00BB742A">
        <w:rPr>
          <w:rFonts w:ascii="Times New Roman" w:hAnsi="Times New Roman" w:cs="Times New Roman"/>
          <w:color w:val="000000"/>
          <w:sz w:val="24"/>
          <w:szCs w:val="24"/>
        </w:rPr>
        <w:t xml:space="preserve"> for 48 h. Then, leaves were scanned, and the percentage of the damage was evaluated using </w:t>
      </w:r>
      <w:proofErr w:type="spellStart"/>
      <w:r w:rsidRPr="00BB742A">
        <w:rPr>
          <w:rFonts w:ascii="Times New Roman" w:hAnsi="Times New Roman" w:cs="Times New Roman"/>
          <w:sz w:val="24"/>
          <w:szCs w:val="24"/>
        </w:rPr>
        <w:t>BioLeaf</w:t>
      </w:r>
      <w:proofErr w:type="spellEnd"/>
      <w:r w:rsidRPr="00BB742A">
        <w:rPr>
          <w:rFonts w:ascii="Times New Roman" w:hAnsi="Times New Roman" w:cs="Times New Roman"/>
          <w:sz w:val="24"/>
          <w:szCs w:val="24"/>
        </w:rPr>
        <w:t xml:space="preserve"> (a professional mobile application for foliar analysis; </w:t>
      </w:r>
      <w:r w:rsidR="005841FD">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{"citationID":"2VbJ3xIQ","properties":{"formattedCitation":"(Machado et al., 2016)","plainCitation":"(Machado et al., 2016)","dontUpdate":true,"noteIndex":0},"citationItems":[{"id":408,"uris":["http://zotero.org/users/10895598/items/TA3M5M3R"],"itemData":{"id":408,"type":"article-journal","container-title":"Computers and Electronics in Agriculture","DOI":"10.1016/j.compag.2016.09.007","ISSN":"01681699","journalAbbreviation":"Computers and Electronics in Agriculture","language":"en","page":"44-55","source":"DOI.org (Crossref)","title":"BioLeaf: a professional mobile application to measure foliar damage caused by insect herbivory","title-short":"BioLeaf","volume":"129","author":[{"family":"Machado","given":"Bruno Brandoli"},{"family":"Orue","given":"Jonatan P M"},{"family":"Arruda","given":"Mauro S"},{"family":"Santos","given":"Cleidimar V"},{"family":"Sarath","given":"Diogo S"},{"family":"Goncalves","given":"Wesley N"},{"family":"Silva","given":"Gercina G"},{"family":"Pistori","given":"Hemerson"},{"family":"Roel","given":"Antonia Railda"},{"family":"Rodrigues-Jr","given":"Jose F"}],"issued":{"date-parts":[["2016",11]]}}}],"schema":"https://github.com/citation-style-language/schema/raw/master/csl-citation.json"} </w:instrText>
      </w:r>
      <w:r w:rsidR="005841FD">
        <w:rPr>
          <w:rFonts w:ascii="Times New Roman" w:hAnsi="Times New Roman" w:cs="Times New Roman"/>
          <w:sz w:val="24"/>
          <w:szCs w:val="24"/>
        </w:rPr>
        <w:fldChar w:fldCharType="separate"/>
      </w:r>
      <w:r w:rsidR="005841FD" w:rsidRPr="005841FD">
        <w:rPr>
          <w:rFonts w:ascii="Times New Roman" w:hAnsi="Times New Roman" w:cs="Times New Roman"/>
          <w:sz w:val="24"/>
        </w:rPr>
        <w:t>Machado et al., 2016)</w:t>
      </w:r>
      <w:r w:rsidR="005841FD">
        <w:rPr>
          <w:rFonts w:ascii="Times New Roman" w:hAnsi="Times New Roman" w:cs="Times New Roman"/>
          <w:sz w:val="24"/>
          <w:szCs w:val="24"/>
        </w:rPr>
        <w:fldChar w:fldCharType="end"/>
      </w:r>
      <w:r w:rsidRPr="00BB742A">
        <w:rPr>
          <w:rFonts w:ascii="Times New Roman" w:hAnsi="Times New Roman" w:cs="Times New Roman"/>
          <w:sz w:val="24"/>
          <w:szCs w:val="24"/>
        </w:rPr>
        <w:t>.</w:t>
      </w:r>
    </w:p>
    <w:p w14:paraId="21509B1C" w14:textId="77777777" w:rsidR="00E7693B" w:rsidRPr="00E7693B" w:rsidRDefault="00E7693B">
      <w:pPr>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82" wp14:editId="2150A583">
            <wp:extent cx="3447476" cy="2047556"/>
            <wp:effectExtent l="0" t="0" r="0" b="0"/>
            <wp:docPr id="3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7"/>
                    <a:srcRect/>
                    <a:stretch>
                      <a:fillRect/>
                    </a:stretch>
                  </pic:blipFill>
                  <pic:spPr>
                    <a:xfrm>
                      <a:off x="0" y="0"/>
                      <a:ext cx="3447476" cy="2047556"/>
                    </a:xfrm>
                    <a:prstGeom prst="rect">
                      <a:avLst/>
                    </a:prstGeom>
                    <a:ln/>
                  </pic:spPr>
                </pic:pic>
              </a:graphicData>
            </a:graphic>
          </wp:inline>
        </w:drawing>
      </w:r>
    </w:p>
    <w:p w14:paraId="21509B1D" w14:textId="77777777" w:rsidR="00E7693B" w:rsidRPr="00E7693B" w:rsidRDefault="00E7693B">
      <w:pPr>
        <w:spacing w:before="240" w:after="240" w:line="360" w:lineRule="auto"/>
        <w:jc w:val="center"/>
        <w:rPr>
          <w:rFonts w:ascii="Times New Roman" w:hAnsi="Times New Roman" w:cs="Times New Roman"/>
        </w:rPr>
      </w:pPr>
      <w:r w:rsidRPr="00E7693B">
        <w:rPr>
          <w:rFonts w:ascii="Times New Roman" w:hAnsi="Times New Roman" w:cs="Times New Roman"/>
          <w:b/>
        </w:rPr>
        <w:t xml:space="preserve">Figure 10. </w:t>
      </w:r>
      <w:r w:rsidRPr="00E7693B">
        <w:rPr>
          <w:rFonts w:ascii="Times New Roman" w:hAnsi="Times New Roman" w:cs="Times New Roman"/>
          <w:color w:val="000000"/>
        </w:rPr>
        <w:t>Vial system developed for performing larval feeding choice experiments.</w:t>
      </w:r>
    </w:p>
    <w:p w14:paraId="21509B1E" w14:textId="77777777" w:rsidR="00E7693B" w:rsidRPr="00E7693B" w:rsidRDefault="00E7693B" w:rsidP="00EC70C2">
      <w:pPr>
        <w:pStyle w:val="Heading3"/>
      </w:pPr>
      <w:bookmarkStart w:id="49" w:name="_Toc167977620"/>
      <w:r w:rsidRPr="00E7693B">
        <w:t>Testing the reliability of the vial system using natural insecticides</w:t>
      </w:r>
      <w:bookmarkEnd w:id="49"/>
    </w:p>
    <w:p w14:paraId="21509B1F" w14:textId="77777777" w:rsidR="00E7693B" w:rsidRPr="00684A4C" w:rsidRDefault="00E7693B" w:rsidP="00684A4C">
      <w:pPr>
        <w:spacing w:after="0"/>
        <w:rPr>
          <w:rFonts w:ascii="Times New Roman" w:hAnsi="Times New Roman" w:cs="Times New Roman"/>
          <w:sz w:val="24"/>
          <w:szCs w:val="24"/>
        </w:rPr>
      </w:pPr>
    </w:p>
    <w:p w14:paraId="21509B20" w14:textId="77777777" w:rsidR="00E7693B" w:rsidRPr="00684A4C" w:rsidRDefault="00E7693B" w:rsidP="00684A4C">
      <w:pPr>
        <w:spacing w:after="0" w:line="360" w:lineRule="auto"/>
        <w:ind w:firstLine="576"/>
        <w:jc w:val="both"/>
        <w:rPr>
          <w:rFonts w:ascii="Times New Roman" w:hAnsi="Times New Roman" w:cs="Times New Roman"/>
          <w:sz w:val="24"/>
          <w:szCs w:val="24"/>
        </w:rPr>
      </w:pPr>
      <w:r w:rsidRPr="00684A4C">
        <w:rPr>
          <w:rFonts w:ascii="Times New Roman" w:hAnsi="Times New Roman" w:cs="Times New Roman"/>
          <w:sz w:val="24"/>
          <w:szCs w:val="24"/>
        </w:rPr>
        <w:t xml:space="preserve">The reliability of the vial system was confirmed using known natural insecticides: </w:t>
      </w:r>
      <w:proofErr w:type="spellStart"/>
      <w:r w:rsidRPr="00684A4C">
        <w:rPr>
          <w:rFonts w:ascii="Times New Roman" w:hAnsi="Times New Roman" w:cs="Times New Roman"/>
          <w:sz w:val="24"/>
          <w:szCs w:val="24"/>
        </w:rPr>
        <w:t>escin</w:t>
      </w:r>
      <w:proofErr w:type="spellEnd"/>
      <w:r w:rsidRPr="00684A4C">
        <w:rPr>
          <w:rFonts w:ascii="Times New Roman" w:hAnsi="Times New Roman" w:cs="Times New Roman"/>
          <w:sz w:val="24"/>
          <w:szCs w:val="24"/>
        </w:rPr>
        <w:t xml:space="preserve"> and neem oil. </w:t>
      </w:r>
      <w:proofErr w:type="spellStart"/>
      <w:r w:rsidRPr="00684A4C">
        <w:rPr>
          <w:rFonts w:ascii="Times New Roman" w:hAnsi="Times New Roman" w:cs="Times New Roman"/>
          <w:sz w:val="24"/>
          <w:szCs w:val="24"/>
        </w:rPr>
        <w:t>Escin</w:t>
      </w:r>
      <w:proofErr w:type="spellEnd"/>
      <w:r w:rsidRPr="00684A4C">
        <w:rPr>
          <w:rFonts w:ascii="Times New Roman" w:hAnsi="Times New Roman" w:cs="Times New Roman"/>
          <w:sz w:val="24"/>
          <w:szCs w:val="24"/>
        </w:rPr>
        <w:t xml:space="preserve">, an active compound of </w:t>
      </w:r>
      <w:r w:rsidRPr="00684A4C">
        <w:rPr>
          <w:rFonts w:ascii="Times New Roman" w:hAnsi="Times New Roman" w:cs="Times New Roman"/>
          <w:i/>
          <w:sz w:val="24"/>
          <w:szCs w:val="24"/>
        </w:rPr>
        <w:t xml:space="preserve">Aesculus hippocastanum </w:t>
      </w:r>
      <w:r w:rsidRPr="00684A4C">
        <w:rPr>
          <w:rFonts w:ascii="Times New Roman" w:hAnsi="Times New Roman" w:cs="Times New Roman"/>
          <w:sz w:val="24"/>
          <w:szCs w:val="24"/>
        </w:rPr>
        <w:t>(horse chestnut) is playing a role in defence against pathogens or herbivores, and neem oil is generally used as an effective insecticide for spraying plants. Therefore, these two compounds were chosen as suitable positive controls.</w:t>
      </w:r>
    </w:p>
    <w:p w14:paraId="21509B21" w14:textId="77777777" w:rsidR="00E7693B" w:rsidRPr="00684A4C" w:rsidRDefault="00E7693B" w:rsidP="00684A4C">
      <w:pPr>
        <w:spacing w:after="0" w:line="360" w:lineRule="auto"/>
        <w:ind w:firstLine="576"/>
        <w:jc w:val="both"/>
        <w:rPr>
          <w:rFonts w:ascii="Times New Roman" w:hAnsi="Times New Roman" w:cs="Times New Roman"/>
          <w:color w:val="000000"/>
          <w:sz w:val="24"/>
          <w:szCs w:val="24"/>
        </w:rPr>
      </w:pPr>
      <w:r w:rsidRPr="00684A4C">
        <w:rPr>
          <w:rFonts w:ascii="Times New Roman" w:hAnsi="Times New Roman" w:cs="Times New Roman"/>
          <w:sz w:val="24"/>
          <w:szCs w:val="24"/>
        </w:rPr>
        <w:t>Neem oil (1.5 ml l</w:t>
      </w:r>
      <w:r w:rsidRPr="00684A4C">
        <w:rPr>
          <w:rFonts w:ascii="Times New Roman" w:hAnsi="Times New Roman" w:cs="Times New Roman"/>
          <w:sz w:val="24"/>
          <w:szCs w:val="24"/>
          <w:vertAlign w:val="superscript"/>
        </w:rPr>
        <w:t>-1</w:t>
      </w:r>
      <w:r w:rsidRPr="00684A4C">
        <w:rPr>
          <w:rFonts w:ascii="Times New Roman" w:hAnsi="Times New Roman" w:cs="Times New Roman"/>
          <w:sz w:val="24"/>
          <w:szCs w:val="24"/>
        </w:rPr>
        <w:t xml:space="preserve">) and </w:t>
      </w:r>
      <w:proofErr w:type="spellStart"/>
      <w:r w:rsidRPr="00684A4C">
        <w:rPr>
          <w:rFonts w:ascii="Times New Roman" w:hAnsi="Times New Roman" w:cs="Times New Roman"/>
          <w:sz w:val="24"/>
          <w:szCs w:val="24"/>
        </w:rPr>
        <w:t>escin</w:t>
      </w:r>
      <w:proofErr w:type="spellEnd"/>
      <w:r w:rsidRPr="00684A4C">
        <w:rPr>
          <w:rFonts w:ascii="Times New Roman" w:hAnsi="Times New Roman" w:cs="Times New Roman"/>
          <w:sz w:val="24"/>
          <w:szCs w:val="24"/>
        </w:rPr>
        <w:t xml:space="preserve"> (100 mM) were infiltrated into the true leaves of oilseed rape by vacuum. True leaves infiltrated with water were used as control. Leaves were left on </w:t>
      </w:r>
      <w:r w:rsidRPr="00684A4C">
        <w:rPr>
          <w:rFonts w:ascii="Times New Roman" w:hAnsi="Times New Roman" w:cs="Times New Roman"/>
          <w:sz w:val="24"/>
          <w:szCs w:val="24"/>
        </w:rPr>
        <w:lastRenderedPageBreak/>
        <w:t>the room temperature to evaporate excess water, present in intercellular spaces of the leaf after infiltration, while being monitored to prevent the leaf from drying out. After fixing the leaves in the vials, three third-instar caterpillars were added in the T-tube.</w:t>
      </w:r>
    </w:p>
    <w:p w14:paraId="21509B22" w14:textId="77777777" w:rsidR="00E7693B" w:rsidRPr="00684A4C" w:rsidRDefault="00E7693B">
      <w:pPr>
        <w:spacing w:after="240" w:line="360" w:lineRule="auto"/>
        <w:ind w:firstLine="576"/>
        <w:jc w:val="both"/>
        <w:rPr>
          <w:rFonts w:ascii="Times New Roman" w:hAnsi="Times New Roman" w:cs="Times New Roman"/>
          <w:sz w:val="24"/>
          <w:szCs w:val="24"/>
        </w:rPr>
      </w:pPr>
      <w:r w:rsidRPr="00684A4C">
        <w:rPr>
          <w:rFonts w:ascii="Times New Roman" w:hAnsi="Times New Roman" w:cs="Times New Roman"/>
          <w:sz w:val="24"/>
          <w:szCs w:val="24"/>
        </w:rPr>
        <w:t xml:space="preserve">The results indicate that </w:t>
      </w:r>
      <w:r w:rsidRPr="00684A4C">
        <w:rPr>
          <w:rFonts w:ascii="Times New Roman" w:hAnsi="Times New Roman" w:cs="Times New Roman"/>
          <w:i/>
          <w:sz w:val="24"/>
          <w:szCs w:val="24"/>
        </w:rPr>
        <w:t xml:space="preserve">P. </w:t>
      </w:r>
      <w:proofErr w:type="spellStart"/>
      <w:r w:rsidRPr="00684A4C">
        <w:rPr>
          <w:rFonts w:ascii="Times New Roman" w:hAnsi="Times New Roman" w:cs="Times New Roman"/>
          <w:i/>
          <w:sz w:val="24"/>
          <w:szCs w:val="24"/>
        </w:rPr>
        <w:t>xylostella</w:t>
      </w:r>
      <w:proofErr w:type="spellEnd"/>
      <w:r w:rsidRPr="00684A4C">
        <w:rPr>
          <w:rFonts w:ascii="Times New Roman" w:hAnsi="Times New Roman" w:cs="Times New Roman"/>
          <w:sz w:val="24"/>
          <w:szCs w:val="24"/>
        </w:rPr>
        <w:t xml:space="preserve"> caterpillars significantly prefer leaves without </w:t>
      </w:r>
      <w:proofErr w:type="spellStart"/>
      <w:r w:rsidRPr="00684A4C">
        <w:rPr>
          <w:rFonts w:ascii="Times New Roman" w:hAnsi="Times New Roman" w:cs="Times New Roman"/>
          <w:sz w:val="24"/>
          <w:szCs w:val="24"/>
        </w:rPr>
        <w:t>escin</w:t>
      </w:r>
      <w:proofErr w:type="spellEnd"/>
      <w:r w:rsidRPr="00684A4C">
        <w:rPr>
          <w:rFonts w:ascii="Times New Roman" w:hAnsi="Times New Roman" w:cs="Times New Roman"/>
          <w:sz w:val="24"/>
          <w:szCs w:val="24"/>
        </w:rPr>
        <w:t xml:space="preserve"> (F</w:t>
      </w:r>
      <w:r w:rsidRPr="00684A4C">
        <w:rPr>
          <w:rFonts w:ascii="Times New Roman" w:hAnsi="Times New Roman" w:cs="Times New Roman"/>
          <w:sz w:val="24"/>
          <w:szCs w:val="24"/>
          <w:vertAlign w:val="subscript"/>
        </w:rPr>
        <w:t>1,18</w:t>
      </w:r>
      <w:r w:rsidRPr="00684A4C">
        <w:rPr>
          <w:rFonts w:ascii="Times New Roman" w:hAnsi="Times New Roman" w:cs="Times New Roman"/>
          <w:sz w:val="24"/>
          <w:szCs w:val="24"/>
        </w:rPr>
        <w:t xml:space="preserve"> = 39.33, P &lt; 0.001; Fig. 11) and neem oil treatment (F</w:t>
      </w:r>
      <w:r w:rsidRPr="00684A4C">
        <w:rPr>
          <w:rFonts w:ascii="Times New Roman" w:hAnsi="Times New Roman" w:cs="Times New Roman"/>
          <w:sz w:val="24"/>
          <w:szCs w:val="24"/>
          <w:vertAlign w:val="subscript"/>
        </w:rPr>
        <w:t>1,20</w:t>
      </w:r>
      <w:r w:rsidRPr="00684A4C">
        <w:rPr>
          <w:rFonts w:ascii="Times New Roman" w:hAnsi="Times New Roman" w:cs="Times New Roman"/>
          <w:sz w:val="24"/>
          <w:szCs w:val="24"/>
        </w:rPr>
        <w:t xml:space="preserve"> = 40.01, P &lt; 0.001; Fig. 12).</w:t>
      </w:r>
    </w:p>
    <w:p w14:paraId="21509B23" w14:textId="77777777" w:rsidR="00E7693B" w:rsidRPr="00E7693B" w:rsidRDefault="00E7693B">
      <w:pPr>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84" wp14:editId="2150A585">
            <wp:extent cx="5562600" cy="3355340"/>
            <wp:effectExtent l="0" t="0" r="0" b="0"/>
            <wp:docPr id="3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8"/>
                    <a:srcRect r="3427"/>
                    <a:stretch>
                      <a:fillRect/>
                    </a:stretch>
                  </pic:blipFill>
                  <pic:spPr>
                    <a:xfrm>
                      <a:off x="0" y="0"/>
                      <a:ext cx="5562600" cy="3355340"/>
                    </a:xfrm>
                    <a:prstGeom prst="rect">
                      <a:avLst/>
                    </a:prstGeom>
                    <a:ln/>
                  </pic:spPr>
                </pic:pic>
              </a:graphicData>
            </a:graphic>
          </wp:inline>
        </w:drawing>
      </w:r>
    </w:p>
    <w:p w14:paraId="21509B24" w14:textId="12966470"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rPr>
        <w:t xml:space="preserve">Figure 11. </w:t>
      </w:r>
      <w:r w:rsidRPr="00E7693B">
        <w:rPr>
          <w:rFonts w:ascii="Times New Roman" w:hAnsi="Times New Roman" w:cs="Times New Roman"/>
        </w:rPr>
        <w:t xml:space="preserve">Feeding preference of </w:t>
      </w:r>
      <w:proofErr w:type="spellStart"/>
      <w:r w:rsidRPr="00E7693B">
        <w:rPr>
          <w:rFonts w:ascii="Times New Roman" w:hAnsi="Times New Roman" w:cs="Times New Roman"/>
          <w:i/>
        </w:rPr>
        <w:t>Plutella</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xylostella</w:t>
      </w:r>
      <w:proofErr w:type="spellEnd"/>
      <w:r w:rsidRPr="00E7693B">
        <w:rPr>
          <w:rFonts w:ascii="Times New Roman" w:hAnsi="Times New Roman" w:cs="Times New Roman"/>
          <w:i/>
        </w:rPr>
        <w:t xml:space="preserve"> </w:t>
      </w:r>
      <w:r w:rsidRPr="00E7693B">
        <w:rPr>
          <w:rFonts w:ascii="Times New Roman" w:hAnsi="Times New Roman" w:cs="Times New Roman"/>
        </w:rPr>
        <w:t>caterpillars</w:t>
      </w:r>
      <w:r w:rsidRPr="00E7693B">
        <w:rPr>
          <w:rFonts w:ascii="Times New Roman" w:hAnsi="Times New Roman" w:cs="Times New Roman"/>
          <w:i/>
        </w:rPr>
        <w:t xml:space="preserve"> </w:t>
      </w:r>
      <w:r w:rsidRPr="00E7693B">
        <w:rPr>
          <w:rFonts w:ascii="Times New Roman" w:hAnsi="Times New Roman" w:cs="Times New Roman"/>
        </w:rPr>
        <w:t xml:space="preserve">to control leaves of oilseed rape and leaves treated with </w:t>
      </w:r>
      <w:proofErr w:type="spellStart"/>
      <w:r w:rsidRPr="00E7693B">
        <w:rPr>
          <w:rFonts w:ascii="Times New Roman" w:hAnsi="Times New Roman" w:cs="Times New Roman"/>
        </w:rPr>
        <w:t>escin</w:t>
      </w:r>
      <w:proofErr w:type="spellEnd"/>
      <w:r w:rsidRPr="00E7693B">
        <w:rPr>
          <w:rFonts w:ascii="Times New Roman" w:hAnsi="Times New Roman" w:cs="Times New Roman"/>
        </w:rPr>
        <w:t xml:space="preserve">. </w:t>
      </w:r>
      <w:r w:rsidRPr="006B61C5">
        <w:rPr>
          <w:rFonts w:ascii="Times New Roman" w:hAnsi="Times New Roman" w:cs="Times New Roman"/>
          <w:b/>
          <w:bCs/>
        </w:rPr>
        <w:t>A:</w:t>
      </w:r>
      <w:r w:rsidRPr="00E7693B">
        <w:rPr>
          <w:rFonts w:ascii="Times New Roman" w:hAnsi="Times New Roman" w:cs="Times New Roman"/>
        </w:rPr>
        <w:t xml:space="preserve"> consumed leaf area (in %) caused by third-instar caterpillars after 48 h of feeding. Boxplot represents mean (´x´), median, 25</w:t>
      </w:r>
      <w:r w:rsidRPr="00E7693B">
        <w:rPr>
          <w:rFonts w:ascii="Times New Roman" w:hAnsi="Times New Roman" w:cs="Times New Roman"/>
          <w:vertAlign w:val="superscript"/>
        </w:rPr>
        <w:t xml:space="preserve">th </w:t>
      </w:r>
      <w:r w:rsidRPr="00E7693B">
        <w:rPr>
          <w:rFonts w:ascii="Times New Roman" w:hAnsi="Times New Roman" w:cs="Times New Roman"/>
        </w:rPr>
        <w:t>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asterisks significant differences (P &lt; 0.001); </w:t>
      </w:r>
      <w:r w:rsidRPr="006B61C5">
        <w:rPr>
          <w:rFonts w:ascii="Times New Roman" w:hAnsi="Times New Roman" w:cs="Times New Roman"/>
          <w:b/>
          <w:bCs/>
        </w:rPr>
        <w:t>B:</w:t>
      </w:r>
      <w:r w:rsidRPr="00E7693B">
        <w:rPr>
          <w:rFonts w:ascii="Times New Roman" w:hAnsi="Times New Roman" w:cs="Times New Roman"/>
        </w:rPr>
        <w:t xml:space="preserve"> </w:t>
      </w:r>
      <w:r w:rsidRPr="00E7693B">
        <w:rPr>
          <w:rFonts w:ascii="Times New Roman" w:hAnsi="Times New Roman" w:cs="Times New Roman"/>
          <w:color w:val="000000"/>
        </w:rPr>
        <w:t xml:space="preserve">vial system developed for performing larval feeding choice experiments with one control leaf inside the left vial and one </w:t>
      </w:r>
      <w:proofErr w:type="spellStart"/>
      <w:r w:rsidRPr="00E7693B">
        <w:rPr>
          <w:rFonts w:ascii="Times New Roman" w:hAnsi="Times New Roman" w:cs="Times New Roman"/>
          <w:color w:val="000000"/>
        </w:rPr>
        <w:t>escin</w:t>
      </w:r>
      <w:proofErr w:type="spellEnd"/>
      <w:r w:rsidRPr="00E7693B">
        <w:rPr>
          <w:rFonts w:ascii="Times New Roman" w:hAnsi="Times New Roman" w:cs="Times New Roman"/>
          <w:color w:val="000000"/>
        </w:rPr>
        <w:t xml:space="preserve">-treated leaf inside the right vial. Three caterpillars were placed in the T-tube and were given a choice to feed on two types of leaves; </w:t>
      </w:r>
      <w:r w:rsidRPr="006B61C5">
        <w:rPr>
          <w:rFonts w:ascii="Times New Roman" w:hAnsi="Times New Roman" w:cs="Times New Roman"/>
          <w:b/>
          <w:bCs/>
          <w:color w:val="000000"/>
        </w:rPr>
        <w:t>C:</w:t>
      </w:r>
      <w:r w:rsidRPr="00E7693B">
        <w:rPr>
          <w:rFonts w:ascii="Times New Roman" w:hAnsi="Times New Roman" w:cs="Times New Roman"/>
          <w:color w:val="000000"/>
        </w:rPr>
        <w:t xml:space="preserve"> scanned leaves after 48</w:t>
      </w:r>
      <w:r w:rsidR="008D22D6">
        <w:rPr>
          <w:rFonts w:ascii="Times New Roman" w:hAnsi="Times New Roman" w:cs="Times New Roman"/>
          <w:color w:val="000000"/>
        </w:rPr>
        <w:t xml:space="preserve"> </w:t>
      </w:r>
      <w:r w:rsidRPr="00E7693B">
        <w:rPr>
          <w:rFonts w:ascii="Times New Roman" w:hAnsi="Times New Roman" w:cs="Times New Roman"/>
          <w:color w:val="000000"/>
        </w:rPr>
        <w:t>h of caterpillar feeding.</w:t>
      </w:r>
    </w:p>
    <w:p w14:paraId="21509B25" w14:textId="77777777" w:rsidR="00E7693B" w:rsidRPr="00E7693B" w:rsidRDefault="00E7693B">
      <w:pPr>
        <w:jc w:val="center"/>
        <w:rPr>
          <w:rFonts w:ascii="Times New Roman" w:hAnsi="Times New Roman" w:cs="Times New Roman"/>
        </w:rPr>
      </w:pPr>
      <w:r w:rsidRPr="00E7693B">
        <w:rPr>
          <w:rFonts w:ascii="Times New Roman" w:hAnsi="Times New Roman" w:cs="Times New Roman"/>
          <w:noProof/>
          <w:lang w:val="en-US"/>
        </w:rPr>
        <w:lastRenderedPageBreak/>
        <w:drawing>
          <wp:inline distT="0" distB="0" distL="0" distR="0" wp14:anchorId="2150A586" wp14:editId="2150A587">
            <wp:extent cx="5581650" cy="3461385"/>
            <wp:effectExtent l="0" t="0" r="0" b="0"/>
            <wp:docPr id="3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9"/>
                    <a:srcRect r="3096"/>
                    <a:stretch>
                      <a:fillRect/>
                    </a:stretch>
                  </pic:blipFill>
                  <pic:spPr>
                    <a:xfrm>
                      <a:off x="0" y="0"/>
                      <a:ext cx="5581650" cy="3461385"/>
                    </a:xfrm>
                    <a:prstGeom prst="rect">
                      <a:avLst/>
                    </a:prstGeom>
                    <a:ln/>
                  </pic:spPr>
                </pic:pic>
              </a:graphicData>
            </a:graphic>
          </wp:inline>
        </w:drawing>
      </w:r>
    </w:p>
    <w:p w14:paraId="21509B26" w14:textId="77777777" w:rsidR="00E7693B" w:rsidRPr="00E7693B" w:rsidRDefault="00E7693B">
      <w:pPr>
        <w:spacing w:before="240" w:line="360" w:lineRule="auto"/>
        <w:jc w:val="both"/>
        <w:rPr>
          <w:rFonts w:ascii="Times New Roman" w:hAnsi="Times New Roman" w:cs="Times New Roman"/>
        </w:rPr>
      </w:pPr>
      <w:r w:rsidRPr="00E7693B">
        <w:rPr>
          <w:rFonts w:ascii="Times New Roman" w:hAnsi="Times New Roman" w:cs="Times New Roman"/>
          <w:b/>
        </w:rPr>
        <w:t xml:space="preserve">Figure 12. </w:t>
      </w:r>
      <w:r w:rsidRPr="00E7693B">
        <w:rPr>
          <w:rFonts w:ascii="Times New Roman" w:hAnsi="Times New Roman" w:cs="Times New Roman"/>
        </w:rPr>
        <w:t xml:space="preserve">Feeding preference of </w:t>
      </w:r>
      <w:proofErr w:type="spellStart"/>
      <w:r w:rsidRPr="00E7693B">
        <w:rPr>
          <w:rFonts w:ascii="Times New Roman" w:hAnsi="Times New Roman" w:cs="Times New Roman"/>
          <w:i/>
        </w:rPr>
        <w:t>Plutella</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xylostella</w:t>
      </w:r>
      <w:proofErr w:type="spellEnd"/>
      <w:r w:rsidRPr="00E7693B">
        <w:rPr>
          <w:rFonts w:ascii="Times New Roman" w:hAnsi="Times New Roman" w:cs="Times New Roman"/>
          <w:i/>
        </w:rPr>
        <w:t xml:space="preserve"> </w:t>
      </w:r>
      <w:r w:rsidRPr="00E7693B">
        <w:rPr>
          <w:rFonts w:ascii="Times New Roman" w:hAnsi="Times New Roman" w:cs="Times New Roman"/>
        </w:rPr>
        <w:t>caterpillars</w:t>
      </w:r>
      <w:r w:rsidRPr="00E7693B">
        <w:rPr>
          <w:rFonts w:ascii="Times New Roman" w:hAnsi="Times New Roman" w:cs="Times New Roman"/>
          <w:i/>
        </w:rPr>
        <w:t xml:space="preserve"> </w:t>
      </w:r>
      <w:r w:rsidRPr="00E7693B">
        <w:rPr>
          <w:rFonts w:ascii="Times New Roman" w:hAnsi="Times New Roman" w:cs="Times New Roman"/>
        </w:rPr>
        <w:t xml:space="preserve">to control leaves of oilseed rape and leaves treated with neem oil. </w:t>
      </w:r>
      <w:r w:rsidRPr="006B61C5">
        <w:rPr>
          <w:rFonts w:ascii="Times New Roman" w:hAnsi="Times New Roman" w:cs="Times New Roman"/>
          <w:b/>
          <w:bCs/>
        </w:rPr>
        <w:t>A:</w:t>
      </w:r>
      <w:r w:rsidRPr="00E7693B">
        <w:rPr>
          <w:rFonts w:ascii="Times New Roman" w:hAnsi="Times New Roman" w:cs="Times New Roman"/>
        </w:rPr>
        <w:t xml:space="preserve"> consumed leaf area (in %) caused by third-instar caterpillars after 48 h of feeding. Boxplot represents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asterisks significant differences (P &lt; 0.001); </w:t>
      </w:r>
      <w:r w:rsidRPr="006B61C5">
        <w:rPr>
          <w:rFonts w:ascii="Times New Roman" w:hAnsi="Times New Roman" w:cs="Times New Roman"/>
          <w:b/>
          <w:bCs/>
        </w:rPr>
        <w:t>B:</w:t>
      </w:r>
      <w:r w:rsidRPr="00E7693B">
        <w:rPr>
          <w:rFonts w:ascii="Times New Roman" w:hAnsi="Times New Roman" w:cs="Times New Roman"/>
        </w:rPr>
        <w:t xml:space="preserve"> </w:t>
      </w:r>
      <w:r w:rsidRPr="00E7693B">
        <w:rPr>
          <w:rFonts w:ascii="Times New Roman" w:hAnsi="Times New Roman" w:cs="Times New Roman"/>
          <w:color w:val="000000"/>
        </w:rPr>
        <w:t xml:space="preserve">vial system developed for performing larval feeding choice experiments with one control leaf inside the left vial and one neem oil-treated leaf inside the right vial. Three caterpillars were placed in the T-tube and were given a choice to feed on two types of leaves; </w:t>
      </w:r>
      <w:r w:rsidRPr="006B61C5">
        <w:rPr>
          <w:rFonts w:ascii="Times New Roman" w:hAnsi="Times New Roman" w:cs="Times New Roman"/>
          <w:b/>
          <w:bCs/>
          <w:color w:val="000000"/>
        </w:rPr>
        <w:t>C:</w:t>
      </w:r>
      <w:r w:rsidRPr="00E7693B">
        <w:rPr>
          <w:rFonts w:ascii="Times New Roman" w:hAnsi="Times New Roman" w:cs="Times New Roman"/>
          <w:color w:val="000000"/>
        </w:rPr>
        <w:t xml:space="preserve"> scanned leaves after 48 h of caterpillar feeding.</w:t>
      </w:r>
    </w:p>
    <w:p w14:paraId="21509B27" w14:textId="77777777" w:rsidR="00E7693B" w:rsidRPr="00E7693B" w:rsidRDefault="00E7693B">
      <w:pPr>
        <w:rPr>
          <w:rFonts w:ascii="Times New Roman" w:hAnsi="Times New Roman" w:cs="Times New Roman"/>
          <w:b/>
          <w:sz w:val="28"/>
          <w:szCs w:val="28"/>
        </w:rPr>
      </w:pPr>
      <w:r w:rsidRPr="00E7693B">
        <w:rPr>
          <w:rFonts w:ascii="Times New Roman" w:hAnsi="Times New Roman" w:cs="Times New Roman"/>
        </w:rPr>
        <w:br w:type="page"/>
      </w:r>
    </w:p>
    <w:p w14:paraId="21509B2A" w14:textId="77777777" w:rsidR="00E7693B" w:rsidRPr="00E7693B" w:rsidRDefault="00E7693B" w:rsidP="00EC70C2">
      <w:pPr>
        <w:pStyle w:val="Heading2"/>
      </w:pPr>
      <w:bookmarkStart w:id="50" w:name="_Toc167977621"/>
      <w:r w:rsidRPr="00E7693B">
        <w:lastRenderedPageBreak/>
        <w:t xml:space="preserve">Can </w:t>
      </w:r>
      <w:r w:rsidRPr="00E7693B">
        <w:rPr>
          <w:i/>
        </w:rPr>
        <w:t xml:space="preserve">Leptosphaeria </w:t>
      </w:r>
      <w:proofErr w:type="spellStart"/>
      <w:r w:rsidRPr="00E7693B">
        <w:rPr>
          <w:i/>
        </w:rPr>
        <w:t>maculans</w:t>
      </w:r>
      <w:proofErr w:type="spellEnd"/>
      <w:r w:rsidRPr="00E7693B">
        <w:t xml:space="preserve"> infection alter palatability of oilseed rape for</w:t>
      </w:r>
      <w:r w:rsidRPr="00E7693B">
        <w:rPr>
          <w:i/>
        </w:rPr>
        <w:t xml:space="preserve"> </w:t>
      </w:r>
      <w:proofErr w:type="spellStart"/>
      <w:r w:rsidRPr="00E7693B">
        <w:rPr>
          <w:i/>
        </w:rPr>
        <w:t>Plutella</w:t>
      </w:r>
      <w:proofErr w:type="spellEnd"/>
      <w:r w:rsidRPr="00E7693B">
        <w:rPr>
          <w:i/>
        </w:rPr>
        <w:t xml:space="preserve"> </w:t>
      </w:r>
      <w:proofErr w:type="spellStart"/>
      <w:r w:rsidRPr="00E7693B">
        <w:rPr>
          <w:i/>
        </w:rPr>
        <w:t>xylostella</w:t>
      </w:r>
      <w:proofErr w:type="spellEnd"/>
      <w:r w:rsidRPr="00E7693B">
        <w:t xml:space="preserve"> caterpillars and </w:t>
      </w:r>
      <w:proofErr w:type="spellStart"/>
      <w:r w:rsidRPr="00E7693B">
        <w:rPr>
          <w:i/>
        </w:rPr>
        <w:t>Brevicoryne</w:t>
      </w:r>
      <w:proofErr w:type="spellEnd"/>
      <w:r w:rsidRPr="00E7693B">
        <w:rPr>
          <w:i/>
        </w:rPr>
        <w:t xml:space="preserve"> </w:t>
      </w:r>
      <w:proofErr w:type="spellStart"/>
      <w:r w:rsidRPr="00E7693B">
        <w:rPr>
          <w:i/>
        </w:rPr>
        <w:t>brassicae</w:t>
      </w:r>
      <w:proofErr w:type="spellEnd"/>
      <w:r w:rsidRPr="00E7693B">
        <w:rPr>
          <w:i/>
        </w:rPr>
        <w:t xml:space="preserve"> </w:t>
      </w:r>
      <w:r w:rsidRPr="00E7693B">
        <w:t>aphids?</w:t>
      </w:r>
      <w:bookmarkEnd w:id="50"/>
    </w:p>
    <w:p w14:paraId="21509B2B" w14:textId="51EC2288" w:rsidR="00E7693B" w:rsidRPr="0074184F" w:rsidRDefault="00E7693B" w:rsidP="0074184F">
      <w:pPr>
        <w:rPr>
          <w:rFonts w:ascii="Times New Roman" w:hAnsi="Times New Roman" w:cs="Times New Roman"/>
          <w:sz w:val="24"/>
          <w:szCs w:val="24"/>
        </w:rPr>
      </w:pPr>
    </w:p>
    <w:p w14:paraId="037F4DB3" w14:textId="40D6DE6F" w:rsidR="004E1BDA" w:rsidRDefault="004E1BDA" w:rsidP="00EC70C2">
      <w:pPr>
        <w:pStyle w:val="Heading3"/>
      </w:pPr>
      <w:bookmarkStart w:id="51" w:name="_Toc167977622"/>
      <w:r>
        <w:t>Introduction</w:t>
      </w:r>
      <w:bookmarkEnd w:id="51"/>
    </w:p>
    <w:p w14:paraId="77A6DC28" w14:textId="77777777" w:rsidR="004E1BDA" w:rsidRDefault="004E1BDA" w:rsidP="004E1BDA">
      <w:pPr>
        <w:rPr>
          <w:rFonts w:ascii="Times New Roman" w:hAnsi="Times New Roman" w:cs="Times New Roman"/>
          <w:sz w:val="24"/>
          <w:szCs w:val="24"/>
        </w:rPr>
      </w:pPr>
    </w:p>
    <w:p w14:paraId="22D4BA5D" w14:textId="5F766762" w:rsidR="00333579" w:rsidRDefault="005F5D7C" w:rsidP="00131EA9">
      <w:pPr>
        <w:spacing w:after="0" w:line="360" w:lineRule="auto"/>
        <w:ind w:firstLine="720"/>
        <w:jc w:val="both"/>
        <w:rPr>
          <w:rFonts w:ascii="Times New Roman" w:hAnsi="Times New Roman" w:cs="Times New Roman"/>
          <w:sz w:val="24"/>
          <w:szCs w:val="24"/>
        </w:rPr>
      </w:pPr>
      <w:r w:rsidRPr="005F5D7C">
        <w:rPr>
          <w:rFonts w:ascii="Times New Roman" w:hAnsi="Times New Roman" w:cs="Times New Roman"/>
          <w:sz w:val="24"/>
          <w:szCs w:val="24"/>
        </w:rPr>
        <w:t>Multiple and simultaneous attacks by pathogens and insect pests frequently occur in nature</w:t>
      </w:r>
      <w:r w:rsidR="008D6A38">
        <w:rPr>
          <w:rFonts w:ascii="Times New Roman" w:hAnsi="Times New Roman" w:cs="Times New Roman"/>
          <w:sz w:val="24"/>
          <w:szCs w:val="24"/>
        </w:rPr>
        <w:t>; however,</w:t>
      </w:r>
      <w:r w:rsidRPr="005F5D7C">
        <w:rPr>
          <w:rFonts w:ascii="Times New Roman" w:hAnsi="Times New Roman" w:cs="Times New Roman"/>
          <w:sz w:val="24"/>
          <w:szCs w:val="24"/>
        </w:rPr>
        <w:t xml:space="preserve"> little is known about how plants cope with </w:t>
      </w:r>
      <w:r w:rsidR="00333579">
        <w:rPr>
          <w:rFonts w:ascii="Times New Roman" w:hAnsi="Times New Roman" w:cs="Times New Roman"/>
          <w:sz w:val="24"/>
          <w:szCs w:val="24"/>
        </w:rPr>
        <w:t>such</w:t>
      </w:r>
      <w:r w:rsidRPr="005F5D7C">
        <w:rPr>
          <w:rFonts w:ascii="Times New Roman" w:hAnsi="Times New Roman" w:cs="Times New Roman"/>
          <w:sz w:val="24"/>
          <w:szCs w:val="24"/>
        </w:rPr>
        <w:t xml:space="preserve"> stresses. </w:t>
      </w:r>
      <w:r w:rsidR="008D6A38">
        <w:rPr>
          <w:rFonts w:ascii="Times New Roman" w:hAnsi="Times New Roman" w:cs="Times New Roman"/>
          <w:sz w:val="24"/>
          <w:szCs w:val="24"/>
        </w:rPr>
        <w:t xml:space="preserve">In particular, there is a scarcity of studies investigating the palatability of infected plants for subsequent herbivory. </w:t>
      </w:r>
      <w:r w:rsidR="007A5E38" w:rsidRPr="007A5E38">
        <w:rPr>
          <w:rFonts w:ascii="Times New Roman" w:hAnsi="Times New Roman" w:cs="Times New Roman"/>
          <w:sz w:val="24"/>
          <w:szCs w:val="24"/>
        </w:rPr>
        <w:t>In this study, I specifically target oilseed rape due to its global economic significance as a crop. Despite its widespread cultivation, there remains a notable gap in our understanding of the combined biotic interactions affecting its management.</w:t>
      </w:r>
      <w:r w:rsidR="007A5E38">
        <w:rPr>
          <w:rFonts w:ascii="Times New Roman" w:hAnsi="Times New Roman" w:cs="Times New Roman"/>
          <w:sz w:val="24"/>
          <w:szCs w:val="24"/>
        </w:rPr>
        <w:t xml:space="preserve"> </w:t>
      </w:r>
      <w:r w:rsidR="00004987">
        <w:rPr>
          <w:rFonts w:ascii="Times New Roman" w:hAnsi="Times New Roman" w:cs="Times New Roman"/>
          <w:sz w:val="24"/>
          <w:szCs w:val="24"/>
        </w:rPr>
        <w:t>Addressing this gap, t</w:t>
      </w:r>
      <w:r w:rsidRPr="005F5D7C">
        <w:rPr>
          <w:rFonts w:ascii="Times New Roman" w:hAnsi="Times New Roman" w:cs="Times New Roman"/>
          <w:sz w:val="24"/>
          <w:szCs w:val="24"/>
        </w:rPr>
        <w:t xml:space="preserve">he </w:t>
      </w:r>
      <w:r w:rsidR="00004987">
        <w:rPr>
          <w:rFonts w:ascii="Times New Roman" w:hAnsi="Times New Roman" w:cs="Times New Roman"/>
          <w:sz w:val="24"/>
          <w:szCs w:val="24"/>
        </w:rPr>
        <w:t>current</w:t>
      </w:r>
      <w:r w:rsidRPr="005F5D7C">
        <w:rPr>
          <w:rFonts w:ascii="Times New Roman" w:hAnsi="Times New Roman" w:cs="Times New Roman"/>
          <w:sz w:val="24"/>
          <w:szCs w:val="24"/>
        </w:rPr>
        <w:t xml:space="preserve"> study </w:t>
      </w:r>
      <w:proofErr w:type="spellStart"/>
      <w:r w:rsidR="00004987">
        <w:rPr>
          <w:rFonts w:ascii="Times New Roman" w:hAnsi="Times New Roman" w:cs="Times New Roman"/>
          <w:sz w:val="24"/>
          <w:szCs w:val="24"/>
        </w:rPr>
        <w:t>centers</w:t>
      </w:r>
      <w:proofErr w:type="spellEnd"/>
      <w:r w:rsidR="00004987">
        <w:rPr>
          <w:rFonts w:ascii="Times New Roman" w:hAnsi="Times New Roman" w:cs="Times New Roman"/>
          <w:sz w:val="24"/>
          <w:szCs w:val="24"/>
        </w:rPr>
        <w:t xml:space="preserve"> on</w:t>
      </w:r>
      <w:r w:rsidRPr="005F5D7C">
        <w:rPr>
          <w:rFonts w:ascii="Times New Roman" w:hAnsi="Times New Roman" w:cs="Times New Roman"/>
          <w:sz w:val="24"/>
          <w:szCs w:val="24"/>
        </w:rPr>
        <w:t xml:space="preserve"> the combined interaction of fungal infection caused by </w:t>
      </w:r>
      <w:r w:rsidRPr="00333579">
        <w:rPr>
          <w:rFonts w:ascii="Times New Roman" w:hAnsi="Times New Roman" w:cs="Times New Roman"/>
          <w:i/>
          <w:iCs/>
          <w:sz w:val="24"/>
          <w:szCs w:val="24"/>
        </w:rPr>
        <w:t>L</w:t>
      </w:r>
      <w:r w:rsidR="00333579" w:rsidRPr="00333579">
        <w:rPr>
          <w:rFonts w:ascii="Times New Roman" w:hAnsi="Times New Roman" w:cs="Times New Roman"/>
          <w:i/>
          <w:iCs/>
          <w:sz w:val="24"/>
          <w:szCs w:val="24"/>
        </w:rPr>
        <w:t>.</w:t>
      </w:r>
      <w:r w:rsidRPr="00333579">
        <w:rPr>
          <w:rFonts w:ascii="Times New Roman" w:hAnsi="Times New Roman" w:cs="Times New Roman"/>
          <w:i/>
          <w:iCs/>
          <w:sz w:val="24"/>
          <w:szCs w:val="24"/>
        </w:rPr>
        <w:t xml:space="preserve"> </w:t>
      </w:r>
      <w:proofErr w:type="spellStart"/>
      <w:r w:rsidRPr="00333579">
        <w:rPr>
          <w:rFonts w:ascii="Times New Roman" w:hAnsi="Times New Roman" w:cs="Times New Roman"/>
          <w:i/>
          <w:iCs/>
          <w:sz w:val="24"/>
          <w:szCs w:val="24"/>
        </w:rPr>
        <w:t>maculans</w:t>
      </w:r>
      <w:proofErr w:type="spellEnd"/>
      <w:r w:rsidRPr="005F5D7C">
        <w:rPr>
          <w:rFonts w:ascii="Times New Roman" w:hAnsi="Times New Roman" w:cs="Times New Roman"/>
          <w:sz w:val="24"/>
          <w:szCs w:val="24"/>
        </w:rPr>
        <w:t xml:space="preserve"> and arthropod infestation by </w:t>
      </w:r>
      <w:r w:rsidRPr="00333579">
        <w:rPr>
          <w:rFonts w:ascii="Times New Roman" w:hAnsi="Times New Roman" w:cs="Times New Roman"/>
          <w:i/>
          <w:iCs/>
          <w:sz w:val="24"/>
          <w:szCs w:val="24"/>
        </w:rPr>
        <w:t>P</w:t>
      </w:r>
      <w:r w:rsidR="00333579" w:rsidRPr="00333579">
        <w:rPr>
          <w:rFonts w:ascii="Times New Roman" w:hAnsi="Times New Roman" w:cs="Times New Roman"/>
          <w:i/>
          <w:iCs/>
          <w:sz w:val="24"/>
          <w:szCs w:val="24"/>
        </w:rPr>
        <w:t xml:space="preserve">. </w:t>
      </w:r>
      <w:proofErr w:type="spellStart"/>
      <w:r w:rsidRPr="00333579">
        <w:rPr>
          <w:rFonts w:ascii="Times New Roman" w:hAnsi="Times New Roman" w:cs="Times New Roman"/>
          <w:i/>
          <w:iCs/>
          <w:sz w:val="24"/>
          <w:szCs w:val="24"/>
        </w:rPr>
        <w:t>xylostella</w:t>
      </w:r>
      <w:proofErr w:type="spellEnd"/>
      <w:r w:rsidR="00333579">
        <w:rPr>
          <w:rFonts w:ascii="Times New Roman" w:hAnsi="Times New Roman" w:cs="Times New Roman"/>
          <w:sz w:val="24"/>
          <w:szCs w:val="24"/>
        </w:rPr>
        <w:t xml:space="preserve"> </w:t>
      </w:r>
      <w:r w:rsidR="00727A64">
        <w:rPr>
          <w:rFonts w:ascii="Times New Roman" w:hAnsi="Times New Roman" w:cs="Times New Roman"/>
          <w:sz w:val="24"/>
          <w:szCs w:val="24"/>
        </w:rPr>
        <w:t xml:space="preserve">or </w:t>
      </w:r>
      <w:r w:rsidR="00727A64">
        <w:rPr>
          <w:rFonts w:ascii="Times New Roman" w:hAnsi="Times New Roman" w:cs="Times New Roman"/>
          <w:i/>
          <w:iCs/>
          <w:sz w:val="24"/>
          <w:szCs w:val="24"/>
        </w:rPr>
        <w:t xml:space="preserve">B. </w:t>
      </w:r>
      <w:proofErr w:type="spellStart"/>
      <w:r w:rsidR="00727A64">
        <w:rPr>
          <w:rFonts w:ascii="Times New Roman" w:hAnsi="Times New Roman" w:cs="Times New Roman"/>
          <w:i/>
          <w:iCs/>
          <w:sz w:val="24"/>
          <w:szCs w:val="24"/>
        </w:rPr>
        <w:t>brassicae</w:t>
      </w:r>
      <w:proofErr w:type="spellEnd"/>
      <w:r w:rsidR="00727A64">
        <w:rPr>
          <w:rFonts w:ascii="Times New Roman" w:hAnsi="Times New Roman" w:cs="Times New Roman"/>
          <w:i/>
          <w:iCs/>
          <w:sz w:val="24"/>
          <w:szCs w:val="24"/>
        </w:rPr>
        <w:t xml:space="preserve"> </w:t>
      </w:r>
      <w:r w:rsidRPr="005F5D7C">
        <w:rPr>
          <w:rFonts w:ascii="Times New Roman" w:hAnsi="Times New Roman" w:cs="Times New Roman"/>
          <w:sz w:val="24"/>
          <w:szCs w:val="24"/>
        </w:rPr>
        <w:t>in oilseed rape</w:t>
      </w:r>
      <w:r w:rsidR="00333579">
        <w:rPr>
          <w:rFonts w:ascii="Times New Roman" w:hAnsi="Times New Roman" w:cs="Times New Roman"/>
          <w:sz w:val="24"/>
          <w:szCs w:val="24"/>
        </w:rPr>
        <w:t xml:space="preserve">. </w:t>
      </w:r>
      <w:r w:rsidR="00004987">
        <w:rPr>
          <w:rFonts w:ascii="Times New Roman" w:hAnsi="Times New Roman" w:cs="Times New Roman"/>
          <w:sz w:val="24"/>
          <w:szCs w:val="24"/>
        </w:rPr>
        <w:t>The underlying</w:t>
      </w:r>
      <w:r w:rsidRPr="005F5D7C">
        <w:rPr>
          <w:rFonts w:ascii="Times New Roman" w:hAnsi="Times New Roman" w:cs="Times New Roman"/>
          <w:sz w:val="24"/>
          <w:szCs w:val="24"/>
        </w:rPr>
        <w:t xml:space="preserve"> hypothesi</w:t>
      </w:r>
      <w:r w:rsidR="00004987">
        <w:rPr>
          <w:rFonts w:ascii="Times New Roman" w:hAnsi="Times New Roman" w:cs="Times New Roman"/>
          <w:sz w:val="24"/>
          <w:szCs w:val="24"/>
        </w:rPr>
        <w:t>s suggests</w:t>
      </w:r>
      <w:r w:rsidRPr="005F5D7C">
        <w:rPr>
          <w:rFonts w:ascii="Times New Roman" w:hAnsi="Times New Roman" w:cs="Times New Roman"/>
          <w:sz w:val="24"/>
          <w:szCs w:val="24"/>
        </w:rPr>
        <w:t xml:space="preserve"> that infection by the fungal pathogen </w:t>
      </w:r>
      <w:r w:rsidRPr="00333579">
        <w:rPr>
          <w:rFonts w:ascii="Times New Roman" w:hAnsi="Times New Roman" w:cs="Times New Roman"/>
          <w:i/>
          <w:iCs/>
          <w:sz w:val="24"/>
          <w:szCs w:val="24"/>
        </w:rPr>
        <w:t xml:space="preserve">L. </w:t>
      </w:r>
      <w:proofErr w:type="spellStart"/>
      <w:r w:rsidRPr="00333579">
        <w:rPr>
          <w:rFonts w:ascii="Times New Roman" w:hAnsi="Times New Roman" w:cs="Times New Roman"/>
          <w:i/>
          <w:iCs/>
          <w:sz w:val="24"/>
          <w:szCs w:val="24"/>
        </w:rPr>
        <w:t>maculans</w:t>
      </w:r>
      <w:proofErr w:type="spellEnd"/>
      <w:r w:rsidRPr="00333579">
        <w:rPr>
          <w:rFonts w:ascii="Times New Roman" w:hAnsi="Times New Roman" w:cs="Times New Roman"/>
          <w:i/>
          <w:iCs/>
          <w:sz w:val="24"/>
          <w:szCs w:val="24"/>
        </w:rPr>
        <w:t xml:space="preserve"> </w:t>
      </w:r>
      <w:r w:rsidRPr="005F5D7C">
        <w:rPr>
          <w:rFonts w:ascii="Times New Roman" w:hAnsi="Times New Roman" w:cs="Times New Roman"/>
          <w:sz w:val="24"/>
          <w:szCs w:val="24"/>
        </w:rPr>
        <w:t xml:space="preserve">could </w:t>
      </w:r>
      <w:r w:rsidR="00004987">
        <w:rPr>
          <w:rFonts w:ascii="Times New Roman" w:hAnsi="Times New Roman" w:cs="Times New Roman"/>
          <w:sz w:val="24"/>
          <w:szCs w:val="24"/>
        </w:rPr>
        <w:t xml:space="preserve">significantly </w:t>
      </w:r>
      <w:r w:rsidRPr="005F5D7C">
        <w:rPr>
          <w:rFonts w:ascii="Times New Roman" w:hAnsi="Times New Roman" w:cs="Times New Roman"/>
          <w:sz w:val="24"/>
          <w:szCs w:val="24"/>
        </w:rPr>
        <w:t xml:space="preserve">alter </w:t>
      </w:r>
      <w:r w:rsidR="00004987">
        <w:rPr>
          <w:rFonts w:ascii="Times New Roman" w:hAnsi="Times New Roman" w:cs="Times New Roman"/>
          <w:sz w:val="24"/>
          <w:szCs w:val="24"/>
        </w:rPr>
        <w:t xml:space="preserve">the </w:t>
      </w:r>
      <w:r w:rsidRPr="005F5D7C">
        <w:rPr>
          <w:rFonts w:ascii="Times New Roman" w:hAnsi="Times New Roman" w:cs="Times New Roman"/>
          <w:sz w:val="24"/>
          <w:szCs w:val="24"/>
        </w:rPr>
        <w:t xml:space="preserve">palatability </w:t>
      </w:r>
      <w:r w:rsidR="00004987">
        <w:rPr>
          <w:rFonts w:ascii="Times New Roman" w:hAnsi="Times New Roman" w:cs="Times New Roman"/>
          <w:sz w:val="24"/>
          <w:szCs w:val="24"/>
        </w:rPr>
        <w:t xml:space="preserve">of </w:t>
      </w:r>
      <w:r w:rsidR="00004987" w:rsidRPr="005F5D7C">
        <w:rPr>
          <w:rFonts w:ascii="Times New Roman" w:hAnsi="Times New Roman" w:cs="Times New Roman"/>
          <w:sz w:val="24"/>
          <w:szCs w:val="24"/>
        </w:rPr>
        <w:t xml:space="preserve">oilseed rape </w:t>
      </w:r>
      <w:r w:rsidR="00727A64">
        <w:rPr>
          <w:rFonts w:ascii="Times New Roman" w:hAnsi="Times New Roman" w:cs="Times New Roman"/>
          <w:sz w:val="24"/>
          <w:szCs w:val="24"/>
        </w:rPr>
        <w:t>for</w:t>
      </w:r>
      <w:r w:rsidRPr="005F5D7C">
        <w:rPr>
          <w:rFonts w:ascii="Times New Roman" w:hAnsi="Times New Roman" w:cs="Times New Roman"/>
          <w:sz w:val="24"/>
          <w:szCs w:val="24"/>
        </w:rPr>
        <w:t xml:space="preserve"> </w:t>
      </w:r>
      <w:r w:rsidRPr="00333579">
        <w:rPr>
          <w:rFonts w:ascii="Times New Roman" w:hAnsi="Times New Roman" w:cs="Times New Roman"/>
          <w:i/>
          <w:iCs/>
          <w:sz w:val="24"/>
          <w:szCs w:val="24"/>
        </w:rPr>
        <w:t xml:space="preserve">P. </w:t>
      </w:r>
      <w:proofErr w:type="spellStart"/>
      <w:r w:rsidRPr="00333579">
        <w:rPr>
          <w:rFonts w:ascii="Times New Roman" w:hAnsi="Times New Roman" w:cs="Times New Roman"/>
          <w:i/>
          <w:iCs/>
          <w:sz w:val="24"/>
          <w:szCs w:val="24"/>
        </w:rPr>
        <w:t>xylostella</w:t>
      </w:r>
      <w:proofErr w:type="spellEnd"/>
      <w:r w:rsidRPr="005F5D7C">
        <w:rPr>
          <w:rFonts w:ascii="Times New Roman" w:hAnsi="Times New Roman" w:cs="Times New Roman"/>
          <w:sz w:val="24"/>
          <w:szCs w:val="24"/>
        </w:rPr>
        <w:t>-chewing caterpillars</w:t>
      </w:r>
      <w:r w:rsidR="00727A64">
        <w:rPr>
          <w:rFonts w:ascii="Times New Roman" w:hAnsi="Times New Roman" w:cs="Times New Roman"/>
          <w:sz w:val="24"/>
          <w:szCs w:val="24"/>
        </w:rPr>
        <w:t xml:space="preserve"> or </w:t>
      </w:r>
      <w:r w:rsidR="00727A64">
        <w:rPr>
          <w:rFonts w:ascii="Times New Roman" w:hAnsi="Times New Roman" w:cs="Times New Roman"/>
          <w:i/>
          <w:iCs/>
          <w:sz w:val="24"/>
          <w:szCs w:val="24"/>
        </w:rPr>
        <w:t xml:space="preserve">B. </w:t>
      </w:r>
      <w:proofErr w:type="spellStart"/>
      <w:r w:rsidR="00727A64">
        <w:rPr>
          <w:rFonts w:ascii="Times New Roman" w:hAnsi="Times New Roman" w:cs="Times New Roman"/>
          <w:i/>
          <w:iCs/>
          <w:sz w:val="24"/>
          <w:szCs w:val="24"/>
        </w:rPr>
        <w:t>brassicae</w:t>
      </w:r>
      <w:proofErr w:type="spellEnd"/>
      <w:r w:rsidR="00727A64">
        <w:rPr>
          <w:rFonts w:ascii="Times New Roman" w:hAnsi="Times New Roman" w:cs="Times New Roman"/>
          <w:sz w:val="24"/>
          <w:szCs w:val="24"/>
        </w:rPr>
        <w:t>-sucking aphids</w:t>
      </w:r>
      <w:r w:rsidRPr="005F5D7C">
        <w:rPr>
          <w:rFonts w:ascii="Times New Roman" w:hAnsi="Times New Roman" w:cs="Times New Roman"/>
          <w:sz w:val="24"/>
          <w:szCs w:val="24"/>
        </w:rPr>
        <w:t xml:space="preserve">. </w:t>
      </w:r>
      <w:r w:rsidR="00004987">
        <w:rPr>
          <w:rFonts w:ascii="Times New Roman" w:hAnsi="Times New Roman" w:cs="Times New Roman"/>
          <w:sz w:val="24"/>
          <w:szCs w:val="24"/>
        </w:rPr>
        <w:t>To test this hypothesis, f</w:t>
      </w:r>
      <w:r w:rsidRPr="005F5D7C">
        <w:rPr>
          <w:rFonts w:ascii="Times New Roman" w:hAnsi="Times New Roman" w:cs="Times New Roman"/>
          <w:sz w:val="24"/>
          <w:szCs w:val="24"/>
        </w:rPr>
        <w:t xml:space="preserve">eeding preference </w:t>
      </w:r>
      <w:r w:rsidR="00004987">
        <w:rPr>
          <w:rFonts w:ascii="Times New Roman" w:hAnsi="Times New Roman" w:cs="Times New Roman"/>
          <w:sz w:val="24"/>
          <w:szCs w:val="24"/>
        </w:rPr>
        <w:t>assays</w:t>
      </w:r>
      <w:r w:rsidRPr="005F5D7C">
        <w:rPr>
          <w:rFonts w:ascii="Times New Roman" w:hAnsi="Times New Roman" w:cs="Times New Roman"/>
          <w:sz w:val="24"/>
          <w:szCs w:val="24"/>
        </w:rPr>
        <w:t xml:space="preserve"> were </w:t>
      </w:r>
      <w:r w:rsidR="00004987">
        <w:rPr>
          <w:rFonts w:ascii="Times New Roman" w:hAnsi="Times New Roman" w:cs="Times New Roman"/>
          <w:sz w:val="24"/>
          <w:szCs w:val="24"/>
        </w:rPr>
        <w:t>conducted alongside</w:t>
      </w:r>
      <w:r w:rsidRPr="005F5D7C">
        <w:rPr>
          <w:rFonts w:ascii="Times New Roman" w:hAnsi="Times New Roman" w:cs="Times New Roman"/>
          <w:sz w:val="24"/>
          <w:szCs w:val="24"/>
        </w:rPr>
        <w:t xml:space="preserve"> analyses of defen</w:t>
      </w:r>
      <w:r w:rsidR="00333579">
        <w:rPr>
          <w:rFonts w:ascii="Times New Roman" w:hAnsi="Times New Roman" w:cs="Times New Roman"/>
          <w:sz w:val="24"/>
          <w:szCs w:val="24"/>
        </w:rPr>
        <w:t>c</w:t>
      </w:r>
      <w:r w:rsidRPr="005F5D7C">
        <w:rPr>
          <w:rFonts w:ascii="Times New Roman" w:hAnsi="Times New Roman" w:cs="Times New Roman"/>
          <w:sz w:val="24"/>
          <w:szCs w:val="24"/>
        </w:rPr>
        <w:t xml:space="preserve">e gene transcription, </w:t>
      </w:r>
      <w:r w:rsidR="00004987">
        <w:rPr>
          <w:rFonts w:ascii="Times New Roman" w:hAnsi="Times New Roman" w:cs="Times New Roman"/>
          <w:sz w:val="24"/>
          <w:szCs w:val="24"/>
        </w:rPr>
        <w:t>as well as assessments of</w:t>
      </w:r>
      <w:r w:rsidR="00EC108F">
        <w:rPr>
          <w:rFonts w:ascii="Times New Roman" w:hAnsi="Times New Roman" w:cs="Times New Roman"/>
          <w:sz w:val="24"/>
          <w:szCs w:val="24"/>
        </w:rPr>
        <w:t xml:space="preserve"> glucosinolate (GLS) and volatile organic compound (VOC</w:t>
      </w:r>
      <w:r w:rsidRPr="005F5D7C">
        <w:rPr>
          <w:rFonts w:ascii="Times New Roman" w:hAnsi="Times New Roman" w:cs="Times New Roman"/>
          <w:sz w:val="24"/>
          <w:szCs w:val="24"/>
        </w:rPr>
        <w:t xml:space="preserve">) </w:t>
      </w:r>
      <w:r w:rsidR="00004987">
        <w:rPr>
          <w:rFonts w:ascii="Times New Roman" w:hAnsi="Times New Roman" w:cs="Times New Roman"/>
          <w:sz w:val="24"/>
          <w:szCs w:val="24"/>
        </w:rPr>
        <w:t xml:space="preserve">levels </w:t>
      </w:r>
      <w:r w:rsidRPr="005F5D7C">
        <w:rPr>
          <w:rFonts w:ascii="Times New Roman" w:hAnsi="Times New Roman" w:cs="Times New Roman"/>
          <w:sz w:val="24"/>
          <w:szCs w:val="24"/>
        </w:rPr>
        <w:t xml:space="preserve">in </w:t>
      </w:r>
      <w:r w:rsidRPr="00333579">
        <w:rPr>
          <w:rFonts w:ascii="Times New Roman" w:hAnsi="Times New Roman" w:cs="Times New Roman"/>
          <w:i/>
          <w:iCs/>
          <w:sz w:val="24"/>
          <w:szCs w:val="24"/>
        </w:rPr>
        <w:t xml:space="preserve">L. </w:t>
      </w:r>
      <w:proofErr w:type="spellStart"/>
      <w:r w:rsidRPr="00333579">
        <w:rPr>
          <w:rFonts w:ascii="Times New Roman" w:hAnsi="Times New Roman" w:cs="Times New Roman"/>
          <w:i/>
          <w:iCs/>
          <w:sz w:val="24"/>
          <w:szCs w:val="24"/>
        </w:rPr>
        <w:t>maculans</w:t>
      </w:r>
      <w:proofErr w:type="spellEnd"/>
      <w:r w:rsidRPr="005F5D7C">
        <w:rPr>
          <w:rFonts w:ascii="Times New Roman" w:hAnsi="Times New Roman" w:cs="Times New Roman"/>
          <w:sz w:val="24"/>
          <w:szCs w:val="24"/>
        </w:rPr>
        <w:t>-inoculated and non-inoculated (control) leaves</w:t>
      </w:r>
      <w:r w:rsidR="00004987">
        <w:rPr>
          <w:rFonts w:ascii="Times New Roman" w:hAnsi="Times New Roman" w:cs="Times New Roman"/>
          <w:sz w:val="24"/>
          <w:szCs w:val="24"/>
        </w:rPr>
        <w:t>. These integrated approaches were employed to</w:t>
      </w:r>
      <w:r w:rsidRPr="005F5D7C">
        <w:rPr>
          <w:rFonts w:ascii="Times New Roman" w:hAnsi="Times New Roman" w:cs="Times New Roman"/>
          <w:sz w:val="24"/>
          <w:szCs w:val="24"/>
        </w:rPr>
        <w:t xml:space="preserve"> </w:t>
      </w:r>
      <w:r w:rsidR="00131EA9" w:rsidRPr="00131EA9">
        <w:rPr>
          <w:rFonts w:ascii="Times New Roman" w:hAnsi="Times New Roman" w:cs="Times New Roman"/>
          <w:sz w:val="24"/>
          <w:szCs w:val="24"/>
        </w:rPr>
        <w:t>elucidate potential mechanisms underpinning larval choice and shed light on the intricate dynamics of plant-</w:t>
      </w:r>
      <w:r w:rsidR="00131EA9">
        <w:rPr>
          <w:rFonts w:ascii="Times New Roman" w:hAnsi="Times New Roman" w:cs="Times New Roman"/>
          <w:sz w:val="24"/>
          <w:szCs w:val="24"/>
        </w:rPr>
        <w:t>fungi-</w:t>
      </w:r>
      <w:r w:rsidR="00131EA9" w:rsidRPr="00131EA9">
        <w:rPr>
          <w:rFonts w:ascii="Times New Roman" w:hAnsi="Times New Roman" w:cs="Times New Roman"/>
          <w:sz w:val="24"/>
          <w:szCs w:val="24"/>
        </w:rPr>
        <w:t>herbivore interactions.</w:t>
      </w:r>
    </w:p>
    <w:p w14:paraId="7EDECBAD" w14:textId="77777777" w:rsidR="00131EA9" w:rsidRDefault="00131EA9" w:rsidP="00131EA9">
      <w:pPr>
        <w:spacing w:after="0" w:line="360" w:lineRule="auto"/>
        <w:jc w:val="both"/>
        <w:rPr>
          <w:rFonts w:ascii="Times New Roman" w:hAnsi="Times New Roman" w:cs="Times New Roman"/>
          <w:sz w:val="24"/>
          <w:szCs w:val="24"/>
        </w:rPr>
      </w:pPr>
    </w:p>
    <w:p w14:paraId="21509B2C" w14:textId="45D4735D" w:rsidR="00E7693B" w:rsidRPr="00E7693B" w:rsidRDefault="00E7693B" w:rsidP="00EC70C2">
      <w:pPr>
        <w:pStyle w:val="Heading3"/>
      </w:pPr>
      <w:bookmarkStart w:id="52" w:name="_Toc167977623"/>
      <w:r w:rsidRPr="00E7693B">
        <w:t>Experimental design</w:t>
      </w:r>
      <w:bookmarkEnd w:id="52"/>
    </w:p>
    <w:p w14:paraId="21509B2D" w14:textId="77777777" w:rsidR="00E7693B" w:rsidRPr="00E7693B" w:rsidRDefault="00E7693B" w:rsidP="00684A4C">
      <w:pPr>
        <w:spacing w:after="0" w:line="360" w:lineRule="auto"/>
        <w:jc w:val="both"/>
        <w:rPr>
          <w:rFonts w:ascii="Times New Roman" w:hAnsi="Times New Roman" w:cs="Times New Roman"/>
        </w:rPr>
      </w:pPr>
    </w:p>
    <w:p w14:paraId="21509B2E" w14:textId="77777777" w:rsidR="00E7693B" w:rsidRPr="00684A4C" w:rsidRDefault="00E7693B" w:rsidP="00684A4C">
      <w:pPr>
        <w:spacing w:after="0" w:line="360" w:lineRule="auto"/>
        <w:jc w:val="both"/>
        <w:rPr>
          <w:rFonts w:ascii="Times New Roman" w:hAnsi="Times New Roman" w:cs="Times New Roman"/>
          <w:b/>
          <w:i/>
          <w:sz w:val="24"/>
          <w:szCs w:val="24"/>
        </w:rPr>
      </w:pPr>
      <w:proofErr w:type="spellStart"/>
      <w:r w:rsidRPr="00684A4C">
        <w:rPr>
          <w:rFonts w:ascii="Times New Roman" w:hAnsi="Times New Roman" w:cs="Times New Roman"/>
          <w:b/>
          <w:i/>
          <w:sz w:val="24"/>
          <w:szCs w:val="24"/>
        </w:rPr>
        <w:t>Plutella</w:t>
      </w:r>
      <w:proofErr w:type="spellEnd"/>
      <w:r w:rsidRPr="00684A4C">
        <w:rPr>
          <w:rFonts w:ascii="Times New Roman" w:hAnsi="Times New Roman" w:cs="Times New Roman"/>
          <w:b/>
          <w:i/>
          <w:sz w:val="24"/>
          <w:szCs w:val="24"/>
        </w:rPr>
        <w:t xml:space="preserve"> </w:t>
      </w:r>
      <w:proofErr w:type="spellStart"/>
      <w:r w:rsidRPr="00684A4C">
        <w:rPr>
          <w:rFonts w:ascii="Times New Roman" w:hAnsi="Times New Roman" w:cs="Times New Roman"/>
          <w:b/>
          <w:i/>
          <w:sz w:val="24"/>
          <w:szCs w:val="24"/>
        </w:rPr>
        <w:t>xylostella</w:t>
      </w:r>
      <w:proofErr w:type="spellEnd"/>
    </w:p>
    <w:p w14:paraId="21509B2F" w14:textId="77777777" w:rsidR="00E7693B" w:rsidRPr="00684A4C" w:rsidRDefault="00E7693B" w:rsidP="00684A4C">
      <w:pPr>
        <w:spacing w:after="0" w:line="360" w:lineRule="auto"/>
        <w:jc w:val="both"/>
        <w:rPr>
          <w:rFonts w:ascii="Times New Roman" w:hAnsi="Times New Roman" w:cs="Times New Roman"/>
          <w:i/>
          <w:color w:val="000000"/>
          <w:sz w:val="24"/>
          <w:szCs w:val="24"/>
        </w:rPr>
      </w:pPr>
    </w:p>
    <w:p w14:paraId="21509B30" w14:textId="77777777" w:rsidR="00E7693B" w:rsidRPr="00684A4C" w:rsidRDefault="00E7693B" w:rsidP="00684A4C">
      <w:pPr>
        <w:spacing w:after="0" w:line="360" w:lineRule="auto"/>
        <w:ind w:firstLine="432"/>
        <w:jc w:val="both"/>
        <w:rPr>
          <w:rFonts w:ascii="Times New Roman" w:hAnsi="Times New Roman" w:cs="Times New Roman"/>
          <w:sz w:val="24"/>
          <w:szCs w:val="24"/>
        </w:rPr>
      </w:pPr>
      <w:r w:rsidRPr="00684A4C">
        <w:rPr>
          <w:rFonts w:ascii="Times New Roman" w:hAnsi="Times New Roman" w:cs="Times New Roman"/>
          <w:color w:val="000000"/>
          <w:sz w:val="24"/>
          <w:szCs w:val="24"/>
        </w:rPr>
        <w:t xml:space="preserve">In order to determine the preference of </w:t>
      </w:r>
      <w:r w:rsidRPr="00684A4C">
        <w:rPr>
          <w:rFonts w:ascii="Times New Roman" w:hAnsi="Times New Roman" w:cs="Times New Roman"/>
          <w:i/>
          <w:color w:val="000000"/>
          <w:sz w:val="24"/>
          <w:szCs w:val="24"/>
        </w:rPr>
        <w:t xml:space="preserve">P. </w:t>
      </w:r>
      <w:proofErr w:type="spellStart"/>
      <w:r w:rsidRPr="00684A4C">
        <w:rPr>
          <w:rFonts w:ascii="Times New Roman" w:hAnsi="Times New Roman" w:cs="Times New Roman"/>
          <w:i/>
          <w:color w:val="000000"/>
          <w:sz w:val="24"/>
          <w:szCs w:val="24"/>
        </w:rPr>
        <w:t>xylostella</w:t>
      </w:r>
      <w:proofErr w:type="spellEnd"/>
      <w:r w:rsidRPr="00684A4C">
        <w:rPr>
          <w:rFonts w:ascii="Times New Roman" w:hAnsi="Times New Roman" w:cs="Times New Roman"/>
          <w:color w:val="000000"/>
          <w:sz w:val="24"/>
          <w:szCs w:val="24"/>
        </w:rPr>
        <w:t xml:space="preserve"> caterpillars for different leaf stage/treatments, feeding choice test was performed on detached leaves of oilseed rape with one leaf placed in each vial. </w:t>
      </w:r>
      <w:r w:rsidRPr="00684A4C">
        <w:rPr>
          <w:rFonts w:ascii="Times New Roman" w:hAnsi="Times New Roman" w:cs="Times New Roman"/>
          <w:sz w:val="24"/>
          <w:szCs w:val="24"/>
        </w:rPr>
        <w:t>Three third-instar caterpillars were starving for 3 h in a separate plastic container before being transferred to the T-tube using a fine paintbrush. T-tube connected vials were randomly placed in a controlled environment under the same conditions as plants used for experiments were growing. During the next 48 h, caterpillars could choose the vial and feed on the leaf within, and switch from one vial to another.</w:t>
      </w:r>
    </w:p>
    <w:p w14:paraId="21509B31" w14:textId="77777777" w:rsidR="00E7693B" w:rsidRPr="00684A4C" w:rsidRDefault="00E7693B" w:rsidP="00684A4C">
      <w:pPr>
        <w:spacing w:after="0" w:line="360" w:lineRule="auto"/>
        <w:ind w:firstLine="432"/>
        <w:jc w:val="both"/>
        <w:rPr>
          <w:rFonts w:ascii="Times New Roman" w:hAnsi="Times New Roman" w:cs="Times New Roman"/>
          <w:sz w:val="24"/>
          <w:szCs w:val="24"/>
        </w:rPr>
      </w:pPr>
      <w:r w:rsidRPr="00684A4C">
        <w:rPr>
          <w:rFonts w:ascii="Times New Roman" w:hAnsi="Times New Roman" w:cs="Times New Roman"/>
          <w:sz w:val="24"/>
          <w:szCs w:val="24"/>
        </w:rPr>
        <w:lastRenderedPageBreak/>
        <w:t xml:space="preserve">Feeding choice tests were initially performed to determine the preference of </w:t>
      </w:r>
      <w:r w:rsidRPr="00684A4C">
        <w:rPr>
          <w:rFonts w:ascii="Times New Roman" w:hAnsi="Times New Roman" w:cs="Times New Roman"/>
          <w:i/>
          <w:sz w:val="24"/>
          <w:szCs w:val="24"/>
        </w:rPr>
        <w:t xml:space="preserve">P. </w:t>
      </w:r>
      <w:proofErr w:type="spellStart"/>
      <w:r w:rsidRPr="00684A4C">
        <w:rPr>
          <w:rFonts w:ascii="Times New Roman" w:hAnsi="Times New Roman" w:cs="Times New Roman"/>
          <w:i/>
          <w:sz w:val="24"/>
          <w:szCs w:val="24"/>
        </w:rPr>
        <w:t>xylostella</w:t>
      </w:r>
      <w:proofErr w:type="spellEnd"/>
      <w:r w:rsidRPr="00684A4C">
        <w:rPr>
          <w:rFonts w:ascii="Times New Roman" w:hAnsi="Times New Roman" w:cs="Times New Roman"/>
          <w:i/>
          <w:sz w:val="24"/>
          <w:szCs w:val="24"/>
        </w:rPr>
        <w:t xml:space="preserve"> </w:t>
      </w:r>
      <w:r w:rsidRPr="00684A4C">
        <w:rPr>
          <w:rFonts w:ascii="Times New Roman" w:hAnsi="Times New Roman" w:cs="Times New Roman"/>
          <w:sz w:val="24"/>
          <w:szCs w:val="24"/>
        </w:rPr>
        <w:t xml:space="preserve">caterpillars for true leaves or cotyledons of oilseed rape. After 48 h of exposure to herbivory, leaves were scanned and the percentage of the leaf area consumed by larvae was evaluated using </w:t>
      </w:r>
      <w:proofErr w:type="spellStart"/>
      <w:r w:rsidRPr="00684A4C">
        <w:rPr>
          <w:rFonts w:ascii="Times New Roman" w:hAnsi="Times New Roman" w:cs="Times New Roman"/>
          <w:sz w:val="24"/>
          <w:szCs w:val="24"/>
        </w:rPr>
        <w:t>BioLeaf</w:t>
      </w:r>
      <w:proofErr w:type="spellEnd"/>
      <w:r w:rsidRPr="00684A4C">
        <w:rPr>
          <w:rFonts w:ascii="Times New Roman" w:hAnsi="Times New Roman" w:cs="Times New Roman"/>
          <w:sz w:val="24"/>
          <w:szCs w:val="24"/>
        </w:rPr>
        <w:t xml:space="preserve"> (Machado et al., 2016)</w:t>
      </w:r>
      <w:r w:rsidRPr="00684A4C">
        <w:rPr>
          <w:rFonts w:ascii="Times New Roman" w:hAnsi="Times New Roman" w:cs="Times New Roman"/>
          <w:sz w:val="24"/>
          <w:szCs w:val="24"/>
          <w:vertAlign w:val="superscript"/>
        </w:rPr>
        <w:t xml:space="preserve"> </w:t>
      </w:r>
      <w:r w:rsidRPr="00684A4C">
        <w:rPr>
          <w:rFonts w:ascii="Times New Roman" w:hAnsi="Times New Roman" w:cs="Times New Roman"/>
          <w:sz w:val="24"/>
          <w:szCs w:val="24"/>
        </w:rPr>
        <w:t xml:space="preserve">and the differences in leaf size between cotyledons and true leaves were corrected to leaf area in pixels using APS Assess 2.0 image analysis software (The American </w:t>
      </w:r>
      <w:proofErr w:type="spellStart"/>
      <w:r w:rsidRPr="00684A4C">
        <w:rPr>
          <w:rFonts w:ascii="Times New Roman" w:hAnsi="Times New Roman" w:cs="Times New Roman"/>
          <w:sz w:val="24"/>
          <w:szCs w:val="24"/>
        </w:rPr>
        <w:t>Phytopathological</w:t>
      </w:r>
      <w:proofErr w:type="spellEnd"/>
      <w:r w:rsidRPr="00684A4C">
        <w:rPr>
          <w:rFonts w:ascii="Times New Roman" w:hAnsi="Times New Roman" w:cs="Times New Roman"/>
          <w:sz w:val="24"/>
          <w:szCs w:val="24"/>
        </w:rPr>
        <w:t xml:space="preserve"> Society, St. Paul, MN, U.S.A.). Four separate experiments, with approximately ten replicates per treatment (cotyledon vs. true leaf) within each biological repetition were performed.</w:t>
      </w:r>
    </w:p>
    <w:p w14:paraId="21509B32" w14:textId="77777777" w:rsidR="00E7693B" w:rsidRPr="00684A4C" w:rsidRDefault="00E7693B" w:rsidP="00684A4C">
      <w:pPr>
        <w:spacing w:after="0" w:line="360" w:lineRule="auto"/>
        <w:ind w:firstLine="576"/>
        <w:jc w:val="both"/>
        <w:rPr>
          <w:rFonts w:ascii="Times New Roman" w:hAnsi="Times New Roman" w:cs="Times New Roman"/>
          <w:color w:val="000000"/>
          <w:sz w:val="24"/>
          <w:szCs w:val="24"/>
        </w:rPr>
      </w:pPr>
      <w:r w:rsidRPr="00684A4C">
        <w:rPr>
          <w:rFonts w:ascii="Times New Roman" w:hAnsi="Times New Roman" w:cs="Times New Roman"/>
          <w:sz w:val="24"/>
          <w:szCs w:val="24"/>
        </w:rPr>
        <w:t xml:space="preserve">To test the effect of fungal infection on caterpillar preference, </w:t>
      </w:r>
      <w:r w:rsidRPr="00684A4C">
        <w:rPr>
          <w:rFonts w:ascii="Times New Roman" w:hAnsi="Times New Roman" w:cs="Times New Roman"/>
          <w:i/>
          <w:sz w:val="24"/>
          <w:szCs w:val="24"/>
        </w:rPr>
        <w:t xml:space="preserve">L. </w:t>
      </w:r>
      <w:proofErr w:type="spellStart"/>
      <w:r w:rsidRPr="00684A4C">
        <w:rPr>
          <w:rFonts w:ascii="Times New Roman" w:hAnsi="Times New Roman" w:cs="Times New Roman"/>
          <w:i/>
          <w:sz w:val="24"/>
          <w:szCs w:val="24"/>
        </w:rPr>
        <w:t>maculans</w:t>
      </w:r>
      <w:proofErr w:type="spellEnd"/>
      <w:r w:rsidRPr="00684A4C">
        <w:rPr>
          <w:rFonts w:ascii="Times New Roman" w:hAnsi="Times New Roman" w:cs="Times New Roman"/>
          <w:sz w:val="24"/>
          <w:szCs w:val="24"/>
        </w:rPr>
        <w:t xml:space="preserve">-inoculated leaves were placed individually in each vial and the T-tube-connected vial served as a control (water-infiltrated/non-inoculated leaf). Then, 3 and 7 days post </w:t>
      </w:r>
      <w:r w:rsidRPr="00684A4C">
        <w:rPr>
          <w:rFonts w:ascii="Times New Roman" w:hAnsi="Times New Roman" w:cs="Times New Roman"/>
          <w:i/>
          <w:sz w:val="24"/>
          <w:szCs w:val="24"/>
        </w:rPr>
        <w:t xml:space="preserve">L. </w:t>
      </w:r>
      <w:proofErr w:type="spellStart"/>
      <w:r w:rsidRPr="00684A4C">
        <w:rPr>
          <w:rFonts w:ascii="Times New Roman" w:hAnsi="Times New Roman" w:cs="Times New Roman"/>
          <w:i/>
          <w:sz w:val="24"/>
          <w:szCs w:val="24"/>
        </w:rPr>
        <w:t>maculans</w:t>
      </w:r>
      <w:proofErr w:type="spellEnd"/>
      <w:r w:rsidRPr="00684A4C">
        <w:rPr>
          <w:rFonts w:ascii="Times New Roman" w:hAnsi="Times New Roman" w:cs="Times New Roman"/>
          <w:i/>
          <w:sz w:val="24"/>
          <w:szCs w:val="24"/>
        </w:rPr>
        <w:t xml:space="preserve"> </w:t>
      </w:r>
      <w:r w:rsidRPr="00684A4C">
        <w:rPr>
          <w:rFonts w:ascii="Times New Roman" w:hAnsi="Times New Roman" w:cs="Times New Roman"/>
          <w:sz w:val="24"/>
          <w:szCs w:val="24"/>
        </w:rPr>
        <w:t xml:space="preserve">inoculation (dpi), three third-instar caterpillars were added into the T-connector and could feed for 48 h. After leaf scanning, </w:t>
      </w:r>
      <w:proofErr w:type="spellStart"/>
      <w:r w:rsidRPr="00684A4C">
        <w:rPr>
          <w:rFonts w:ascii="Times New Roman" w:hAnsi="Times New Roman" w:cs="Times New Roman"/>
          <w:sz w:val="24"/>
          <w:szCs w:val="24"/>
        </w:rPr>
        <w:t>BioLeaf</w:t>
      </w:r>
      <w:proofErr w:type="spellEnd"/>
      <w:r w:rsidRPr="00684A4C">
        <w:rPr>
          <w:rFonts w:ascii="Times New Roman" w:hAnsi="Times New Roman" w:cs="Times New Roman"/>
          <w:sz w:val="24"/>
          <w:szCs w:val="24"/>
        </w:rPr>
        <w:t xml:space="preserve"> (Machado et al., 2016) was used for the leaf damage evaluation </w:t>
      </w:r>
      <w:r w:rsidRPr="00684A4C">
        <w:rPr>
          <w:rFonts w:ascii="Times New Roman" w:hAnsi="Times New Roman" w:cs="Times New Roman"/>
          <w:color w:val="000000"/>
          <w:sz w:val="24"/>
          <w:szCs w:val="24"/>
        </w:rPr>
        <w:t>and given data were further analysed as a mean consumption</w:t>
      </w:r>
      <w:r w:rsidRPr="00684A4C">
        <w:rPr>
          <w:rFonts w:ascii="Times New Roman" w:hAnsi="Times New Roman" w:cs="Times New Roman"/>
          <w:sz w:val="24"/>
          <w:szCs w:val="24"/>
        </w:rPr>
        <w:t xml:space="preserve">. Four separate experimental repetitions for 3 dpi and two independent experimental repetitions for 7 dpi were performed, each repetition containing ten replicates per treatment (control vs. </w:t>
      </w:r>
      <w:r w:rsidRPr="00684A4C">
        <w:rPr>
          <w:rFonts w:ascii="Times New Roman" w:hAnsi="Times New Roman" w:cs="Times New Roman"/>
          <w:i/>
          <w:sz w:val="24"/>
          <w:szCs w:val="24"/>
        </w:rPr>
        <w:t xml:space="preserve">L. </w:t>
      </w:r>
      <w:proofErr w:type="spellStart"/>
      <w:r w:rsidRPr="00684A4C">
        <w:rPr>
          <w:rFonts w:ascii="Times New Roman" w:hAnsi="Times New Roman" w:cs="Times New Roman"/>
          <w:i/>
          <w:sz w:val="24"/>
          <w:szCs w:val="24"/>
        </w:rPr>
        <w:t>maculans</w:t>
      </w:r>
      <w:proofErr w:type="spellEnd"/>
      <w:r w:rsidRPr="00684A4C">
        <w:rPr>
          <w:rFonts w:ascii="Times New Roman" w:hAnsi="Times New Roman" w:cs="Times New Roman"/>
          <w:sz w:val="24"/>
          <w:szCs w:val="24"/>
        </w:rPr>
        <w:t>-inoculated leaf).</w:t>
      </w:r>
    </w:p>
    <w:p w14:paraId="21509B33" w14:textId="77777777" w:rsidR="00E7693B" w:rsidRPr="00684A4C" w:rsidRDefault="00E7693B" w:rsidP="00684A4C">
      <w:pPr>
        <w:spacing w:after="0" w:line="360" w:lineRule="auto"/>
        <w:ind w:firstLine="720"/>
        <w:jc w:val="both"/>
        <w:rPr>
          <w:rFonts w:ascii="Times New Roman" w:hAnsi="Times New Roman" w:cs="Times New Roman"/>
          <w:sz w:val="24"/>
          <w:szCs w:val="24"/>
        </w:rPr>
      </w:pPr>
      <w:r w:rsidRPr="00684A4C">
        <w:rPr>
          <w:rFonts w:ascii="Times New Roman" w:hAnsi="Times New Roman" w:cs="Times New Roman"/>
          <w:sz w:val="24"/>
          <w:szCs w:val="24"/>
        </w:rPr>
        <w:t>For the GLS and gene transcription analyses one leaf was placed in the individual non-connected plastic vial, whereas for VOC analysis each glass beaker contained four leaves.</w:t>
      </w:r>
    </w:p>
    <w:p w14:paraId="21509B34" w14:textId="77777777" w:rsidR="00E7693B" w:rsidRPr="00684A4C" w:rsidRDefault="00E7693B" w:rsidP="00684A4C">
      <w:pPr>
        <w:spacing w:after="0" w:line="360" w:lineRule="auto"/>
        <w:jc w:val="both"/>
        <w:rPr>
          <w:rFonts w:ascii="Times New Roman" w:hAnsi="Times New Roman" w:cs="Times New Roman"/>
          <w:sz w:val="24"/>
          <w:szCs w:val="24"/>
        </w:rPr>
      </w:pPr>
    </w:p>
    <w:p w14:paraId="21509B35" w14:textId="77777777" w:rsidR="00E7693B" w:rsidRPr="00684A4C" w:rsidRDefault="00E7693B">
      <w:pPr>
        <w:spacing w:line="360" w:lineRule="auto"/>
        <w:jc w:val="both"/>
        <w:rPr>
          <w:rFonts w:ascii="Times New Roman" w:hAnsi="Times New Roman" w:cs="Times New Roman"/>
          <w:b/>
          <w:i/>
          <w:sz w:val="24"/>
          <w:szCs w:val="24"/>
        </w:rPr>
      </w:pPr>
      <w:proofErr w:type="spellStart"/>
      <w:r w:rsidRPr="00684A4C">
        <w:rPr>
          <w:rFonts w:ascii="Times New Roman" w:hAnsi="Times New Roman" w:cs="Times New Roman"/>
          <w:b/>
          <w:i/>
          <w:sz w:val="24"/>
          <w:szCs w:val="24"/>
        </w:rPr>
        <w:t>Brevicoryne</w:t>
      </w:r>
      <w:proofErr w:type="spellEnd"/>
      <w:r w:rsidRPr="00684A4C">
        <w:rPr>
          <w:rFonts w:ascii="Times New Roman" w:hAnsi="Times New Roman" w:cs="Times New Roman"/>
          <w:b/>
          <w:i/>
          <w:sz w:val="24"/>
          <w:szCs w:val="24"/>
        </w:rPr>
        <w:t xml:space="preserve"> </w:t>
      </w:r>
      <w:proofErr w:type="spellStart"/>
      <w:r w:rsidRPr="00684A4C">
        <w:rPr>
          <w:rFonts w:ascii="Times New Roman" w:hAnsi="Times New Roman" w:cs="Times New Roman"/>
          <w:b/>
          <w:i/>
          <w:sz w:val="24"/>
          <w:szCs w:val="24"/>
        </w:rPr>
        <w:t>brassicae</w:t>
      </w:r>
      <w:proofErr w:type="spellEnd"/>
    </w:p>
    <w:p w14:paraId="21509B36" w14:textId="77777777" w:rsidR="00E7693B" w:rsidRPr="00684A4C" w:rsidRDefault="00E7693B" w:rsidP="00684A4C">
      <w:pPr>
        <w:spacing w:after="0"/>
        <w:jc w:val="both"/>
        <w:rPr>
          <w:rFonts w:ascii="Times New Roman" w:hAnsi="Times New Roman" w:cs="Times New Roman"/>
          <w:sz w:val="24"/>
          <w:szCs w:val="24"/>
        </w:rPr>
      </w:pPr>
    </w:p>
    <w:p w14:paraId="21509B37" w14:textId="77777777" w:rsidR="00E7693B" w:rsidRPr="00684A4C" w:rsidRDefault="00E7693B" w:rsidP="00684A4C">
      <w:pPr>
        <w:spacing w:after="0" w:line="360" w:lineRule="auto"/>
        <w:ind w:firstLine="432"/>
        <w:jc w:val="both"/>
        <w:rPr>
          <w:rFonts w:ascii="Times New Roman" w:hAnsi="Times New Roman" w:cs="Times New Roman"/>
          <w:color w:val="000000"/>
          <w:sz w:val="24"/>
          <w:szCs w:val="24"/>
        </w:rPr>
      </w:pPr>
      <w:r w:rsidRPr="00684A4C">
        <w:rPr>
          <w:rFonts w:ascii="Times New Roman" w:hAnsi="Times New Roman" w:cs="Times New Roman"/>
          <w:sz w:val="24"/>
          <w:szCs w:val="24"/>
        </w:rPr>
        <w:t xml:space="preserve">To test </w:t>
      </w:r>
      <w:r w:rsidRPr="00684A4C">
        <w:rPr>
          <w:rFonts w:ascii="Times New Roman" w:hAnsi="Times New Roman" w:cs="Times New Roman"/>
          <w:i/>
          <w:sz w:val="24"/>
          <w:szCs w:val="24"/>
        </w:rPr>
        <w:t xml:space="preserve">B. </w:t>
      </w:r>
      <w:proofErr w:type="spellStart"/>
      <w:r w:rsidRPr="00684A4C">
        <w:rPr>
          <w:rFonts w:ascii="Times New Roman" w:hAnsi="Times New Roman" w:cs="Times New Roman"/>
          <w:i/>
          <w:sz w:val="24"/>
          <w:szCs w:val="24"/>
        </w:rPr>
        <w:t>brassicae</w:t>
      </w:r>
      <w:proofErr w:type="spellEnd"/>
      <w:r w:rsidRPr="00684A4C">
        <w:rPr>
          <w:rFonts w:ascii="Times New Roman" w:hAnsi="Times New Roman" w:cs="Times New Roman"/>
          <w:i/>
          <w:sz w:val="24"/>
          <w:szCs w:val="24"/>
        </w:rPr>
        <w:t xml:space="preserve"> </w:t>
      </w:r>
      <w:r w:rsidRPr="00684A4C">
        <w:rPr>
          <w:rFonts w:ascii="Times New Roman" w:hAnsi="Times New Roman" w:cs="Times New Roman"/>
          <w:sz w:val="24"/>
          <w:szCs w:val="24"/>
        </w:rPr>
        <w:t xml:space="preserve">aphid preference </w:t>
      </w:r>
      <w:r w:rsidRPr="00684A4C">
        <w:rPr>
          <w:rFonts w:ascii="Times New Roman" w:hAnsi="Times New Roman" w:cs="Times New Roman"/>
          <w:color w:val="000000"/>
          <w:sz w:val="24"/>
          <w:szCs w:val="24"/>
        </w:rPr>
        <w:t>for different leaf stages/treatments</w:t>
      </w:r>
      <w:r w:rsidRPr="00684A4C">
        <w:rPr>
          <w:rFonts w:ascii="Times New Roman" w:hAnsi="Times New Roman" w:cs="Times New Roman"/>
          <w:sz w:val="24"/>
          <w:szCs w:val="24"/>
        </w:rPr>
        <w:t xml:space="preserve">, </w:t>
      </w:r>
      <w:r w:rsidRPr="00684A4C">
        <w:rPr>
          <w:rFonts w:ascii="Times New Roman" w:hAnsi="Times New Roman" w:cs="Times New Roman"/>
          <w:color w:val="000000"/>
          <w:sz w:val="24"/>
          <w:szCs w:val="24"/>
        </w:rPr>
        <w:t>feeding choice test was performed in Petri dishes.</w:t>
      </w:r>
    </w:p>
    <w:p w14:paraId="21509B38" w14:textId="77777777" w:rsidR="00E7693B" w:rsidRPr="00684A4C" w:rsidRDefault="00E7693B" w:rsidP="00684A4C">
      <w:pPr>
        <w:spacing w:after="0" w:line="360" w:lineRule="auto"/>
        <w:ind w:firstLine="432"/>
        <w:jc w:val="both"/>
        <w:rPr>
          <w:rFonts w:ascii="Times New Roman" w:hAnsi="Times New Roman" w:cs="Times New Roman"/>
          <w:sz w:val="24"/>
          <w:szCs w:val="24"/>
        </w:rPr>
      </w:pPr>
      <w:r w:rsidRPr="00684A4C">
        <w:rPr>
          <w:rFonts w:ascii="Times New Roman" w:hAnsi="Times New Roman" w:cs="Times New Roman"/>
          <w:color w:val="000000"/>
          <w:sz w:val="24"/>
          <w:szCs w:val="24"/>
        </w:rPr>
        <w:t>Initially, cotyledons and true leaves were cut with a cork borer and placed on a wet filter paper inside a Petri dish (Fig. 14B)</w:t>
      </w:r>
      <w:r w:rsidRPr="00684A4C">
        <w:rPr>
          <w:rFonts w:ascii="Times New Roman" w:hAnsi="Times New Roman" w:cs="Times New Roman"/>
          <w:i/>
          <w:sz w:val="24"/>
          <w:szCs w:val="24"/>
        </w:rPr>
        <w:t xml:space="preserve">. </w:t>
      </w:r>
      <w:r w:rsidRPr="00684A4C">
        <w:rPr>
          <w:rFonts w:ascii="Times New Roman" w:hAnsi="Times New Roman" w:cs="Times New Roman"/>
          <w:sz w:val="24"/>
          <w:szCs w:val="24"/>
        </w:rPr>
        <w:t>T</w:t>
      </w:r>
      <w:r w:rsidRPr="00684A4C">
        <w:rPr>
          <w:rFonts w:ascii="Times New Roman" w:hAnsi="Times New Roman" w:cs="Times New Roman"/>
          <w:color w:val="000000"/>
          <w:sz w:val="24"/>
          <w:szCs w:val="24"/>
        </w:rPr>
        <w:t xml:space="preserve">hen, three wingless </w:t>
      </w:r>
      <w:r w:rsidRPr="00684A4C">
        <w:rPr>
          <w:rFonts w:ascii="Times New Roman" w:hAnsi="Times New Roman" w:cs="Times New Roman"/>
          <w:sz w:val="24"/>
          <w:szCs w:val="24"/>
        </w:rPr>
        <w:t>adults were put in the middle and the total number of adults and nymphs on each leaf disc was counted 24 and 48 h after the infestation. Three separate experiments, with approximately ten replicates per treatment (cotyledon vs. true leaf) within each biological repetition were performed.</w:t>
      </w:r>
    </w:p>
    <w:p w14:paraId="21509B39" w14:textId="77777777" w:rsidR="00E7693B" w:rsidRPr="00684A4C" w:rsidRDefault="00E7693B" w:rsidP="00684A4C">
      <w:pPr>
        <w:spacing w:after="0" w:line="360" w:lineRule="auto"/>
        <w:ind w:firstLine="720"/>
        <w:jc w:val="both"/>
        <w:rPr>
          <w:rFonts w:ascii="Times New Roman" w:hAnsi="Times New Roman" w:cs="Times New Roman"/>
          <w:sz w:val="24"/>
          <w:szCs w:val="24"/>
        </w:rPr>
      </w:pPr>
      <w:r w:rsidRPr="00684A4C">
        <w:rPr>
          <w:rFonts w:ascii="Times New Roman" w:hAnsi="Times New Roman" w:cs="Times New Roman"/>
          <w:color w:val="000000"/>
          <w:sz w:val="24"/>
          <w:szCs w:val="24"/>
        </w:rPr>
        <w:t xml:space="preserve">To determine the preference of </w:t>
      </w:r>
      <w:r w:rsidRPr="00684A4C">
        <w:rPr>
          <w:rFonts w:ascii="Times New Roman" w:hAnsi="Times New Roman" w:cs="Times New Roman"/>
          <w:i/>
          <w:sz w:val="24"/>
          <w:szCs w:val="24"/>
        </w:rPr>
        <w:t xml:space="preserve">B. </w:t>
      </w:r>
      <w:proofErr w:type="spellStart"/>
      <w:r w:rsidRPr="00684A4C">
        <w:rPr>
          <w:rFonts w:ascii="Times New Roman" w:hAnsi="Times New Roman" w:cs="Times New Roman"/>
          <w:i/>
          <w:sz w:val="24"/>
          <w:szCs w:val="24"/>
        </w:rPr>
        <w:t>brassicae</w:t>
      </w:r>
      <w:proofErr w:type="spellEnd"/>
      <w:r w:rsidRPr="00684A4C">
        <w:rPr>
          <w:rFonts w:ascii="Times New Roman" w:hAnsi="Times New Roman" w:cs="Times New Roman"/>
          <w:i/>
          <w:sz w:val="24"/>
          <w:szCs w:val="24"/>
        </w:rPr>
        <w:t xml:space="preserve"> </w:t>
      </w:r>
      <w:r w:rsidRPr="00684A4C">
        <w:rPr>
          <w:rFonts w:ascii="Times New Roman" w:hAnsi="Times New Roman" w:cs="Times New Roman"/>
          <w:color w:val="000000"/>
          <w:sz w:val="24"/>
          <w:szCs w:val="24"/>
        </w:rPr>
        <w:t xml:space="preserve">aphids for </w:t>
      </w:r>
      <w:r w:rsidRPr="00684A4C">
        <w:rPr>
          <w:rFonts w:ascii="Times New Roman" w:hAnsi="Times New Roman" w:cs="Times New Roman"/>
          <w:i/>
          <w:sz w:val="24"/>
          <w:szCs w:val="24"/>
        </w:rPr>
        <w:t xml:space="preserve">L. </w:t>
      </w:r>
      <w:proofErr w:type="spellStart"/>
      <w:r w:rsidRPr="00684A4C">
        <w:rPr>
          <w:rFonts w:ascii="Times New Roman" w:hAnsi="Times New Roman" w:cs="Times New Roman"/>
          <w:i/>
          <w:sz w:val="24"/>
          <w:szCs w:val="24"/>
        </w:rPr>
        <w:t>maculans</w:t>
      </w:r>
      <w:proofErr w:type="spellEnd"/>
      <w:r w:rsidRPr="00684A4C">
        <w:rPr>
          <w:rFonts w:ascii="Times New Roman" w:hAnsi="Times New Roman" w:cs="Times New Roman"/>
          <w:sz w:val="24"/>
          <w:szCs w:val="24"/>
        </w:rPr>
        <w:t>-inoculated and non-inoculated leaves</w:t>
      </w:r>
      <w:r w:rsidRPr="00684A4C">
        <w:rPr>
          <w:rFonts w:ascii="Times New Roman" w:hAnsi="Times New Roman" w:cs="Times New Roman"/>
          <w:color w:val="000000"/>
          <w:sz w:val="24"/>
          <w:szCs w:val="24"/>
        </w:rPr>
        <w:t xml:space="preserve">, whole detached leaves (fungal-inoculated and non-inoculated) were placed opposite one another in a Petri dish (Fig. 17B). </w:t>
      </w:r>
      <w:r w:rsidRPr="00684A4C">
        <w:rPr>
          <w:rFonts w:ascii="Times New Roman" w:hAnsi="Times New Roman" w:cs="Times New Roman"/>
          <w:sz w:val="24"/>
          <w:szCs w:val="24"/>
        </w:rPr>
        <w:t xml:space="preserve">Then, 3 and 7 days post </w:t>
      </w:r>
      <w:r w:rsidRPr="00684A4C">
        <w:rPr>
          <w:rFonts w:ascii="Times New Roman" w:hAnsi="Times New Roman" w:cs="Times New Roman"/>
          <w:i/>
          <w:sz w:val="24"/>
          <w:szCs w:val="24"/>
        </w:rPr>
        <w:t xml:space="preserve">L. </w:t>
      </w:r>
      <w:proofErr w:type="spellStart"/>
      <w:r w:rsidRPr="00684A4C">
        <w:rPr>
          <w:rFonts w:ascii="Times New Roman" w:hAnsi="Times New Roman" w:cs="Times New Roman"/>
          <w:i/>
          <w:sz w:val="24"/>
          <w:szCs w:val="24"/>
        </w:rPr>
        <w:t>maculans</w:t>
      </w:r>
      <w:proofErr w:type="spellEnd"/>
      <w:r w:rsidRPr="00684A4C">
        <w:rPr>
          <w:rFonts w:ascii="Times New Roman" w:hAnsi="Times New Roman" w:cs="Times New Roman"/>
          <w:i/>
          <w:sz w:val="24"/>
          <w:szCs w:val="24"/>
        </w:rPr>
        <w:t xml:space="preserve"> </w:t>
      </w:r>
      <w:r w:rsidRPr="00684A4C">
        <w:rPr>
          <w:rFonts w:ascii="Times New Roman" w:hAnsi="Times New Roman" w:cs="Times New Roman"/>
          <w:sz w:val="24"/>
          <w:szCs w:val="24"/>
        </w:rPr>
        <w:t xml:space="preserve">inoculation </w:t>
      </w:r>
      <w:r w:rsidRPr="00684A4C">
        <w:rPr>
          <w:rFonts w:ascii="Times New Roman" w:hAnsi="Times New Roman" w:cs="Times New Roman"/>
          <w:sz w:val="24"/>
          <w:szCs w:val="24"/>
        </w:rPr>
        <w:lastRenderedPageBreak/>
        <w:t xml:space="preserve">(dpi), </w:t>
      </w:r>
      <w:r w:rsidRPr="00684A4C">
        <w:rPr>
          <w:rFonts w:ascii="Times New Roman" w:hAnsi="Times New Roman" w:cs="Times New Roman"/>
          <w:color w:val="000000"/>
          <w:sz w:val="24"/>
          <w:szCs w:val="24"/>
        </w:rPr>
        <w:t xml:space="preserve">ten wingless adults were </w:t>
      </w:r>
      <w:r w:rsidRPr="00684A4C">
        <w:rPr>
          <w:rFonts w:ascii="Times New Roman" w:hAnsi="Times New Roman" w:cs="Times New Roman"/>
          <w:sz w:val="24"/>
          <w:szCs w:val="24"/>
        </w:rPr>
        <w:t xml:space="preserve">put in the middle with a fine paintbrush and the total number of adults and nymphs on each leaf was counted 24 h after the infestation. Four separate experimental repetitions for 3 and 7 dpi were performed, each repetition containing ten replicates per treatment (control vs. </w:t>
      </w:r>
      <w:r w:rsidRPr="00684A4C">
        <w:rPr>
          <w:rFonts w:ascii="Times New Roman" w:hAnsi="Times New Roman" w:cs="Times New Roman"/>
          <w:i/>
          <w:sz w:val="24"/>
          <w:szCs w:val="24"/>
        </w:rPr>
        <w:t xml:space="preserve">L. </w:t>
      </w:r>
      <w:proofErr w:type="spellStart"/>
      <w:r w:rsidRPr="00684A4C">
        <w:rPr>
          <w:rFonts w:ascii="Times New Roman" w:hAnsi="Times New Roman" w:cs="Times New Roman"/>
          <w:i/>
          <w:sz w:val="24"/>
          <w:szCs w:val="24"/>
        </w:rPr>
        <w:t>maculans</w:t>
      </w:r>
      <w:proofErr w:type="spellEnd"/>
      <w:r w:rsidRPr="00684A4C">
        <w:rPr>
          <w:rFonts w:ascii="Times New Roman" w:hAnsi="Times New Roman" w:cs="Times New Roman"/>
          <w:sz w:val="24"/>
          <w:szCs w:val="24"/>
        </w:rPr>
        <w:t>-inoculated leaf).</w:t>
      </w:r>
    </w:p>
    <w:p w14:paraId="21509B3A" w14:textId="77777777" w:rsidR="00E7693B" w:rsidRPr="00E7693B" w:rsidRDefault="00E7693B" w:rsidP="00684A4C">
      <w:pPr>
        <w:spacing w:after="0" w:line="360" w:lineRule="auto"/>
        <w:jc w:val="both"/>
        <w:rPr>
          <w:rFonts w:ascii="Times New Roman" w:hAnsi="Times New Roman" w:cs="Times New Roman"/>
        </w:rPr>
      </w:pPr>
    </w:p>
    <w:p w14:paraId="21509B3B" w14:textId="77777777" w:rsidR="00E7693B" w:rsidRPr="00E7693B" w:rsidRDefault="00E7693B" w:rsidP="00EC70C2">
      <w:pPr>
        <w:pStyle w:val="Heading3"/>
      </w:pPr>
      <w:bookmarkStart w:id="53" w:name="_Toc167977624"/>
      <w:r w:rsidRPr="00E7693B">
        <w:t>Results</w:t>
      </w:r>
      <w:bookmarkEnd w:id="53"/>
    </w:p>
    <w:p w14:paraId="21509B3C" w14:textId="77777777" w:rsidR="00E7693B" w:rsidRPr="00684A4C" w:rsidRDefault="00E7693B" w:rsidP="00684A4C">
      <w:pPr>
        <w:pBdr>
          <w:top w:val="nil"/>
          <w:left w:val="nil"/>
          <w:bottom w:val="nil"/>
          <w:right w:val="nil"/>
          <w:between w:val="nil"/>
        </w:pBdr>
        <w:spacing w:after="0" w:line="360" w:lineRule="auto"/>
        <w:jc w:val="both"/>
        <w:rPr>
          <w:rFonts w:ascii="Times New Roman" w:hAnsi="Times New Roman" w:cs="Times New Roman"/>
          <w:sz w:val="24"/>
          <w:szCs w:val="24"/>
        </w:rPr>
      </w:pPr>
    </w:p>
    <w:p w14:paraId="21509B3D" w14:textId="1AF21013" w:rsidR="00E7693B" w:rsidRPr="00E7693B" w:rsidRDefault="00E7693B" w:rsidP="00EC70C2">
      <w:pPr>
        <w:pStyle w:val="Heading4"/>
      </w:pPr>
      <w:bookmarkStart w:id="54" w:name="_Toc167977625"/>
      <w:proofErr w:type="spellStart"/>
      <w:r w:rsidRPr="00E7693B">
        <w:rPr>
          <w:i/>
        </w:rPr>
        <w:t>Plutella</w:t>
      </w:r>
      <w:proofErr w:type="spellEnd"/>
      <w:r w:rsidRPr="00E7693B">
        <w:rPr>
          <w:i/>
        </w:rPr>
        <w:t xml:space="preserve"> </w:t>
      </w:r>
      <w:proofErr w:type="spellStart"/>
      <w:r w:rsidRPr="00E7693B">
        <w:rPr>
          <w:i/>
        </w:rPr>
        <w:t>xylostella</w:t>
      </w:r>
      <w:proofErr w:type="spellEnd"/>
      <w:r w:rsidRPr="00E7693B">
        <w:rPr>
          <w:i/>
        </w:rPr>
        <w:t xml:space="preserve"> </w:t>
      </w:r>
      <w:r w:rsidRPr="00E7693B">
        <w:t xml:space="preserve">caterpillars and </w:t>
      </w:r>
      <w:proofErr w:type="spellStart"/>
      <w:r w:rsidRPr="00E7693B">
        <w:rPr>
          <w:i/>
        </w:rPr>
        <w:t>Brevicoryne</w:t>
      </w:r>
      <w:proofErr w:type="spellEnd"/>
      <w:r w:rsidRPr="00E7693B">
        <w:rPr>
          <w:i/>
        </w:rPr>
        <w:t xml:space="preserve"> </w:t>
      </w:r>
      <w:proofErr w:type="spellStart"/>
      <w:r w:rsidRPr="00E7693B">
        <w:rPr>
          <w:i/>
        </w:rPr>
        <w:t>brassicae</w:t>
      </w:r>
      <w:proofErr w:type="spellEnd"/>
      <w:r w:rsidRPr="00E7693B">
        <w:rPr>
          <w:i/>
        </w:rPr>
        <w:t xml:space="preserve"> </w:t>
      </w:r>
      <w:r w:rsidRPr="00E7693B">
        <w:t>aphids prefer true leaves to cotyledons of oilseed rape</w:t>
      </w:r>
      <w:bookmarkEnd w:id="54"/>
      <w:r w:rsidRPr="00E7693B">
        <w:rPr>
          <w:i/>
        </w:rPr>
        <w:t xml:space="preserve"> </w:t>
      </w:r>
    </w:p>
    <w:p w14:paraId="21509B3E" w14:textId="77777777" w:rsidR="00E7693B" w:rsidRPr="00684A4C" w:rsidRDefault="00E7693B" w:rsidP="00684A4C">
      <w:pPr>
        <w:spacing w:after="0" w:line="360" w:lineRule="auto"/>
        <w:rPr>
          <w:rFonts w:ascii="Times New Roman" w:hAnsi="Times New Roman" w:cs="Times New Roman"/>
          <w:sz w:val="24"/>
          <w:szCs w:val="24"/>
        </w:rPr>
      </w:pPr>
    </w:p>
    <w:p w14:paraId="21509B3F" w14:textId="77777777" w:rsidR="00E7693B" w:rsidRPr="00684A4C" w:rsidRDefault="00E7693B" w:rsidP="00684A4C">
      <w:pPr>
        <w:spacing w:after="240" w:line="360" w:lineRule="auto"/>
        <w:ind w:firstLine="576"/>
        <w:jc w:val="both"/>
        <w:rPr>
          <w:rFonts w:ascii="Times New Roman" w:hAnsi="Times New Roman" w:cs="Times New Roman"/>
          <w:sz w:val="24"/>
          <w:szCs w:val="24"/>
        </w:rPr>
      </w:pPr>
      <w:r w:rsidRPr="00684A4C">
        <w:rPr>
          <w:rFonts w:ascii="Times New Roman" w:hAnsi="Times New Roman" w:cs="Times New Roman"/>
          <w:sz w:val="24"/>
          <w:szCs w:val="24"/>
        </w:rPr>
        <w:t xml:space="preserve">A clear preference of </w:t>
      </w:r>
      <w:r w:rsidRPr="00684A4C">
        <w:rPr>
          <w:rFonts w:ascii="Times New Roman" w:hAnsi="Times New Roman" w:cs="Times New Roman"/>
          <w:i/>
          <w:sz w:val="24"/>
          <w:szCs w:val="24"/>
        </w:rPr>
        <w:t xml:space="preserve">P. </w:t>
      </w:r>
      <w:proofErr w:type="spellStart"/>
      <w:r w:rsidRPr="00684A4C">
        <w:rPr>
          <w:rFonts w:ascii="Times New Roman" w:hAnsi="Times New Roman" w:cs="Times New Roman"/>
          <w:i/>
          <w:sz w:val="24"/>
          <w:szCs w:val="24"/>
        </w:rPr>
        <w:t>xylostella</w:t>
      </w:r>
      <w:proofErr w:type="spellEnd"/>
      <w:r w:rsidRPr="00684A4C">
        <w:rPr>
          <w:rFonts w:ascii="Times New Roman" w:hAnsi="Times New Roman" w:cs="Times New Roman"/>
          <w:i/>
          <w:sz w:val="24"/>
          <w:szCs w:val="24"/>
        </w:rPr>
        <w:t xml:space="preserve"> </w:t>
      </w:r>
      <w:r w:rsidRPr="00684A4C">
        <w:rPr>
          <w:rFonts w:ascii="Times New Roman" w:hAnsi="Times New Roman" w:cs="Times New Roman"/>
          <w:sz w:val="24"/>
          <w:szCs w:val="24"/>
        </w:rPr>
        <w:t>caterpillars for true leaves was observed (Fig. 13): significantly (F</w:t>
      </w:r>
      <w:r w:rsidRPr="00684A4C">
        <w:rPr>
          <w:rFonts w:ascii="Times New Roman" w:hAnsi="Times New Roman" w:cs="Times New Roman"/>
          <w:sz w:val="24"/>
          <w:szCs w:val="24"/>
          <w:vertAlign w:val="subscript"/>
        </w:rPr>
        <w:t>1,72</w:t>
      </w:r>
      <w:r w:rsidRPr="00684A4C">
        <w:rPr>
          <w:rFonts w:ascii="Times New Roman" w:hAnsi="Times New Roman" w:cs="Times New Roman"/>
          <w:sz w:val="24"/>
          <w:szCs w:val="24"/>
        </w:rPr>
        <w:t xml:space="preserve"> = 55.56, P &lt; 0.001) larger leaf area was consumed from true leaves of oilseed rape than cotyledons. From all the cotyledons used in experiments, 54 % remained untouched after 48 h of herbivory. From these tests, true leaves were selected to examine the response of caterpillars in further experiments.</w:t>
      </w:r>
    </w:p>
    <w:p w14:paraId="21509B40" w14:textId="77777777" w:rsidR="00E7693B" w:rsidRPr="00E7693B" w:rsidRDefault="00E7693B">
      <w:pPr>
        <w:pBdr>
          <w:top w:val="nil"/>
          <w:left w:val="nil"/>
          <w:bottom w:val="nil"/>
          <w:right w:val="nil"/>
          <w:between w:val="nil"/>
        </w:pBdr>
        <w:spacing w:line="360" w:lineRule="auto"/>
        <w:jc w:val="center"/>
        <w:rPr>
          <w:rFonts w:ascii="Times New Roman" w:hAnsi="Times New Roman" w:cs="Times New Roman"/>
          <w:color w:val="000000"/>
        </w:rPr>
      </w:pPr>
      <w:r w:rsidRPr="00E7693B">
        <w:rPr>
          <w:rFonts w:ascii="Times New Roman" w:hAnsi="Times New Roman" w:cs="Times New Roman"/>
          <w:noProof/>
          <w:color w:val="000000"/>
          <w:lang w:val="en-US"/>
        </w:rPr>
        <w:drawing>
          <wp:inline distT="0" distB="0" distL="0" distR="0" wp14:anchorId="2150A588" wp14:editId="2150A589">
            <wp:extent cx="5768169" cy="3161098"/>
            <wp:effectExtent l="0" t="0" r="0" b="0"/>
            <wp:docPr id="3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0"/>
                    <a:srcRect/>
                    <a:stretch>
                      <a:fillRect/>
                    </a:stretch>
                  </pic:blipFill>
                  <pic:spPr>
                    <a:xfrm>
                      <a:off x="0" y="0"/>
                      <a:ext cx="5768169" cy="3161098"/>
                    </a:xfrm>
                    <a:prstGeom prst="rect">
                      <a:avLst/>
                    </a:prstGeom>
                    <a:ln/>
                  </pic:spPr>
                </pic:pic>
              </a:graphicData>
            </a:graphic>
          </wp:inline>
        </w:drawing>
      </w:r>
    </w:p>
    <w:p w14:paraId="21509B41" w14:textId="4E4B74B5"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rPr>
        <w:t>Figure 13</w:t>
      </w:r>
      <w:r w:rsidRPr="00E7693B">
        <w:rPr>
          <w:rFonts w:ascii="Times New Roman" w:hAnsi="Times New Roman" w:cs="Times New Roman"/>
        </w:rPr>
        <w:t xml:space="preserve">. Feeding preference of </w:t>
      </w:r>
      <w:proofErr w:type="spellStart"/>
      <w:r w:rsidRPr="00E7693B">
        <w:rPr>
          <w:rFonts w:ascii="Times New Roman" w:hAnsi="Times New Roman" w:cs="Times New Roman"/>
          <w:i/>
        </w:rPr>
        <w:t>Plutella</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xylostella</w:t>
      </w:r>
      <w:proofErr w:type="spellEnd"/>
      <w:r w:rsidRPr="00E7693B">
        <w:rPr>
          <w:rFonts w:ascii="Times New Roman" w:hAnsi="Times New Roman" w:cs="Times New Roman"/>
          <w:i/>
        </w:rPr>
        <w:t xml:space="preserve"> </w:t>
      </w:r>
      <w:r w:rsidRPr="00E7693B">
        <w:rPr>
          <w:rFonts w:ascii="Times New Roman" w:hAnsi="Times New Roman" w:cs="Times New Roman"/>
        </w:rPr>
        <w:t>caterpillars</w:t>
      </w:r>
      <w:r w:rsidRPr="00E7693B">
        <w:rPr>
          <w:rFonts w:ascii="Times New Roman" w:hAnsi="Times New Roman" w:cs="Times New Roman"/>
          <w:i/>
        </w:rPr>
        <w:t xml:space="preserve"> </w:t>
      </w:r>
      <w:r w:rsidRPr="00E7693B">
        <w:rPr>
          <w:rFonts w:ascii="Times New Roman" w:hAnsi="Times New Roman" w:cs="Times New Roman"/>
        </w:rPr>
        <w:t xml:space="preserve">to detached cotyledons and true leaves of oilseed rape. </w:t>
      </w:r>
      <w:r w:rsidRPr="006B61C5">
        <w:rPr>
          <w:rFonts w:ascii="Times New Roman" w:hAnsi="Times New Roman" w:cs="Times New Roman"/>
          <w:b/>
          <w:bCs/>
        </w:rPr>
        <w:t>A:</w:t>
      </w:r>
      <w:r w:rsidRPr="00E7693B">
        <w:rPr>
          <w:rFonts w:ascii="Times New Roman" w:hAnsi="Times New Roman" w:cs="Times New Roman"/>
        </w:rPr>
        <w:t xml:space="preserve"> consumed leaf area (in pixels) caused by third-instar caterpillars after 48 h of feeding. Boxplot represents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asterisk</w:t>
      </w:r>
      <w:r w:rsidR="008E4967">
        <w:rPr>
          <w:rFonts w:ascii="Times New Roman" w:hAnsi="Times New Roman" w:cs="Times New Roman"/>
        </w:rPr>
        <w:t xml:space="preserve"> a</w:t>
      </w:r>
      <w:r w:rsidRPr="00E7693B">
        <w:rPr>
          <w:rFonts w:ascii="Times New Roman" w:hAnsi="Times New Roman" w:cs="Times New Roman"/>
        </w:rPr>
        <w:t xml:space="preserve"> significant difference (P &lt; 0.001); </w:t>
      </w:r>
      <w:r w:rsidRPr="006B61C5">
        <w:rPr>
          <w:rFonts w:ascii="Times New Roman" w:hAnsi="Times New Roman" w:cs="Times New Roman"/>
          <w:b/>
          <w:bCs/>
        </w:rPr>
        <w:t>B:</w:t>
      </w:r>
      <w:r w:rsidRPr="00E7693B">
        <w:rPr>
          <w:rFonts w:ascii="Times New Roman" w:hAnsi="Times New Roman" w:cs="Times New Roman"/>
        </w:rPr>
        <w:t xml:space="preserve"> </w:t>
      </w:r>
      <w:r w:rsidRPr="00E7693B">
        <w:rPr>
          <w:rFonts w:ascii="Times New Roman" w:hAnsi="Times New Roman" w:cs="Times New Roman"/>
          <w:color w:val="000000"/>
        </w:rPr>
        <w:t xml:space="preserve">vial system developed for performing larval feeding choice experiments with one cotyledon </w:t>
      </w:r>
      <w:r w:rsidRPr="00E7693B">
        <w:rPr>
          <w:rFonts w:ascii="Times New Roman" w:hAnsi="Times New Roman" w:cs="Times New Roman"/>
          <w:color w:val="000000"/>
        </w:rPr>
        <w:lastRenderedPageBreak/>
        <w:t xml:space="preserve">inside the left vial and one true leaf inside the right vial. Three caterpillars were placed in the T-tube and were given a choice to feed on two types of leaves; </w:t>
      </w:r>
      <w:r w:rsidRPr="006B61C5">
        <w:rPr>
          <w:rFonts w:ascii="Times New Roman" w:hAnsi="Times New Roman" w:cs="Times New Roman"/>
          <w:b/>
          <w:bCs/>
          <w:color w:val="000000"/>
        </w:rPr>
        <w:t>C:</w:t>
      </w:r>
      <w:r w:rsidRPr="00E7693B">
        <w:rPr>
          <w:rFonts w:ascii="Times New Roman" w:hAnsi="Times New Roman" w:cs="Times New Roman"/>
          <w:color w:val="000000"/>
        </w:rPr>
        <w:t xml:space="preserve"> scanned leaves after 48 h of caterpillar feeding.</w:t>
      </w:r>
    </w:p>
    <w:p w14:paraId="21509B42" w14:textId="77777777" w:rsidR="00E7693B" w:rsidRPr="00CF0A23" w:rsidRDefault="00E7693B">
      <w:pPr>
        <w:pBdr>
          <w:top w:val="nil"/>
          <w:left w:val="nil"/>
          <w:bottom w:val="nil"/>
          <w:right w:val="nil"/>
          <w:between w:val="nil"/>
        </w:pBdr>
        <w:spacing w:after="240"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A significant (</w:t>
      </w:r>
      <w:proofErr w:type="spellStart"/>
      <w:r w:rsidRPr="00CF0A23">
        <w:rPr>
          <w:rFonts w:ascii="Times New Roman" w:hAnsi="Times New Roman" w:cs="Times New Roman"/>
          <w:sz w:val="24"/>
          <w:szCs w:val="24"/>
        </w:rPr>
        <w:t>Chisq</w:t>
      </w:r>
      <w:proofErr w:type="spellEnd"/>
      <w:r w:rsidRPr="00CF0A23">
        <w:rPr>
          <w:rFonts w:ascii="Times New Roman" w:hAnsi="Times New Roman" w:cs="Times New Roman"/>
          <w:sz w:val="24"/>
          <w:szCs w:val="24"/>
        </w:rPr>
        <w:t xml:space="preserve"> = 386.08, </w:t>
      </w:r>
      <w:proofErr w:type="spellStart"/>
      <w:r w:rsidRPr="00CF0A23">
        <w:rPr>
          <w:rFonts w:ascii="Times New Roman" w:hAnsi="Times New Roman" w:cs="Times New Roman"/>
          <w:sz w:val="24"/>
          <w:szCs w:val="24"/>
        </w:rPr>
        <w:t>df</w:t>
      </w:r>
      <w:proofErr w:type="spellEnd"/>
      <w:r w:rsidRPr="00CF0A23">
        <w:rPr>
          <w:rFonts w:ascii="Times New Roman" w:hAnsi="Times New Roman" w:cs="Times New Roman"/>
          <w:sz w:val="24"/>
          <w:szCs w:val="24"/>
        </w:rPr>
        <w:t xml:space="preserve"> = 1, P &lt; 0.001) preference of aphids for true leaves was observed at both time points (Fig. 14). True leaves were therefore used in subsequent experiments with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-inoculated leaves.</w:t>
      </w:r>
    </w:p>
    <w:p w14:paraId="21509B43" w14:textId="77777777" w:rsidR="00E7693B" w:rsidRPr="00E7693B" w:rsidRDefault="00E7693B">
      <w:pPr>
        <w:pBdr>
          <w:top w:val="nil"/>
          <w:left w:val="nil"/>
          <w:bottom w:val="nil"/>
          <w:right w:val="nil"/>
          <w:between w:val="nil"/>
        </w:pBdr>
        <w:spacing w:line="360" w:lineRule="auto"/>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8A" wp14:editId="2150A58B">
            <wp:extent cx="4804492" cy="2886085"/>
            <wp:effectExtent l="0" t="0" r="0" b="0"/>
            <wp:docPr id="4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1"/>
                    <a:srcRect/>
                    <a:stretch>
                      <a:fillRect/>
                    </a:stretch>
                  </pic:blipFill>
                  <pic:spPr>
                    <a:xfrm>
                      <a:off x="0" y="0"/>
                      <a:ext cx="4804492" cy="2886085"/>
                    </a:xfrm>
                    <a:prstGeom prst="rect">
                      <a:avLst/>
                    </a:prstGeom>
                    <a:ln/>
                  </pic:spPr>
                </pic:pic>
              </a:graphicData>
            </a:graphic>
          </wp:inline>
        </w:drawing>
      </w:r>
    </w:p>
    <w:p w14:paraId="21509B44" w14:textId="77777777"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rPr>
        <w:t>Figure 14</w:t>
      </w:r>
      <w:r w:rsidRPr="00E7693B">
        <w:rPr>
          <w:rFonts w:ascii="Times New Roman" w:hAnsi="Times New Roman" w:cs="Times New Roman"/>
        </w:rPr>
        <w:t xml:space="preserve">. Feeding preference of </w:t>
      </w:r>
      <w:proofErr w:type="spellStart"/>
      <w:r w:rsidRPr="00E7693B">
        <w:rPr>
          <w:rFonts w:ascii="Times New Roman" w:hAnsi="Times New Roman" w:cs="Times New Roman"/>
          <w:i/>
        </w:rPr>
        <w:t>Brevicoryne</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brassice</w:t>
      </w:r>
      <w:proofErr w:type="spellEnd"/>
      <w:r w:rsidRPr="00E7693B">
        <w:rPr>
          <w:rFonts w:ascii="Times New Roman" w:hAnsi="Times New Roman" w:cs="Times New Roman"/>
          <w:i/>
        </w:rPr>
        <w:t xml:space="preserve"> </w:t>
      </w:r>
      <w:r w:rsidRPr="00E7693B">
        <w:rPr>
          <w:rFonts w:ascii="Times New Roman" w:hAnsi="Times New Roman" w:cs="Times New Roman"/>
        </w:rPr>
        <w:t>aphids</w:t>
      </w:r>
      <w:r w:rsidRPr="00E7693B">
        <w:rPr>
          <w:rFonts w:ascii="Times New Roman" w:hAnsi="Times New Roman" w:cs="Times New Roman"/>
          <w:i/>
        </w:rPr>
        <w:t xml:space="preserve"> </w:t>
      </w:r>
      <w:r w:rsidRPr="00E7693B">
        <w:rPr>
          <w:rFonts w:ascii="Times New Roman" w:hAnsi="Times New Roman" w:cs="Times New Roman"/>
        </w:rPr>
        <w:t xml:space="preserve">to cotyledon and true leaf discs of oilseed rape. </w:t>
      </w:r>
      <w:r w:rsidRPr="006B61C5">
        <w:rPr>
          <w:rFonts w:ascii="Times New Roman" w:hAnsi="Times New Roman" w:cs="Times New Roman"/>
          <w:b/>
          <w:bCs/>
        </w:rPr>
        <w:t>A:</w:t>
      </w:r>
      <w:r w:rsidRPr="00E7693B">
        <w:rPr>
          <w:rFonts w:ascii="Times New Roman" w:hAnsi="Times New Roman" w:cs="Times New Roman"/>
        </w:rPr>
        <w:t xml:space="preserve"> count of number of individuals (wingless adults and nymphs) 1 and 2 days post aphid infestation. Boxplot represents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asterisks significant differences (P &lt; 0.001); </w:t>
      </w:r>
      <w:r w:rsidRPr="006B61C5">
        <w:rPr>
          <w:rFonts w:ascii="Times New Roman" w:hAnsi="Times New Roman" w:cs="Times New Roman"/>
          <w:b/>
          <w:bCs/>
        </w:rPr>
        <w:t>B:</w:t>
      </w:r>
      <w:r w:rsidRPr="00E7693B">
        <w:rPr>
          <w:rFonts w:ascii="Times New Roman" w:hAnsi="Times New Roman" w:cs="Times New Roman"/>
        </w:rPr>
        <w:t xml:space="preserve"> choice test method in a </w:t>
      </w:r>
      <w:r w:rsidRPr="00E7693B">
        <w:rPr>
          <w:rFonts w:ascii="Times New Roman" w:hAnsi="Times New Roman" w:cs="Times New Roman"/>
          <w:color w:val="000000"/>
        </w:rPr>
        <w:t>Petri dish.</w:t>
      </w:r>
    </w:p>
    <w:p w14:paraId="21509B45" w14:textId="1B107FD5" w:rsidR="00E7693B" w:rsidRPr="00CF0A23" w:rsidRDefault="00E7693B">
      <w:pPr>
        <w:spacing w:after="240" w:line="360" w:lineRule="auto"/>
        <w:ind w:firstLine="720"/>
        <w:jc w:val="both"/>
        <w:rPr>
          <w:rFonts w:ascii="Times New Roman" w:hAnsi="Times New Roman" w:cs="Times New Roman"/>
          <w:sz w:val="24"/>
          <w:szCs w:val="24"/>
        </w:rPr>
      </w:pPr>
      <w:r w:rsidRPr="00925294">
        <w:rPr>
          <w:rFonts w:ascii="Times New Roman" w:hAnsi="Times New Roman" w:cs="Times New Roman"/>
          <w:sz w:val="24"/>
          <w:szCs w:val="24"/>
        </w:rPr>
        <w:t xml:space="preserve">A significantly higher total </w:t>
      </w:r>
      <w:r w:rsidR="00925294" w:rsidRPr="00925294">
        <w:rPr>
          <w:rFonts w:ascii="Times New Roman" w:hAnsi="Times New Roman" w:cs="Times New Roman"/>
          <w:sz w:val="24"/>
          <w:szCs w:val="24"/>
        </w:rPr>
        <w:t xml:space="preserve">content of </w:t>
      </w:r>
      <w:r w:rsidRPr="00925294">
        <w:rPr>
          <w:rFonts w:ascii="Times New Roman" w:hAnsi="Times New Roman" w:cs="Times New Roman"/>
          <w:sz w:val="24"/>
          <w:szCs w:val="24"/>
        </w:rPr>
        <w:t>aliphatic GLS</w:t>
      </w:r>
      <w:r w:rsidR="00925294" w:rsidRPr="00925294">
        <w:rPr>
          <w:rFonts w:ascii="Times New Roman" w:hAnsi="Times New Roman" w:cs="Times New Roman"/>
          <w:sz w:val="24"/>
          <w:szCs w:val="24"/>
        </w:rPr>
        <w:t xml:space="preserve">, specifically </w:t>
      </w:r>
      <w:proofErr w:type="spellStart"/>
      <w:r w:rsidR="00925294" w:rsidRPr="00925294">
        <w:rPr>
          <w:rFonts w:ascii="Times New Roman" w:hAnsi="Times New Roman" w:cs="Times New Roman"/>
          <w:sz w:val="24"/>
          <w:szCs w:val="24"/>
        </w:rPr>
        <w:t>glucoalyssin</w:t>
      </w:r>
      <w:proofErr w:type="spellEnd"/>
      <w:r w:rsidR="00925294" w:rsidRPr="00925294">
        <w:rPr>
          <w:rFonts w:ascii="Times New Roman" w:hAnsi="Times New Roman" w:cs="Times New Roman"/>
          <w:sz w:val="24"/>
          <w:szCs w:val="24"/>
        </w:rPr>
        <w:t xml:space="preserve"> and </w:t>
      </w:r>
      <w:proofErr w:type="spellStart"/>
      <w:r w:rsidR="00925294" w:rsidRPr="00925294">
        <w:rPr>
          <w:rFonts w:ascii="Times New Roman" w:hAnsi="Times New Roman" w:cs="Times New Roman"/>
          <w:sz w:val="24"/>
          <w:szCs w:val="24"/>
        </w:rPr>
        <w:t>glucoibarin</w:t>
      </w:r>
      <w:proofErr w:type="spellEnd"/>
      <w:r w:rsidR="00925294" w:rsidRPr="006B61C5">
        <w:rPr>
          <w:rStyle w:val="CommentReference"/>
          <w:rFonts w:ascii="Times New Roman" w:hAnsi="Times New Roman" w:cs="Times New Roman"/>
          <w:sz w:val="24"/>
          <w:szCs w:val="24"/>
        </w:rPr>
        <w:t>,</w:t>
      </w:r>
      <w:r w:rsidR="00925294">
        <w:rPr>
          <w:rStyle w:val="CommentReference"/>
        </w:rPr>
        <w:t xml:space="preserve"> </w:t>
      </w:r>
      <w:r w:rsidRPr="00CF0A23">
        <w:rPr>
          <w:rFonts w:ascii="Times New Roman" w:hAnsi="Times New Roman" w:cs="Times New Roman"/>
          <w:sz w:val="24"/>
          <w:szCs w:val="24"/>
        </w:rPr>
        <w:t xml:space="preserve">was detected in the true leaves of oilseed rape compared to </w:t>
      </w:r>
      <w:r w:rsidR="00925294">
        <w:rPr>
          <w:rFonts w:ascii="Times New Roman" w:hAnsi="Times New Roman" w:cs="Times New Roman"/>
          <w:sz w:val="24"/>
          <w:szCs w:val="24"/>
        </w:rPr>
        <w:t xml:space="preserve">the </w:t>
      </w:r>
      <w:r w:rsidRPr="00CF0A23">
        <w:rPr>
          <w:rFonts w:ascii="Times New Roman" w:hAnsi="Times New Roman" w:cs="Times New Roman"/>
          <w:sz w:val="24"/>
          <w:szCs w:val="24"/>
        </w:rPr>
        <w:t>cotyledons</w:t>
      </w:r>
      <w:r w:rsidR="00925294">
        <w:rPr>
          <w:rFonts w:ascii="Times New Roman" w:hAnsi="Times New Roman" w:cs="Times New Roman"/>
          <w:sz w:val="24"/>
          <w:szCs w:val="24"/>
        </w:rPr>
        <w:t xml:space="preserve"> </w:t>
      </w:r>
      <w:r w:rsidRPr="00CF0A23">
        <w:rPr>
          <w:rFonts w:ascii="Times New Roman" w:hAnsi="Times New Roman" w:cs="Times New Roman"/>
          <w:sz w:val="24"/>
          <w:szCs w:val="24"/>
        </w:rPr>
        <w:t>(Fig. 15). One indole GLS, 4-methoxyglucobrassicin was also significantly higher in true leaves compared to cotyledons (Fig. 15).</w:t>
      </w:r>
    </w:p>
    <w:p w14:paraId="21509B46" w14:textId="77777777" w:rsidR="00E7693B" w:rsidRPr="00E7693B" w:rsidRDefault="00E7693B">
      <w:pPr>
        <w:pBdr>
          <w:top w:val="nil"/>
          <w:left w:val="nil"/>
          <w:bottom w:val="nil"/>
          <w:right w:val="nil"/>
          <w:between w:val="nil"/>
        </w:pBdr>
        <w:spacing w:line="360" w:lineRule="auto"/>
        <w:jc w:val="center"/>
        <w:rPr>
          <w:rFonts w:ascii="Times New Roman" w:hAnsi="Times New Roman" w:cs="Times New Roman"/>
        </w:rPr>
      </w:pPr>
      <w:bookmarkStart w:id="55" w:name="_heading=h.111kx3o" w:colFirst="0" w:colLast="0"/>
      <w:bookmarkEnd w:id="55"/>
      <w:r w:rsidRPr="00E7693B">
        <w:rPr>
          <w:rFonts w:ascii="Times New Roman" w:hAnsi="Times New Roman" w:cs="Times New Roman"/>
          <w:noProof/>
          <w:lang w:val="en-US"/>
        </w:rPr>
        <w:lastRenderedPageBreak/>
        <w:drawing>
          <wp:inline distT="0" distB="0" distL="0" distR="0" wp14:anchorId="2150A58C" wp14:editId="2150A58D">
            <wp:extent cx="5088835" cy="4537710"/>
            <wp:effectExtent l="0" t="0" r="0" b="0"/>
            <wp:docPr id="4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2"/>
                    <a:srcRect r="11652"/>
                    <a:stretch>
                      <a:fillRect/>
                    </a:stretch>
                  </pic:blipFill>
                  <pic:spPr>
                    <a:xfrm>
                      <a:off x="0" y="0"/>
                      <a:ext cx="5088835" cy="4537710"/>
                    </a:xfrm>
                    <a:prstGeom prst="rect">
                      <a:avLst/>
                    </a:prstGeom>
                    <a:ln/>
                  </pic:spPr>
                </pic:pic>
              </a:graphicData>
            </a:graphic>
          </wp:inline>
        </w:drawing>
      </w:r>
    </w:p>
    <w:p w14:paraId="21509B47" w14:textId="77777777" w:rsidR="00E7693B" w:rsidRPr="00E7693B" w:rsidRDefault="00E7693B">
      <w:pPr>
        <w:spacing w:before="240" w:line="360" w:lineRule="auto"/>
        <w:jc w:val="both"/>
        <w:rPr>
          <w:rFonts w:ascii="Times New Roman" w:hAnsi="Times New Roman" w:cs="Times New Roman"/>
        </w:rPr>
      </w:pPr>
      <w:r w:rsidRPr="00E7693B">
        <w:rPr>
          <w:rFonts w:ascii="Times New Roman" w:hAnsi="Times New Roman" w:cs="Times New Roman"/>
          <w:b/>
        </w:rPr>
        <w:t xml:space="preserve">Figure 15. </w:t>
      </w:r>
      <w:r w:rsidRPr="00E7693B">
        <w:rPr>
          <w:rFonts w:ascii="Times New Roman" w:hAnsi="Times New Roman" w:cs="Times New Roman"/>
        </w:rPr>
        <w:t xml:space="preserve">Glucosinolate (GLS) content in cotyledons and true leaves of oilseed rape. Boxplots show mean (´x´), median, 25th and 75th percentiles, and lowercase letters significant differences (P &lt; 0.05) between the leaf type; ns = not significant. </w:t>
      </w:r>
      <w:r w:rsidRPr="00E7693B">
        <w:rPr>
          <w:rFonts w:ascii="Times New Roman" w:hAnsi="Times New Roman" w:cs="Times New Roman"/>
          <w:u w:val="single"/>
        </w:rPr>
        <w:t>Aliphatic compounds</w:t>
      </w:r>
      <w:r w:rsidRPr="00E7693B">
        <w:rPr>
          <w:rFonts w:ascii="Times New Roman" w:hAnsi="Times New Roman" w:cs="Times New Roman"/>
        </w:rPr>
        <w:t xml:space="preserve">: </w:t>
      </w:r>
      <w:proofErr w:type="spellStart"/>
      <w:r w:rsidRPr="00E7693B">
        <w:rPr>
          <w:rFonts w:ascii="Times New Roman" w:hAnsi="Times New Roman" w:cs="Times New Roman"/>
        </w:rPr>
        <w:t>glucoiberin</w:t>
      </w:r>
      <w:proofErr w:type="spellEnd"/>
      <w:r w:rsidRPr="00E7693B">
        <w:rPr>
          <w:rFonts w:ascii="Times New Roman" w:hAnsi="Times New Roman" w:cs="Times New Roman"/>
        </w:rPr>
        <w:t xml:space="preserve">, gluconapin, </w:t>
      </w:r>
      <w:proofErr w:type="spellStart"/>
      <w:r w:rsidRPr="00E7693B">
        <w:rPr>
          <w:rFonts w:ascii="Times New Roman" w:hAnsi="Times New Roman" w:cs="Times New Roman"/>
        </w:rPr>
        <w:t>glucoalyssin</w:t>
      </w:r>
      <w:proofErr w:type="spellEnd"/>
      <w:r w:rsidRPr="00E7693B">
        <w:rPr>
          <w:rFonts w:ascii="Times New Roman" w:hAnsi="Times New Roman" w:cs="Times New Roman"/>
        </w:rPr>
        <w:t xml:space="preserve">, </w:t>
      </w:r>
      <w:proofErr w:type="spellStart"/>
      <w:r w:rsidRPr="00E7693B">
        <w:rPr>
          <w:rFonts w:ascii="Times New Roman" w:hAnsi="Times New Roman" w:cs="Times New Roman"/>
        </w:rPr>
        <w:t>glucobrassicanapin</w:t>
      </w:r>
      <w:proofErr w:type="spellEnd"/>
      <w:r w:rsidRPr="00E7693B">
        <w:rPr>
          <w:rFonts w:ascii="Times New Roman" w:hAnsi="Times New Roman" w:cs="Times New Roman"/>
        </w:rPr>
        <w:t xml:space="preserve">, </w:t>
      </w:r>
      <w:proofErr w:type="spellStart"/>
      <w:r w:rsidRPr="00E7693B">
        <w:rPr>
          <w:rFonts w:ascii="Times New Roman" w:hAnsi="Times New Roman" w:cs="Times New Roman"/>
        </w:rPr>
        <w:t>glucoibarin</w:t>
      </w:r>
      <w:proofErr w:type="spellEnd"/>
      <w:r w:rsidRPr="00E7693B">
        <w:rPr>
          <w:rFonts w:ascii="Times New Roman" w:hAnsi="Times New Roman" w:cs="Times New Roman"/>
        </w:rPr>
        <w:t xml:space="preserve">; </w:t>
      </w:r>
      <w:r w:rsidRPr="00E7693B">
        <w:rPr>
          <w:rFonts w:ascii="Times New Roman" w:hAnsi="Times New Roman" w:cs="Times New Roman"/>
          <w:u w:val="single"/>
        </w:rPr>
        <w:t>aromatic/benzenic compounds</w:t>
      </w:r>
      <w:r w:rsidRPr="00E7693B">
        <w:rPr>
          <w:rFonts w:ascii="Times New Roman" w:hAnsi="Times New Roman" w:cs="Times New Roman"/>
        </w:rPr>
        <w:t xml:space="preserve">: </w:t>
      </w:r>
      <w:proofErr w:type="spellStart"/>
      <w:r w:rsidRPr="00E7693B">
        <w:rPr>
          <w:rFonts w:ascii="Times New Roman" w:hAnsi="Times New Roman" w:cs="Times New Roman"/>
        </w:rPr>
        <w:t>gluconasturtiin</w:t>
      </w:r>
      <w:proofErr w:type="spellEnd"/>
      <w:r w:rsidRPr="00E7693B">
        <w:rPr>
          <w:rFonts w:ascii="Times New Roman" w:hAnsi="Times New Roman" w:cs="Times New Roman"/>
        </w:rPr>
        <w:t xml:space="preserve">; </w:t>
      </w:r>
      <w:r w:rsidRPr="00E7693B">
        <w:rPr>
          <w:rFonts w:ascii="Times New Roman" w:hAnsi="Times New Roman" w:cs="Times New Roman"/>
          <w:u w:val="single"/>
        </w:rPr>
        <w:t>aromatic/indole compounds</w:t>
      </w:r>
      <w:r w:rsidRPr="00E7693B">
        <w:rPr>
          <w:rFonts w:ascii="Times New Roman" w:hAnsi="Times New Roman" w:cs="Times New Roman"/>
        </w:rPr>
        <w:t xml:space="preserve">: </w:t>
      </w:r>
      <w:proofErr w:type="spellStart"/>
      <w:r w:rsidRPr="00E7693B">
        <w:rPr>
          <w:rFonts w:ascii="Times New Roman" w:hAnsi="Times New Roman" w:cs="Times New Roman"/>
        </w:rPr>
        <w:t>glucobrassicin</w:t>
      </w:r>
      <w:proofErr w:type="spellEnd"/>
      <w:r w:rsidRPr="00E7693B">
        <w:rPr>
          <w:rFonts w:ascii="Times New Roman" w:hAnsi="Times New Roman" w:cs="Times New Roman"/>
        </w:rPr>
        <w:t xml:space="preserve">, 4-methoxyglucobrassicin, </w:t>
      </w:r>
      <w:proofErr w:type="spellStart"/>
      <w:r w:rsidRPr="00E7693B">
        <w:rPr>
          <w:rFonts w:ascii="Times New Roman" w:hAnsi="Times New Roman" w:cs="Times New Roman"/>
        </w:rPr>
        <w:t>neoglucobrassicin</w:t>
      </w:r>
      <w:proofErr w:type="spellEnd"/>
      <w:r w:rsidRPr="00E7693B">
        <w:rPr>
          <w:rFonts w:ascii="Times New Roman" w:hAnsi="Times New Roman" w:cs="Times New Roman"/>
        </w:rPr>
        <w:t>. Statistical outputs are given for each compound and a group of compounds: gluconapin, F</w:t>
      </w:r>
      <w:r w:rsidRPr="00E7693B">
        <w:rPr>
          <w:rFonts w:ascii="Times New Roman" w:hAnsi="Times New Roman" w:cs="Times New Roman"/>
          <w:vertAlign w:val="subscript"/>
        </w:rPr>
        <w:t>1,8</w:t>
      </w:r>
      <w:r w:rsidRPr="00E7693B">
        <w:rPr>
          <w:rFonts w:ascii="Times New Roman" w:hAnsi="Times New Roman" w:cs="Times New Roman"/>
        </w:rPr>
        <w:t xml:space="preserve"> = 3.82, P = 0.155; </w:t>
      </w:r>
      <w:proofErr w:type="spellStart"/>
      <w:r w:rsidRPr="00E7693B">
        <w:rPr>
          <w:rFonts w:ascii="Times New Roman" w:hAnsi="Times New Roman" w:cs="Times New Roman"/>
        </w:rPr>
        <w:t>glucoalyssin</w:t>
      </w:r>
      <w:proofErr w:type="spellEnd"/>
      <w:r w:rsidRPr="00E7693B">
        <w:rPr>
          <w:rFonts w:ascii="Times New Roman" w:hAnsi="Times New Roman" w:cs="Times New Roman"/>
        </w:rPr>
        <w:t>, F</w:t>
      </w:r>
      <w:r w:rsidRPr="00E7693B">
        <w:rPr>
          <w:rFonts w:ascii="Times New Roman" w:hAnsi="Times New Roman" w:cs="Times New Roman"/>
          <w:vertAlign w:val="subscript"/>
        </w:rPr>
        <w:t>1,8</w:t>
      </w:r>
      <w:r w:rsidRPr="00E7693B">
        <w:rPr>
          <w:rFonts w:ascii="Times New Roman" w:hAnsi="Times New Roman" w:cs="Times New Roman"/>
        </w:rPr>
        <w:t xml:space="preserve"> = 12.81, P = 0.016; </w:t>
      </w:r>
      <w:proofErr w:type="spellStart"/>
      <w:r w:rsidRPr="00E7693B">
        <w:rPr>
          <w:rFonts w:ascii="Times New Roman" w:hAnsi="Times New Roman" w:cs="Times New Roman"/>
        </w:rPr>
        <w:t>glucoibarin</w:t>
      </w:r>
      <w:proofErr w:type="spellEnd"/>
      <w:r w:rsidRPr="00E7693B">
        <w:rPr>
          <w:rFonts w:ascii="Times New Roman" w:hAnsi="Times New Roman" w:cs="Times New Roman"/>
        </w:rPr>
        <w:t>; F</w:t>
      </w:r>
      <w:r w:rsidRPr="00E7693B">
        <w:rPr>
          <w:rFonts w:ascii="Times New Roman" w:hAnsi="Times New Roman" w:cs="Times New Roman"/>
          <w:vertAlign w:val="subscript"/>
        </w:rPr>
        <w:t>1,8</w:t>
      </w:r>
      <w:r w:rsidRPr="00E7693B">
        <w:rPr>
          <w:rFonts w:ascii="Times New Roman" w:hAnsi="Times New Roman" w:cs="Times New Roman"/>
        </w:rPr>
        <w:t xml:space="preserve"> = 24.72, P = 0.005; </w:t>
      </w:r>
      <w:proofErr w:type="spellStart"/>
      <w:r w:rsidRPr="00E7693B">
        <w:rPr>
          <w:rFonts w:ascii="Times New Roman" w:hAnsi="Times New Roman" w:cs="Times New Roman"/>
        </w:rPr>
        <w:t>glucobrassicin</w:t>
      </w:r>
      <w:proofErr w:type="spellEnd"/>
      <w:r w:rsidRPr="00E7693B">
        <w:rPr>
          <w:rFonts w:ascii="Times New Roman" w:hAnsi="Times New Roman" w:cs="Times New Roman"/>
        </w:rPr>
        <w:t>, F</w:t>
      </w:r>
      <w:r w:rsidRPr="00E7693B">
        <w:rPr>
          <w:rFonts w:ascii="Times New Roman" w:hAnsi="Times New Roman" w:cs="Times New Roman"/>
          <w:vertAlign w:val="subscript"/>
        </w:rPr>
        <w:t>1,8</w:t>
      </w:r>
      <w:r w:rsidRPr="00E7693B">
        <w:rPr>
          <w:rFonts w:ascii="Times New Roman" w:hAnsi="Times New Roman" w:cs="Times New Roman"/>
        </w:rPr>
        <w:t xml:space="preserve"> = 0.35, P = 0.569; 4-methoxyglucobrassicin, F</w:t>
      </w:r>
      <w:r w:rsidRPr="00E7693B">
        <w:rPr>
          <w:rFonts w:ascii="Times New Roman" w:hAnsi="Times New Roman" w:cs="Times New Roman"/>
          <w:vertAlign w:val="subscript"/>
        </w:rPr>
        <w:t>1,8</w:t>
      </w:r>
      <w:r w:rsidRPr="00E7693B">
        <w:rPr>
          <w:rFonts w:ascii="Times New Roman" w:hAnsi="Times New Roman" w:cs="Times New Roman"/>
        </w:rPr>
        <w:t xml:space="preserve"> = 20.83, P = 0.006; </w:t>
      </w:r>
      <w:proofErr w:type="spellStart"/>
      <w:r w:rsidRPr="00E7693B">
        <w:rPr>
          <w:rFonts w:ascii="Times New Roman" w:hAnsi="Times New Roman" w:cs="Times New Roman"/>
        </w:rPr>
        <w:t>neoglucobrassicin</w:t>
      </w:r>
      <w:proofErr w:type="spellEnd"/>
      <w:r w:rsidRPr="00E7693B">
        <w:rPr>
          <w:rFonts w:ascii="Times New Roman" w:hAnsi="Times New Roman" w:cs="Times New Roman"/>
        </w:rPr>
        <w:t>, F</w:t>
      </w:r>
      <w:r w:rsidRPr="00E7693B">
        <w:rPr>
          <w:rFonts w:ascii="Times New Roman" w:hAnsi="Times New Roman" w:cs="Times New Roman"/>
          <w:vertAlign w:val="subscript"/>
        </w:rPr>
        <w:t>1,8</w:t>
      </w:r>
      <w:r w:rsidRPr="00E7693B">
        <w:rPr>
          <w:rFonts w:ascii="Times New Roman" w:hAnsi="Times New Roman" w:cs="Times New Roman"/>
        </w:rPr>
        <w:t xml:space="preserve"> = 2.07, P = 0.282; total aliphatic glucosinolate (AG), F</w:t>
      </w:r>
      <w:r w:rsidRPr="00E7693B">
        <w:rPr>
          <w:rFonts w:ascii="Times New Roman" w:hAnsi="Times New Roman" w:cs="Times New Roman"/>
          <w:vertAlign w:val="subscript"/>
        </w:rPr>
        <w:t>1,8</w:t>
      </w:r>
      <w:r w:rsidRPr="00E7693B">
        <w:rPr>
          <w:rFonts w:ascii="Times New Roman" w:hAnsi="Times New Roman" w:cs="Times New Roman"/>
        </w:rPr>
        <w:t xml:space="preserve"> = 22.33, P = 0.005; total indole glucosinolate (IG), F</w:t>
      </w:r>
      <w:r w:rsidRPr="00E7693B">
        <w:rPr>
          <w:rFonts w:ascii="Times New Roman" w:hAnsi="Times New Roman" w:cs="Times New Roman"/>
          <w:vertAlign w:val="subscript"/>
        </w:rPr>
        <w:t>1,8</w:t>
      </w:r>
      <w:r w:rsidRPr="00E7693B">
        <w:rPr>
          <w:rFonts w:ascii="Times New Roman" w:hAnsi="Times New Roman" w:cs="Times New Roman"/>
        </w:rPr>
        <w:t xml:space="preserve"> = 1.15, P = 0.353; total GLS, F</w:t>
      </w:r>
      <w:r w:rsidRPr="00E7693B">
        <w:rPr>
          <w:rFonts w:ascii="Times New Roman" w:hAnsi="Times New Roman" w:cs="Times New Roman"/>
          <w:vertAlign w:val="subscript"/>
        </w:rPr>
        <w:t>1,8</w:t>
      </w:r>
      <w:r w:rsidRPr="00E7693B">
        <w:rPr>
          <w:rFonts w:ascii="Times New Roman" w:hAnsi="Times New Roman" w:cs="Times New Roman"/>
        </w:rPr>
        <w:t xml:space="preserve"> = 1.31, P = 0.353.</w:t>
      </w:r>
    </w:p>
    <w:p w14:paraId="21509B48" w14:textId="77777777" w:rsidR="00E7693B" w:rsidRPr="00E7693B" w:rsidRDefault="00E7693B" w:rsidP="00CF0A23">
      <w:pPr>
        <w:pBdr>
          <w:top w:val="nil"/>
          <w:left w:val="nil"/>
          <w:bottom w:val="nil"/>
          <w:right w:val="nil"/>
          <w:between w:val="nil"/>
        </w:pBdr>
        <w:spacing w:after="0" w:line="360" w:lineRule="auto"/>
        <w:jc w:val="both"/>
        <w:rPr>
          <w:rFonts w:ascii="Times New Roman" w:hAnsi="Times New Roman" w:cs="Times New Roman"/>
        </w:rPr>
      </w:pPr>
    </w:p>
    <w:p w14:paraId="21509B49" w14:textId="77777777" w:rsidR="00E7693B" w:rsidRPr="00E7693B" w:rsidRDefault="00E7693B" w:rsidP="00EC70C2">
      <w:pPr>
        <w:pStyle w:val="Heading4"/>
      </w:pPr>
      <w:bookmarkStart w:id="56" w:name="_Toc167977626"/>
      <w:r w:rsidRPr="00E7693B">
        <w:t xml:space="preserve">Inoculation of oilseed rape leaves with </w:t>
      </w:r>
      <w:r w:rsidRPr="00E7693B">
        <w:rPr>
          <w:i/>
        </w:rPr>
        <w:t xml:space="preserve">Leptosphaeria </w:t>
      </w:r>
      <w:proofErr w:type="spellStart"/>
      <w:r w:rsidRPr="00E7693B">
        <w:rPr>
          <w:i/>
        </w:rPr>
        <w:t>maculans</w:t>
      </w:r>
      <w:proofErr w:type="spellEnd"/>
      <w:r w:rsidRPr="00E7693B">
        <w:rPr>
          <w:i/>
        </w:rPr>
        <w:t xml:space="preserve"> </w:t>
      </w:r>
      <w:r w:rsidRPr="00E7693B">
        <w:t xml:space="preserve">changes the preference of </w:t>
      </w:r>
      <w:proofErr w:type="spellStart"/>
      <w:r w:rsidRPr="00E7693B">
        <w:rPr>
          <w:i/>
        </w:rPr>
        <w:t>Plutella</w:t>
      </w:r>
      <w:proofErr w:type="spellEnd"/>
      <w:r w:rsidRPr="00E7693B">
        <w:rPr>
          <w:i/>
        </w:rPr>
        <w:t xml:space="preserve"> </w:t>
      </w:r>
      <w:proofErr w:type="spellStart"/>
      <w:r w:rsidRPr="00E7693B">
        <w:rPr>
          <w:i/>
        </w:rPr>
        <w:t>xylostella</w:t>
      </w:r>
      <w:proofErr w:type="spellEnd"/>
      <w:r w:rsidRPr="00E7693B">
        <w:t xml:space="preserve"> caterpillars during the early stage of fungal infection</w:t>
      </w:r>
      <w:bookmarkEnd w:id="56"/>
    </w:p>
    <w:p w14:paraId="21509B4A" w14:textId="77777777" w:rsidR="00E7693B" w:rsidRPr="00CF0A23" w:rsidRDefault="00E7693B" w:rsidP="008D22D6">
      <w:pPr>
        <w:pBdr>
          <w:top w:val="nil"/>
          <w:left w:val="nil"/>
          <w:bottom w:val="nil"/>
          <w:right w:val="nil"/>
          <w:between w:val="nil"/>
        </w:pBdr>
        <w:spacing w:line="360" w:lineRule="auto"/>
        <w:jc w:val="both"/>
        <w:rPr>
          <w:rFonts w:ascii="Times New Roman" w:hAnsi="Times New Roman" w:cs="Times New Roman"/>
          <w:color w:val="000000"/>
          <w:sz w:val="24"/>
          <w:szCs w:val="24"/>
        </w:rPr>
      </w:pPr>
    </w:p>
    <w:p w14:paraId="21509B4B" w14:textId="0CBB0D83" w:rsidR="00E7693B" w:rsidRPr="00CF0A23" w:rsidRDefault="00E7693B">
      <w:pPr>
        <w:spacing w:after="240" w:line="360" w:lineRule="auto"/>
        <w:ind w:firstLine="576"/>
        <w:jc w:val="both"/>
        <w:rPr>
          <w:rFonts w:ascii="Times New Roman" w:hAnsi="Times New Roman" w:cs="Times New Roman"/>
          <w:sz w:val="24"/>
          <w:szCs w:val="24"/>
        </w:rPr>
      </w:pPr>
      <w:r w:rsidRPr="00C81FBA">
        <w:rPr>
          <w:rFonts w:ascii="Times New Roman" w:hAnsi="Times New Roman" w:cs="Times New Roman"/>
          <w:sz w:val="24"/>
          <w:szCs w:val="24"/>
        </w:rPr>
        <w:lastRenderedPageBreak/>
        <w:t xml:space="preserve">The mean consumption rate </w:t>
      </w:r>
      <w:r w:rsidR="008E4967" w:rsidRPr="00C81FBA">
        <w:rPr>
          <w:rFonts w:ascii="Times New Roman" w:hAnsi="Times New Roman" w:cs="Times New Roman"/>
          <w:sz w:val="24"/>
          <w:szCs w:val="24"/>
        </w:rPr>
        <w:t xml:space="preserve">of </w:t>
      </w:r>
      <w:r w:rsidR="008E4967" w:rsidRPr="00C81FBA">
        <w:rPr>
          <w:rFonts w:ascii="Times New Roman" w:hAnsi="Times New Roman" w:cs="Times New Roman"/>
          <w:i/>
          <w:sz w:val="24"/>
          <w:szCs w:val="24"/>
        </w:rPr>
        <w:t xml:space="preserve">P. </w:t>
      </w:r>
      <w:proofErr w:type="spellStart"/>
      <w:r w:rsidR="008E4967" w:rsidRPr="00C81FBA">
        <w:rPr>
          <w:rFonts w:ascii="Times New Roman" w:hAnsi="Times New Roman" w:cs="Times New Roman"/>
          <w:i/>
          <w:sz w:val="24"/>
          <w:szCs w:val="24"/>
        </w:rPr>
        <w:t>xylostella</w:t>
      </w:r>
      <w:proofErr w:type="spellEnd"/>
      <w:r w:rsidR="008E4967" w:rsidRPr="00C81FBA">
        <w:rPr>
          <w:rFonts w:ascii="Times New Roman" w:hAnsi="Times New Roman" w:cs="Times New Roman"/>
          <w:sz w:val="24"/>
          <w:szCs w:val="24"/>
        </w:rPr>
        <w:t xml:space="preserve"> </w:t>
      </w:r>
      <w:r w:rsidRPr="00C81FBA">
        <w:rPr>
          <w:rFonts w:ascii="Times New Roman" w:hAnsi="Times New Roman" w:cs="Times New Roman"/>
          <w:sz w:val="24"/>
          <w:szCs w:val="24"/>
        </w:rPr>
        <w:t>was significantly</w:t>
      </w:r>
      <w:r w:rsidRPr="00CF0A23">
        <w:rPr>
          <w:rFonts w:ascii="Times New Roman" w:hAnsi="Times New Roman" w:cs="Times New Roman"/>
          <w:sz w:val="24"/>
          <w:szCs w:val="24"/>
        </w:rPr>
        <w:t xml:space="preserve"> influenced by the treatment (F</w:t>
      </w:r>
      <w:r w:rsidRPr="00CF0A23">
        <w:rPr>
          <w:rFonts w:ascii="Times New Roman" w:hAnsi="Times New Roman" w:cs="Times New Roman"/>
          <w:sz w:val="24"/>
          <w:szCs w:val="24"/>
          <w:vertAlign w:val="subscript"/>
        </w:rPr>
        <w:t xml:space="preserve">1,114 </w:t>
      </w:r>
      <w:r w:rsidRPr="00CF0A23">
        <w:rPr>
          <w:rFonts w:ascii="Times New Roman" w:hAnsi="Times New Roman" w:cs="Times New Roman"/>
          <w:sz w:val="24"/>
          <w:szCs w:val="24"/>
        </w:rPr>
        <w:t>= 9.50, P = 0.002), but not by the time (F</w:t>
      </w:r>
      <w:r w:rsidRPr="00CF0A23">
        <w:rPr>
          <w:rFonts w:ascii="Times New Roman" w:hAnsi="Times New Roman" w:cs="Times New Roman"/>
          <w:sz w:val="24"/>
          <w:szCs w:val="24"/>
          <w:vertAlign w:val="subscript"/>
        </w:rPr>
        <w:t xml:space="preserve">1,114 </w:t>
      </w:r>
      <w:r w:rsidRPr="00CF0A23">
        <w:rPr>
          <w:rFonts w:ascii="Times New Roman" w:hAnsi="Times New Roman" w:cs="Times New Roman"/>
          <w:sz w:val="24"/>
          <w:szCs w:val="24"/>
        </w:rPr>
        <w:t>= 0.13, P = 0.721) nor by the interaction between both (F</w:t>
      </w:r>
      <w:r w:rsidRPr="00CF0A23">
        <w:rPr>
          <w:rFonts w:ascii="Times New Roman" w:hAnsi="Times New Roman" w:cs="Times New Roman"/>
          <w:sz w:val="24"/>
          <w:szCs w:val="24"/>
          <w:vertAlign w:val="subscript"/>
        </w:rPr>
        <w:t xml:space="preserve">1,114 </w:t>
      </w:r>
      <w:r w:rsidRPr="00CF0A23">
        <w:rPr>
          <w:rFonts w:ascii="Times New Roman" w:hAnsi="Times New Roman" w:cs="Times New Roman"/>
          <w:sz w:val="24"/>
          <w:szCs w:val="24"/>
        </w:rPr>
        <w:t xml:space="preserve">= 3.62, P = 0.06). Leaves inoculated with the fungal pathogen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were more palatable to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sz w:val="24"/>
          <w:szCs w:val="24"/>
        </w:rPr>
        <w:t xml:space="preserve"> caterpillars in comparison to control leaves 3 days post inoculation (3 dpi), after 48 h of feeding (Fig. 16A). At 3 dpi, and after 48 h of herbivory, the symptoms of fungal infection were not visible (Fig. 16C). In the subsequent stage of infection (7 dpi), caterpillar preference was no longer evident (Fig. 16A). At this stage of disease, symptoms start to be detectable: yellowing of the infected leaf and lesion formation (Fig. 16C).</w:t>
      </w:r>
    </w:p>
    <w:p w14:paraId="21509B4C" w14:textId="77777777" w:rsidR="00E7693B" w:rsidRPr="00E7693B" w:rsidRDefault="00E7693B">
      <w:pPr>
        <w:spacing w:line="360" w:lineRule="auto"/>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8E" wp14:editId="2150A58F">
            <wp:extent cx="5760085" cy="3749040"/>
            <wp:effectExtent l="0" t="0" r="0" b="0"/>
            <wp:docPr id="4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3"/>
                    <a:srcRect/>
                    <a:stretch>
                      <a:fillRect/>
                    </a:stretch>
                  </pic:blipFill>
                  <pic:spPr>
                    <a:xfrm>
                      <a:off x="0" y="0"/>
                      <a:ext cx="5760085" cy="3749040"/>
                    </a:xfrm>
                    <a:prstGeom prst="rect">
                      <a:avLst/>
                    </a:prstGeom>
                    <a:ln/>
                  </pic:spPr>
                </pic:pic>
              </a:graphicData>
            </a:graphic>
          </wp:inline>
        </w:drawing>
      </w:r>
    </w:p>
    <w:p w14:paraId="21509B4D" w14:textId="77777777" w:rsidR="00E7693B" w:rsidRPr="00E7693B" w:rsidRDefault="00E7693B" w:rsidP="00CF0A23">
      <w:pPr>
        <w:spacing w:before="240" w:after="0" w:line="360" w:lineRule="auto"/>
        <w:jc w:val="both"/>
        <w:rPr>
          <w:rFonts w:ascii="Times New Roman" w:hAnsi="Times New Roman" w:cs="Times New Roman"/>
          <w:color w:val="000000"/>
        </w:rPr>
      </w:pPr>
      <w:r w:rsidRPr="00E7693B">
        <w:rPr>
          <w:rFonts w:ascii="Times New Roman" w:hAnsi="Times New Roman" w:cs="Times New Roman"/>
          <w:b/>
        </w:rPr>
        <w:t>Figure 16.</w:t>
      </w:r>
      <w:r w:rsidRPr="00E7693B">
        <w:rPr>
          <w:rFonts w:ascii="Times New Roman" w:hAnsi="Times New Roman" w:cs="Times New Roman"/>
        </w:rPr>
        <w:t xml:space="preserve"> Feeding preference of </w:t>
      </w:r>
      <w:proofErr w:type="spellStart"/>
      <w:r w:rsidRPr="00E7693B">
        <w:rPr>
          <w:rFonts w:ascii="Times New Roman" w:hAnsi="Times New Roman" w:cs="Times New Roman"/>
          <w:i/>
        </w:rPr>
        <w:t>Plutella</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xylostella</w:t>
      </w:r>
      <w:proofErr w:type="spellEnd"/>
      <w:r w:rsidRPr="00E7693B">
        <w:rPr>
          <w:rFonts w:ascii="Times New Roman" w:hAnsi="Times New Roman" w:cs="Times New Roman"/>
        </w:rPr>
        <w:t xml:space="preserve"> caterpillars to control leaves of oilseed rape and leaves inoculated by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3 and 7 days post inoculation (dpi). </w:t>
      </w:r>
      <w:r w:rsidRPr="006B61C5">
        <w:rPr>
          <w:rFonts w:ascii="Times New Roman" w:hAnsi="Times New Roman" w:cs="Times New Roman"/>
          <w:b/>
          <w:bCs/>
        </w:rPr>
        <w:t>A:</w:t>
      </w:r>
      <w:r w:rsidRPr="00E7693B">
        <w:rPr>
          <w:rFonts w:ascii="Times New Roman" w:hAnsi="Times New Roman" w:cs="Times New Roman"/>
        </w:rPr>
        <w:t xml:space="preserve"> consumed leaf area (in %) caused by third-instar caterpillars after 48 h of feeding.</w:t>
      </w:r>
      <w:r w:rsidRPr="00E7693B">
        <w:rPr>
          <w:rFonts w:ascii="Times New Roman" w:hAnsi="Times New Roman" w:cs="Times New Roman"/>
          <w:b/>
        </w:rPr>
        <w:t xml:space="preserve"> </w:t>
      </w:r>
      <w:r w:rsidRPr="00E7693B">
        <w:rPr>
          <w:rFonts w:ascii="Times New Roman" w:hAnsi="Times New Roman" w:cs="Times New Roman"/>
        </w:rPr>
        <w:t>Boxplot shows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asterisks significant differences (P &lt; 0.001) between treatments for a given time point, ns = not significant; </w:t>
      </w:r>
      <w:r w:rsidRPr="006B61C5">
        <w:rPr>
          <w:rFonts w:ascii="Times New Roman" w:hAnsi="Times New Roman" w:cs="Times New Roman"/>
          <w:b/>
          <w:bCs/>
        </w:rPr>
        <w:t>B:</w:t>
      </w:r>
      <w:r w:rsidRPr="00E7693B">
        <w:rPr>
          <w:rFonts w:ascii="Times New Roman" w:hAnsi="Times New Roman" w:cs="Times New Roman"/>
        </w:rPr>
        <w:t xml:space="preserve"> </w:t>
      </w:r>
      <w:r w:rsidRPr="00E7693B">
        <w:rPr>
          <w:rFonts w:ascii="Times New Roman" w:hAnsi="Times New Roman" w:cs="Times New Roman"/>
          <w:color w:val="000000"/>
        </w:rPr>
        <w:t xml:space="preserve">vial system developed for performing larval feeding choice experiments with one non-inoculated leaf inside the left vial and one inoculated leaf inside the right vial. Three caterpillars were placed in the T-tube and were given a choice to feed on both leaves; </w:t>
      </w:r>
      <w:r w:rsidRPr="006B61C5">
        <w:rPr>
          <w:rFonts w:ascii="Times New Roman" w:hAnsi="Times New Roman" w:cs="Times New Roman"/>
          <w:b/>
          <w:bCs/>
          <w:color w:val="000000"/>
        </w:rPr>
        <w:t>C:</w:t>
      </w:r>
      <w:r w:rsidRPr="00E7693B">
        <w:rPr>
          <w:rFonts w:ascii="Times New Roman" w:hAnsi="Times New Roman" w:cs="Times New Roman"/>
          <w:color w:val="000000"/>
        </w:rPr>
        <w:t xml:space="preserve"> scanned leaves after 48 h of caterpillar feeding; dpi = day post inoculation with </w:t>
      </w:r>
      <w:r w:rsidRPr="00E7693B">
        <w:rPr>
          <w:rFonts w:ascii="Times New Roman" w:hAnsi="Times New Roman" w:cs="Times New Roman"/>
          <w:i/>
          <w:color w:val="000000"/>
        </w:rPr>
        <w:t xml:space="preserve">L. </w:t>
      </w:r>
      <w:proofErr w:type="spellStart"/>
      <w:r w:rsidRPr="00E7693B">
        <w:rPr>
          <w:rFonts w:ascii="Times New Roman" w:hAnsi="Times New Roman" w:cs="Times New Roman"/>
          <w:i/>
          <w:color w:val="000000"/>
        </w:rPr>
        <w:t>maculans</w:t>
      </w:r>
      <w:proofErr w:type="spellEnd"/>
      <w:r w:rsidRPr="00E7693B">
        <w:rPr>
          <w:rFonts w:ascii="Times New Roman" w:hAnsi="Times New Roman" w:cs="Times New Roman"/>
          <w:color w:val="000000"/>
        </w:rPr>
        <w:t>.</w:t>
      </w:r>
    </w:p>
    <w:p w14:paraId="21509B4E" w14:textId="77777777" w:rsidR="00E7693B" w:rsidRPr="00E7693B" w:rsidRDefault="00E7693B" w:rsidP="00CF0A23">
      <w:pPr>
        <w:spacing w:after="0" w:line="360" w:lineRule="auto"/>
        <w:jc w:val="both"/>
        <w:rPr>
          <w:rFonts w:ascii="Times New Roman" w:hAnsi="Times New Roman" w:cs="Times New Roman"/>
          <w:color w:val="000000"/>
        </w:rPr>
      </w:pPr>
    </w:p>
    <w:p w14:paraId="21509B4F" w14:textId="77777777" w:rsidR="00E7693B" w:rsidRPr="00E7693B" w:rsidRDefault="00E7693B" w:rsidP="00EC70C2">
      <w:pPr>
        <w:pStyle w:val="Heading4"/>
      </w:pPr>
      <w:bookmarkStart w:id="57" w:name="_Toc167977627"/>
      <w:r w:rsidRPr="00E7693B">
        <w:lastRenderedPageBreak/>
        <w:t xml:space="preserve">Inoculation of oilseed rape leaves with </w:t>
      </w:r>
      <w:r w:rsidRPr="00E7693B">
        <w:rPr>
          <w:i/>
        </w:rPr>
        <w:t xml:space="preserve">Leptosphaeria </w:t>
      </w:r>
      <w:proofErr w:type="spellStart"/>
      <w:r w:rsidRPr="00E7693B">
        <w:rPr>
          <w:i/>
        </w:rPr>
        <w:t>maculans</w:t>
      </w:r>
      <w:proofErr w:type="spellEnd"/>
      <w:r w:rsidRPr="00E7693B">
        <w:rPr>
          <w:i/>
        </w:rPr>
        <w:t xml:space="preserve"> </w:t>
      </w:r>
      <w:r w:rsidRPr="00E7693B">
        <w:t xml:space="preserve">changes the preference of </w:t>
      </w:r>
      <w:proofErr w:type="spellStart"/>
      <w:r w:rsidRPr="00E7693B">
        <w:rPr>
          <w:i/>
        </w:rPr>
        <w:t>Brevicoryne</w:t>
      </w:r>
      <w:proofErr w:type="spellEnd"/>
      <w:r w:rsidRPr="00E7693B">
        <w:rPr>
          <w:i/>
        </w:rPr>
        <w:t xml:space="preserve"> </w:t>
      </w:r>
      <w:proofErr w:type="spellStart"/>
      <w:r w:rsidRPr="00E7693B">
        <w:rPr>
          <w:i/>
        </w:rPr>
        <w:t>brassicae</w:t>
      </w:r>
      <w:proofErr w:type="spellEnd"/>
      <w:r w:rsidRPr="00E7693B">
        <w:t xml:space="preserve"> aphids during the later stage of fungal infection</w:t>
      </w:r>
      <w:bookmarkEnd w:id="57"/>
    </w:p>
    <w:p w14:paraId="21509B50" w14:textId="77777777" w:rsidR="00E7693B" w:rsidRPr="00E7693B" w:rsidRDefault="00E7693B" w:rsidP="008D22D6">
      <w:pPr>
        <w:rPr>
          <w:rFonts w:ascii="Times New Roman" w:hAnsi="Times New Roman" w:cs="Times New Roman"/>
        </w:rPr>
      </w:pPr>
    </w:p>
    <w:p w14:paraId="21509B51" w14:textId="77777777" w:rsidR="00E7693B" w:rsidRPr="00CF0A23" w:rsidRDefault="00E7693B">
      <w:pPr>
        <w:spacing w:after="240" w:line="360" w:lineRule="auto"/>
        <w:ind w:firstLine="576"/>
        <w:jc w:val="both"/>
        <w:rPr>
          <w:rFonts w:ascii="Times New Roman" w:hAnsi="Times New Roman" w:cs="Times New Roman"/>
          <w:sz w:val="24"/>
          <w:szCs w:val="24"/>
        </w:rPr>
      </w:pPr>
      <w:r w:rsidRPr="00CF0A23">
        <w:rPr>
          <w:rFonts w:ascii="Times New Roman" w:hAnsi="Times New Roman" w:cs="Times New Roman"/>
          <w:sz w:val="24"/>
          <w:szCs w:val="24"/>
        </w:rPr>
        <w:t>The aphid preference was significantly influenced by the treatment (</w:t>
      </w:r>
      <w:proofErr w:type="spellStart"/>
      <w:r w:rsidRPr="00CF0A23">
        <w:rPr>
          <w:rFonts w:ascii="Times New Roman" w:hAnsi="Times New Roman" w:cs="Times New Roman"/>
          <w:sz w:val="24"/>
          <w:szCs w:val="24"/>
        </w:rPr>
        <w:t>Chisq</w:t>
      </w:r>
      <w:proofErr w:type="spellEnd"/>
      <w:r w:rsidRPr="00CF0A23">
        <w:rPr>
          <w:rFonts w:ascii="Times New Roman" w:hAnsi="Times New Roman" w:cs="Times New Roman"/>
          <w:sz w:val="24"/>
          <w:szCs w:val="24"/>
          <w:vertAlign w:val="subscript"/>
        </w:rPr>
        <w:t xml:space="preserve"> </w:t>
      </w:r>
      <w:r w:rsidRPr="00CF0A23">
        <w:rPr>
          <w:rFonts w:ascii="Times New Roman" w:hAnsi="Times New Roman" w:cs="Times New Roman"/>
          <w:sz w:val="24"/>
          <w:szCs w:val="24"/>
        </w:rPr>
        <w:t xml:space="preserve">= 20.72, </w:t>
      </w:r>
      <w:proofErr w:type="spellStart"/>
      <w:r w:rsidRPr="00CF0A23">
        <w:rPr>
          <w:rFonts w:ascii="Times New Roman" w:hAnsi="Times New Roman" w:cs="Times New Roman"/>
          <w:sz w:val="24"/>
          <w:szCs w:val="24"/>
        </w:rPr>
        <w:t>df</w:t>
      </w:r>
      <w:proofErr w:type="spellEnd"/>
      <w:r w:rsidRPr="00CF0A23">
        <w:rPr>
          <w:rFonts w:ascii="Times New Roman" w:hAnsi="Times New Roman" w:cs="Times New Roman"/>
          <w:sz w:val="24"/>
          <w:szCs w:val="24"/>
        </w:rPr>
        <w:t xml:space="preserve"> = 1, P &lt; 0.001) and by the interaction between the treatment and time (</w:t>
      </w:r>
      <w:proofErr w:type="spellStart"/>
      <w:r w:rsidRPr="00CF0A23">
        <w:rPr>
          <w:rFonts w:ascii="Times New Roman" w:hAnsi="Times New Roman" w:cs="Times New Roman"/>
          <w:sz w:val="24"/>
          <w:szCs w:val="24"/>
        </w:rPr>
        <w:t>Chisq</w:t>
      </w:r>
      <w:proofErr w:type="spellEnd"/>
      <w:r w:rsidRPr="00CF0A23">
        <w:rPr>
          <w:rFonts w:ascii="Times New Roman" w:hAnsi="Times New Roman" w:cs="Times New Roman"/>
          <w:sz w:val="24"/>
          <w:szCs w:val="24"/>
          <w:vertAlign w:val="subscript"/>
        </w:rPr>
        <w:t xml:space="preserve"> </w:t>
      </w:r>
      <w:r w:rsidRPr="00CF0A23">
        <w:rPr>
          <w:rFonts w:ascii="Times New Roman" w:hAnsi="Times New Roman" w:cs="Times New Roman"/>
          <w:sz w:val="24"/>
          <w:szCs w:val="24"/>
        </w:rPr>
        <w:t xml:space="preserve">= 36.66, </w:t>
      </w:r>
      <w:proofErr w:type="spellStart"/>
      <w:r w:rsidRPr="00CF0A23">
        <w:rPr>
          <w:rFonts w:ascii="Times New Roman" w:hAnsi="Times New Roman" w:cs="Times New Roman"/>
          <w:sz w:val="24"/>
          <w:szCs w:val="24"/>
        </w:rPr>
        <w:t>df</w:t>
      </w:r>
      <w:proofErr w:type="spellEnd"/>
      <w:r w:rsidRPr="00CF0A23">
        <w:rPr>
          <w:rFonts w:ascii="Times New Roman" w:hAnsi="Times New Roman" w:cs="Times New Roman"/>
          <w:sz w:val="24"/>
          <w:szCs w:val="24"/>
        </w:rPr>
        <w:t xml:space="preserve"> = 1, P &lt; 0.001), but not by the time alone (</w:t>
      </w:r>
      <w:proofErr w:type="spellStart"/>
      <w:r w:rsidRPr="00CF0A23">
        <w:rPr>
          <w:rFonts w:ascii="Times New Roman" w:hAnsi="Times New Roman" w:cs="Times New Roman"/>
          <w:sz w:val="24"/>
          <w:szCs w:val="24"/>
        </w:rPr>
        <w:t>Chisq</w:t>
      </w:r>
      <w:proofErr w:type="spellEnd"/>
      <w:r w:rsidRPr="00CF0A23">
        <w:rPr>
          <w:rFonts w:ascii="Times New Roman" w:hAnsi="Times New Roman" w:cs="Times New Roman"/>
          <w:sz w:val="24"/>
          <w:szCs w:val="24"/>
          <w:vertAlign w:val="subscript"/>
        </w:rPr>
        <w:t xml:space="preserve"> </w:t>
      </w:r>
      <w:r w:rsidRPr="00CF0A23">
        <w:rPr>
          <w:rFonts w:ascii="Times New Roman" w:hAnsi="Times New Roman" w:cs="Times New Roman"/>
          <w:sz w:val="24"/>
          <w:szCs w:val="24"/>
        </w:rPr>
        <w:t xml:space="preserve">= 0.65, </w:t>
      </w:r>
      <w:proofErr w:type="spellStart"/>
      <w:r w:rsidRPr="00CF0A23">
        <w:rPr>
          <w:rFonts w:ascii="Times New Roman" w:hAnsi="Times New Roman" w:cs="Times New Roman"/>
          <w:sz w:val="24"/>
          <w:szCs w:val="24"/>
        </w:rPr>
        <w:t>df</w:t>
      </w:r>
      <w:proofErr w:type="spellEnd"/>
      <w:r w:rsidRPr="00CF0A23">
        <w:rPr>
          <w:rFonts w:ascii="Times New Roman" w:hAnsi="Times New Roman" w:cs="Times New Roman"/>
          <w:sz w:val="24"/>
          <w:szCs w:val="24"/>
        </w:rPr>
        <w:t xml:space="preserve"> = 1, P = 0.419). Aphids did not show any preference 3 days post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inoculation (Fig. 17A). At 3 dpi, and after 24 h of aphid feeding, the symptoms of fungal infection were not visible (Fig. 17C). However, leaves inoculated with the fungal pathogen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were less preferred by </w:t>
      </w:r>
      <w:r w:rsidRPr="00CF0A23">
        <w:rPr>
          <w:rFonts w:ascii="Times New Roman" w:hAnsi="Times New Roman" w:cs="Times New Roman"/>
          <w:i/>
          <w:sz w:val="24"/>
          <w:szCs w:val="24"/>
        </w:rPr>
        <w:t xml:space="preserve">B. </w:t>
      </w:r>
      <w:proofErr w:type="spellStart"/>
      <w:r w:rsidRPr="00CF0A23">
        <w:rPr>
          <w:rFonts w:ascii="Times New Roman" w:hAnsi="Times New Roman" w:cs="Times New Roman"/>
          <w:i/>
          <w:sz w:val="24"/>
          <w:szCs w:val="24"/>
        </w:rPr>
        <w:t>brassicae</w:t>
      </w:r>
      <w:proofErr w:type="spellEnd"/>
      <w:r w:rsidRPr="00CF0A23">
        <w:rPr>
          <w:rFonts w:ascii="Times New Roman" w:hAnsi="Times New Roman" w:cs="Times New Roman"/>
          <w:sz w:val="24"/>
          <w:szCs w:val="24"/>
        </w:rPr>
        <w:t xml:space="preserve"> aphids in comparison to control leaves 7 days post inoculation (7 dpi; Fig. 17A), the time when symptoms start to be visible (Fig. 17C).</w:t>
      </w:r>
    </w:p>
    <w:p w14:paraId="21509B52" w14:textId="77777777" w:rsidR="00E7693B" w:rsidRPr="00E7693B" w:rsidRDefault="00E7693B">
      <w:pPr>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90" wp14:editId="2150A591">
            <wp:extent cx="5760085" cy="4060825"/>
            <wp:effectExtent l="0" t="0" r="0" b="0"/>
            <wp:docPr id="4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4"/>
                    <a:srcRect/>
                    <a:stretch>
                      <a:fillRect/>
                    </a:stretch>
                  </pic:blipFill>
                  <pic:spPr>
                    <a:xfrm>
                      <a:off x="0" y="0"/>
                      <a:ext cx="5760085" cy="4060825"/>
                    </a:xfrm>
                    <a:prstGeom prst="rect">
                      <a:avLst/>
                    </a:prstGeom>
                    <a:ln/>
                  </pic:spPr>
                </pic:pic>
              </a:graphicData>
            </a:graphic>
          </wp:inline>
        </w:drawing>
      </w:r>
    </w:p>
    <w:p w14:paraId="21509B53" w14:textId="77777777" w:rsidR="00E7693B" w:rsidRPr="00E7693B" w:rsidRDefault="00E7693B">
      <w:pPr>
        <w:spacing w:before="240" w:line="360" w:lineRule="auto"/>
        <w:jc w:val="both"/>
        <w:rPr>
          <w:rFonts w:ascii="Times New Roman" w:hAnsi="Times New Roman" w:cs="Times New Roman"/>
        </w:rPr>
      </w:pPr>
      <w:r w:rsidRPr="00E7693B">
        <w:rPr>
          <w:rFonts w:ascii="Times New Roman" w:hAnsi="Times New Roman" w:cs="Times New Roman"/>
          <w:b/>
        </w:rPr>
        <w:t>Figure 17.</w:t>
      </w:r>
      <w:r w:rsidRPr="00E7693B">
        <w:rPr>
          <w:rFonts w:ascii="Times New Roman" w:hAnsi="Times New Roman" w:cs="Times New Roman"/>
        </w:rPr>
        <w:t xml:space="preserve"> Feeding preference of </w:t>
      </w:r>
      <w:proofErr w:type="spellStart"/>
      <w:r w:rsidRPr="00E7693B">
        <w:rPr>
          <w:rFonts w:ascii="Times New Roman" w:hAnsi="Times New Roman" w:cs="Times New Roman"/>
          <w:i/>
        </w:rPr>
        <w:t>Brevicoryne</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brassicae</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aphids to control leaves of oilseed rape and leaves inoculated by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3 and 7 days post inoculation (dpi). </w:t>
      </w:r>
      <w:r w:rsidRPr="006B61C5">
        <w:rPr>
          <w:rFonts w:ascii="Times New Roman" w:hAnsi="Times New Roman" w:cs="Times New Roman"/>
          <w:b/>
          <w:bCs/>
        </w:rPr>
        <w:t>A:</w:t>
      </w:r>
      <w:r w:rsidRPr="00E7693B">
        <w:rPr>
          <w:rFonts w:ascii="Times New Roman" w:hAnsi="Times New Roman" w:cs="Times New Roman"/>
        </w:rPr>
        <w:t xml:space="preserve"> number of individuals after 24 h of feeding.</w:t>
      </w:r>
      <w:r w:rsidRPr="00E7693B">
        <w:rPr>
          <w:rFonts w:ascii="Times New Roman" w:hAnsi="Times New Roman" w:cs="Times New Roman"/>
          <w:b/>
        </w:rPr>
        <w:t xml:space="preserve"> </w:t>
      </w:r>
      <w:r w:rsidRPr="00E7693B">
        <w:rPr>
          <w:rFonts w:ascii="Times New Roman" w:hAnsi="Times New Roman" w:cs="Times New Roman"/>
        </w:rPr>
        <w:t>Boxplot shows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asterisks significant differences (P &lt; 0.001) between treatments for a given time point, ns = not </w:t>
      </w:r>
      <w:r w:rsidRPr="00E7693B">
        <w:rPr>
          <w:rFonts w:ascii="Times New Roman" w:hAnsi="Times New Roman" w:cs="Times New Roman"/>
        </w:rPr>
        <w:lastRenderedPageBreak/>
        <w:t xml:space="preserve">significant; </w:t>
      </w:r>
      <w:r w:rsidRPr="006B61C5">
        <w:rPr>
          <w:rFonts w:ascii="Times New Roman" w:hAnsi="Times New Roman" w:cs="Times New Roman"/>
          <w:b/>
          <w:bCs/>
        </w:rPr>
        <w:t>B:</w:t>
      </w:r>
      <w:r w:rsidRPr="00E7693B">
        <w:rPr>
          <w:rFonts w:ascii="Times New Roman" w:hAnsi="Times New Roman" w:cs="Times New Roman"/>
        </w:rPr>
        <w:t xml:space="preserve"> </w:t>
      </w:r>
      <w:r w:rsidRPr="00E7693B">
        <w:rPr>
          <w:rFonts w:ascii="Times New Roman" w:hAnsi="Times New Roman" w:cs="Times New Roman"/>
          <w:color w:val="000000"/>
        </w:rPr>
        <w:t xml:space="preserve">Petri dish used for performing aphid choice experiments with one non-inoculated leaf on the right side and one inoculated leaf on the left side. Ten wingless aphids were placed in the middle of the dish and were given a choice to feed on both leaves; </w:t>
      </w:r>
      <w:r w:rsidRPr="006B61C5">
        <w:rPr>
          <w:rFonts w:ascii="Times New Roman" w:hAnsi="Times New Roman" w:cs="Times New Roman"/>
          <w:b/>
          <w:bCs/>
          <w:color w:val="000000"/>
        </w:rPr>
        <w:t>C:</w:t>
      </w:r>
      <w:r w:rsidRPr="00E7693B">
        <w:rPr>
          <w:rFonts w:ascii="Times New Roman" w:hAnsi="Times New Roman" w:cs="Times New Roman"/>
          <w:color w:val="000000"/>
        </w:rPr>
        <w:t xml:space="preserve"> scanned leaves after 24 h of aphid feeding; dpi = day post inoculation with </w:t>
      </w:r>
      <w:r w:rsidRPr="00E7693B">
        <w:rPr>
          <w:rFonts w:ascii="Times New Roman" w:hAnsi="Times New Roman" w:cs="Times New Roman"/>
          <w:i/>
          <w:color w:val="000000"/>
        </w:rPr>
        <w:t xml:space="preserve">L. </w:t>
      </w:r>
      <w:proofErr w:type="spellStart"/>
      <w:r w:rsidRPr="00E7693B">
        <w:rPr>
          <w:rFonts w:ascii="Times New Roman" w:hAnsi="Times New Roman" w:cs="Times New Roman"/>
          <w:i/>
          <w:color w:val="000000"/>
        </w:rPr>
        <w:t>maculans</w:t>
      </w:r>
      <w:proofErr w:type="spellEnd"/>
      <w:r w:rsidRPr="00E7693B">
        <w:rPr>
          <w:rFonts w:ascii="Times New Roman" w:hAnsi="Times New Roman" w:cs="Times New Roman"/>
          <w:color w:val="000000"/>
        </w:rPr>
        <w:t>.</w:t>
      </w:r>
    </w:p>
    <w:p w14:paraId="21509B54" w14:textId="77777777" w:rsidR="00E7693B" w:rsidRPr="00E7693B" w:rsidRDefault="00E7693B" w:rsidP="00EC70C2">
      <w:pPr>
        <w:pStyle w:val="Heading4"/>
      </w:pPr>
      <w:bookmarkStart w:id="58" w:name="_Toc167977628"/>
      <w:r w:rsidRPr="00E7693B">
        <w:t xml:space="preserve">Activation of </w:t>
      </w:r>
      <w:proofErr w:type="spellStart"/>
      <w:r w:rsidRPr="00E7693B">
        <w:t>signaling</w:t>
      </w:r>
      <w:proofErr w:type="spellEnd"/>
      <w:r w:rsidRPr="00E7693B">
        <w:t xml:space="preserve"> pathways in oilseed rape</w:t>
      </w:r>
      <w:r w:rsidRPr="00E7693B">
        <w:rPr>
          <w:i/>
        </w:rPr>
        <w:t xml:space="preserve"> </w:t>
      </w:r>
      <w:r w:rsidRPr="00E7693B">
        <w:t xml:space="preserve">leaves inoculated with </w:t>
      </w:r>
      <w:r w:rsidRPr="00E7693B">
        <w:rPr>
          <w:i/>
        </w:rPr>
        <w:t xml:space="preserve">Leptosphaeria </w:t>
      </w:r>
      <w:proofErr w:type="spellStart"/>
      <w:r w:rsidRPr="00E7693B">
        <w:rPr>
          <w:i/>
        </w:rPr>
        <w:t>maculans</w:t>
      </w:r>
      <w:bookmarkEnd w:id="58"/>
      <w:proofErr w:type="spellEnd"/>
    </w:p>
    <w:p w14:paraId="21509B55" w14:textId="77777777" w:rsidR="00E7693B" w:rsidRPr="00E7693B" w:rsidRDefault="00E7693B" w:rsidP="008D22D6">
      <w:pPr>
        <w:rPr>
          <w:rFonts w:ascii="Times New Roman" w:hAnsi="Times New Roman" w:cs="Times New Roman"/>
        </w:rPr>
      </w:pPr>
    </w:p>
    <w:p w14:paraId="4FE73495" w14:textId="2C2FE3A2" w:rsidR="00DA0383" w:rsidRPr="00CF0A23" w:rsidRDefault="00E7693B" w:rsidP="00CF0A23">
      <w:pPr>
        <w:spacing w:after="0" w:line="360" w:lineRule="auto"/>
        <w:ind w:firstLine="576"/>
        <w:jc w:val="both"/>
        <w:rPr>
          <w:rFonts w:ascii="Times New Roman" w:hAnsi="Times New Roman" w:cs="Times New Roman"/>
          <w:sz w:val="24"/>
          <w:szCs w:val="24"/>
        </w:rPr>
      </w:pPr>
      <w:r w:rsidRPr="00CF0A23">
        <w:rPr>
          <w:rFonts w:ascii="Times New Roman" w:hAnsi="Times New Roman" w:cs="Times New Roman"/>
          <w:sz w:val="24"/>
          <w:szCs w:val="24"/>
        </w:rPr>
        <w:t xml:space="preserve">The activation of defence </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pathways was monitored by gene transcription of marker genes. </w:t>
      </w:r>
      <w:r w:rsidR="00DA0383" w:rsidRPr="00DA0383">
        <w:rPr>
          <w:rFonts w:ascii="Times New Roman" w:hAnsi="Times New Roman" w:cs="Times New Roman"/>
          <w:sz w:val="24"/>
          <w:szCs w:val="24"/>
        </w:rPr>
        <w:t>The activation of various phytohormone pathways was evaluated by examining specific biosynthetic and responsive genes: for SA, the biosynthetic genes</w:t>
      </w:r>
      <w:r w:rsidR="00DA0383" w:rsidRPr="006B61C5">
        <w:rPr>
          <w:rFonts w:ascii="Times New Roman" w:hAnsi="Times New Roman" w:cs="Times New Roman"/>
          <w:i/>
          <w:iCs/>
          <w:sz w:val="24"/>
          <w:szCs w:val="24"/>
        </w:rPr>
        <w:t xml:space="preserve"> ICS1</w:t>
      </w:r>
      <w:r w:rsidR="00DA0383" w:rsidRPr="00DA0383">
        <w:rPr>
          <w:rFonts w:ascii="Times New Roman" w:hAnsi="Times New Roman" w:cs="Times New Roman"/>
          <w:sz w:val="24"/>
          <w:szCs w:val="24"/>
        </w:rPr>
        <w:t xml:space="preserve"> and </w:t>
      </w:r>
      <w:r w:rsidR="00DA0383" w:rsidRPr="006B61C5">
        <w:rPr>
          <w:rFonts w:ascii="Times New Roman" w:hAnsi="Times New Roman" w:cs="Times New Roman"/>
          <w:i/>
          <w:iCs/>
          <w:sz w:val="24"/>
          <w:szCs w:val="24"/>
        </w:rPr>
        <w:t>PAL1</w:t>
      </w:r>
      <w:r w:rsidR="00DA0383" w:rsidRPr="00DA0383">
        <w:rPr>
          <w:rFonts w:ascii="Times New Roman" w:hAnsi="Times New Roman" w:cs="Times New Roman"/>
          <w:sz w:val="24"/>
          <w:szCs w:val="24"/>
        </w:rPr>
        <w:t xml:space="preserve"> and the responsive gene </w:t>
      </w:r>
      <w:r w:rsidR="00DA0383" w:rsidRPr="006B61C5">
        <w:rPr>
          <w:rFonts w:ascii="Times New Roman" w:hAnsi="Times New Roman" w:cs="Times New Roman"/>
          <w:i/>
          <w:iCs/>
          <w:sz w:val="24"/>
          <w:szCs w:val="24"/>
        </w:rPr>
        <w:t>PR1</w:t>
      </w:r>
      <w:r w:rsidR="00DA0383" w:rsidRPr="00DA0383">
        <w:rPr>
          <w:rFonts w:ascii="Times New Roman" w:hAnsi="Times New Roman" w:cs="Times New Roman"/>
          <w:sz w:val="24"/>
          <w:szCs w:val="24"/>
        </w:rPr>
        <w:t xml:space="preserve">; for JA, the biosynthetic gene </w:t>
      </w:r>
      <w:r w:rsidR="00DA0383" w:rsidRPr="006B61C5">
        <w:rPr>
          <w:rFonts w:ascii="Times New Roman" w:hAnsi="Times New Roman" w:cs="Times New Roman"/>
          <w:i/>
          <w:iCs/>
          <w:sz w:val="24"/>
          <w:szCs w:val="24"/>
        </w:rPr>
        <w:t>LOX3</w:t>
      </w:r>
      <w:r w:rsidR="00DA0383" w:rsidRPr="00DA0383">
        <w:rPr>
          <w:rFonts w:ascii="Times New Roman" w:hAnsi="Times New Roman" w:cs="Times New Roman"/>
          <w:sz w:val="24"/>
          <w:szCs w:val="24"/>
        </w:rPr>
        <w:t xml:space="preserve"> and the responsive gene </w:t>
      </w:r>
      <w:r w:rsidR="00DA0383" w:rsidRPr="006B61C5">
        <w:rPr>
          <w:rFonts w:ascii="Times New Roman" w:hAnsi="Times New Roman" w:cs="Times New Roman"/>
          <w:i/>
          <w:iCs/>
          <w:sz w:val="24"/>
          <w:szCs w:val="24"/>
        </w:rPr>
        <w:t>VSP</w:t>
      </w:r>
      <w:r w:rsidR="00DA0383" w:rsidRPr="00DA0383">
        <w:rPr>
          <w:rFonts w:ascii="Times New Roman" w:hAnsi="Times New Roman" w:cs="Times New Roman"/>
          <w:sz w:val="24"/>
          <w:szCs w:val="24"/>
        </w:rPr>
        <w:t xml:space="preserve">; for ET, the biosynthetic gene </w:t>
      </w:r>
      <w:r w:rsidR="00DA0383" w:rsidRPr="006B61C5">
        <w:rPr>
          <w:rFonts w:ascii="Times New Roman" w:hAnsi="Times New Roman" w:cs="Times New Roman"/>
          <w:i/>
          <w:iCs/>
          <w:sz w:val="24"/>
          <w:szCs w:val="24"/>
        </w:rPr>
        <w:t>ACS2</w:t>
      </w:r>
      <w:r w:rsidR="00DA0383" w:rsidRPr="00DA0383">
        <w:rPr>
          <w:rFonts w:ascii="Times New Roman" w:hAnsi="Times New Roman" w:cs="Times New Roman"/>
          <w:sz w:val="24"/>
          <w:szCs w:val="24"/>
        </w:rPr>
        <w:t xml:space="preserve">; and for both JA and ET, the responsive genes </w:t>
      </w:r>
      <w:r w:rsidR="00DA0383" w:rsidRPr="006B61C5">
        <w:rPr>
          <w:rFonts w:ascii="Times New Roman" w:hAnsi="Times New Roman" w:cs="Times New Roman"/>
          <w:i/>
          <w:iCs/>
          <w:sz w:val="24"/>
          <w:szCs w:val="24"/>
        </w:rPr>
        <w:t>βCHI</w:t>
      </w:r>
      <w:r w:rsidR="00DA0383" w:rsidRPr="00DA0383">
        <w:rPr>
          <w:rFonts w:ascii="Times New Roman" w:hAnsi="Times New Roman" w:cs="Times New Roman"/>
          <w:sz w:val="24"/>
          <w:szCs w:val="24"/>
        </w:rPr>
        <w:t xml:space="preserve"> and </w:t>
      </w:r>
      <w:r w:rsidR="00DA0383" w:rsidRPr="006B61C5">
        <w:rPr>
          <w:rFonts w:ascii="Times New Roman" w:hAnsi="Times New Roman" w:cs="Times New Roman"/>
          <w:i/>
          <w:iCs/>
          <w:sz w:val="24"/>
          <w:szCs w:val="24"/>
        </w:rPr>
        <w:t>HEL</w:t>
      </w:r>
      <w:r w:rsidR="00DA0383" w:rsidRPr="00DA0383">
        <w:rPr>
          <w:rFonts w:ascii="Times New Roman" w:hAnsi="Times New Roman" w:cs="Times New Roman"/>
          <w:sz w:val="24"/>
          <w:szCs w:val="24"/>
        </w:rPr>
        <w:t>.</w:t>
      </w:r>
    </w:p>
    <w:p w14:paraId="21509B57" w14:textId="069AD170" w:rsidR="00E7693B" w:rsidRPr="00CF0A23" w:rsidRDefault="00E7693B" w:rsidP="00DA0383">
      <w:pPr>
        <w:spacing w:after="0" w:line="360" w:lineRule="auto"/>
        <w:ind w:firstLine="576"/>
        <w:jc w:val="both"/>
        <w:rPr>
          <w:rFonts w:ascii="Times New Roman" w:hAnsi="Times New Roman" w:cs="Times New Roman"/>
          <w:sz w:val="24"/>
          <w:szCs w:val="24"/>
        </w:rPr>
      </w:pPr>
      <w:r w:rsidRPr="00CF0A23">
        <w:rPr>
          <w:rFonts w:ascii="Times New Roman" w:hAnsi="Times New Roman" w:cs="Times New Roman"/>
          <w:sz w:val="24"/>
          <w:szCs w:val="24"/>
        </w:rPr>
        <w:t xml:space="preserve">The SA pathway was activated by the pathogen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 (Fig. 18, Tab. 2): both biosynthetic genes </w:t>
      </w:r>
      <w:r w:rsidRPr="00CF0A23">
        <w:rPr>
          <w:rFonts w:ascii="Times New Roman" w:hAnsi="Times New Roman" w:cs="Times New Roman"/>
          <w:i/>
          <w:sz w:val="24"/>
          <w:szCs w:val="24"/>
        </w:rPr>
        <w:t>ICS1</w:t>
      </w:r>
      <w:r w:rsidRPr="00CF0A23">
        <w:rPr>
          <w:rFonts w:ascii="Times New Roman" w:hAnsi="Times New Roman" w:cs="Times New Roman"/>
          <w:sz w:val="24"/>
          <w:szCs w:val="24"/>
        </w:rPr>
        <w:t xml:space="preserve"> and </w:t>
      </w:r>
      <w:r w:rsidRPr="00CF0A23">
        <w:rPr>
          <w:rFonts w:ascii="Times New Roman" w:hAnsi="Times New Roman" w:cs="Times New Roman"/>
          <w:i/>
          <w:sz w:val="24"/>
          <w:szCs w:val="24"/>
        </w:rPr>
        <w:t>PAL1</w:t>
      </w:r>
      <w:r w:rsidRPr="00CF0A23">
        <w:rPr>
          <w:rFonts w:ascii="Times New Roman" w:hAnsi="Times New Roman" w:cs="Times New Roman"/>
          <w:sz w:val="24"/>
          <w:szCs w:val="24"/>
        </w:rPr>
        <w:t xml:space="preserve">, and a responsive gene </w:t>
      </w:r>
      <w:r w:rsidRPr="00CF0A23">
        <w:rPr>
          <w:rFonts w:ascii="Times New Roman" w:hAnsi="Times New Roman" w:cs="Times New Roman"/>
          <w:i/>
          <w:sz w:val="24"/>
          <w:szCs w:val="24"/>
        </w:rPr>
        <w:t xml:space="preserve">PR1 </w:t>
      </w:r>
      <w:r w:rsidRPr="00CF0A23">
        <w:rPr>
          <w:rFonts w:ascii="Times New Roman" w:hAnsi="Times New Roman" w:cs="Times New Roman"/>
          <w:sz w:val="24"/>
          <w:szCs w:val="24"/>
        </w:rPr>
        <w:t xml:space="preserve">were significantly influenced by the treatment, </w:t>
      </w:r>
      <w:r w:rsidRPr="00CF0A23">
        <w:rPr>
          <w:rFonts w:ascii="Times New Roman" w:hAnsi="Times New Roman" w:cs="Times New Roman"/>
          <w:i/>
          <w:sz w:val="24"/>
          <w:szCs w:val="24"/>
        </w:rPr>
        <w:t xml:space="preserve">i.e. </w:t>
      </w:r>
      <w:r w:rsidRPr="00CF0A23">
        <w:rPr>
          <w:rFonts w:ascii="Times New Roman" w:hAnsi="Times New Roman" w:cs="Times New Roman"/>
          <w:sz w:val="24"/>
          <w:szCs w:val="24"/>
        </w:rPr>
        <w:t xml:space="preserve">upregulated in the inoculated compared to non-inoculated leaves; only </w:t>
      </w:r>
      <w:r w:rsidRPr="00CF0A23">
        <w:rPr>
          <w:rFonts w:ascii="Times New Roman" w:hAnsi="Times New Roman" w:cs="Times New Roman"/>
          <w:i/>
          <w:sz w:val="24"/>
          <w:szCs w:val="24"/>
        </w:rPr>
        <w:t xml:space="preserve">ICS1 </w:t>
      </w:r>
      <w:r w:rsidRPr="00CF0A23">
        <w:rPr>
          <w:rFonts w:ascii="Times New Roman" w:hAnsi="Times New Roman" w:cs="Times New Roman"/>
          <w:sz w:val="24"/>
          <w:szCs w:val="24"/>
        </w:rPr>
        <w:t xml:space="preserve">was significantly influenced by the time point and the interaction between the treatment and the time point. The transcription of </w:t>
      </w:r>
      <w:r w:rsidRPr="00CF0A23">
        <w:rPr>
          <w:rFonts w:ascii="Times New Roman" w:hAnsi="Times New Roman" w:cs="Times New Roman"/>
          <w:i/>
          <w:sz w:val="24"/>
          <w:szCs w:val="24"/>
        </w:rPr>
        <w:t>ICS1</w:t>
      </w:r>
      <w:r w:rsidRPr="00CF0A23">
        <w:rPr>
          <w:rFonts w:ascii="Times New Roman" w:hAnsi="Times New Roman" w:cs="Times New Roman"/>
          <w:sz w:val="24"/>
          <w:szCs w:val="24"/>
        </w:rPr>
        <w:t xml:space="preserve"> and </w:t>
      </w:r>
      <w:r w:rsidRPr="00CF0A23">
        <w:rPr>
          <w:rFonts w:ascii="Times New Roman" w:hAnsi="Times New Roman" w:cs="Times New Roman"/>
          <w:i/>
          <w:sz w:val="24"/>
          <w:szCs w:val="24"/>
        </w:rPr>
        <w:t>PAL1</w:t>
      </w:r>
      <w:r w:rsidRPr="00CF0A23">
        <w:rPr>
          <w:rFonts w:ascii="Times New Roman" w:hAnsi="Times New Roman" w:cs="Times New Roman"/>
          <w:sz w:val="24"/>
          <w:szCs w:val="24"/>
        </w:rPr>
        <w:t xml:space="preserve"> increased by 2- and 5-fold, respectively, and of the responsive </w:t>
      </w:r>
      <w:r w:rsidRPr="00CF0A23">
        <w:rPr>
          <w:rFonts w:ascii="Times New Roman" w:hAnsi="Times New Roman" w:cs="Times New Roman"/>
          <w:i/>
          <w:sz w:val="24"/>
          <w:szCs w:val="24"/>
        </w:rPr>
        <w:t>PR1</w:t>
      </w:r>
      <w:r w:rsidRPr="00CF0A23">
        <w:rPr>
          <w:rFonts w:ascii="Times New Roman" w:hAnsi="Times New Roman" w:cs="Times New Roman"/>
          <w:sz w:val="24"/>
          <w:szCs w:val="24"/>
        </w:rPr>
        <w:t xml:space="preserve"> gene by 74-fold compared to control treatment, at 3 dpi</w:t>
      </w:r>
      <w:r w:rsidR="00CF0A23">
        <w:rPr>
          <w:rFonts w:ascii="Times New Roman" w:hAnsi="Times New Roman" w:cs="Times New Roman"/>
          <w:sz w:val="24"/>
          <w:szCs w:val="24"/>
        </w:rPr>
        <w:t xml:space="preserve"> and in a similar way at 7 dpi.</w:t>
      </w:r>
    </w:p>
    <w:p w14:paraId="21509B58" w14:textId="77777777" w:rsidR="00E7693B" w:rsidRPr="00CF0A23" w:rsidRDefault="00E7693B" w:rsidP="00CF0A23">
      <w:pPr>
        <w:spacing w:after="0"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 xml:space="preserve">The ET pathway was also activated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(Fig. 18, Tab. 2): the biosynthetic </w:t>
      </w:r>
      <w:r w:rsidRPr="00CF0A23">
        <w:rPr>
          <w:rFonts w:ascii="Times New Roman" w:hAnsi="Times New Roman" w:cs="Times New Roman"/>
          <w:i/>
          <w:sz w:val="24"/>
          <w:szCs w:val="24"/>
        </w:rPr>
        <w:t xml:space="preserve">ACS2 </w:t>
      </w:r>
      <w:r w:rsidRPr="00CF0A23">
        <w:rPr>
          <w:rFonts w:ascii="Times New Roman" w:hAnsi="Times New Roman" w:cs="Times New Roman"/>
          <w:sz w:val="24"/>
          <w:szCs w:val="24"/>
        </w:rPr>
        <w:t xml:space="preserve">gene was significantly influenced by the treatment, time point and the interaction between the treatment and the time point. The transcription of the </w:t>
      </w:r>
      <w:r w:rsidRPr="00CF0A23">
        <w:rPr>
          <w:rFonts w:ascii="Times New Roman" w:hAnsi="Times New Roman" w:cs="Times New Roman"/>
          <w:i/>
          <w:sz w:val="24"/>
          <w:szCs w:val="24"/>
        </w:rPr>
        <w:t>ACS2</w:t>
      </w:r>
      <w:r w:rsidRPr="00CF0A23">
        <w:rPr>
          <w:rFonts w:ascii="Times New Roman" w:hAnsi="Times New Roman" w:cs="Times New Roman"/>
          <w:sz w:val="24"/>
          <w:szCs w:val="24"/>
        </w:rPr>
        <w:t xml:space="preserve"> gene was increased by 2- and 8-fold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-inoculated leaves at 3 and 7 dpi, respectively (Fig. 18).</w:t>
      </w:r>
    </w:p>
    <w:p w14:paraId="21509B59" w14:textId="77777777" w:rsidR="00E7693B" w:rsidRPr="00CF0A23" w:rsidRDefault="00E7693B">
      <w:pPr>
        <w:spacing w:after="240"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 xml:space="preserve">The JA pathway was not activated by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 (Fig. 18, Tab. 2): the transcriptions of the biosynthetic </w:t>
      </w:r>
      <w:r w:rsidRPr="00CF0A23">
        <w:rPr>
          <w:rFonts w:ascii="Times New Roman" w:hAnsi="Times New Roman" w:cs="Times New Roman"/>
          <w:i/>
          <w:sz w:val="24"/>
          <w:szCs w:val="24"/>
        </w:rPr>
        <w:t>LOX3</w:t>
      </w:r>
      <w:r w:rsidRPr="00CF0A23">
        <w:rPr>
          <w:rFonts w:ascii="Times New Roman" w:hAnsi="Times New Roman" w:cs="Times New Roman"/>
          <w:sz w:val="24"/>
          <w:szCs w:val="24"/>
        </w:rPr>
        <w:t xml:space="preserve"> gene, and of the responsive </w:t>
      </w:r>
      <w:r w:rsidRPr="00CF0A23">
        <w:rPr>
          <w:rFonts w:ascii="Times New Roman" w:hAnsi="Times New Roman" w:cs="Times New Roman"/>
          <w:i/>
          <w:sz w:val="24"/>
          <w:szCs w:val="24"/>
        </w:rPr>
        <w:t>VSP</w:t>
      </w:r>
      <w:r w:rsidRPr="00CF0A23">
        <w:rPr>
          <w:rFonts w:ascii="Times New Roman" w:hAnsi="Times New Roman" w:cs="Times New Roman"/>
          <w:sz w:val="24"/>
          <w:szCs w:val="24"/>
        </w:rPr>
        <w:t xml:space="preserve"> gene were not significantly different from the control at both time points. The JA/ET responsive </w:t>
      </w:r>
      <w:r w:rsidRPr="00CF0A23">
        <w:rPr>
          <w:rFonts w:ascii="Times New Roman" w:hAnsi="Times New Roman" w:cs="Times New Roman"/>
          <w:i/>
          <w:sz w:val="24"/>
          <w:szCs w:val="24"/>
        </w:rPr>
        <w:t>βCHI</w:t>
      </w:r>
      <w:r w:rsidRPr="00CF0A23">
        <w:rPr>
          <w:rFonts w:ascii="Times New Roman" w:hAnsi="Times New Roman" w:cs="Times New Roman"/>
          <w:sz w:val="24"/>
          <w:szCs w:val="24"/>
        </w:rPr>
        <w:t xml:space="preserve"> and </w:t>
      </w:r>
      <w:r w:rsidRPr="00CF0A23">
        <w:rPr>
          <w:rFonts w:ascii="Times New Roman" w:hAnsi="Times New Roman" w:cs="Times New Roman"/>
          <w:i/>
          <w:sz w:val="24"/>
          <w:szCs w:val="24"/>
        </w:rPr>
        <w:t>HEL</w:t>
      </w:r>
      <w:r w:rsidRPr="00CF0A23">
        <w:rPr>
          <w:rFonts w:ascii="Times New Roman" w:hAnsi="Times New Roman" w:cs="Times New Roman"/>
          <w:sz w:val="24"/>
          <w:szCs w:val="24"/>
        </w:rPr>
        <w:t xml:space="preserve"> genes were significantly influenced by the treatment, </w:t>
      </w:r>
      <w:r w:rsidRPr="00CF0A23">
        <w:rPr>
          <w:rFonts w:ascii="Times New Roman" w:hAnsi="Times New Roman" w:cs="Times New Roman"/>
          <w:i/>
          <w:sz w:val="24"/>
          <w:szCs w:val="24"/>
        </w:rPr>
        <w:t>i.e.</w:t>
      </w:r>
      <w:r w:rsidRPr="00CF0A23">
        <w:rPr>
          <w:rFonts w:ascii="Times New Roman" w:hAnsi="Times New Roman" w:cs="Times New Roman"/>
          <w:sz w:val="24"/>
          <w:szCs w:val="24"/>
        </w:rPr>
        <w:t xml:space="preserve"> upregulation was observed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compared to non-inoculated leaves (Fig. 18). The transcription of </w:t>
      </w:r>
      <w:r w:rsidRPr="00CF0A23">
        <w:rPr>
          <w:rFonts w:ascii="Times New Roman" w:hAnsi="Times New Roman" w:cs="Times New Roman"/>
          <w:i/>
          <w:sz w:val="24"/>
          <w:szCs w:val="24"/>
        </w:rPr>
        <w:t>βCHI</w:t>
      </w:r>
      <w:r w:rsidRPr="00CF0A23">
        <w:rPr>
          <w:rFonts w:ascii="Times New Roman" w:hAnsi="Times New Roman" w:cs="Times New Roman"/>
          <w:sz w:val="24"/>
          <w:szCs w:val="24"/>
        </w:rPr>
        <w:t xml:space="preserve"> and </w:t>
      </w:r>
      <w:r w:rsidRPr="00CF0A23">
        <w:rPr>
          <w:rFonts w:ascii="Times New Roman" w:hAnsi="Times New Roman" w:cs="Times New Roman"/>
          <w:i/>
          <w:sz w:val="24"/>
          <w:szCs w:val="24"/>
        </w:rPr>
        <w:t>HEL</w:t>
      </w:r>
      <w:r w:rsidRPr="00CF0A23">
        <w:rPr>
          <w:rFonts w:ascii="Times New Roman" w:hAnsi="Times New Roman" w:cs="Times New Roman"/>
          <w:sz w:val="24"/>
          <w:szCs w:val="24"/>
        </w:rPr>
        <w:t xml:space="preserve"> increased by 50- and 24-fold, respectively, at 3 dpi and similarly at 7 dpi.</w:t>
      </w:r>
    </w:p>
    <w:p w14:paraId="21509B5A" w14:textId="77777777" w:rsidR="00E7693B" w:rsidRPr="00E7693B" w:rsidRDefault="00E7693B">
      <w:pPr>
        <w:spacing w:line="360" w:lineRule="auto"/>
        <w:jc w:val="center"/>
        <w:rPr>
          <w:rFonts w:ascii="Times New Roman" w:hAnsi="Times New Roman" w:cs="Times New Roman"/>
        </w:rPr>
      </w:pPr>
      <w:r w:rsidRPr="00E7693B">
        <w:rPr>
          <w:rFonts w:ascii="Times New Roman" w:hAnsi="Times New Roman" w:cs="Times New Roman"/>
          <w:noProof/>
          <w:lang w:val="en-US"/>
        </w:rPr>
        <w:lastRenderedPageBreak/>
        <w:drawing>
          <wp:inline distT="0" distB="0" distL="0" distR="0" wp14:anchorId="2150A592" wp14:editId="2150A593">
            <wp:extent cx="5733415" cy="4393565"/>
            <wp:effectExtent l="0" t="0" r="0" b="0"/>
            <wp:docPr id="44"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35"/>
                    <a:srcRect/>
                    <a:stretch>
                      <a:fillRect/>
                    </a:stretch>
                  </pic:blipFill>
                  <pic:spPr>
                    <a:xfrm>
                      <a:off x="0" y="0"/>
                      <a:ext cx="5733415" cy="4393565"/>
                    </a:xfrm>
                    <a:prstGeom prst="rect">
                      <a:avLst/>
                    </a:prstGeom>
                    <a:ln/>
                  </pic:spPr>
                </pic:pic>
              </a:graphicData>
            </a:graphic>
          </wp:inline>
        </w:drawing>
      </w:r>
    </w:p>
    <w:p w14:paraId="21509B5B" w14:textId="3A2229C4" w:rsidR="00E7693B" w:rsidRPr="00E7693B" w:rsidRDefault="00E7693B" w:rsidP="008E24E0">
      <w:pPr>
        <w:spacing w:before="240" w:line="360" w:lineRule="auto"/>
        <w:jc w:val="both"/>
        <w:rPr>
          <w:rFonts w:ascii="Times New Roman" w:hAnsi="Times New Roman" w:cs="Times New Roman"/>
        </w:rPr>
      </w:pPr>
      <w:r w:rsidRPr="00E7693B">
        <w:rPr>
          <w:rFonts w:ascii="Times New Roman" w:hAnsi="Times New Roman" w:cs="Times New Roman"/>
          <w:b/>
        </w:rPr>
        <w:t>Figure 18</w:t>
      </w:r>
      <w:r w:rsidRPr="00E7693B">
        <w:rPr>
          <w:rFonts w:ascii="Times New Roman" w:hAnsi="Times New Roman" w:cs="Times New Roman"/>
        </w:rPr>
        <w:t xml:space="preserve">. Activation of plant defence pathways in oilseed rape leaves inoculated by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rPr>
        <w:t xml:space="preserve">. Gene transcriptions were detected in control and </w:t>
      </w:r>
      <w:r w:rsidRPr="00E7693B">
        <w:rPr>
          <w:rFonts w:ascii="Times New Roman" w:hAnsi="Times New Roman" w:cs="Times New Roman"/>
          <w:i/>
        </w:rPr>
        <w:t xml:space="preserve">L.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)-inoculated leaves 3 and 7 days post fungal inoculation (dpi). Boxplots show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lowercase letters significant differences (P &lt; 0.05) between treatments for a given time point. </w:t>
      </w:r>
      <w:r w:rsidR="00D5128E" w:rsidRPr="00D5128E">
        <w:rPr>
          <w:rFonts w:ascii="Times New Roman" w:hAnsi="Times New Roman" w:cs="Times New Roman"/>
        </w:rPr>
        <w:t>Four independent experimental</w:t>
      </w:r>
      <w:r w:rsidR="00D5128E">
        <w:rPr>
          <w:rFonts w:ascii="Times New Roman" w:hAnsi="Times New Roman" w:cs="Times New Roman"/>
        </w:rPr>
        <w:t xml:space="preserve"> </w:t>
      </w:r>
      <w:r w:rsidR="00D5128E" w:rsidRPr="00D5128E">
        <w:rPr>
          <w:rFonts w:ascii="Times New Roman" w:hAnsi="Times New Roman" w:cs="Times New Roman"/>
        </w:rPr>
        <w:t>runs per treatment (control</w:t>
      </w:r>
      <w:r w:rsidR="00D5128E">
        <w:rPr>
          <w:rFonts w:ascii="Times New Roman" w:hAnsi="Times New Roman" w:cs="Times New Roman"/>
        </w:rPr>
        <w:t xml:space="preserve"> </w:t>
      </w:r>
      <w:r w:rsidR="00D5128E" w:rsidRPr="00D5128E">
        <w:rPr>
          <w:rFonts w:ascii="Times New Roman" w:hAnsi="Times New Roman" w:cs="Times New Roman"/>
        </w:rPr>
        <w:t xml:space="preserve">vs. </w:t>
      </w:r>
      <w:r w:rsidR="00D5128E" w:rsidRPr="00CD64A1">
        <w:rPr>
          <w:rFonts w:ascii="Times New Roman" w:hAnsi="Times New Roman" w:cs="Times New Roman"/>
          <w:i/>
          <w:iCs/>
        </w:rPr>
        <w:t xml:space="preserve">L. </w:t>
      </w:r>
      <w:proofErr w:type="spellStart"/>
      <w:r w:rsidR="00D5128E" w:rsidRPr="00CD64A1">
        <w:rPr>
          <w:rFonts w:ascii="Times New Roman" w:hAnsi="Times New Roman" w:cs="Times New Roman"/>
          <w:i/>
          <w:iCs/>
        </w:rPr>
        <w:t>maculans</w:t>
      </w:r>
      <w:proofErr w:type="spellEnd"/>
      <w:r w:rsidR="00D5128E" w:rsidRPr="00D5128E">
        <w:rPr>
          <w:rFonts w:ascii="Times New Roman" w:hAnsi="Times New Roman" w:cs="Times New Roman"/>
        </w:rPr>
        <w:t xml:space="preserve">-inoculated leaf) </w:t>
      </w:r>
      <w:r w:rsidR="00D5128E">
        <w:rPr>
          <w:rFonts w:ascii="Times New Roman" w:hAnsi="Times New Roman" w:cs="Times New Roman"/>
        </w:rPr>
        <w:t xml:space="preserve">and </w:t>
      </w:r>
      <w:r w:rsidR="00D5128E" w:rsidRPr="00D5128E">
        <w:rPr>
          <w:rFonts w:ascii="Times New Roman" w:hAnsi="Times New Roman" w:cs="Times New Roman"/>
        </w:rPr>
        <w:t>time point (3 and 7 dpi) were performed.</w:t>
      </w:r>
      <w:r w:rsidR="00D5128E">
        <w:rPr>
          <w:rFonts w:ascii="Times New Roman" w:hAnsi="Times New Roman" w:cs="Times New Roman"/>
        </w:rPr>
        <w:t xml:space="preserve"> </w:t>
      </w:r>
      <w:r w:rsidRPr="00E7693B">
        <w:rPr>
          <w:rFonts w:ascii="Times New Roman" w:hAnsi="Times New Roman" w:cs="Times New Roman"/>
        </w:rPr>
        <w:t xml:space="preserve">Abbreviations: </w:t>
      </w:r>
      <w:r w:rsidRPr="00E7693B">
        <w:rPr>
          <w:rFonts w:ascii="Times New Roman" w:hAnsi="Times New Roman" w:cs="Times New Roman"/>
          <w:i/>
        </w:rPr>
        <w:t xml:space="preserve">ICS1 </w:t>
      </w:r>
      <w:r w:rsidRPr="00E7693B">
        <w:rPr>
          <w:rFonts w:ascii="Times New Roman" w:hAnsi="Times New Roman" w:cs="Times New Roman"/>
        </w:rPr>
        <w:t xml:space="preserve">= </w:t>
      </w:r>
      <w:proofErr w:type="spellStart"/>
      <w:r w:rsidRPr="00E7693B">
        <w:rPr>
          <w:rFonts w:ascii="Times New Roman" w:hAnsi="Times New Roman" w:cs="Times New Roman"/>
          <w:i/>
        </w:rPr>
        <w:t>isochorismate</w:t>
      </w:r>
      <w:proofErr w:type="spellEnd"/>
      <w:r w:rsidRPr="00E7693B">
        <w:rPr>
          <w:rFonts w:ascii="Times New Roman" w:hAnsi="Times New Roman" w:cs="Times New Roman"/>
          <w:i/>
        </w:rPr>
        <w:t xml:space="preserve"> synthase 1</w:t>
      </w:r>
      <w:r w:rsidRPr="00E7693B">
        <w:rPr>
          <w:rFonts w:ascii="Times New Roman" w:hAnsi="Times New Roman" w:cs="Times New Roman"/>
        </w:rPr>
        <w:t xml:space="preserve">; </w:t>
      </w:r>
      <w:r w:rsidRPr="00E7693B">
        <w:rPr>
          <w:rFonts w:ascii="Times New Roman" w:hAnsi="Times New Roman" w:cs="Times New Roman"/>
          <w:i/>
        </w:rPr>
        <w:t xml:space="preserve">PAL1 </w:t>
      </w:r>
      <w:r w:rsidRPr="00E7693B">
        <w:rPr>
          <w:rFonts w:ascii="Times New Roman" w:hAnsi="Times New Roman" w:cs="Times New Roman"/>
        </w:rPr>
        <w:t xml:space="preserve">= </w:t>
      </w:r>
      <w:r w:rsidRPr="00E7693B">
        <w:rPr>
          <w:rFonts w:ascii="Times New Roman" w:hAnsi="Times New Roman" w:cs="Times New Roman"/>
          <w:i/>
        </w:rPr>
        <w:t>phenylalanine ammonia lyase 1</w:t>
      </w:r>
      <w:r w:rsidRPr="00E7693B">
        <w:rPr>
          <w:rFonts w:ascii="Times New Roman" w:hAnsi="Times New Roman" w:cs="Times New Roman"/>
        </w:rPr>
        <w:t xml:space="preserve">; </w:t>
      </w:r>
      <w:r w:rsidRPr="00E7693B">
        <w:rPr>
          <w:rFonts w:ascii="Times New Roman" w:hAnsi="Times New Roman" w:cs="Times New Roman"/>
          <w:i/>
        </w:rPr>
        <w:t xml:space="preserve">LOX3 </w:t>
      </w:r>
      <w:r w:rsidRPr="00E7693B">
        <w:rPr>
          <w:rFonts w:ascii="Times New Roman" w:hAnsi="Times New Roman" w:cs="Times New Roman"/>
        </w:rPr>
        <w:t xml:space="preserve">= </w:t>
      </w:r>
      <w:r w:rsidRPr="00E7693B">
        <w:rPr>
          <w:rFonts w:ascii="Times New Roman" w:hAnsi="Times New Roman" w:cs="Times New Roman"/>
          <w:i/>
        </w:rPr>
        <w:t>lipoxygenase 3</w:t>
      </w:r>
      <w:r w:rsidRPr="00E7693B">
        <w:rPr>
          <w:rFonts w:ascii="Times New Roman" w:hAnsi="Times New Roman" w:cs="Times New Roman"/>
        </w:rPr>
        <w:t xml:space="preserve">; </w:t>
      </w:r>
      <w:r w:rsidRPr="00E7693B">
        <w:rPr>
          <w:rFonts w:ascii="Times New Roman" w:hAnsi="Times New Roman" w:cs="Times New Roman"/>
          <w:i/>
        </w:rPr>
        <w:t>ACS2</w:t>
      </w:r>
      <w:r w:rsidRPr="00E7693B">
        <w:rPr>
          <w:rFonts w:ascii="Times New Roman" w:hAnsi="Times New Roman" w:cs="Times New Roman"/>
        </w:rPr>
        <w:t xml:space="preserve"> = </w:t>
      </w:r>
      <w:r w:rsidRPr="00E7693B">
        <w:rPr>
          <w:rFonts w:ascii="Times New Roman" w:hAnsi="Times New Roman" w:cs="Times New Roman"/>
          <w:i/>
        </w:rPr>
        <w:t>ACC synthase 2</w:t>
      </w:r>
      <w:r w:rsidRPr="00E7693B">
        <w:rPr>
          <w:rFonts w:ascii="Times New Roman" w:hAnsi="Times New Roman" w:cs="Times New Roman"/>
        </w:rPr>
        <w:t xml:space="preserve">; </w:t>
      </w:r>
      <w:r w:rsidRPr="00E7693B">
        <w:rPr>
          <w:rFonts w:ascii="Times New Roman" w:hAnsi="Times New Roman" w:cs="Times New Roman"/>
          <w:i/>
        </w:rPr>
        <w:t>PR1 = pathogenesis related 1</w:t>
      </w:r>
      <w:r w:rsidRPr="00E7693B">
        <w:rPr>
          <w:rFonts w:ascii="Times New Roman" w:hAnsi="Times New Roman" w:cs="Times New Roman"/>
        </w:rPr>
        <w:t xml:space="preserve">; </w:t>
      </w:r>
      <w:r w:rsidRPr="00E7693B">
        <w:rPr>
          <w:rFonts w:ascii="Times New Roman" w:hAnsi="Times New Roman" w:cs="Times New Roman"/>
          <w:i/>
        </w:rPr>
        <w:t xml:space="preserve">VSP </w:t>
      </w:r>
      <w:r w:rsidRPr="00E7693B">
        <w:rPr>
          <w:rFonts w:ascii="Times New Roman" w:hAnsi="Times New Roman" w:cs="Times New Roman"/>
        </w:rPr>
        <w:t xml:space="preserve">= </w:t>
      </w:r>
      <w:r w:rsidRPr="00E7693B">
        <w:rPr>
          <w:rFonts w:ascii="Times New Roman" w:hAnsi="Times New Roman" w:cs="Times New Roman"/>
          <w:i/>
        </w:rPr>
        <w:t>vegetative storage protein</w:t>
      </w:r>
      <w:r w:rsidRPr="00E7693B">
        <w:rPr>
          <w:rFonts w:ascii="Times New Roman" w:hAnsi="Times New Roman" w:cs="Times New Roman"/>
        </w:rPr>
        <w:t xml:space="preserve">; </w:t>
      </w:r>
      <w:r w:rsidRPr="00E7693B">
        <w:rPr>
          <w:rFonts w:ascii="Times New Roman" w:hAnsi="Times New Roman" w:cs="Times New Roman"/>
          <w:i/>
        </w:rPr>
        <w:t xml:space="preserve">βCHI </w:t>
      </w:r>
      <w:r w:rsidRPr="00E7693B">
        <w:rPr>
          <w:rFonts w:ascii="Times New Roman" w:hAnsi="Times New Roman" w:cs="Times New Roman"/>
        </w:rPr>
        <w:t xml:space="preserve">= </w:t>
      </w:r>
      <w:r w:rsidRPr="00E7693B">
        <w:rPr>
          <w:rFonts w:ascii="Times New Roman" w:hAnsi="Times New Roman" w:cs="Times New Roman"/>
          <w:i/>
        </w:rPr>
        <w:t>β-chitinase</w:t>
      </w:r>
      <w:r w:rsidRPr="00E7693B">
        <w:rPr>
          <w:rFonts w:ascii="Times New Roman" w:hAnsi="Times New Roman" w:cs="Times New Roman"/>
        </w:rPr>
        <w:t xml:space="preserve">; </w:t>
      </w:r>
      <w:r w:rsidRPr="00E7693B">
        <w:rPr>
          <w:rFonts w:ascii="Times New Roman" w:hAnsi="Times New Roman" w:cs="Times New Roman"/>
          <w:i/>
        </w:rPr>
        <w:t xml:space="preserve">HEL </w:t>
      </w:r>
      <w:r w:rsidRPr="00E7693B">
        <w:rPr>
          <w:rFonts w:ascii="Times New Roman" w:hAnsi="Times New Roman" w:cs="Times New Roman"/>
        </w:rPr>
        <w:t xml:space="preserve">= </w:t>
      </w:r>
      <w:proofErr w:type="spellStart"/>
      <w:r w:rsidRPr="00E7693B">
        <w:rPr>
          <w:rFonts w:ascii="Times New Roman" w:hAnsi="Times New Roman" w:cs="Times New Roman"/>
          <w:i/>
        </w:rPr>
        <w:t>hevein</w:t>
      </w:r>
      <w:proofErr w:type="spellEnd"/>
      <w:r w:rsidRPr="00E7693B">
        <w:rPr>
          <w:rFonts w:ascii="Times New Roman" w:hAnsi="Times New Roman" w:cs="Times New Roman"/>
          <w:i/>
        </w:rPr>
        <w:t>-like</w:t>
      </w:r>
      <w:r w:rsidRPr="00E7693B">
        <w:rPr>
          <w:rFonts w:ascii="Times New Roman" w:hAnsi="Times New Roman" w:cs="Times New Roman"/>
        </w:rPr>
        <w:t xml:space="preserve">; SA = salicylic acid; JA = </w:t>
      </w:r>
      <w:proofErr w:type="spellStart"/>
      <w:r w:rsidRPr="00E7693B">
        <w:rPr>
          <w:rFonts w:ascii="Times New Roman" w:hAnsi="Times New Roman" w:cs="Times New Roman"/>
        </w:rPr>
        <w:t>jasmonic</w:t>
      </w:r>
      <w:proofErr w:type="spellEnd"/>
      <w:r w:rsidRPr="00E7693B">
        <w:rPr>
          <w:rFonts w:ascii="Times New Roman" w:hAnsi="Times New Roman" w:cs="Times New Roman"/>
        </w:rPr>
        <w:t xml:space="preserve"> acid; ET = ethylene; ns = not significant.</w:t>
      </w:r>
    </w:p>
    <w:p w14:paraId="21509B5C" w14:textId="6FE1239E" w:rsidR="00E7693B" w:rsidRPr="00333579" w:rsidRDefault="00E7693B" w:rsidP="00184E62">
      <w:pPr>
        <w:spacing w:before="240"/>
        <w:jc w:val="both"/>
        <w:rPr>
          <w:rFonts w:ascii="Times New Roman" w:hAnsi="Times New Roman" w:cs="Times New Roman"/>
        </w:rPr>
      </w:pPr>
      <w:r w:rsidRPr="00E7693B">
        <w:rPr>
          <w:rFonts w:ascii="Times New Roman" w:hAnsi="Times New Roman" w:cs="Times New Roman"/>
          <w:b/>
          <w:color w:val="000000"/>
        </w:rPr>
        <w:t>Table 2</w:t>
      </w:r>
      <w:r w:rsidRPr="00E7693B">
        <w:rPr>
          <w:rFonts w:ascii="Times New Roman" w:hAnsi="Times New Roman" w:cs="Times New Roman"/>
          <w:color w:val="000000"/>
        </w:rPr>
        <w:t>. Statistic</w:t>
      </w:r>
      <w:r w:rsidR="00333579">
        <w:rPr>
          <w:rFonts w:ascii="Times New Roman" w:hAnsi="Times New Roman" w:cs="Times New Roman"/>
          <w:color w:val="000000"/>
        </w:rPr>
        <w:t>al output for each compound from analysis to determine differences in the transcript levels</w:t>
      </w:r>
      <w:r w:rsidRPr="00E7693B">
        <w:rPr>
          <w:rFonts w:ascii="Times New Roman" w:hAnsi="Times New Roman" w:cs="Times New Roman"/>
          <w:color w:val="000000"/>
        </w:rPr>
        <w:t xml:space="preserve"> of defence genes</w:t>
      </w:r>
      <w:r w:rsidR="00333579">
        <w:rPr>
          <w:rFonts w:ascii="Times New Roman" w:hAnsi="Times New Roman" w:cs="Times New Roman"/>
          <w:color w:val="000000"/>
        </w:rPr>
        <w:t xml:space="preserve"> between</w:t>
      </w:r>
      <w:r w:rsidR="00184E62">
        <w:rPr>
          <w:rFonts w:ascii="Times New Roman" w:hAnsi="Times New Roman" w:cs="Times New Roman"/>
          <w:color w:val="000000"/>
        </w:rPr>
        <w:t xml:space="preserve"> control oilseed rape leaves and</w:t>
      </w:r>
      <w:r w:rsidR="00333579">
        <w:rPr>
          <w:rFonts w:ascii="Times New Roman" w:hAnsi="Times New Roman" w:cs="Times New Roman"/>
          <w:color w:val="000000"/>
        </w:rPr>
        <w:t xml:space="preserve"> </w:t>
      </w:r>
      <w:r w:rsidR="00333579">
        <w:rPr>
          <w:rFonts w:ascii="Times New Roman" w:hAnsi="Times New Roman" w:cs="Times New Roman"/>
          <w:i/>
          <w:iCs/>
          <w:color w:val="000000"/>
        </w:rPr>
        <w:t xml:space="preserve">L. </w:t>
      </w:r>
      <w:proofErr w:type="spellStart"/>
      <w:r w:rsidR="00333579">
        <w:rPr>
          <w:rFonts w:ascii="Times New Roman" w:hAnsi="Times New Roman" w:cs="Times New Roman"/>
          <w:i/>
          <w:iCs/>
          <w:color w:val="000000"/>
        </w:rPr>
        <w:t>maculans</w:t>
      </w:r>
      <w:proofErr w:type="spellEnd"/>
      <w:r w:rsidR="00333579">
        <w:rPr>
          <w:rFonts w:ascii="Times New Roman" w:hAnsi="Times New Roman" w:cs="Times New Roman"/>
          <w:color w:val="000000"/>
        </w:rPr>
        <w:t xml:space="preserve">-inoculated </w:t>
      </w:r>
      <w:r w:rsidR="00184E62">
        <w:rPr>
          <w:rFonts w:ascii="Times New Roman" w:hAnsi="Times New Roman" w:cs="Times New Roman"/>
          <w:color w:val="000000"/>
        </w:rPr>
        <w:t xml:space="preserve">leaves </w:t>
      </w:r>
      <w:r w:rsidR="00333579">
        <w:rPr>
          <w:rFonts w:ascii="Times New Roman" w:hAnsi="Times New Roman" w:cs="Times New Roman"/>
          <w:color w:val="000000"/>
        </w:rPr>
        <w:t>at 3 and 7 days post inoculation</w:t>
      </w:r>
      <w:r w:rsidRPr="00E7693B">
        <w:rPr>
          <w:rFonts w:ascii="Times New Roman" w:hAnsi="Times New Roman" w:cs="Times New Roman"/>
          <w:color w:val="000000"/>
        </w:rPr>
        <w:t>. ".": P &lt; 0.1, *: P &lt; 0.05, **: P &lt; 0.01, ***: P &lt; 0.001</w:t>
      </w:r>
      <w:r w:rsidR="00333579">
        <w:rPr>
          <w:rFonts w:ascii="Times New Roman" w:hAnsi="Times New Roman" w:cs="Times New Roman"/>
          <w:color w:val="000000"/>
        </w:rPr>
        <w:t xml:space="preserve">; </w:t>
      </w:r>
      <w:r w:rsidR="00333579" w:rsidRPr="00333579">
        <w:rPr>
          <w:rFonts w:ascii="Times New Roman" w:hAnsi="Times New Roman" w:cs="Times New Roman"/>
          <w:i/>
          <w:iCs/>
          <w:color w:val="000000"/>
        </w:rPr>
        <w:t>treatment</w:t>
      </w:r>
      <w:r w:rsidR="00333579">
        <w:rPr>
          <w:rFonts w:ascii="Times New Roman" w:hAnsi="Times New Roman" w:cs="Times New Roman"/>
          <w:color w:val="000000"/>
        </w:rPr>
        <w:t xml:space="preserve">: control vs. </w:t>
      </w:r>
      <w:r w:rsidR="00333579">
        <w:rPr>
          <w:rFonts w:ascii="Times New Roman" w:hAnsi="Times New Roman" w:cs="Times New Roman"/>
          <w:i/>
          <w:iCs/>
          <w:color w:val="000000"/>
        </w:rPr>
        <w:t xml:space="preserve">L. </w:t>
      </w:r>
      <w:proofErr w:type="spellStart"/>
      <w:r w:rsidR="00333579">
        <w:rPr>
          <w:rFonts w:ascii="Times New Roman" w:hAnsi="Times New Roman" w:cs="Times New Roman"/>
          <w:i/>
          <w:iCs/>
          <w:color w:val="000000"/>
        </w:rPr>
        <w:t>maculans</w:t>
      </w:r>
      <w:proofErr w:type="spellEnd"/>
      <w:r w:rsidR="00333579">
        <w:rPr>
          <w:rFonts w:ascii="Times New Roman" w:hAnsi="Times New Roman" w:cs="Times New Roman"/>
          <w:color w:val="000000"/>
        </w:rPr>
        <w:t xml:space="preserve">-inoculated leaf; </w:t>
      </w:r>
      <w:r w:rsidR="00333579" w:rsidRPr="00333579">
        <w:rPr>
          <w:rFonts w:ascii="Times New Roman" w:hAnsi="Times New Roman" w:cs="Times New Roman"/>
          <w:i/>
          <w:iCs/>
          <w:color w:val="000000"/>
        </w:rPr>
        <w:t>time</w:t>
      </w:r>
      <w:r w:rsidR="00333579">
        <w:rPr>
          <w:rFonts w:ascii="Times New Roman" w:hAnsi="Times New Roman" w:cs="Times New Roman"/>
          <w:color w:val="000000"/>
        </w:rPr>
        <w:t xml:space="preserve">: </w:t>
      </w:r>
      <w:r w:rsidR="00184E62">
        <w:rPr>
          <w:rFonts w:ascii="Times New Roman" w:hAnsi="Times New Roman" w:cs="Times New Roman"/>
          <w:color w:val="000000"/>
        </w:rPr>
        <w:t>3 vs. 7 days post inoculation.</w:t>
      </w:r>
    </w:p>
    <w:tbl>
      <w:tblPr>
        <w:tblW w:w="9088" w:type="dxa"/>
        <w:tblInd w:w="-10" w:type="dxa"/>
        <w:tblLayout w:type="fixed"/>
        <w:tblCellMar>
          <w:left w:w="10" w:type="dxa"/>
          <w:right w:w="10" w:type="dxa"/>
        </w:tblCellMar>
        <w:tblLook w:val="0400" w:firstRow="0" w:lastRow="0" w:firstColumn="0" w:lastColumn="0" w:noHBand="0" w:noVBand="1"/>
      </w:tblPr>
      <w:tblGrid>
        <w:gridCol w:w="1727"/>
        <w:gridCol w:w="757"/>
        <w:gridCol w:w="460"/>
        <w:gridCol w:w="602"/>
        <w:gridCol w:w="530"/>
        <w:gridCol w:w="682"/>
        <w:gridCol w:w="336"/>
        <w:gridCol w:w="525"/>
        <w:gridCol w:w="470"/>
        <w:gridCol w:w="642"/>
        <w:gridCol w:w="388"/>
        <w:gridCol w:w="525"/>
        <w:gridCol w:w="470"/>
        <w:gridCol w:w="974"/>
      </w:tblGrid>
      <w:tr w:rsidR="00E7693B" w:rsidRPr="00E7693B" w14:paraId="21509B62" w14:textId="77777777">
        <w:trPr>
          <w:trHeight w:val="300"/>
        </w:trPr>
        <w:tc>
          <w:tcPr>
            <w:tcW w:w="1727" w:type="dxa"/>
            <w:vMerge w:val="restart"/>
            <w:tcBorders>
              <w:top w:val="single" w:sz="4" w:space="0" w:color="000000"/>
            </w:tcBorders>
            <w:shd w:val="clear" w:color="auto" w:fill="auto"/>
            <w:vAlign w:val="center"/>
          </w:tcPr>
          <w:p w14:paraId="21509B5D"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Compound</w:t>
            </w:r>
          </w:p>
        </w:tc>
        <w:tc>
          <w:tcPr>
            <w:tcW w:w="2349" w:type="dxa"/>
            <w:gridSpan w:val="4"/>
            <w:tcBorders>
              <w:top w:val="single" w:sz="4" w:space="0" w:color="000000"/>
            </w:tcBorders>
            <w:shd w:val="clear" w:color="auto" w:fill="auto"/>
            <w:vAlign w:val="bottom"/>
          </w:tcPr>
          <w:p w14:paraId="21509B5E"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Treatment</w:t>
            </w:r>
          </w:p>
        </w:tc>
        <w:tc>
          <w:tcPr>
            <w:tcW w:w="2013" w:type="dxa"/>
            <w:gridSpan w:val="4"/>
            <w:tcBorders>
              <w:top w:val="single" w:sz="4" w:space="0" w:color="000000"/>
            </w:tcBorders>
            <w:shd w:val="clear" w:color="auto" w:fill="auto"/>
            <w:vAlign w:val="bottom"/>
          </w:tcPr>
          <w:p w14:paraId="21509B5F"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Time</w:t>
            </w:r>
          </w:p>
        </w:tc>
        <w:tc>
          <w:tcPr>
            <w:tcW w:w="2025" w:type="dxa"/>
            <w:gridSpan w:val="4"/>
            <w:tcBorders>
              <w:top w:val="single" w:sz="4" w:space="0" w:color="000000"/>
            </w:tcBorders>
            <w:shd w:val="clear" w:color="auto" w:fill="auto"/>
            <w:vAlign w:val="bottom"/>
          </w:tcPr>
          <w:p w14:paraId="21509B60"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Treatment:Time</w:t>
            </w:r>
            <w:proofErr w:type="spellEnd"/>
          </w:p>
        </w:tc>
        <w:tc>
          <w:tcPr>
            <w:tcW w:w="974" w:type="dxa"/>
            <w:tcBorders>
              <w:top w:val="single" w:sz="4" w:space="0" w:color="000000"/>
            </w:tcBorders>
            <w:shd w:val="clear" w:color="auto" w:fill="auto"/>
            <w:vAlign w:val="bottom"/>
          </w:tcPr>
          <w:p w14:paraId="21509B61"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w:t>
            </w:r>
          </w:p>
        </w:tc>
      </w:tr>
      <w:tr w:rsidR="00E7693B" w:rsidRPr="00E7693B" w14:paraId="21509B6F" w14:textId="77777777">
        <w:trPr>
          <w:trHeight w:val="315"/>
        </w:trPr>
        <w:tc>
          <w:tcPr>
            <w:tcW w:w="1727" w:type="dxa"/>
            <w:vMerge/>
            <w:tcBorders>
              <w:top w:val="single" w:sz="4" w:space="0" w:color="000000"/>
            </w:tcBorders>
            <w:shd w:val="clear" w:color="auto" w:fill="auto"/>
            <w:vAlign w:val="center"/>
          </w:tcPr>
          <w:p w14:paraId="21509B63" w14:textId="77777777" w:rsidR="00E7693B" w:rsidRPr="00E7693B" w:rsidRDefault="00E7693B">
            <w:pPr>
              <w:widowControl w:val="0"/>
              <w:pBdr>
                <w:top w:val="nil"/>
                <w:left w:val="nil"/>
                <w:bottom w:val="nil"/>
                <w:right w:val="nil"/>
                <w:between w:val="nil"/>
              </w:pBdr>
              <w:spacing w:line="276" w:lineRule="auto"/>
              <w:rPr>
                <w:rFonts w:ascii="Times New Roman" w:hAnsi="Times New Roman" w:cs="Times New Roman"/>
                <w:b/>
                <w:color w:val="000000"/>
              </w:rPr>
            </w:pPr>
          </w:p>
        </w:tc>
        <w:tc>
          <w:tcPr>
            <w:tcW w:w="757" w:type="dxa"/>
            <w:tcBorders>
              <w:bottom w:val="single" w:sz="4" w:space="0" w:color="000000"/>
            </w:tcBorders>
            <w:shd w:val="clear" w:color="auto" w:fill="auto"/>
            <w:vAlign w:val="bottom"/>
          </w:tcPr>
          <w:p w14:paraId="21509B64"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w:t>
            </w:r>
          </w:p>
          <w:p w14:paraId="21509B65"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value</w:t>
            </w:r>
          </w:p>
        </w:tc>
        <w:tc>
          <w:tcPr>
            <w:tcW w:w="460" w:type="dxa"/>
            <w:tcBorders>
              <w:bottom w:val="single" w:sz="4" w:space="0" w:color="000000"/>
            </w:tcBorders>
            <w:shd w:val="clear" w:color="auto" w:fill="auto"/>
            <w:vAlign w:val="bottom"/>
          </w:tcPr>
          <w:p w14:paraId="21509B66"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1132" w:type="dxa"/>
            <w:gridSpan w:val="2"/>
            <w:tcBorders>
              <w:bottom w:val="single" w:sz="4" w:space="0" w:color="000000"/>
            </w:tcBorders>
            <w:shd w:val="clear" w:color="auto" w:fill="auto"/>
            <w:vAlign w:val="bottom"/>
          </w:tcPr>
          <w:p w14:paraId="21509B67"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82" w:type="dxa"/>
            <w:tcBorders>
              <w:bottom w:val="single" w:sz="4" w:space="0" w:color="000000"/>
            </w:tcBorders>
            <w:shd w:val="clear" w:color="auto" w:fill="auto"/>
            <w:vAlign w:val="bottom"/>
          </w:tcPr>
          <w:p w14:paraId="21509B68"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336" w:type="dxa"/>
            <w:tcBorders>
              <w:bottom w:val="single" w:sz="4" w:space="0" w:color="000000"/>
            </w:tcBorders>
            <w:shd w:val="clear" w:color="auto" w:fill="auto"/>
            <w:vAlign w:val="bottom"/>
          </w:tcPr>
          <w:p w14:paraId="21509B69"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995" w:type="dxa"/>
            <w:gridSpan w:val="2"/>
            <w:tcBorders>
              <w:bottom w:val="single" w:sz="4" w:space="0" w:color="000000"/>
            </w:tcBorders>
            <w:shd w:val="clear" w:color="auto" w:fill="auto"/>
            <w:vAlign w:val="bottom"/>
          </w:tcPr>
          <w:p w14:paraId="21509B6A"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42" w:type="dxa"/>
            <w:tcBorders>
              <w:bottom w:val="single" w:sz="4" w:space="0" w:color="000000"/>
            </w:tcBorders>
            <w:shd w:val="clear" w:color="auto" w:fill="auto"/>
            <w:vAlign w:val="bottom"/>
          </w:tcPr>
          <w:p w14:paraId="21509B6B"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388" w:type="dxa"/>
            <w:tcBorders>
              <w:bottom w:val="single" w:sz="4" w:space="0" w:color="000000"/>
            </w:tcBorders>
            <w:shd w:val="clear" w:color="auto" w:fill="auto"/>
            <w:vAlign w:val="bottom"/>
          </w:tcPr>
          <w:p w14:paraId="21509B6C"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995" w:type="dxa"/>
            <w:gridSpan w:val="2"/>
            <w:tcBorders>
              <w:bottom w:val="single" w:sz="4" w:space="0" w:color="000000"/>
            </w:tcBorders>
            <w:shd w:val="clear" w:color="auto" w:fill="auto"/>
            <w:vAlign w:val="bottom"/>
          </w:tcPr>
          <w:p w14:paraId="21509B6D"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974" w:type="dxa"/>
            <w:tcBorders>
              <w:bottom w:val="single" w:sz="4" w:space="0" w:color="000000"/>
            </w:tcBorders>
            <w:shd w:val="clear" w:color="auto" w:fill="auto"/>
            <w:vAlign w:val="bottom"/>
          </w:tcPr>
          <w:p w14:paraId="21509B6E"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xml:space="preserve">Residual </w:t>
            </w:r>
            <w:proofErr w:type="spellStart"/>
            <w:r w:rsidRPr="00E7693B">
              <w:rPr>
                <w:rFonts w:ascii="Times New Roman" w:hAnsi="Times New Roman" w:cs="Times New Roman"/>
                <w:b/>
                <w:color w:val="000000"/>
              </w:rPr>
              <w:t>df</w:t>
            </w:r>
            <w:proofErr w:type="spellEnd"/>
          </w:p>
        </w:tc>
      </w:tr>
      <w:tr w:rsidR="00E7693B" w:rsidRPr="00E7693B" w14:paraId="21509B7E" w14:textId="77777777">
        <w:trPr>
          <w:trHeight w:val="806"/>
        </w:trPr>
        <w:tc>
          <w:tcPr>
            <w:tcW w:w="1727" w:type="dxa"/>
            <w:tcBorders>
              <w:top w:val="single" w:sz="4" w:space="0" w:color="000000"/>
            </w:tcBorders>
            <w:shd w:val="clear" w:color="auto" w:fill="auto"/>
            <w:vAlign w:val="center"/>
          </w:tcPr>
          <w:p w14:paraId="21509B70" w14:textId="77777777" w:rsidR="00E7693B" w:rsidRPr="00E7693B" w:rsidRDefault="00E7693B">
            <w:pPr>
              <w:rPr>
                <w:rFonts w:ascii="Times New Roman" w:hAnsi="Times New Roman" w:cs="Times New Roman"/>
                <w:i/>
                <w:color w:val="000000"/>
              </w:rPr>
            </w:pPr>
            <w:proofErr w:type="spellStart"/>
            <w:r w:rsidRPr="00E7693B">
              <w:rPr>
                <w:rFonts w:ascii="Times New Roman" w:hAnsi="Times New Roman" w:cs="Times New Roman"/>
                <w:i/>
                <w:color w:val="000000"/>
              </w:rPr>
              <w:t>isochorismate</w:t>
            </w:r>
            <w:proofErr w:type="spellEnd"/>
            <w:r w:rsidRPr="00E7693B">
              <w:rPr>
                <w:rFonts w:ascii="Times New Roman" w:hAnsi="Times New Roman" w:cs="Times New Roman"/>
                <w:i/>
                <w:color w:val="000000"/>
              </w:rPr>
              <w:t xml:space="preserve"> synthase 1, ICS1</w:t>
            </w:r>
          </w:p>
        </w:tc>
        <w:tc>
          <w:tcPr>
            <w:tcW w:w="757" w:type="dxa"/>
            <w:tcBorders>
              <w:top w:val="single" w:sz="4" w:space="0" w:color="000000"/>
            </w:tcBorders>
            <w:shd w:val="clear" w:color="auto" w:fill="auto"/>
            <w:vAlign w:val="center"/>
          </w:tcPr>
          <w:p w14:paraId="21509B7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201.95</w:t>
            </w:r>
          </w:p>
        </w:tc>
        <w:tc>
          <w:tcPr>
            <w:tcW w:w="460" w:type="dxa"/>
            <w:tcBorders>
              <w:top w:val="single" w:sz="4" w:space="0" w:color="000000"/>
            </w:tcBorders>
            <w:shd w:val="clear" w:color="auto" w:fill="auto"/>
            <w:vAlign w:val="center"/>
          </w:tcPr>
          <w:p w14:paraId="21509B7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2" w:type="dxa"/>
            <w:tcBorders>
              <w:top w:val="single" w:sz="4" w:space="0" w:color="000000"/>
            </w:tcBorders>
            <w:shd w:val="clear" w:color="auto" w:fill="auto"/>
            <w:vAlign w:val="center"/>
          </w:tcPr>
          <w:p w14:paraId="21509B7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30" w:type="dxa"/>
            <w:tcBorders>
              <w:top w:val="single" w:sz="4" w:space="0" w:color="000000"/>
            </w:tcBorders>
            <w:shd w:val="clear" w:color="auto" w:fill="auto"/>
            <w:vAlign w:val="center"/>
          </w:tcPr>
          <w:p w14:paraId="21509B7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82" w:type="dxa"/>
            <w:tcBorders>
              <w:top w:val="single" w:sz="4" w:space="0" w:color="000000"/>
            </w:tcBorders>
            <w:shd w:val="clear" w:color="auto" w:fill="auto"/>
            <w:vAlign w:val="center"/>
          </w:tcPr>
          <w:p w14:paraId="21509B7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37.74</w:t>
            </w:r>
          </w:p>
        </w:tc>
        <w:tc>
          <w:tcPr>
            <w:tcW w:w="336" w:type="dxa"/>
            <w:tcBorders>
              <w:top w:val="single" w:sz="4" w:space="0" w:color="000000"/>
            </w:tcBorders>
            <w:shd w:val="clear" w:color="auto" w:fill="auto"/>
            <w:vAlign w:val="center"/>
          </w:tcPr>
          <w:p w14:paraId="21509B7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tcBorders>
              <w:top w:val="single" w:sz="4" w:space="0" w:color="000000"/>
            </w:tcBorders>
            <w:shd w:val="clear" w:color="auto" w:fill="auto"/>
            <w:vAlign w:val="center"/>
          </w:tcPr>
          <w:p w14:paraId="21509B7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470" w:type="dxa"/>
            <w:tcBorders>
              <w:top w:val="single" w:sz="4" w:space="0" w:color="000000"/>
            </w:tcBorders>
            <w:shd w:val="clear" w:color="auto" w:fill="auto"/>
            <w:vAlign w:val="center"/>
          </w:tcPr>
          <w:p w14:paraId="21509B7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42" w:type="dxa"/>
            <w:tcBorders>
              <w:top w:val="single" w:sz="4" w:space="0" w:color="000000"/>
            </w:tcBorders>
            <w:shd w:val="clear" w:color="auto" w:fill="auto"/>
            <w:vAlign w:val="center"/>
          </w:tcPr>
          <w:p w14:paraId="21509B7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58.89</w:t>
            </w:r>
          </w:p>
        </w:tc>
        <w:tc>
          <w:tcPr>
            <w:tcW w:w="388" w:type="dxa"/>
            <w:tcBorders>
              <w:top w:val="single" w:sz="4" w:space="0" w:color="000000"/>
            </w:tcBorders>
            <w:shd w:val="clear" w:color="auto" w:fill="auto"/>
            <w:vAlign w:val="center"/>
          </w:tcPr>
          <w:p w14:paraId="21509B7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tcBorders>
              <w:top w:val="single" w:sz="4" w:space="0" w:color="000000"/>
            </w:tcBorders>
            <w:shd w:val="clear" w:color="auto" w:fill="auto"/>
            <w:vAlign w:val="center"/>
          </w:tcPr>
          <w:p w14:paraId="21509B7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470" w:type="dxa"/>
            <w:tcBorders>
              <w:top w:val="single" w:sz="4" w:space="0" w:color="000000"/>
            </w:tcBorders>
            <w:shd w:val="clear" w:color="auto" w:fill="auto"/>
            <w:vAlign w:val="center"/>
          </w:tcPr>
          <w:p w14:paraId="21509B7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74" w:type="dxa"/>
            <w:tcBorders>
              <w:top w:val="single" w:sz="4" w:space="0" w:color="000000"/>
            </w:tcBorders>
            <w:shd w:val="clear" w:color="auto" w:fill="auto"/>
            <w:vAlign w:val="center"/>
          </w:tcPr>
          <w:p w14:paraId="21509B7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13</w:t>
            </w:r>
          </w:p>
        </w:tc>
      </w:tr>
      <w:tr w:rsidR="00E7693B" w:rsidRPr="00E7693B" w14:paraId="21509B8D" w14:textId="77777777">
        <w:trPr>
          <w:trHeight w:val="806"/>
        </w:trPr>
        <w:tc>
          <w:tcPr>
            <w:tcW w:w="1727" w:type="dxa"/>
            <w:shd w:val="clear" w:color="auto" w:fill="auto"/>
            <w:vAlign w:val="center"/>
          </w:tcPr>
          <w:p w14:paraId="21509B7F"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color w:val="000000"/>
              </w:rPr>
              <w:t>phenylalanine ammonia lyase 1, PAL1</w:t>
            </w:r>
          </w:p>
        </w:tc>
        <w:tc>
          <w:tcPr>
            <w:tcW w:w="757" w:type="dxa"/>
            <w:shd w:val="clear" w:color="auto" w:fill="auto"/>
            <w:vAlign w:val="center"/>
          </w:tcPr>
          <w:p w14:paraId="21509B8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62.47</w:t>
            </w:r>
          </w:p>
        </w:tc>
        <w:tc>
          <w:tcPr>
            <w:tcW w:w="460" w:type="dxa"/>
            <w:shd w:val="clear" w:color="auto" w:fill="auto"/>
            <w:vAlign w:val="center"/>
          </w:tcPr>
          <w:p w14:paraId="21509B8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2" w:type="dxa"/>
            <w:shd w:val="clear" w:color="auto" w:fill="auto"/>
            <w:vAlign w:val="center"/>
          </w:tcPr>
          <w:p w14:paraId="21509B8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30" w:type="dxa"/>
            <w:shd w:val="clear" w:color="auto" w:fill="auto"/>
            <w:vAlign w:val="center"/>
          </w:tcPr>
          <w:p w14:paraId="21509B8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82" w:type="dxa"/>
            <w:shd w:val="clear" w:color="auto" w:fill="auto"/>
            <w:vAlign w:val="center"/>
          </w:tcPr>
          <w:p w14:paraId="21509B8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3.23</w:t>
            </w:r>
          </w:p>
        </w:tc>
        <w:tc>
          <w:tcPr>
            <w:tcW w:w="336" w:type="dxa"/>
            <w:shd w:val="clear" w:color="auto" w:fill="auto"/>
            <w:vAlign w:val="center"/>
          </w:tcPr>
          <w:p w14:paraId="21509B8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8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0.19</w:t>
            </w:r>
          </w:p>
        </w:tc>
        <w:tc>
          <w:tcPr>
            <w:tcW w:w="470" w:type="dxa"/>
            <w:shd w:val="clear" w:color="auto" w:fill="auto"/>
            <w:vAlign w:val="center"/>
          </w:tcPr>
          <w:p w14:paraId="21509B87"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9B8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7.34</w:t>
            </w:r>
          </w:p>
        </w:tc>
        <w:tc>
          <w:tcPr>
            <w:tcW w:w="388" w:type="dxa"/>
            <w:shd w:val="clear" w:color="auto" w:fill="auto"/>
            <w:vAlign w:val="center"/>
          </w:tcPr>
          <w:p w14:paraId="21509B8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8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0.05</w:t>
            </w:r>
          </w:p>
        </w:tc>
        <w:tc>
          <w:tcPr>
            <w:tcW w:w="470" w:type="dxa"/>
            <w:shd w:val="clear" w:color="auto" w:fill="auto"/>
            <w:vAlign w:val="center"/>
          </w:tcPr>
          <w:p w14:paraId="21509B8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74" w:type="dxa"/>
            <w:shd w:val="clear" w:color="auto" w:fill="auto"/>
            <w:vAlign w:val="center"/>
          </w:tcPr>
          <w:p w14:paraId="21509B8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12</w:t>
            </w:r>
          </w:p>
        </w:tc>
      </w:tr>
      <w:tr w:rsidR="00E7693B" w:rsidRPr="00E7693B" w14:paraId="21509B9C" w14:textId="77777777">
        <w:trPr>
          <w:trHeight w:val="806"/>
        </w:trPr>
        <w:tc>
          <w:tcPr>
            <w:tcW w:w="1727" w:type="dxa"/>
            <w:shd w:val="clear" w:color="auto" w:fill="auto"/>
            <w:vAlign w:val="center"/>
          </w:tcPr>
          <w:p w14:paraId="21509B8E"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color w:val="000000"/>
              </w:rPr>
              <w:t>pathogenesis related 1, PRI1</w:t>
            </w:r>
          </w:p>
        </w:tc>
        <w:tc>
          <w:tcPr>
            <w:tcW w:w="757" w:type="dxa"/>
            <w:shd w:val="clear" w:color="auto" w:fill="auto"/>
            <w:vAlign w:val="center"/>
          </w:tcPr>
          <w:p w14:paraId="21509B8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277.79</w:t>
            </w:r>
          </w:p>
        </w:tc>
        <w:tc>
          <w:tcPr>
            <w:tcW w:w="460" w:type="dxa"/>
            <w:shd w:val="clear" w:color="auto" w:fill="auto"/>
            <w:vAlign w:val="center"/>
          </w:tcPr>
          <w:p w14:paraId="21509B9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2" w:type="dxa"/>
            <w:shd w:val="clear" w:color="auto" w:fill="auto"/>
            <w:vAlign w:val="center"/>
          </w:tcPr>
          <w:p w14:paraId="21509B9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30" w:type="dxa"/>
            <w:shd w:val="clear" w:color="auto" w:fill="auto"/>
            <w:vAlign w:val="center"/>
          </w:tcPr>
          <w:p w14:paraId="21509B9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82" w:type="dxa"/>
            <w:shd w:val="clear" w:color="auto" w:fill="auto"/>
            <w:vAlign w:val="center"/>
          </w:tcPr>
          <w:p w14:paraId="21509B9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3.33</w:t>
            </w:r>
          </w:p>
        </w:tc>
        <w:tc>
          <w:tcPr>
            <w:tcW w:w="336" w:type="dxa"/>
            <w:shd w:val="clear" w:color="auto" w:fill="auto"/>
            <w:vAlign w:val="center"/>
          </w:tcPr>
          <w:p w14:paraId="21509B9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9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0.19</w:t>
            </w:r>
          </w:p>
        </w:tc>
        <w:tc>
          <w:tcPr>
            <w:tcW w:w="470" w:type="dxa"/>
            <w:shd w:val="clear" w:color="auto" w:fill="auto"/>
            <w:vAlign w:val="center"/>
          </w:tcPr>
          <w:p w14:paraId="21509B96"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9B9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3.38</w:t>
            </w:r>
          </w:p>
        </w:tc>
        <w:tc>
          <w:tcPr>
            <w:tcW w:w="388" w:type="dxa"/>
            <w:shd w:val="clear" w:color="auto" w:fill="auto"/>
            <w:vAlign w:val="center"/>
          </w:tcPr>
          <w:p w14:paraId="21509B9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9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0.17</w:t>
            </w:r>
          </w:p>
        </w:tc>
        <w:tc>
          <w:tcPr>
            <w:tcW w:w="470" w:type="dxa"/>
            <w:shd w:val="clear" w:color="auto" w:fill="auto"/>
            <w:vAlign w:val="center"/>
          </w:tcPr>
          <w:p w14:paraId="21509B9A"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9B9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w:t>
            </w:r>
          </w:p>
        </w:tc>
      </w:tr>
      <w:tr w:rsidR="00E7693B" w:rsidRPr="00E7693B" w14:paraId="21509BAB" w14:textId="77777777">
        <w:trPr>
          <w:trHeight w:val="806"/>
        </w:trPr>
        <w:tc>
          <w:tcPr>
            <w:tcW w:w="1727" w:type="dxa"/>
            <w:shd w:val="clear" w:color="auto" w:fill="auto"/>
            <w:vAlign w:val="center"/>
          </w:tcPr>
          <w:p w14:paraId="21509B9D"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color w:val="000000"/>
              </w:rPr>
              <w:t>lipoxygenase 3, LOX3</w:t>
            </w:r>
          </w:p>
        </w:tc>
        <w:tc>
          <w:tcPr>
            <w:tcW w:w="757" w:type="dxa"/>
            <w:shd w:val="clear" w:color="auto" w:fill="auto"/>
            <w:vAlign w:val="center"/>
          </w:tcPr>
          <w:p w14:paraId="21509B9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0.57</w:t>
            </w:r>
          </w:p>
        </w:tc>
        <w:tc>
          <w:tcPr>
            <w:tcW w:w="460" w:type="dxa"/>
            <w:shd w:val="clear" w:color="auto" w:fill="auto"/>
            <w:vAlign w:val="center"/>
          </w:tcPr>
          <w:p w14:paraId="21509B9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2" w:type="dxa"/>
            <w:shd w:val="clear" w:color="auto" w:fill="auto"/>
            <w:vAlign w:val="center"/>
          </w:tcPr>
          <w:p w14:paraId="21509BA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0.46</w:t>
            </w:r>
          </w:p>
        </w:tc>
        <w:tc>
          <w:tcPr>
            <w:tcW w:w="530" w:type="dxa"/>
            <w:shd w:val="clear" w:color="auto" w:fill="auto"/>
            <w:vAlign w:val="center"/>
          </w:tcPr>
          <w:p w14:paraId="21509BA1"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9BA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0.20</w:t>
            </w:r>
          </w:p>
        </w:tc>
        <w:tc>
          <w:tcPr>
            <w:tcW w:w="336" w:type="dxa"/>
            <w:shd w:val="clear" w:color="auto" w:fill="auto"/>
            <w:vAlign w:val="center"/>
          </w:tcPr>
          <w:p w14:paraId="21509BA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A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0.66</w:t>
            </w:r>
          </w:p>
        </w:tc>
        <w:tc>
          <w:tcPr>
            <w:tcW w:w="470" w:type="dxa"/>
            <w:shd w:val="clear" w:color="auto" w:fill="auto"/>
            <w:vAlign w:val="center"/>
          </w:tcPr>
          <w:p w14:paraId="21509BA5"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9BA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1.02</w:t>
            </w:r>
          </w:p>
        </w:tc>
        <w:tc>
          <w:tcPr>
            <w:tcW w:w="388" w:type="dxa"/>
            <w:shd w:val="clear" w:color="auto" w:fill="auto"/>
            <w:vAlign w:val="center"/>
          </w:tcPr>
          <w:p w14:paraId="21509BA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A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0.37</w:t>
            </w:r>
          </w:p>
        </w:tc>
        <w:tc>
          <w:tcPr>
            <w:tcW w:w="470" w:type="dxa"/>
            <w:shd w:val="clear" w:color="auto" w:fill="auto"/>
            <w:vAlign w:val="center"/>
          </w:tcPr>
          <w:p w14:paraId="21509BA9"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9BA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BBA" w14:textId="77777777">
        <w:trPr>
          <w:trHeight w:val="806"/>
        </w:trPr>
        <w:tc>
          <w:tcPr>
            <w:tcW w:w="1727" w:type="dxa"/>
            <w:shd w:val="clear" w:color="auto" w:fill="auto"/>
            <w:vAlign w:val="center"/>
          </w:tcPr>
          <w:p w14:paraId="21509BAC"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color w:val="000000"/>
              </w:rPr>
              <w:t>vegetative storage protein, VSP</w:t>
            </w:r>
          </w:p>
        </w:tc>
        <w:tc>
          <w:tcPr>
            <w:tcW w:w="757" w:type="dxa"/>
            <w:shd w:val="clear" w:color="auto" w:fill="auto"/>
            <w:vAlign w:val="center"/>
          </w:tcPr>
          <w:p w14:paraId="21509BA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1.72</w:t>
            </w:r>
          </w:p>
        </w:tc>
        <w:tc>
          <w:tcPr>
            <w:tcW w:w="460" w:type="dxa"/>
            <w:shd w:val="clear" w:color="auto" w:fill="auto"/>
            <w:vAlign w:val="center"/>
          </w:tcPr>
          <w:p w14:paraId="21509BA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2" w:type="dxa"/>
            <w:shd w:val="clear" w:color="auto" w:fill="auto"/>
            <w:vAlign w:val="center"/>
          </w:tcPr>
          <w:p w14:paraId="21509BA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0.24</w:t>
            </w:r>
          </w:p>
        </w:tc>
        <w:tc>
          <w:tcPr>
            <w:tcW w:w="530" w:type="dxa"/>
            <w:shd w:val="clear" w:color="auto" w:fill="auto"/>
            <w:vAlign w:val="center"/>
          </w:tcPr>
          <w:p w14:paraId="21509BB0"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9BB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1.75</w:t>
            </w:r>
          </w:p>
        </w:tc>
        <w:tc>
          <w:tcPr>
            <w:tcW w:w="336" w:type="dxa"/>
            <w:shd w:val="clear" w:color="auto" w:fill="auto"/>
            <w:vAlign w:val="center"/>
          </w:tcPr>
          <w:p w14:paraId="21509BB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B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0.28</w:t>
            </w:r>
          </w:p>
        </w:tc>
        <w:tc>
          <w:tcPr>
            <w:tcW w:w="470" w:type="dxa"/>
            <w:shd w:val="clear" w:color="auto" w:fill="auto"/>
            <w:vAlign w:val="center"/>
          </w:tcPr>
          <w:p w14:paraId="21509BB4"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9BB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0.03</w:t>
            </w:r>
          </w:p>
        </w:tc>
        <w:tc>
          <w:tcPr>
            <w:tcW w:w="388" w:type="dxa"/>
            <w:shd w:val="clear" w:color="auto" w:fill="auto"/>
            <w:vAlign w:val="center"/>
          </w:tcPr>
          <w:p w14:paraId="21509BB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B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0.87</w:t>
            </w:r>
          </w:p>
        </w:tc>
        <w:tc>
          <w:tcPr>
            <w:tcW w:w="470" w:type="dxa"/>
            <w:shd w:val="clear" w:color="auto" w:fill="auto"/>
            <w:vAlign w:val="center"/>
          </w:tcPr>
          <w:p w14:paraId="21509BB8"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9BB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13</w:t>
            </w:r>
          </w:p>
        </w:tc>
      </w:tr>
      <w:tr w:rsidR="00E7693B" w:rsidRPr="00E7693B" w14:paraId="21509BC9" w14:textId="77777777">
        <w:trPr>
          <w:trHeight w:val="806"/>
        </w:trPr>
        <w:tc>
          <w:tcPr>
            <w:tcW w:w="1727" w:type="dxa"/>
            <w:shd w:val="clear" w:color="auto" w:fill="auto"/>
            <w:vAlign w:val="center"/>
          </w:tcPr>
          <w:p w14:paraId="21509BBB"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color w:val="000000"/>
              </w:rPr>
              <w:t>ACC synthase 2, ACS2</w:t>
            </w:r>
          </w:p>
        </w:tc>
        <w:tc>
          <w:tcPr>
            <w:tcW w:w="757" w:type="dxa"/>
            <w:shd w:val="clear" w:color="auto" w:fill="auto"/>
            <w:vAlign w:val="center"/>
          </w:tcPr>
          <w:p w14:paraId="21509BB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34.88</w:t>
            </w:r>
          </w:p>
        </w:tc>
        <w:tc>
          <w:tcPr>
            <w:tcW w:w="460" w:type="dxa"/>
            <w:shd w:val="clear" w:color="auto" w:fill="auto"/>
            <w:vAlign w:val="center"/>
          </w:tcPr>
          <w:p w14:paraId="21509BB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2" w:type="dxa"/>
            <w:shd w:val="clear" w:color="auto" w:fill="auto"/>
            <w:vAlign w:val="center"/>
          </w:tcPr>
          <w:p w14:paraId="21509BB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30" w:type="dxa"/>
            <w:shd w:val="clear" w:color="auto" w:fill="auto"/>
            <w:vAlign w:val="center"/>
          </w:tcPr>
          <w:p w14:paraId="21509BB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82" w:type="dxa"/>
            <w:shd w:val="clear" w:color="auto" w:fill="auto"/>
            <w:vAlign w:val="center"/>
          </w:tcPr>
          <w:p w14:paraId="21509BC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12.10</w:t>
            </w:r>
          </w:p>
        </w:tc>
        <w:tc>
          <w:tcPr>
            <w:tcW w:w="336" w:type="dxa"/>
            <w:shd w:val="clear" w:color="auto" w:fill="auto"/>
            <w:vAlign w:val="center"/>
          </w:tcPr>
          <w:p w14:paraId="21509BC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C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470" w:type="dxa"/>
            <w:shd w:val="clear" w:color="auto" w:fill="auto"/>
            <w:vAlign w:val="center"/>
          </w:tcPr>
          <w:p w14:paraId="21509BC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42" w:type="dxa"/>
            <w:shd w:val="clear" w:color="auto" w:fill="auto"/>
            <w:vAlign w:val="center"/>
          </w:tcPr>
          <w:p w14:paraId="21509BC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8.23</w:t>
            </w:r>
          </w:p>
        </w:tc>
        <w:tc>
          <w:tcPr>
            <w:tcW w:w="388" w:type="dxa"/>
            <w:shd w:val="clear" w:color="auto" w:fill="auto"/>
            <w:vAlign w:val="center"/>
          </w:tcPr>
          <w:p w14:paraId="21509BC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C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0.04</w:t>
            </w:r>
          </w:p>
        </w:tc>
        <w:tc>
          <w:tcPr>
            <w:tcW w:w="470" w:type="dxa"/>
            <w:shd w:val="clear" w:color="auto" w:fill="auto"/>
            <w:vAlign w:val="center"/>
          </w:tcPr>
          <w:p w14:paraId="21509BC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74" w:type="dxa"/>
            <w:shd w:val="clear" w:color="auto" w:fill="auto"/>
            <w:vAlign w:val="center"/>
          </w:tcPr>
          <w:p w14:paraId="21509BC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BD8" w14:textId="77777777">
        <w:trPr>
          <w:trHeight w:val="806"/>
        </w:trPr>
        <w:tc>
          <w:tcPr>
            <w:tcW w:w="1727" w:type="dxa"/>
            <w:shd w:val="clear" w:color="auto" w:fill="auto"/>
            <w:vAlign w:val="center"/>
          </w:tcPr>
          <w:p w14:paraId="21509BCA"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color w:val="000000"/>
              </w:rPr>
              <w:t>β-chitinase, β-CHI</w:t>
            </w:r>
          </w:p>
        </w:tc>
        <w:tc>
          <w:tcPr>
            <w:tcW w:w="757" w:type="dxa"/>
            <w:shd w:val="clear" w:color="auto" w:fill="auto"/>
            <w:vAlign w:val="center"/>
          </w:tcPr>
          <w:p w14:paraId="21509BC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187.16</w:t>
            </w:r>
          </w:p>
        </w:tc>
        <w:tc>
          <w:tcPr>
            <w:tcW w:w="460" w:type="dxa"/>
            <w:shd w:val="clear" w:color="auto" w:fill="auto"/>
            <w:vAlign w:val="center"/>
          </w:tcPr>
          <w:p w14:paraId="21509BC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2" w:type="dxa"/>
            <w:shd w:val="clear" w:color="auto" w:fill="auto"/>
            <w:vAlign w:val="center"/>
          </w:tcPr>
          <w:p w14:paraId="21509BC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30" w:type="dxa"/>
            <w:shd w:val="clear" w:color="auto" w:fill="auto"/>
            <w:vAlign w:val="center"/>
          </w:tcPr>
          <w:p w14:paraId="21509BC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82" w:type="dxa"/>
            <w:shd w:val="clear" w:color="auto" w:fill="auto"/>
            <w:vAlign w:val="center"/>
          </w:tcPr>
          <w:p w14:paraId="21509BC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2.51</w:t>
            </w:r>
          </w:p>
        </w:tc>
        <w:tc>
          <w:tcPr>
            <w:tcW w:w="336" w:type="dxa"/>
            <w:shd w:val="clear" w:color="auto" w:fill="auto"/>
            <w:vAlign w:val="center"/>
          </w:tcPr>
          <w:p w14:paraId="21509BD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D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0.21</w:t>
            </w:r>
          </w:p>
        </w:tc>
        <w:tc>
          <w:tcPr>
            <w:tcW w:w="470" w:type="dxa"/>
            <w:shd w:val="clear" w:color="auto" w:fill="auto"/>
            <w:vAlign w:val="center"/>
          </w:tcPr>
          <w:p w14:paraId="21509BD2"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9BD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2.69</w:t>
            </w:r>
          </w:p>
        </w:tc>
        <w:tc>
          <w:tcPr>
            <w:tcW w:w="388" w:type="dxa"/>
            <w:shd w:val="clear" w:color="auto" w:fill="auto"/>
            <w:vAlign w:val="center"/>
          </w:tcPr>
          <w:p w14:paraId="21509BD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9BD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0.20</w:t>
            </w:r>
          </w:p>
        </w:tc>
        <w:tc>
          <w:tcPr>
            <w:tcW w:w="470" w:type="dxa"/>
            <w:shd w:val="clear" w:color="auto" w:fill="auto"/>
            <w:vAlign w:val="center"/>
          </w:tcPr>
          <w:p w14:paraId="21509BD6"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9BD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w:t>
            </w:r>
          </w:p>
        </w:tc>
      </w:tr>
      <w:tr w:rsidR="00E7693B" w:rsidRPr="00E7693B" w14:paraId="21509BE7" w14:textId="77777777">
        <w:trPr>
          <w:trHeight w:val="806"/>
        </w:trPr>
        <w:tc>
          <w:tcPr>
            <w:tcW w:w="1727" w:type="dxa"/>
            <w:tcBorders>
              <w:bottom w:val="single" w:sz="4" w:space="0" w:color="000000"/>
            </w:tcBorders>
            <w:shd w:val="clear" w:color="auto" w:fill="auto"/>
            <w:vAlign w:val="center"/>
          </w:tcPr>
          <w:p w14:paraId="21509BD9" w14:textId="77777777" w:rsidR="00E7693B" w:rsidRPr="00E7693B" w:rsidRDefault="00E7693B">
            <w:pPr>
              <w:rPr>
                <w:rFonts w:ascii="Times New Roman" w:hAnsi="Times New Roman" w:cs="Times New Roman"/>
                <w:i/>
                <w:color w:val="000000"/>
              </w:rPr>
            </w:pPr>
            <w:proofErr w:type="spellStart"/>
            <w:r w:rsidRPr="00E7693B">
              <w:rPr>
                <w:rFonts w:ascii="Times New Roman" w:hAnsi="Times New Roman" w:cs="Times New Roman"/>
                <w:i/>
                <w:color w:val="000000"/>
              </w:rPr>
              <w:t>hevein</w:t>
            </w:r>
            <w:proofErr w:type="spellEnd"/>
            <w:r w:rsidRPr="00E7693B">
              <w:rPr>
                <w:rFonts w:ascii="Times New Roman" w:hAnsi="Times New Roman" w:cs="Times New Roman"/>
                <w:i/>
                <w:color w:val="000000"/>
              </w:rPr>
              <w:t>-like, HEL</w:t>
            </w:r>
          </w:p>
        </w:tc>
        <w:tc>
          <w:tcPr>
            <w:tcW w:w="757" w:type="dxa"/>
            <w:tcBorders>
              <w:bottom w:val="single" w:sz="4" w:space="0" w:color="000000"/>
            </w:tcBorders>
            <w:shd w:val="clear" w:color="auto" w:fill="auto"/>
            <w:vAlign w:val="center"/>
          </w:tcPr>
          <w:p w14:paraId="21509BD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63.09</w:t>
            </w:r>
          </w:p>
        </w:tc>
        <w:tc>
          <w:tcPr>
            <w:tcW w:w="460" w:type="dxa"/>
            <w:tcBorders>
              <w:bottom w:val="single" w:sz="4" w:space="0" w:color="000000"/>
            </w:tcBorders>
            <w:shd w:val="clear" w:color="auto" w:fill="auto"/>
            <w:vAlign w:val="center"/>
          </w:tcPr>
          <w:p w14:paraId="21509BD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2" w:type="dxa"/>
            <w:tcBorders>
              <w:bottom w:val="single" w:sz="4" w:space="0" w:color="000000"/>
            </w:tcBorders>
            <w:shd w:val="clear" w:color="auto" w:fill="auto"/>
            <w:vAlign w:val="center"/>
          </w:tcPr>
          <w:p w14:paraId="21509BD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30" w:type="dxa"/>
            <w:tcBorders>
              <w:bottom w:val="single" w:sz="4" w:space="0" w:color="000000"/>
            </w:tcBorders>
            <w:shd w:val="clear" w:color="auto" w:fill="auto"/>
            <w:vAlign w:val="center"/>
          </w:tcPr>
          <w:p w14:paraId="21509BD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82" w:type="dxa"/>
            <w:tcBorders>
              <w:bottom w:val="single" w:sz="4" w:space="0" w:color="000000"/>
            </w:tcBorders>
            <w:shd w:val="clear" w:color="auto" w:fill="auto"/>
            <w:vAlign w:val="center"/>
          </w:tcPr>
          <w:p w14:paraId="21509BD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1.43</w:t>
            </w:r>
          </w:p>
        </w:tc>
        <w:tc>
          <w:tcPr>
            <w:tcW w:w="336" w:type="dxa"/>
            <w:tcBorders>
              <w:bottom w:val="single" w:sz="4" w:space="0" w:color="000000"/>
            </w:tcBorders>
            <w:shd w:val="clear" w:color="auto" w:fill="auto"/>
            <w:vAlign w:val="center"/>
          </w:tcPr>
          <w:p w14:paraId="21509BD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tcBorders>
              <w:bottom w:val="single" w:sz="4" w:space="0" w:color="000000"/>
            </w:tcBorders>
            <w:shd w:val="clear" w:color="auto" w:fill="auto"/>
            <w:vAlign w:val="center"/>
          </w:tcPr>
          <w:p w14:paraId="21509BE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0.29</w:t>
            </w:r>
          </w:p>
        </w:tc>
        <w:tc>
          <w:tcPr>
            <w:tcW w:w="470" w:type="dxa"/>
            <w:tcBorders>
              <w:bottom w:val="single" w:sz="4" w:space="0" w:color="000000"/>
            </w:tcBorders>
            <w:shd w:val="clear" w:color="auto" w:fill="auto"/>
            <w:vAlign w:val="center"/>
          </w:tcPr>
          <w:p w14:paraId="21509BE1" w14:textId="77777777" w:rsidR="00E7693B" w:rsidRPr="00E7693B" w:rsidRDefault="00E7693B">
            <w:pPr>
              <w:jc w:val="center"/>
              <w:rPr>
                <w:rFonts w:ascii="Times New Roman" w:hAnsi="Times New Roman" w:cs="Times New Roman"/>
                <w:color w:val="000000"/>
              </w:rPr>
            </w:pPr>
          </w:p>
        </w:tc>
        <w:tc>
          <w:tcPr>
            <w:tcW w:w="642" w:type="dxa"/>
            <w:tcBorders>
              <w:bottom w:val="single" w:sz="4" w:space="0" w:color="000000"/>
            </w:tcBorders>
            <w:shd w:val="clear" w:color="auto" w:fill="auto"/>
            <w:vAlign w:val="center"/>
          </w:tcPr>
          <w:p w14:paraId="21509BE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1.54</w:t>
            </w:r>
          </w:p>
        </w:tc>
        <w:tc>
          <w:tcPr>
            <w:tcW w:w="388" w:type="dxa"/>
            <w:tcBorders>
              <w:bottom w:val="single" w:sz="4" w:space="0" w:color="000000"/>
            </w:tcBorders>
            <w:shd w:val="clear" w:color="auto" w:fill="auto"/>
            <w:vAlign w:val="center"/>
          </w:tcPr>
          <w:p w14:paraId="21509BE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tcBorders>
              <w:bottom w:val="single" w:sz="4" w:space="0" w:color="000000"/>
            </w:tcBorders>
            <w:shd w:val="clear" w:color="auto" w:fill="auto"/>
            <w:vAlign w:val="center"/>
          </w:tcPr>
          <w:p w14:paraId="21509BE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0.31</w:t>
            </w:r>
          </w:p>
        </w:tc>
        <w:tc>
          <w:tcPr>
            <w:tcW w:w="470" w:type="dxa"/>
            <w:tcBorders>
              <w:bottom w:val="single" w:sz="4" w:space="0" w:color="000000"/>
            </w:tcBorders>
            <w:shd w:val="clear" w:color="auto" w:fill="auto"/>
            <w:vAlign w:val="center"/>
          </w:tcPr>
          <w:p w14:paraId="21509BE5" w14:textId="77777777" w:rsidR="00E7693B" w:rsidRPr="00E7693B" w:rsidRDefault="00E7693B">
            <w:pPr>
              <w:jc w:val="center"/>
              <w:rPr>
                <w:rFonts w:ascii="Times New Roman" w:hAnsi="Times New Roman" w:cs="Times New Roman"/>
                <w:color w:val="000000"/>
              </w:rPr>
            </w:pPr>
          </w:p>
        </w:tc>
        <w:tc>
          <w:tcPr>
            <w:tcW w:w="974" w:type="dxa"/>
            <w:tcBorders>
              <w:bottom w:val="single" w:sz="4" w:space="0" w:color="000000"/>
            </w:tcBorders>
            <w:shd w:val="clear" w:color="auto" w:fill="auto"/>
            <w:vAlign w:val="center"/>
          </w:tcPr>
          <w:p w14:paraId="21509BE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w:t>
            </w:r>
          </w:p>
        </w:tc>
      </w:tr>
    </w:tbl>
    <w:p w14:paraId="21509BE8" w14:textId="77777777" w:rsidR="00E7693B" w:rsidRPr="00E7693B" w:rsidRDefault="00E7693B">
      <w:pPr>
        <w:spacing w:line="360" w:lineRule="auto"/>
        <w:rPr>
          <w:rFonts w:ascii="Times New Roman" w:hAnsi="Times New Roman" w:cs="Times New Roman"/>
          <w:color w:val="000000"/>
        </w:rPr>
      </w:pPr>
    </w:p>
    <w:p w14:paraId="21509BE9" w14:textId="77777777" w:rsidR="00E7693B" w:rsidRPr="00E7693B" w:rsidRDefault="00E7693B" w:rsidP="00EC70C2">
      <w:pPr>
        <w:pStyle w:val="Heading4"/>
      </w:pPr>
      <w:bookmarkStart w:id="59" w:name="_Toc167977629"/>
      <w:r w:rsidRPr="00E7693B">
        <w:t xml:space="preserve">Inoculation with </w:t>
      </w:r>
      <w:r w:rsidRPr="00E7693B">
        <w:rPr>
          <w:i/>
          <w:color w:val="000000"/>
        </w:rPr>
        <w:t xml:space="preserve">Leptosphaeria </w:t>
      </w:r>
      <w:proofErr w:type="spellStart"/>
      <w:r w:rsidRPr="00E7693B">
        <w:rPr>
          <w:i/>
          <w:color w:val="000000"/>
        </w:rPr>
        <w:t>maculans</w:t>
      </w:r>
      <w:proofErr w:type="spellEnd"/>
      <w:r w:rsidRPr="00E7693B">
        <w:rPr>
          <w:color w:val="000000"/>
        </w:rPr>
        <w:t xml:space="preserve"> </w:t>
      </w:r>
      <w:r w:rsidRPr="00E7693B">
        <w:t xml:space="preserve">and subsequent infestation by </w:t>
      </w:r>
      <w:proofErr w:type="spellStart"/>
      <w:r w:rsidRPr="00E7693B">
        <w:rPr>
          <w:i/>
        </w:rPr>
        <w:t>Plutella</w:t>
      </w:r>
      <w:proofErr w:type="spellEnd"/>
      <w:r w:rsidRPr="00E7693B">
        <w:rPr>
          <w:i/>
        </w:rPr>
        <w:t xml:space="preserve"> </w:t>
      </w:r>
      <w:proofErr w:type="spellStart"/>
      <w:r w:rsidRPr="00E7693B">
        <w:rPr>
          <w:i/>
        </w:rPr>
        <w:t>xylostella</w:t>
      </w:r>
      <w:proofErr w:type="spellEnd"/>
      <w:r w:rsidRPr="00E7693B">
        <w:t xml:space="preserve"> caterpillars alters the GLS profile in oilseed rape</w:t>
      </w:r>
      <w:r w:rsidRPr="00E7693B">
        <w:rPr>
          <w:i/>
        </w:rPr>
        <w:t xml:space="preserve"> </w:t>
      </w:r>
      <w:r w:rsidRPr="00E7693B">
        <w:t>leaves</w:t>
      </w:r>
      <w:bookmarkEnd w:id="59"/>
    </w:p>
    <w:p w14:paraId="21509BEA" w14:textId="77777777" w:rsidR="00E7693B" w:rsidRPr="00CF0A23" w:rsidRDefault="00E7693B" w:rsidP="00CF0A23">
      <w:pPr>
        <w:spacing w:after="0" w:line="360" w:lineRule="auto"/>
        <w:jc w:val="both"/>
        <w:rPr>
          <w:rFonts w:ascii="Times New Roman" w:hAnsi="Times New Roman" w:cs="Times New Roman"/>
          <w:sz w:val="24"/>
          <w:szCs w:val="24"/>
        </w:rPr>
      </w:pPr>
    </w:p>
    <w:p w14:paraId="21509BEB" w14:textId="77777777" w:rsidR="00E7693B" w:rsidRPr="00CF0A23" w:rsidRDefault="00E7693B" w:rsidP="00CF0A23">
      <w:pPr>
        <w:spacing w:after="0" w:line="360" w:lineRule="auto"/>
        <w:ind w:firstLine="576"/>
        <w:jc w:val="both"/>
        <w:rPr>
          <w:rFonts w:ascii="Times New Roman" w:hAnsi="Times New Roman" w:cs="Times New Roman"/>
          <w:sz w:val="24"/>
          <w:szCs w:val="24"/>
        </w:rPr>
      </w:pPr>
      <w:r w:rsidRPr="00CF0A23">
        <w:rPr>
          <w:rFonts w:ascii="Times New Roman" w:hAnsi="Times New Roman" w:cs="Times New Roman"/>
          <w:sz w:val="24"/>
          <w:szCs w:val="24"/>
        </w:rPr>
        <w:t xml:space="preserve">Six individual GLSs from the group of aliphatic/methionine-derived GLSs were analysed: </w:t>
      </w:r>
      <w:proofErr w:type="spellStart"/>
      <w:r w:rsidRPr="00CF0A23">
        <w:rPr>
          <w:rFonts w:ascii="Times New Roman" w:hAnsi="Times New Roman" w:cs="Times New Roman"/>
          <w:sz w:val="24"/>
          <w:szCs w:val="24"/>
        </w:rPr>
        <w:t>glucoiberin</w:t>
      </w:r>
      <w:proofErr w:type="spellEnd"/>
      <w:r w:rsidRPr="00CF0A23">
        <w:rPr>
          <w:rFonts w:ascii="Times New Roman" w:hAnsi="Times New Roman" w:cs="Times New Roman"/>
          <w:sz w:val="24"/>
          <w:szCs w:val="24"/>
        </w:rPr>
        <w:t xml:space="preserve">, gluconapin, </w:t>
      </w:r>
      <w:proofErr w:type="spellStart"/>
      <w:r w:rsidRPr="00CF0A23">
        <w:rPr>
          <w:rFonts w:ascii="Times New Roman" w:hAnsi="Times New Roman" w:cs="Times New Roman"/>
          <w:sz w:val="24"/>
          <w:szCs w:val="24"/>
        </w:rPr>
        <w:t>glucoalyssin</w:t>
      </w:r>
      <w:proofErr w:type="spellEnd"/>
      <w:r w:rsidRPr="00CF0A23">
        <w:rPr>
          <w:rFonts w:ascii="Times New Roman" w:hAnsi="Times New Roman" w:cs="Times New Roman"/>
          <w:sz w:val="24"/>
          <w:szCs w:val="24"/>
        </w:rPr>
        <w:t xml:space="preserve">, </w:t>
      </w:r>
      <w:proofErr w:type="spellStart"/>
      <w:r w:rsidRPr="00CF0A23">
        <w:rPr>
          <w:rFonts w:ascii="Times New Roman" w:hAnsi="Times New Roman" w:cs="Times New Roman"/>
          <w:sz w:val="24"/>
          <w:szCs w:val="24"/>
        </w:rPr>
        <w:t>glucobrassicanapin</w:t>
      </w:r>
      <w:proofErr w:type="spellEnd"/>
      <w:r w:rsidRPr="00CF0A23">
        <w:rPr>
          <w:rFonts w:ascii="Times New Roman" w:hAnsi="Times New Roman" w:cs="Times New Roman"/>
          <w:sz w:val="24"/>
          <w:szCs w:val="24"/>
        </w:rPr>
        <w:t xml:space="preserve">, </w:t>
      </w:r>
      <w:proofErr w:type="spellStart"/>
      <w:r w:rsidRPr="00CF0A23">
        <w:rPr>
          <w:rFonts w:ascii="Times New Roman" w:hAnsi="Times New Roman" w:cs="Times New Roman"/>
          <w:sz w:val="24"/>
          <w:szCs w:val="24"/>
        </w:rPr>
        <w:t>glucoibarin</w:t>
      </w:r>
      <w:proofErr w:type="spellEnd"/>
      <w:r w:rsidRPr="00CF0A23">
        <w:rPr>
          <w:rFonts w:ascii="Times New Roman" w:hAnsi="Times New Roman" w:cs="Times New Roman"/>
          <w:sz w:val="24"/>
          <w:szCs w:val="24"/>
        </w:rPr>
        <w:t xml:space="preserve"> and glucoraphanin. In the analysis of control and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w:t>
      </w:r>
      <w:r w:rsidRPr="00CF0A23">
        <w:rPr>
          <w:rFonts w:ascii="Times New Roman" w:hAnsi="Times New Roman" w:cs="Times New Roman"/>
          <w:sz w:val="24"/>
          <w:szCs w:val="24"/>
        </w:rPr>
        <w:t xml:space="preserve">inoculated leaves, glucoraphanin was not induced. One benzenic/phenylalanine-derived GLS, </w:t>
      </w:r>
      <w:r w:rsidRPr="00CF0A23">
        <w:rPr>
          <w:rFonts w:ascii="Times New Roman" w:hAnsi="Times New Roman" w:cs="Times New Roman"/>
          <w:i/>
          <w:sz w:val="24"/>
          <w:szCs w:val="24"/>
        </w:rPr>
        <w:t>i.e.</w:t>
      </w:r>
      <w:r w:rsidRPr="00CF0A23">
        <w:rPr>
          <w:rFonts w:ascii="Times New Roman" w:hAnsi="Times New Roman" w:cs="Times New Roman"/>
          <w:sz w:val="24"/>
          <w:szCs w:val="24"/>
        </w:rPr>
        <w:t xml:space="preserve"> </w:t>
      </w:r>
      <w:proofErr w:type="spellStart"/>
      <w:r w:rsidRPr="00CF0A23">
        <w:rPr>
          <w:rFonts w:ascii="Times New Roman" w:hAnsi="Times New Roman" w:cs="Times New Roman"/>
          <w:sz w:val="24"/>
          <w:szCs w:val="24"/>
        </w:rPr>
        <w:t>gluconasturtiin</w:t>
      </w:r>
      <w:proofErr w:type="spellEnd"/>
      <w:r w:rsidRPr="00CF0A23">
        <w:rPr>
          <w:rFonts w:ascii="Times New Roman" w:hAnsi="Times New Roman" w:cs="Times New Roman"/>
          <w:sz w:val="24"/>
          <w:szCs w:val="24"/>
        </w:rPr>
        <w:t xml:space="preserve"> and three indole/tryptophan-derived GLS compounds, </w:t>
      </w:r>
      <w:r w:rsidRPr="00CF0A23">
        <w:rPr>
          <w:rFonts w:ascii="Times New Roman" w:hAnsi="Times New Roman" w:cs="Times New Roman"/>
          <w:i/>
          <w:sz w:val="24"/>
          <w:szCs w:val="24"/>
        </w:rPr>
        <w:t>i.e.</w:t>
      </w:r>
      <w:r w:rsidRPr="00CF0A23">
        <w:rPr>
          <w:rFonts w:ascii="Times New Roman" w:hAnsi="Times New Roman" w:cs="Times New Roman"/>
          <w:sz w:val="24"/>
          <w:szCs w:val="24"/>
        </w:rPr>
        <w:t xml:space="preserve"> </w:t>
      </w:r>
      <w:proofErr w:type="spellStart"/>
      <w:r w:rsidRPr="00CF0A23">
        <w:rPr>
          <w:rFonts w:ascii="Times New Roman" w:hAnsi="Times New Roman" w:cs="Times New Roman"/>
          <w:sz w:val="24"/>
          <w:szCs w:val="24"/>
        </w:rPr>
        <w:t>glucobrassicin</w:t>
      </w:r>
      <w:proofErr w:type="spellEnd"/>
      <w:r w:rsidRPr="00CF0A23">
        <w:rPr>
          <w:rFonts w:ascii="Times New Roman" w:hAnsi="Times New Roman" w:cs="Times New Roman"/>
          <w:sz w:val="24"/>
          <w:szCs w:val="24"/>
        </w:rPr>
        <w:t xml:space="preserve">, 4-methoxyglucobrassicin and </w:t>
      </w:r>
      <w:proofErr w:type="spellStart"/>
      <w:r w:rsidRPr="00CF0A23">
        <w:rPr>
          <w:rFonts w:ascii="Times New Roman" w:hAnsi="Times New Roman" w:cs="Times New Roman"/>
          <w:sz w:val="24"/>
          <w:szCs w:val="24"/>
        </w:rPr>
        <w:t>neoglucobrassicin</w:t>
      </w:r>
      <w:proofErr w:type="spellEnd"/>
      <w:r w:rsidRPr="00CF0A23">
        <w:rPr>
          <w:rFonts w:ascii="Times New Roman" w:hAnsi="Times New Roman" w:cs="Times New Roman"/>
          <w:sz w:val="24"/>
          <w:szCs w:val="24"/>
        </w:rPr>
        <w:t xml:space="preserve"> were also analysed. The chemical names of all the compounds are listed in Tab. 3.</w:t>
      </w:r>
    </w:p>
    <w:p w14:paraId="21509BEC" w14:textId="6EF61E0D" w:rsidR="00E7693B" w:rsidRPr="00CF0A23" w:rsidRDefault="00E7693B">
      <w:pPr>
        <w:spacing w:after="240" w:line="360" w:lineRule="auto"/>
        <w:ind w:firstLine="720"/>
        <w:jc w:val="both"/>
        <w:rPr>
          <w:rFonts w:ascii="Times New Roman" w:hAnsi="Times New Roman" w:cs="Times New Roman"/>
          <w:color w:val="000000"/>
          <w:sz w:val="24"/>
          <w:szCs w:val="24"/>
          <w:highlight w:val="white"/>
        </w:rPr>
      </w:pPr>
      <w:r w:rsidRPr="00CF0A23">
        <w:rPr>
          <w:rFonts w:ascii="Times New Roman" w:hAnsi="Times New Roman" w:cs="Times New Roman"/>
          <w:sz w:val="24"/>
          <w:szCs w:val="24"/>
        </w:rPr>
        <w:t xml:space="preserve">As for the 3 and 7 dpi, total GLS content was significantly influenced by the time and a total aliphatic GLS content by treatment and time, whereas there was no influence on the total indole level (Tab. 3). Total GLS level was higher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w:t>
      </w:r>
      <w:r w:rsidRPr="00CF0A23">
        <w:rPr>
          <w:rFonts w:ascii="Times New Roman" w:hAnsi="Times New Roman" w:cs="Times New Roman"/>
          <w:sz w:val="24"/>
          <w:szCs w:val="24"/>
        </w:rPr>
        <w:t xml:space="preserve">inoculated leaves compared </w:t>
      </w:r>
      <w:r w:rsidRPr="00CF0A23">
        <w:rPr>
          <w:rFonts w:ascii="Times New Roman" w:hAnsi="Times New Roman" w:cs="Times New Roman"/>
          <w:sz w:val="24"/>
          <w:szCs w:val="24"/>
        </w:rPr>
        <w:lastRenderedPageBreak/>
        <w:t xml:space="preserve">to control leaves at 3 dpi only, </w:t>
      </w:r>
      <w:r w:rsidR="00F64773">
        <w:rPr>
          <w:rFonts w:ascii="Times New Roman" w:hAnsi="Times New Roman" w:cs="Times New Roman"/>
          <w:sz w:val="24"/>
          <w:szCs w:val="24"/>
        </w:rPr>
        <w:t>which was mainly driven by</w:t>
      </w:r>
      <w:r w:rsidRPr="00CF0A23">
        <w:rPr>
          <w:rFonts w:ascii="Times New Roman" w:hAnsi="Times New Roman" w:cs="Times New Roman"/>
          <w:sz w:val="24"/>
          <w:szCs w:val="24"/>
        </w:rPr>
        <w:t xml:space="preserve"> </w:t>
      </w:r>
      <w:proofErr w:type="spellStart"/>
      <w:r w:rsidRPr="00CF0A23">
        <w:rPr>
          <w:rFonts w:ascii="Times New Roman" w:hAnsi="Times New Roman" w:cs="Times New Roman"/>
          <w:sz w:val="24"/>
          <w:szCs w:val="24"/>
        </w:rPr>
        <w:t>glucobrassicanapin</w:t>
      </w:r>
      <w:proofErr w:type="spellEnd"/>
      <w:r w:rsidRPr="00CF0A23">
        <w:rPr>
          <w:rFonts w:ascii="Times New Roman" w:hAnsi="Times New Roman" w:cs="Times New Roman"/>
          <w:sz w:val="24"/>
          <w:szCs w:val="24"/>
        </w:rPr>
        <w:t xml:space="preserve"> (Fig. 19; Tab. 3). Contrary to that, the content of the aliphatic </w:t>
      </w:r>
      <w:proofErr w:type="spellStart"/>
      <w:r w:rsidRPr="00CF0A23">
        <w:rPr>
          <w:rFonts w:ascii="Times New Roman" w:hAnsi="Times New Roman" w:cs="Times New Roman"/>
          <w:sz w:val="24"/>
          <w:szCs w:val="24"/>
        </w:rPr>
        <w:t>glucoiberin</w:t>
      </w:r>
      <w:proofErr w:type="spellEnd"/>
      <w:r w:rsidRPr="00CF0A23">
        <w:rPr>
          <w:rFonts w:ascii="Times New Roman" w:hAnsi="Times New Roman" w:cs="Times New Roman"/>
          <w:sz w:val="24"/>
          <w:szCs w:val="24"/>
        </w:rPr>
        <w:t xml:space="preserve"> was higher in control than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at 3 dpi but higher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than control leaves at 7 dpi (Fig. 19; Tab. 3). The content of </w:t>
      </w:r>
      <w:proofErr w:type="spellStart"/>
      <w:r w:rsidRPr="00CF0A23">
        <w:rPr>
          <w:rFonts w:ascii="Times New Roman" w:hAnsi="Times New Roman" w:cs="Times New Roman"/>
          <w:sz w:val="24"/>
          <w:szCs w:val="24"/>
        </w:rPr>
        <w:t>glucoibarin</w:t>
      </w:r>
      <w:proofErr w:type="spellEnd"/>
      <w:r w:rsidRPr="00CF0A23">
        <w:rPr>
          <w:rFonts w:ascii="Times New Roman" w:hAnsi="Times New Roman" w:cs="Times New Roman"/>
          <w:sz w:val="24"/>
          <w:szCs w:val="24"/>
        </w:rPr>
        <w:t xml:space="preserve"> did not differ between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and control leaves at 3 dpi but was higher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at 7 dpi (Fig. 19; Tab. 3). Indole 4-methoxyglucobrassicin was significantly increased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only at 7 dpi, compared to control leaves (Fig. 19; Tab. 3). Amounts of aliphatic gluconapin and </w:t>
      </w:r>
      <w:proofErr w:type="spellStart"/>
      <w:r w:rsidRPr="00CF0A23">
        <w:rPr>
          <w:rFonts w:ascii="Times New Roman" w:hAnsi="Times New Roman" w:cs="Times New Roman"/>
          <w:sz w:val="24"/>
          <w:szCs w:val="24"/>
        </w:rPr>
        <w:t>glucoalyssin</w:t>
      </w:r>
      <w:proofErr w:type="spellEnd"/>
      <w:r w:rsidRPr="00CF0A23">
        <w:rPr>
          <w:rFonts w:ascii="Times New Roman" w:hAnsi="Times New Roman" w:cs="Times New Roman"/>
          <w:sz w:val="24"/>
          <w:szCs w:val="24"/>
        </w:rPr>
        <w:t xml:space="preserve">, benzenic </w:t>
      </w:r>
      <w:proofErr w:type="spellStart"/>
      <w:r w:rsidRPr="00CF0A23">
        <w:rPr>
          <w:rFonts w:ascii="Times New Roman" w:hAnsi="Times New Roman" w:cs="Times New Roman"/>
          <w:sz w:val="24"/>
          <w:szCs w:val="24"/>
        </w:rPr>
        <w:t>gluconasturtiin</w:t>
      </w:r>
      <w:proofErr w:type="spellEnd"/>
      <w:r w:rsidRPr="00CF0A23">
        <w:rPr>
          <w:rFonts w:ascii="Times New Roman" w:hAnsi="Times New Roman" w:cs="Times New Roman"/>
          <w:sz w:val="24"/>
          <w:szCs w:val="24"/>
        </w:rPr>
        <w:t xml:space="preserve">, and indole </w:t>
      </w:r>
      <w:proofErr w:type="spellStart"/>
      <w:r w:rsidRPr="00CF0A23">
        <w:rPr>
          <w:rFonts w:ascii="Times New Roman" w:hAnsi="Times New Roman" w:cs="Times New Roman"/>
          <w:sz w:val="24"/>
          <w:szCs w:val="24"/>
        </w:rPr>
        <w:t>glucobrassicin</w:t>
      </w:r>
      <w:proofErr w:type="spellEnd"/>
      <w:r w:rsidRPr="00CF0A23">
        <w:rPr>
          <w:rFonts w:ascii="Times New Roman" w:hAnsi="Times New Roman" w:cs="Times New Roman"/>
          <w:sz w:val="24"/>
          <w:szCs w:val="24"/>
        </w:rPr>
        <w:t xml:space="preserve"> and </w:t>
      </w:r>
      <w:proofErr w:type="spellStart"/>
      <w:r w:rsidRPr="00CF0A23">
        <w:rPr>
          <w:rFonts w:ascii="Times New Roman" w:hAnsi="Times New Roman" w:cs="Times New Roman"/>
          <w:sz w:val="24"/>
          <w:szCs w:val="24"/>
        </w:rPr>
        <w:t>neoglucobrassicin</w:t>
      </w:r>
      <w:proofErr w:type="spellEnd"/>
      <w:r w:rsidRPr="00CF0A23">
        <w:rPr>
          <w:rFonts w:ascii="Times New Roman" w:hAnsi="Times New Roman" w:cs="Times New Roman"/>
          <w:sz w:val="24"/>
          <w:szCs w:val="24"/>
        </w:rPr>
        <w:t xml:space="preserve"> were not significantly different between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w:t>
      </w:r>
      <w:r w:rsidRPr="00CF0A23">
        <w:rPr>
          <w:rFonts w:ascii="Times New Roman" w:hAnsi="Times New Roman" w:cs="Times New Roman"/>
          <w:sz w:val="24"/>
          <w:szCs w:val="24"/>
        </w:rPr>
        <w:t>inoculated and control leaves at both observed time points (Fig. 19; Tab. 3).</w:t>
      </w:r>
    </w:p>
    <w:p w14:paraId="21509BED" w14:textId="77777777" w:rsidR="00E7693B" w:rsidRPr="00E7693B" w:rsidRDefault="00E7693B">
      <w:pPr>
        <w:jc w:val="center"/>
        <w:rPr>
          <w:rFonts w:ascii="Times New Roman" w:hAnsi="Times New Roman" w:cs="Times New Roman"/>
        </w:rPr>
      </w:pPr>
      <w:r w:rsidRPr="00E7693B">
        <w:rPr>
          <w:rFonts w:ascii="Times New Roman" w:hAnsi="Times New Roman" w:cs="Times New Roman"/>
          <w:noProof/>
          <w:lang w:val="en-US"/>
        </w:rPr>
        <w:lastRenderedPageBreak/>
        <w:drawing>
          <wp:inline distT="0" distB="0" distL="0" distR="0" wp14:anchorId="2150A594" wp14:editId="2150A595">
            <wp:extent cx="5760085" cy="5628640"/>
            <wp:effectExtent l="0" t="0" r="0" b="0"/>
            <wp:docPr id="4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6"/>
                    <a:srcRect/>
                    <a:stretch>
                      <a:fillRect/>
                    </a:stretch>
                  </pic:blipFill>
                  <pic:spPr>
                    <a:xfrm>
                      <a:off x="0" y="0"/>
                      <a:ext cx="5760085" cy="5628640"/>
                    </a:xfrm>
                    <a:prstGeom prst="rect">
                      <a:avLst/>
                    </a:prstGeom>
                    <a:ln/>
                  </pic:spPr>
                </pic:pic>
              </a:graphicData>
            </a:graphic>
          </wp:inline>
        </w:drawing>
      </w:r>
    </w:p>
    <w:p w14:paraId="21509BEE" w14:textId="30C16664" w:rsidR="00E7693B" w:rsidRPr="006B61C5" w:rsidRDefault="00E7693B" w:rsidP="00D5128E">
      <w:pPr>
        <w:spacing w:before="240" w:after="240" w:line="360" w:lineRule="auto"/>
        <w:jc w:val="both"/>
        <w:rPr>
          <w:rFonts w:ascii="Times New Roman" w:hAnsi="Times New Roman" w:cs="Times New Roman"/>
        </w:rPr>
      </w:pPr>
      <w:r w:rsidRPr="00E7693B">
        <w:rPr>
          <w:rFonts w:ascii="Times New Roman" w:hAnsi="Times New Roman" w:cs="Times New Roman"/>
          <w:b/>
          <w:color w:val="000000"/>
        </w:rPr>
        <w:t xml:space="preserve">Figure </w:t>
      </w:r>
      <w:r w:rsidRPr="00E7693B">
        <w:rPr>
          <w:rFonts w:ascii="Times New Roman" w:hAnsi="Times New Roman" w:cs="Times New Roman"/>
          <w:b/>
        </w:rPr>
        <w:t>19</w:t>
      </w:r>
      <w:r w:rsidRPr="00E7693B">
        <w:rPr>
          <w:rFonts w:ascii="Times New Roman" w:hAnsi="Times New Roman" w:cs="Times New Roman"/>
          <w:b/>
          <w:color w:val="000000"/>
        </w:rPr>
        <w:t xml:space="preserve">. </w:t>
      </w:r>
      <w:r w:rsidRPr="00E7693B">
        <w:rPr>
          <w:rFonts w:ascii="Times New Roman" w:hAnsi="Times New Roman" w:cs="Times New Roman"/>
        </w:rPr>
        <w:t xml:space="preserve">Glucosinolate (GLS) content in control and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)-inoculated leaves of oilseed rape 3 and 7 days post fungal inoculation (dpi). Boxplots show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lowercase letters significant differences (P &lt; 0.05) between treatments for a given time point. </w:t>
      </w:r>
      <w:r w:rsidR="00D5128E" w:rsidRPr="00D5128E">
        <w:rPr>
          <w:rFonts w:ascii="Times New Roman" w:hAnsi="Times New Roman" w:cs="Times New Roman"/>
        </w:rPr>
        <w:t>Four independent experimental</w:t>
      </w:r>
      <w:r w:rsidR="00D5128E">
        <w:rPr>
          <w:rFonts w:ascii="Times New Roman" w:hAnsi="Times New Roman" w:cs="Times New Roman"/>
        </w:rPr>
        <w:t xml:space="preserve"> </w:t>
      </w:r>
      <w:r w:rsidR="00D5128E" w:rsidRPr="00D5128E">
        <w:rPr>
          <w:rFonts w:ascii="Times New Roman" w:hAnsi="Times New Roman" w:cs="Times New Roman"/>
        </w:rPr>
        <w:t>runs per treatment (control</w:t>
      </w:r>
      <w:r w:rsidR="00D5128E">
        <w:rPr>
          <w:rFonts w:ascii="Times New Roman" w:hAnsi="Times New Roman" w:cs="Times New Roman"/>
        </w:rPr>
        <w:t xml:space="preserve"> </w:t>
      </w:r>
      <w:r w:rsidR="00D5128E" w:rsidRPr="00D5128E">
        <w:rPr>
          <w:rFonts w:ascii="Times New Roman" w:hAnsi="Times New Roman" w:cs="Times New Roman"/>
        </w:rPr>
        <w:t xml:space="preserve">vs. </w:t>
      </w:r>
      <w:r w:rsidR="00D5128E" w:rsidRPr="006B61C5">
        <w:rPr>
          <w:rFonts w:ascii="Times New Roman" w:hAnsi="Times New Roman" w:cs="Times New Roman"/>
          <w:i/>
          <w:iCs/>
        </w:rPr>
        <w:t xml:space="preserve">L. </w:t>
      </w:r>
      <w:proofErr w:type="spellStart"/>
      <w:r w:rsidR="00D5128E" w:rsidRPr="006B61C5">
        <w:rPr>
          <w:rFonts w:ascii="Times New Roman" w:hAnsi="Times New Roman" w:cs="Times New Roman"/>
          <w:i/>
          <w:iCs/>
        </w:rPr>
        <w:t>maculans</w:t>
      </w:r>
      <w:proofErr w:type="spellEnd"/>
      <w:r w:rsidR="00D5128E" w:rsidRPr="00D5128E">
        <w:rPr>
          <w:rFonts w:ascii="Times New Roman" w:hAnsi="Times New Roman" w:cs="Times New Roman"/>
        </w:rPr>
        <w:t xml:space="preserve">-inoculated leaf) </w:t>
      </w:r>
      <w:r w:rsidR="00D5128E">
        <w:rPr>
          <w:rFonts w:ascii="Times New Roman" w:hAnsi="Times New Roman" w:cs="Times New Roman"/>
        </w:rPr>
        <w:t xml:space="preserve">and </w:t>
      </w:r>
      <w:r w:rsidR="00D5128E" w:rsidRPr="00D5128E">
        <w:rPr>
          <w:rFonts w:ascii="Times New Roman" w:hAnsi="Times New Roman" w:cs="Times New Roman"/>
        </w:rPr>
        <w:t>time point (3 and 7 dpi) were performed.</w:t>
      </w:r>
      <w:r w:rsidR="00D5128E">
        <w:rPr>
          <w:rFonts w:ascii="Times New Roman" w:hAnsi="Times New Roman" w:cs="Times New Roman"/>
        </w:rPr>
        <w:t xml:space="preserve"> </w:t>
      </w:r>
      <w:r w:rsidRPr="00E7693B">
        <w:rPr>
          <w:rFonts w:ascii="Times New Roman" w:hAnsi="Times New Roman" w:cs="Times New Roman"/>
          <w:u w:val="single"/>
        </w:rPr>
        <w:t>Aliphatic compounds</w:t>
      </w:r>
      <w:r w:rsidRPr="00E7693B">
        <w:rPr>
          <w:rFonts w:ascii="Times New Roman" w:hAnsi="Times New Roman" w:cs="Times New Roman"/>
        </w:rPr>
        <w:t xml:space="preserve">: </w:t>
      </w:r>
      <w:proofErr w:type="spellStart"/>
      <w:r w:rsidRPr="00E7693B">
        <w:rPr>
          <w:rFonts w:ascii="Times New Roman" w:hAnsi="Times New Roman" w:cs="Times New Roman"/>
        </w:rPr>
        <w:t>glucoiberin</w:t>
      </w:r>
      <w:proofErr w:type="spellEnd"/>
      <w:r w:rsidRPr="00E7693B">
        <w:rPr>
          <w:rFonts w:ascii="Times New Roman" w:hAnsi="Times New Roman" w:cs="Times New Roman"/>
        </w:rPr>
        <w:t xml:space="preserve">, gluconapin, </w:t>
      </w:r>
      <w:proofErr w:type="spellStart"/>
      <w:r w:rsidRPr="00E7693B">
        <w:rPr>
          <w:rFonts w:ascii="Times New Roman" w:hAnsi="Times New Roman" w:cs="Times New Roman"/>
        </w:rPr>
        <w:t>glucoalyssin</w:t>
      </w:r>
      <w:proofErr w:type="spellEnd"/>
      <w:r w:rsidRPr="00E7693B">
        <w:rPr>
          <w:rFonts w:ascii="Times New Roman" w:hAnsi="Times New Roman" w:cs="Times New Roman"/>
        </w:rPr>
        <w:t xml:space="preserve">, </w:t>
      </w:r>
      <w:proofErr w:type="spellStart"/>
      <w:r w:rsidRPr="00E7693B">
        <w:rPr>
          <w:rFonts w:ascii="Times New Roman" w:hAnsi="Times New Roman" w:cs="Times New Roman"/>
        </w:rPr>
        <w:t>glucobrassicanapin</w:t>
      </w:r>
      <w:proofErr w:type="spellEnd"/>
      <w:r w:rsidRPr="00E7693B">
        <w:rPr>
          <w:rFonts w:ascii="Times New Roman" w:hAnsi="Times New Roman" w:cs="Times New Roman"/>
        </w:rPr>
        <w:t xml:space="preserve">, </w:t>
      </w:r>
      <w:proofErr w:type="spellStart"/>
      <w:r w:rsidRPr="00E7693B">
        <w:rPr>
          <w:rFonts w:ascii="Times New Roman" w:hAnsi="Times New Roman" w:cs="Times New Roman"/>
        </w:rPr>
        <w:t>glucoibarin</w:t>
      </w:r>
      <w:proofErr w:type="spellEnd"/>
      <w:r w:rsidRPr="00E7693B">
        <w:rPr>
          <w:rFonts w:ascii="Times New Roman" w:hAnsi="Times New Roman" w:cs="Times New Roman"/>
        </w:rPr>
        <w:t xml:space="preserve">; </w:t>
      </w:r>
      <w:r w:rsidRPr="00E7693B">
        <w:rPr>
          <w:rFonts w:ascii="Times New Roman" w:hAnsi="Times New Roman" w:cs="Times New Roman"/>
          <w:u w:val="single"/>
        </w:rPr>
        <w:t>aromatic/benzenic compounds</w:t>
      </w:r>
      <w:r w:rsidRPr="00E7693B">
        <w:rPr>
          <w:rFonts w:ascii="Times New Roman" w:hAnsi="Times New Roman" w:cs="Times New Roman"/>
        </w:rPr>
        <w:t xml:space="preserve">: </w:t>
      </w:r>
      <w:proofErr w:type="spellStart"/>
      <w:r w:rsidRPr="00E7693B">
        <w:rPr>
          <w:rFonts w:ascii="Times New Roman" w:hAnsi="Times New Roman" w:cs="Times New Roman"/>
        </w:rPr>
        <w:t>gluconasturtiin</w:t>
      </w:r>
      <w:proofErr w:type="spellEnd"/>
      <w:r w:rsidRPr="00E7693B">
        <w:rPr>
          <w:rFonts w:ascii="Times New Roman" w:hAnsi="Times New Roman" w:cs="Times New Roman"/>
        </w:rPr>
        <w:t xml:space="preserve">; </w:t>
      </w:r>
      <w:r w:rsidRPr="00E7693B">
        <w:rPr>
          <w:rFonts w:ascii="Times New Roman" w:hAnsi="Times New Roman" w:cs="Times New Roman"/>
          <w:u w:val="single"/>
        </w:rPr>
        <w:t>aromatic/indole compounds</w:t>
      </w:r>
      <w:r w:rsidRPr="00E7693B">
        <w:rPr>
          <w:rFonts w:ascii="Times New Roman" w:hAnsi="Times New Roman" w:cs="Times New Roman"/>
        </w:rPr>
        <w:t xml:space="preserve">: </w:t>
      </w:r>
      <w:proofErr w:type="spellStart"/>
      <w:r w:rsidRPr="00E7693B">
        <w:rPr>
          <w:rFonts w:ascii="Times New Roman" w:hAnsi="Times New Roman" w:cs="Times New Roman"/>
        </w:rPr>
        <w:t>glucobrassicin</w:t>
      </w:r>
      <w:proofErr w:type="spellEnd"/>
      <w:r w:rsidRPr="00E7693B">
        <w:rPr>
          <w:rFonts w:ascii="Times New Roman" w:hAnsi="Times New Roman" w:cs="Times New Roman"/>
        </w:rPr>
        <w:t xml:space="preserve">, 4-methoxyglucobrassicin, </w:t>
      </w:r>
      <w:proofErr w:type="spellStart"/>
      <w:r w:rsidRPr="00E7693B">
        <w:rPr>
          <w:rFonts w:ascii="Times New Roman" w:hAnsi="Times New Roman" w:cs="Times New Roman"/>
        </w:rPr>
        <w:t>neoglucobrassicin</w:t>
      </w:r>
      <w:proofErr w:type="spellEnd"/>
      <w:r w:rsidRPr="00E7693B">
        <w:rPr>
          <w:rFonts w:ascii="Times New Roman" w:hAnsi="Times New Roman" w:cs="Times New Roman"/>
        </w:rPr>
        <w:t xml:space="preserve">. </w:t>
      </w:r>
      <w:r w:rsidRPr="00E7693B">
        <w:rPr>
          <w:rFonts w:ascii="Times New Roman" w:hAnsi="Times New Roman" w:cs="Times New Roman"/>
          <w:highlight w:val="white"/>
        </w:rPr>
        <w:t xml:space="preserve">Abbreviations: AG = aliphatic glucosinolate; IG = indole glucosinolate; </w:t>
      </w:r>
      <w:r w:rsidRPr="00E7693B">
        <w:rPr>
          <w:rFonts w:ascii="Times New Roman" w:hAnsi="Times New Roman" w:cs="Times New Roman"/>
          <w:color w:val="000000"/>
          <w:highlight w:val="white"/>
        </w:rPr>
        <w:t>ns = not significant.</w:t>
      </w:r>
    </w:p>
    <w:p w14:paraId="21509BEF" w14:textId="443C984A" w:rsidR="00E7693B" w:rsidRPr="00CF0A23" w:rsidRDefault="00F0718E">
      <w:pPr>
        <w:spacing w:after="24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The r</w:t>
      </w:r>
      <w:r w:rsidR="00E7693B" w:rsidRPr="00CF0A23">
        <w:rPr>
          <w:rFonts w:ascii="Times New Roman" w:hAnsi="Times New Roman" w:cs="Times New Roman"/>
          <w:sz w:val="24"/>
          <w:szCs w:val="24"/>
        </w:rPr>
        <w:t xml:space="preserve">edundancy analysis (RDA) showed that the experimental design explained 68 % of the total variance, with the axes 1 and 2 explaining 60 % and 27 % of the constrained variance, respectively (Fig. 20). Axis 1 separated the samples according to the time (3 vs. 7 dpi), while axis 2 according to the treatment (control vs. </w:t>
      </w:r>
      <w:r w:rsidR="00E7693B" w:rsidRPr="00CF0A23">
        <w:rPr>
          <w:rFonts w:ascii="Times New Roman" w:hAnsi="Times New Roman" w:cs="Times New Roman"/>
          <w:i/>
          <w:sz w:val="24"/>
          <w:szCs w:val="24"/>
        </w:rPr>
        <w:t xml:space="preserve">L. </w:t>
      </w:r>
      <w:proofErr w:type="spellStart"/>
      <w:r w:rsidR="00E7693B" w:rsidRPr="00CF0A23">
        <w:rPr>
          <w:rFonts w:ascii="Times New Roman" w:hAnsi="Times New Roman" w:cs="Times New Roman"/>
          <w:i/>
          <w:sz w:val="24"/>
          <w:szCs w:val="24"/>
        </w:rPr>
        <w:t>maculans</w:t>
      </w:r>
      <w:proofErr w:type="spellEnd"/>
      <w:r w:rsidR="00E7693B" w:rsidRPr="00CF0A23">
        <w:rPr>
          <w:rFonts w:ascii="Times New Roman" w:hAnsi="Times New Roman" w:cs="Times New Roman"/>
          <w:sz w:val="24"/>
          <w:szCs w:val="24"/>
        </w:rPr>
        <w:t>-inoculated leaf). Samples that appear close to each other are chemically similar and vice versa. The GLS composition profile was significantly influenced by the treatment (F</w:t>
      </w:r>
      <w:r w:rsidR="00E7693B" w:rsidRPr="00CF0A23">
        <w:rPr>
          <w:rFonts w:ascii="Times New Roman" w:hAnsi="Times New Roman" w:cs="Times New Roman"/>
          <w:sz w:val="24"/>
          <w:szCs w:val="24"/>
          <w:vertAlign w:val="subscript"/>
        </w:rPr>
        <w:t>1,8</w:t>
      </w:r>
      <w:r w:rsidR="00E7693B" w:rsidRPr="00CF0A23">
        <w:rPr>
          <w:rFonts w:ascii="Times New Roman" w:hAnsi="Times New Roman" w:cs="Times New Roman"/>
          <w:sz w:val="24"/>
          <w:szCs w:val="24"/>
        </w:rPr>
        <w:t xml:space="preserve"> = 5.16; P = 0.005), the time (F</w:t>
      </w:r>
      <w:r w:rsidR="00E7693B" w:rsidRPr="00CF0A23">
        <w:rPr>
          <w:rFonts w:ascii="Times New Roman" w:hAnsi="Times New Roman" w:cs="Times New Roman"/>
          <w:sz w:val="24"/>
          <w:szCs w:val="24"/>
          <w:vertAlign w:val="subscript"/>
        </w:rPr>
        <w:t>1,8</w:t>
      </w:r>
      <w:r w:rsidR="00E7693B" w:rsidRPr="00CF0A23">
        <w:rPr>
          <w:rFonts w:ascii="Times New Roman" w:hAnsi="Times New Roman" w:cs="Times New Roman"/>
          <w:sz w:val="24"/>
          <w:szCs w:val="24"/>
        </w:rPr>
        <w:t xml:space="preserve"> = 7.39; P = 0.002), and their interaction (F</w:t>
      </w:r>
      <w:r w:rsidR="00E7693B" w:rsidRPr="00CF0A23">
        <w:rPr>
          <w:rFonts w:ascii="Times New Roman" w:hAnsi="Times New Roman" w:cs="Times New Roman"/>
          <w:sz w:val="24"/>
          <w:szCs w:val="24"/>
          <w:vertAlign w:val="subscript"/>
        </w:rPr>
        <w:t>1,8</w:t>
      </w:r>
      <w:r w:rsidR="00E7693B" w:rsidRPr="00CF0A23">
        <w:rPr>
          <w:rFonts w:ascii="Times New Roman" w:hAnsi="Times New Roman" w:cs="Times New Roman"/>
          <w:sz w:val="24"/>
          <w:szCs w:val="24"/>
        </w:rPr>
        <w:t xml:space="preserve"> = 4.99; P = 0.013). For instance, </w:t>
      </w:r>
      <w:r w:rsidR="00E7693B" w:rsidRPr="00CF0A23">
        <w:rPr>
          <w:rFonts w:ascii="Times New Roman" w:hAnsi="Times New Roman" w:cs="Times New Roman"/>
          <w:sz w:val="24"/>
          <w:szCs w:val="24"/>
          <w:highlight w:val="white"/>
        </w:rPr>
        <w:t xml:space="preserve">RDA showed that gluconapin had a higher content in </w:t>
      </w:r>
      <w:r w:rsidR="00E7693B" w:rsidRPr="00CF0A23">
        <w:rPr>
          <w:rFonts w:ascii="Times New Roman" w:hAnsi="Times New Roman" w:cs="Times New Roman"/>
          <w:i/>
          <w:sz w:val="24"/>
          <w:szCs w:val="24"/>
        </w:rPr>
        <w:t xml:space="preserve">L. </w:t>
      </w:r>
      <w:proofErr w:type="spellStart"/>
      <w:r w:rsidR="00E7693B" w:rsidRPr="00CF0A23">
        <w:rPr>
          <w:rFonts w:ascii="Times New Roman" w:hAnsi="Times New Roman" w:cs="Times New Roman"/>
          <w:i/>
          <w:sz w:val="24"/>
          <w:szCs w:val="24"/>
        </w:rPr>
        <w:t>maculans</w:t>
      </w:r>
      <w:proofErr w:type="spellEnd"/>
      <w:r w:rsidR="00E7693B" w:rsidRPr="00CF0A23">
        <w:rPr>
          <w:rFonts w:ascii="Times New Roman" w:hAnsi="Times New Roman" w:cs="Times New Roman"/>
          <w:sz w:val="24"/>
          <w:szCs w:val="24"/>
          <w:highlight w:val="white"/>
        </w:rPr>
        <w:t xml:space="preserve">-inoculated leaves at 3 dpi and </w:t>
      </w:r>
      <w:proofErr w:type="spellStart"/>
      <w:r w:rsidR="00E7693B" w:rsidRPr="00CF0A23">
        <w:rPr>
          <w:rFonts w:ascii="Times New Roman" w:hAnsi="Times New Roman" w:cs="Times New Roman"/>
          <w:sz w:val="24"/>
          <w:szCs w:val="24"/>
          <w:highlight w:val="white"/>
        </w:rPr>
        <w:t>glucoiberin</w:t>
      </w:r>
      <w:proofErr w:type="spellEnd"/>
      <w:r w:rsidR="00E7693B" w:rsidRPr="00CF0A23">
        <w:rPr>
          <w:rFonts w:ascii="Times New Roman" w:hAnsi="Times New Roman" w:cs="Times New Roman"/>
          <w:sz w:val="24"/>
          <w:szCs w:val="24"/>
          <w:highlight w:val="white"/>
        </w:rPr>
        <w:t xml:space="preserve"> in </w:t>
      </w:r>
      <w:r w:rsidR="00E7693B" w:rsidRPr="00CF0A23">
        <w:rPr>
          <w:rFonts w:ascii="Times New Roman" w:hAnsi="Times New Roman" w:cs="Times New Roman"/>
          <w:i/>
          <w:sz w:val="24"/>
          <w:szCs w:val="24"/>
        </w:rPr>
        <w:t xml:space="preserve">L. </w:t>
      </w:r>
      <w:proofErr w:type="spellStart"/>
      <w:r w:rsidR="00E7693B" w:rsidRPr="00CF0A23">
        <w:rPr>
          <w:rFonts w:ascii="Times New Roman" w:hAnsi="Times New Roman" w:cs="Times New Roman"/>
          <w:i/>
          <w:sz w:val="24"/>
          <w:szCs w:val="24"/>
        </w:rPr>
        <w:t>maculans</w:t>
      </w:r>
      <w:proofErr w:type="spellEnd"/>
      <w:r w:rsidR="00E7693B" w:rsidRPr="00CF0A23">
        <w:rPr>
          <w:rFonts w:ascii="Times New Roman" w:hAnsi="Times New Roman" w:cs="Times New Roman"/>
          <w:sz w:val="24"/>
          <w:szCs w:val="24"/>
          <w:highlight w:val="white"/>
        </w:rPr>
        <w:t>-inoculated leaves at 7 dpi.</w:t>
      </w:r>
    </w:p>
    <w:p w14:paraId="21509BF0" w14:textId="77777777" w:rsidR="00E7693B" w:rsidRPr="00E7693B" w:rsidRDefault="00E7693B">
      <w:pPr>
        <w:spacing w:line="276" w:lineRule="auto"/>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96" wp14:editId="2150A597">
            <wp:extent cx="5760085" cy="3732530"/>
            <wp:effectExtent l="0" t="0" r="0" b="0"/>
            <wp:docPr id="46"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37"/>
                    <a:srcRect/>
                    <a:stretch>
                      <a:fillRect/>
                    </a:stretch>
                  </pic:blipFill>
                  <pic:spPr>
                    <a:xfrm>
                      <a:off x="0" y="0"/>
                      <a:ext cx="5760085" cy="3732530"/>
                    </a:xfrm>
                    <a:prstGeom prst="rect">
                      <a:avLst/>
                    </a:prstGeom>
                    <a:ln/>
                  </pic:spPr>
                </pic:pic>
              </a:graphicData>
            </a:graphic>
          </wp:inline>
        </w:drawing>
      </w:r>
    </w:p>
    <w:p w14:paraId="21509BF1" w14:textId="77777777" w:rsidR="00E7693B" w:rsidRPr="00E7693B" w:rsidRDefault="00E7693B">
      <w:pPr>
        <w:spacing w:before="240" w:after="240" w:line="360" w:lineRule="auto"/>
        <w:jc w:val="both"/>
        <w:rPr>
          <w:rFonts w:ascii="Times New Roman" w:hAnsi="Times New Roman" w:cs="Times New Roman"/>
        </w:rPr>
      </w:pPr>
      <w:bookmarkStart w:id="60" w:name="_heading=h.1egqt2p" w:colFirst="0" w:colLast="0"/>
      <w:bookmarkEnd w:id="60"/>
      <w:r w:rsidRPr="00E7693B">
        <w:rPr>
          <w:rFonts w:ascii="Times New Roman" w:hAnsi="Times New Roman" w:cs="Times New Roman"/>
          <w:b/>
        </w:rPr>
        <w:t>Figure 20.</w:t>
      </w:r>
      <w:r w:rsidRPr="00E7693B">
        <w:rPr>
          <w:rFonts w:ascii="Times New Roman" w:hAnsi="Times New Roman" w:cs="Times New Roman"/>
        </w:rPr>
        <w:t xml:space="preserve"> Redundancy analysis (RDA) of glucosinolate (GLS) composition in control and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)-inoculated leaves of oilseed rape 3 and 7 days post inoculation (dpi). Score plot is shown on the left, with variances explained by the synthetic axes written in parentheses, and the correlation circle on the right.</w:t>
      </w:r>
    </w:p>
    <w:p w14:paraId="21509BF2" w14:textId="2F4FB2C0" w:rsidR="00E7693B" w:rsidRPr="00E7693B" w:rsidRDefault="00E7693B" w:rsidP="00184E62">
      <w:pPr>
        <w:spacing w:before="240"/>
        <w:jc w:val="both"/>
        <w:rPr>
          <w:rFonts w:ascii="Times New Roman" w:hAnsi="Times New Roman" w:cs="Times New Roman"/>
        </w:rPr>
      </w:pPr>
      <w:r w:rsidRPr="00E7693B">
        <w:rPr>
          <w:rFonts w:ascii="Times New Roman" w:hAnsi="Times New Roman" w:cs="Times New Roman"/>
          <w:b/>
          <w:color w:val="000000"/>
        </w:rPr>
        <w:t xml:space="preserve">Table 3. </w:t>
      </w:r>
      <w:r w:rsidR="00184E62" w:rsidRPr="00E7693B">
        <w:rPr>
          <w:rFonts w:ascii="Times New Roman" w:hAnsi="Times New Roman" w:cs="Times New Roman"/>
          <w:color w:val="000000"/>
        </w:rPr>
        <w:t>Statistic</w:t>
      </w:r>
      <w:r w:rsidR="00184E62">
        <w:rPr>
          <w:rFonts w:ascii="Times New Roman" w:hAnsi="Times New Roman" w:cs="Times New Roman"/>
          <w:color w:val="000000"/>
        </w:rPr>
        <w:t xml:space="preserve">al output for each compound from analysis to determine differences in </w:t>
      </w:r>
      <w:r w:rsidRPr="00E7693B">
        <w:rPr>
          <w:rFonts w:ascii="Times New Roman" w:hAnsi="Times New Roman" w:cs="Times New Roman"/>
          <w:color w:val="000000"/>
        </w:rPr>
        <w:t xml:space="preserve">glucosinolate (GLS) </w:t>
      </w:r>
      <w:r w:rsidR="00184E62">
        <w:rPr>
          <w:rFonts w:ascii="Times New Roman" w:hAnsi="Times New Roman" w:cs="Times New Roman"/>
          <w:color w:val="000000"/>
        </w:rPr>
        <w:t xml:space="preserve">levels between control leaves of oilseed rape and </w:t>
      </w:r>
      <w:r w:rsidRPr="00E7693B">
        <w:rPr>
          <w:rFonts w:ascii="Times New Roman" w:hAnsi="Times New Roman" w:cs="Times New Roman"/>
          <w:i/>
          <w:color w:val="000000"/>
        </w:rPr>
        <w:t xml:space="preserve">L. </w:t>
      </w:r>
      <w:proofErr w:type="spellStart"/>
      <w:r w:rsidRPr="00E7693B">
        <w:rPr>
          <w:rFonts w:ascii="Times New Roman" w:hAnsi="Times New Roman" w:cs="Times New Roman"/>
          <w:i/>
          <w:color w:val="000000"/>
        </w:rPr>
        <w:t>maculans</w:t>
      </w:r>
      <w:proofErr w:type="spellEnd"/>
      <w:r w:rsidR="00184E62">
        <w:rPr>
          <w:rFonts w:ascii="Times New Roman" w:hAnsi="Times New Roman" w:cs="Times New Roman"/>
          <w:iCs/>
          <w:color w:val="000000"/>
        </w:rPr>
        <w:t>-inoculated leaves at 3 and 7 days post inoculation</w:t>
      </w:r>
      <w:r w:rsidRPr="00E7693B">
        <w:rPr>
          <w:rFonts w:ascii="Times New Roman" w:hAnsi="Times New Roman" w:cs="Times New Roman"/>
          <w:color w:val="000000"/>
        </w:rPr>
        <w:t>. ".": P &lt; 0.1, *: P &lt; 0.05, **: P &lt; 0.01, ***: P &lt; 0.001</w:t>
      </w:r>
      <w:r w:rsidR="00184E62">
        <w:rPr>
          <w:rFonts w:ascii="Times New Roman" w:hAnsi="Times New Roman" w:cs="Times New Roman"/>
          <w:color w:val="000000"/>
        </w:rPr>
        <w:t xml:space="preserve">; </w:t>
      </w:r>
      <w:r w:rsidR="00184E62" w:rsidRPr="00333579">
        <w:rPr>
          <w:rFonts w:ascii="Times New Roman" w:hAnsi="Times New Roman" w:cs="Times New Roman"/>
          <w:i/>
          <w:iCs/>
          <w:color w:val="000000"/>
        </w:rPr>
        <w:t>treatment</w:t>
      </w:r>
      <w:r w:rsidR="00184E62">
        <w:rPr>
          <w:rFonts w:ascii="Times New Roman" w:hAnsi="Times New Roman" w:cs="Times New Roman"/>
          <w:color w:val="000000"/>
        </w:rPr>
        <w:t xml:space="preserve">: control vs. </w:t>
      </w:r>
      <w:r w:rsidR="00184E62">
        <w:rPr>
          <w:rFonts w:ascii="Times New Roman" w:hAnsi="Times New Roman" w:cs="Times New Roman"/>
          <w:i/>
          <w:iCs/>
          <w:color w:val="000000"/>
        </w:rPr>
        <w:t xml:space="preserve">L. </w:t>
      </w:r>
      <w:proofErr w:type="spellStart"/>
      <w:r w:rsidR="00184E62">
        <w:rPr>
          <w:rFonts w:ascii="Times New Roman" w:hAnsi="Times New Roman" w:cs="Times New Roman"/>
          <w:i/>
          <w:iCs/>
          <w:color w:val="000000"/>
        </w:rPr>
        <w:t>maculans</w:t>
      </w:r>
      <w:proofErr w:type="spellEnd"/>
      <w:r w:rsidR="00184E62">
        <w:rPr>
          <w:rFonts w:ascii="Times New Roman" w:hAnsi="Times New Roman" w:cs="Times New Roman"/>
          <w:color w:val="000000"/>
        </w:rPr>
        <w:t xml:space="preserve">-inoculated leaf; </w:t>
      </w:r>
      <w:r w:rsidR="00184E62" w:rsidRPr="00333579">
        <w:rPr>
          <w:rFonts w:ascii="Times New Roman" w:hAnsi="Times New Roman" w:cs="Times New Roman"/>
          <w:i/>
          <w:iCs/>
          <w:color w:val="000000"/>
        </w:rPr>
        <w:t>time</w:t>
      </w:r>
      <w:r w:rsidR="00184E62">
        <w:rPr>
          <w:rFonts w:ascii="Times New Roman" w:hAnsi="Times New Roman" w:cs="Times New Roman"/>
          <w:color w:val="000000"/>
        </w:rPr>
        <w:t>: 3 vs. 7 days post inoculation.</w:t>
      </w:r>
    </w:p>
    <w:tbl>
      <w:tblPr>
        <w:tblW w:w="8996" w:type="dxa"/>
        <w:tblInd w:w="-10" w:type="dxa"/>
        <w:tblBorders>
          <w:top w:val="single" w:sz="4" w:space="0" w:color="000000"/>
          <w:bottom w:val="single" w:sz="4" w:space="0" w:color="000000"/>
        </w:tblBorders>
        <w:tblLayout w:type="fixed"/>
        <w:tblCellMar>
          <w:left w:w="10" w:type="dxa"/>
          <w:right w:w="10" w:type="dxa"/>
        </w:tblCellMar>
        <w:tblLook w:val="0400" w:firstRow="0" w:lastRow="0" w:firstColumn="0" w:lastColumn="0" w:noHBand="0" w:noVBand="1"/>
      </w:tblPr>
      <w:tblGrid>
        <w:gridCol w:w="2291"/>
        <w:gridCol w:w="642"/>
        <w:gridCol w:w="540"/>
        <w:gridCol w:w="536"/>
        <w:gridCol w:w="271"/>
        <w:gridCol w:w="673"/>
        <w:gridCol w:w="406"/>
        <w:gridCol w:w="538"/>
        <w:gridCol w:w="274"/>
        <w:gridCol w:w="670"/>
        <w:gridCol w:w="407"/>
        <w:gridCol w:w="538"/>
        <w:gridCol w:w="250"/>
        <w:gridCol w:w="960"/>
      </w:tblGrid>
      <w:tr w:rsidR="00E7693B" w:rsidRPr="00E7693B" w14:paraId="21509BF8" w14:textId="77777777">
        <w:trPr>
          <w:trHeight w:val="300"/>
        </w:trPr>
        <w:tc>
          <w:tcPr>
            <w:tcW w:w="2291" w:type="dxa"/>
            <w:vMerge w:val="restart"/>
            <w:tcBorders>
              <w:top w:val="single" w:sz="4" w:space="0" w:color="000000"/>
              <w:bottom w:val="nil"/>
            </w:tcBorders>
            <w:shd w:val="clear" w:color="auto" w:fill="auto"/>
            <w:vAlign w:val="center"/>
          </w:tcPr>
          <w:p w14:paraId="21509BF3"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lastRenderedPageBreak/>
              <w:t>Compound</w:t>
            </w:r>
          </w:p>
        </w:tc>
        <w:tc>
          <w:tcPr>
            <w:tcW w:w="1989" w:type="dxa"/>
            <w:gridSpan w:val="4"/>
            <w:tcBorders>
              <w:top w:val="single" w:sz="4" w:space="0" w:color="000000"/>
              <w:bottom w:val="nil"/>
            </w:tcBorders>
            <w:shd w:val="clear" w:color="auto" w:fill="auto"/>
            <w:vAlign w:val="bottom"/>
          </w:tcPr>
          <w:p w14:paraId="21509BF4"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Treatment</w:t>
            </w:r>
          </w:p>
        </w:tc>
        <w:tc>
          <w:tcPr>
            <w:tcW w:w="1891" w:type="dxa"/>
            <w:gridSpan w:val="4"/>
            <w:tcBorders>
              <w:top w:val="single" w:sz="4" w:space="0" w:color="000000"/>
              <w:bottom w:val="nil"/>
            </w:tcBorders>
            <w:shd w:val="clear" w:color="auto" w:fill="auto"/>
            <w:vAlign w:val="bottom"/>
          </w:tcPr>
          <w:p w14:paraId="21509BF5"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Time</w:t>
            </w:r>
          </w:p>
        </w:tc>
        <w:tc>
          <w:tcPr>
            <w:tcW w:w="1865" w:type="dxa"/>
            <w:gridSpan w:val="4"/>
            <w:tcBorders>
              <w:top w:val="single" w:sz="4" w:space="0" w:color="000000"/>
              <w:bottom w:val="nil"/>
            </w:tcBorders>
            <w:shd w:val="clear" w:color="auto" w:fill="auto"/>
            <w:vAlign w:val="bottom"/>
          </w:tcPr>
          <w:p w14:paraId="21509BF6"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Treatment:Time</w:t>
            </w:r>
            <w:proofErr w:type="spellEnd"/>
          </w:p>
        </w:tc>
        <w:tc>
          <w:tcPr>
            <w:tcW w:w="960" w:type="dxa"/>
            <w:tcBorders>
              <w:top w:val="single" w:sz="4" w:space="0" w:color="000000"/>
              <w:bottom w:val="nil"/>
            </w:tcBorders>
            <w:shd w:val="clear" w:color="auto" w:fill="auto"/>
            <w:vAlign w:val="bottom"/>
          </w:tcPr>
          <w:p w14:paraId="21509BF7"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w:t>
            </w:r>
          </w:p>
        </w:tc>
      </w:tr>
      <w:tr w:rsidR="00E7693B" w:rsidRPr="00E7693B" w14:paraId="21509C04" w14:textId="77777777">
        <w:trPr>
          <w:trHeight w:val="315"/>
        </w:trPr>
        <w:tc>
          <w:tcPr>
            <w:tcW w:w="2291" w:type="dxa"/>
            <w:vMerge/>
            <w:tcBorders>
              <w:top w:val="single" w:sz="4" w:space="0" w:color="000000"/>
              <w:bottom w:val="nil"/>
            </w:tcBorders>
            <w:shd w:val="clear" w:color="auto" w:fill="auto"/>
            <w:vAlign w:val="center"/>
          </w:tcPr>
          <w:p w14:paraId="21509BF9" w14:textId="77777777" w:rsidR="00E7693B" w:rsidRPr="00E7693B" w:rsidRDefault="00E7693B">
            <w:pPr>
              <w:widowControl w:val="0"/>
              <w:pBdr>
                <w:top w:val="nil"/>
                <w:left w:val="nil"/>
                <w:bottom w:val="nil"/>
                <w:right w:val="nil"/>
                <w:between w:val="nil"/>
              </w:pBdr>
              <w:spacing w:line="276" w:lineRule="auto"/>
              <w:rPr>
                <w:rFonts w:ascii="Times New Roman" w:hAnsi="Times New Roman" w:cs="Times New Roman"/>
                <w:b/>
                <w:color w:val="000000"/>
              </w:rPr>
            </w:pPr>
          </w:p>
        </w:tc>
        <w:tc>
          <w:tcPr>
            <w:tcW w:w="642" w:type="dxa"/>
            <w:tcBorders>
              <w:top w:val="nil"/>
              <w:bottom w:val="single" w:sz="4" w:space="0" w:color="000000"/>
            </w:tcBorders>
            <w:shd w:val="clear" w:color="auto" w:fill="auto"/>
            <w:vAlign w:val="bottom"/>
          </w:tcPr>
          <w:p w14:paraId="21509BFA"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540" w:type="dxa"/>
            <w:tcBorders>
              <w:top w:val="nil"/>
              <w:bottom w:val="single" w:sz="4" w:space="0" w:color="000000"/>
            </w:tcBorders>
            <w:shd w:val="clear" w:color="auto" w:fill="auto"/>
            <w:vAlign w:val="bottom"/>
          </w:tcPr>
          <w:p w14:paraId="21509BFB"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807" w:type="dxa"/>
            <w:gridSpan w:val="2"/>
            <w:tcBorders>
              <w:top w:val="nil"/>
              <w:bottom w:val="single" w:sz="4" w:space="0" w:color="000000"/>
            </w:tcBorders>
            <w:shd w:val="clear" w:color="auto" w:fill="auto"/>
            <w:vAlign w:val="bottom"/>
          </w:tcPr>
          <w:p w14:paraId="21509BFC"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73" w:type="dxa"/>
            <w:tcBorders>
              <w:top w:val="nil"/>
              <w:bottom w:val="single" w:sz="4" w:space="0" w:color="000000"/>
            </w:tcBorders>
            <w:shd w:val="clear" w:color="auto" w:fill="auto"/>
            <w:vAlign w:val="bottom"/>
          </w:tcPr>
          <w:p w14:paraId="21509BFD"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406" w:type="dxa"/>
            <w:tcBorders>
              <w:top w:val="nil"/>
              <w:bottom w:val="single" w:sz="4" w:space="0" w:color="000000"/>
            </w:tcBorders>
            <w:shd w:val="clear" w:color="auto" w:fill="auto"/>
            <w:vAlign w:val="bottom"/>
          </w:tcPr>
          <w:p w14:paraId="21509BFE"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812" w:type="dxa"/>
            <w:gridSpan w:val="2"/>
            <w:tcBorders>
              <w:top w:val="nil"/>
              <w:bottom w:val="single" w:sz="4" w:space="0" w:color="000000"/>
            </w:tcBorders>
            <w:shd w:val="clear" w:color="auto" w:fill="auto"/>
            <w:vAlign w:val="bottom"/>
          </w:tcPr>
          <w:p w14:paraId="21509BFF"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70" w:type="dxa"/>
            <w:tcBorders>
              <w:top w:val="nil"/>
              <w:bottom w:val="single" w:sz="4" w:space="0" w:color="000000"/>
            </w:tcBorders>
            <w:shd w:val="clear" w:color="auto" w:fill="auto"/>
            <w:vAlign w:val="bottom"/>
          </w:tcPr>
          <w:p w14:paraId="21509C00"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407" w:type="dxa"/>
            <w:tcBorders>
              <w:top w:val="nil"/>
              <w:bottom w:val="single" w:sz="4" w:space="0" w:color="000000"/>
            </w:tcBorders>
            <w:shd w:val="clear" w:color="auto" w:fill="auto"/>
            <w:vAlign w:val="bottom"/>
          </w:tcPr>
          <w:p w14:paraId="21509C01"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788" w:type="dxa"/>
            <w:gridSpan w:val="2"/>
            <w:tcBorders>
              <w:top w:val="nil"/>
              <w:bottom w:val="single" w:sz="4" w:space="0" w:color="000000"/>
            </w:tcBorders>
            <w:shd w:val="clear" w:color="auto" w:fill="auto"/>
            <w:vAlign w:val="bottom"/>
          </w:tcPr>
          <w:p w14:paraId="21509C02"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960" w:type="dxa"/>
            <w:tcBorders>
              <w:top w:val="nil"/>
              <w:bottom w:val="single" w:sz="4" w:space="0" w:color="000000"/>
            </w:tcBorders>
            <w:shd w:val="clear" w:color="auto" w:fill="auto"/>
            <w:vAlign w:val="bottom"/>
          </w:tcPr>
          <w:p w14:paraId="21509C03"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xml:space="preserve">Residual </w:t>
            </w:r>
            <w:proofErr w:type="spellStart"/>
            <w:r w:rsidRPr="00E7693B">
              <w:rPr>
                <w:rFonts w:ascii="Times New Roman" w:hAnsi="Times New Roman" w:cs="Times New Roman"/>
                <w:b/>
                <w:color w:val="000000"/>
              </w:rPr>
              <w:t>df</w:t>
            </w:r>
            <w:proofErr w:type="spellEnd"/>
          </w:p>
        </w:tc>
      </w:tr>
      <w:tr w:rsidR="00E7693B" w:rsidRPr="00E7693B" w14:paraId="21509C13" w14:textId="77777777">
        <w:trPr>
          <w:trHeight w:val="868"/>
        </w:trPr>
        <w:tc>
          <w:tcPr>
            <w:tcW w:w="2291" w:type="dxa"/>
            <w:tcBorders>
              <w:top w:val="single" w:sz="4" w:space="0" w:color="000000"/>
            </w:tcBorders>
            <w:shd w:val="clear" w:color="auto" w:fill="auto"/>
            <w:vAlign w:val="center"/>
          </w:tcPr>
          <w:p w14:paraId="21509C05"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Glucoiberin</w:t>
            </w:r>
            <w:proofErr w:type="spellEnd"/>
            <w:r w:rsidRPr="00E7693B">
              <w:rPr>
                <w:rFonts w:ascii="Times New Roman" w:hAnsi="Times New Roman" w:cs="Times New Roman"/>
                <w:color w:val="000000"/>
              </w:rPr>
              <w:t xml:space="preserve"> (3-methylsulfinylpropyl, 3-msp)</w:t>
            </w:r>
          </w:p>
        </w:tc>
        <w:tc>
          <w:tcPr>
            <w:tcW w:w="642" w:type="dxa"/>
            <w:tcBorders>
              <w:top w:val="single" w:sz="4" w:space="0" w:color="000000"/>
            </w:tcBorders>
            <w:shd w:val="clear" w:color="auto" w:fill="auto"/>
            <w:vAlign w:val="center"/>
          </w:tcPr>
          <w:p w14:paraId="21509C0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0.43</w:t>
            </w:r>
          </w:p>
        </w:tc>
        <w:tc>
          <w:tcPr>
            <w:tcW w:w="540" w:type="dxa"/>
            <w:tcBorders>
              <w:top w:val="single" w:sz="4" w:space="0" w:color="000000"/>
            </w:tcBorders>
            <w:shd w:val="clear" w:color="auto" w:fill="auto"/>
            <w:vAlign w:val="center"/>
          </w:tcPr>
          <w:p w14:paraId="21509C0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tcBorders>
              <w:top w:val="single" w:sz="4" w:space="0" w:color="000000"/>
            </w:tcBorders>
            <w:shd w:val="clear" w:color="auto" w:fill="auto"/>
            <w:vAlign w:val="center"/>
          </w:tcPr>
          <w:p w14:paraId="21509C0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0.60</w:t>
            </w:r>
          </w:p>
        </w:tc>
        <w:tc>
          <w:tcPr>
            <w:tcW w:w="271" w:type="dxa"/>
            <w:tcBorders>
              <w:top w:val="single" w:sz="4" w:space="0" w:color="000000"/>
            </w:tcBorders>
            <w:shd w:val="clear" w:color="auto" w:fill="auto"/>
            <w:vAlign w:val="center"/>
          </w:tcPr>
          <w:p w14:paraId="21509C09" w14:textId="77777777" w:rsidR="00E7693B" w:rsidRPr="00E7693B" w:rsidRDefault="00E7693B">
            <w:pPr>
              <w:jc w:val="center"/>
              <w:rPr>
                <w:rFonts w:ascii="Times New Roman" w:hAnsi="Times New Roman" w:cs="Times New Roman"/>
                <w:color w:val="000000"/>
              </w:rPr>
            </w:pPr>
          </w:p>
        </w:tc>
        <w:tc>
          <w:tcPr>
            <w:tcW w:w="673" w:type="dxa"/>
            <w:tcBorders>
              <w:top w:val="single" w:sz="4" w:space="0" w:color="000000"/>
            </w:tcBorders>
            <w:shd w:val="clear" w:color="auto" w:fill="auto"/>
            <w:vAlign w:val="center"/>
          </w:tcPr>
          <w:p w14:paraId="21509C0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10.68</w:t>
            </w:r>
          </w:p>
        </w:tc>
        <w:tc>
          <w:tcPr>
            <w:tcW w:w="406" w:type="dxa"/>
            <w:tcBorders>
              <w:top w:val="single" w:sz="4" w:space="0" w:color="000000"/>
            </w:tcBorders>
            <w:shd w:val="clear" w:color="auto" w:fill="auto"/>
            <w:vAlign w:val="center"/>
          </w:tcPr>
          <w:p w14:paraId="21509C0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tcBorders>
              <w:top w:val="single" w:sz="4" w:space="0" w:color="000000"/>
            </w:tcBorders>
            <w:shd w:val="clear" w:color="auto" w:fill="auto"/>
            <w:vAlign w:val="center"/>
          </w:tcPr>
          <w:p w14:paraId="21509C0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0.03</w:t>
            </w:r>
          </w:p>
        </w:tc>
        <w:tc>
          <w:tcPr>
            <w:tcW w:w="274" w:type="dxa"/>
            <w:tcBorders>
              <w:top w:val="single" w:sz="4" w:space="0" w:color="000000"/>
            </w:tcBorders>
            <w:shd w:val="clear" w:color="auto" w:fill="auto"/>
            <w:vAlign w:val="center"/>
          </w:tcPr>
          <w:p w14:paraId="21509C0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0" w:type="dxa"/>
            <w:tcBorders>
              <w:top w:val="single" w:sz="4" w:space="0" w:color="000000"/>
            </w:tcBorders>
            <w:shd w:val="clear" w:color="auto" w:fill="auto"/>
            <w:vAlign w:val="center"/>
          </w:tcPr>
          <w:p w14:paraId="21509C0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23.86</w:t>
            </w:r>
          </w:p>
        </w:tc>
        <w:tc>
          <w:tcPr>
            <w:tcW w:w="407" w:type="dxa"/>
            <w:tcBorders>
              <w:top w:val="single" w:sz="4" w:space="0" w:color="000000"/>
            </w:tcBorders>
            <w:shd w:val="clear" w:color="auto" w:fill="auto"/>
            <w:vAlign w:val="center"/>
          </w:tcPr>
          <w:p w14:paraId="21509C0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tcBorders>
              <w:top w:val="single" w:sz="4" w:space="0" w:color="000000"/>
            </w:tcBorders>
            <w:shd w:val="clear" w:color="auto" w:fill="auto"/>
            <w:vAlign w:val="center"/>
          </w:tcPr>
          <w:p w14:paraId="21509C1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250" w:type="dxa"/>
            <w:tcBorders>
              <w:top w:val="single" w:sz="4" w:space="0" w:color="000000"/>
            </w:tcBorders>
            <w:shd w:val="clear" w:color="auto" w:fill="auto"/>
            <w:vAlign w:val="center"/>
          </w:tcPr>
          <w:p w14:paraId="21509C1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60" w:type="dxa"/>
            <w:tcBorders>
              <w:top w:val="single" w:sz="4" w:space="0" w:color="000000"/>
            </w:tcBorders>
            <w:shd w:val="clear" w:color="auto" w:fill="auto"/>
            <w:vAlign w:val="center"/>
          </w:tcPr>
          <w:p w14:paraId="21509C1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r w:rsidR="00E7693B" w:rsidRPr="00E7693B" w14:paraId="21509C22" w14:textId="77777777">
        <w:trPr>
          <w:trHeight w:val="868"/>
        </w:trPr>
        <w:tc>
          <w:tcPr>
            <w:tcW w:w="2291" w:type="dxa"/>
            <w:shd w:val="clear" w:color="auto" w:fill="auto"/>
            <w:vAlign w:val="center"/>
          </w:tcPr>
          <w:p w14:paraId="21509C14"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Gluconapin (3-butenyl, 3-but)</w:t>
            </w:r>
          </w:p>
        </w:tc>
        <w:tc>
          <w:tcPr>
            <w:tcW w:w="642" w:type="dxa"/>
            <w:shd w:val="clear" w:color="auto" w:fill="auto"/>
            <w:vAlign w:val="center"/>
          </w:tcPr>
          <w:p w14:paraId="21509C1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4.56</w:t>
            </w:r>
          </w:p>
        </w:tc>
        <w:tc>
          <w:tcPr>
            <w:tcW w:w="540" w:type="dxa"/>
            <w:shd w:val="clear" w:color="auto" w:fill="auto"/>
            <w:vAlign w:val="center"/>
          </w:tcPr>
          <w:p w14:paraId="21509C1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shd w:val="clear" w:color="auto" w:fill="auto"/>
            <w:vAlign w:val="center"/>
          </w:tcPr>
          <w:p w14:paraId="21509C1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0.13</w:t>
            </w:r>
          </w:p>
        </w:tc>
        <w:tc>
          <w:tcPr>
            <w:tcW w:w="271" w:type="dxa"/>
            <w:shd w:val="clear" w:color="auto" w:fill="auto"/>
            <w:vAlign w:val="center"/>
          </w:tcPr>
          <w:p w14:paraId="21509C18"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9C1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2.40</w:t>
            </w:r>
          </w:p>
        </w:tc>
        <w:tc>
          <w:tcPr>
            <w:tcW w:w="406" w:type="dxa"/>
            <w:shd w:val="clear" w:color="auto" w:fill="auto"/>
            <w:vAlign w:val="center"/>
          </w:tcPr>
          <w:p w14:paraId="21509C1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1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0.19</w:t>
            </w:r>
          </w:p>
        </w:tc>
        <w:tc>
          <w:tcPr>
            <w:tcW w:w="274" w:type="dxa"/>
            <w:shd w:val="clear" w:color="auto" w:fill="auto"/>
            <w:vAlign w:val="center"/>
          </w:tcPr>
          <w:p w14:paraId="21509C1C" w14:textId="77777777" w:rsidR="00E7693B" w:rsidRPr="00E7693B" w:rsidRDefault="00E7693B">
            <w:pPr>
              <w:jc w:val="center"/>
              <w:rPr>
                <w:rFonts w:ascii="Times New Roman" w:hAnsi="Times New Roman" w:cs="Times New Roman"/>
                <w:color w:val="000000"/>
              </w:rPr>
            </w:pPr>
          </w:p>
        </w:tc>
        <w:tc>
          <w:tcPr>
            <w:tcW w:w="670" w:type="dxa"/>
            <w:shd w:val="clear" w:color="auto" w:fill="auto"/>
            <w:vAlign w:val="center"/>
          </w:tcPr>
          <w:p w14:paraId="21509C1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10.40</w:t>
            </w:r>
          </w:p>
        </w:tc>
        <w:tc>
          <w:tcPr>
            <w:tcW w:w="407" w:type="dxa"/>
            <w:shd w:val="clear" w:color="auto" w:fill="auto"/>
            <w:vAlign w:val="center"/>
          </w:tcPr>
          <w:p w14:paraId="21509C1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1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0.07</w:t>
            </w:r>
          </w:p>
        </w:tc>
        <w:tc>
          <w:tcPr>
            <w:tcW w:w="250" w:type="dxa"/>
            <w:shd w:val="clear" w:color="auto" w:fill="auto"/>
            <w:vAlign w:val="center"/>
          </w:tcPr>
          <w:p w14:paraId="21509C2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60" w:type="dxa"/>
            <w:shd w:val="clear" w:color="auto" w:fill="auto"/>
            <w:vAlign w:val="center"/>
          </w:tcPr>
          <w:p w14:paraId="21509C2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r w:rsidR="00E7693B" w:rsidRPr="00E7693B" w14:paraId="21509C31" w14:textId="77777777">
        <w:trPr>
          <w:trHeight w:val="868"/>
        </w:trPr>
        <w:tc>
          <w:tcPr>
            <w:tcW w:w="2291" w:type="dxa"/>
            <w:shd w:val="clear" w:color="auto" w:fill="auto"/>
            <w:vAlign w:val="center"/>
          </w:tcPr>
          <w:p w14:paraId="21509C23"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Glucoalyssin</w:t>
            </w:r>
            <w:proofErr w:type="spellEnd"/>
            <w:r w:rsidRPr="00E7693B">
              <w:rPr>
                <w:rFonts w:ascii="Times New Roman" w:hAnsi="Times New Roman" w:cs="Times New Roman"/>
                <w:color w:val="000000"/>
              </w:rPr>
              <w:t xml:space="preserve"> (5-methylsulfinylpentyl, 5-msp)</w:t>
            </w:r>
          </w:p>
        </w:tc>
        <w:tc>
          <w:tcPr>
            <w:tcW w:w="642" w:type="dxa"/>
            <w:shd w:val="clear" w:color="auto" w:fill="auto"/>
            <w:vAlign w:val="center"/>
          </w:tcPr>
          <w:p w14:paraId="21509C2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0.41</w:t>
            </w:r>
          </w:p>
        </w:tc>
        <w:tc>
          <w:tcPr>
            <w:tcW w:w="540" w:type="dxa"/>
            <w:shd w:val="clear" w:color="auto" w:fill="auto"/>
            <w:vAlign w:val="center"/>
          </w:tcPr>
          <w:p w14:paraId="21509C2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shd w:val="clear" w:color="auto" w:fill="auto"/>
            <w:vAlign w:val="center"/>
          </w:tcPr>
          <w:p w14:paraId="21509C2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0.60</w:t>
            </w:r>
          </w:p>
        </w:tc>
        <w:tc>
          <w:tcPr>
            <w:tcW w:w="271" w:type="dxa"/>
            <w:shd w:val="clear" w:color="auto" w:fill="auto"/>
            <w:vAlign w:val="center"/>
          </w:tcPr>
          <w:p w14:paraId="21509C27"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9C2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14.04</w:t>
            </w:r>
          </w:p>
        </w:tc>
        <w:tc>
          <w:tcPr>
            <w:tcW w:w="406" w:type="dxa"/>
            <w:shd w:val="clear" w:color="auto" w:fill="auto"/>
            <w:vAlign w:val="center"/>
          </w:tcPr>
          <w:p w14:paraId="21509C2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2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274" w:type="dxa"/>
            <w:shd w:val="clear" w:color="auto" w:fill="auto"/>
            <w:vAlign w:val="center"/>
          </w:tcPr>
          <w:p w14:paraId="21509C2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0" w:type="dxa"/>
            <w:shd w:val="clear" w:color="auto" w:fill="auto"/>
            <w:vAlign w:val="center"/>
          </w:tcPr>
          <w:p w14:paraId="21509C2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3.95</w:t>
            </w:r>
          </w:p>
        </w:tc>
        <w:tc>
          <w:tcPr>
            <w:tcW w:w="407" w:type="dxa"/>
            <w:shd w:val="clear" w:color="auto" w:fill="auto"/>
            <w:vAlign w:val="center"/>
          </w:tcPr>
          <w:p w14:paraId="21509C2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2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0.20</w:t>
            </w:r>
          </w:p>
        </w:tc>
        <w:tc>
          <w:tcPr>
            <w:tcW w:w="250" w:type="dxa"/>
            <w:shd w:val="clear" w:color="auto" w:fill="auto"/>
            <w:vAlign w:val="center"/>
          </w:tcPr>
          <w:p w14:paraId="21509C2F"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9C3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r w:rsidR="00E7693B" w:rsidRPr="00E7693B" w14:paraId="21509C40" w14:textId="77777777">
        <w:trPr>
          <w:trHeight w:val="868"/>
        </w:trPr>
        <w:tc>
          <w:tcPr>
            <w:tcW w:w="2291" w:type="dxa"/>
            <w:shd w:val="clear" w:color="auto" w:fill="auto"/>
            <w:vAlign w:val="center"/>
          </w:tcPr>
          <w:p w14:paraId="21509C32"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Glucobrassicanapin</w:t>
            </w:r>
            <w:proofErr w:type="spellEnd"/>
            <w:r w:rsidRPr="00E7693B">
              <w:rPr>
                <w:rFonts w:ascii="Times New Roman" w:hAnsi="Times New Roman" w:cs="Times New Roman"/>
                <w:color w:val="000000"/>
              </w:rPr>
              <w:t xml:space="preserve"> (4-pentenyl, 4-pent)</w:t>
            </w:r>
          </w:p>
        </w:tc>
        <w:tc>
          <w:tcPr>
            <w:tcW w:w="642" w:type="dxa"/>
            <w:shd w:val="clear" w:color="auto" w:fill="auto"/>
            <w:vAlign w:val="center"/>
          </w:tcPr>
          <w:p w14:paraId="21509C3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14.22</w:t>
            </w:r>
          </w:p>
        </w:tc>
        <w:tc>
          <w:tcPr>
            <w:tcW w:w="540" w:type="dxa"/>
            <w:shd w:val="clear" w:color="auto" w:fill="auto"/>
            <w:vAlign w:val="center"/>
          </w:tcPr>
          <w:p w14:paraId="21509C3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shd w:val="clear" w:color="auto" w:fill="auto"/>
            <w:vAlign w:val="center"/>
          </w:tcPr>
          <w:p w14:paraId="21509C3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271" w:type="dxa"/>
            <w:shd w:val="clear" w:color="auto" w:fill="auto"/>
            <w:vAlign w:val="center"/>
          </w:tcPr>
          <w:p w14:paraId="21509C3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3" w:type="dxa"/>
            <w:shd w:val="clear" w:color="auto" w:fill="auto"/>
            <w:vAlign w:val="center"/>
          </w:tcPr>
          <w:p w14:paraId="21509C3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9.68</w:t>
            </w:r>
          </w:p>
        </w:tc>
        <w:tc>
          <w:tcPr>
            <w:tcW w:w="406" w:type="dxa"/>
            <w:shd w:val="clear" w:color="auto" w:fill="auto"/>
            <w:vAlign w:val="center"/>
          </w:tcPr>
          <w:p w14:paraId="21509C3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3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0.03</w:t>
            </w:r>
          </w:p>
        </w:tc>
        <w:tc>
          <w:tcPr>
            <w:tcW w:w="274" w:type="dxa"/>
            <w:shd w:val="clear" w:color="auto" w:fill="auto"/>
            <w:vAlign w:val="center"/>
          </w:tcPr>
          <w:p w14:paraId="21509C3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0" w:type="dxa"/>
            <w:shd w:val="clear" w:color="auto" w:fill="auto"/>
            <w:vAlign w:val="center"/>
          </w:tcPr>
          <w:p w14:paraId="21509C3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7.43</w:t>
            </w:r>
          </w:p>
        </w:tc>
        <w:tc>
          <w:tcPr>
            <w:tcW w:w="407" w:type="dxa"/>
            <w:shd w:val="clear" w:color="auto" w:fill="auto"/>
            <w:vAlign w:val="center"/>
          </w:tcPr>
          <w:p w14:paraId="21509C3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3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0.10</w:t>
            </w:r>
          </w:p>
        </w:tc>
        <w:tc>
          <w:tcPr>
            <w:tcW w:w="250" w:type="dxa"/>
            <w:shd w:val="clear" w:color="auto" w:fill="auto"/>
            <w:vAlign w:val="center"/>
          </w:tcPr>
          <w:p w14:paraId="21509C3E"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9C3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r w:rsidR="00E7693B" w:rsidRPr="00E7693B" w14:paraId="21509C4F" w14:textId="77777777">
        <w:trPr>
          <w:trHeight w:val="868"/>
        </w:trPr>
        <w:tc>
          <w:tcPr>
            <w:tcW w:w="2291" w:type="dxa"/>
            <w:shd w:val="clear" w:color="auto" w:fill="auto"/>
            <w:vAlign w:val="center"/>
          </w:tcPr>
          <w:p w14:paraId="21509C41"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Glucoibarin</w:t>
            </w:r>
            <w:proofErr w:type="spellEnd"/>
            <w:r w:rsidRPr="00E7693B">
              <w:rPr>
                <w:rFonts w:ascii="Times New Roman" w:hAnsi="Times New Roman" w:cs="Times New Roman"/>
                <w:color w:val="000000"/>
              </w:rPr>
              <w:t xml:space="preserve"> (7-methylsulfinylheptyl, 7-msh)</w:t>
            </w:r>
          </w:p>
        </w:tc>
        <w:tc>
          <w:tcPr>
            <w:tcW w:w="642" w:type="dxa"/>
            <w:shd w:val="clear" w:color="auto" w:fill="auto"/>
            <w:vAlign w:val="center"/>
          </w:tcPr>
          <w:p w14:paraId="21509C4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17.42</w:t>
            </w:r>
          </w:p>
        </w:tc>
        <w:tc>
          <w:tcPr>
            <w:tcW w:w="540" w:type="dxa"/>
            <w:shd w:val="clear" w:color="auto" w:fill="auto"/>
            <w:vAlign w:val="center"/>
          </w:tcPr>
          <w:p w14:paraId="21509C4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shd w:val="clear" w:color="auto" w:fill="auto"/>
            <w:vAlign w:val="center"/>
          </w:tcPr>
          <w:p w14:paraId="21509C4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271" w:type="dxa"/>
            <w:shd w:val="clear" w:color="auto" w:fill="auto"/>
            <w:vAlign w:val="center"/>
          </w:tcPr>
          <w:p w14:paraId="21509C4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3" w:type="dxa"/>
            <w:shd w:val="clear" w:color="auto" w:fill="auto"/>
            <w:vAlign w:val="center"/>
          </w:tcPr>
          <w:p w14:paraId="21509C4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17.66</w:t>
            </w:r>
          </w:p>
        </w:tc>
        <w:tc>
          <w:tcPr>
            <w:tcW w:w="406" w:type="dxa"/>
            <w:shd w:val="clear" w:color="auto" w:fill="auto"/>
            <w:vAlign w:val="center"/>
          </w:tcPr>
          <w:p w14:paraId="21509C4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4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274" w:type="dxa"/>
            <w:shd w:val="clear" w:color="auto" w:fill="auto"/>
            <w:vAlign w:val="center"/>
          </w:tcPr>
          <w:p w14:paraId="21509C4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0" w:type="dxa"/>
            <w:shd w:val="clear" w:color="auto" w:fill="auto"/>
            <w:vAlign w:val="center"/>
          </w:tcPr>
          <w:p w14:paraId="21509C4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2.75</w:t>
            </w:r>
          </w:p>
        </w:tc>
        <w:tc>
          <w:tcPr>
            <w:tcW w:w="407" w:type="dxa"/>
            <w:shd w:val="clear" w:color="auto" w:fill="auto"/>
            <w:vAlign w:val="center"/>
          </w:tcPr>
          <w:p w14:paraId="21509C4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4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0.20</w:t>
            </w:r>
          </w:p>
        </w:tc>
        <w:tc>
          <w:tcPr>
            <w:tcW w:w="250" w:type="dxa"/>
            <w:shd w:val="clear" w:color="auto" w:fill="auto"/>
            <w:vAlign w:val="center"/>
          </w:tcPr>
          <w:p w14:paraId="21509C4D"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9C4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r w:rsidR="00E7693B" w:rsidRPr="00E7693B" w14:paraId="21509C5E" w14:textId="77777777">
        <w:trPr>
          <w:trHeight w:val="868"/>
        </w:trPr>
        <w:tc>
          <w:tcPr>
            <w:tcW w:w="2291" w:type="dxa"/>
            <w:shd w:val="clear" w:color="auto" w:fill="auto"/>
            <w:vAlign w:val="center"/>
          </w:tcPr>
          <w:p w14:paraId="21509C50"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aliphatic (AG)</w:t>
            </w:r>
          </w:p>
        </w:tc>
        <w:tc>
          <w:tcPr>
            <w:tcW w:w="642" w:type="dxa"/>
            <w:shd w:val="clear" w:color="auto" w:fill="auto"/>
            <w:vAlign w:val="center"/>
          </w:tcPr>
          <w:p w14:paraId="21509C5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10.10</w:t>
            </w:r>
          </w:p>
        </w:tc>
        <w:tc>
          <w:tcPr>
            <w:tcW w:w="540" w:type="dxa"/>
            <w:shd w:val="clear" w:color="auto" w:fill="auto"/>
            <w:vAlign w:val="center"/>
          </w:tcPr>
          <w:p w14:paraId="21509C5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shd w:val="clear" w:color="auto" w:fill="auto"/>
            <w:vAlign w:val="center"/>
          </w:tcPr>
          <w:p w14:paraId="21509C5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0.04</w:t>
            </w:r>
          </w:p>
        </w:tc>
        <w:tc>
          <w:tcPr>
            <w:tcW w:w="271" w:type="dxa"/>
            <w:shd w:val="clear" w:color="auto" w:fill="auto"/>
            <w:vAlign w:val="center"/>
          </w:tcPr>
          <w:p w14:paraId="21509C5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3" w:type="dxa"/>
            <w:shd w:val="clear" w:color="auto" w:fill="auto"/>
            <w:vAlign w:val="center"/>
          </w:tcPr>
          <w:p w14:paraId="21509C5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8.59</w:t>
            </w:r>
          </w:p>
        </w:tc>
        <w:tc>
          <w:tcPr>
            <w:tcW w:w="406" w:type="dxa"/>
            <w:shd w:val="clear" w:color="auto" w:fill="auto"/>
            <w:vAlign w:val="center"/>
          </w:tcPr>
          <w:p w14:paraId="21509C5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5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0.03</w:t>
            </w:r>
          </w:p>
        </w:tc>
        <w:tc>
          <w:tcPr>
            <w:tcW w:w="274" w:type="dxa"/>
            <w:shd w:val="clear" w:color="auto" w:fill="auto"/>
            <w:vAlign w:val="center"/>
          </w:tcPr>
          <w:p w14:paraId="21509C5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0" w:type="dxa"/>
            <w:shd w:val="clear" w:color="auto" w:fill="auto"/>
            <w:vAlign w:val="center"/>
          </w:tcPr>
          <w:p w14:paraId="21509C5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3.09</w:t>
            </w:r>
          </w:p>
        </w:tc>
        <w:tc>
          <w:tcPr>
            <w:tcW w:w="407" w:type="dxa"/>
            <w:shd w:val="clear" w:color="auto" w:fill="auto"/>
            <w:vAlign w:val="center"/>
          </w:tcPr>
          <w:p w14:paraId="21509C5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5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0.20</w:t>
            </w:r>
          </w:p>
        </w:tc>
        <w:tc>
          <w:tcPr>
            <w:tcW w:w="250" w:type="dxa"/>
            <w:shd w:val="clear" w:color="auto" w:fill="auto"/>
            <w:vAlign w:val="center"/>
          </w:tcPr>
          <w:p w14:paraId="21509C5C"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9C5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r w:rsidR="00E7693B" w:rsidRPr="00E7693B" w14:paraId="21509C6D" w14:textId="77777777">
        <w:trPr>
          <w:trHeight w:val="1091"/>
        </w:trPr>
        <w:tc>
          <w:tcPr>
            <w:tcW w:w="2291" w:type="dxa"/>
            <w:shd w:val="clear" w:color="auto" w:fill="auto"/>
            <w:vAlign w:val="center"/>
          </w:tcPr>
          <w:p w14:paraId="21509C5F"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Gluconasturtiin</w:t>
            </w:r>
            <w:proofErr w:type="spellEnd"/>
            <w:r w:rsidRPr="00E7693B">
              <w:rPr>
                <w:rFonts w:ascii="Times New Roman" w:hAnsi="Times New Roman" w:cs="Times New Roman"/>
                <w:color w:val="000000"/>
              </w:rPr>
              <w:t xml:space="preserve"> (2-phenylethyl, 2-pe)</w:t>
            </w:r>
          </w:p>
        </w:tc>
        <w:tc>
          <w:tcPr>
            <w:tcW w:w="642" w:type="dxa"/>
            <w:shd w:val="clear" w:color="auto" w:fill="auto"/>
            <w:vAlign w:val="center"/>
          </w:tcPr>
          <w:p w14:paraId="21509C6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6.95</w:t>
            </w:r>
          </w:p>
        </w:tc>
        <w:tc>
          <w:tcPr>
            <w:tcW w:w="540" w:type="dxa"/>
            <w:shd w:val="clear" w:color="auto" w:fill="auto"/>
            <w:vAlign w:val="center"/>
          </w:tcPr>
          <w:p w14:paraId="21509C6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shd w:val="clear" w:color="auto" w:fill="auto"/>
            <w:vAlign w:val="center"/>
          </w:tcPr>
          <w:p w14:paraId="21509C6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0.07</w:t>
            </w:r>
          </w:p>
        </w:tc>
        <w:tc>
          <w:tcPr>
            <w:tcW w:w="271" w:type="dxa"/>
            <w:shd w:val="clear" w:color="auto" w:fill="auto"/>
            <w:vAlign w:val="center"/>
          </w:tcPr>
          <w:p w14:paraId="21509C6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3" w:type="dxa"/>
            <w:shd w:val="clear" w:color="auto" w:fill="auto"/>
            <w:vAlign w:val="center"/>
          </w:tcPr>
          <w:p w14:paraId="21509C6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0.46</w:t>
            </w:r>
          </w:p>
        </w:tc>
        <w:tc>
          <w:tcPr>
            <w:tcW w:w="406" w:type="dxa"/>
            <w:shd w:val="clear" w:color="auto" w:fill="auto"/>
            <w:vAlign w:val="center"/>
          </w:tcPr>
          <w:p w14:paraId="21509C6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6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0.56</w:t>
            </w:r>
          </w:p>
        </w:tc>
        <w:tc>
          <w:tcPr>
            <w:tcW w:w="274" w:type="dxa"/>
            <w:shd w:val="clear" w:color="auto" w:fill="auto"/>
            <w:vAlign w:val="center"/>
          </w:tcPr>
          <w:p w14:paraId="21509C67" w14:textId="77777777" w:rsidR="00E7693B" w:rsidRPr="00E7693B" w:rsidRDefault="00E7693B">
            <w:pPr>
              <w:jc w:val="center"/>
              <w:rPr>
                <w:rFonts w:ascii="Times New Roman" w:hAnsi="Times New Roman" w:cs="Times New Roman"/>
                <w:color w:val="000000"/>
              </w:rPr>
            </w:pPr>
          </w:p>
        </w:tc>
        <w:tc>
          <w:tcPr>
            <w:tcW w:w="670" w:type="dxa"/>
            <w:shd w:val="clear" w:color="auto" w:fill="auto"/>
            <w:vAlign w:val="center"/>
          </w:tcPr>
          <w:p w14:paraId="21509C6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1.43</w:t>
            </w:r>
          </w:p>
        </w:tc>
        <w:tc>
          <w:tcPr>
            <w:tcW w:w="407" w:type="dxa"/>
            <w:shd w:val="clear" w:color="auto" w:fill="auto"/>
            <w:vAlign w:val="center"/>
          </w:tcPr>
          <w:p w14:paraId="21509C6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6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0.27</w:t>
            </w:r>
          </w:p>
        </w:tc>
        <w:tc>
          <w:tcPr>
            <w:tcW w:w="250" w:type="dxa"/>
            <w:shd w:val="clear" w:color="auto" w:fill="auto"/>
            <w:vAlign w:val="center"/>
          </w:tcPr>
          <w:p w14:paraId="21509C6B"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9C6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r w:rsidR="00E7693B" w:rsidRPr="00E7693B" w14:paraId="21509C7C" w14:textId="77777777">
        <w:trPr>
          <w:trHeight w:val="1091"/>
        </w:trPr>
        <w:tc>
          <w:tcPr>
            <w:tcW w:w="2291" w:type="dxa"/>
            <w:shd w:val="clear" w:color="auto" w:fill="auto"/>
            <w:vAlign w:val="center"/>
          </w:tcPr>
          <w:p w14:paraId="21509C6E"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Glucobrassicin</w:t>
            </w:r>
            <w:proofErr w:type="spellEnd"/>
            <w:r w:rsidRPr="00E7693B">
              <w:rPr>
                <w:rFonts w:ascii="Times New Roman" w:hAnsi="Times New Roman" w:cs="Times New Roman"/>
                <w:color w:val="000000"/>
              </w:rPr>
              <w:t xml:space="preserve"> (indol-3-ylmethyl, I3M)</w:t>
            </w:r>
          </w:p>
        </w:tc>
        <w:tc>
          <w:tcPr>
            <w:tcW w:w="642" w:type="dxa"/>
            <w:shd w:val="clear" w:color="auto" w:fill="auto"/>
            <w:vAlign w:val="center"/>
          </w:tcPr>
          <w:p w14:paraId="21509C6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0.38</w:t>
            </w:r>
          </w:p>
        </w:tc>
        <w:tc>
          <w:tcPr>
            <w:tcW w:w="540" w:type="dxa"/>
            <w:shd w:val="clear" w:color="auto" w:fill="auto"/>
            <w:vAlign w:val="center"/>
          </w:tcPr>
          <w:p w14:paraId="21509C7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shd w:val="clear" w:color="auto" w:fill="auto"/>
            <w:vAlign w:val="center"/>
          </w:tcPr>
          <w:p w14:paraId="21509C7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0.60</w:t>
            </w:r>
          </w:p>
        </w:tc>
        <w:tc>
          <w:tcPr>
            <w:tcW w:w="271" w:type="dxa"/>
            <w:shd w:val="clear" w:color="auto" w:fill="auto"/>
            <w:vAlign w:val="center"/>
          </w:tcPr>
          <w:p w14:paraId="21509C72"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9C7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406" w:type="dxa"/>
            <w:shd w:val="clear" w:color="auto" w:fill="auto"/>
            <w:vAlign w:val="center"/>
          </w:tcPr>
          <w:p w14:paraId="21509C7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7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0.92</w:t>
            </w:r>
          </w:p>
        </w:tc>
        <w:tc>
          <w:tcPr>
            <w:tcW w:w="274" w:type="dxa"/>
            <w:shd w:val="clear" w:color="auto" w:fill="auto"/>
            <w:vAlign w:val="center"/>
          </w:tcPr>
          <w:p w14:paraId="21509C76" w14:textId="77777777" w:rsidR="00E7693B" w:rsidRPr="00E7693B" w:rsidRDefault="00E7693B">
            <w:pPr>
              <w:jc w:val="center"/>
              <w:rPr>
                <w:rFonts w:ascii="Times New Roman" w:hAnsi="Times New Roman" w:cs="Times New Roman"/>
                <w:color w:val="000000"/>
              </w:rPr>
            </w:pPr>
          </w:p>
        </w:tc>
        <w:tc>
          <w:tcPr>
            <w:tcW w:w="670" w:type="dxa"/>
            <w:shd w:val="clear" w:color="auto" w:fill="auto"/>
            <w:vAlign w:val="center"/>
          </w:tcPr>
          <w:p w14:paraId="21509C7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1.78</w:t>
            </w:r>
          </w:p>
        </w:tc>
        <w:tc>
          <w:tcPr>
            <w:tcW w:w="407" w:type="dxa"/>
            <w:shd w:val="clear" w:color="auto" w:fill="auto"/>
            <w:vAlign w:val="center"/>
          </w:tcPr>
          <w:p w14:paraId="21509C7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7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0.24</w:t>
            </w:r>
          </w:p>
        </w:tc>
        <w:tc>
          <w:tcPr>
            <w:tcW w:w="250" w:type="dxa"/>
            <w:shd w:val="clear" w:color="auto" w:fill="auto"/>
            <w:vAlign w:val="center"/>
          </w:tcPr>
          <w:p w14:paraId="21509C7A"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9C7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r w:rsidR="00E7693B" w:rsidRPr="00E7693B" w14:paraId="21509C8C" w14:textId="77777777">
        <w:trPr>
          <w:trHeight w:val="1091"/>
        </w:trPr>
        <w:tc>
          <w:tcPr>
            <w:tcW w:w="2291" w:type="dxa"/>
            <w:shd w:val="clear" w:color="auto" w:fill="auto"/>
            <w:vAlign w:val="center"/>
          </w:tcPr>
          <w:p w14:paraId="21509C7D"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4-methoxygluco</w:t>
            </w:r>
          </w:p>
          <w:p w14:paraId="21509C7E"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brassicin</w:t>
            </w:r>
            <w:proofErr w:type="spellEnd"/>
            <w:r w:rsidRPr="00E7693B">
              <w:rPr>
                <w:rFonts w:ascii="Times New Roman" w:hAnsi="Times New Roman" w:cs="Times New Roman"/>
                <w:color w:val="000000"/>
              </w:rPr>
              <w:t xml:space="preserve"> (4-methoxyindol-3-ylmethyl, 4MOI3M)</w:t>
            </w:r>
          </w:p>
        </w:tc>
        <w:tc>
          <w:tcPr>
            <w:tcW w:w="642" w:type="dxa"/>
            <w:shd w:val="clear" w:color="auto" w:fill="auto"/>
            <w:vAlign w:val="center"/>
          </w:tcPr>
          <w:p w14:paraId="21509C7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21.73</w:t>
            </w:r>
          </w:p>
        </w:tc>
        <w:tc>
          <w:tcPr>
            <w:tcW w:w="540" w:type="dxa"/>
            <w:shd w:val="clear" w:color="auto" w:fill="auto"/>
            <w:vAlign w:val="center"/>
          </w:tcPr>
          <w:p w14:paraId="21509C8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shd w:val="clear" w:color="auto" w:fill="auto"/>
            <w:vAlign w:val="center"/>
          </w:tcPr>
          <w:p w14:paraId="21509C8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271" w:type="dxa"/>
            <w:shd w:val="clear" w:color="auto" w:fill="auto"/>
            <w:vAlign w:val="center"/>
          </w:tcPr>
          <w:p w14:paraId="21509C8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3" w:type="dxa"/>
            <w:shd w:val="clear" w:color="auto" w:fill="auto"/>
            <w:vAlign w:val="center"/>
          </w:tcPr>
          <w:p w14:paraId="21509C8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18.56</w:t>
            </w:r>
          </w:p>
        </w:tc>
        <w:tc>
          <w:tcPr>
            <w:tcW w:w="406" w:type="dxa"/>
            <w:shd w:val="clear" w:color="auto" w:fill="auto"/>
            <w:vAlign w:val="center"/>
          </w:tcPr>
          <w:p w14:paraId="21509C8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8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274" w:type="dxa"/>
            <w:shd w:val="clear" w:color="auto" w:fill="auto"/>
            <w:vAlign w:val="center"/>
          </w:tcPr>
          <w:p w14:paraId="21509C8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0" w:type="dxa"/>
            <w:shd w:val="clear" w:color="auto" w:fill="auto"/>
            <w:vAlign w:val="center"/>
          </w:tcPr>
          <w:p w14:paraId="21509C8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3.42</w:t>
            </w:r>
          </w:p>
        </w:tc>
        <w:tc>
          <w:tcPr>
            <w:tcW w:w="407" w:type="dxa"/>
            <w:shd w:val="clear" w:color="auto" w:fill="auto"/>
            <w:vAlign w:val="center"/>
          </w:tcPr>
          <w:p w14:paraId="21509C8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8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0.20</w:t>
            </w:r>
          </w:p>
        </w:tc>
        <w:tc>
          <w:tcPr>
            <w:tcW w:w="250" w:type="dxa"/>
            <w:shd w:val="clear" w:color="auto" w:fill="auto"/>
            <w:vAlign w:val="center"/>
          </w:tcPr>
          <w:p w14:paraId="21509C8A"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9C8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r w:rsidR="00E7693B" w:rsidRPr="00E7693B" w14:paraId="21509C9B" w14:textId="77777777">
        <w:trPr>
          <w:trHeight w:val="1091"/>
        </w:trPr>
        <w:tc>
          <w:tcPr>
            <w:tcW w:w="2291" w:type="dxa"/>
            <w:shd w:val="clear" w:color="auto" w:fill="auto"/>
            <w:vAlign w:val="center"/>
          </w:tcPr>
          <w:p w14:paraId="21509C8D"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Neoglucobrassicin</w:t>
            </w:r>
            <w:proofErr w:type="spellEnd"/>
            <w:r w:rsidRPr="00E7693B">
              <w:rPr>
                <w:rFonts w:ascii="Times New Roman" w:hAnsi="Times New Roman" w:cs="Times New Roman"/>
                <w:color w:val="000000"/>
              </w:rPr>
              <w:t xml:space="preserve"> (N-methoxyindol-3-ylmethyl, NMOI3M)</w:t>
            </w:r>
          </w:p>
        </w:tc>
        <w:tc>
          <w:tcPr>
            <w:tcW w:w="642" w:type="dxa"/>
            <w:shd w:val="clear" w:color="auto" w:fill="auto"/>
            <w:vAlign w:val="center"/>
          </w:tcPr>
          <w:p w14:paraId="21509C8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40" w:type="dxa"/>
            <w:shd w:val="clear" w:color="auto" w:fill="auto"/>
            <w:vAlign w:val="center"/>
          </w:tcPr>
          <w:p w14:paraId="21509C8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shd w:val="clear" w:color="auto" w:fill="auto"/>
            <w:vAlign w:val="center"/>
          </w:tcPr>
          <w:p w14:paraId="21509C9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0.99</w:t>
            </w:r>
          </w:p>
        </w:tc>
        <w:tc>
          <w:tcPr>
            <w:tcW w:w="271" w:type="dxa"/>
            <w:shd w:val="clear" w:color="auto" w:fill="auto"/>
            <w:vAlign w:val="center"/>
          </w:tcPr>
          <w:p w14:paraId="21509C91"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9C9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25.91</w:t>
            </w:r>
          </w:p>
        </w:tc>
        <w:tc>
          <w:tcPr>
            <w:tcW w:w="406" w:type="dxa"/>
            <w:shd w:val="clear" w:color="auto" w:fill="auto"/>
            <w:vAlign w:val="center"/>
          </w:tcPr>
          <w:p w14:paraId="21509C9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9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274" w:type="dxa"/>
            <w:shd w:val="clear" w:color="auto" w:fill="auto"/>
            <w:vAlign w:val="center"/>
          </w:tcPr>
          <w:p w14:paraId="21509C9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0" w:type="dxa"/>
            <w:shd w:val="clear" w:color="auto" w:fill="auto"/>
            <w:vAlign w:val="center"/>
          </w:tcPr>
          <w:p w14:paraId="21509C9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2.52</w:t>
            </w:r>
          </w:p>
        </w:tc>
        <w:tc>
          <w:tcPr>
            <w:tcW w:w="407" w:type="dxa"/>
            <w:shd w:val="clear" w:color="auto" w:fill="auto"/>
            <w:vAlign w:val="center"/>
          </w:tcPr>
          <w:p w14:paraId="21509C9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9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0.20</w:t>
            </w:r>
          </w:p>
        </w:tc>
        <w:tc>
          <w:tcPr>
            <w:tcW w:w="250" w:type="dxa"/>
            <w:shd w:val="clear" w:color="auto" w:fill="auto"/>
            <w:vAlign w:val="center"/>
          </w:tcPr>
          <w:p w14:paraId="21509C99"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9C9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r w:rsidR="00E7693B" w:rsidRPr="00E7693B" w14:paraId="21509CAA" w14:textId="77777777">
        <w:trPr>
          <w:trHeight w:val="811"/>
        </w:trPr>
        <w:tc>
          <w:tcPr>
            <w:tcW w:w="2291" w:type="dxa"/>
            <w:shd w:val="clear" w:color="auto" w:fill="auto"/>
            <w:vAlign w:val="center"/>
          </w:tcPr>
          <w:p w14:paraId="21509C9C"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indole (IG)</w:t>
            </w:r>
          </w:p>
        </w:tc>
        <w:tc>
          <w:tcPr>
            <w:tcW w:w="642" w:type="dxa"/>
            <w:shd w:val="clear" w:color="auto" w:fill="auto"/>
            <w:vAlign w:val="center"/>
          </w:tcPr>
          <w:p w14:paraId="21509C9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540" w:type="dxa"/>
            <w:shd w:val="clear" w:color="auto" w:fill="auto"/>
            <w:vAlign w:val="center"/>
          </w:tcPr>
          <w:p w14:paraId="21509C9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shd w:val="clear" w:color="auto" w:fill="auto"/>
            <w:vAlign w:val="center"/>
          </w:tcPr>
          <w:p w14:paraId="21509C9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0.60</w:t>
            </w:r>
          </w:p>
        </w:tc>
        <w:tc>
          <w:tcPr>
            <w:tcW w:w="271" w:type="dxa"/>
            <w:shd w:val="clear" w:color="auto" w:fill="auto"/>
            <w:vAlign w:val="center"/>
          </w:tcPr>
          <w:p w14:paraId="21509CA0"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9CA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5.38</w:t>
            </w:r>
          </w:p>
        </w:tc>
        <w:tc>
          <w:tcPr>
            <w:tcW w:w="406" w:type="dxa"/>
            <w:shd w:val="clear" w:color="auto" w:fill="auto"/>
            <w:vAlign w:val="center"/>
          </w:tcPr>
          <w:p w14:paraId="21509CA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A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0.07</w:t>
            </w:r>
          </w:p>
        </w:tc>
        <w:tc>
          <w:tcPr>
            <w:tcW w:w="274" w:type="dxa"/>
            <w:shd w:val="clear" w:color="auto" w:fill="auto"/>
            <w:vAlign w:val="center"/>
          </w:tcPr>
          <w:p w14:paraId="21509CA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0" w:type="dxa"/>
            <w:shd w:val="clear" w:color="auto" w:fill="auto"/>
            <w:vAlign w:val="center"/>
          </w:tcPr>
          <w:p w14:paraId="21509CA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1.86</w:t>
            </w:r>
          </w:p>
        </w:tc>
        <w:tc>
          <w:tcPr>
            <w:tcW w:w="407" w:type="dxa"/>
            <w:shd w:val="clear" w:color="auto" w:fill="auto"/>
            <w:vAlign w:val="center"/>
          </w:tcPr>
          <w:p w14:paraId="21509CA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A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0.24</w:t>
            </w:r>
          </w:p>
        </w:tc>
        <w:tc>
          <w:tcPr>
            <w:tcW w:w="250" w:type="dxa"/>
            <w:shd w:val="clear" w:color="auto" w:fill="auto"/>
            <w:vAlign w:val="center"/>
          </w:tcPr>
          <w:p w14:paraId="21509CA8"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9CA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r w:rsidR="00E7693B" w:rsidRPr="00E7693B" w14:paraId="21509CB9" w14:textId="77777777">
        <w:trPr>
          <w:trHeight w:val="811"/>
        </w:trPr>
        <w:tc>
          <w:tcPr>
            <w:tcW w:w="2291" w:type="dxa"/>
            <w:shd w:val="clear" w:color="auto" w:fill="auto"/>
            <w:vAlign w:val="center"/>
          </w:tcPr>
          <w:p w14:paraId="21509CAB"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GLS</w:t>
            </w:r>
          </w:p>
        </w:tc>
        <w:tc>
          <w:tcPr>
            <w:tcW w:w="642" w:type="dxa"/>
            <w:shd w:val="clear" w:color="auto" w:fill="auto"/>
            <w:vAlign w:val="center"/>
          </w:tcPr>
          <w:p w14:paraId="21509CA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3.63</w:t>
            </w:r>
          </w:p>
        </w:tc>
        <w:tc>
          <w:tcPr>
            <w:tcW w:w="540" w:type="dxa"/>
            <w:shd w:val="clear" w:color="auto" w:fill="auto"/>
            <w:vAlign w:val="center"/>
          </w:tcPr>
          <w:p w14:paraId="21509CA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6" w:type="dxa"/>
            <w:shd w:val="clear" w:color="auto" w:fill="auto"/>
            <w:vAlign w:val="center"/>
          </w:tcPr>
          <w:p w14:paraId="21509CA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0.16</w:t>
            </w:r>
          </w:p>
        </w:tc>
        <w:tc>
          <w:tcPr>
            <w:tcW w:w="271" w:type="dxa"/>
            <w:shd w:val="clear" w:color="auto" w:fill="auto"/>
            <w:vAlign w:val="center"/>
          </w:tcPr>
          <w:p w14:paraId="21509CAF"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9CB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7.96</w:t>
            </w:r>
          </w:p>
        </w:tc>
        <w:tc>
          <w:tcPr>
            <w:tcW w:w="406" w:type="dxa"/>
            <w:shd w:val="clear" w:color="auto" w:fill="auto"/>
            <w:vAlign w:val="center"/>
          </w:tcPr>
          <w:p w14:paraId="21509CB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B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0.03</w:t>
            </w:r>
          </w:p>
        </w:tc>
        <w:tc>
          <w:tcPr>
            <w:tcW w:w="274" w:type="dxa"/>
            <w:shd w:val="clear" w:color="auto" w:fill="auto"/>
            <w:vAlign w:val="center"/>
          </w:tcPr>
          <w:p w14:paraId="21509CB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0" w:type="dxa"/>
            <w:shd w:val="clear" w:color="auto" w:fill="auto"/>
            <w:vAlign w:val="center"/>
          </w:tcPr>
          <w:p w14:paraId="21509CB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3.05</w:t>
            </w:r>
          </w:p>
        </w:tc>
        <w:tc>
          <w:tcPr>
            <w:tcW w:w="407" w:type="dxa"/>
            <w:shd w:val="clear" w:color="auto" w:fill="auto"/>
            <w:vAlign w:val="center"/>
          </w:tcPr>
          <w:p w14:paraId="21509CB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9CB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0.20</w:t>
            </w:r>
          </w:p>
        </w:tc>
        <w:tc>
          <w:tcPr>
            <w:tcW w:w="250" w:type="dxa"/>
            <w:shd w:val="clear" w:color="auto" w:fill="auto"/>
            <w:vAlign w:val="center"/>
          </w:tcPr>
          <w:p w14:paraId="21509CB7"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9CB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w:t>
            </w:r>
          </w:p>
        </w:tc>
      </w:tr>
    </w:tbl>
    <w:p w14:paraId="21509CBB" w14:textId="5F302765" w:rsidR="00E7693B" w:rsidRPr="00CF0A23" w:rsidRDefault="00E7693B">
      <w:pPr>
        <w:spacing w:after="240" w:line="360" w:lineRule="auto"/>
        <w:ind w:firstLine="576"/>
        <w:jc w:val="both"/>
        <w:rPr>
          <w:rFonts w:ascii="Times New Roman" w:hAnsi="Times New Roman" w:cs="Times New Roman"/>
          <w:sz w:val="24"/>
          <w:szCs w:val="24"/>
        </w:rPr>
      </w:pPr>
      <w:r w:rsidRPr="00CF0A23">
        <w:rPr>
          <w:rFonts w:ascii="Times New Roman" w:hAnsi="Times New Roman" w:cs="Times New Roman"/>
          <w:sz w:val="24"/>
          <w:szCs w:val="24"/>
        </w:rPr>
        <w:lastRenderedPageBreak/>
        <w:t>As for the 4 and 8 dpi, total GLS and total indole (IG) level</w:t>
      </w:r>
      <w:r w:rsidR="00FC6BC8">
        <w:rPr>
          <w:rFonts w:ascii="Times New Roman" w:hAnsi="Times New Roman" w:cs="Times New Roman"/>
          <w:sz w:val="24"/>
          <w:szCs w:val="24"/>
        </w:rPr>
        <w:t>s were</w:t>
      </w:r>
      <w:r w:rsidRPr="00CF0A23">
        <w:rPr>
          <w:rFonts w:ascii="Times New Roman" w:hAnsi="Times New Roman" w:cs="Times New Roman"/>
          <w:sz w:val="24"/>
          <w:szCs w:val="24"/>
        </w:rPr>
        <w:t xml:space="preserve"> significantly influenced by the treatment, whereas a total aliphatic (AG) content by the time only (Tab. 4).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inoculation alone increased </w:t>
      </w:r>
      <w:proofErr w:type="spellStart"/>
      <w:r w:rsidRPr="00CF0A23">
        <w:rPr>
          <w:rFonts w:ascii="Times New Roman" w:hAnsi="Times New Roman" w:cs="Times New Roman"/>
          <w:sz w:val="24"/>
          <w:szCs w:val="24"/>
        </w:rPr>
        <w:t>glucoiberin</w:t>
      </w:r>
      <w:proofErr w:type="spellEnd"/>
      <w:r w:rsidRPr="00CF0A23">
        <w:rPr>
          <w:rFonts w:ascii="Times New Roman" w:hAnsi="Times New Roman" w:cs="Times New Roman"/>
          <w:sz w:val="24"/>
          <w:szCs w:val="24"/>
        </w:rPr>
        <w:t xml:space="preserve"> at 4 dpi, and decreased gluconapin and 4-methoxyglucobrassicin at 8 dpi, compared to non-inoculated leaves (Fig. 21, Tab. 4). Feeding by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alone and a combination of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inoculation and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infestation</w:t>
      </w:r>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significantly increased the total GLS amount and the total amount of indole GLSs in oilseed rape leaves at 4 and 8 dpi (Fig. 21, Tab. 4). </w:t>
      </w:r>
      <w:r w:rsidRPr="00CF0A23">
        <w:rPr>
          <w:rFonts w:ascii="Times New Roman" w:hAnsi="Times New Roman" w:cs="Times New Roman"/>
          <w:color w:val="000000"/>
          <w:sz w:val="24"/>
          <w:szCs w:val="24"/>
        </w:rPr>
        <w:t xml:space="preserve">All </w:t>
      </w:r>
      <w:r w:rsidRPr="00CF0A23">
        <w:rPr>
          <w:rFonts w:ascii="Times New Roman" w:hAnsi="Times New Roman" w:cs="Times New Roman"/>
          <w:sz w:val="24"/>
          <w:szCs w:val="24"/>
        </w:rPr>
        <w:t>studied</w:t>
      </w:r>
      <w:r w:rsidRPr="00CF0A23">
        <w:rPr>
          <w:rFonts w:ascii="Times New Roman" w:hAnsi="Times New Roman" w:cs="Times New Roman"/>
          <w:color w:val="000000"/>
          <w:sz w:val="24"/>
          <w:szCs w:val="24"/>
        </w:rPr>
        <w:t xml:space="preserve"> indole compounds, </w:t>
      </w:r>
      <w:r w:rsidRPr="00CF0A23">
        <w:rPr>
          <w:rFonts w:ascii="Times New Roman" w:hAnsi="Times New Roman" w:cs="Times New Roman"/>
          <w:i/>
          <w:color w:val="000000"/>
          <w:sz w:val="24"/>
          <w:szCs w:val="24"/>
        </w:rPr>
        <w:t xml:space="preserve">i.e. </w:t>
      </w:r>
      <w:proofErr w:type="spellStart"/>
      <w:r w:rsidRPr="00CF0A23">
        <w:rPr>
          <w:rFonts w:ascii="Times New Roman" w:hAnsi="Times New Roman" w:cs="Times New Roman"/>
          <w:color w:val="000000"/>
          <w:sz w:val="24"/>
          <w:szCs w:val="24"/>
        </w:rPr>
        <w:t>glucobrassicin</w:t>
      </w:r>
      <w:proofErr w:type="spellEnd"/>
      <w:r w:rsidRPr="00CF0A23">
        <w:rPr>
          <w:rFonts w:ascii="Times New Roman" w:hAnsi="Times New Roman" w:cs="Times New Roman"/>
          <w:color w:val="000000"/>
          <w:sz w:val="24"/>
          <w:szCs w:val="24"/>
        </w:rPr>
        <w:t xml:space="preserve">, 4-methoxyglucobrassicin and </w:t>
      </w:r>
      <w:proofErr w:type="spellStart"/>
      <w:r w:rsidRPr="00CF0A23">
        <w:rPr>
          <w:rFonts w:ascii="Times New Roman" w:hAnsi="Times New Roman" w:cs="Times New Roman"/>
          <w:color w:val="000000"/>
          <w:sz w:val="24"/>
          <w:szCs w:val="24"/>
        </w:rPr>
        <w:t>neoglucobrassicin</w:t>
      </w:r>
      <w:proofErr w:type="spellEnd"/>
      <w:r w:rsidRPr="00CF0A23">
        <w:rPr>
          <w:rFonts w:ascii="Times New Roman" w:hAnsi="Times New Roman" w:cs="Times New Roman"/>
          <w:color w:val="000000"/>
          <w:sz w:val="24"/>
          <w:szCs w:val="24"/>
        </w:rPr>
        <w:t xml:space="preserve"> were significantly induced in </w:t>
      </w:r>
      <w:r w:rsidRPr="00CF0A23">
        <w:rPr>
          <w:rFonts w:ascii="Times New Roman" w:hAnsi="Times New Roman" w:cs="Times New Roman"/>
          <w:i/>
          <w:color w:val="000000"/>
          <w:sz w:val="24"/>
          <w:szCs w:val="24"/>
        </w:rPr>
        <w:t xml:space="preserve">P. </w:t>
      </w:r>
      <w:proofErr w:type="spellStart"/>
      <w:r w:rsidRPr="00CF0A23">
        <w:rPr>
          <w:rFonts w:ascii="Times New Roman" w:hAnsi="Times New Roman" w:cs="Times New Roman"/>
          <w:i/>
          <w:color w:val="000000"/>
          <w:sz w:val="24"/>
          <w:szCs w:val="24"/>
        </w:rPr>
        <w:t>xylostella</w:t>
      </w:r>
      <w:proofErr w:type="spellEnd"/>
      <w:r w:rsidRPr="00CF0A23">
        <w:rPr>
          <w:rFonts w:ascii="Times New Roman" w:hAnsi="Times New Roman" w:cs="Times New Roman"/>
          <w:color w:val="000000"/>
          <w:sz w:val="24"/>
          <w:szCs w:val="24"/>
        </w:rPr>
        <w:t xml:space="preserve">-infested leaves at 4 dpi, compared to non-inoculated leaves, whereas significant increase of </w:t>
      </w:r>
      <w:proofErr w:type="spellStart"/>
      <w:r w:rsidRPr="00CF0A23">
        <w:rPr>
          <w:rFonts w:ascii="Times New Roman" w:hAnsi="Times New Roman" w:cs="Times New Roman"/>
          <w:color w:val="000000"/>
          <w:sz w:val="24"/>
          <w:szCs w:val="24"/>
        </w:rPr>
        <w:t>glucobrassicin</w:t>
      </w:r>
      <w:proofErr w:type="spellEnd"/>
      <w:r w:rsidRPr="00CF0A23">
        <w:rPr>
          <w:rFonts w:ascii="Times New Roman" w:hAnsi="Times New Roman" w:cs="Times New Roman"/>
          <w:color w:val="000000"/>
          <w:sz w:val="24"/>
          <w:szCs w:val="24"/>
        </w:rPr>
        <w:t xml:space="preserve"> and </w:t>
      </w:r>
      <w:proofErr w:type="spellStart"/>
      <w:r w:rsidRPr="00CF0A23">
        <w:rPr>
          <w:rFonts w:ascii="Times New Roman" w:hAnsi="Times New Roman" w:cs="Times New Roman"/>
          <w:color w:val="000000"/>
          <w:sz w:val="24"/>
          <w:szCs w:val="24"/>
        </w:rPr>
        <w:t>neoglucobrassicin</w:t>
      </w:r>
      <w:proofErr w:type="spellEnd"/>
      <w:r w:rsidRPr="00CF0A23">
        <w:rPr>
          <w:rFonts w:ascii="Times New Roman" w:hAnsi="Times New Roman" w:cs="Times New Roman"/>
          <w:color w:val="000000"/>
          <w:sz w:val="24"/>
          <w:szCs w:val="24"/>
        </w:rPr>
        <w:t xml:space="preserve"> was also observed at 8 dpi. However, the level of 4-methoxyglucobrassicin was decreased at the later time point (8 dpi), compared to non-inoculated leaves. T</w:t>
      </w:r>
      <w:r w:rsidRPr="00CF0A23">
        <w:rPr>
          <w:rFonts w:ascii="Times New Roman" w:hAnsi="Times New Roman" w:cs="Times New Roman"/>
          <w:sz w:val="24"/>
          <w:szCs w:val="24"/>
        </w:rPr>
        <w:t xml:space="preserve">he combination of inoculation and infestation increased the level of </w:t>
      </w:r>
      <w:proofErr w:type="spellStart"/>
      <w:r w:rsidRPr="00CF0A23">
        <w:rPr>
          <w:rFonts w:ascii="Times New Roman" w:hAnsi="Times New Roman" w:cs="Times New Roman"/>
          <w:sz w:val="24"/>
          <w:szCs w:val="24"/>
        </w:rPr>
        <w:t>glucobrassicin</w:t>
      </w:r>
      <w:proofErr w:type="spellEnd"/>
      <w:r w:rsidRPr="00CF0A23">
        <w:rPr>
          <w:rFonts w:ascii="Times New Roman" w:hAnsi="Times New Roman" w:cs="Times New Roman"/>
          <w:sz w:val="24"/>
          <w:szCs w:val="24"/>
        </w:rPr>
        <w:t xml:space="preserve"> and </w:t>
      </w:r>
      <w:proofErr w:type="spellStart"/>
      <w:r w:rsidRPr="00CF0A23">
        <w:rPr>
          <w:rFonts w:ascii="Times New Roman" w:hAnsi="Times New Roman" w:cs="Times New Roman"/>
          <w:sz w:val="24"/>
          <w:szCs w:val="24"/>
        </w:rPr>
        <w:t>neoglucobrassicin</w:t>
      </w:r>
      <w:proofErr w:type="spellEnd"/>
      <w:r w:rsidRPr="00CF0A23">
        <w:rPr>
          <w:rFonts w:ascii="Times New Roman" w:hAnsi="Times New Roman" w:cs="Times New Roman"/>
          <w:sz w:val="24"/>
          <w:szCs w:val="24"/>
        </w:rPr>
        <w:t xml:space="preserve"> at 4 and 8 dpi; however, 4-methoxyglucobrassicin was not affected, compared to non-inoculated leaves (Fig. 21, Tab. 4). </w:t>
      </w:r>
      <w:r w:rsidRPr="00CF0A23">
        <w:rPr>
          <w:rFonts w:ascii="Times New Roman" w:hAnsi="Times New Roman" w:cs="Times New Roman"/>
          <w:color w:val="000000"/>
          <w:sz w:val="24"/>
          <w:szCs w:val="24"/>
        </w:rPr>
        <w:t xml:space="preserve">The total </w:t>
      </w:r>
      <w:r w:rsidRPr="00CF0A23">
        <w:rPr>
          <w:rFonts w:ascii="Times New Roman" w:hAnsi="Times New Roman" w:cs="Times New Roman"/>
          <w:sz w:val="24"/>
          <w:szCs w:val="24"/>
        </w:rPr>
        <w:t xml:space="preserve">level of aliphatic GLSs was not significantly affected by any of the treatments (Fig. 21, Tab. 4). However, the infestation by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caterpillars increased the individual content of aliphatic </w:t>
      </w:r>
      <w:proofErr w:type="spellStart"/>
      <w:r w:rsidRPr="00CF0A23">
        <w:rPr>
          <w:rFonts w:ascii="Times New Roman" w:hAnsi="Times New Roman" w:cs="Times New Roman"/>
          <w:sz w:val="24"/>
          <w:szCs w:val="24"/>
        </w:rPr>
        <w:t>glucoiberin</w:t>
      </w:r>
      <w:proofErr w:type="spellEnd"/>
      <w:r w:rsidRPr="00CF0A23">
        <w:rPr>
          <w:rFonts w:ascii="Times New Roman" w:hAnsi="Times New Roman" w:cs="Times New Roman"/>
          <w:sz w:val="24"/>
          <w:szCs w:val="24"/>
        </w:rPr>
        <w:t xml:space="preserve"> and </w:t>
      </w:r>
      <w:proofErr w:type="spellStart"/>
      <w:r w:rsidRPr="00CF0A23">
        <w:rPr>
          <w:rFonts w:ascii="Times New Roman" w:hAnsi="Times New Roman" w:cs="Times New Roman"/>
          <w:sz w:val="24"/>
          <w:szCs w:val="24"/>
        </w:rPr>
        <w:t>glucoibarin</w:t>
      </w:r>
      <w:proofErr w:type="spellEnd"/>
      <w:r w:rsidRPr="00CF0A23">
        <w:rPr>
          <w:rFonts w:ascii="Times New Roman" w:hAnsi="Times New Roman" w:cs="Times New Roman"/>
          <w:sz w:val="24"/>
          <w:szCs w:val="24"/>
        </w:rPr>
        <w:t xml:space="preserve"> and decreased the level of </w:t>
      </w:r>
      <w:proofErr w:type="spellStart"/>
      <w:r w:rsidRPr="00CF0A23">
        <w:rPr>
          <w:rFonts w:ascii="Times New Roman" w:hAnsi="Times New Roman" w:cs="Times New Roman"/>
          <w:sz w:val="24"/>
          <w:szCs w:val="24"/>
        </w:rPr>
        <w:t>glucobrassicanapin</w:t>
      </w:r>
      <w:proofErr w:type="spellEnd"/>
      <w:r w:rsidRPr="00CF0A23">
        <w:rPr>
          <w:rFonts w:ascii="Times New Roman" w:hAnsi="Times New Roman" w:cs="Times New Roman"/>
          <w:sz w:val="24"/>
          <w:szCs w:val="24"/>
        </w:rPr>
        <w:t xml:space="preserve"> at 4 dpi, compared to non-inoculated leaves, but did not affect their level at 8 dpi (Fig. 21, Tab. 4). The combination of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and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significantly increased the amount of </w:t>
      </w:r>
      <w:proofErr w:type="spellStart"/>
      <w:r w:rsidRPr="00CF0A23">
        <w:rPr>
          <w:rFonts w:ascii="Times New Roman" w:hAnsi="Times New Roman" w:cs="Times New Roman"/>
          <w:sz w:val="24"/>
          <w:szCs w:val="24"/>
        </w:rPr>
        <w:t>glucoiberin</w:t>
      </w:r>
      <w:proofErr w:type="spellEnd"/>
      <w:r w:rsidRPr="00CF0A23">
        <w:rPr>
          <w:rFonts w:ascii="Times New Roman" w:hAnsi="Times New Roman" w:cs="Times New Roman"/>
          <w:sz w:val="24"/>
          <w:szCs w:val="24"/>
        </w:rPr>
        <w:t xml:space="preserve"> at 4 dpi, and decreased gluconapin at 8 dpi, compared to non-inoculated leaves. The content of gluconapin was not significantly influenced by any of the treatments at 4 dpi, and </w:t>
      </w:r>
      <w:proofErr w:type="spellStart"/>
      <w:r w:rsidRPr="00CF0A23">
        <w:rPr>
          <w:rFonts w:ascii="Times New Roman" w:hAnsi="Times New Roman" w:cs="Times New Roman"/>
          <w:sz w:val="24"/>
          <w:szCs w:val="24"/>
        </w:rPr>
        <w:t>glucoalyssin</w:t>
      </w:r>
      <w:proofErr w:type="spellEnd"/>
      <w:r w:rsidRPr="00CF0A23">
        <w:rPr>
          <w:rFonts w:ascii="Times New Roman" w:hAnsi="Times New Roman" w:cs="Times New Roman"/>
          <w:sz w:val="24"/>
          <w:szCs w:val="24"/>
        </w:rPr>
        <w:t xml:space="preserve"> and </w:t>
      </w:r>
      <w:proofErr w:type="spellStart"/>
      <w:r w:rsidRPr="00CF0A23">
        <w:rPr>
          <w:rFonts w:ascii="Times New Roman" w:hAnsi="Times New Roman" w:cs="Times New Roman"/>
          <w:sz w:val="24"/>
          <w:szCs w:val="24"/>
        </w:rPr>
        <w:t>gluconasturtiin</w:t>
      </w:r>
      <w:proofErr w:type="spellEnd"/>
      <w:r w:rsidRPr="00CF0A23">
        <w:rPr>
          <w:rFonts w:ascii="Times New Roman" w:hAnsi="Times New Roman" w:cs="Times New Roman"/>
          <w:sz w:val="24"/>
          <w:szCs w:val="24"/>
        </w:rPr>
        <w:t xml:space="preserve"> at both observed time points.</w:t>
      </w:r>
    </w:p>
    <w:p w14:paraId="21509CBC" w14:textId="77777777" w:rsidR="00E7693B" w:rsidRPr="00E7693B" w:rsidRDefault="00E7693B">
      <w:pPr>
        <w:jc w:val="center"/>
        <w:rPr>
          <w:rFonts w:ascii="Times New Roman" w:hAnsi="Times New Roman" w:cs="Times New Roman"/>
        </w:rPr>
      </w:pPr>
      <w:r w:rsidRPr="00E7693B">
        <w:rPr>
          <w:rFonts w:ascii="Times New Roman" w:hAnsi="Times New Roman" w:cs="Times New Roman"/>
          <w:noProof/>
          <w:lang w:val="en-US"/>
        </w:rPr>
        <w:lastRenderedPageBreak/>
        <w:drawing>
          <wp:inline distT="0" distB="0" distL="0" distR="0" wp14:anchorId="2150A598" wp14:editId="2150A599">
            <wp:extent cx="5760085" cy="4693920"/>
            <wp:effectExtent l="0" t="0" r="0" b="0"/>
            <wp:docPr id="1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8"/>
                    <a:srcRect/>
                    <a:stretch>
                      <a:fillRect/>
                    </a:stretch>
                  </pic:blipFill>
                  <pic:spPr>
                    <a:xfrm>
                      <a:off x="0" y="0"/>
                      <a:ext cx="5760085" cy="4693920"/>
                    </a:xfrm>
                    <a:prstGeom prst="rect">
                      <a:avLst/>
                    </a:prstGeom>
                    <a:ln/>
                  </pic:spPr>
                </pic:pic>
              </a:graphicData>
            </a:graphic>
          </wp:inline>
        </w:drawing>
      </w:r>
    </w:p>
    <w:p w14:paraId="21509CBD" w14:textId="540C4389" w:rsidR="00E7693B" w:rsidRPr="00E7693B" w:rsidRDefault="00E7693B">
      <w:pPr>
        <w:spacing w:before="240" w:after="240" w:line="360" w:lineRule="auto"/>
        <w:jc w:val="both"/>
        <w:rPr>
          <w:rFonts w:ascii="Times New Roman" w:hAnsi="Times New Roman" w:cs="Times New Roman"/>
          <w:highlight w:val="white"/>
        </w:rPr>
      </w:pPr>
      <w:r w:rsidRPr="00E7693B">
        <w:rPr>
          <w:rFonts w:ascii="Times New Roman" w:hAnsi="Times New Roman" w:cs="Times New Roman"/>
          <w:b/>
          <w:color w:val="000000"/>
        </w:rPr>
        <w:t xml:space="preserve">Figure </w:t>
      </w:r>
      <w:r w:rsidRPr="00E7693B">
        <w:rPr>
          <w:rFonts w:ascii="Times New Roman" w:hAnsi="Times New Roman" w:cs="Times New Roman"/>
          <w:b/>
        </w:rPr>
        <w:t>21</w:t>
      </w:r>
      <w:r w:rsidRPr="00E7693B">
        <w:rPr>
          <w:rFonts w:ascii="Times New Roman" w:hAnsi="Times New Roman" w:cs="Times New Roman"/>
          <w:b/>
          <w:color w:val="000000"/>
        </w:rPr>
        <w:t xml:space="preserve">. </w:t>
      </w:r>
      <w:r w:rsidRPr="00E7693B">
        <w:rPr>
          <w:rFonts w:ascii="Times New Roman" w:hAnsi="Times New Roman" w:cs="Times New Roman"/>
          <w:color w:val="000000"/>
        </w:rPr>
        <w:t xml:space="preserve">Total glucosinolate (GLS) content in control leaves, </w:t>
      </w:r>
      <w:r w:rsidRPr="00E7693B">
        <w:rPr>
          <w:rFonts w:ascii="Times New Roman" w:hAnsi="Times New Roman" w:cs="Times New Roman"/>
          <w:i/>
          <w:color w:val="000000"/>
        </w:rPr>
        <w:t xml:space="preserve">Leptosphaeria </w:t>
      </w:r>
      <w:proofErr w:type="spellStart"/>
      <w:r w:rsidRPr="00E7693B">
        <w:rPr>
          <w:rFonts w:ascii="Times New Roman" w:hAnsi="Times New Roman" w:cs="Times New Roman"/>
          <w:i/>
          <w:color w:val="000000"/>
        </w:rPr>
        <w:t>maculans</w:t>
      </w:r>
      <w:proofErr w:type="spellEnd"/>
      <w:r w:rsidRPr="00E7693B">
        <w:rPr>
          <w:rFonts w:ascii="Times New Roman" w:hAnsi="Times New Roman" w:cs="Times New Roman"/>
          <w:color w:val="000000"/>
        </w:rPr>
        <w:t xml:space="preserve"> (</w:t>
      </w:r>
      <w:proofErr w:type="spellStart"/>
      <w:r w:rsidRPr="00E7693B">
        <w:rPr>
          <w:rFonts w:ascii="Times New Roman" w:hAnsi="Times New Roman" w:cs="Times New Roman"/>
          <w:i/>
          <w:color w:val="000000"/>
        </w:rPr>
        <w:t>L.m</w:t>
      </w:r>
      <w:proofErr w:type="spellEnd"/>
      <w:r w:rsidRPr="00E7693B">
        <w:rPr>
          <w:rFonts w:ascii="Times New Roman" w:hAnsi="Times New Roman" w:cs="Times New Roman"/>
          <w:i/>
          <w:color w:val="000000"/>
        </w:rPr>
        <w:t>.</w:t>
      </w:r>
      <w:r w:rsidRPr="00E7693B">
        <w:rPr>
          <w:rFonts w:ascii="Times New Roman" w:hAnsi="Times New Roman" w:cs="Times New Roman"/>
          <w:color w:val="000000"/>
        </w:rPr>
        <w:t xml:space="preserve">)-inoculated, </w:t>
      </w:r>
      <w:proofErr w:type="spellStart"/>
      <w:r w:rsidRPr="00E7693B">
        <w:rPr>
          <w:rFonts w:ascii="Times New Roman" w:hAnsi="Times New Roman" w:cs="Times New Roman"/>
          <w:i/>
          <w:color w:val="000000"/>
        </w:rPr>
        <w:t>Plutella</w:t>
      </w:r>
      <w:proofErr w:type="spellEnd"/>
      <w:r w:rsidRPr="00E7693B">
        <w:rPr>
          <w:rFonts w:ascii="Times New Roman" w:hAnsi="Times New Roman" w:cs="Times New Roman"/>
          <w:i/>
          <w:color w:val="000000"/>
        </w:rPr>
        <w:t xml:space="preserve"> </w:t>
      </w:r>
      <w:proofErr w:type="spellStart"/>
      <w:r w:rsidRPr="00E7693B">
        <w:rPr>
          <w:rFonts w:ascii="Times New Roman" w:hAnsi="Times New Roman" w:cs="Times New Roman"/>
          <w:i/>
          <w:color w:val="000000"/>
        </w:rPr>
        <w:t>xylostella</w:t>
      </w:r>
      <w:proofErr w:type="spellEnd"/>
      <w:r w:rsidRPr="00E7693B">
        <w:rPr>
          <w:rFonts w:ascii="Times New Roman" w:hAnsi="Times New Roman" w:cs="Times New Roman"/>
          <w:i/>
          <w:color w:val="000000"/>
        </w:rPr>
        <w:t xml:space="preserve"> </w:t>
      </w:r>
      <w:r w:rsidRPr="00E7693B">
        <w:rPr>
          <w:rFonts w:ascii="Times New Roman" w:hAnsi="Times New Roman" w:cs="Times New Roman"/>
          <w:color w:val="000000"/>
        </w:rPr>
        <w:t>(</w:t>
      </w:r>
      <w:proofErr w:type="spellStart"/>
      <w:r w:rsidRPr="00E7693B">
        <w:rPr>
          <w:rFonts w:ascii="Times New Roman" w:hAnsi="Times New Roman" w:cs="Times New Roman"/>
          <w:i/>
        </w:rPr>
        <w:t>P.x</w:t>
      </w:r>
      <w:proofErr w:type="spellEnd"/>
      <w:r w:rsidRPr="00E7693B">
        <w:rPr>
          <w:rFonts w:ascii="Times New Roman" w:hAnsi="Times New Roman" w:cs="Times New Roman"/>
          <w:i/>
        </w:rPr>
        <w:t>.</w:t>
      </w:r>
      <w:r w:rsidRPr="00E7693B">
        <w:rPr>
          <w:rFonts w:ascii="Times New Roman" w:hAnsi="Times New Roman" w:cs="Times New Roman"/>
        </w:rPr>
        <w:t>)</w:t>
      </w:r>
      <w:r w:rsidRPr="00E7693B">
        <w:rPr>
          <w:rFonts w:ascii="Times New Roman" w:hAnsi="Times New Roman" w:cs="Times New Roman"/>
          <w:color w:val="000000"/>
        </w:rPr>
        <w:t xml:space="preserve">-infested and a combination of </w:t>
      </w:r>
      <w:r w:rsidRPr="00E7693B">
        <w:rPr>
          <w:rFonts w:ascii="Times New Roman" w:hAnsi="Times New Roman" w:cs="Times New Roman"/>
          <w:i/>
          <w:color w:val="000000"/>
        </w:rPr>
        <w:t xml:space="preserve">L. </w:t>
      </w:r>
      <w:proofErr w:type="spellStart"/>
      <w:r w:rsidRPr="00E7693B">
        <w:rPr>
          <w:rFonts w:ascii="Times New Roman" w:hAnsi="Times New Roman" w:cs="Times New Roman"/>
          <w:i/>
          <w:color w:val="000000"/>
        </w:rPr>
        <w:t>maculans</w:t>
      </w:r>
      <w:proofErr w:type="spellEnd"/>
      <w:r w:rsidRPr="00E7693B">
        <w:rPr>
          <w:rFonts w:ascii="Times New Roman" w:hAnsi="Times New Roman" w:cs="Times New Roman"/>
          <w:i/>
          <w:color w:val="000000"/>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w:t>
      </w:r>
      <w:r w:rsidRPr="00E7693B">
        <w:rPr>
          <w:rFonts w:ascii="Times New Roman" w:hAnsi="Times New Roman" w:cs="Times New Roman"/>
          <w:i/>
          <w:color w:val="000000"/>
        </w:rPr>
        <w:t xml:space="preserve">- </w:t>
      </w:r>
      <w:r w:rsidRPr="00E7693B">
        <w:rPr>
          <w:rFonts w:ascii="Times New Roman" w:hAnsi="Times New Roman" w:cs="Times New Roman"/>
          <w:color w:val="000000"/>
        </w:rPr>
        <w:t xml:space="preserve">and </w:t>
      </w:r>
      <w:r w:rsidRPr="00E7693B">
        <w:rPr>
          <w:rFonts w:ascii="Times New Roman" w:hAnsi="Times New Roman" w:cs="Times New Roman"/>
          <w:i/>
          <w:color w:val="000000"/>
        </w:rPr>
        <w:t xml:space="preserve">P. </w:t>
      </w:r>
      <w:proofErr w:type="spellStart"/>
      <w:r w:rsidRPr="00E7693B">
        <w:rPr>
          <w:rFonts w:ascii="Times New Roman" w:hAnsi="Times New Roman" w:cs="Times New Roman"/>
          <w:i/>
          <w:color w:val="000000"/>
        </w:rPr>
        <w:t>xylostella</w:t>
      </w:r>
      <w:proofErr w:type="spellEnd"/>
      <w:r w:rsidRPr="00E7693B">
        <w:rPr>
          <w:rFonts w:ascii="Times New Roman" w:hAnsi="Times New Roman" w:cs="Times New Roman"/>
          <w:i/>
          <w:color w:val="000000"/>
        </w:rPr>
        <w:t xml:space="preserve"> </w:t>
      </w:r>
      <w:r w:rsidRPr="00E7693B">
        <w:rPr>
          <w:rFonts w:ascii="Times New Roman" w:hAnsi="Times New Roman" w:cs="Times New Roman"/>
        </w:rPr>
        <w:t>(</w:t>
      </w:r>
      <w:proofErr w:type="spellStart"/>
      <w:r w:rsidRPr="00E7693B">
        <w:rPr>
          <w:rFonts w:ascii="Times New Roman" w:hAnsi="Times New Roman" w:cs="Times New Roman"/>
          <w:i/>
        </w:rPr>
        <w:t>P.x</w:t>
      </w:r>
      <w:proofErr w:type="spellEnd"/>
      <w:r w:rsidRPr="00E7693B">
        <w:rPr>
          <w:rFonts w:ascii="Times New Roman" w:hAnsi="Times New Roman" w:cs="Times New Roman"/>
          <w:i/>
        </w:rPr>
        <w:t>.</w:t>
      </w:r>
      <w:r w:rsidRPr="00E7693B">
        <w:rPr>
          <w:rFonts w:ascii="Times New Roman" w:hAnsi="Times New Roman" w:cs="Times New Roman"/>
        </w:rPr>
        <w:t>)</w:t>
      </w:r>
      <w:r w:rsidRPr="00E7693B">
        <w:rPr>
          <w:rFonts w:ascii="Times New Roman" w:hAnsi="Times New Roman" w:cs="Times New Roman"/>
          <w:color w:val="000000"/>
        </w:rPr>
        <w:t xml:space="preserve">-treated leaves of oilseed rape 4 and 8 days post inoculation (dpi). </w:t>
      </w:r>
      <w:r w:rsidRPr="00E7693B">
        <w:rPr>
          <w:rFonts w:ascii="Times New Roman" w:hAnsi="Times New Roman" w:cs="Times New Roman"/>
        </w:rPr>
        <w:t>Boxplots show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lowercase letters significant differences (P &lt; 0.05) between treatments for a given time point. </w:t>
      </w:r>
      <w:r w:rsidR="00E11326" w:rsidRPr="00D5128E">
        <w:rPr>
          <w:rFonts w:ascii="Times New Roman" w:hAnsi="Times New Roman" w:cs="Times New Roman"/>
        </w:rPr>
        <w:t>Four independent experimental</w:t>
      </w:r>
      <w:r w:rsidR="00E11326">
        <w:rPr>
          <w:rFonts w:ascii="Times New Roman" w:hAnsi="Times New Roman" w:cs="Times New Roman"/>
        </w:rPr>
        <w:t xml:space="preserve"> </w:t>
      </w:r>
      <w:r w:rsidR="00E11326" w:rsidRPr="00D5128E">
        <w:rPr>
          <w:rFonts w:ascii="Times New Roman" w:hAnsi="Times New Roman" w:cs="Times New Roman"/>
        </w:rPr>
        <w:t>runs per treatment (control</w:t>
      </w:r>
      <w:r w:rsidR="00E11326">
        <w:rPr>
          <w:rFonts w:ascii="Times New Roman" w:hAnsi="Times New Roman" w:cs="Times New Roman"/>
        </w:rPr>
        <w:t xml:space="preserve"> </w:t>
      </w:r>
      <w:r w:rsidR="00E11326" w:rsidRPr="00D5128E">
        <w:rPr>
          <w:rFonts w:ascii="Times New Roman" w:hAnsi="Times New Roman" w:cs="Times New Roman"/>
        </w:rPr>
        <w:t xml:space="preserve">vs. </w:t>
      </w:r>
      <w:r w:rsidR="00E11326" w:rsidRPr="00CD64A1">
        <w:rPr>
          <w:rFonts w:ascii="Times New Roman" w:hAnsi="Times New Roman" w:cs="Times New Roman"/>
          <w:i/>
          <w:iCs/>
        </w:rPr>
        <w:t xml:space="preserve">L. </w:t>
      </w:r>
      <w:proofErr w:type="spellStart"/>
      <w:r w:rsidR="00E11326" w:rsidRPr="00CD64A1">
        <w:rPr>
          <w:rFonts w:ascii="Times New Roman" w:hAnsi="Times New Roman" w:cs="Times New Roman"/>
          <w:i/>
          <w:iCs/>
        </w:rPr>
        <w:t>maculans</w:t>
      </w:r>
      <w:proofErr w:type="spellEnd"/>
      <w:r w:rsidR="00E11326" w:rsidRPr="00D5128E">
        <w:rPr>
          <w:rFonts w:ascii="Times New Roman" w:hAnsi="Times New Roman" w:cs="Times New Roman"/>
        </w:rPr>
        <w:t xml:space="preserve">-inoculated leaf) </w:t>
      </w:r>
      <w:r w:rsidR="00E11326">
        <w:rPr>
          <w:rFonts w:ascii="Times New Roman" w:hAnsi="Times New Roman" w:cs="Times New Roman"/>
        </w:rPr>
        <w:t xml:space="preserve">and </w:t>
      </w:r>
      <w:r w:rsidR="00E11326" w:rsidRPr="00D5128E">
        <w:rPr>
          <w:rFonts w:ascii="Times New Roman" w:hAnsi="Times New Roman" w:cs="Times New Roman"/>
        </w:rPr>
        <w:t>time point (3 and 7 dpi) were performed.</w:t>
      </w:r>
      <w:r w:rsidR="00E11326">
        <w:rPr>
          <w:rFonts w:ascii="Times New Roman" w:hAnsi="Times New Roman" w:cs="Times New Roman"/>
        </w:rPr>
        <w:t xml:space="preserve"> </w:t>
      </w:r>
      <w:r w:rsidRPr="00E7693B">
        <w:rPr>
          <w:rFonts w:ascii="Times New Roman" w:hAnsi="Times New Roman" w:cs="Times New Roman"/>
          <w:u w:val="single"/>
        </w:rPr>
        <w:t>Aliphatic compounds</w:t>
      </w:r>
      <w:r w:rsidRPr="00E7693B">
        <w:rPr>
          <w:rFonts w:ascii="Times New Roman" w:hAnsi="Times New Roman" w:cs="Times New Roman"/>
        </w:rPr>
        <w:t xml:space="preserve">: </w:t>
      </w:r>
      <w:proofErr w:type="spellStart"/>
      <w:r w:rsidRPr="00E7693B">
        <w:rPr>
          <w:rFonts w:ascii="Times New Roman" w:hAnsi="Times New Roman" w:cs="Times New Roman"/>
        </w:rPr>
        <w:t>glucoiberin</w:t>
      </w:r>
      <w:proofErr w:type="spellEnd"/>
      <w:r w:rsidRPr="00E7693B">
        <w:rPr>
          <w:rFonts w:ascii="Times New Roman" w:hAnsi="Times New Roman" w:cs="Times New Roman"/>
        </w:rPr>
        <w:t xml:space="preserve">, gluconapin, </w:t>
      </w:r>
      <w:proofErr w:type="spellStart"/>
      <w:r w:rsidRPr="00E7693B">
        <w:rPr>
          <w:rFonts w:ascii="Times New Roman" w:hAnsi="Times New Roman" w:cs="Times New Roman"/>
        </w:rPr>
        <w:t>glucoalyssin</w:t>
      </w:r>
      <w:proofErr w:type="spellEnd"/>
      <w:r w:rsidRPr="00E7693B">
        <w:rPr>
          <w:rFonts w:ascii="Times New Roman" w:hAnsi="Times New Roman" w:cs="Times New Roman"/>
        </w:rPr>
        <w:t xml:space="preserve">, </w:t>
      </w:r>
      <w:proofErr w:type="spellStart"/>
      <w:r w:rsidRPr="00E7693B">
        <w:rPr>
          <w:rFonts w:ascii="Times New Roman" w:hAnsi="Times New Roman" w:cs="Times New Roman"/>
        </w:rPr>
        <w:t>glucobrassicanapin</w:t>
      </w:r>
      <w:proofErr w:type="spellEnd"/>
      <w:r w:rsidRPr="00E7693B">
        <w:rPr>
          <w:rFonts w:ascii="Times New Roman" w:hAnsi="Times New Roman" w:cs="Times New Roman"/>
        </w:rPr>
        <w:t xml:space="preserve">, </w:t>
      </w:r>
      <w:proofErr w:type="spellStart"/>
      <w:r w:rsidRPr="00E7693B">
        <w:rPr>
          <w:rFonts w:ascii="Times New Roman" w:hAnsi="Times New Roman" w:cs="Times New Roman"/>
        </w:rPr>
        <w:t>glucoibarin</w:t>
      </w:r>
      <w:proofErr w:type="spellEnd"/>
      <w:r w:rsidRPr="00E7693B">
        <w:rPr>
          <w:rFonts w:ascii="Times New Roman" w:hAnsi="Times New Roman" w:cs="Times New Roman"/>
        </w:rPr>
        <w:t xml:space="preserve">; </w:t>
      </w:r>
      <w:r w:rsidRPr="00E7693B">
        <w:rPr>
          <w:rFonts w:ascii="Times New Roman" w:hAnsi="Times New Roman" w:cs="Times New Roman"/>
          <w:u w:val="single"/>
        </w:rPr>
        <w:t>aromatic/benzenic compounds</w:t>
      </w:r>
      <w:r w:rsidRPr="00E7693B">
        <w:rPr>
          <w:rFonts w:ascii="Times New Roman" w:hAnsi="Times New Roman" w:cs="Times New Roman"/>
        </w:rPr>
        <w:t xml:space="preserve">: </w:t>
      </w:r>
      <w:proofErr w:type="spellStart"/>
      <w:r w:rsidRPr="00E7693B">
        <w:rPr>
          <w:rFonts w:ascii="Times New Roman" w:hAnsi="Times New Roman" w:cs="Times New Roman"/>
        </w:rPr>
        <w:t>gluconasturtiin</w:t>
      </w:r>
      <w:proofErr w:type="spellEnd"/>
      <w:r w:rsidRPr="00E7693B">
        <w:rPr>
          <w:rFonts w:ascii="Times New Roman" w:hAnsi="Times New Roman" w:cs="Times New Roman"/>
        </w:rPr>
        <w:t xml:space="preserve">; </w:t>
      </w:r>
      <w:r w:rsidRPr="00E7693B">
        <w:rPr>
          <w:rFonts w:ascii="Times New Roman" w:hAnsi="Times New Roman" w:cs="Times New Roman"/>
          <w:u w:val="single"/>
        </w:rPr>
        <w:t>aromatic/indole compounds</w:t>
      </w:r>
      <w:r w:rsidRPr="00E7693B">
        <w:rPr>
          <w:rFonts w:ascii="Times New Roman" w:hAnsi="Times New Roman" w:cs="Times New Roman"/>
        </w:rPr>
        <w:t xml:space="preserve">: </w:t>
      </w:r>
      <w:proofErr w:type="spellStart"/>
      <w:r w:rsidRPr="00E7693B">
        <w:rPr>
          <w:rFonts w:ascii="Times New Roman" w:hAnsi="Times New Roman" w:cs="Times New Roman"/>
        </w:rPr>
        <w:t>glucobrassicin</w:t>
      </w:r>
      <w:proofErr w:type="spellEnd"/>
      <w:r w:rsidRPr="00E7693B">
        <w:rPr>
          <w:rFonts w:ascii="Times New Roman" w:hAnsi="Times New Roman" w:cs="Times New Roman"/>
        </w:rPr>
        <w:t xml:space="preserve">, 4-methoxyglucobrassicin, </w:t>
      </w:r>
      <w:proofErr w:type="spellStart"/>
      <w:r w:rsidRPr="00E7693B">
        <w:rPr>
          <w:rFonts w:ascii="Times New Roman" w:hAnsi="Times New Roman" w:cs="Times New Roman"/>
        </w:rPr>
        <w:t>neoglucobrassicin</w:t>
      </w:r>
      <w:proofErr w:type="spellEnd"/>
      <w:r w:rsidRPr="00E7693B">
        <w:rPr>
          <w:rFonts w:ascii="Times New Roman" w:hAnsi="Times New Roman" w:cs="Times New Roman"/>
        </w:rPr>
        <w:t xml:space="preserve">. </w:t>
      </w:r>
      <w:r w:rsidRPr="00E7693B">
        <w:rPr>
          <w:rFonts w:ascii="Times New Roman" w:hAnsi="Times New Roman" w:cs="Times New Roman"/>
          <w:highlight w:val="white"/>
        </w:rPr>
        <w:t>Abbreviations: AG = aliphatic glucosinolate; IG = indole glucosinolate; ns = not significant.</w:t>
      </w:r>
    </w:p>
    <w:p w14:paraId="21509CBE" w14:textId="1DFC0F34" w:rsidR="00E7693B" w:rsidRPr="00CF0A23" w:rsidRDefault="00F0718E">
      <w:pPr>
        <w:spacing w:after="24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w:t>
      </w:r>
      <w:r w:rsidR="00E7693B" w:rsidRPr="00CF0A23">
        <w:rPr>
          <w:rFonts w:ascii="Times New Roman" w:hAnsi="Times New Roman" w:cs="Times New Roman"/>
          <w:sz w:val="24"/>
          <w:szCs w:val="24"/>
        </w:rPr>
        <w:t xml:space="preserve"> RDA showed that the experimental design explained 55 % of the total variance, with the axes 1 and 2 explaining 42 % and 25 % of the constrained variance, respectively (Fig. 22). Axis 1 separated the samples according to the treatment (control and </w:t>
      </w:r>
      <w:r w:rsidR="00E7693B" w:rsidRPr="00CF0A23">
        <w:rPr>
          <w:rFonts w:ascii="Times New Roman" w:hAnsi="Times New Roman" w:cs="Times New Roman"/>
          <w:i/>
          <w:sz w:val="24"/>
          <w:szCs w:val="24"/>
        </w:rPr>
        <w:t xml:space="preserve">L. </w:t>
      </w:r>
      <w:proofErr w:type="spellStart"/>
      <w:r w:rsidR="00E7693B" w:rsidRPr="00CF0A23">
        <w:rPr>
          <w:rFonts w:ascii="Times New Roman" w:hAnsi="Times New Roman" w:cs="Times New Roman"/>
          <w:i/>
          <w:sz w:val="24"/>
          <w:szCs w:val="24"/>
        </w:rPr>
        <w:t>maculans</w:t>
      </w:r>
      <w:proofErr w:type="spellEnd"/>
      <w:r w:rsidR="00E7693B" w:rsidRPr="00CF0A23">
        <w:rPr>
          <w:rFonts w:ascii="Times New Roman" w:hAnsi="Times New Roman" w:cs="Times New Roman"/>
          <w:sz w:val="24"/>
          <w:szCs w:val="24"/>
        </w:rPr>
        <w:t>-</w:t>
      </w:r>
      <w:r w:rsidR="00E7693B" w:rsidRPr="00CF0A23">
        <w:rPr>
          <w:rFonts w:ascii="Times New Roman" w:hAnsi="Times New Roman" w:cs="Times New Roman"/>
          <w:sz w:val="24"/>
          <w:szCs w:val="24"/>
        </w:rPr>
        <w:lastRenderedPageBreak/>
        <w:t xml:space="preserve">inoculated leaf vs. </w:t>
      </w:r>
      <w:r w:rsidR="00E7693B" w:rsidRPr="00CF0A23">
        <w:rPr>
          <w:rFonts w:ascii="Times New Roman" w:hAnsi="Times New Roman" w:cs="Times New Roman"/>
          <w:i/>
          <w:sz w:val="24"/>
          <w:szCs w:val="24"/>
        </w:rPr>
        <w:t xml:space="preserve">P. </w:t>
      </w:r>
      <w:proofErr w:type="spellStart"/>
      <w:r w:rsidR="00E7693B" w:rsidRPr="00CF0A23">
        <w:rPr>
          <w:rFonts w:ascii="Times New Roman" w:hAnsi="Times New Roman" w:cs="Times New Roman"/>
          <w:i/>
          <w:sz w:val="24"/>
          <w:szCs w:val="24"/>
        </w:rPr>
        <w:t>xylostella</w:t>
      </w:r>
      <w:proofErr w:type="spellEnd"/>
      <w:r w:rsidR="00E7693B" w:rsidRPr="00CF0A23">
        <w:rPr>
          <w:rFonts w:ascii="Times New Roman" w:hAnsi="Times New Roman" w:cs="Times New Roman"/>
          <w:sz w:val="24"/>
          <w:szCs w:val="24"/>
        </w:rPr>
        <w:t xml:space="preserve">-infested and the combination of </w:t>
      </w:r>
      <w:r w:rsidR="00E7693B" w:rsidRPr="00CF0A23">
        <w:rPr>
          <w:rFonts w:ascii="Times New Roman" w:hAnsi="Times New Roman" w:cs="Times New Roman"/>
          <w:i/>
          <w:sz w:val="24"/>
          <w:szCs w:val="24"/>
        </w:rPr>
        <w:t xml:space="preserve">L. </w:t>
      </w:r>
      <w:proofErr w:type="spellStart"/>
      <w:r w:rsidR="00E7693B" w:rsidRPr="00CF0A23">
        <w:rPr>
          <w:rFonts w:ascii="Times New Roman" w:hAnsi="Times New Roman" w:cs="Times New Roman"/>
          <w:i/>
          <w:sz w:val="24"/>
          <w:szCs w:val="24"/>
        </w:rPr>
        <w:t>maculans</w:t>
      </w:r>
      <w:proofErr w:type="spellEnd"/>
      <w:r w:rsidR="00E7693B" w:rsidRPr="00CF0A23">
        <w:rPr>
          <w:rFonts w:ascii="Times New Roman" w:hAnsi="Times New Roman" w:cs="Times New Roman"/>
          <w:i/>
          <w:sz w:val="24"/>
          <w:szCs w:val="24"/>
        </w:rPr>
        <w:t xml:space="preserve"> </w:t>
      </w:r>
      <w:r w:rsidR="00E7693B" w:rsidRPr="00CF0A23">
        <w:rPr>
          <w:rFonts w:ascii="Times New Roman" w:hAnsi="Times New Roman" w:cs="Times New Roman"/>
          <w:sz w:val="24"/>
          <w:szCs w:val="24"/>
        </w:rPr>
        <w:t xml:space="preserve">inoculation and </w:t>
      </w:r>
      <w:r w:rsidR="00E7693B" w:rsidRPr="00CF0A23">
        <w:rPr>
          <w:rFonts w:ascii="Times New Roman" w:hAnsi="Times New Roman" w:cs="Times New Roman"/>
          <w:i/>
          <w:sz w:val="24"/>
          <w:szCs w:val="24"/>
        </w:rPr>
        <w:t xml:space="preserve">P. </w:t>
      </w:r>
      <w:proofErr w:type="spellStart"/>
      <w:r w:rsidR="00E7693B" w:rsidRPr="00CF0A23">
        <w:rPr>
          <w:rFonts w:ascii="Times New Roman" w:hAnsi="Times New Roman" w:cs="Times New Roman"/>
          <w:i/>
          <w:sz w:val="24"/>
          <w:szCs w:val="24"/>
        </w:rPr>
        <w:t>xylostella</w:t>
      </w:r>
      <w:proofErr w:type="spellEnd"/>
      <w:r w:rsidR="00E7693B" w:rsidRPr="00CF0A23">
        <w:rPr>
          <w:rFonts w:ascii="Times New Roman" w:hAnsi="Times New Roman" w:cs="Times New Roman"/>
          <w:i/>
          <w:sz w:val="24"/>
          <w:szCs w:val="24"/>
        </w:rPr>
        <w:t xml:space="preserve"> </w:t>
      </w:r>
      <w:r w:rsidR="00E7693B" w:rsidRPr="00CF0A23">
        <w:rPr>
          <w:rFonts w:ascii="Times New Roman" w:hAnsi="Times New Roman" w:cs="Times New Roman"/>
          <w:sz w:val="24"/>
          <w:szCs w:val="24"/>
        </w:rPr>
        <w:t>infestation), while axis 2 according to the time (4 vs. 8 dpi). The GLS composition profile was significantly influenced by the treatment (F</w:t>
      </w:r>
      <w:r w:rsidR="00E7693B" w:rsidRPr="00CF0A23">
        <w:rPr>
          <w:rFonts w:ascii="Times New Roman" w:hAnsi="Times New Roman" w:cs="Times New Roman"/>
          <w:sz w:val="24"/>
          <w:szCs w:val="24"/>
          <w:vertAlign w:val="subscript"/>
        </w:rPr>
        <w:t>3,24</w:t>
      </w:r>
      <w:r w:rsidR="00E7693B" w:rsidRPr="00CF0A23">
        <w:rPr>
          <w:rFonts w:ascii="Times New Roman" w:hAnsi="Times New Roman" w:cs="Times New Roman"/>
          <w:sz w:val="24"/>
          <w:szCs w:val="24"/>
        </w:rPr>
        <w:t xml:space="preserve"> = 4.77; P = 0.001), the time (F</w:t>
      </w:r>
      <w:r w:rsidR="00E7693B" w:rsidRPr="00CF0A23">
        <w:rPr>
          <w:rFonts w:ascii="Times New Roman" w:hAnsi="Times New Roman" w:cs="Times New Roman"/>
          <w:sz w:val="24"/>
          <w:szCs w:val="24"/>
          <w:vertAlign w:val="subscript"/>
        </w:rPr>
        <w:t>1,24</w:t>
      </w:r>
      <w:r w:rsidR="00E7693B" w:rsidRPr="00CF0A23">
        <w:rPr>
          <w:rFonts w:ascii="Times New Roman" w:hAnsi="Times New Roman" w:cs="Times New Roman"/>
          <w:sz w:val="24"/>
          <w:szCs w:val="24"/>
        </w:rPr>
        <w:t xml:space="preserve"> = 4.52; P = 0.003), and their interaction (F</w:t>
      </w:r>
      <w:r w:rsidR="00E7693B" w:rsidRPr="00CF0A23">
        <w:rPr>
          <w:rFonts w:ascii="Times New Roman" w:hAnsi="Times New Roman" w:cs="Times New Roman"/>
          <w:sz w:val="24"/>
          <w:szCs w:val="24"/>
          <w:vertAlign w:val="subscript"/>
        </w:rPr>
        <w:t>3,24</w:t>
      </w:r>
      <w:r w:rsidR="00E7693B" w:rsidRPr="00CF0A23">
        <w:rPr>
          <w:rFonts w:ascii="Times New Roman" w:hAnsi="Times New Roman" w:cs="Times New Roman"/>
          <w:sz w:val="24"/>
          <w:szCs w:val="24"/>
        </w:rPr>
        <w:t xml:space="preserve"> = 3.74; P = 0.001). For instance, </w:t>
      </w:r>
      <w:r w:rsidR="00E7693B" w:rsidRPr="00CF0A23">
        <w:rPr>
          <w:rFonts w:ascii="Times New Roman" w:hAnsi="Times New Roman" w:cs="Times New Roman"/>
          <w:sz w:val="24"/>
          <w:szCs w:val="24"/>
          <w:highlight w:val="white"/>
        </w:rPr>
        <w:t xml:space="preserve">RDA showed that </w:t>
      </w:r>
      <w:proofErr w:type="spellStart"/>
      <w:r w:rsidR="00E7693B" w:rsidRPr="00CF0A23">
        <w:rPr>
          <w:rFonts w:ascii="Times New Roman" w:hAnsi="Times New Roman" w:cs="Times New Roman"/>
          <w:sz w:val="24"/>
          <w:szCs w:val="24"/>
          <w:highlight w:val="white"/>
        </w:rPr>
        <w:t>glucobrassicin</w:t>
      </w:r>
      <w:proofErr w:type="spellEnd"/>
      <w:r w:rsidR="00E7693B" w:rsidRPr="00CF0A23">
        <w:rPr>
          <w:rFonts w:ascii="Times New Roman" w:hAnsi="Times New Roman" w:cs="Times New Roman"/>
          <w:sz w:val="24"/>
          <w:szCs w:val="24"/>
          <w:highlight w:val="white"/>
        </w:rPr>
        <w:t xml:space="preserve"> and </w:t>
      </w:r>
      <w:proofErr w:type="spellStart"/>
      <w:r w:rsidR="00E7693B" w:rsidRPr="00CF0A23">
        <w:rPr>
          <w:rFonts w:ascii="Times New Roman" w:hAnsi="Times New Roman" w:cs="Times New Roman"/>
          <w:sz w:val="24"/>
          <w:szCs w:val="24"/>
          <w:highlight w:val="white"/>
        </w:rPr>
        <w:t>neoglucobrassicin</w:t>
      </w:r>
      <w:proofErr w:type="spellEnd"/>
      <w:r w:rsidR="00E7693B" w:rsidRPr="00CF0A23">
        <w:rPr>
          <w:rFonts w:ascii="Times New Roman" w:hAnsi="Times New Roman" w:cs="Times New Roman"/>
          <w:sz w:val="24"/>
          <w:szCs w:val="24"/>
          <w:highlight w:val="white"/>
        </w:rPr>
        <w:t xml:space="preserve"> </w:t>
      </w:r>
      <w:r w:rsidR="00FC6BC8">
        <w:rPr>
          <w:rFonts w:ascii="Times New Roman" w:hAnsi="Times New Roman" w:cs="Times New Roman"/>
          <w:sz w:val="24"/>
          <w:szCs w:val="24"/>
          <w:highlight w:val="white"/>
        </w:rPr>
        <w:t>accumulated to</w:t>
      </w:r>
      <w:r w:rsidR="00FC6BC8" w:rsidRPr="00CF0A23">
        <w:rPr>
          <w:rFonts w:ascii="Times New Roman" w:hAnsi="Times New Roman" w:cs="Times New Roman"/>
          <w:sz w:val="24"/>
          <w:szCs w:val="24"/>
          <w:highlight w:val="white"/>
        </w:rPr>
        <w:t xml:space="preserve"> </w:t>
      </w:r>
      <w:r w:rsidR="00E7693B" w:rsidRPr="00CF0A23">
        <w:rPr>
          <w:rFonts w:ascii="Times New Roman" w:hAnsi="Times New Roman" w:cs="Times New Roman"/>
          <w:sz w:val="24"/>
          <w:szCs w:val="24"/>
          <w:highlight w:val="white"/>
        </w:rPr>
        <w:t xml:space="preserve">a higher content in </w:t>
      </w:r>
      <w:r w:rsidR="00E7693B" w:rsidRPr="00CF0A23">
        <w:rPr>
          <w:rFonts w:ascii="Times New Roman" w:hAnsi="Times New Roman" w:cs="Times New Roman"/>
          <w:i/>
          <w:sz w:val="24"/>
          <w:szCs w:val="24"/>
          <w:highlight w:val="white"/>
        </w:rPr>
        <w:t xml:space="preserve">P. </w:t>
      </w:r>
      <w:proofErr w:type="spellStart"/>
      <w:r w:rsidR="00E7693B" w:rsidRPr="00CF0A23">
        <w:rPr>
          <w:rFonts w:ascii="Times New Roman" w:hAnsi="Times New Roman" w:cs="Times New Roman"/>
          <w:i/>
          <w:sz w:val="24"/>
          <w:szCs w:val="24"/>
          <w:highlight w:val="white"/>
        </w:rPr>
        <w:t>xylostella</w:t>
      </w:r>
      <w:proofErr w:type="spellEnd"/>
      <w:r w:rsidR="00E7693B" w:rsidRPr="00CF0A23">
        <w:rPr>
          <w:rFonts w:ascii="Times New Roman" w:hAnsi="Times New Roman" w:cs="Times New Roman"/>
          <w:sz w:val="24"/>
          <w:szCs w:val="24"/>
          <w:highlight w:val="white"/>
        </w:rPr>
        <w:t xml:space="preserve">-infested leaves </w:t>
      </w:r>
      <w:r w:rsidR="00E7693B" w:rsidRPr="00CF0A23">
        <w:rPr>
          <w:rFonts w:ascii="Times New Roman" w:hAnsi="Times New Roman" w:cs="Times New Roman"/>
          <w:sz w:val="24"/>
          <w:szCs w:val="24"/>
        </w:rPr>
        <w:t xml:space="preserve">and </w:t>
      </w:r>
      <w:r w:rsidR="00E7693B" w:rsidRPr="00CF0A23">
        <w:rPr>
          <w:rFonts w:ascii="Times New Roman" w:hAnsi="Times New Roman" w:cs="Times New Roman"/>
          <w:i/>
          <w:sz w:val="24"/>
          <w:szCs w:val="24"/>
        </w:rPr>
        <w:t xml:space="preserve">L. </w:t>
      </w:r>
      <w:proofErr w:type="spellStart"/>
      <w:r w:rsidR="00E7693B" w:rsidRPr="00CF0A23">
        <w:rPr>
          <w:rFonts w:ascii="Times New Roman" w:hAnsi="Times New Roman" w:cs="Times New Roman"/>
          <w:i/>
          <w:sz w:val="24"/>
          <w:szCs w:val="24"/>
        </w:rPr>
        <w:t>maculans</w:t>
      </w:r>
      <w:proofErr w:type="spellEnd"/>
      <w:r w:rsidR="00E7693B" w:rsidRPr="00CF0A23">
        <w:rPr>
          <w:rFonts w:ascii="Times New Roman" w:hAnsi="Times New Roman" w:cs="Times New Roman"/>
          <w:sz w:val="24"/>
          <w:szCs w:val="24"/>
          <w:highlight w:val="white"/>
        </w:rPr>
        <w:t xml:space="preserve">-inoculated and </w:t>
      </w:r>
      <w:r w:rsidR="00E7693B" w:rsidRPr="00CF0A23">
        <w:rPr>
          <w:rFonts w:ascii="Times New Roman" w:hAnsi="Times New Roman" w:cs="Times New Roman"/>
          <w:i/>
          <w:sz w:val="24"/>
          <w:szCs w:val="24"/>
          <w:highlight w:val="white"/>
        </w:rPr>
        <w:t xml:space="preserve">P. </w:t>
      </w:r>
      <w:proofErr w:type="spellStart"/>
      <w:r w:rsidR="00E7693B" w:rsidRPr="00CF0A23">
        <w:rPr>
          <w:rFonts w:ascii="Times New Roman" w:hAnsi="Times New Roman" w:cs="Times New Roman"/>
          <w:i/>
          <w:sz w:val="24"/>
          <w:szCs w:val="24"/>
          <w:highlight w:val="white"/>
        </w:rPr>
        <w:t>xylostella</w:t>
      </w:r>
      <w:proofErr w:type="spellEnd"/>
      <w:r w:rsidR="00E7693B" w:rsidRPr="00CF0A23">
        <w:rPr>
          <w:rFonts w:ascii="Times New Roman" w:hAnsi="Times New Roman" w:cs="Times New Roman"/>
          <w:sz w:val="24"/>
          <w:szCs w:val="24"/>
          <w:highlight w:val="white"/>
        </w:rPr>
        <w:t>-infested leaves at 4 and 8 dpi.</w:t>
      </w:r>
    </w:p>
    <w:p w14:paraId="21509CBF" w14:textId="77777777" w:rsidR="00E7693B" w:rsidRPr="00E7693B" w:rsidRDefault="00E7693B">
      <w:pPr>
        <w:spacing w:line="360" w:lineRule="auto"/>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9A" wp14:editId="2150A59B">
            <wp:extent cx="5760085" cy="3700780"/>
            <wp:effectExtent l="0" t="0" r="0" b="0"/>
            <wp:docPr id="1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9"/>
                    <a:srcRect/>
                    <a:stretch>
                      <a:fillRect/>
                    </a:stretch>
                  </pic:blipFill>
                  <pic:spPr>
                    <a:xfrm>
                      <a:off x="0" y="0"/>
                      <a:ext cx="5760085" cy="3700780"/>
                    </a:xfrm>
                    <a:prstGeom prst="rect">
                      <a:avLst/>
                    </a:prstGeom>
                    <a:ln/>
                  </pic:spPr>
                </pic:pic>
              </a:graphicData>
            </a:graphic>
          </wp:inline>
        </w:drawing>
      </w:r>
    </w:p>
    <w:p w14:paraId="71B8724A" w14:textId="4C056968" w:rsidR="003A6977"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rPr>
        <w:t>Figure 22.</w:t>
      </w:r>
      <w:r w:rsidRPr="00E7693B">
        <w:rPr>
          <w:rFonts w:ascii="Times New Roman" w:hAnsi="Times New Roman" w:cs="Times New Roman"/>
        </w:rPr>
        <w:t xml:space="preserve"> Redundancy analysis (RDA) of glucosinolate (GLS) composition in control,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)-inoculated, </w:t>
      </w:r>
      <w:proofErr w:type="spellStart"/>
      <w:r w:rsidRPr="00E7693B">
        <w:rPr>
          <w:rFonts w:ascii="Times New Roman" w:hAnsi="Times New Roman" w:cs="Times New Roman"/>
          <w:i/>
        </w:rPr>
        <w:t>Plutella</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xylostela</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P.x</w:t>
      </w:r>
      <w:proofErr w:type="spellEnd"/>
      <w:r w:rsidRPr="00E7693B">
        <w:rPr>
          <w:rFonts w:ascii="Times New Roman" w:hAnsi="Times New Roman" w:cs="Times New Roman"/>
          <w:i/>
        </w:rPr>
        <w:t>.</w:t>
      </w:r>
      <w:r w:rsidRPr="00E7693B">
        <w:rPr>
          <w:rFonts w:ascii="Times New Roman" w:hAnsi="Times New Roman" w:cs="Times New Roman"/>
        </w:rPr>
        <w:t xml:space="preserve">)-infested </w:t>
      </w:r>
      <w:r w:rsidRPr="00E7693B">
        <w:rPr>
          <w:rFonts w:ascii="Times New Roman" w:hAnsi="Times New Roman" w:cs="Times New Roman"/>
          <w:color w:val="000000"/>
        </w:rPr>
        <w:t xml:space="preserve">and a combination of </w:t>
      </w:r>
      <w:r w:rsidRPr="00E7693B">
        <w:rPr>
          <w:rFonts w:ascii="Times New Roman" w:hAnsi="Times New Roman" w:cs="Times New Roman"/>
          <w:i/>
          <w:color w:val="000000"/>
        </w:rPr>
        <w:t xml:space="preserve">L. </w:t>
      </w:r>
      <w:proofErr w:type="spellStart"/>
      <w:r w:rsidRPr="00E7693B">
        <w:rPr>
          <w:rFonts w:ascii="Times New Roman" w:hAnsi="Times New Roman" w:cs="Times New Roman"/>
          <w:i/>
          <w:color w:val="000000"/>
        </w:rPr>
        <w:t>maculans</w:t>
      </w:r>
      <w:proofErr w:type="spellEnd"/>
      <w:r w:rsidRPr="00E7693B">
        <w:rPr>
          <w:rFonts w:ascii="Times New Roman" w:hAnsi="Times New Roman" w:cs="Times New Roman"/>
          <w:i/>
          <w:color w:val="000000"/>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w:t>
      </w:r>
      <w:r w:rsidRPr="00E7693B">
        <w:rPr>
          <w:rFonts w:ascii="Times New Roman" w:hAnsi="Times New Roman" w:cs="Times New Roman"/>
          <w:i/>
          <w:color w:val="000000"/>
        </w:rPr>
        <w:t xml:space="preserve">- </w:t>
      </w:r>
      <w:r w:rsidRPr="00E7693B">
        <w:rPr>
          <w:rFonts w:ascii="Times New Roman" w:hAnsi="Times New Roman" w:cs="Times New Roman"/>
          <w:color w:val="000000"/>
        </w:rPr>
        <w:t xml:space="preserve">and </w:t>
      </w:r>
      <w:r w:rsidRPr="00E7693B">
        <w:rPr>
          <w:rFonts w:ascii="Times New Roman" w:hAnsi="Times New Roman" w:cs="Times New Roman"/>
          <w:i/>
          <w:color w:val="000000"/>
        </w:rPr>
        <w:t xml:space="preserve">P. </w:t>
      </w:r>
      <w:proofErr w:type="spellStart"/>
      <w:r w:rsidRPr="00E7693B">
        <w:rPr>
          <w:rFonts w:ascii="Times New Roman" w:hAnsi="Times New Roman" w:cs="Times New Roman"/>
          <w:i/>
          <w:color w:val="000000"/>
        </w:rPr>
        <w:t>xylostella</w:t>
      </w:r>
      <w:proofErr w:type="spellEnd"/>
      <w:r w:rsidRPr="00E7693B">
        <w:rPr>
          <w:rFonts w:ascii="Times New Roman" w:hAnsi="Times New Roman" w:cs="Times New Roman"/>
          <w:i/>
          <w:color w:val="000000"/>
        </w:rPr>
        <w:t xml:space="preserve"> </w:t>
      </w:r>
      <w:r w:rsidRPr="00E7693B">
        <w:rPr>
          <w:rFonts w:ascii="Times New Roman" w:hAnsi="Times New Roman" w:cs="Times New Roman"/>
        </w:rPr>
        <w:t>(</w:t>
      </w:r>
      <w:proofErr w:type="spellStart"/>
      <w:r w:rsidRPr="00E7693B">
        <w:rPr>
          <w:rFonts w:ascii="Times New Roman" w:hAnsi="Times New Roman" w:cs="Times New Roman"/>
          <w:i/>
        </w:rPr>
        <w:t>P.x</w:t>
      </w:r>
      <w:proofErr w:type="spellEnd"/>
      <w:r w:rsidRPr="00E7693B">
        <w:rPr>
          <w:rFonts w:ascii="Times New Roman" w:hAnsi="Times New Roman" w:cs="Times New Roman"/>
          <w:i/>
        </w:rPr>
        <w:t>.</w:t>
      </w:r>
      <w:r w:rsidRPr="00E7693B">
        <w:rPr>
          <w:rFonts w:ascii="Times New Roman" w:hAnsi="Times New Roman" w:cs="Times New Roman"/>
        </w:rPr>
        <w:t>)</w:t>
      </w:r>
      <w:r w:rsidRPr="00E7693B">
        <w:rPr>
          <w:rFonts w:ascii="Times New Roman" w:hAnsi="Times New Roman" w:cs="Times New Roman"/>
          <w:color w:val="000000"/>
        </w:rPr>
        <w:t xml:space="preserve">-treated leaves of oilseed rape </w:t>
      </w:r>
      <w:r w:rsidRPr="00E7693B">
        <w:rPr>
          <w:rFonts w:ascii="Times New Roman" w:hAnsi="Times New Roman" w:cs="Times New Roman"/>
        </w:rPr>
        <w:t>4 and 8 days post inoculation (dpi). Score plot is shown on the left, with variances explained by the synthetic axes written in parentheses, and the correlation circle on the right.</w:t>
      </w:r>
    </w:p>
    <w:p w14:paraId="21509CC1" w14:textId="6C1E1E47" w:rsidR="00E7693B" w:rsidRPr="00E7693B" w:rsidRDefault="00E7693B" w:rsidP="00184E62">
      <w:pPr>
        <w:spacing w:before="240"/>
        <w:jc w:val="both"/>
        <w:rPr>
          <w:rFonts w:ascii="Times New Roman" w:hAnsi="Times New Roman" w:cs="Times New Roman"/>
        </w:rPr>
      </w:pPr>
      <w:r w:rsidRPr="00E7693B">
        <w:rPr>
          <w:rFonts w:ascii="Times New Roman" w:hAnsi="Times New Roman" w:cs="Times New Roman"/>
          <w:b/>
          <w:color w:val="000000"/>
        </w:rPr>
        <w:t xml:space="preserve">Table 4. </w:t>
      </w:r>
      <w:r w:rsidR="00184E62" w:rsidRPr="00E7693B">
        <w:rPr>
          <w:rFonts w:ascii="Times New Roman" w:hAnsi="Times New Roman" w:cs="Times New Roman"/>
          <w:color w:val="000000"/>
        </w:rPr>
        <w:t>Statistic</w:t>
      </w:r>
      <w:r w:rsidR="00184E62">
        <w:rPr>
          <w:rFonts w:ascii="Times New Roman" w:hAnsi="Times New Roman" w:cs="Times New Roman"/>
          <w:color w:val="000000"/>
        </w:rPr>
        <w:t xml:space="preserve">al output for each compound from analysis to determine differences in </w:t>
      </w:r>
      <w:r w:rsidR="00184E62" w:rsidRPr="00E7693B">
        <w:rPr>
          <w:rFonts w:ascii="Times New Roman" w:hAnsi="Times New Roman" w:cs="Times New Roman"/>
          <w:color w:val="000000"/>
        </w:rPr>
        <w:t xml:space="preserve">glucosinolate (GLS) </w:t>
      </w:r>
      <w:r w:rsidR="00184E62">
        <w:rPr>
          <w:rFonts w:ascii="Times New Roman" w:hAnsi="Times New Roman" w:cs="Times New Roman"/>
          <w:color w:val="000000"/>
        </w:rPr>
        <w:t xml:space="preserve">levels between control leaves of oilseed rape and </w:t>
      </w:r>
      <w:r w:rsidR="00184E62" w:rsidRPr="00E7693B">
        <w:rPr>
          <w:rFonts w:ascii="Times New Roman" w:hAnsi="Times New Roman" w:cs="Times New Roman"/>
          <w:i/>
          <w:color w:val="000000"/>
        </w:rPr>
        <w:t xml:space="preserve">L. </w:t>
      </w:r>
      <w:proofErr w:type="spellStart"/>
      <w:r w:rsidR="00184E62" w:rsidRPr="00E7693B">
        <w:rPr>
          <w:rFonts w:ascii="Times New Roman" w:hAnsi="Times New Roman" w:cs="Times New Roman"/>
          <w:i/>
          <w:color w:val="000000"/>
        </w:rPr>
        <w:t>maculans</w:t>
      </w:r>
      <w:proofErr w:type="spellEnd"/>
      <w:r w:rsidR="00184E62">
        <w:rPr>
          <w:rFonts w:ascii="Times New Roman" w:hAnsi="Times New Roman" w:cs="Times New Roman"/>
          <w:iCs/>
          <w:color w:val="000000"/>
        </w:rPr>
        <w:t>-inoculated leaves at 4 and 8 days post inoculation</w:t>
      </w:r>
      <w:r w:rsidR="00184E62" w:rsidRPr="00E7693B">
        <w:rPr>
          <w:rFonts w:ascii="Times New Roman" w:hAnsi="Times New Roman" w:cs="Times New Roman"/>
          <w:color w:val="000000"/>
        </w:rPr>
        <w:t>.</w:t>
      </w:r>
      <w:r w:rsidRPr="00E7693B">
        <w:rPr>
          <w:rFonts w:ascii="Times New Roman" w:hAnsi="Times New Roman" w:cs="Times New Roman"/>
          <w:color w:val="000000"/>
        </w:rPr>
        <w:t xml:space="preserve"> ".": P &lt; 0.1, *: P &lt; 0.05, **: P &lt; 0.01, ***: P &lt; 0.001</w:t>
      </w:r>
      <w:r w:rsidR="00184E62">
        <w:rPr>
          <w:rFonts w:ascii="Times New Roman" w:hAnsi="Times New Roman" w:cs="Times New Roman"/>
          <w:color w:val="000000"/>
        </w:rPr>
        <w:t xml:space="preserve">; </w:t>
      </w:r>
      <w:r w:rsidR="00184E62" w:rsidRPr="00333579">
        <w:rPr>
          <w:rFonts w:ascii="Times New Roman" w:hAnsi="Times New Roman" w:cs="Times New Roman"/>
          <w:i/>
          <w:iCs/>
          <w:color w:val="000000"/>
        </w:rPr>
        <w:t>treatment</w:t>
      </w:r>
      <w:r w:rsidR="00184E62">
        <w:rPr>
          <w:rFonts w:ascii="Times New Roman" w:hAnsi="Times New Roman" w:cs="Times New Roman"/>
          <w:color w:val="000000"/>
        </w:rPr>
        <w:t xml:space="preserve">: control vs. </w:t>
      </w:r>
      <w:r w:rsidR="00184E62">
        <w:rPr>
          <w:rFonts w:ascii="Times New Roman" w:hAnsi="Times New Roman" w:cs="Times New Roman"/>
          <w:i/>
          <w:iCs/>
          <w:color w:val="000000"/>
        </w:rPr>
        <w:t xml:space="preserve">L. </w:t>
      </w:r>
      <w:proofErr w:type="spellStart"/>
      <w:r w:rsidR="00184E62">
        <w:rPr>
          <w:rFonts w:ascii="Times New Roman" w:hAnsi="Times New Roman" w:cs="Times New Roman"/>
          <w:i/>
          <w:iCs/>
          <w:color w:val="000000"/>
        </w:rPr>
        <w:t>maculans</w:t>
      </w:r>
      <w:proofErr w:type="spellEnd"/>
      <w:r w:rsidR="00184E62">
        <w:rPr>
          <w:rFonts w:ascii="Times New Roman" w:hAnsi="Times New Roman" w:cs="Times New Roman"/>
          <w:color w:val="000000"/>
        </w:rPr>
        <w:t xml:space="preserve">-inoculated leaf; </w:t>
      </w:r>
      <w:r w:rsidR="00184E62" w:rsidRPr="00333579">
        <w:rPr>
          <w:rFonts w:ascii="Times New Roman" w:hAnsi="Times New Roman" w:cs="Times New Roman"/>
          <w:i/>
          <w:iCs/>
          <w:color w:val="000000"/>
        </w:rPr>
        <w:t>time</w:t>
      </w:r>
      <w:r w:rsidR="00184E62">
        <w:rPr>
          <w:rFonts w:ascii="Times New Roman" w:hAnsi="Times New Roman" w:cs="Times New Roman"/>
          <w:color w:val="000000"/>
        </w:rPr>
        <w:t xml:space="preserve">: </w:t>
      </w:r>
      <w:r w:rsidR="00DF5653">
        <w:rPr>
          <w:rFonts w:ascii="Times New Roman" w:hAnsi="Times New Roman" w:cs="Times New Roman"/>
          <w:color w:val="000000"/>
        </w:rPr>
        <w:t xml:space="preserve">4 </w:t>
      </w:r>
      <w:r w:rsidR="00184E62">
        <w:rPr>
          <w:rFonts w:ascii="Times New Roman" w:hAnsi="Times New Roman" w:cs="Times New Roman"/>
          <w:color w:val="000000"/>
        </w:rPr>
        <w:t xml:space="preserve">vs. </w:t>
      </w:r>
      <w:r w:rsidR="00DF5653">
        <w:rPr>
          <w:rFonts w:ascii="Times New Roman" w:hAnsi="Times New Roman" w:cs="Times New Roman"/>
          <w:color w:val="000000"/>
        </w:rPr>
        <w:t xml:space="preserve">8 </w:t>
      </w:r>
      <w:r w:rsidR="00184E62">
        <w:rPr>
          <w:rFonts w:ascii="Times New Roman" w:hAnsi="Times New Roman" w:cs="Times New Roman"/>
          <w:color w:val="000000"/>
        </w:rPr>
        <w:t>days post inoculation.</w:t>
      </w:r>
    </w:p>
    <w:tbl>
      <w:tblPr>
        <w:tblW w:w="9081" w:type="dxa"/>
        <w:tblInd w:w="-10" w:type="dxa"/>
        <w:tblBorders>
          <w:top w:val="single" w:sz="4" w:space="0" w:color="000000"/>
          <w:bottom w:val="single" w:sz="4" w:space="0" w:color="000000"/>
        </w:tblBorders>
        <w:tblLayout w:type="fixed"/>
        <w:tblCellMar>
          <w:left w:w="10" w:type="dxa"/>
          <w:right w:w="10" w:type="dxa"/>
        </w:tblCellMar>
        <w:tblLook w:val="0400" w:firstRow="0" w:lastRow="0" w:firstColumn="0" w:lastColumn="0" w:noHBand="0" w:noVBand="1"/>
      </w:tblPr>
      <w:tblGrid>
        <w:gridCol w:w="2228"/>
        <w:gridCol w:w="635"/>
        <w:gridCol w:w="529"/>
        <w:gridCol w:w="525"/>
        <w:gridCol w:w="552"/>
        <w:gridCol w:w="636"/>
        <w:gridCol w:w="399"/>
        <w:gridCol w:w="527"/>
        <w:gridCol w:w="270"/>
        <w:gridCol w:w="655"/>
        <w:gridCol w:w="400"/>
        <w:gridCol w:w="527"/>
        <w:gridCol w:w="249"/>
        <w:gridCol w:w="949"/>
      </w:tblGrid>
      <w:tr w:rsidR="00E7693B" w:rsidRPr="00E7693B" w14:paraId="21509CC7" w14:textId="77777777">
        <w:trPr>
          <w:trHeight w:val="300"/>
        </w:trPr>
        <w:tc>
          <w:tcPr>
            <w:tcW w:w="2228" w:type="dxa"/>
            <w:vMerge w:val="restart"/>
            <w:tcBorders>
              <w:top w:val="single" w:sz="4" w:space="0" w:color="000000"/>
              <w:bottom w:val="nil"/>
            </w:tcBorders>
            <w:shd w:val="clear" w:color="auto" w:fill="auto"/>
            <w:vAlign w:val="center"/>
          </w:tcPr>
          <w:p w14:paraId="21509CC2"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Compound</w:t>
            </w:r>
          </w:p>
        </w:tc>
        <w:tc>
          <w:tcPr>
            <w:tcW w:w="2241" w:type="dxa"/>
            <w:gridSpan w:val="4"/>
            <w:tcBorders>
              <w:top w:val="single" w:sz="4" w:space="0" w:color="000000"/>
              <w:bottom w:val="nil"/>
            </w:tcBorders>
            <w:shd w:val="clear" w:color="auto" w:fill="auto"/>
            <w:vAlign w:val="bottom"/>
          </w:tcPr>
          <w:p w14:paraId="21509CC3"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Treatment</w:t>
            </w:r>
          </w:p>
        </w:tc>
        <w:tc>
          <w:tcPr>
            <w:tcW w:w="1832" w:type="dxa"/>
            <w:gridSpan w:val="4"/>
            <w:tcBorders>
              <w:top w:val="single" w:sz="4" w:space="0" w:color="000000"/>
              <w:bottom w:val="nil"/>
            </w:tcBorders>
            <w:shd w:val="clear" w:color="auto" w:fill="auto"/>
            <w:vAlign w:val="bottom"/>
          </w:tcPr>
          <w:p w14:paraId="21509CC4"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Time</w:t>
            </w:r>
          </w:p>
        </w:tc>
        <w:tc>
          <w:tcPr>
            <w:tcW w:w="1831" w:type="dxa"/>
            <w:gridSpan w:val="4"/>
            <w:tcBorders>
              <w:top w:val="single" w:sz="4" w:space="0" w:color="000000"/>
              <w:bottom w:val="nil"/>
            </w:tcBorders>
            <w:shd w:val="clear" w:color="auto" w:fill="auto"/>
            <w:vAlign w:val="bottom"/>
          </w:tcPr>
          <w:p w14:paraId="21509CC5"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Treatment:Time</w:t>
            </w:r>
            <w:proofErr w:type="spellEnd"/>
          </w:p>
        </w:tc>
        <w:tc>
          <w:tcPr>
            <w:tcW w:w="949" w:type="dxa"/>
            <w:tcBorders>
              <w:top w:val="single" w:sz="4" w:space="0" w:color="000000"/>
              <w:bottom w:val="nil"/>
            </w:tcBorders>
            <w:shd w:val="clear" w:color="auto" w:fill="auto"/>
            <w:vAlign w:val="bottom"/>
          </w:tcPr>
          <w:p w14:paraId="21509CC6"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w:t>
            </w:r>
          </w:p>
        </w:tc>
      </w:tr>
      <w:tr w:rsidR="00E7693B" w:rsidRPr="00E7693B" w14:paraId="21509CD3" w14:textId="77777777">
        <w:trPr>
          <w:trHeight w:val="315"/>
        </w:trPr>
        <w:tc>
          <w:tcPr>
            <w:tcW w:w="2228" w:type="dxa"/>
            <w:vMerge/>
            <w:tcBorders>
              <w:top w:val="single" w:sz="4" w:space="0" w:color="000000"/>
              <w:bottom w:val="nil"/>
            </w:tcBorders>
            <w:shd w:val="clear" w:color="auto" w:fill="auto"/>
            <w:vAlign w:val="center"/>
          </w:tcPr>
          <w:p w14:paraId="21509CC8" w14:textId="77777777" w:rsidR="00E7693B" w:rsidRPr="00E7693B" w:rsidRDefault="00E7693B">
            <w:pPr>
              <w:widowControl w:val="0"/>
              <w:pBdr>
                <w:top w:val="nil"/>
                <w:left w:val="nil"/>
                <w:bottom w:val="nil"/>
                <w:right w:val="nil"/>
                <w:between w:val="nil"/>
              </w:pBdr>
              <w:spacing w:line="276" w:lineRule="auto"/>
              <w:rPr>
                <w:rFonts w:ascii="Times New Roman" w:hAnsi="Times New Roman" w:cs="Times New Roman"/>
                <w:b/>
                <w:color w:val="000000"/>
              </w:rPr>
            </w:pPr>
          </w:p>
        </w:tc>
        <w:tc>
          <w:tcPr>
            <w:tcW w:w="635" w:type="dxa"/>
            <w:tcBorders>
              <w:top w:val="nil"/>
              <w:bottom w:val="single" w:sz="4" w:space="0" w:color="000000"/>
            </w:tcBorders>
            <w:shd w:val="clear" w:color="auto" w:fill="auto"/>
            <w:vAlign w:val="bottom"/>
          </w:tcPr>
          <w:p w14:paraId="21509CC9"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529" w:type="dxa"/>
            <w:tcBorders>
              <w:top w:val="nil"/>
              <w:bottom w:val="single" w:sz="4" w:space="0" w:color="000000"/>
            </w:tcBorders>
            <w:shd w:val="clear" w:color="auto" w:fill="auto"/>
            <w:vAlign w:val="bottom"/>
          </w:tcPr>
          <w:p w14:paraId="21509CCA"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1077" w:type="dxa"/>
            <w:gridSpan w:val="2"/>
            <w:tcBorders>
              <w:top w:val="nil"/>
              <w:bottom w:val="single" w:sz="4" w:space="0" w:color="000000"/>
            </w:tcBorders>
            <w:shd w:val="clear" w:color="auto" w:fill="auto"/>
            <w:vAlign w:val="bottom"/>
          </w:tcPr>
          <w:p w14:paraId="21509CCB"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36" w:type="dxa"/>
            <w:tcBorders>
              <w:top w:val="nil"/>
              <w:bottom w:val="single" w:sz="4" w:space="0" w:color="000000"/>
            </w:tcBorders>
            <w:shd w:val="clear" w:color="auto" w:fill="auto"/>
            <w:vAlign w:val="bottom"/>
          </w:tcPr>
          <w:p w14:paraId="21509CCC"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399" w:type="dxa"/>
            <w:tcBorders>
              <w:top w:val="nil"/>
              <w:bottom w:val="single" w:sz="4" w:space="0" w:color="000000"/>
            </w:tcBorders>
            <w:shd w:val="clear" w:color="auto" w:fill="auto"/>
            <w:vAlign w:val="bottom"/>
          </w:tcPr>
          <w:p w14:paraId="21509CCD"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797" w:type="dxa"/>
            <w:gridSpan w:val="2"/>
            <w:tcBorders>
              <w:top w:val="nil"/>
              <w:bottom w:val="single" w:sz="4" w:space="0" w:color="000000"/>
            </w:tcBorders>
            <w:shd w:val="clear" w:color="auto" w:fill="auto"/>
            <w:vAlign w:val="bottom"/>
          </w:tcPr>
          <w:p w14:paraId="21509CCE"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55" w:type="dxa"/>
            <w:tcBorders>
              <w:top w:val="nil"/>
              <w:bottom w:val="single" w:sz="4" w:space="0" w:color="000000"/>
            </w:tcBorders>
            <w:shd w:val="clear" w:color="auto" w:fill="auto"/>
            <w:vAlign w:val="bottom"/>
          </w:tcPr>
          <w:p w14:paraId="21509CCF"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400" w:type="dxa"/>
            <w:tcBorders>
              <w:top w:val="nil"/>
              <w:bottom w:val="single" w:sz="4" w:space="0" w:color="000000"/>
            </w:tcBorders>
            <w:shd w:val="clear" w:color="auto" w:fill="auto"/>
            <w:vAlign w:val="bottom"/>
          </w:tcPr>
          <w:p w14:paraId="21509CD0"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776" w:type="dxa"/>
            <w:gridSpan w:val="2"/>
            <w:tcBorders>
              <w:top w:val="nil"/>
              <w:bottom w:val="single" w:sz="4" w:space="0" w:color="000000"/>
            </w:tcBorders>
            <w:shd w:val="clear" w:color="auto" w:fill="auto"/>
            <w:vAlign w:val="bottom"/>
          </w:tcPr>
          <w:p w14:paraId="21509CD1"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949" w:type="dxa"/>
            <w:tcBorders>
              <w:top w:val="nil"/>
              <w:bottom w:val="single" w:sz="4" w:space="0" w:color="000000"/>
            </w:tcBorders>
            <w:shd w:val="clear" w:color="auto" w:fill="auto"/>
            <w:vAlign w:val="bottom"/>
          </w:tcPr>
          <w:p w14:paraId="21509CD2"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xml:space="preserve">Residual </w:t>
            </w:r>
            <w:proofErr w:type="spellStart"/>
            <w:r w:rsidRPr="00E7693B">
              <w:rPr>
                <w:rFonts w:ascii="Times New Roman" w:hAnsi="Times New Roman" w:cs="Times New Roman"/>
                <w:b/>
                <w:color w:val="000000"/>
              </w:rPr>
              <w:t>df</w:t>
            </w:r>
            <w:proofErr w:type="spellEnd"/>
          </w:p>
        </w:tc>
      </w:tr>
      <w:tr w:rsidR="00E7693B" w:rsidRPr="00E7693B" w14:paraId="21509CE2" w14:textId="77777777">
        <w:trPr>
          <w:trHeight w:val="868"/>
        </w:trPr>
        <w:tc>
          <w:tcPr>
            <w:tcW w:w="2228" w:type="dxa"/>
            <w:tcBorders>
              <w:top w:val="single" w:sz="4" w:space="0" w:color="000000"/>
            </w:tcBorders>
            <w:shd w:val="clear" w:color="auto" w:fill="auto"/>
            <w:vAlign w:val="center"/>
          </w:tcPr>
          <w:p w14:paraId="21509CD4"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Glucoiberin</w:t>
            </w:r>
            <w:proofErr w:type="spellEnd"/>
            <w:r w:rsidRPr="00E7693B">
              <w:rPr>
                <w:rFonts w:ascii="Times New Roman" w:hAnsi="Times New Roman" w:cs="Times New Roman"/>
                <w:color w:val="000000"/>
              </w:rPr>
              <w:t xml:space="preserve"> (3-methylsulfinylpropyl, 3-msp)</w:t>
            </w:r>
          </w:p>
        </w:tc>
        <w:tc>
          <w:tcPr>
            <w:tcW w:w="635" w:type="dxa"/>
            <w:tcBorders>
              <w:top w:val="single" w:sz="4" w:space="0" w:color="000000"/>
            </w:tcBorders>
            <w:shd w:val="clear" w:color="auto" w:fill="auto"/>
            <w:vAlign w:val="center"/>
          </w:tcPr>
          <w:p w14:paraId="21509CD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4.86</w:t>
            </w:r>
          </w:p>
        </w:tc>
        <w:tc>
          <w:tcPr>
            <w:tcW w:w="529" w:type="dxa"/>
            <w:tcBorders>
              <w:top w:val="single" w:sz="4" w:space="0" w:color="000000"/>
            </w:tcBorders>
            <w:shd w:val="clear" w:color="auto" w:fill="auto"/>
            <w:vAlign w:val="center"/>
          </w:tcPr>
          <w:p w14:paraId="21509CD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tcBorders>
              <w:top w:val="single" w:sz="4" w:space="0" w:color="000000"/>
            </w:tcBorders>
            <w:shd w:val="clear" w:color="auto" w:fill="auto"/>
            <w:vAlign w:val="center"/>
          </w:tcPr>
          <w:p w14:paraId="21509CD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552" w:type="dxa"/>
            <w:tcBorders>
              <w:top w:val="single" w:sz="4" w:space="0" w:color="000000"/>
            </w:tcBorders>
            <w:shd w:val="clear" w:color="auto" w:fill="auto"/>
            <w:vAlign w:val="center"/>
          </w:tcPr>
          <w:p w14:paraId="21509CD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36" w:type="dxa"/>
            <w:tcBorders>
              <w:top w:val="single" w:sz="4" w:space="0" w:color="000000"/>
            </w:tcBorders>
            <w:shd w:val="clear" w:color="auto" w:fill="auto"/>
            <w:vAlign w:val="center"/>
          </w:tcPr>
          <w:p w14:paraId="21509CD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15.17</w:t>
            </w:r>
          </w:p>
        </w:tc>
        <w:tc>
          <w:tcPr>
            <w:tcW w:w="399" w:type="dxa"/>
            <w:tcBorders>
              <w:top w:val="single" w:sz="4" w:space="0" w:color="000000"/>
            </w:tcBorders>
            <w:shd w:val="clear" w:color="auto" w:fill="auto"/>
            <w:vAlign w:val="center"/>
          </w:tcPr>
          <w:p w14:paraId="21509CD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tcBorders>
              <w:top w:val="single" w:sz="4" w:space="0" w:color="000000"/>
            </w:tcBorders>
            <w:shd w:val="clear" w:color="auto" w:fill="auto"/>
            <w:vAlign w:val="center"/>
          </w:tcPr>
          <w:p w14:paraId="21509CD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270" w:type="dxa"/>
            <w:tcBorders>
              <w:top w:val="single" w:sz="4" w:space="0" w:color="000000"/>
            </w:tcBorders>
            <w:shd w:val="clear" w:color="auto" w:fill="auto"/>
            <w:vAlign w:val="center"/>
          </w:tcPr>
          <w:p w14:paraId="21509CD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55" w:type="dxa"/>
            <w:tcBorders>
              <w:top w:val="single" w:sz="4" w:space="0" w:color="000000"/>
            </w:tcBorders>
            <w:shd w:val="clear" w:color="auto" w:fill="auto"/>
            <w:vAlign w:val="center"/>
          </w:tcPr>
          <w:p w14:paraId="21509CD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3.63</w:t>
            </w:r>
          </w:p>
        </w:tc>
        <w:tc>
          <w:tcPr>
            <w:tcW w:w="400" w:type="dxa"/>
            <w:tcBorders>
              <w:top w:val="single" w:sz="4" w:space="0" w:color="000000"/>
            </w:tcBorders>
            <w:shd w:val="clear" w:color="auto" w:fill="auto"/>
            <w:vAlign w:val="center"/>
          </w:tcPr>
          <w:p w14:paraId="21509CD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tcBorders>
              <w:top w:val="single" w:sz="4" w:space="0" w:color="000000"/>
            </w:tcBorders>
            <w:shd w:val="clear" w:color="auto" w:fill="auto"/>
            <w:vAlign w:val="center"/>
          </w:tcPr>
          <w:p w14:paraId="21509CD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0.06</w:t>
            </w:r>
          </w:p>
        </w:tc>
        <w:tc>
          <w:tcPr>
            <w:tcW w:w="249" w:type="dxa"/>
            <w:tcBorders>
              <w:top w:val="single" w:sz="4" w:space="0" w:color="000000"/>
            </w:tcBorders>
            <w:shd w:val="clear" w:color="auto" w:fill="auto"/>
            <w:vAlign w:val="center"/>
          </w:tcPr>
          <w:p w14:paraId="21509CE0" w14:textId="77777777" w:rsidR="00E7693B" w:rsidRPr="00E7693B" w:rsidRDefault="00E7693B">
            <w:pPr>
              <w:jc w:val="center"/>
              <w:rPr>
                <w:rFonts w:ascii="Times New Roman" w:hAnsi="Times New Roman" w:cs="Times New Roman"/>
                <w:color w:val="000000"/>
              </w:rPr>
            </w:pPr>
          </w:p>
        </w:tc>
        <w:tc>
          <w:tcPr>
            <w:tcW w:w="949" w:type="dxa"/>
            <w:tcBorders>
              <w:top w:val="single" w:sz="4" w:space="0" w:color="000000"/>
            </w:tcBorders>
            <w:shd w:val="clear" w:color="auto" w:fill="auto"/>
            <w:vAlign w:val="center"/>
          </w:tcPr>
          <w:p w14:paraId="21509CE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r w:rsidR="00E7693B" w:rsidRPr="00E7693B" w14:paraId="21509CF1" w14:textId="77777777">
        <w:trPr>
          <w:trHeight w:val="868"/>
        </w:trPr>
        <w:tc>
          <w:tcPr>
            <w:tcW w:w="2228" w:type="dxa"/>
            <w:shd w:val="clear" w:color="auto" w:fill="auto"/>
            <w:vAlign w:val="center"/>
          </w:tcPr>
          <w:p w14:paraId="21509CE3"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Gluconapin (3-butenyl, 3-but)</w:t>
            </w:r>
          </w:p>
        </w:tc>
        <w:tc>
          <w:tcPr>
            <w:tcW w:w="635" w:type="dxa"/>
            <w:shd w:val="clear" w:color="auto" w:fill="auto"/>
            <w:vAlign w:val="center"/>
          </w:tcPr>
          <w:p w14:paraId="21509CE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3.45</w:t>
            </w:r>
          </w:p>
        </w:tc>
        <w:tc>
          <w:tcPr>
            <w:tcW w:w="529" w:type="dxa"/>
            <w:shd w:val="clear" w:color="auto" w:fill="auto"/>
            <w:vAlign w:val="center"/>
          </w:tcPr>
          <w:p w14:paraId="21509CE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shd w:val="clear" w:color="auto" w:fill="auto"/>
            <w:vAlign w:val="center"/>
          </w:tcPr>
          <w:p w14:paraId="21509CE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0.06</w:t>
            </w:r>
          </w:p>
        </w:tc>
        <w:tc>
          <w:tcPr>
            <w:tcW w:w="552" w:type="dxa"/>
            <w:shd w:val="clear" w:color="auto" w:fill="auto"/>
            <w:vAlign w:val="center"/>
          </w:tcPr>
          <w:p w14:paraId="21509CE7" w14:textId="77777777" w:rsidR="00E7693B" w:rsidRPr="00E7693B" w:rsidRDefault="00E7693B">
            <w:pPr>
              <w:jc w:val="center"/>
              <w:rPr>
                <w:rFonts w:ascii="Times New Roman" w:hAnsi="Times New Roman" w:cs="Times New Roman"/>
                <w:color w:val="000000"/>
              </w:rPr>
            </w:pPr>
          </w:p>
        </w:tc>
        <w:tc>
          <w:tcPr>
            <w:tcW w:w="636" w:type="dxa"/>
            <w:shd w:val="clear" w:color="auto" w:fill="auto"/>
            <w:vAlign w:val="center"/>
          </w:tcPr>
          <w:p w14:paraId="21509CE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0.31</w:t>
            </w:r>
          </w:p>
        </w:tc>
        <w:tc>
          <w:tcPr>
            <w:tcW w:w="399" w:type="dxa"/>
            <w:shd w:val="clear" w:color="auto" w:fill="auto"/>
            <w:vAlign w:val="center"/>
          </w:tcPr>
          <w:p w14:paraId="21509CE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shd w:val="clear" w:color="auto" w:fill="auto"/>
            <w:vAlign w:val="center"/>
          </w:tcPr>
          <w:p w14:paraId="21509CE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0.79</w:t>
            </w:r>
          </w:p>
        </w:tc>
        <w:tc>
          <w:tcPr>
            <w:tcW w:w="270" w:type="dxa"/>
            <w:shd w:val="clear" w:color="auto" w:fill="auto"/>
            <w:vAlign w:val="center"/>
          </w:tcPr>
          <w:p w14:paraId="21509CEB" w14:textId="77777777" w:rsidR="00E7693B" w:rsidRPr="00E7693B" w:rsidRDefault="00E7693B">
            <w:pPr>
              <w:jc w:val="center"/>
              <w:rPr>
                <w:rFonts w:ascii="Times New Roman" w:hAnsi="Times New Roman" w:cs="Times New Roman"/>
                <w:color w:val="000000"/>
              </w:rPr>
            </w:pPr>
          </w:p>
        </w:tc>
        <w:tc>
          <w:tcPr>
            <w:tcW w:w="655" w:type="dxa"/>
            <w:shd w:val="clear" w:color="auto" w:fill="auto"/>
            <w:vAlign w:val="center"/>
          </w:tcPr>
          <w:p w14:paraId="21509CE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5.80</w:t>
            </w:r>
          </w:p>
        </w:tc>
        <w:tc>
          <w:tcPr>
            <w:tcW w:w="400" w:type="dxa"/>
            <w:shd w:val="clear" w:color="auto" w:fill="auto"/>
            <w:vAlign w:val="center"/>
          </w:tcPr>
          <w:p w14:paraId="21509CE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shd w:val="clear" w:color="auto" w:fill="auto"/>
            <w:vAlign w:val="center"/>
          </w:tcPr>
          <w:p w14:paraId="21509CE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249" w:type="dxa"/>
            <w:shd w:val="clear" w:color="auto" w:fill="auto"/>
            <w:vAlign w:val="center"/>
          </w:tcPr>
          <w:p w14:paraId="21509CE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49" w:type="dxa"/>
            <w:shd w:val="clear" w:color="auto" w:fill="auto"/>
            <w:vAlign w:val="center"/>
          </w:tcPr>
          <w:p w14:paraId="21509CF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r w:rsidR="00E7693B" w:rsidRPr="00E7693B" w14:paraId="21509D00" w14:textId="77777777">
        <w:trPr>
          <w:trHeight w:val="868"/>
        </w:trPr>
        <w:tc>
          <w:tcPr>
            <w:tcW w:w="2228" w:type="dxa"/>
            <w:shd w:val="clear" w:color="auto" w:fill="auto"/>
            <w:vAlign w:val="center"/>
          </w:tcPr>
          <w:p w14:paraId="21509CF2"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Glucoalyssin</w:t>
            </w:r>
            <w:proofErr w:type="spellEnd"/>
            <w:r w:rsidRPr="00E7693B">
              <w:rPr>
                <w:rFonts w:ascii="Times New Roman" w:hAnsi="Times New Roman" w:cs="Times New Roman"/>
                <w:color w:val="000000"/>
              </w:rPr>
              <w:t xml:space="preserve"> (5-methylsulfinylpentyl, 5-msp)</w:t>
            </w:r>
          </w:p>
        </w:tc>
        <w:tc>
          <w:tcPr>
            <w:tcW w:w="635" w:type="dxa"/>
            <w:shd w:val="clear" w:color="auto" w:fill="auto"/>
            <w:vAlign w:val="center"/>
          </w:tcPr>
          <w:p w14:paraId="21509CF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0.04</w:t>
            </w:r>
          </w:p>
        </w:tc>
        <w:tc>
          <w:tcPr>
            <w:tcW w:w="529" w:type="dxa"/>
            <w:shd w:val="clear" w:color="auto" w:fill="auto"/>
            <w:vAlign w:val="center"/>
          </w:tcPr>
          <w:p w14:paraId="21509CF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shd w:val="clear" w:color="auto" w:fill="auto"/>
            <w:vAlign w:val="center"/>
          </w:tcPr>
          <w:p w14:paraId="21509CF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0.99</w:t>
            </w:r>
          </w:p>
        </w:tc>
        <w:tc>
          <w:tcPr>
            <w:tcW w:w="552" w:type="dxa"/>
            <w:shd w:val="clear" w:color="auto" w:fill="auto"/>
            <w:vAlign w:val="center"/>
          </w:tcPr>
          <w:p w14:paraId="21509CF6" w14:textId="77777777" w:rsidR="00E7693B" w:rsidRPr="00E7693B" w:rsidRDefault="00E7693B">
            <w:pPr>
              <w:jc w:val="center"/>
              <w:rPr>
                <w:rFonts w:ascii="Times New Roman" w:hAnsi="Times New Roman" w:cs="Times New Roman"/>
                <w:color w:val="000000"/>
              </w:rPr>
            </w:pPr>
          </w:p>
        </w:tc>
        <w:tc>
          <w:tcPr>
            <w:tcW w:w="636" w:type="dxa"/>
            <w:shd w:val="clear" w:color="auto" w:fill="auto"/>
            <w:vAlign w:val="center"/>
          </w:tcPr>
          <w:p w14:paraId="21509CF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0.61</w:t>
            </w:r>
          </w:p>
        </w:tc>
        <w:tc>
          <w:tcPr>
            <w:tcW w:w="399" w:type="dxa"/>
            <w:shd w:val="clear" w:color="auto" w:fill="auto"/>
            <w:vAlign w:val="center"/>
          </w:tcPr>
          <w:p w14:paraId="21509CF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shd w:val="clear" w:color="auto" w:fill="auto"/>
            <w:vAlign w:val="center"/>
          </w:tcPr>
          <w:p w14:paraId="21509CF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0.79</w:t>
            </w:r>
          </w:p>
        </w:tc>
        <w:tc>
          <w:tcPr>
            <w:tcW w:w="270" w:type="dxa"/>
            <w:shd w:val="clear" w:color="auto" w:fill="auto"/>
            <w:vAlign w:val="center"/>
          </w:tcPr>
          <w:p w14:paraId="21509CFA" w14:textId="77777777" w:rsidR="00E7693B" w:rsidRPr="00E7693B" w:rsidRDefault="00E7693B">
            <w:pPr>
              <w:jc w:val="center"/>
              <w:rPr>
                <w:rFonts w:ascii="Times New Roman" w:hAnsi="Times New Roman" w:cs="Times New Roman"/>
                <w:color w:val="000000"/>
              </w:rPr>
            </w:pPr>
          </w:p>
        </w:tc>
        <w:tc>
          <w:tcPr>
            <w:tcW w:w="655" w:type="dxa"/>
            <w:shd w:val="clear" w:color="auto" w:fill="auto"/>
            <w:vAlign w:val="center"/>
          </w:tcPr>
          <w:p w14:paraId="21509CF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2.54</w:t>
            </w:r>
          </w:p>
        </w:tc>
        <w:tc>
          <w:tcPr>
            <w:tcW w:w="400" w:type="dxa"/>
            <w:shd w:val="clear" w:color="auto" w:fill="auto"/>
            <w:vAlign w:val="center"/>
          </w:tcPr>
          <w:p w14:paraId="21509CF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shd w:val="clear" w:color="auto" w:fill="auto"/>
            <w:vAlign w:val="center"/>
          </w:tcPr>
          <w:p w14:paraId="21509CF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0.16</w:t>
            </w:r>
          </w:p>
        </w:tc>
        <w:tc>
          <w:tcPr>
            <w:tcW w:w="249" w:type="dxa"/>
            <w:shd w:val="clear" w:color="auto" w:fill="auto"/>
            <w:vAlign w:val="center"/>
          </w:tcPr>
          <w:p w14:paraId="21509CFE" w14:textId="77777777" w:rsidR="00E7693B" w:rsidRPr="00E7693B" w:rsidRDefault="00E7693B">
            <w:pPr>
              <w:jc w:val="center"/>
              <w:rPr>
                <w:rFonts w:ascii="Times New Roman" w:hAnsi="Times New Roman" w:cs="Times New Roman"/>
                <w:color w:val="000000"/>
              </w:rPr>
            </w:pPr>
          </w:p>
        </w:tc>
        <w:tc>
          <w:tcPr>
            <w:tcW w:w="949" w:type="dxa"/>
            <w:shd w:val="clear" w:color="auto" w:fill="auto"/>
            <w:vAlign w:val="center"/>
          </w:tcPr>
          <w:p w14:paraId="21509CF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r w:rsidR="00E7693B" w:rsidRPr="00E7693B" w14:paraId="21509D0F" w14:textId="77777777">
        <w:trPr>
          <w:trHeight w:val="868"/>
        </w:trPr>
        <w:tc>
          <w:tcPr>
            <w:tcW w:w="2228" w:type="dxa"/>
            <w:shd w:val="clear" w:color="auto" w:fill="auto"/>
            <w:vAlign w:val="center"/>
          </w:tcPr>
          <w:p w14:paraId="21509D01"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Glucobrassicanapin</w:t>
            </w:r>
            <w:proofErr w:type="spellEnd"/>
            <w:r w:rsidRPr="00E7693B">
              <w:rPr>
                <w:rFonts w:ascii="Times New Roman" w:hAnsi="Times New Roman" w:cs="Times New Roman"/>
                <w:color w:val="000000"/>
              </w:rPr>
              <w:t xml:space="preserve"> (4-pentenyl, 4-pent)</w:t>
            </w:r>
          </w:p>
        </w:tc>
        <w:tc>
          <w:tcPr>
            <w:tcW w:w="635" w:type="dxa"/>
            <w:shd w:val="clear" w:color="auto" w:fill="auto"/>
            <w:vAlign w:val="center"/>
          </w:tcPr>
          <w:p w14:paraId="21509D0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2.78</w:t>
            </w:r>
          </w:p>
        </w:tc>
        <w:tc>
          <w:tcPr>
            <w:tcW w:w="529" w:type="dxa"/>
            <w:shd w:val="clear" w:color="auto" w:fill="auto"/>
            <w:vAlign w:val="center"/>
          </w:tcPr>
          <w:p w14:paraId="21509D0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shd w:val="clear" w:color="auto" w:fill="auto"/>
            <w:vAlign w:val="center"/>
          </w:tcPr>
          <w:p w14:paraId="21509D0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0.11</w:t>
            </w:r>
          </w:p>
        </w:tc>
        <w:tc>
          <w:tcPr>
            <w:tcW w:w="552" w:type="dxa"/>
            <w:shd w:val="clear" w:color="auto" w:fill="auto"/>
            <w:vAlign w:val="center"/>
          </w:tcPr>
          <w:p w14:paraId="21509D05" w14:textId="77777777" w:rsidR="00E7693B" w:rsidRPr="00E7693B" w:rsidRDefault="00E7693B">
            <w:pPr>
              <w:jc w:val="center"/>
              <w:rPr>
                <w:rFonts w:ascii="Times New Roman" w:hAnsi="Times New Roman" w:cs="Times New Roman"/>
                <w:color w:val="000000"/>
              </w:rPr>
            </w:pPr>
          </w:p>
        </w:tc>
        <w:tc>
          <w:tcPr>
            <w:tcW w:w="636" w:type="dxa"/>
            <w:shd w:val="clear" w:color="auto" w:fill="auto"/>
            <w:vAlign w:val="center"/>
          </w:tcPr>
          <w:p w14:paraId="21509D0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10.74</w:t>
            </w:r>
          </w:p>
        </w:tc>
        <w:tc>
          <w:tcPr>
            <w:tcW w:w="399" w:type="dxa"/>
            <w:shd w:val="clear" w:color="auto" w:fill="auto"/>
            <w:vAlign w:val="center"/>
          </w:tcPr>
          <w:p w14:paraId="21509D0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shd w:val="clear" w:color="auto" w:fill="auto"/>
            <w:vAlign w:val="center"/>
          </w:tcPr>
          <w:p w14:paraId="21509D0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270" w:type="dxa"/>
            <w:shd w:val="clear" w:color="auto" w:fill="auto"/>
            <w:vAlign w:val="center"/>
          </w:tcPr>
          <w:p w14:paraId="21509D0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55" w:type="dxa"/>
            <w:shd w:val="clear" w:color="auto" w:fill="auto"/>
            <w:vAlign w:val="center"/>
          </w:tcPr>
          <w:p w14:paraId="21509D0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1.70</w:t>
            </w:r>
          </w:p>
        </w:tc>
        <w:tc>
          <w:tcPr>
            <w:tcW w:w="400" w:type="dxa"/>
            <w:shd w:val="clear" w:color="auto" w:fill="auto"/>
            <w:vAlign w:val="center"/>
          </w:tcPr>
          <w:p w14:paraId="21509D0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shd w:val="clear" w:color="auto" w:fill="auto"/>
            <w:vAlign w:val="center"/>
          </w:tcPr>
          <w:p w14:paraId="21509D0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0.22</w:t>
            </w:r>
          </w:p>
        </w:tc>
        <w:tc>
          <w:tcPr>
            <w:tcW w:w="249" w:type="dxa"/>
            <w:shd w:val="clear" w:color="auto" w:fill="auto"/>
            <w:vAlign w:val="center"/>
          </w:tcPr>
          <w:p w14:paraId="21509D0D" w14:textId="77777777" w:rsidR="00E7693B" w:rsidRPr="00E7693B" w:rsidRDefault="00E7693B">
            <w:pPr>
              <w:jc w:val="center"/>
              <w:rPr>
                <w:rFonts w:ascii="Times New Roman" w:hAnsi="Times New Roman" w:cs="Times New Roman"/>
                <w:color w:val="000000"/>
              </w:rPr>
            </w:pPr>
          </w:p>
        </w:tc>
        <w:tc>
          <w:tcPr>
            <w:tcW w:w="949" w:type="dxa"/>
            <w:shd w:val="clear" w:color="auto" w:fill="auto"/>
            <w:vAlign w:val="center"/>
          </w:tcPr>
          <w:p w14:paraId="21509D0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r w:rsidR="00E7693B" w:rsidRPr="00E7693B" w14:paraId="21509D1E" w14:textId="77777777">
        <w:trPr>
          <w:trHeight w:val="868"/>
        </w:trPr>
        <w:tc>
          <w:tcPr>
            <w:tcW w:w="2228" w:type="dxa"/>
            <w:shd w:val="clear" w:color="auto" w:fill="auto"/>
            <w:vAlign w:val="center"/>
          </w:tcPr>
          <w:p w14:paraId="21509D10"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Glucoibarin</w:t>
            </w:r>
            <w:proofErr w:type="spellEnd"/>
            <w:r w:rsidRPr="00E7693B">
              <w:rPr>
                <w:rFonts w:ascii="Times New Roman" w:hAnsi="Times New Roman" w:cs="Times New Roman"/>
                <w:color w:val="000000"/>
              </w:rPr>
              <w:t xml:space="preserve"> (7-methylsulfinylheptyl, 7-msh)</w:t>
            </w:r>
          </w:p>
        </w:tc>
        <w:tc>
          <w:tcPr>
            <w:tcW w:w="635" w:type="dxa"/>
            <w:shd w:val="clear" w:color="auto" w:fill="auto"/>
            <w:vAlign w:val="center"/>
          </w:tcPr>
          <w:p w14:paraId="21509D1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0.85</w:t>
            </w:r>
          </w:p>
        </w:tc>
        <w:tc>
          <w:tcPr>
            <w:tcW w:w="529" w:type="dxa"/>
            <w:shd w:val="clear" w:color="auto" w:fill="auto"/>
            <w:vAlign w:val="center"/>
          </w:tcPr>
          <w:p w14:paraId="21509D1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shd w:val="clear" w:color="auto" w:fill="auto"/>
            <w:vAlign w:val="center"/>
          </w:tcPr>
          <w:p w14:paraId="21509D1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0.57</w:t>
            </w:r>
          </w:p>
        </w:tc>
        <w:tc>
          <w:tcPr>
            <w:tcW w:w="552" w:type="dxa"/>
            <w:shd w:val="clear" w:color="auto" w:fill="auto"/>
            <w:vAlign w:val="center"/>
          </w:tcPr>
          <w:p w14:paraId="21509D14" w14:textId="77777777" w:rsidR="00E7693B" w:rsidRPr="00E7693B" w:rsidRDefault="00E7693B">
            <w:pPr>
              <w:jc w:val="center"/>
              <w:rPr>
                <w:rFonts w:ascii="Times New Roman" w:hAnsi="Times New Roman" w:cs="Times New Roman"/>
                <w:color w:val="000000"/>
              </w:rPr>
            </w:pPr>
          </w:p>
        </w:tc>
        <w:tc>
          <w:tcPr>
            <w:tcW w:w="636" w:type="dxa"/>
            <w:shd w:val="clear" w:color="auto" w:fill="auto"/>
            <w:vAlign w:val="center"/>
          </w:tcPr>
          <w:p w14:paraId="21509D1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8.71</w:t>
            </w:r>
          </w:p>
        </w:tc>
        <w:tc>
          <w:tcPr>
            <w:tcW w:w="399" w:type="dxa"/>
            <w:shd w:val="clear" w:color="auto" w:fill="auto"/>
            <w:vAlign w:val="center"/>
          </w:tcPr>
          <w:p w14:paraId="21509D1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shd w:val="clear" w:color="auto" w:fill="auto"/>
            <w:vAlign w:val="center"/>
          </w:tcPr>
          <w:p w14:paraId="21509D1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270" w:type="dxa"/>
            <w:shd w:val="clear" w:color="auto" w:fill="auto"/>
            <w:vAlign w:val="center"/>
          </w:tcPr>
          <w:p w14:paraId="21509D1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55" w:type="dxa"/>
            <w:shd w:val="clear" w:color="auto" w:fill="auto"/>
            <w:vAlign w:val="center"/>
          </w:tcPr>
          <w:p w14:paraId="21509D1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5.63</w:t>
            </w:r>
          </w:p>
        </w:tc>
        <w:tc>
          <w:tcPr>
            <w:tcW w:w="400" w:type="dxa"/>
            <w:shd w:val="clear" w:color="auto" w:fill="auto"/>
            <w:vAlign w:val="center"/>
          </w:tcPr>
          <w:p w14:paraId="21509D1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shd w:val="clear" w:color="auto" w:fill="auto"/>
            <w:vAlign w:val="center"/>
          </w:tcPr>
          <w:p w14:paraId="21509D1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249" w:type="dxa"/>
            <w:shd w:val="clear" w:color="auto" w:fill="auto"/>
            <w:vAlign w:val="center"/>
          </w:tcPr>
          <w:p w14:paraId="21509D1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49" w:type="dxa"/>
            <w:shd w:val="clear" w:color="auto" w:fill="auto"/>
            <w:vAlign w:val="center"/>
          </w:tcPr>
          <w:p w14:paraId="21509D1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r w:rsidR="00E7693B" w:rsidRPr="00E7693B" w14:paraId="21509D2D" w14:textId="77777777">
        <w:trPr>
          <w:trHeight w:val="868"/>
        </w:trPr>
        <w:tc>
          <w:tcPr>
            <w:tcW w:w="2228" w:type="dxa"/>
            <w:shd w:val="clear" w:color="auto" w:fill="auto"/>
            <w:vAlign w:val="center"/>
          </w:tcPr>
          <w:p w14:paraId="21509D1F"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aliphatic (AG)</w:t>
            </w:r>
          </w:p>
        </w:tc>
        <w:tc>
          <w:tcPr>
            <w:tcW w:w="635" w:type="dxa"/>
            <w:shd w:val="clear" w:color="auto" w:fill="auto"/>
            <w:vAlign w:val="center"/>
          </w:tcPr>
          <w:p w14:paraId="21509D2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0.82</w:t>
            </w:r>
          </w:p>
        </w:tc>
        <w:tc>
          <w:tcPr>
            <w:tcW w:w="529" w:type="dxa"/>
            <w:shd w:val="clear" w:color="auto" w:fill="auto"/>
            <w:vAlign w:val="center"/>
          </w:tcPr>
          <w:p w14:paraId="21509D2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shd w:val="clear" w:color="auto" w:fill="auto"/>
            <w:vAlign w:val="center"/>
          </w:tcPr>
          <w:p w14:paraId="21509D2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0.57</w:t>
            </w:r>
          </w:p>
        </w:tc>
        <w:tc>
          <w:tcPr>
            <w:tcW w:w="552" w:type="dxa"/>
            <w:shd w:val="clear" w:color="auto" w:fill="auto"/>
            <w:vAlign w:val="center"/>
          </w:tcPr>
          <w:p w14:paraId="21509D23" w14:textId="77777777" w:rsidR="00E7693B" w:rsidRPr="00E7693B" w:rsidRDefault="00E7693B">
            <w:pPr>
              <w:jc w:val="center"/>
              <w:rPr>
                <w:rFonts w:ascii="Times New Roman" w:hAnsi="Times New Roman" w:cs="Times New Roman"/>
                <w:color w:val="000000"/>
              </w:rPr>
            </w:pPr>
          </w:p>
        </w:tc>
        <w:tc>
          <w:tcPr>
            <w:tcW w:w="636" w:type="dxa"/>
            <w:shd w:val="clear" w:color="auto" w:fill="auto"/>
            <w:vAlign w:val="center"/>
          </w:tcPr>
          <w:p w14:paraId="21509D2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11.24</w:t>
            </w:r>
          </w:p>
        </w:tc>
        <w:tc>
          <w:tcPr>
            <w:tcW w:w="399" w:type="dxa"/>
            <w:shd w:val="clear" w:color="auto" w:fill="auto"/>
            <w:vAlign w:val="center"/>
          </w:tcPr>
          <w:p w14:paraId="21509D2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shd w:val="clear" w:color="auto" w:fill="auto"/>
            <w:vAlign w:val="center"/>
          </w:tcPr>
          <w:p w14:paraId="21509D2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270" w:type="dxa"/>
            <w:shd w:val="clear" w:color="auto" w:fill="auto"/>
            <w:vAlign w:val="center"/>
          </w:tcPr>
          <w:p w14:paraId="21509D2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55" w:type="dxa"/>
            <w:shd w:val="clear" w:color="auto" w:fill="auto"/>
            <w:vAlign w:val="center"/>
          </w:tcPr>
          <w:p w14:paraId="21509D2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1.58</w:t>
            </w:r>
          </w:p>
        </w:tc>
        <w:tc>
          <w:tcPr>
            <w:tcW w:w="400" w:type="dxa"/>
            <w:shd w:val="clear" w:color="auto" w:fill="auto"/>
            <w:vAlign w:val="center"/>
          </w:tcPr>
          <w:p w14:paraId="21509D2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shd w:val="clear" w:color="auto" w:fill="auto"/>
            <w:vAlign w:val="center"/>
          </w:tcPr>
          <w:p w14:paraId="21509D2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0.22</w:t>
            </w:r>
          </w:p>
        </w:tc>
        <w:tc>
          <w:tcPr>
            <w:tcW w:w="249" w:type="dxa"/>
            <w:shd w:val="clear" w:color="auto" w:fill="auto"/>
            <w:vAlign w:val="center"/>
          </w:tcPr>
          <w:p w14:paraId="21509D2B" w14:textId="77777777" w:rsidR="00E7693B" w:rsidRPr="00E7693B" w:rsidRDefault="00E7693B">
            <w:pPr>
              <w:jc w:val="center"/>
              <w:rPr>
                <w:rFonts w:ascii="Times New Roman" w:hAnsi="Times New Roman" w:cs="Times New Roman"/>
                <w:color w:val="000000"/>
              </w:rPr>
            </w:pPr>
          </w:p>
        </w:tc>
        <w:tc>
          <w:tcPr>
            <w:tcW w:w="949" w:type="dxa"/>
            <w:shd w:val="clear" w:color="auto" w:fill="auto"/>
            <w:vAlign w:val="center"/>
          </w:tcPr>
          <w:p w14:paraId="21509D2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r w:rsidR="00E7693B" w:rsidRPr="00E7693B" w14:paraId="21509D3C" w14:textId="77777777">
        <w:trPr>
          <w:trHeight w:val="1091"/>
        </w:trPr>
        <w:tc>
          <w:tcPr>
            <w:tcW w:w="2228" w:type="dxa"/>
            <w:shd w:val="clear" w:color="auto" w:fill="auto"/>
            <w:vAlign w:val="center"/>
          </w:tcPr>
          <w:p w14:paraId="21509D2E"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Gluconasturtiin</w:t>
            </w:r>
            <w:proofErr w:type="spellEnd"/>
            <w:r w:rsidRPr="00E7693B">
              <w:rPr>
                <w:rFonts w:ascii="Times New Roman" w:hAnsi="Times New Roman" w:cs="Times New Roman"/>
                <w:color w:val="000000"/>
              </w:rPr>
              <w:t xml:space="preserve"> (2-phenylethyl, 2-pe)</w:t>
            </w:r>
          </w:p>
        </w:tc>
        <w:tc>
          <w:tcPr>
            <w:tcW w:w="635" w:type="dxa"/>
            <w:shd w:val="clear" w:color="auto" w:fill="auto"/>
            <w:vAlign w:val="center"/>
          </w:tcPr>
          <w:p w14:paraId="21509D2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0.76</w:t>
            </w:r>
          </w:p>
        </w:tc>
        <w:tc>
          <w:tcPr>
            <w:tcW w:w="529" w:type="dxa"/>
            <w:shd w:val="clear" w:color="auto" w:fill="auto"/>
            <w:vAlign w:val="center"/>
          </w:tcPr>
          <w:p w14:paraId="21509D3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shd w:val="clear" w:color="auto" w:fill="auto"/>
            <w:vAlign w:val="center"/>
          </w:tcPr>
          <w:p w14:paraId="21509D3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0.57</w:t>
            </w:r>
          </w:p>
        </w:tc>
        <w:tc>
          <w:tcPr>
            <w:tcW w:w="552" w:type="dxa"/>
            <w:shd w:val="clear" w:color="auto" w:fill="auto"/>
            <w:vAlign w:val="center"/>
          </w:tcPr>
          <w:p w14:paraId="21509D32" w14:textId="77777777" w:rsidR="00E7693B" w:rsidRPr="00E7693B" w:rsidRDefault="00E7693B">
            <w:pPr>
              <w:jc w:val="center"/>
              <w:rPr>
                <w:rFonts w:ascii="Times New Roman" w:hAnsi="Times New Roman" w:cs="Times New Roman"/>
                <w:color w:val="000000"/>
              </w:rPr>
            </w:pPr>
          </w:p>
        </w:tc>
        <w:tc>
          <w:tcPr>
            <w:tcW w:w="636" w:type="dxa"/>
            <w:shd w:val="clear" w:color="auto" w:fill="auto"/>
            <w:vAlign w:val="center"/>
          </w:tcPr>
          <w:p w14:paraId="21509D3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399" w:type="dxa"/>
            <w:shd w:val="clear" w:color="auto" w:fill="auto"/>
            <w:vAlign w:val="center"/>
          </w:tcPr>
          <w:p w14:paraId="21509D3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shd w:val="clear" w:color="auto" w:fill="auto"/>
            <w:vAlign w:val="center"/>
          </w:tcPr>
          <w:p w14:paraId="21509D3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0.92</w:t>
            </w:r>
          </w:p>
        </w:tc>
        <w:tc>
          <w:tcPr>
            <w:tcW w:w="270" w:type="dxa"/>
            <w:shd w:val="clear" w:color="auto" w:fill="auto"/>
            <w:vAlign w:val="center"/>
          </w:tcPr>
          <w:p w14:paraId="21509D36" w14:textId="77777777" w:rsidR="00E7693B" w:rsidRPr="00E7693B" w:rsidRDefault="00E7693B">
            <w:pPr>
              <w:jc w:val="center"/>
              <w:rPr>
                <w:rFonts w:ascii="Times New Roman" w:hAnsi="Times New Roman" w:cs="Times New Roman"/>
                <w:color w:val="000000"/>
              </w:rPr>
            </w:pPr>
          </w:p>
        </w:tc>
        <w:tc>
          <w:tcPr>
            <w:tcW w:w="655" w:type="dxa"/>
            <w:shd w:val="clear" w:color="auto" w:fill="auto"/>
            <w:vAlign w:val="center"/>
          </w:tcPr>
          <w:p w14:paraId="21509D3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2.22</w:t>
            </w:r>
          </w:p>
        </w:tc>
        <w:tc>
          <w:tcPr>
            <w:tcW w:w="400" w:type="dxa"/>
            <w:shd w:val="clear" w:color="auto" w:fill="auto"/>
            <w:vAlign w:val="center"/>
          </w:tcPr>
          <w:p w14:paraId="21509D3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shd w:val="clear" w:color="auto" w:fill="auto"/>
            <w:vAlign w:val="center"/>
          </w:tcPr>
          <w:p w14:paraId="21509D3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0.20</w:t>
            </w:r>
          </w:p>
        </w:tc>
        <w:tc>
          <w:tcPr>
            <w:tcW w:w="249" w:type="dxa"/>
            <w:shd w:val="clear" w:color="auto" w:fill="auto"/>
            <w:vAlign w:val="center"/>
          </w:tcPr>
          <w:p w14:paraId="21509D3A" w14:textId="77777777" w:rsidR="00E7693B" w:rsidRPr="00E7693B" w:rsidRDefault="00E7693B">
            <w:pPr>
              <w:jc w:val="center"/>
              <w:rPr>
                <w:rFonts w:ascii="Times New Roman" w:hAnsi="Times New Roman" w:cs="Times New Roman"/>
                <w:color w:val="000000"/>
              </w:rPr>
            </w:pPr>
          </w:p>
        </w:tc>
        <w:tc>
          <w:tcPr>
            <w:tcW w:w="949" w:type="dxa"/>
            <w:shd w:val="clear" w:color="auto" w:fill="auto"/>
            <w:vAlign w:val="center"/>
          </w:tcPr>
          <w:p w14:paraId="21509D3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r w:rsidR="00E7693B" w:rsidRPr="00E7693B" w14:paraId="21509D4B" w14:textId="77777777">
        <w:trPr>
          <w:trHeight w:val="1091"/>
        </w:trPr>
        <w:tc>
          <w:tcPr>
            <w:tcW w:w="2228" w:type="dxa"/>
            <w:shd w:val="clear" w:color="auto" w:fill="auto"/>
            <w:vAlign w:val="center"/>
          </w:tcPr>
          <w:p w14:paraId="21509D3D"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Glucobrassicin</w:t>
            </w:r>
            <w:proofErr w:type="spellEnd"/>
            <w:r w:rsidRPr="00E7693B">
              <w:rPr>
                <w:rFonts w:ascii="Times New Roman" w:hAnsi="Times New Roman" w:cs="Times New Roman"/>
                <w:color w:val="000000"/>
              </w:rPr>
              <w:t xml:space="preserve"> (indol-3-ylmethyl, I3M)</w:t>
            </w:r>
          </w:p>
        </w:tc>
        <w:tc>
          <w:tcPr>
            <w:tcW w:w="635" w:type="dxa"/>
            <w:shd w:val="clear" w:color="auto" w:fill="auto"/>
            <w:vAlign w:val="center"/>
          </w:tcPr>
          <w:p w14:paraId="21509D3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37.14</w:t>
            </w:r>
          </w:p>
        </w:tc>
        <w:tc>
          <w:tcPr>
            <w:tcW w:w="529" w:type="dxa"/>
            <w:shd w:val="clear" w:color="auto" w:fill="auto"/>
            <w:vAlign w:val="center"/>
          </w:tcPr>
          <w:p w14:paraId="21509D3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shd w:val="clear" w:color="auto" w:fill="auto"/>
            <w:vAlign w:val="center"/>
          </w:tcPr>
          <w:p w14:paraId="21509D4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52" w:type="dxa"/>
            <w:shd w:val="clear" w:color="auto" w:fill="auto"/>
            <w:vAlign w:val="center"/>
          </w:tcPr>
          <w:p w14:paraId="21509D4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36" w:type="dxa"/>
            <w:shd w:val="clear" w:color="auto" w:fill="auto"/>
            <w:vAlign w:val="center"/>
          </w:tcPr>
          <w:p w14:paraId="21509D4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0.29</w:t>
            </w:r>
          </w:p>
        </w:tc>
        <w:tc>
          <w:tcPr>
            <w:tcW w:w="399" w:type="dxa"/>
            <w:shd w:val="clear" w:color="auto" w:fill="auto"/>
            <w:vAlign w:val="center"/>
          </w:tcPr>
          <w:p w14:paraId="21509D4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shd w:val="clear" w:color="auto" w:fill="auto"/>
            <w:vAlign w:val="center"/>
          </w:tcPr>
          <w:p w14:paraId="21509D4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0.79</w:t>
            </w:r>
          </w:p>
        </w:tc>
        <w:tc>
          <w:tcPr>
            <w:tcW w:w="270" w:type="dxa"/>
            <w:shd w:val="clear" w:color="auto" w:fill="auto"/>
            <w:vAlign w:val="center"/>
          </w:tcPr>
          <w:p w14:paraId="21509D45" w14:textId="77777777" w:rsidR="00E7693B" w:rsidRPr="00E7693B" w:rsidRDefault="00E7693B">
            <w:pPr>
              <w:jc w:val="center"/>
              <w:rPr>
                <w:rFonts w:ascii="Times New Roman" w:hAnsi="Times New Roman" w:cs="Times New Roman"/>
                <w:color w:val="000000"/>
              </w:rPr>
            </w:pPr>
          </w:p>
        </w:tc>
        <w:tc>
          <w:tcPr>
            <w:tcW w:w="655" w:type="dxa"/>
            <w:shd w:val="clear" w:color="auto" w:fill="auto"/>
            <w:vAlign w:val="center"/>
          </w:tcPr>
          <w:p w14:paraId="21509D4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4.89</w:t>
            </w:r>
          </w:p>
        </w:tc>
        <w:tc>
          <w:tcPr>
            <w:tcW w:w="400" w:type="dxa"/>
            <w:shd w:val="clear" w:color="auto" w:fill="auto"/>
            <w:vAlign w:val="center"/>
          </w:tcPr>
          <w:p w14:paraId="21509D4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shd w:val="clear" w:color="auto" w:fill="auto"/>
            <w:vAlign w:val="center"/>
          </w:tcPr>
          <w:p w14:paraId="21509D4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0.03</w:t>
            </w:r>
          </w:p>
        </w:tc>
        <w:tc>
          <w:tcPr>
            <w:tcW w:w="249" w:type="dxa"/>
            <w:shd w:val="clear" w:color="auto" w:fill="auto"/>
            <w:vAlign w:val="center"/>
          </w:tcPr>
          <w:p w14:paraId="21509D4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49" w:type="dxa"/>
            <w:shd w:val="clear" w:color="auto" w:fill="auto"/>
            <w:vAlign w:val="center"/>
          </w:tcPr>
          <w:p w14:paraId="21509D4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r w:rsidR="00E7693B" w:rsidRPr="00E7693B" w14:paraId="21509D5B" w14:textId="77777777">
        <w:trPr>
          <w:trHeight w:val="1091"/>
        </w:trPr>
        <w:tc>
          <w:tcPr>
            <w:tcW w:w="2228" w:type="dxa"/>
            <w:shd w:val="clear" w:color="auto" w:fill="auto"/>
            <w:vAlign w:val="center"/>
          </w:tcPr>
          <w:p w14:paraId="21509D4C"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4-methoxygluco</w:t>
            </w:r>
          </w:p>
          <w:p w14:paraId="21509D4D"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brassicin</w:t>
            </w:r>
            <w:proofErr w:type="spellEnd"/>
            <w:r w:rsidRPr="00E7693B">
              <w:rPr>
                <w:rFonts w:ascii="Times New Roman" w:hAnsi="Times New Roman" w:cs="Times New Roman"/>
                <w:color w:val="000000"/>
              </w:rPr>
              <w:t xml:space="preserve"> (4-methoxyindol-3-ylmethyl, 4MOI3M)</w:t>
            </w:r>
          </w:p>
        </w:tc>
        <w:tc>
          <w:tcPr>
            <w:tcW w:w="635" w:type="dxa"/>
            <w:shd w:val="clear" w:color="auto" w:fill="auto"/>
            <w:vAlign w:val="center"/>
          </w:tcPr>
          <w:p w14:paraId="21509D4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529" w:type="dxa"/>
            <w:shd w:val="clear" w:color="auto" w:fill="auto"/>
            <w:vAlign w:val="center"/>
          </w:tcPr>
          <w:p w14:paraId="21509D4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shd w:val="clear" w:color="auto" w:fill="auto"/>
            <w:vAlign w:val="center"/>
          </w:tcPr>
          <w:p w14:paraId="21509D5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0.57</w:t>
            </w:r>
          </w:p>
        </w:tc>
        <w:tc>
          <w:tcPr>
            <w:tcW w:w="552" w:type="dxa"/>
            <w:shd w:val="clear" w:color="auto" w:fill="auto"/>
            <w:vAlign w:val="center"/>
          </w:tcPr>
          <w:p w14:paraId="21509D51" w14:textId="77777777" w:rsidR="00E7693B" w:rsidRPr="00E7693B" w:rsidRDefault="00E7693B">
            <w:pPr>
              <w:jc w:val="center"/>
              <w:rPr>
                <w:rFonts w:ascii="Times New Roman" w:hAnsi="Times New Roman" w:cs="Times New Roman"/>
                <w:color w:val="000000"/>
              </w:rPr>
            </w:pPr>
          </w:p>
        </w:tc>
        <w:tc>
          <w:tcPr>
            <w:tcW w:w="636" w:type="dxa"/>
            <w:shd w:val="clear" w:color="auto" w:fill="auto"/>
            <w:vAlign w:val="center"/>
          </w:tcPr>
          <w:p w14:paraId="21509D5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5.09</w:t>
            </w:r>
          </w:p>
        </w:tc>
        <w:tc>
          <w:tcPr>
            <w:tcW w:w="399" w:type="dxa"/>
            <w:shd w:val="clear" w:color="auto" w:fill="auto"/>
            <w:vAlign w:val="center"/>
          </w:tcPr>
          <w:p w14:paraId="21509D5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shd w:val="clear" w:color="auto" w:fill="auto"/>
            <w:vAlign w:val="center"/>
          </w:tcPr>
          <w:p w14:paraId="21509D5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0.08</w:t>
            </w:r>
          </w:p>
        </w:tc>
        <w:tc>
          <w:tcPr>
            <w:tcW w:w="270" w:type="dxa"/>
            <w:shd w:val="clear" w:color="auto" w:fill="auto"/>
            <w:vAlign w:val="center"/>
          </w:tcPr>
          <w:p w14:paraId="21509D55" w14:textId="77777777" w:rsidR="00E7693B" w:rsidRPr="00E7693B" w:rsidRDefault="00E7693B">
            <w:pPr>
              <w:jc w:val="center"/>
              <w:rPr>
                <w:rFonts w:ascii="Times New Roman" w:hAnsi="Times New Roman" w:cs="Times New Roman"/>
                <w:color w:val="000000"/>
              </w:rPr>
            </w:pPr>
          </w:p>
        </w:tc>
        <w:tc>
          <w:tcPr>
            <w:tcW w:w="655" w:type="dxa"/>
            <w:shd w:val="clear" w:color="auto" w:fill="auto"/>
            <w:vAlign w:val="center"/>
          </w:tcPr>
          <w:p w14:paraId="21509D5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6.49</w:t>
            </w:r>
          </w:p>
        </w:tc>
        <w:tc>
          <w:tcPr>
            <w:tcW w:w="400" w:type="dxa"/>
            <w:shd w:val="clear" w:color="auto" w:fill="auto"/>
            <w:vAlign w:val="center"/>
          </w:tcPr>
          <w:p w14:paraId="21509D5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shd w:val="clear" w:color="auto" w:fill="auto"/>
            <w:vAlign w:val="center"/>
          </w:tcPr>
          <w:p w14:paraId="21509D5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249" w:type="dxa"/>
            <w:shd w:val="clear" w:color="auto" w:fill="auto"/>
            <w:vAlign w:val="center"/>
          </w:tcPr>
          <w:p w14:paraId="21509D5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49" w:type="dxa"/>
            <w:shd w:val="clear" w:color="auto" w:fill="auto"/>
            <w:vAlign w:val="center"/>
          </w:tcPr>
          <w:p w14:paraId="21509D5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r w:rsidR="00E7693B" w:rsidRPr="00E7693B" w14:paraId="21509D6A" w14:textId="77777777">
        <w:trPr>
          <w:trHeight w:val="1091"/>
        </w:trPr>
        <w:tc>
          <w:tcPr>
            <w:tcW w:w="2228" w:type="dxa"/>
            <w:shd w:val="clear" w:color="auto" w:fill="auto"/>
            <w:vAlign w:val="center"/>
          </w:tcPr>
          <w:p w14:paraId="21509D5C"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Neoglucobrassicin</w:t>
            </w:r>
            <w:proofErr w:type="spellEnd"/>
            <w:r w:rsidRPr="00E7693B">
              <w:rPr>
                <w:rFonts w:ascii="Times New Roman" w:hAnsi="Times New Roman" w:cs="Times New Roman"/>
                <w:color w:val="000000"/>
              </w:rPr>
              <w:t xml:space="preserve"> (N-methoxyindol-3-ylmethyl, NMOI3M)</w:t>
            </w:r>
          </w:p>
        </w:tc>
        <w:tc>
          <w:tcPr>
            <w:tcW w:w="635" w:type="dxa"/>
            <w:shd w:val="clear" w:color="auto" w:fill="auto"/>
            <w:vAlign w:val="center"/>
          </w:tcPr>
          <w:p w14:paraId="21509D5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71.50</w:t>
            </w:r>
          </w:p>
        </w:tc>
        <w:tc>
          <w:tcPr>
            <w:tcW w:w="529" w:type="dxa"/>
            <w:shd w:val="clear" w:color="auto" w:fill="auto"/>
            <w:vAlign w:val="center"/>
          </w:tcPr>
          <w:p w14:paraId="21509D5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shd w:val="clear" w:color="auto" w:fill="auto"/>
            <w:vAlign w:val="center"/>
          </w:tcPr>
          <w:p w14:paraId="21509D5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52" w:type="dxa"/>
            <w:shd w:val="clear" w:color="auto" w:fill="auto"/>
            <w:vAlign w:val="center"/>
          </w:tcPr>
          <w:p w14:paraId="21509D6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36" w:type="dxa"/>
            <w:shd w:val="clear" w:color="auto" w:fill="auto"/>
            <w:vAlign w:val="center"/>
          </w:tcPr>
          <w:p w14:paraId="21509D6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399" w:type="dxa"/>
            <w:shd w:val="clear" w:color="auto" w:fill="auto"/>
            <w:vAlign w:val="center"/>
          </w:tcPr>
          <w:p w14:paraId="21509D6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shd w:val="clear" w:color="auto" w:fill="auto"/>
            <w:vAlign w:val="center"/>
          </w:tcPr>
          <w:p w14:paraId="21509D6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0.92</w:t>
            </w:r>
          </w:p>
        </w:tc>
        <w:tc>
          <w:tcPr>
            <w:tcW w:w="270" w:type="dxa"/>
            <w:shd w:val="clear" w:color="auto" w:fill="auto"/>
            <w:vAlign w:val="center"/>
          </w:tcPr>
          <w:p w14:paraId="21509D64" w14:textId="77777777" w:rsidR="00E7693B" w:rsidRPr="00E7693B" w:rsidRDefault="00E7693B">
            <w:pPr>
              <w:jc w:val="center"/>
              <w:rPr>
                <w:rFonts w:ascii="Times New Roman" w:hAnsi="Times New Roman" w:cs="Times New Roman"/>
                <w:color w:val="000000"/>
              </w:rPr>
            </w:pPr>
          </w:p>
        </w:tc>
        <w:tc>
          <w:tcPr>
            <w:tcW w:w="655" w:type="dxa"/>
            <w:shd w:val="clear" w:color="auto" w:fill="auto"/>
            <w:vAlign w:val="center"/>
          </w:tcPr>
          <w:p w14:paraId="21509D6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1.68</w:t>
            </w:r>
          </w:p>
        </w:tc>
        <w:tc>
          <w:tcPr>
            <w:tcW w:w="400" w:type="dxa"/>
            <w:shd w:val="clear" w:color="auto" w:fill="auto"/>
            <w:vAlign w:val="center"/>
          </w:tcPr>
          <w:p w14:paraId="21509D6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shd w:val="clear" w:color="auto" w:fill="auto"/>
            <w:vAlign w:val="center"/>
          </w:tcPr>
          <w:p w14:paraId="21509D6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0.22</w:t>
            </w:r>
          </w:p>
        </w:tc>
        <w:tc>
          <w:tcPr>
            <w:tcW w:w="249" w:type="dxa"/>
            <w:shd w:val="clear" w:color="auto" w:fill="auto"/>
            <w:vAlign w:val="center"/>
          </w:tcPr>
          <w:p w14:paraId="21509D68" w14:textId="77777777" w:rsidR="00E7693B" w:rsidRPr="00E7693B" w:rsidRDefault="00E7693B">
            <w:pPr>
              <w:jc w:val="center"/>
              <w:rPr>
                <w:rFonts w:ascii="Times New Roman" w:hAnsi="Times New Roman" w:cs="Times New Roman"/>
                <w:color w:val="000000"/>
              </w:rPr>
            </w:pPr>
          </w:p>
        </w:tc>
        <w:tc>
          <w:tcPr>
            <w:tcW w:w="949" w:type="dxa"/>
            <w:shd w:val="clear" w:color="auto" w:fill="auto"/>
            <w:vAlign w:val="center"/>
          </w:tcPr>
          <w:p w14:paraId="21509D6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r w:rsidR="00E7693B" w:rsidRPr="00E7693B" w14:paraId="21509D79" w14:textId="77777777">
        <w:trPr>
          <w:trHeight w:val="811"/>
        </w:trPr>
        <w:tc>
          <w:tcPr>
            <w:tcW w:w="2228" w:type="dxa"/>
            <w:shd w:val="clear" w:color="auto" w:fill="auto"/>
            <w:vAlign w:val="center"/>
          </w:tcPr>
          <w:p w14:paraId="21509D6B"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indole (IG)</w:t>
            </w:r>
          </w:p>
        </w:tc>
        <w:tc>
          <w:tcPr>
            <w:tcW w:w="635" w:type="dxa"/>
            <w:shd w:val="clear" w:color="auto" w:fill="auto"/>
            <w:vAlign w:val="center"/>
          </w:tcPr>
          <w:p w14:paraId="21509D6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54.37</w:t>
            </w:r>
          </w:p>
        </w:tc>
        <w:tc>
          <w:tcPr>
            <w:tcW w:w="529" w:type="dxa"/>
            <w:shd w:val="clear" w:color="auto" w:fill="auto"/>
            <w:vAlign w:val="center"/>
          </w:tcPr>
          <w:p w14:paraId="21509D6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shd w:val="clear" w:color="auto" w:fill="auto"/>
            <w:vAlign w:val="center"/>
          </w:tcPr>
          <w:p w14:paraId="21509D6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52" w:type="dxa"/>
            <w:shd w:val="clear" w:color="auto" w:fill="auto"/>
            <w:vAlign w:val="center"/>
          </w:tcPr>
          <w:p w14:paraId="21509D6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36" w:type="dxa"/>
            <w:shd w:val="clear" w:color="auto" w:fill="auto"/>
            <w:vAlign w:val="center"/>
          </w:tcPr>
          <w:p w14:paraId="21509D7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399" w:type="dxa"/>
            <w:shd w:val="clear" w:color="auto" w:fill="auto"/>
            <w:vAlign w:val="center"/>
          </w:tcPr>
          <w:p w14:paraId="21509D7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shd w:val="clear" w:color="auto" w:fill="auto"/>
            <w:vAlign w:val="center"/>
          </w:tcPr>
          <w:p w14:paraId="21509D7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0.92</w:t>
            </w:r>
          </w:p>
        </w:tc>
        <w:tc>
          <w:tcPr>
            <w:tcW w:w="270" w:type="dxa"/>
            <w:shd w:val="clear" w:color="auto" w:fill="auto"/>
            <w:vAlign w:val="center"/>
          </w:tcPr>
          <w:p w14:paraId="21509D73" w14:textId="77777777" w:rsidR="00E7693B" w:rsidRPr="00E7693B" w:rsidRDefault="00E7693B">
            <w:pPr>
              <w:jc w:val="center"/>
              <w:rPr>
                <w:rFonts w:ascii="Times New Roman" w:hAnsi="Times New Roman" w:cs="Times New Roman"/>
                <w:color w:val="000000"/>
              </w:rPr>
            </w:pPr>
          </w:p>
        </w:tc>
        <w:tc>
          <w:tcPr>
            <w:tcW w:w="655" w:type="dxa"/>
            <w:shd w:val="clear" w:color="auto" w:fill="auto"/>
            <w:vAlign w:val="center"/>
          </w:tcPr>
          <w:p w14:paraId="21509D7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1.86</w:t>
            </w:r>
          </w:p>
        </w:tc>
        <w:tc>
          <w:tcPr>
            <w:tcW w:w="400" w:type="dxa"/>
            <w:shd w:val="clear" w:color="auto" w:fill="auto"/>
            <w:vAlign w:val="center"/>
          </w:tcPr>
          <w:p w14:paraId="21509D7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shd w:val="clear" w:color="auto" w:fill="auto"/>
            <w:vAlign w:val="center"/>
          </w:tcPr>
          <w:p w14:paraId="21509D7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0.22</w:t>
            </w:r>
          </w:p>
        </w:tc>
        <w:tc>
          <w:tcPr>
            <w:tcW w:w="249" w:type="dxa"/>
            <w:shd w:val="clear" w:color="auto" w:fill="auto"/>
            <w:vAlign w:val="center"/>
          </w:tcPr>
          <w:p w14:paraId="21509D77" w14:textId="77777777" w:rsidR="00E7693B" w:rsidRPr="00E7693B" w:rsidRDefault="00E7693B">
            <w:pPr>
              <w:jc w:val="center"/>
              <w:rPr>
                <w:rFonts w:ascii="Times New Roman" w:hAnsi="Times New Roman" w:cs="Times New Roman"/>
                <w:color w:val="000000"/>
              </w:rPr>
            </w:pPr>
          </w:p>
        </w:tc>
        <w:tc>
          <w:tcPr>
            <w:tcW w:w="949" w:type="dxa"/>
            <w:shd w:val="clear" w:color="auto" w:fill="auto"/>
            <w:vAlign w:val="center"/>
          </w:tcPr>
          <w:p w14:paraId="21509D7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r w:rsidR="00E7693B" w:rsidRPr="00E7693B" w14:paraId="21509D88" w14:textId="77777777">
        <w:trPr>
          <w:trHeight w:val="811"/>
        </w:trPr>
        <w:tc>
          <w:tcPr>
            <w:tcW w:w="2228" w:type="dxa"/>
            <w:shd w:val="clear" w:color="auto" w:fill="auto"/>
            <w:vAlign w:val="center"/>
          </w:tcPr>
          <w:p w14:paraId="21509D7A"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GLS</w:t>
            </w:r>
          </w:p>
        </w:tc>
        <w:tc>
          <w:tcPr>
            <w:tcW w:w="635" w:type="dxa"/>
            <w:shd w:val="clear" w:color="auto" w:fill="auto"/>
            <w:vAlign w:val="center"/>
          </w:tcPr>
          <w:p w14:paraId="21509D7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48.10</w:t>
            </w:r>
          </w:p>
        </w:tc>
        <w:tc>
          <w:tcPr>
            <w:tcW w:w="529" w:type="dxa"/>
            <w:shd w:val="clear" w:color="auto" w:fill="auto"/>
            <w:vAlign w:val="center"/>
          </w:tcPr>
          <w:p w14:paraId="21509D7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5" w:type="dxa"/>
            <w:shd w:val="clear" w:color="auto" w:fill="auto"/>
            <w:vAlign w:val="center"/>
          </w:tcPr>
          <w:p w14:paraId="21509D7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52" w:type="dxa"/>
            <w:shd w:val="clear" w:color="auto" w:fill="auto"/>
            <w:vAlign w:val="center"/>
          </w:tcPr>
          <w:p w14:paraId="21509D7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36" w:type="dxa"/>
            <w:shd w:val="clear" w:color="auto" w:fill="auto"/>
            <w:vAlign w:val="center"/>
          </w:tcPr>
          <w:p w14:paraId="21509D7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0.30</w:t>
            </w:r>
          </w:p>
        </w:tc>
        <w:tc>
          <w:tcPr>
            <w:tcW w:w="399" w:type="dxa"/>
            <w:shd w:val="clear" w:color="auto" w:fill="auto"/>
            <w:vAlign w:val="center"/>
          </w:tcPr>
          <w:p w14:paraId="21509D8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7" w:type="dxa"/>
            <w:shd w:val="clear" w:color="auto" w:fill="auto"/>
            <w:vAlign w:val="center"/>
          </w:tcPr>
          <w:p w14:paraId="21509D8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0.79</w:t>
            </w:r>
          </w:p>
        </w:tc>
        <w:tc>
          <w:tcPr>
            <w:tcW w:w="270" w:type="dxa"/>
            <w:shd w:val="clear" w:color="auto" w:fill="auto"/>
            <w:vAlign w:val="center"/>
          </w:tcPr>
          <w:p w14:paraId="21509D82" w14:textId="77777777" w:rsidR="00E7693B" w:rsidRPr="00E7693B" w:rsidRDefault="00E7693B">
            <w:pPr>
              <w:jc w:val="center"/>
              <w:rPr>
                <w:rFonts w:ascii="Times New Roman" w:hAnsi="Times New Roman" w:cs="Times New Roman"/>
                <w:color w:val="000000"/>
              </w:rPr>
            </w:pPr>
          </w:p>
        </w:tc>
        <w:tc>
          <w:tcPr>
            <w:tcW w:w="655" w:type="dxa"/>
            <w:shd w:val="clear" w:color="auto" w:fill="auto"/>
            <w:vAlign w:val="center"/>
          </w:tcPr>
          <w:p w14:paraId="21509D8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2.07</w:t>
            </w:r>
          </w:p>
        </w:tc>
        <w:tc>
          <w:tcPr>
            <w:tcW w:w="400" w:type="dxa"/>
            <w:shd w:val="clear" w:color="auto" w:fill="auto"/>
            <w:vAlign w:val="center"/>
          </w:tcPr>
          <w:p w14:paraId="21509D8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w:t>
            </w:r>
          </w:p>
        </w:tc>
        <w:tc>
          <w:tcPr>
            <w:tcW w:w="527" w:type="dxa"/>
            <w:shd w:val="clear" w:color="auto" w:fill="auto"/>
            <w:vAlign w:val="center"/>
          </w:tcPr>
          <w:p w14:paraId="21509D8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0.20</w:t>
            </w:r>
          </w:p>
        </w:tc>
        <w:tc>
          <w:tcPr>
            <w:tcW w:w="249" w:type="dxa"/>
            <w:shd w:val="clear" w:color="auto" w:fill="auto"/>
            <w:vAlign w:val="center"/>
          </w:tcPr>
          <w:p w14:paraId="21509D86" w14:textId="77777777" w:rsidR="00E7693B" w:rsidRPr="00E7693B" w:rsidRDefault="00E7693B">
            <w:pPr>
              <w:jc w:val="center"/>
              <w:rPr>
                <w:rFonts w:ascii="Times New Roman" w:hAnsi="Times New Roman" w:cs="Times New Roman"/>
                <w:color w:val="000000"/>
              </w:rPr>
            </w:pPr>
          </w:p>
        </w:tc>
        <w:tc>
          <w:tcPr>
            <w:tcW w:w="949" w:type="dxa"/>
            <w:shd w:val="clear" w:color="auto" w:fill="auto"/>
            <w:vAlign w:val="center"/>
          </w:tcPr>
          <w:p w14:paraId="21509D8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bl>
    <w:p w14:paraId="21509D89" w14:textId="77777777" w:rsidR="00E7693B" w:rsidRPr="00E7693B" w:rsidRDefault="00E7693B">
      <w:pPr>
        <w:spacing w:after="240"/>
        <w:rPr>
          <w:rFonts w:ascii="Times New Roman" w:hAnsi="Times New Roman" w:cs="Times New Roman"/>
        </w:rPr>
      </w:pPr>
    </w:p>
    <w:p w14:paraId="21509D8A" w14:textId="622EBA9C" w:rsidR="00E7693B" w:rsidRPr="00E7693B" w:rsidRDefault="00E7693B" w:rsidP="00EC70C2">
      <w:pPr>
        <w:pStyle w:val="Heading4"/>
      </w:pPr>
      <w:bookmarkStart w:id="61" w:name="_Toc167977630"/>
      <w:r w:rsidRPr="00E7693B">
        <w:lastRenderedPageBreak/>
        <w:t xml:space="preserve">Inoculation with </w:t>
      </w:r>
      <w:r w:rsidRPr="00E7693B">
        <w:rPr>
          <w:i/>
          <w:color w:val="000000"/>
        </w:rPr>
        <w:t xml:space="preserve">Leptosphaeria </w:t>
      </w:r>
      <w:proofErr w:type="spellStart"/>
      <w:r w:rsidRPr="00E7693B">
        <w:rPr>
          <w:i/>
          <w:color w:val="000000"/>
        </w:rPr>
        <w:t>maculans</w:t>
      </w:r>
      <w:proofErr w:type="spellEnd"/>
      <w:r w:rsidRPr="00E7693B">
        <w:rPr>
          <w:color w:val="000000"/>
        </w:rPr>
        <w:t xml:space="preserve"> </w:t>
      </w:r>
      <w:r w:rsidRPr="00E7693B">
        <w:t xml:space="preserve">alters </w:t>
      </w:r>
      <w:r w:rsidR="00DF5653">
        <w:t xml:space="preserve">the </w:t>
      </w:r>
      <w:r w:rsidRPr="00E7693B">
        <w:t>volatile organic compound (VOC) profile in oilseed rape</w:t>
      </w:r>
      <w:r w:rsidRPr="00E7693B">
        <w:rPr>
          <w:i/>
        </w:rPr>
        <w:t xml:space="preserve"> </w:t>
      </w:r>
      <w:r w:rsidRPr="00E7693B">
        <w:t>leaves</w:t>
      </w:r>
      <w:bookmarkEnd w:id="61"/>
    </w:p>
    <w:p w14:paraId="21509D8B" w14:textId="77777777" w:rsidR="00E7693B" w:rsidRPr="00CF0A23" w:rsidRDefault="00E7693B" w:rsidP="00CF0A23">
      <w:pPr>
        <w:spacing w:after="0"/>
        <w:rPr>
          <w:rFonts w:ascii="Times New Roman" w:hAnsi="Times New Roman" w:cs="Times New Roman"/>
          <w:sz w:val="24"/>
          <w:szCs w:val="24"/>
        </w:rPr>
      </w:pPr>
    </w:p>
    <w:p w14:paraId="21509D8C" w14:textId="5258A301" w:rsidR="00E7693B" w:rsidRPr="00CF0A23" w:rsidRDefault="00E7693B">
      <w:pPr>
        <w:spacing w:line="360" w:lineRule="auto"/>
        <w:ind w:firstLine="576"/>
        <w:jc w:val="both"/>
        <w:rPr>
          <w:rFonts w:ascii="Times New Roman" w:hAnsi="Times New Roman" w:cs="Times New Roman"/>
          <w:sz w:val="24"/>
          <w:szCs w:val="24"/>
        </w:rPr>
      </w:pPr>
      <w:r w:rsidRPr="00CF0A23">
        <w:rPr>
          <w:rFonts w:ascii="Times New Roman" w:hAnsi="Times New Roman" w:cs="Times New Roman"/>
          <w:sz w:val="24"/>
          <w:szCs w:val="24"/>
        </w:rPr>
        <w:t xml:space="preserve">A wide variety of VOCs was detected in the headspace of both control and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oilseed rape leaves. Out of the 55 selected, which belong to distinct chemical classes (Liu et al., 2018), only 11 were statistically influenced either by treatment, by time or by their interaction (Tab. 5). However, after the P-value correction, only seven compounds were significantly different between control and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w:t>
      </w:r>
      <w:r w:rsidRPr="00CF0A23">
        <w:rPr>
          <w:rFonts w:ascii="Times New Roman" w:hAnsi="Times New Roman" w:cs="Times New Roman"/>
          <w:sz w:val="24"/>
          <w:szCs w:val="24"/>
        </w:rPr>
        <w:t>inoculated leaves at 3 or 7 dpi (Fig. 23).</w:t>
      </w:r>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A significant increase of some of the VOCs, </w:t>
      </w:r>
      <w:r w:rsidRPr="00CF0A23">
        <w:rPr>
          <w:rFonts w:ascii="Times New Roman" w:hAnsi="Times New Roman" w:cs="Times New Roman"/>
          <w:i/>
          <w:sz w:val="24"/>
          <w:szCs w:val="24"/>
        </w:rPr>
        <w:t>i.e.</w:t>
      </w:r>
      <w:r w:rsidRPr="00CF0A23">
        <w:rPr>
          <w:rFonts w:ascii="Times New Roman" w:hAnsi="Times New Roman" w:cs="Times New Roman"/>
          <w:sz w:val="24"/>
          <w:szCs w:val="24"/>
        </w:rPr>
        <w:t xml:space="preserve"> ‘2-methyl-butanoic acid, hexyl ester’, ‘cyclohexanone’, ‘ethylbenzene’ and ‘2,4,6-trimethyl-pyridine’ was observed at both 3 and 7 dpi </w:t>
      </w:r>
      <w:r w:rsidR="00DF5653">
        <w:rPr>
          <w:rFonts w:ascii="Times New Roman" w:hAnsi="Times New Roman" w:cs="Times New Roman"/>
          <w:sz w:val="24"/>
          <w:szCs w:val="24"/>
        </w:rPr>
        <w:t>for</w:t>
      </w:r>
      <w:r w:rsidR="00DF5653" w:rsidRPr="00CF0A23">
        <w:rPr>
          <w:rFonts w:ascii="Times New Roman" w:hAnsi="Times New Roman" w:cs="Times New Roman"/>
          <w:sz w:val="24"/>
          <w:szCs w:val="24"/>
        </w:rPr>
        <w:t xml:space="preserve">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-inoculated leaves compared to control leaves (Fig. 23; Tab. 5). However, ‘2-methyl-butanenitrile’, ‘dimethyl disulfide’ and ‘nitro-methane’ were significantly increased in</w:t>
      </w:r>
      <w:r w:rsidR="00DF5653">
        <w:rPr>
          <w:rFonts w:ascii="Times New Roman" w:hAnsi="Times New Roman" w:cs="Times New Roman"/>
          <w:sz w:val="24"/>
          <w:szCs w:val="24"/>
        </w:rPr>
        <w:t xml:space="preserve"> the headspace of</w:t>
      </w:r>
      <w:r w:rsidRPr="00CF0A23">
        <w:rPr>
          <w:rFonts w:ascii="Times New Roman" w:hAnsi="Times New Roman" w:cs="Times New Roman"/>
          <w:sz w:val="24"/>
          <w:szCs w:val="24"/>
        </w:rPr>
        <w:t xml:space="preserve">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w:t>
      </w:r>
      <w:r w:rsidRPr="00CF0A23">
        <w:rPr>
          <w:rFonts w:ascii="Times New Roman" w:hAnsi="Times New Roman" w:cs="Times New Roman"/>
          <w:sz w:val="24"/>
          <w:szCs w:val="24"/>
        </w:rPr>
        <w:t>inoculated leaves at 7 dpi and not at 3 dpi, compared to control (Fig. 23; Tab. 5).</w:t>
      </w:r>
    </w:p>
    <w:p w14:paraId="21509D8D" w14:textId="77777777" w:rsidR="00E7693B" w:rsidRPr="00E7693B" w:rsidRDefault="00E7693B">
      <w:pPr>
        <w:spacing w:line="360" w:lineRule="auto"/>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9C" wp14:editId="2150A59D">
            <wp:extent cx="5760085" cy="2899410"/>
            <wp:effectExtent l="0" t="0" r="0" b="0"/>
            <wp:docPr id="1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0"/>
                    <a:srcRect/>
                    <a:stretch>
                      <a:fillRect/>
                    </a:stretch>
                  </pic:blipFill>
                  <pic:spPr>
                    <a:xfrm>
                      <a:off x="0" y="0"/>
                      <a:ext cx="5760085" cy="2899410"/>
                    </a:xfrm>
                    <a:prstGeom prst="rect">
                      <a:avLst/>
                    </a:prstGeom>
                    <a:ln/>
                  </pic:spPr>
                </pic:pic>
              </a:graphicData>
            </a:graphic>
          </wp:inline>
        </w:drawing>
      </w:r>
    </w:p>
    <w:p w14:paraId="21509D8E" w14:textId="476896D5" w:rsidR="00E7693B" w:rsidRPr="00E7693B" w:rsidRDefault="00E7693B" w:rsidP="006B61C5">
      <w:pPr>
        <w:spacing w:before="240" w:after="0" w:line="360" w:lineRule="auto"/>
        <w:jc w:val="both"/>
        <w:rPr>
          <w:rFonts w:ascii="Times New Roman" w:hAnsi="Times New Roman" w:cs="Times New Roman"/>
        </w:rPr>
      </w:pPr>
      <w:r w:rsidRPr="00E7693B">
        <w:rPr>
          <w:rFonts w:ascii="Times New Roman" w:hAnsi="Times New Roman" w:cs="Times New Roman"/>
          <w:b/>
        </w:rPr>
        <w:t xml:space="preserve">Figure 23. </w:t>
      </w:r>
      <w:r w:rsidRPr="00E7693B">
        <w:rPr>
          <w:rFonts w:ascii="Times New Roman" w:hAnsi="Times New Roman" w:cs="Times New Roman"/>
        </w:rPr>
        <w:t xml:space="preserve">Selected volatile organic compounds (VOCs) with significantly different production in control and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)-inoculated leaves of oilseed rape 3 and 7 days post fungal inoculation (dpi). Boxplots show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lowercase letters significant differences (P &lt; 0.05) between treatments for a given time point</w:t>
      </w:r>
      <w:r w:rsidR="00D5128E">
        <w:rPr>
          <w:rFonts w:ascii="Times New Roman" w:hAnsi="Times New Roman" w:cs="Times New Roman"/>
        </w:rPr>
        <w:t xml:space="preserve">. </w:t>
      </w:r>
      <w:r w:rsidR="00D5128E" w:rsidRPr="006B61C5">
        <w:rPr>
          <w:rFonts w:ascii="Times New Roman" w:hAnsi="Times New Roman" w:cs="Times New Roman"/>
        </w:rPr>
        <w:t xml:space="preserve">Five biological replicates per treatment </w:t>
      </w:r>
      <w:r w:rsidR="00E11326">
        <w:rPr>
          <w:rFonts w:ascii="Times New Roman" w:hAnsi="Times New Roman" w:cs="Times New Roman"/>
        </w:rPr>
        <w:t xml:space="preserve">(control vs. </w:t>
      </w:r>
      <w:r w:rsidR="00E11326">
        <w:rPr>
          <w:rFonts w:ascii="Times New Roman" w:hAnsi="Times New Roman" w:cs="Times New Roman"/>
          <w:i/>
          <w:iCs/>
        </w:rPr>
        <w:t xml:space="preserve">L. </w:t>
      </w:r>
      <w:proofErr w:type="spellStart"/>
      <w:r w:rsidR="00E11326" w:rsidRPr="00E11326">
        <w:rPr>
          <w:rFonts w:ascii="Times New Roman" w:hAnsi="Times New Roman" w:cs="Times New Roman"/>
          <w:i/>
          <w:iCs/>
        </w:rPr>
        <w:t>maculans</w:t>
      </w:r>
      <w:proofErr w:type="spellEnd"/>
      <w:r w:rsidR="00E11326">
        <w:rPr>
          <w:rFonts w:ascii="Times New Roman" w:hAnsi="Times New Roman" w:cs="Times New Roman"/>
          <w:i/>
          <w:iCs/>
        </w:rPr>
        <w:t>-</w:t>
      </w:r>
      <w:r w:rsidR="00E11326">
        <w:rPr>
          <w:rFonts w:ascii="Times New Roman" w:hAnsi="Times New Roman" w:cs="Times New Roman"/>
        </w:rPr>
        <w:t xml:space="preserve">inoculated leaf) </w:t>
      </w:r>
      <w:r w:rsidR="00D5128E" w:rsidRPr="006B61C5">
        <w:rPr>
          <w:rFonts w:ascii="Times New Roman" w:hAnsi="Times New Roman" w:cs="Times New Roman"/>
        </w:rPr>
        <w:t>were performed using the same leaves at 3 and 7 dpi</w:t>
      </w:r>
      <w:r w:rsidR="00D5128E" w:rsidRPr="00D5128E">
        <w:rPr>
          <w:rFonts w:ascii="Times New Roman" w:hAnsi="Times New Roman" w:cs="Times New Roman"/>
        </w:rPr>
        <w:t>;</w:t>
      </w:r>
      <w:r w:rsidR="00D5128E">
        <w:rPr>
          <w:rFonts w:ascii="Times New Roman" w:hAnsi="Times New Roman" w:cs="Times New Roman"/>
        </w:rPr>
        <w:t xml:space="preserve"> </w:t>
      </w:r>
      <w:r w:rsidRPr="00E7693B">
        <w:rPr>
          <w:rFonts w:ascii="Times New Roman" w:hAnsi="Times New Roman" w:cs="Times New Roman"/>
        </w:rPr>
        <w:t>ns = not significant.</w:t>
      </w:r>
    </w:p>
    <w:p w14:paraId="21509D8F" w14:textId="77777777" w:rsidR="00E7693B" w:rsidRPr="00CF0A23" w:rsidRDefault="00E7693B">
      <w:pPr>
        <w:spacing w:before="240" w:after="240"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lastRenderedPageBreak/>
        <w:t xml:space="preserve">The RDA showed that the experimental design explained 30 % of the total variance, with axes 1 and 2 explaining 58 % and 32 % of the constrained variance, respectively (Fig. 24). Axis 1 separated samples according to the treatment (control vs.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-inoculated leaf) while axis 2 according to the time (3 vs. 7 dpi). The VOC composition profile was significantly influenced by the treatment (F</w:t>
      </w:r>
      <w:r w:rsidRPr="00CF0A23">
        <w:rPr>
          <w:rFonts w:ascii="Times New Roman" w:hAnsi="Times New Roman" w:cs="Times New Roman"/>
          <w:sz w:val="24"/>
          <w:szCs w:val="24"/>
          <w:vertAlign w:val="subscript"/>
        </w:rPr>
        <w:t>1,16</w:t>
      </w:r>
      <w:r w:rsidRPr="00CF0A23">
        <w:rPr>
          <w:rFonts w:ascii="Times New Roman" w:hAnsi="Times New Roman" w:cs="Times New Roman"/>
          <w:sz w:val="24"/>
          <w:szCs w:val="24"/>
        </w:rPr>
        <w:t xml:space="preserve"> = 3.32; P = 0.005) and time (F</w:t>
      </w:r>
      <w:r w:rsidRPr="00CF0A23">
        <w:rPr>
          <w:rFonts w:ascii="Times New Roman" w:hAnsi="Times New Roman" w:cs="Times New Roman"/>
          <w:sz w:val="24"/>
          <w:szCs w:val="24"/>
          <w:vertAlign w:val="subscript"/>
        </w:rPr>
        <w:t>1,16</w:t>
      </w:r>
      <w:r w:rsidRPr="00CF0A23">
        <w:rPr>
          <w:rFonts w:ascii="Times New Roman" w:hAnsi="Times New Roman" w:cs="Times New Roman"/>
          <w:sz w:val="24"/>
          <w:szCs w:val="24"/>
        </w:rPr>
        <w:t xml:space="preserve"> = 2.60; P = 0.025), but not by their interaction (F</w:t>
      </w:r>
      <w:r w:rsidRPr="00CF0A23">
        <w:rPr>
          <w:rFonts w:ascii="Times New Roman" w:hAnsi="Times New Roman" w:cs="Times New Roman"/>
          <w:sz w:val="24"/>
          <w:szCs w:val="24"/>
          <w:vertAlign w:val="subscript"/>
        </w:rPr>
        <w:t>1,16</w:t>
      </w:r>
      <w:r w:rsidRPr="00CF0A23">
        <w:rPr>
          <w:rFonts w:ascii="Times New Roman" w:hAnsi="Times New Roman" w:cs="Times New Roman"/>
          <w:sz w:val="24"/>
          <w:szCs w:val="24"/>
        </w:rPr>
        <w:t xml:space="preserve"> = 0.99; P = 0.403). RDA confirmed that the peak area of most detected VOCs was higher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-inoculated than control leaves at both time points, although not all were significantly different.</w:t>
      </w:r>
    </w:p>
    <w:p w14:paraId="21509D90" w14:textId="77777777" w:rsidR="00E7693B" w:rsidRPr="00E7693B" w:rsidRDefault="00E7693B">
      <w:pPr>
        <w:spacing w:line="360" w:lineRule="auto"/>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9E" wp14:editId="2150A59F">
            <wp:extent cx="5760085" cy="3953510"/>
            <wp:effectExtent l="0" t="0" r="0" b="0"/>
            <wp:docPr id="2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1"/>
                    <a:srcRect/>
                    <a:stretch>
                      <a:fillRect/>
                    </a:stretch>
                  </pic:blipFill>
                  <pic:spPr>
                    <a:xfrm>
                      <a:off x="0" y="0"/>
                      <a:ext cx="5760085" cy="3953510"/>
                    </a:xfrm>
                    <a:prstGeom prst="rect">
                      <a:avLst/>
                    </a:prstGeom>
                    <a:ln/>
                  </pic:spPr>
                </pic:pic>
              </a:graphicData>
            </a:graphic>
          </wp:inline>
        </w:drawing>
      </w:r>
    </w:p>
    <w:p w14:paraId="21509D91" w14:textId="60E31724" w:rsidR="00E7693B" w:rsidRPr="00E7693B" w:rsidRDefault="00E7693B">
      <w:pPr>
        <w:spacing w:line="360" w:lineRule="auto"/>
        <w:jc w:val="both"/>
        <w:rPr>
          <w:rFonts w:ascii="Times New Roman" w:hAnsi="Times New Roman" w:cs="Times New Roman"/>
        </w:rPr>
      </w:pPr>
      <w:r w:rsidRPr="00E7693B">
        <w:rPr>
          <w:rFonts w:ascii="Times New Roman" w:hAnsi="Times New Roman" w:cs="Times New Roman"/>
          <w:b/>
        </w:rPr>
        <w:t>Figure 24.</w:t>
      </w:r>
      <w:r w:rsidRPr="00E7693B">
        <w:rPr>
          <w:rFonts w:ascii="Times New Roman" w:hAnsi="Times New Roman" w:cs="Times New Roman"/>
        </w:rPr>
        <w:t xml:space="preserve"> Redundancy analysis (RDA) of volatile (VOC) content in control and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)-inoculated leaves of oilseed rape 3 and 7 days post inoculation (dpi). Score plot is shown on the left, with variances explained by the synthetic axes written in parentheses, and the correlation circle on the right. The numbers represent compounds, with their full name written in Table</w:t>
      </w:r>
      <w:r w:rsidR="00DF5653">
        <w:rPr>
          <w:rFonts w:ascii="Times New Roman" w:hAnsi="Times New Roman" w:cs="Times New Roman"/>
        </w:rPr>
        <w:t> </w:t>
      </w:r>
      <w:r w:rsidRPr="00E7693B">
        <w:rPr>
          <w:rFonts w:ascii="Times New Roman" w:hAnsi="Times New Roman" w:cs="Times New Roman"/>
        </w:rPr>
        <w:t>5.</w:t>
      </w:r>
    </w:p>
    <w:p w14:paraId="21509D92" w14:textId="02AFF461" w:rsidR="00E7693B" w:rsidRPr="00E7693B" w:rsidRDefault="00E7693B" w:rsidP="00184E62">
      <w:pPr>
        <w:spacing w:before="240"/>
        <w:jc w:val="both"/>
        <w:rPr>
          <w:rFonts w:ascii="Times New Roman" w:hAnsi="Times New Roman" w:cs="Times New Roman"/>
        </w:rPr>
      </w:pPr>
      <w:r w:rsidRPr="00E7693B">
        <w:rPr>
          <w:rFonts w:ascii="Times New Roman" w:hAnsi="Times New Roman" w:cs="Times New Roman"/>
          <w:b/>
          <w:color w:val="000000"/>
        </w:rPr>
        <w:t xml:space="preserve">Table 5. </w:t>
      </w:r>
      <w:r w:rsidR="00184E62" w:rsidRPr="00E7693B">
        <w:rPr>
          <w:rFonts w:ascii="Times New Roman" w:hAnsi="Times New Roman" w:cs="Times New Roman"/>
          <w:color w:val="000000"/>
        </w:rPr>
        <w:t>Statistic</w:t>
      </w:r>
      <w:r w:rsidR="00184E62">
        <w:rPr>
          <w:rFonts w:ascii="Times New Roman" w:hAnsi="Times New Roman" w:cs="Times New Roman"/>
          <w:color w:val="000000"/>
        </w:rPr>
        <w:t>al output for each compound from analysis to determine differences in volatile organic compound</w:t>
      </w:r>
      <w:r w:rsidR="00184E62" w:rsidRPr="00E7693B">
        <w:rPr>
          <w:rFonts w:ascii="Times New Roman" w:hAnsi="Times New Roman" w:cs="Times New Roman"/>
          <w:color w:val="000000"/>
        </w:rPr>
        <w:t xml:space="preserve"> (</w:t>
      </w:r>
      <w:r w:rsidR="00184E62">
        <w:rPr>
          <w:rFonts w:ascii="Times New Roman" w:hAnsi="Times New Roman" w:cs="Times New Roman"/>
          <w:color w:val="000000"/>
        </w:rPr>
        <w:t>VOC</w:t>
      </w:r>
      <w:r w:rsidR="00184E62" w:rsidRPr="00E7693B">
        <w:rPr>
          <w:rFonts w:ascii="Times New Roman" w:hAnsi="Times New Roman" w:cs="Times New Roman"/>
          <w:color w:val="000000"/>
        </w:rPr>
        <w:t xml:space="preserve">) </w:t>
      </w:r>
      <w:r w:rsidR="00184E62">
        <w:rPr>
          <w:rFonts w:ascii="Times New Roman" w:hAnsi="Times New Roman" w:cs="Times New Roman"/>
          <w:color w:val="000000"/>
        </w:rPr>
        <w:t xml:space="preserve">levels between control leaves of oilseed rape and </w:t>
      </w:r>
      <w:r w:rsidR="00184E62" w:rsidRPr="00E7693B">
        <w:rPr>
          <w:rFonts w:ascii="Times New Roman" w:hAnsi="Times New Roman" w:cs="Times New Roman"/>
          <w:i/>
          <w:color w:val="000000"/>
        </w:rPr>
        <w:t xml:space="preserve">L. </w:t>
      </w:r>
      <w:proofErr w:type="spellStart"/>
      <w:r w:rsidR="00184E62" w:rsidRPr="00E7693B">
        <w:rPr>
          <w:rFonts w:ascii="Times New Roman" w:hAnsi="Times New Roman" w:cs="Times New Roman"/>
          <w:i/>
          <w:color w:val="000000"/>
        </w:rPr>
        <w:t>maculans</w:t>
      </w:r>
      <w:proofErr w:type="spellEnd"/>
      <w:r w:rsidR="00184E62">
        <w:rPr>
          <w:rFonts w:ascii="Times New Roman" w:hAnsi="Times New Roman" w:cs="Times New Roman"/>
          <w:iCs/>
          <w:color w:val="000000"/>
        </w:rPr>
        <w:t xml:space="preserve">-inoculated leaves at </w:t>
      </w:r>
      <w:r w:rsidR="00DF5653">
        <w:rPr>
          <w:rFonts w:ascii="Times New Roman" w:hAnsi="Times New Roman" w:cs="Times New Roman"/>
          <w:iCs/>
          <w:color w:val="000000"/>
        </w:rPr>
        <w:t xml:space="preserve">3 </w:t>
      </w:r>
      <w:r w:rsidR="00184E62">
        <w:rPr>
          <w:rFonts w:ascii="Times New Roman" w:hAnsi="Times New Roman" w:cs="Times New Roman"/>
          <w:iCs/>
          <w:color w:val="000000"/>
        </w:rPr>
        <w:lastRenderedPageBreak/>
        <w:t xml:space="preserve">and </w:t>
      </w:r>
      <w:r w:rsidR="00DF5653">
        <w:rPr>
          <w:rFonts w:ascii="Times New Roman" w:hAnsi="Times New Roman" w:cs="Times New Roman"/>
          <w:iCs/>
          <w:color w:val="000000"/>
        </w:rPr>
        <w:t xml:space="preserve">7 </w:t>
      </w:r>
      <w:r w:rsidR="00184E62">
        <w:rPr>
          <w:rFonts w:ascii="Times New Roman" w:hAnsi="Times New Roman" w:cs="Times New Roman"/>
          <w:iCs/>
          <w:color w:val="000000"/>
        </w:rPr>
        <w:t>days post inoculation</w:t>
      </w:r>
      <w:r w:rsidR="00184E62" w:rsidRPr="00E7693B">
        <w:rPr>
          <w:rFonts w:ascii="Times New Roman" w:hAnsi="Times New Roman" w:cs="Times New Roman"/>
          <w:color w:val="000000"/>
        </w:rPr>
        <w:t>.</w:t>
      </w:r>
      <w:r w:rsidRPr="00E7693B">
        <w:rPr>
          <w:rFonts w:ascii="Times New Roman" w:hAnsi="Times New Roman" w:cs="Times New Roman"/>
          <w:color w:val="000000"/>
        </w:rPr>
        <w:t>. ".": P &lt; 0.1, *: P &lt; 0.05, **: P &lt; 0.01, ***: P &lt; 0.001</w:t>
      </w:r>
      <w:r w:rsidR="00184E62">
        <w:rPr>
          <w:rFonts w:ascii="Times New Roman" w:hAnsi="Times New Roman" w:cs="Times New Roman"/>
          <w:color w:val="000000"/>
        </w:rPr>
        <w:t xml:space="preserve">; </w:t>
      </w:r>
      <w:r w:rsidR="00184E62" w:rsidRPr="00333579">
        <w:rPr>
          <w:rFonts w:ascii="Times New Roman" w:hAnsi="Times New Roman" w:cs="Times New Roman"/>
          <w:i/>
          <w:iCs/>
          <w:color w:val="000000"/>
        </w:rPr>
        <w:t>treatment</w:t>
      </w:r>
      <w:r w:rsidR="00184E62">
        <w:rPr>
          <w:rFonts w:ascii="Times New Roman" w:hAnsi="Times New Roman" w:cs="Times New Roman"/>
          <w:color w:val="000000"/>
        </w:rPr>
        <w:t xml:space="preserve">: control vs. </w:t>
      </w:r>
      <w:r w:rsidR="00184E62">
        <w:rPr>
          <w:rFonts w:ascii="Times New Roman" w:hAnsi="Times New Roman" w:cs="Times New Roman"/>
          <w:i/>
          <w:iCs/>
          <w:color w:val="000000"/>
        </w:rPr>
        <w:t xml:space="preserve">L. </w:t>
      </w:r>
      <w:proofErr w:type="spellStart"/>
      <w:r w:rsidR="00184E62">
        <w:rPr>
          <w:rFonts w:ascii="Times New Roman" w:hAnsi="Times New Roman" w:cs="Times New Roman"/>
          <w:i/>
          <w:iCs/>
          <w:color w:val="000000"/>
        </w:rPr>
        <w:t>maculans</w:t>
      </w:r>
      <w:proofErr w:type="spellEnd"/>
      <w:r w:rsidR="00184E62">
        <w:rPr>
          <w:rFonts w:ascii="Times New Roman" w:hAnsi="Times New Roman" w:cs="Times New Roman"/>
          <w:color w:val="000000"/>
        </w:rPr>
        <w:t xml:space="preserve">-inoculated leaf; </w:t>
      </w:r>
      <w:r w:rsidR="00184E62" w:rsidRPr="00333579">
        <w:rPr>
          <w:rFonts w:ascii="Times New Roman" w:hAnsi="Times New Roman" w:cs="Times New Roman"/>
          <w:i/>
          <w:iCs/>
          <w:color w:val="000000"/>
        </w:rPr>
        <w:t>time</w:t>
      </w:r>
      <w:r w:rsidR="00184E62">
        <w:rPr>
          <w:rFonts w:ascii="Times New Roman" w:hAnsi="Times New Roman" w:cs="Times New Roman"/>
          <w:color w:val="000000"/>
        </w:rPr>
        <w:t>: 3 vs. 7 days post inoculation.</w:t>
      </w:r>
    </w:p>
    <w:tbl>
      <w:tblPr>
        <w:tblW w:w="9096" w:type="dxa"/>
        <w:tblInd w:w="-10" w:type="dxa"/>
        <w:tblBorders>
          <w:top w:val="single" w:sz="4" w:space="0" w:color="000000"/>
          <w:bottom w:val="single" w:sz="4" w:space="0" w:color="000000"/>
        </w:tblBorders>
        <w:tblLayout w:type="fixed"/>
        <w:tblCellMar>
          <w:left w:w="10" w:type="dxa"/>
          <w:right w:w="10" w:type="dxa"/>
        </w:tblCellMar>
        <w:tblLook w:val="0400" w:firstRow="0" w:lastRow="0" w:firstColumn="0" w:lastColumn="0" w:noHBand="0" w:noVBand="1"/>
      </w:tblPr>
      <w:tblGrid>
        <w:gridCol w:w="550"/>
        <w:gridCol w:w="1350"/>
        <w:gridCol w:w="1002"/>
        <w:gridCol w:w="363"/>
        <w:gridCol w:w="588"/>
        <w:gridCol w:w="411"/>
        <w:gridCol w:w="708"/>
        <w:gridCol w:w="348"/>
        <w:gridCol w:w="603"/>
        <w:gridCol w:w="411"/>
        <w:gridCol w:w="708"/>
        <w:gridCol w:w="348"/>
        <w:gridCol w:w="476"/>
        <w:gridCol w:w="210"/>
        <w:gridCol w:w="1020"/>
      </w:tblGrid>
      <w:tr w:rsidR="00E7693B" w:rsidRPr="00E7693B" w14:paraId="21509D99" w14:textId="77777777">
        <w:trPr>
          <w:trHeight w:val="300"/>
        </w:trPr>
        <w:tc>
          <w:tcPr>
            <w:tcW w:w="550" w:type="dxa"/>
            <w:tcBorders>
              <w:top w:val="single" w:sz="4" w:space="0" w:color="000000"/>
              <w:bottom w:val="nil"/>
            </w:tcBorders>
          </w:tcPr>
          <w:p w14:paraId="21509D93" w14:textId="77777777" w:rsidR="00E7693B" w:rsidRPr="00E7693B" w:rsidRDefault="00E7693B">
            <w:pPr>
              <w:jc w:val="center"/>
              <w:rPr>
                <w:rFonts w:ascii="Times New Roman" w:hAnsi="Times New Roman" w:cs="Times New Roman"/>
                <w:b/>
                <w:color w:val="000000"/>
              </w:rPr>
            </w:pPr>
          </w:p>
        </w:tc>
        <w:tc>
          <w:tcPr>
            <w:tcW w:w="1350" w:type="dxa"/>
            <w:vMerge w:val="restart"/>
            <w:tcBorders>
              <w:top w:val="single" w:sz="4" w:space="0" w:color="000000"/>
              <w:bottom w:val="nil"/>
            </w:tcBorders>
            <w:shd w:val="clear" w:color="auto" w:fill="auto"/>
            <w:vAlign w:val="center"/>
          </w:tcPr>
          <w:p w14:paraId="21509D94"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Compound</w:t>
            </w:r>
          </w:p>
        </w:tc>
        <w:tc>
          <w:tcPr>
            <w:tcW w:w="2364" w:type="dxa"/>
            <w:gridSpan w:val="4"/>
            <w:tcBorders>
              <w:top w:val="single" w:sz="4" w:space="0" w:color="000000"/>
              <w:bottom w:val="nil"/>
            </w:tcBorders>
            <w:shd w:val="clear" w:color="auto" w:fill="auto"/>
            <w:vAlign w:val="bottom"/>
          </w:tcPr>
          <w:p w14:paraId="21509D95"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Treatment</w:t>
            </w:r>
          </w:p>
        </w:tc>
        <w:tc>
          <w:tcPr>
            <w:tcW w:w="2070" w:type="dxa"/>
            <w:gridSpan w:val="4"/>
            <w:tcBorders>
              <w:top w:val="single" w:sz="4" w:space="0" w:color="000000"/>
              <w:bottom w:val="nil"/>
            </w:tcBorders>
            <w:shd w:val="clear" w:color="auto" w:fill="auto"/>
            <w:vAlign w:val="bottom"/>
          </w:tcPr>
          <w:p w14:paraId="21509D96"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Time</w:t>
            </w:r>
          </w:p>
        </w:tc>
        <w:tc>
          <w:tcPr>
            <w:tcW w:w="1742" w:type="dxa"/>
            <w:gridSpan w:val="4"/>
            <w:tcBorders>
              <w:top w:val="single" w:sz="4" w:space="0" w:color="000000"/>
              <w:bottom w:val="nil"/>
            </w:tcBorders>
            <w:shd w:val="clear" w:color="auto" w:fill="auto"/>
            <w:vAlign w:val="bottom"/>
          </w:tcPr>
          <w:p w14:paraId="21509D97"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Treatment:Time</w:t>
            </w:r>
            <w:proofErr w:type="spellEnd"/>
          </w:p>
        </w:tc>
        <w:tc>
          <w:tcPr>
            <w:tcW w:w="1020" w:type="dxa"/>
            <w:tcBorders>
              <w:top w:val="single" w:sz="4" w:space="0" w:color="000000"/>
              <w:bottom w:val="nil"/>
            </w:tcBorders>
            <w:shd w:val="clear" w:color="auto" w:fill="auto"/>
            <w:vAlign w:val="bottom"/>
          </w:tcPr>
          <w:p w14:paraId="21509D98"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w:t>
            </w:r>
          </w:p>
        </w:tc>
      </w:tr>
      <w:tr w:rsidR="00E7693B" w:rsidRPr="00E7693B" w14:paraId="21509DA6" w14:textId="77777777">
        <w:trPr>
          <w:trHeight w:val="315"/>
        </w:trPr>
        <w:tc>
          <w:tcPr>
            <w:tcW w:w="550" w:type="dxa"/>
            <w:tcBorders>
              <w:top w:val="nil"/>
              <w:bottom w:val="single" w:sz="4" w:space="0" w:color="000000"/>
            </w:tcBorders>
          </w:tcPr>
          <w:p w14:paraId="21509D9A"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No.</w:t>
            </w:r>
          </w:p>
        </w:tc>
        <w:tc>
          <w:tcPr>
            <w:tcW w:w="1350" w:type="dxa"/>
            <w:vMerge/>
            <w:tcBorders>
              <w:top w:val="single" w:sz="4" w:space="0" w:color="000000"/>
              <w:bottom w:val="nil"/>
            </w:tcBorders>
            <w:shd w:val="clear" w:color="auto" w:fill="auto"/>
            <w:vAlign w:val="center"/>
          </w:tcPr>
          <w:p w14:paraId="21509D9B" w14:textId="77777777" w:rsidR="00E7693B" w:rsidRPr="00E7693B" w:rsidRDefault="00E7693B">
            <w:pPr>
              <w:widowControl w:val="0"/>
              <w:pBdr>
                <w:top w:val="nil"/>
                <w:left w:val="nil"/>
                <w:bottom w:val="nil"/>
                <w:right w:val="nil"/>
                <w:between w:val="nil"/>
              </w:pBdr>
              <w:spacing w:line="276" w:lineRule="auto"/>
              <w:rPr>
                <w:rFonts w:ascii="Times New Roman" w:hAnsi="Times New Roman" w:cs="Times New Roman"/>
                <w:b/>
                <w:color w:val="000000"/>
              </w:rPr>
            </w:pPr>
          </w:p>
        </w:tc>
        <w:tc>
          <w:tcPr>
            <w:tcW w:w="1002" w:type="dxa"/>
            <w:tcBorders>
              <w:top w:val="nil"/>
              <w:bottom w:val="single" w:sz="4" w:space="0" w:color="000000"/>
            </w:tcBorders>
            <w:shd w:val="clear" w:color="auto" w:fill="auto"/>
            <w:vAlign w:val="bottom"/>
          </w:tcPr>
          <w:p w14:paraId="21509D9C"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363" w:type="dxa"/>
            <w:tcBorders>
              <w:top w:val="nil"/>
              <w:bottom w:val="single" w:sz="4" w:space="0" w:color="000000"/>
            </w:tcBorders>
            <w:shd w:val="clear" w:color="auto" w:fill="auto"/>
            <w:vAlign w:val="bottom"/>
          </w:tcPr>
          <w:p w14:paraId="21509D9D"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999" w:type="dxa"/>
            <w:gridSpan w:val="2"/>
            <w:tcBorders>
              <w:top w:val="nil"/>
              <w:bottom w:val="single" w:sz="4" w:space="0" w:color="000000"/>
            </w:tcBorders>
            <w:shd w:val="clear" w:color="auto" w:fill="auto"/>
            <w:vAlign w:val="bottom"/>
          </w:tcPr>
          <w:p w14:paraId="21509D9E"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708" w:type="dxa"/>
            <w:tcBorders>
              <w:top w:val="nil"/>
              <w:bottom w:val="single" w:sz="4" w:space="0" w:color="000000"/>
            </w:tcBorders>
            <w:shd w:val="clear" w:color="auto" w:fill="auto"/>
            <w:vAlign w:val="bottom"/>
          </w:tcPr>
          <w:p w14:paraId="21509D9F"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348" w:type="dxa"/>
            <w:tcBorders>
              <w:top w:val="nil"/>
              <w:bottom w:val="single" w:sz="4" w:space="0" w:color="000000"/>
            </w:tcBorders>
            <w:shd w:val="clear" w:color="auto" w:fill="auto"/>
            <w:vAlign w:val="bottom"/>
          </w:tcPr>
          <w:p w14:paraId="21509DA0"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1014" w:type="dxa"/>
            <w:gridSpan w:val="2"/>
            <w:tcBorders>
              <w:top w:val="nil"/>
              <w:bottom w:val="single" w:sz="4" w:space="0" w:color="000000"/>
            </w:tcBorders>
            <w:shd w:val="clear" w:color="auto" w:fill="auto"/>
            <w:vAlign w:val="bottom"/>
          </w:tcPr>
          <w:p w14:paraId="21509DA1"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708" w:type="dxa"/>
            <w:tcBorders>
              <w:top w:val="nil"/>
              <w:bottom w:val="single" w:sz="4" w:space="0" w:color="000000"/>
            </w:tcBorders>
            <w:shd w:val="clear" w:color="auto" w:fill="auto"/>
            <w:vAlign w:val="bottom"/>
          </w:tcPr>
          <w:p w14:paraId="21509DA2"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348" w:type="dxa"/>
            <w:tcBorders>
              <w:top w:val="nil"/>
              <w:bottom w:val="single" w:sz="4" w:space="0" w:color="000000"/>
            </w:tcBorders>
            <w:shd w:val="clear" w:color="auto" w:fill="auto"/>
            <w:vAlign w:val="bottom"/>
          </w:tcPr>
          <w:p w14:paraId="21509DA3"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686" w:type="dxa"/>
            <w:gridSpan w:val="2"/>
            <w:tcBorders>
              <w:top w:val="nil"/>
              <w:bottom w:val="single" w:sz="4" w:space="0" w:color="000000"/>
            </w:tcBorders>
            <w:shd w:val="clear" w:color="auto" w:fill="auto"/>
            <w:vAlign w:val="bottom"/>
          </w:tcPr>
          <w:p w14:paraId="21509DA4"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1020" w:type="dxa"/>
            <w:tcBorders>
              <w:top w:val="nil"/>
              <w:bottom w:val="single" w:sz="4" w:space="0" w:color="000000"/>
            </w:tcBorders>
            <w:shd w:val="clear" w:color="auto" w:fill="auto"/>
            <w:vAlign w:val="bottom"/>
          </w:tcPr>
          <w:p w14:paraId="21509DA5"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 xml:space="preserve">Residual </w:t>
            </w:r>
            <w:proofErr w:type="spellStart"/>
            <w:r w:rsidRPr="00E7693B">
              <w:rPr>
                <w:rFonts w:ascii="Times New Roman" w:hAnsi="Times New Roman" w:cs="Times New Roman"/>
                <w:b/>
                <w:color w:val="000000"/>
              </w:rPr>
              <w:t>df</w:t>
            </w:r>
            <w:proofErr w:type="spellEnd"/>
          </w:p>
        </w:tc>
      </w:tr>
      <w:tr w:rsidR="00E7693B" w:rsidRPr="00E7693B" w14:paraId="21509DB7" w14:textId="77777777">
        <w:trPr>
          <w:trHeight w:val="806"/>
        </w:trPr>
        <w:tc>
          <w:tcPr>
            <w:tcW w:w="550" w:type="dxa"/>
            <w:tcBorders>
              <w:top w:val="single" w:sz="4" w:space="0" w:color="000000"/>
            </w:tcBorders>
          </w:tcPr>
          <w:p w14:paraId="21509DA7" w14:textId="77777777" w:rsidR="00E7693B" w:rsidRPr="00E7693B" w:rsidRDefault="00E7693B">
            <w:pPr>
              <w:rPr>
                <w:rFonts w:ascii="Times New Roman" w:hAnsi="Times New Roman" w:cs="Times New Roman"/>
                <w:color w:val="000000"/>
              </w:rPr>
            </w:pPr>
          </w:p>
          <w:p w14:paraId="21509DA8"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w:t>
            </w:r>
          </w:p>
        </w:tc>
        <w:tc>
          <w:tcPr>
            <w:tcW w:w="1350" w:type="dxa"/>
            <w:tcBorders>
              <w:top w:val="single" w:sz="4" w:space="0" w:color="000000"/>
            </w:tcBorders>
            <w:shd w:val="clear" w:color="auto" w:fill="auto"/>
            <w:vAlign w:val="center"/>
          </w:tcPr>
          <w:p w14:paraId="21509DA9"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1,3-Diazine</w:t>
            </w:r>
          </w:p>
        </w:tc>
        <w:tc>
          <w:tcPr>
            <w:tcW w:w="1002" w:type="dxa"/>
            <w:tcBorders>
              <w:top w:val="single" w:sz="4" w:space="0" w:color="000000"/>
            </w:tcBorders>
            <w:shd w:val="clear" w:color="auto" w:fill="auto"/>
            <w:vAlign w:val="center"/>
          </w:tcPr>
          <w:p w14:paraId="21509DA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0.59</w:t>
            </w:r>
          </w:p>
        </w:tc>
        <w:tc>
          <w:tcPr>
            <w:tcW w:w="363" w:type="dxa"/>
            <w:tcBorders>
              <w:top w:val="single" w:sz="4" w:space="0" w:color="000000"/>
            </w:tcBorders>
            <w:shd w:val="clear" w:color="auto" w:fill="auto"/>
            <w:vAlign w:val="center"/>
          </w:tcPr>
          <w:p w14:paraId="21509DA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tcBorders>
              <w:top w:val="single" w:sz="4" w:space="0" w:color="000000"/>
            </w:tcBorders>
            <w:shd w:val="clear" w:color="auto" w:fill="auto"/>
            <w:vAlign w:val="center"/>
          </w:tcPr>
          <w:p w14:paraId="21509DA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0.56</w:t>
            </w:r>
          </w:p>
        </w:tc>
        <w:tc>
          <w:tcPr>
            <w:tcW w:w="411" w:type="dxa"/>
            <w:tcBorders>
              <w:top w:val="single" w:sz="4" w:space="0" w:color="000000"/>
            </w:tcBorders>
            <w:shd w:val="clear" w:color="auto" w:fill="auto"/>
            <w:vAlign w:val="center"/>
          </w:tcPr>
          <w:p w14:paraId="21509DAD" w14:textId="77777777" w:rsidR="00E7693B" w:rsidRPr="00E7693B" w:rsidRDefault="00E7693B">
            <w:pPr>
              <w:jc w:val="center"/>
              <w:rPr>
                <w:rFonts w:ascii="Times New Roman" w:hAnsi="Times New Roman" w:cs="Times New Roman"/>
                <w:color w:val="000000"/>
              </w:rPr>
            </w:pPr>
          </w:p>
        </w:tc>
        <w:tc>
          <w:tcPr>
            <w:tcW w:w="708" w:type="dxa"/>
            <w:tcBorders>
              <w:top w:val="single" w:sz="4" w:space="0" w:color="000000"/>
            </w:tcBorders>
            <w:shd w:val="clear" w:color="auto" w:fill="auto"/>
            <w:vAlign w:val="center"/>
          </w:tcPr>
          <w:p w14:paraId="21509DA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0.32</w:t>
            </w:r>
          </w:p>
        </w:tc>
        <w:tc>
          <w:tcPr>
            <w:tcW w:w="348" w:type="dxa"/>
            <w:tcBorders>
              <w:top w:val="single" w:sz="4" w:space="0" w:color="000000"/>
            </w:tcBorders>
            <w:shd w:val="clear" w:color="auto" w:fill="auto"/>
            <w:vAlign w:val="center"/>
          </w:tcPr>
          <w:p w14:paraId="21509DA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tcBorders>
              <w:top w:val="single" w:sz="4" w:space="0" w:color="000000"/>
            </w:tcBorders>
            <w:shd w:val="clear" w:color="auto" w:fill="auto"/>
            <w:vAlign w:val="center"/>
          </w:tcPr>
          <w:p w14:paraId="21509DB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tcBorders>
              <w:top w:val="single" w:sz="4" w:space="0" w:color="000000"/>
            </w:tcBorders>
            <w:shd w:val="clear" w:color="auto" w:fill="auto"/>
            <w:vAlign w:val="center"/>
          </w:tcPr>
          <w:p w14:paraId="21509DB1" w14:textId="77777777" w:rsidR="00E7693B" w:rsidRPr="00E7693B" w:rsidRDefault="00E7693B">
            <w:pPr>
              <w:jc w:val="center"/>
              <w:rPr>
                <w:rFonts w:ascii="Times New Roman" w:hAnsi="Times New Roman" w:cs="Times New Roman"/>
                <w:color w:val="000000"/>
              </w:rPr>
            </w:pPr>
          </w:p>
        </w:tc>
        <w:tc>
          <w:tcPr>
            <w:tcW w:w="708" w:type="dxa"/>
            <w:tcBorders>
              <w:top w:val="single" w:sz="4" w:space="0" w:color="000000"/>
            </w:tcBorders>
            <w:shd w:val="clear" w:color="auto" w:fill="auto"/>
            <w:vAlign w:val="center"/>
          </w:tcPr>
          <w:p w14:paraId="21509DB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0.45</w:t>
            </w:r>
          </w:p>
        </w:tc>
        <w:tc>
          <w:tcPr>
            <w:tcW w:w="348" w:type="dxa"/>
            <w:tcBorders>
              <w:top w:val="single" w:sz="4" w:space="0" w:color="000000"/>
            </w:tcBorders>
            <w:shd w:val="clear" w:color="auto" w:fill="auto"/>
            <w:vAlign w:val="center"/>
          </w:tcPr>
          <w:p w14:paraId="21509DB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tcBorders>
              <w:top w:val="single" w:sz="4" w:space="0" w:color="000000"/>
            </w:tcBorders>
            <w:shd w:val="clear" w:color="auto" w:fill="auto"/>
            <w:vAlign w:val="center"/>
          </w:tcPr>
          <w:p w14:paraId="21509DB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tcBorders>
              <w:top w:val="single" w:sz="4" w:space="0" w:color="000000"/>
            </w:tcBorders>
            <w:shd w:val="clear" w:color="auto" w:fill="auto"/>
            <w:vAlign w:val="center"/>
          </w:tcPr>
          <w:p w14:paraId="21509DB5" w14:textId="77777777" w:rsidR="00E7693B" w:rsidRPr="00E7693B" w:rsidRDefault="00E7693B">
            <w:pPr>
              <w:jc w:val="center"/>
              <w:rPr>
                <w:rFonts w:ascii="Times New Roman" w:hAnsi="Times New Roman" w:cs="Times New Roman"/>
                <w:color w:val="000000"/>
              </w:rPr>
            </w:pPr>
          </w:p>
        </w:tc>
        <w:tc>
          <w:tcPr>
            <w:tcW w:w="1020" w:type="dxa"/>
            <w:tcBorders>
              <w:top w:val="single" w:sz="4" w:space="0" w:color="000000"/>
            </w:tcBorders>
            <w:shd w:val="clear" w:color="auto" w:fill="auto"/>
            <w:vAlign w:val="center"/>
          </w:tcPr>
          <w:p w14:paraId="21509DB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DC8" w14:textId="77777777">
        <w:trPr>
          <w:trHeight w:val="806"/>
        </w:trPr>
        <w:tc>
          <w:tcPr>
            <w:tcW w:w="550" w:type="dxa"/>
          </w:tcPr>
          <w:p w14:paraId="21509DB8" w14:textId="77777777" w:rsidR="00E7693B" w:rsidRPr="00E7693B" w:rsidRDefault="00E7693B">
            <w:pPr>
              <w:rPr>
                <w:rFonts w:ascii="Times New Roman" w:hAnsi="Times New Roman" w:cs="Times New Roman"/>
                <w:color w:val="000000"/>
              </w:rPr>
            </w:pPr>
          </w:p>
          <w:p w14:paraId="21509DB9"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w:t>
            </w:r>
          </w:p>
        </w:tc>
        <w:tc>
          <w:tcPr>
            <w:tcW w:w="1350" w:type="dxa"/>
            <w:shd w:val="clear" w:color="auto" w:fill="auto"/>
            <w:vAlign w:val="center"/>
          </w:tcPr>
          <w:p w14:paraId="21509DBA"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2(3H)-Furanone, 5-ethyldihydro-</w:t>
            </w:r>
          </w:p>
        </w:tc>
        <w:tc>
          <w:tcPr>
            <w:tcW w:w="1002" w:type="dxa"/>
            <w:shd w:val="clear" w:color="auto" w:fill="auto"/>
            <w:vAlign w:val="center"/>
          </w:tcPr>
          <w:p w14:paraId="21509DB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3.12</w:t>
            </w:r>
          </w:p>
        </w:tc>
        <w:tc>
          <w:tcPr>
            <w:tcW w:w="363" w:type="dxa"/>
            <w:shd w:val="clear" w:color="auto" w:fill="auto"/>
            <w:vAlign w:val="center"/>
          </w:tcPr>
          <w:p w14:paraId="21509DB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DB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0.29</w:t>
            </w:r>
          </w:p>
        </w:tc>
        <w:tc>
          <w:tcPr>
            <w:tcW w:w="411" w:type="dxa"/>
            <w:shd w:val="clear" w:color="auto" w:fill="auto"/>
            <w:vAlign w:val="center"/>
          </w:tcPr>
          <w:p w14:paraId="21509DBE"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DB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0.41</w:t>
            </w:r>
          </w:p>
        </w:tc>
        <w:tc>
          <w:tcPr>
            <w:tcW w:w="348" w:type="dxa"/>
            <w:shd w:val="clear" w:color="auto" w:fill="auto"/>
            <w:vAlign w:val="center"/>
          </w:tcPr>
          <w:p w14:paraId="21509DC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DC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9DC2"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DC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0.14</w:t>
            </w:r>
          </w:p>
        </w:tc>
        <w:tc>
          <w:tcPr>
            <w:tcW w:w="348" w:type="dxa"/>
            <w:shd w:val="clear" w:color="auto" w:fill="auto"/>
            <w:vAlign w:val="center"/>
          </w:tcPr>
          <w:p w14:paraId="21509DC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DC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DC6"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DC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DD9" w14:textId="77777777">
        <w:trPr>
          <w:trHeight w:val="806"/>
        </w:trPr>
        <w:tc>
          <w:tcPr>
            <w:tcW w:w="550" w:type="dxa"/>
          </w:tcPr>
          <w:p w14:paraId="21509DC9" w14:textId="77777777" w:rsidR="00E7693B" w:rsidRPr="00E7693B" w:rsidRDefault="00E7693B">
            <w:pPr>
              <w:rPr>
                <w:rFonts w:ascii="Times New Roman" w:hAnsi="Times New Roman" w:cs="Times New Roman"/>
                <w:color w:val="000000"/>
              </w:rPr>
            </w:pPr>
          </w:p>
          <w:p w14:paraId="21509DCA"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w:t>
            </w:r>
          </w:p>
        </w:tc>
        <w:tc>
          <w:tcPr>
            <w:tcW w:w="1350" w:type="dxa"/>
            <w:shd w:val="clear" w:color="auto" w:fill="auto"/>
            <w:vAlign w:val="center"/>
          </w:tcPr>
          <w:p w14:paraId="21509DCB"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2(3H)-Furanone, dihydro-5-propyl-</w:t>
            </w:r>
          </w:p>
        </w:tc>
        <w:tc>
          <w:tcPr>
            <w:tcW w:w="1002" w:type="dxa"/>
            <w:shd w:val="clear" w:color="auto" w:fill="auto"/>
            <w:vAlign w:val="center"/>
          </w:tcPr>
          <w:p w14:paraId="21509DC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0.47</w:t>
            </w:r>
          </w:p>
        </w:tc>
        <w:tc>
          <w:tcPr>
            <w:tcW w:w="363" w:type="dxa"/>
            <w:shd w:val="clear" w:color="auto" w:fill="auto"/>
            <w:vAlign w:val="center"/>
          </w:tcPr>
          <w:p w14:paraId="21509DC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DC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0.57</w:t>
            </w:r>
          </w:p>
        </w:tc>
        <w:tc>
          <w:tcPr>
            <w:tcW w:w="411" w:type="dxa"/>
            <w:shd w:val="clear" w:color="auto" w:fill="auto"/>
            <w:vAlign w:val="center"/>
          </w:tcPr>
          <w:p w14:paraId="21509DCF"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DD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1.60</w:t>
            </w:r>
          </w:p>
        </w:tc>
        <w:tc>
          <w:tcPr>
            <w:tcW w:w="348" w:type="dxa"/>
            <w:shd w:val="clear" w:color="auto" w:fill="auto"/>
            <w:vAlign w:val="center"/>
          </w:tcPr>
          <w:p w14:paraId="21509DD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DD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0.53</w:t>
            </w:r>
          </w:p>
        </w:tc>
        <w:tc>
          <w:tcPr>
            <w:tcW w:w="411" w:type="dxa"/>
            <w:shd w:val="clear" w:color="auto" w:fill="auto"/>
            <w:vAlign w:val="center"/>
          </w:tcPr>
          <w:p w14:paraId="21509DD3"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DD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0.34</w:t>
            </w:r>
          </w:p>
        </w:tc>
        <w:tc>
          <w:tcPr>
            <w:tcW w:w="348" w:type="dxa"/>
            <w:shd w:val="clear" w:color="auto" w:fill="auto"/>
            <w:vAlign w:val="center"/>
          </w:tcPr>
          <w:p w14:paraId="21509DD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DD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DD7"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DD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DEA" w14:textId="77777777">
        <w:trPr>
          <w:trHeight w:val="806"/>
        </w:trPr>
        <w:tc>
          <w:tcPr>
            <w:tcW w:w="550" w:type="dxa"/>
          </w:tcPr>
          <w:p w14:paraId="21509DDA" w14:textId="77777777" w:rsidR="00E7693B" w:rsidRPr="00E7693B" w:rsidRDefault="00E7693B">
            <w:pPr>
              <w:rPr>
                <w:rFonts w:ascii="Times New Roman" w:hAnsi="Times New Roman" w:cs="Times New Roman"/>
                <w:color w:val="000000"/>
              </w:rPr>
            </w:pPr>
          </w:p>
          <w:p w14:paraId="21509DDB"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w:t>
            </w:r>
          </w:p>
        </w:tc>
        <w:tc>
          <w:tcPr>
            <w:tcW w:w="1350" w:type="dxa"/>
            <w:shd w:val="clear" w:color="auto" w:fill="auto"/>
            <w:vAlign w:val="center"/>
          </w:tcPr>
          <w:p w14:paraId="21509DDC"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2(5H)-Furanone</w:t>
            </w:r>
          </w:p>
        </w:tc>
        <w:tc>
          <w:tcPr>
            <w:tcW w:w="1002" w:type="dxa"/>
            <w:shd w:val="clear" w:color="auto" w:fill="auto"/>
            <w:vAlign w:val="center"/>
          </w:tcPr>
          <w:p w14:paraId="21509DD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0.25</w:t>
            </w:r>
          </w:p>
        </w:tc>
        <w:tc>
          <w:tcPr>
            <w:tcW w:w="363" w:type="dxa"/>
            <w:shd w:val="clear" w:color="auto" w:fill="auto"/>
            <w:vAlign w:val="center"/>
          </w:tcPr>
          <w:p w14:paraId="21509DD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DD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0.66</w:t>
            </w:r>
          </w:p>
        </w:tc>
        <w:tc>
          <w:tcPr>
            <w:tcW w:w="411" w:type="dxa"/>
            <w:shd w:val="clear" w:color="auto" w:fill="auto"/>
            <w:vAlign w:val="center"/>
          </w:tcPr>
          <w:p w14:paraId="21509DE0"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DE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0.47</w:t>
            </w:r>
          </w:p>
        </w:tc>
        <w:tc>
          <w:tcPr>
            <w:tcW w:w="348" w:type="dxa"/>
            <w:shd w:val="clear" w:color="auto" w:fill="auto"/>
            <w:vAlign w:val="center"/>
          </w:tcPr>
          <w:p w14:paraId="21509DE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DE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9DE4"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DE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0.53</w:t>
            </w:r>
          </w:p>
        </w:tc>
        <w:tc>
          <w:tcPr>
            <w:tcW w:w="348" w:type="dxa"/>
            <w:shd w:val="clear" w:color="auto" w:fill="auto"/>
            <w:vAlign w:val="center"/>
          </w:tcPr>
          <w:p w14:paraId="21509DE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DE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DE8"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DE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DFB" w14:textId="77777777">
        <w:trPr>
          <w:trHeight w:val="806"/>
        </w:trPr>
        <w:tc>
          <w:tcPr>
            <w:tcW w:w="550" w:type="dxa"/>
          </w:tcPr>
          <w:p w14:paraId="21509DEB" w14:textId="77777777" w:rsidR="00E7693B" w:rsidRPr="00E7693B" w:rsidRDefault="00E7693B">
            <w:pPr>
              <w:rPr>
                <w:rFonts w:ascii="Times New Roman" w:hAnsi="Times New Roman" w:cs="Times New Roman"/>
                <w:color w:val="000000"/>
              </w:rPr>
            </w:pPr>
          </w:p>
          <w:p w14:paraId="21509DEC"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5</w:t>
            </w:r>
          </w:p>
        </w:tc>
        <w:tc>
          <w:tcPr>
            <w:tcW w:w="1350" w:type="dxa"/>
            <w:shd w:val="clear" w:color="auto" w:fill="auto"/>
            <w:vAlign w:val="center"/>
          </w:tcPr>
          <w:p w14:paraId="21509DED"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2-Decen-1-ol:2</w:t>
            </w:r>
          </w:p>
        </w:tc>
        <w:tc>
          <w:tcPr>
            <w:tcW w:w="1002" w:type="dxa"/>
            <w:shd w:val="clear" w:color="auto" w:fill="auto"/>
            <w:vAlign w:val="center"/>
          </w:tcPr>
          <w:p w14:paraId="21509DE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2.40</w:t>
            </w:r>
          </w:p>
        </w:tc>
        <w:tc>
          <w:tcPr>
            <w:tcW w:w="363" w:type="dxa"/>
            <w:shd w:val="clear" w:color="auto" w:fill="auto"/>
            <w:vAlign w:val="center"/>
          </w:tcPr>
          <w:p w14:paraId="21509DE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DF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0.30</w:t>
            </w:r>
          </w:p>
        </w:tc>
        <w:tc>
          <w:tcPr>
            <w:tcW w:w="411" w:type="dxa"/>
            <w:shd w:val="clear" w:color="auto" w:fill="auto"/>
            <w:vAlign w:val="center"/>
          </w:tcPr>
          <w:p w14:paraId="21509DF1"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DF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7.94</w:t>
            </w:r>
          </w:p>
        </w:tc>
        <w:tc>
          <w:tcPr>
            <w:tcW w:w="348" w:type="dxa"/>
            <w:shd w:val="clear" w:color="auto" w:fill="auto"/>
            <w:vAlign w:val="center"/>
          </w:tcPr>
          <w:p w14:paraId="21509DF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DF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0.07</w:t>
            </w:r>
          </w:p>
        </w:tc>
        <w:tc>
          <w:tcPr>
            <w:tcW w:w="411" w:type="dxa"/>
            <w:shd w:val="clear" w:color="auto" w:fill="auto"/>
            <w:vAlign w:val="center"/>
          </w:tcPr>
          <w:p w14:paraId="21509DF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DF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1.99</w:t>
            </w:r>
          </w:p>
        </w:tc>
        <w:tc>
          <w:tcPr>
            <w:tcW w:w="348" w:type="dxa"/>
            <w:shd w:val="clear" w:color="auto" w:fill="auto"/>
            <w:vAlign w:val="center"/>
          </w:tcPr>
          <w:p w14:paraId="21509DF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DF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210" w:type="dxa"/>
            <w:shd w:val="clear" w:color="auto" w:fill="auto"/>
            <w:vAlign w:val="center"/>
          </w:tcPr>
          <w:p w14:paraId="21509DF9"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DF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0C" w14:textId="77777777">
        <w:trPr>
          <w:trHeight w:val="806"/>
        </w:trPr>
        <w:tc>
          <w:tcPr>
            <w:tcW w:w="550" w:type="dxa"/>
          </w:tcPr>
          <w:p w14:paraId="21509DFC" w14:textId="77777777" w:rsidR="00E7693B" w:rsidRPr="00E7693B" w:rsidRDefault="00E7693B">
            <w:pPr>
              <w:rPr>
                <w:rFonts w:ascii="Times New Roman" w:hAnsi="Times New Roman" w:cs="Times New Roman"/>
                <w:color w:val="000000"/>
              </w:rPr>
            </w:pPr>
          </w:p>
          <w:p w14:paraId="21509DFD"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6</w:t>
            </w:r>
          </w:p>
        </w:tc>
        <w:tc>
          <w:tcPr>
            <w:tcW w:w="1350" w:type="dxa"/>
            <w:shd w:val="clear" w:color="auto" w:fill="auto"/>
            <w:vAlign w:val="center"/>
          </w:tcPr>
          <w:p w14:paraId="21509DFE"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2-Pentanol</w:t>
            </w:r>
          </w:p>
        </w:tc>
        <w:tc>
          <w:tcPr>
            <w:tcW w:w="1002" w:type="dxa"/>
            <w:shd w:val="clear" w:color="auto" w:fill="auto"/>
            <w:vAlign w:val="center"/>
          </w:tcPr>
          <w:p w14:paraId="21509DF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363" w:type="dxa"/>
            <w:shd w:val="clear" w:color="auto" w:fill="auto"/>
            <w:vAlign w:val="center"/>
          </w:tcPr>
          <w:p w14:paraId="21509E0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0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0.92</w:t>
            </w:r>
          </w:p>
        </w:tc>
        <w:tc>
          <w:tcPr>
            <w:tcW w:w="411" w:type="dxa"/>
            <w:shd w:val="clear" w:color="auto" w:fill="auto"/>
            <w:vAlign w:val="center"/>
          </w:tcPr>
          <w:p w14:paraId="21509E02"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0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37.11</w:t>
            </w:r>
          </w:p>
        </w:tc>
        <w:tc>
          <w:tcPr>
            <w:tcW w:w="348" w:type="dxa"/>
            <w:shd w:val="clear" w:color="auto" w:fill="auto"/>
            <w:vAlign w:val="center"/>
          </w:tcPr>
          <w:p w14:paraId="21509E0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0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&lt;0.001</w:t>
            </w:r>
          </w:p>
        </w:tc>
        <w:tc>
          <w:tcPr>
            <w:tcW w:w="411" w:type="dxa"/>
            <w:shd w:val="clear" w:color="auto" w:fill="auto"/>
            <w:vAlign w:val="center"/>
          </w:tcPr>
          <w:p w14:paraId="21509E0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E0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0.16</w:t>
            </w:r>
          </w:p>
        </w:tc>
        <w:tc>
          <w:tcPr>
            <w:tcW w:w="348" w:type="dxa"/>
            <w:shd w:val="clear" w:color="auto" w:fill="auto"/>
            <w:vAlign w:val="center"/>
          </w:tcPr>
          <w:p w14:paraId="21509E0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0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E0A"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0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1D" w14:textId="77777777">
        <w:trPr>
          <w:trHeight w:val="806"/>
        </w:trPr>
        <w:tc>
          <w:tcPr>
            <w:tcW w:w="550" w:type="dxa"/>
          </w:tcPr>
          <w:p w14:paraId="21509E0D" w14:textId="77777777" w:rsidR="00E7693B" w:rsidRPr="00E7693B" w:rsidRDefault="00E7693B">
            <w:pPr>
              <w:rPr>
                <w:rFonts w:ascii="Times New Roman" w:hAnsi="Times New Roman" w:cs="Times New Roman"/>
                <w:color w:val="000000"/>
              </w:rPr>
            </w:pPr>
          </w:p>
          <w:p w14:paraId="21509E0E"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7</w:t>
            </w:r>
          </w:p>
        </w:tc>
        <w:tc>
          <w:tcPr>
            <w:tcW w:w="1350" w:type="dxa"/>
            <w:shd w:val="clear" w:color="auto" w:fill="auto"/>
            <w:vAlign w:val="center"/>
          </w:tcPr>
          <w:p w14:paraId="21509E0F"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2-Pentanol, acetate</w:t>
            </w:r>
          </w:p>
        </w:tc>
        <w:tc>
          <w:tcPr>
            <w:tcW w:w="1002" w:type="dxa"/>
            <w:shd w:val="clear" w:color="auto" w:fill="auto"/>
            <w:vAlign w:val="center"/>
          </w:tcPr>
          <w:p w14:paraId="21509E1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1.49</w:t>
            </w:r>
          </w:p>
        </w:tc>
        <w:tc>
          <w:tcPr>
            <w:tcW w:w="363" w:type="dxa"/>
            <w:shd w:val="clear" w:color="auto" w:fill="auto"/>
            <w:vAlign w:val="center"/>
          </w:tcPr>
          <w:p w14:paraId="21509E1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1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0.38</w:t>
            </w:r>
          </w:p>
        </w:tc>
        <w:tc>
          <w:tcPr>
            <w:tcW w:w="411" w:type="dxa"/>
            <w:shd w:val="clear" w:color="auto" w:fill="auto"/>
            <w:vAlign w:val="center"/>
          </w:tcPr>
          <w:p w14:paraId="21509E13"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1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1.70</w:t>
            </w:r>
          </w:p>
        </w:tc>
        <w:tc>
          <w:tcPr>
            <w:tcW w:w="348" w:type="dxa"/>
            <w:shd w:val="clear" w:color="auto" w:fill="auto"/>
            <w:vAlign w:val="center"/>
          </w:tcPr>
          <w:p w14:paraId="21509E1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1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0.53</w:t>
            </w:r>
          </w:p>
        </w:tc>
        <w:tc>
          <w:tcPr>
            <w:tcW w:w="411" w:type="dxa"/>
            <w:shd w:val="clear" w:color="auto" w:fill="auto"/>
            <w:vAlign w:val="center"/>
          </w:tcPr>
          <w:p w14:paraId="21509E17"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1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0.26</w:t>
            </w:r>
          </w:p>
        </w:tc>
        <w:tc>
          <w:tcPr>
            <w:tcW w:w="348" w:type="dxa"/>
            <w:shd w:val="clear" w:color="auto" w:fill="auto"/>
            <w:vAlign w:val="center"/>
          </w:tcPr>
          <w:p w14:paraId="21509E1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1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E1B"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1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2E" w14:textId="77777777">
        <w:trPr>
          <w:trHeight w:val="806"/>
        </w:trPr>
        <w:tc>
          <w:tcPr>
            <w:tcW w:w="550" w:type="dxa"/>
          </w:tcPr>
          <w:p w14:paraId="21509E1E" w14:textId="77777777" w:rsidR="00E7693B" w:rsidRPr="00E7693B" w:rsidRDefault="00E7693B">
            <w:pPr>
              <w:rPr>
                <w:rFonts w:ascii="Times New Roman" w:hAnsi="Times New Roman" w:cs="Times New Roman"/>
                <w:color w:val="000000"/>
              </w:rPr>
            </w:pPr>
          </w:p>
          <w:p w14:paraId="21509E1F"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8</w:t>
            </w:r>
          </w:p>
        </w:tc>
        <w:tc>
          <w:tcPr>
            <w:tcW w:w="1350" w:type="dxa"/>
            <w:shd w:val="clear" w:color="auto" w:fill="auto"/>
            <w:vAlign w:val="center"/>
          </w:tcPr>
          <w:p w14:paraId="21509E20"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2-Pentanone</w:t>
            </w:r>
          </w:p>
        </w:tc>
        <w:tc>
          <w:tcPr>
            <w:tcW w:w="1002" w:type="dxa"/>
            <w:shd w:val="clear" w:color="auto" w:fill="auto"/>
            <w:vAlign w:val="center"/>
          </w:tcPr>
          <w:p w14:paraId="21509E2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4.24</w:t>
            </w:r>
          </w:p>
        </w:tc>
        <w:tc>
          <w:tcPr>
            <w:tcW w:w="363" w:type="dxa"/>
            <w:shd w:val="clear" w:color="auto" w:fill="auto"/>
            <w:vAlign w:val="center"/>
          </w:tcPr>
          <w:p w14:paraId="21509E2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2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0.19</w:t>
            </w:r>
          </w:p>
        </w:tc>
        <w:tc>
          <w:tcPr>
            <w:tcW w:w="411" w:type="dxa"/>
            <w:shd w:val="clear" w:color="auto" w:fill="auto"/>
            <w:vAlign w:val="center"/>
          </w:tcPr>
          <w:p w14:paraId="21509E24"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2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348" w:type="dxa"/>
            <w:shd w:val="clear" w:color="auto" w:fill="auto"/>
            <w:vAlign w:val="center"/>
          </w:tcPr>
          <w:p w14:paraId="21509E2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2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0.98</w:t>
            </w:r>
          </w:p>
        </w:tc>
        <w:tc>
          <w:tcPr>
            <w:tcW w:w="411" w:type="dxa"/>
            <w:shd w:val="clear" w:color="auto" w:fill="auto"/>
            <w:vAlign w:val="center"/>
          </w:tcPr>
          <w:p w14:paraId="21509E28"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2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0.06</w:t>
            </w:r>
          </w:p>
        </w:tc>
        <w:tc>
          <w:tcPr>
            <w:tcW w:w="348" w:type="dxa"/>
            <w:shd w:val="clear" w:color="auto" w:fill="auto"/>
            <w:vAlign w:val="center"/>
          </w:tcPr>
          <w:p w14:paraId="21509E2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2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9E2C"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2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3F" w14:textId="77777777">
        <w:trPr>
          <w:trHeight w:val="806"/>
        </w:trPr>
        <w:tc>
          <w:tcPr>
            <w:tcW w:w="550" w:type="dxa"/>
          </w:tcPr>
          <w:p w14:paraId="21509E2F" w14:textId="77777777" w:rsidR="00E7693B" w:rsidRPr="00E7693B" w:rsidRDefault="00E7693B">
            <w:pPr>
              <w:rPr>
                <w:rFonts w:ascii="Times New Roman" w:hAnsi="Times New Roman" w:cs="Times New Roman"/>
                <w:color w:val="000000"/>
              </w:rPr>
            </w:pPr>
          </w:p>
          <w:p w14:paraId="21509E30"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9</w:t>
            </w:r>
          </w:p>
        </w:tc>
        <w:tc>
          <w:tcPr>
            <w:tcW w:w="1350" w:type="dxa"/>
            <w:shd w:val="clear" w:color="auto" w:fill="auto"/>
            <w:vAlign w:val="center"/>
          </w:tcPr>
          <w:p w14:paraId="21509E31"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2-Propanone, 1-hydroxy-</w:t>
            </w:r>
          </w:p>
        </w:tc>
        <w:tc>
          <w:tcPr>
            <w:tcW w:w="1002" w:type="dxa"/>
            <w:shd w:val="clear" w:color="auto" w:fill="auto"/>
            <w:vAlign w:val="center"/>
          </w:tcPr>
          <w:p w14:paraId="21509E3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0.56</w:t>
            </w:r>
          </w:p>
        </w:tc>
        <w:tc>
          <w:tcPr>
            <w:tcW w:w="363" w:type="dxa"/>
            <w:shd w:val="clear" w:color="auto" w:fill="auto"/>
            <w:vAlign w:val="center"/>
          </w:tcPr>
          <w:p w14:paraId="21509E3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3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0.56</w:t>
            </w:r>
          </w:p>
        </w:tc>
        <w:tc>
          <w:tcPr>
            <w:tcW w:w="411" w:type="dxa"/>
            <w:shd w:val="clear" w:color="auto" w:fill="auto"/>
            <w:vAlign w:val="center"/>
          </w:tcPr>
          <w:p w14:paraId="21509E35"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3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4.37</w:t>
            </w:r>
          </w:p>
        </w:tc>
        <w:tc>
          <w:tcPr>
            <w:tcW w:w="348" w:type="dxa"/>
            <w:shd w:val="clear" w:color="auto" w:fill="auto"/>
            <w:vAlign w:val="center"/>
          </w:tcPr>
          <w:p w14:paraId="21509E3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3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0.27</w:t>
            </w:r>
          </w:p>
        </w:tc>
        <w:tc>
          <w:tcPr>
            <w:tcW w:w="411" w:type="dxa"/>
            <w:shd w:val="clear" w:color="auto" w:fill="auto"/>
            <w:vAlign w:val="center"/>
          </w:tcPr>
          <w:p w14:paraId="21509E39"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3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2.08</w:t>
            </w:r>
          </w:p>
        </w:tc>
        <w:tc>
          <w:tcPr>
            <w:tcW w:w="348" w:type="dxa"/>
            <w:shd w:val="clear" w:color="auto" w:fill="auto"/>
            <w:vAlign w:val="center"/>
          </w:tcPr>
          <w:p w14:paraId="21509E3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3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210" w:type="dxa"/>
            <w:shd w:val="clear" w:color="auto" w:fill="auto"/>
            <w:vAlign w:val="center"/>
          </w:tcPr>
          <w:p w14:paraId="21509E3D"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3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50" w14:textId="77777777">
        <w:trPr>
          <w:trHeight w:val="806"/>
        </w:trPr>
        <w:tc>
          <w:tcPr>
            <w:tcW w:w="550" w:type="dxa"/>
          </w:tcPr>
          <w:p w14:paraId="21509E40" w14:textId="77777777" w:rsidR="00E7693B" w:rsidRPr="00E7693B" w:rsidRDefault="00E7693B">
            <w:pPr>
              <w:rPr>
                <w:rFonts w:ascii="Times New Roman" w:hAnsi="Times New Roman" w:cs="Times New Roman"/>
                <w:color w:val="000000"/>
              </w:rPr>
            </w:pPr>
          </w:p>
          <w:p w14:paraId="21509E41"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10</w:t>
            </w:r>
          </w:p>
        </w:tc>
        <w:tc>
          <w:tcPr>
            <w:tcW w:w="1350" w:type="dxa"/>
            <w:shd w:val="clear" w:color="auto" w:fill="auto"/>
            <w:vAlign w:val="center"/>
          </w:tcPr>
          <w:p w14:paraId="21509E42"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3-Hexanone, 2,5-dimethyl-4-nitro-</w:t>
            </w:r>
          </w:p>
        </w:tc>
        <w:tc>
          <w:tcPr>
            <w:tcW w:w="1002" w:type="dxa"/>
            <w:shd w:val="clear" w:color="auto" w:fill="auto"/>
            <w:vAlign w:val="center"/>
          </w:tcPr>
          <w:p w14:paraId="21509E4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0.99</w:t>
            </w:r>
          </w:p>
        </w:tc>
        <w:tc>
          <w:tcPr>
            <w:tcW w:w="363" w:type="dxa"/>
            <w:shd w:val="clear" w:color="auto" w:fill="auto"/>
            <w:vAlign w:val="center"/>
          </w:tcPr>
          <w:p w14:paraId="21509E4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4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0.49</w:t>
            </w:r>
          </w:p>
        </w:tc>
        <w:tc>
          <w:tcPr>
            <w:tcW w:w="411" w:type="dxa"/>
            <w:shd w:val="clear" w:color="auto" w:fill="auto"/>
            <w:vAlign w:val="center"/>
          </w:tcPr>
          <w:p w14:paraId="21509E46"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4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0.04</w:t>
            </w:r>
          </w:p>
        </w:tc>
        <w:tc>
          <w:tcPr>
            <w:tcW w:w="348" w:type="dxa"/>
            <w:shd w:val="clear" w:color="auto" w:fill="auto"/>
            <w:vAlign w:val="center"/>
          </w:tcPr>
          <w:p w14:paraId="21509E4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4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411" w:type="dxa"/>
            <w:shd w:val="clear" w:color="auto" w:fill="auto"/>
            <w:vAlign w:val="center"/>
          </w:tcPr>
          <w:p w14:paraId="21509E4A"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4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348" w:type="dxa"/>
            <w:shd w:val="clear" w:color="auto" w:fill="auto"/>
            <w:vAlign w:val="center"/>
          </w:tcPr>
          <w:p w14:paraId="21509E4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4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9E4E"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4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61" w14:textId="77777777">
        <w:trPr>
          <w:trHeight w:val="806"/>
        </w:trPr>
        <w:tc>
          <w:tcPr>
            <w:tcW w:w="550" w:type="dxa"/>
          </w:tcPr>
          <w:p w14:paraId="21509E51" w14:textId="77777777" w:rsidR="00E7693B" w:rsidRPr="00E7693B" w:rsidRDefault="00E7693B">
            <w:pPr>
              <w:rPr>
                <w:rFonts w:ascii="Times New Roman" w:hAnsi="Times New Roman" w:cs="Times New Roman"/>
                <w:color w:val="000000"/>
              </w:rPr>
            </w:pPr>
          </w:p>
          <w:p w14:paraId="21509E52"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11</w:t>
            </w:r>
          </w:p>
        </w:tc>
        <w:tc>
          <w:tcPr>
            <w:tcW w:w="1350" w:type="dxa"/>
            <w:shd w:val="clear" w:color="auto" w:fill="auto"/>
            <w:vAlign w:val="center"/>
          </w:tcPr>
          <w:p w14:paraId="21509E53"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3-Hexen-1-ol, acetate, (Z)-</w:t>
            </w:r>
          </w:p>
        </w:tc>
        <w:tc>
          <w:tcPr>
            <w:tcW w:w="1002" w:type="dxa"/>
            <w:shd w:val="clear" w:color="auto" w:fill="auto"/>
            <w:vAlign w:val="center"/>
          </w:tcPr>
          <w:p w14:paraId="21509E5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0.55</w:t>
            </w:r>
          </w:p>
        </w:tc>
        <w:tc>
          <w:tcPr>
            <w:tcW w:w="363" w:type="dxa"/>
            <w:shd w:val="clear" w:color="auto" w:fill="auto"/>
            <w:vAlign w:val="center"/>
          </w:tcPr>
          <w:p w14:paraId="21509E5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5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0.56</w:t>
            </w:r>
          </w:p>
        </w:tc>
        <w:tc>
          <w:tcPr>
            <w:tcW w:w="411" w:type="dxa"/>
            <w:shd w:val="clear" w:color="auto" w:fill="auto"/>
            <w:vAlign w:val="center"/>
          </w:tcPr>
          <w:p w14:paraId="21509E57"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5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348" w:type="dxa"/>
            <w:shd w:val="clear" w:color="auto" w:fill="auto"/>
            <w:vAlign w:val="center"/>
          </w:tcPr>
          <w:p w14:paraId="21509E5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5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0.98</w:t>
            </w:r>
          </w:p>
        </w:tc>
        <w:tc>
          <w:tcPr>
            <w:tcW w:w="411" w:type="dxa"/>
            <w:shd w:val="clear" w:color="auto" w:fill="auto"/>
            <w:vAlign w:val="center"/>
          </w:tcPr>
          <w:p w14:paraId="21509E5B"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5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348" w:type="dxa"/>
            <w:shd w:val="clear" w:color="auto" w:fill="auto"/>
            <w:vAlign w:val="center"/>
          </w:tcPr>
          <w:p w14:paraId="21509E5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5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9E5F"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6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72" w14:textId="77777777">
        <w:trPr>
          <w:trHeight w:val="806"/>
        </w:trPr>
        <w:tc>
          <w:tcPr>
            <w:tcW w:w="550" w:type="dxa"/>
          </w:tcPr>
          <w:p w14:paraId="21509E62" w14:textId="77777777" w:rsidR="00E7693B" w:rsidRPr="00E7693B" w:rsidRDefault="00E7693B">
            <w:pPr>
              <w:rPr>
                <w:rFonts w:ascii="Times New Roman" w:hAnsi="Times New Roman" w:cs="Times New Roman"/>
                <w:color w:val="000000"/>
              </w:rPr>
            </w:pPr>
          </w:p>
          <w:p w14:paraId="21509E63"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12</w:t>
            </w:r>
          </w:p>
        </w:tc>
        <w:tc>
          <w:tcPr>
            <w:tcW w:w="1350" w:type="dxa"/>
            <w:shd w:val="clear" w:color="auto" w:fill="auto"/>
            <w:vAlign w:val="center"/>
          </w:tcPr>
          <w:p w14:paraId="21509E64"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4-Hexen-3-ol</w:t>
            </w:r>
          </w:p>
        </w:tc>
        <w:tc>
          <w:tcPr>
            <w:tcW w:w="1002" w:type="dxa"/>
            <w:shd w:val="clear" w:color="auto" w:fill="auto"/>
            <w:vAlign w:val="center"/>
          </w:tcPr>
          <w:p w14:paraId="21509E6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1.76</w:t>
            </w:r>
          </w:p>
        </w:tc>
        <w:tc>
          <w:tcPr>
            <w:tcW w:w="363" w:type="dxa"/>
            <w:shd w:val="clear" w:color="auto" w:fill="auto"/>
            <w:vAlign w:val="center"/>
          </w:tcPr>
          <w:p w14:paraId="21509E6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6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0.36</w:t>
            </w:r>
          </w:p>
        </w:tc>
        <w:tc>
          <w:tcPr>
            <w:tcW w:w="411" w:type="dxa"/>
            <w:shd w:val="clear" w:color="auto" w:fill="auto"/>
            <w:vAlign w:val="center"/>
          </w:tcPr>
          <w:p w14:paraId="21509E68"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6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0.28</w:t>
            </w:r>
          </w:p>
        </w:tc>
        <w:tc>
          <w:tcPr>
            <w:tcW w:w="348" w:type="dxa"/>
            <w:shd w:val="clear" w:color="auto" w:fill="auto"/>
            <w:vAlign w:val="center"/>
          </w:tcPr>
          <w:p w14:paraId="21509E6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6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9E6C"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6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0.16</w:t>
            </w:r>
          </w:p>
        </w:tc>
        <w:tc>
          <w:tcPr>
            <w:tcW w:w="348" w:type="dxa"/>
            <w:shd w:val="clear" w:color="auto" w:fill="auto"/>
            <w:vAlign w:val="center"/>
          </w:tcPr>
          <w:p w14:paraId="21509E6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6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E70"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7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83" w14:textId="77777777">
        <w:trPr>
          <w:trHeight w:val="806"/>
        </w:trPr>
        <w:tc>
          <w:tcPr>
            <w:tcW w:w="550" w:type="dxa"/>
          </w:tcPr>
          <w:p w14:paraId="21509E73" w14:textId="77777777" w:rsidR="00E7693B" w:rsidRPr="00E7693B" w:rsidRDefault="00E7693B">
            <w:pPr>
              <w:rPr>
                <w:rFonts w:ascii="Times New Roman" w:hAnsi="Times New Roman" w:cs="Times New Roman"/>
                <w:color w:val="000000"/>
              </w:rPr>
            </w:pPr>
          </w:p>
          <w:p w14:paraId="21509E74"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13</w:t>
            </w:r>
          </w:p>
        </w:tc>
        <w:tc>
          <w:tcPr>
            <w:tcW w:w="1350" w:type="dxa"/>
            <w:shd w:val="clear" w:color="auto" w:fill="auto"/>
            <w:vAlign w:val="center"/>
          </w:tcPr>
          <w:p w14:paraId="21509E75"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5-Hepten-2-one, 6-methyl-</w:t>
            </w:r>
          </w:p>
        </w:tc>
        <w:tc>
          <w:tcPr>
            <w:tcW w:w="1002" w:type="dxa"/>
            <w:shd w:val="clear" w:color="auto" w:fill="auto"/>
            <w:vAlign w:val="center"/>
          </w:tcPr>
          <w:p w14:paraId="21509E7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1.88</w:t>
            </w:r>
          </w:p>
        </w:tc>
        <w:tc>
          <w:tcPr>
            <w:tcW w:w="363" w:type="dxa"/>
            <w:shd w:val="clear" w:color="auto" w:fill="auto"/>
            <w:vAlign w:val="center"/>
          </w:tcPr>
          <w:p w14:paraId="21509E7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7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0.36</w:t>
            </w:r>
          </w:p>
        </w:tc>
        <w:tc>
          <w:tcPr>
            <w:tcW w:w="411" w:type="dxa"/>
            <w:shd w:val="clear" w:color="auto" w:fill="auto"/>
            <w:vAlign w:val="center"/>
          </w:tcPr>
          <w:p w14:paraId="21509E79"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7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0.61</w:t>
            </w:r>
          </w:p>
        </w:tc>
        <w:tc>
          <w:tcPr>
            <w:tcW w:w="348" w:type="dxa"/>
            <w:shd w:val="clear" w:color="auto" w:fill="auto"/>
            <w:vAlign w:val="center"/>
          </w:tcPr>
          <w:p w14:paraId="21509E7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7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9E7D"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7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0.92</w:t>
            </w:r>
          </w:p>
        </w:tc>
        <w:tc>
          <w:tcPr>
            <w:tcW w:w="348" w:type="dxa"/>
            <w:shd w:val="clear" w:color="auto" w:fill="auto"/>
            <w:vAlign w:val="center"/>
          </w:tcPr>
          <w:p w14:paraId="21509E7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8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E81"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8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94" w14:textId="77777777">
        <w:trPr>
          <w:trHeight w:val="806"/>
        </w:trPr>
        <w:tc>
          <w:tcPr>
            <w:tcW w:w="550" w:type="dxa"/>
          </w:tcPr>
          <w:p w14:paraId="21509E84" w14:textId="77777777" w:rsidR="00E7693B" w:rsidRPr="00E7693B" w:rsidRDefault="00E7693B">
            <w:pPr>
              <w:rPr>
                <w:rFonts w:ascii="Times New Roman" w:hAnsi="Times New Roman" w:cs="Times New Roman"/>
                <w:color w:val="000000"/>
              </w:rPr>
            </w:pPr>
          </w:p>
          <w:p w14:paraId="21509E85"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14</w:t>
            </w:r>
          </w:p>
        </w:tc>
        <w:tc>
          <w:tcPr>
            <w:tcW w:w="1350" w:type="dxa"/>
            <w:shd w:val="clear" w:color="auto" w:fill="auto"/>
            <w:vAlign w:val="center"/>
          </w:tcPr>
          <w:p w14:paraId="21509E86"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Acetic acid, hexyl ester</w:t>
            </w:r>
          </w:p>
        </w:tc>
        <w:tc>
          <w:tcPr>
            <w:tcW w:w="1002" w:type="dxa"/>
            <w:shd w:val="clear" w:color="auto" w:fill="auto"/>
            <w:vAlign w:val="center"/>
          </w:tcPr>
          <w:p w14:paraId="21509E8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1.15</w:t>
            </w:r>
          </w:p>
        </w:tc>
        <w:tc>
          <w:tcPr>
            <w:tcW w:w="363" w:type="dxa"/>
            <w:shd w:val="clear" w:color="auto" w:fill="auto"/>
            <w:vAlign w:val="center"/>
          </w:tcPr>
          <w:p w14:paraId="21509E8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8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0.46</w:t>
            </w:r>
          </w:p>
        </w:tc>
        <w:tc>
          <w:tcPr>
            <w:tcW w:w="411" w:type="dxa"/>
            <w:shd w:val="clear" w:color="auto" w:fill="auto"/>
            <w:vAlign w:val="center"/>
          </w:tcPr>
          <w:p w14:paraId="21509E8A"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8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0.04</w:t>
            </w:r>
          </w:p>
        </w:tc>
        <w:tc>
          <w:tcPr>
            <w:tcW w:w="348" w:type="dxa"/>
            <w:shd w:val="clear" w:color="auto" w:fill="auto"/>
            <w:vAlign w:val="center"/>
          </w:tcPr>
          <w:p w14:paraId="21509E8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8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411" w:type="dxa"/>
            <w:shd w:val="clear" w:color="auto" w:fill="auto"/>
            <w:vAlign w:val="center"/>
          </w:tcPr>
          <w:p w14:paraId="21509E8E"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8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0.27</w:t>
            </w:r>
          </w:p>
        </w:tc>
        <w:tc>
          <w:tcPr>
            <w:tcW w:w="348" w:type="dxa"/>
            <w:shd w:val="clear" w:color="auto" w:fill="auto"/>
            <w:vAlign w:val="center"/>
          </w:tcPr>
          <w:p w14:paraId="21509E9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9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E92"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9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A5" w14:textId="77777777">
        <w:trPr>
          <w:trHeight w:val="806"/>
        </w:trPr>
        <w:tc>
          <w:tcPr>
            <w:tcW w:w="550" w:type="dxa"/>
          </w:tcPr>
          <w:p w14:paraId="21509E95" w14:textId="77777777" w:rsidR="00E7693B" w:rsidRPr="00E7693B" w:rsidRDefault="00E7693B">
            <w:pPr>
              <w:rPr>
                <w:rFonts w:ascii="Times New Roman" w:hAnsi="Times New Roman" w:cs="Times New Roman"/>
                <w:color w:val="000000"/>
              </w:rPr>
            </w:pPr>
          </w:p>
          <w:p w14:paraId="21509E96"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15</w:t>
            </w:r>
          </w:p>
        </w:tc>
        <w:tc>
          <w:tcPr>
            <w:tcW w:w="1350" w:type="dxa"/>
            <w:shd w:val="clear" w:color="auto" w:fill="auto"/>
            <w:vAlign w:val="center"/>
          </w:tcPr>
          <w:p w14:paraId="21509E97"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Acetic acid. pentyl ester</w:t>
            </w:r>
          </w:p>
        </w:tc>
        <w:tc>
          <w:tcPr>
            <w:tcW w:w="1002" w:type="dxa"/>
            <w:shd w:val="clear" w:color="auto" w:fill="auto"/>
            <w:vAlign w:val="center"/>
          </w:tcPr>
          <w:p w14:paraId="21509E9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0.35</w:t>
            </w:r>
          </w:p>
        </w:tc>
        <w:tc>
          <w:tcPr>
            <w:tcW w:w="363" w:type="dxa"/>
            <w:shd w:val="clear" w:color="auto" w:fill="auto"/>
            <w:vAlign w:val="center"/>
          </w:tcPr>
          <w:p w14:paraId="21509E9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9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0.62</w:t>
            </w:r>
          </w:p>
        </w:tc>
        <w:tc>
          <w:tcPr>
            <w:tcW w:w="411" w:type="dxa"/>
            <w:shd w:val="clear" w:color="auto" w:fill="auto"/>
            <w:vAlign w:val="center"/>
          </w:tcPr>
          <w:p w14:paraId="21509E9B"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9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1.63</w:t>
            </w:r>
          </w:p>
        </w:tc>
        <w:tc>
          <w:tcPr>
            <w:tcW w:w="348" w:type="dxa"/>
            <w:shd w:val="clear" w:color="auto" w:fill="auto"/>
            <w:vAlign w:val="center"/>
          </w:tcPr>
          <w:p w14:paraId="21509E9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9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0.53</w:t>
            </w:r>
          </w:p>
        </w:tc>
        <w:tc>
          <w:tcPr>
            <w:tcW w:w="411" w:type="dxa"/>
            <w:shd w:val="clear" w:color="auto" w:fill="auto"/>
            <w:vAlign w:val="center"/>
          </w:tcPr>
          <w:p w14:paraId="21509E9F"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A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348" w:type="dxa"/>
            <w:shd w:val="clear" w:color="auto" w:fill="auto"/>
            <w:vAlign w:val="center"/>
          </w:tcPr>
          <w:p w14:paraId="21509EA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A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9EA3"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A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B6" w14:textId="77777777">
        <w:trPr>
          <w:trHeight w:val="806"/>
        </w:trPr>
        <w:tc>
          <w:tcPr>
            <w:tcW w:w="550" w:type="dxa"/>
          </w:tcPr>
          <w:p w14:paraId="21509EA6" w14:textId="77777777" w:rsidR="00E7693B" w:rsidRPr="00E7693B" w:rsidRDefault="00E7693B">
            <w:pPr>
              <w:rPr>
                <w:rFonts w:ascii="Times New Roman" w:hAnsi="Times New Roman" w:cs="Times New Roman"/>
                <w:color w:val="000000"/>
              </w:rPr>
            </w:pPr>
          </w:p>
          <w:p w14:paraId="21509EA7"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16</w:t>
            </w:r>
          </w:p>
        </w:tc>
        <w:tc>
          <w:tcPr>
            <w:tcW w:w="1350" w:type="dxa"/>
            <w:shd w:val="clear" w:color="auto" w:fill="auto"/>
            <w:vAlign w:val="center"/>
          </w:tcPr>
          <w:p w14:paraId="21509EA8"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Allyl acetate</w:t>
            </w:r>
          </w:p>
        </w:tc>
        <w:tc>
          <w:tcPr>
            <w:tcW w:w="1002" w:type="dxa"/>
            <w:shd w:val="clear" w:color="auto" w:fill="auto"/>
            <w:vAlign w:val="center"/>
          </w:tcPr>
          <w:p w14:paraId="21509EA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7.52</w:t>
            </w:r>
          </w:p>
        </w:tc>
        <w:tc>
          <w:tcPr>
            <w:tcW w:w="363" w:type="dxa"/>
            <w:shd w:val="clear" w:color="auto" w:fill="auto"/>
            <w:vAlign w:val="center"/>
          </w:tcPr>
          <w:p w14:paraId="21509EA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A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0.07</w:t>
            </w:r>
          </w:p>
        </w:tc>
        <w:tc>
          <w:tcPr>
            <w:tcW w:w="411" w:type="dxa"/>
            <w:shd w:val="clear" w:color="auto" w:fill="auto"/>
            <w:vAlign w:val="center"/>
          </w:tcPr>
          <w:p w14:paraId="21509EA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EA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0.29</w:t>
            </w:r>
          </w:p>
        </w:tc>
        <w:tc>
          <w:tcPr>
            <w:tcW w:w="348" w:type="dxa"/>
            <w:shd w:val="clear" w:color="auto" w:fill="auto"/>
            <w:vAlign w:val="center"/>
          </w:tcPr>
          <w:p w14:paraId="21509EA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A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9EB0"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B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0.16</w:t>
            </w:r>
          </w:p>
        </w:tc>
        <w:tc>
          <w:tcPr>
            <w:tcW w:w="348" w:type="dxa"/>
            <w:shd w:val="clear" w:color="auto" w:fill="auto"/>
            <w:vAlign w:val="center"/>
          </w:tcPr>
          <w:p w14:paraId="21509EB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B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EB4"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B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C7" w14:textId="77777777">
        <w:trPr>
          <w:trHeight w:val="806"/>
        </w:trPr>
        <w:tc>
          <w:tcPr>
            <w:tcW w:w="550" w:type="dxa"/>
          </w:tcPr>
          <w:p w14:paraId="21509EB7" w14:textId="77777777" w:rsidR="00E7693B" w:rsidRPr="00E7693B" w:rsidRDefault="00E7693B">
            <w:pPr>
              <w:rPr>
                <w:rFonts w:ascii="Times New Roman" w:hAnsi="Times New Roman" w:cs="Times New Roman"/>
                <w:color w:val="000000"/>
              </w:rPr>
            </w:pPr>
          </w:p>
          <w:p w14:paraId="21509EB8"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17</w:t>
            </w:r>
          </w:p>
        </w:tc>
        <w:tc>
          <w:tcPr>
            <w:tcW w:w="1350" w:type="dxa"/>
            <w:shd w:val="clear" w:color="auto" w:fill="auto"/>
            <w:vAlign w:val="center"/>
          </w:tcPr>
          <w:p w14:paraId="21509EB9"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 xml:space="preserve">Alpha-limonene </w:t>
            </w:r>
            <w:proofErr w:type="spellStart"/>
            <w:r w:rsidRPr="00E7693B">
              <w:rPr>
                <w:rFonts w:ascii="Times New Roman" w:hAnsi="Times New Roman" w:cs="Times New Roman"/>
                <w:color w:val="000000"/>
              </w:rPr>
              <w:t>diepoxide</w:t>
            </w:r>
            <w:proofErr w:type="spellEnd"/>
          </w:p>
        </w:tc>
        <w:tc>
          <w:tcPr>
            <w:tcW w:w="1002" w:type="dxa"/>
            <w:shd w:val="clear" w:color="auto" w:fill="auto"/>
            <w:vAlign w:val="center"/>
          </w:tcPr>
          <w:p w14:paraId="21509EB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2.31</w:t>
            </w:r>
          </w:p>
        </w:tc>
        <w:tc>
          <w:tcPr>
            <w:tcW w:w="363" w:type="dxa"/>
            <w:shd w:val="clear" w:color="auto" w:fill="auto"/>
            <w:vAlign w:val="center"/>
          </w:tcPr>
          <w:p w14:paraId="21509EB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B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0.30</w:t>
            </w:r>
          </w:p>
        </w:tc>
        <w:tc>
          <w:tcPr>
            <w:tcW w:w="411" w:type="dxa"/>
            <w:shd w:val="clear" w:color="auto" w:fill="auto"/>
            <w:vAlign w:val="center"/>
          </w:tcPr>
          <w:p w14:paraId="21509EBD"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B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0.66</w:t>
            </w:r>
          </w:p>
        </w:tc>
        <w:tc>
          <w:tcPr>
            <w:tcW w:w="348" w:type="dxa"/>
            <w:shd w:val="clear" w:color="auto" w:fill="auto"/>
            <w:vAlign w:val="center"/>
          </w:tcPr>
          <w:p w14:paraId="21509EB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C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0.76</w:t>
            </w:r>
          </w:p>
        </w:tc>
        <w:tc>
          <w:tcPr>
            <w:tcW w:w="411" w:type="dxa"/>
            <w:shd w:val="clear" w:color="auto" w:fill="auto"/>
            <w:vAlign w:val="center"/>
          </w:tcPr>
          <w:p w14:paraId="21509EC1"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C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3.59</w:t>
            </w:r>
          </w:p>
        </w:tc>
        <w:tc>
          <w:tcPr>
            <w:tcW w:w="348" w:type="dxa"/>
            <w:shd w:val="clear" w:color="auto" w:fill="auto"/>
            <w:vAlign w:val="center"/>
          </w:tcPr>
          <w:p w14:paraId="21509EC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C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0.72</w:t>
            </w:r>
          </w:p>
        </w:tc>
        <w:tc>
          <w:tcPr>
            <w:tcW w:w="210" w:type="dxa"/>
            <w:shd w:val="clear" w:color="auto" w:fill="auto"/>
            <w:vAlign w:val="center"/>
          </w:tcPr>
          <w:p w14:paraId="21509EC5"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C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D8" w14:textId="77777777">
        <w:trPr>
          <w:trHeight w:val="806"/>
        </w:trPr>
        <w:tc>
          <w:tcPr>
            <w:tcW w:w="550" w:type="dxa"/>
          </w:tcPr>
          <w:p w14:paraId="21509EC8" w14:textId="77777777" w:rsidR="00E7693B" w:rsidRPr="00E7693B" w:rsidRDefault="00E7693B">
            <w:pPr>
              <w:rPr>
                <w:rFonts w:ascii="Times New Roman" w:hAnsi="Times New Roman" w:cs="Times New Roman"/>
                <w:color w:val="000000"/>
              </w:rPr>
            </w:pPr>
          </w:p>
          <w:p w14:paraId="21509EC9"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18</w:t>
            </w:r>
          </w:p>
        </w:tc>
        <w:tc>
          <w:tcPr>
            <w:tcW w:w="1350" w:type="dxa"/>
            <w:shd w:val="clear" w:color="auto" w:fill="auto"/>
            <w:vAlign w:val="center"/>
          </w:tcPr>
          <w:p w14:paraId="21509ECA"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Alpha-thujene</w:t>
            </w:r>
          </w:p>
        </w:tc>
        <w:tc>
          <w:tcPr>
            <w:tcW w:w="1002" w:type="dxa"/>
            <w:shd w:val="clear" w:color="auto" w:fill="auto"/>
            <w:vAlign w:val="center"/>
          </w:tcPr>
          <w:p w14:paraId="21509EC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0.89</w:t>
            </w:r>
          </w:p>
        </w:tc>
        <w:tc>
          <w:tcPr>
            <w:tcW w:w="363" w:type="dxa"/>
            <w:shd w:val="clear" w:color="auto" w:fill="auto"/>
            <w:vAlign w:val="center"/>
          </w:tcPr>
          <w:p w14:paraId="21509EC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C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0.51</w:t>
            </w:r>
          </w:p>
        </w:tc>
        <w:tc>
          <w:tcPr>
            <w:tcW w:w="411" w:type="dxa"/>
            <w:shd w:val="clear" w:color="auto" w:fill="auto"/>
            <w:vAlign w:val="center"/>
          </w:tcPr>
          <w:p w14:paraId="21509ECE"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C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13.84</w:t>
            </w:r>
          </w:p>
        </w:tc>
        <w:tc>
          <w:tcPr>
            <w:tcW w:w="348" w:type="dxa"/>
            <w:shd w:val="clear" w:color="auto" w:fill="auto"/>
            <w:vAlign w:val="center"/>
          </w:tcPr>
          <w:p w14:paraId="21509ED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D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411" w:type="dxa"/>
            <w:shd w:val="clear" w:color="auto" w:fill="auto"/>
            <w:vAlign w:val="center"/>
          </w:tcPr>
          <w:p w14:paraId="21509ED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ED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0.71</w:t>
            </w:r>
          </w:p>
        </w:tc>
        <w:tc>
          <w:tcPr>
            <w:tcW w:w="348" w:type="dxa"/>
            <w:shd w:val="clear" w:color="auto" w:fill="auto"/>
            <w:vAlign w:val="center"/>
          </w:tcPr>
          <w:p w14:paraId="21509ED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D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ED6"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D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E9" w14:textId="77777777">
        <w:trPr>
          <w:trHeight w:val="806"/>
        </w:trPr>
        <w:tc>
          <w:tcPr>
            <w:tcW w:w="550" w:type="dxa"/>
          </w:tcPr>
          <w:p w14:paraId="21509ED9" w14:textId="77777777" w:rsidR="00E7693B" w:rsidRPr="00E7693B" w:rsidRDefault="00E7693B">
            <w:pPr>
              <w:rPr>
                <w:rFonts w:ascii="Times New Roman" w:hAnsi="Times New Roman" w:cs="Times New Roman"/>
                <w:color w:val="000000"/>
              </w:rPr>
            </w:pPr>
          </w:p>
          <w:p w14:paraId="21509EDA"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19</w:t>
            </w:r>
          </w:p>
        </w:tc>
        <w:tc>
          <w:tcPr>
            <w:tcW w:w="1350" w:type="dxa"/>
            <w:shd w:val="clear" w:color="auto" w:fill="auto"/>
            <w:vAlign w:val="center"/>
          </w:tcPr>
          <w:p w14:paraId="21509EDB"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Benzoic acid, 2-ethylhexyl ester</w:t>
            </w:r>
          </w:p>
        </w:tc>
        <w:tc>
          <w:tcPr>
            <w:tcW w:w="1002" w:type="dxa"/>
            <w:shd w:val="clear" w:color="auto" w:fill="auto"/>
            <w:vAlign w:val="center"/>
          </w:tcPr>
          <w:p w14:paraId="21509ED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0.38</w:t>
            </w:r>
          </w:p>
        </w:tc>
        <w:tc>
          <w:tcPr>
            <w:tcW w:w="363" w:type="dxa"/>
            <w:shd w:val="clear" w:color="auto" w:fill="auto"/>
            <w:vAlign w:val="center"/>
          </w:tcPr>
          <w:p w14:paraId="21509ED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D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0.62</w:t>
            </w:r>
          </w:p>
        </w:tc>
        <w:tc>
          <w:tcPr>
            <w:tcW w:w="411" w:type="dxa"/>
            <w:shd w:val="clear" w:color="auto" w:fill="auto"/>
            <w:vAlign w:val="center"/>
          </w:tcPr>
          <w:p w14:paraId="21509EDF"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E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3.19</w:t>
            </w:r>
          </w:p>
        </w:tc>
        <w:tc>
          <w:tcPr>
            <w:tcW w:w="348" w:type="dxa"/>
            <w:shd w:val="clear" w:color="auto" w:fill="auto"/>
            <w:vAlign w:val="center"/>
          </w:tcPr>
          <w:p w14:paraId="21509EE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E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0.32</w:t>
            </w:r>
          </w:p>
        </w:tc>
        <w:tc>
          <w:tcPr>
            <w:tcW w:w="411" w:type="dxa"/>
            <w:shd w:val="clear" w:color="auto" w:fill="auto"/>
            <w:vAlign w:val="center"/>
          </w:tcPr>
          <w:p w14:paraId="21509EE3"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E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0.32</w:t>
            </w:r>
          </w:p>
        </w:tc>
        <w:tc>
          <w:tcPr>
            <w:tcW w:w="348" w:type="dxa"/>
            <w:shd w:val="clear" w:color="auto" w:fill="auto"/>
            <w:vAlign w:val="center"/>
          </w:tcPr>
          <w:p w14:paraId="21509EE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E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EE7"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E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EFA" w14:textId="77777777">
        <w:trPr>
          <w:trHeight w:val="806"/>
        </w:trPr>
        <w:tc>
          <w:tcPr>
            <w:tcW w:w="550" w:type="dxa"/>
          </w:tcPr>
          <w:p w14:paraId="21509EEA" w14:textId="77777777" w:rsidR="00E7693B" w:rsidRPr="00E7693B" w:rsidRDefault="00E7693B">
            <w:pPr>
              <w:rPr>
                <w:rFonts w:ascii="Times New Roman" w:hAnsi="Times New Roman" w:cs="Times New Roman"/>
                <w:color w:val="000000"/>
              </w:rPr>
            </w:pPr>
          </w:p>
          <w:p w14:paraId="21509EEB"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20</w:t>
            </w:r>
          </w:p>
        </w:tc>
        <w:tc>
          <w:tcPr>
            <w:tcW w:w="1350" w:type="dxa"/>
            <w:shd w:val="clear" w:color="auto" w:fill="auto"/>
            <w:vAlign w:val="center"/>
          </w:tcPr>
          <w:p w14:paraId="21509EEC"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Benzoic acid, hexyl ester</w:t>
            </w:r>
          </w:p>
        </w:tc>
        <w:tc>
          <w:tcPr>
            <w:tcW w:w="1002" w:type="dxa"/>
            <w:shd w:val="clear" w:color="auto" w:fill="auto"/>
            <w:vAlign w:val="center"/>
          </w:tcPr>
          <w:p w14:paraId="21509EE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4.20</w:t>
            </w:r>
          </w:p>
        </w:tc>
        <w:tc>
          <w:tcPr>
            <w:tcW w:w="363" w:type="dxa"/>
            <w:shd w:val="clear" w:color="auto" w:fill="auto"/>
            <w:vAlign w:val="center"/>
          </w:tcPr>
          <w:p w14:paraId="21509EE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EE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0.19</w:t>
            </w:r>
          </w:p>
        </w:tc>
        <w:tc>
          <w:tcPr>
            <w:tcW w:w="411" w:type="dxa"/>
            <w:shd w:val="clear" w:color="auto" w:fill="auto"/>
            <w:vAlign w:val="center"/>
          </w:tcPr>
          <w:p w14:paraId="21509EF0"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F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0.29</w:t>
            </w:r>
          </w:p>
        </w:tc>
        <w:tc>
          <w:tcPr>
            <w:tcW w:w="348" w:type="dxa"/>
            <w:shd w:val="clear" w:color="auto" w:fill="auto"/>
            <w:vAlign w:val="center"/>
          </w:tcPr>
          <w:p w14:paraId="21509EF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EF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9EF4"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EF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2.67</w:t>
            </w:r>
          </w:p>
        </w:tc>
        <w:tc>
          <w:tcPr>
            <w:tcW w:w="348" w:type="dxa"/>
            <w:shd w:val="clear" w:color="auto" w:fill="auto"/>
            <w:vAlign w:val="center"/>
          </w:tcPr>
          <w:p w14:paraId="21509EF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EF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210" w:type="dxa"/>
            <w:shd w:val="clear" w:color="auto" w:fill="auto"/>
            <w:vAlign w:val="center"/>
          </w:tcPr>
          <w:p w14:paraId="21509EF8"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EF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0B" w14:textId="77777777">
        <w:trPr>
          <w:trHeight w:val="806"/>
        </w:trPr>
        <w:tc>
          <w:tcPr>
            <w:tcW w:w="550" w:type="dxa"/>
          </w:tcPr>
          <w:p w14:paraId="21509EFB" w14:textId="77777777" w:rsidR="00E7693B" w:rsidRPr="00E7693B" w:rsidRDefault="00E7693B">
            <w:pPr>
              <w:rPr>
                <w:rFonts w:ascii="Times New Roman" w:hAnsi="Times New Roman" w:cs="Times New Roman"/>
                <w:color w:val="000000"/>
              </w:rPr>
            </w:pPr>
          </w:p>
          <w:p w14:paraId="21509EFC"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21</w:t>
            </w:r>
          </w:p>
        </w:tc>
        <w:tc>
          <w:tcPr>
            <w:tcW w:w="1350" w:type="dxa"/>
            <w:shd w:val="clear" w:color="auto" w:fill="auto"/>
            <w:vAlign w:val="center"/>
          </w:tcPr>
          <w:p w14:paraId="21509EFD"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Benzonitrile</w:t>
            </w:r>
          </w:p>
        </w:tc>
        <w:tc>
          <w:tcPr>
            <w:tcW w:w="1002" w:type="dxa"/>
            <w:shd w:val="clear" w:color="auto" w:fill="auto"/>
            <w:vAlign w:val="center"/>
          </w:tcPr>
          <w:p w14:paraId="21509EF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8.31</w:t>
            </w:r>
          </w:p>
        </w:tc>
        <w:tc>
          <w:tcPr>
            <w:tcW w:w="363" w:type="dxa"/>
            <w:shd w:val="clear" w:color="auto" w:fill="auto"/>
            <w:vAlign w:val="center"/>
          </w:tcPr>
          <w:p w14:paraId="21509EF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0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0.07</w:t>
            </w:r>
          </w:p>
        </w:tc>
        <w:tc>
          <w:tcPr>
            <w:tcW w:w="411" w:type="dxa"/>
            <w:shd w:val="clear" w:color="auto" w:fill="auto"/>
            <w:vAlign w:val="center"/>
          </w:tcPr>
          <w:p w14:paraId="21509F0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0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0.96</w:t>
            </w:r>
          </w:p>
        </w:tc>
        <w:tc>
          <w:tcPr>
            <w:tcW w:w="348" w:type="dxa"/>
            <w:shd w:val="clear" w:color="auto" w:fill="auto"/>
            <w:vAlign w:val="center"/>
          </w:tcPr>
          <w:p w14:paraId="21509F0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0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0.70</w:t>
            </w:r>
          </w:p>
        </w:tc>
        <w:tc>
          <w:tcPr>
            <w:tcW w:w="411" w:type="dxa"/>
            <w:shd w:val="clear" w:color="auto" w:fill="auto"/>
            <w:vAlign w:val="center"/>
          </w:tcPr>
          <w:p w14:paraId="21509F05"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0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348" w:type="dxa"/>
            <w:shd w:val="clear" w:color="auto" w:fill="auto"/>
            <w:vAlign w:val="center"/>
          </w:tcPr>
          <w:p w14:paraId="21509F0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0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9F09"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0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1C" w14:textId="77777777">
        <w:trPr>
          <w:trHeight w:val="806"/>
        </w:trPr>
        <w:tc>
          <w:tcPr>
            <w:tcW w:w="550" w:type="dxa"/>
          </w:tcPr>
          <w:p w14:paraId="21509F0C" w14:textId="77777777" w:rsidR="00E7693B" w:rsidRPr="00E7693B" w:rsidRDefault="00E7693B">
            <w:pPr>
              <w:rPr>
                <w:rFonts w:ascii="Times New Roman" w:hAnsi="Times New Roman" w:cs="Times New Roman"/>
                <w:color w:val="000000"/>
              </w:rPr>
            </w:pPr>
          </w:p>
          <w:p w14:paraId="21509F0D"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22</w:t>
            </w:r>
          </w:p>
        </w:tc>
        <w:tc>
          <w:tcPr>
            <w:tcW w:w="1350" w:type="dxa"/>
            <w:shd w:val="clear" w:color="auto" w:fill="auto"/>
            <w:vAlign w:val="center"/>
          </w:tcPr>
          <w:p w14:paraId="21509F0E"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Butanenitrile</w:t>
            </w:r>
            <w:proofErr w:type="spellEnd"/>
            <w:r w:rsidRPr="00E7693B">
              <w:rPr>
                <w:rFonts w:ascii="Times New Roman" w:hAnsi="Times New Roman" w:cs="Times New Roman"/>
                <w:color w:val="000000"/>
              </w:rPr>
              <w:t>, 2-methyl-</w:t>
            </w:r>
          </w:p>
        </w:tc>
        <w:tc>
          <w:tcPr>
            <w:tcW w:w="1002" w:type="dxa"/>
            <w:shd w:val="clear" w:color="auto" w:fill="auto"/>
            <w:vAlign w:val="center"/>
          </w:tcPr>
          <w:p w14:paraId="21509F0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15.89</w:t>
            </w:r>
          </w:p>
        </w:tc>
        <w:tc>
          <w:tcPr>
            <w:tcW w:w="363" w:type="dxa"/>
            <w:shd w:val="clear" w:color="auto" w:fill="auto"/>
            <w:vAlign w:val="center"/>
          </w:tcPr>
          <w:p w14:paraId="21509F1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1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411" w:type="dxa"/>
            <w:shd w:val="clear" w:color="auto" w:fill="auto"/>
            <w:vAlign w:val="center"/>
          </w:tcPr>
          <w:p w14:paraId="21509F1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1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11.21</w:t>
            </w:r>
          </w:p>
        </w:tc>
        <w:tc>
          <w:tcPr>
            <w:tcW w:w="348" w:type="dxa"/>
            <w:shd w:val="clear" w:color="auto" w:fill="auto"/>
            <w:vAlign w:val="center"/>
          </w:tcPr>
          <w:p w14:paraId="21509F1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1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0.03</w:t>
            </w:r>
          </w:p>
        </w:tc>
        <w:tc>
          <w:tcPr>
            <w:tcW w:w="411" w:type="dxa"/>
            <w:shd w:val="clear" w:color="auto" w:fill="auto"/>
            <w:vAlign w:val="center"/>
          </w:tcPr>
          <w:p w14:paraId="21509F1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1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6.81</w:t>
            </w:r>
          </w:p>
        </w:tc>
        <w:tc>
          <w:tcPr>
            <w:tcW w:w="348" w:type="dxa"/>
            <w:shd w:val="clear" w:color="auto" w:fill="auto"/>
            <w:vAlign w:val="center"/>
          </w:tcPr>
          <w:p w14:paraId="21509F1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1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0.52</w:t>
            </w:r>
          </w:p>
        </w:tc>
        <w:tc>
          <w:tcPr>
            <w:tcW w:w="210" w:type="dxa"/>
            <w:shd w:val="clear" w:color="auto" w:fill="auto"/>
            <w:vAlign w:val="center"/>
          </w:tcPr>
          <w:p w14:paraId="21509F1A"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1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2D" w14:textId="77777777">
        <w:trPr>
          <w:trHeight w:val="806"/>
        </w:trPr>
        <w:tc>
          <w:tcPr>
            <w:tcW w:w="550" w:type="dxa"/>
          </w:tcPr>
          <w:p w14:paraId="21509F1D" w14:textId="77777777" w:rsidR="00E7693B" w:rsidRPr="00E7693B" w:rsidRDefault="00E7693B">
            <w:pPr>
              <w:rPr>
                <w:rFonts w:ascii="Times New Roman" w:hAnsi="Times New Roman" w:cs="Times New Roman"/>
                <w:color w:val="000000"/>
              </w:rPr>
            </w:pPr>
          </w:p>
          <w:p w14:paraId="21509F1E"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23</w:t>
            </w:r>
          </w:p>
        </w:tc>
        <w:tc>
          <w:tcPr>
            <w:tcW w:w="1350" w:type="dxa"/>
            <w:shd w:val="clear" w:color="auto" w:fill="auto"/>
            <w:vAlign w:val="center"/>
          </w:tcPr>
          <w:p w14:paraId="21509F1F"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Butanoic acid, 2-methyl-, hexyl ester</w:t>
            </w:r>
          </w:p>
        </w:tc>
        <w:tc>
          <w:tcPr>
            <w:tcW w:w="1002" w:type="dxa"/>
            <w:shd w:val="clear" w:color="auto" w:fill="auto"/>
            <w:vAlign w:val="center"/>
          </w:tcPr>
          <w:p w14:paraId="21509F2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17.81</w:t>
            </w:r>
          </w:p>
        </w:tc>
        <w:tc>
          <w:tcPr>
            <w:tcW w:w="363" w:type="dxa"/>
            <w:shd w:val="clear" w:color="auto" w:fill="auto"/>
            <w:vAlign w:val="center"/>
          </w:tcPr>
          <w:p w14:paraId="21509F2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2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411" w:type="dxa"/>
            <w:shd w:val="clear" w:color="auto" w:fill="auto"/>
            <w:vAlign w:val="center"/>
          </w:tcPr>
          <w:p w14:paraId="21509F2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2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0.72</w:t>
            </w:r>
          </w:p>
        </w:tc>
        <w:tc>
          <w:tcPr>
            <w:tcW w:w="348" w:type="dxa"/>
            <w:shd w:val="clear" w:color="auto" w:fill="auto"/>
            <w:vAlign w:val="center"/>
          </w:tcPr>
          <w:p w14:paraId="21509F2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2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0.75</w:t>
            </w:r>
          </w:p>
        </w:tc>
        <w:tc>
          <w:tcPr>
            <w:tcW w:w="411" w:type="dxa"/>
            <w:shd w:val="clear" w:color="auto" w:fill="auto"/>
            <w:vAlign w:val="center"/>
          </w:tcPr>
          <w:p w14:paraId="21509F27"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2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0.03</w:t>
            </w:r>
          </w:p>
        </w:tc>
        <w:tc>
          <w:tcPr>
            <w:tcW w:w="348" w:type="dxa"/>
            <w:shd w:val="clear" w:color="auto" w:fill="auto"/>
            <w:vAlign w:val="center"/>
          </w:tcPr>
          <w:p w14:paraId="21509F2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2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9F2B"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2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3E" w14:textId="77777777">
        <w:trPr>
          <w:trHeight w:val="806"/>
        </w:trPr>
        <w:tc>
          <w:tcPr>
            <w:tcW w:w="550" w:type="dxa"/>
          </w:tcPr>
          <w:p w14:paraId="21509F2E" w14:textId="77777777" w:rsidR="00E7693B" w:rsidRPr="00E7693B" w:rsidRDefault="00E7693B">
            <w:pPr>
              <w:rPr>
                <w:rFonts w:ascii="Times New Roman" w:hAnsi="Times New Roman" w:cs="Times New Roman"/>
                <w:color w:val="000000"/>
              </w:rPr>
            </w:pPr>
          </w:p>
          <w:p w14:paraId="21509F2F"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24</w:t>
            </w:r>
          </w:p>
        </w:tc>
        <w:tc>
          <w:tcPr>
            <w:tcW w:w="1350" w:type="dxa"/>
            <w:shd w:val="clear" w:color="auto" w:fill="auto"/>
            <w:vAlign w:val="center"/>
          </w:tcPr>
          <w:p w14:paraId="21509F30"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Butanoic acid, 2-methylpropyl ester</w:t>
            </w:r>
          </w:p>
        </w:tc>
        <w:tc>
          <w:tcPr>
            <w:tcW w:w="1002" w:type="dxa"/>
            <w:shd w:val="clear" w:color="auto" w:fill="auto"/>
            <w:vAlign w:val="center"/>
          </w:tcPr>
          <w:p w14:paraId="21509F3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0.69</w:t>
            </w:r>
          </w:p>
        </w:tc>
        <w:tc>
          <w:tcPr>
            <w:tcW w:w="363" w:type="dxa"/>
            <w:shd w:val="clear" w:color="auto" w:fill="auto"/>
            <w:vAlign w:val="center"/>
          </w:tcPr>
          <w:p w14:paraId="21509F3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3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0.55</w:t>
            </w:r>
          </w:p>
        </w:tc>
        <w:tc>
          <w:tcPr>
            <w:tcW w:w="411" w:type="dxa"/>
            <w:shd w:val="clear" w:color="auto" w:fill="auto"/>
            <w:vAlign w:val="center"/>
          </w:tcPr>
          <w:p w14:paraId="21509F34"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3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0.48</w:t>
            </w:r>
          </w:p>
        </w:tc>
        <w:tc>
          <w:tcPr>
            <w:tcW w:w="348" w:type="dxa"/>
            <w:shd w:val="clear" w:color="auto" w:fill="auto"/>
            <w:vAlign w:val="center"/>
          </w:tcPr>
          <w:p w14:paraId="21509F3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3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9F38"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3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348" w:type="dxa"/>
            <w:shd w:val="clear" w:color="auto" w:fill="auto"/>
            <w:vAlign w:val="center"/>
          </w:tcPr>
          <w:p w14:paraId="21509F3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3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9F3C"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3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4F" w14:textId="77777777">
        <w:trPr>
          <w:trHeight w:val="806"/>
        </w:trPr>
        <w:tc>
          <w:tcPr>
            <w:tcW w:w="550" w:type="dxa"/>
          </w:tcPr>
          <w:p w14:paraId="21509F3F" w14:textId="77777777" w:rsidR="00E7693B" w:rsidRPr="00E7693B" w:rsidRDefault="00E7693B">
            <w:pPr>
              <w:rPr>
                <w:rFonts w:ascii="Times New Roman" w:hAnsi="Times New Roman" w:cs="Times New Roman"/>
                <w:color w:val="000000"/>
              </w:rPr>
            </w:pPr>
          </w:p>
          <w:p w14:paraId="21509F40"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25</w:t>
            </w:r>
          </w:p>
        </w:tc>
        <w:tc>
          <w:tcPr>
            <w:tcW w:w="1350" w:type="dxa"/>
            <w:shd w:val="clear" w:color="auto" w:fill="auto"/>
            <w:vAlign w:val="center"/>
          </w:tcPr>
          <w:p w14:paraId="21509F41"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Butanoic acid, 3-methylbutyl ester</w:t>
            </w:r>
          </w:p>
        </w:tc>
        <w:tc>
          <w:tcPr>
            <w:tcW w:w="1002" w:type="dxa"/>
            <w:shd w:val="clear" w:color="auto" w:fill="auto"/>
            <w:vAlign w:val="center"/>
          </w:tcPr>
          <w:p w14:paraId="21509F4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1.65</w:t>
            </w:r>
          </w:p>
        </w:tc>
        <w:tc>
          <w:tcPr>
            <w:tcW w:w="363" w:type="dxa"/>
            <w:shd w:val="clear" w:color="auto" w:fill="auto"/>
            <w:vAlign w:val="center"/>
          </w:tcPr>
          <w:p w14:paraId="21509F4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4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0.37</w:t>
            </w:r>
          </w:p>
        </w:tc>
        <w:tc>
          <w:tcPr>
            <w:tcW w:w="411" w:type="dxa"/>
            <w:shd w:val="clear" w:color="auto" w:fill="auto"/>
            <w:vAlign w:val="center"/>
          </w:tcPr>
          <w:p w14:paraId="21509F45"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4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1.67</w:t>
            </w:r>
          </w:p>
        </w:tc>
        <w:tc>
          <w:tcPr>
            <w:tcW w:w="348" w:type="dxa"/>
            <w:shd w:val="clear" w:color="auto" w:fill="auto"/>
            <w:vAlign w:val="center"/>
          </w:tcPr>
          <w:p w14:paraId="21509F4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4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0.53</w:t>
            </w:r>
          </w:p>
        </w:tc>
        <w:tc>
          <w:tcPr>
            <w:tcW w:w="411" w:type="dxa"/>
            <w:shd w:val="clear" w:color="auto" w:fill="auto"/>
            <w:vAlign w:val="center"/>
          </w:tcPr>
          <w:p w14:paraId="21509F49"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4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0.11</w:t>
            </w:r>
          </w:p>
        </w:tc>
        <w:tc>
          <w:tcPr>
            <w:tcW w:w="348" w:type="dxa"/>
            <w:shd w:val="clear" w:color="auto" w:fill="auto"/>
            <w:vAlign w:val="center"/>
          </w:tcPr>
          <w:p w14:paraId="21509F4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4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0.96</w:t>
            </w:r>
          </w:p>
        </w:tc>
        <w:tc>
          <w:tcPr>
            <w:tcW w:w="210" w:type="dxa"/>
            <w:shd w:val="clear" w:color="auto" w:fill="auto"/>
            <w:vAlign w:val="center"/>
          </w:tcPr>
          <w:p w14:paraId="21509F4D"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4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60" w14:textId="77777777">
        <w:trPr>
          <w:trHeight w:val="806"/>
        </w:trPr>
        <w:tc>
          <w:tcPr>
            <w:tcW w:w="550" w:type="dxa"/>
          </w:tcPr>
          <w:p w14:paraId="21509F50" w14:textId="77777777" w:rsidR="00E7693B" w:rsidRPr="00E7693B" w:rsidRDefault="00E7693B">
            <w:pPr>
              <w:rPr>
                <w:rFonts w:ascii="Times New Roman" w:hAnsi="Times New Roman" w:cs="Times New Roman"/>
                <w:color w:val="000000"/>
              </w:rPr>
            </w:pPr>
          </w:p>
          <w:p w14:paraId="21509F51"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26</w:t>
            </w:r>
          </w:p>
        </w:tc>
        <w:tc>
          <w:tcPr>
            <w:tcW w:w="1350" w:type="dxa"/>
            <w:shd w:val="clear" w:color="auto" w:fill="auto"/>
            <w:vAlign w:val="center"/>
          </w:tcPr>
          <w:p w14:paraId="21509F52"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Butanoic acid, butyl ester</w:t>
            </w:r>
          </w:p>
        </w:tc>
        <w:tc>
          <w:tcPr>
            <w:tcW w:w="1002" w:type="dxa"/>
            <w:shd w:val="clear" w:color="auto" w:fill="auto"/>
            <w:vAlign w:val="center"/>
          </w:tcPr>
          <w:p w14:paraId="21509F5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0.73</w:t>
            </w:r>
          </w:p>
        </w:tc>
        <w:tc>
          <w:tcPr>
            <w:tcW w:w="363" w:type="dxa"/>
            <w:shd w:val="clear" w:color="auto" w:fill="auto"/>
            <w:vAlign w:val="center"/>
          </w:tcPr>
          <w:p w14:paraId="21509F5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5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0.54</w:t>
            </w:r>
          </w:p>
        </w:tc>
        <w:tc>
          <w:tcPr>
            <w:tcW w:w="411" w:type="dxa"/>
            <w:shd w:val="clear" w:color="auto" w:fill="auto"/>
            <w:vAlign w:val="center"/>
          </w:tcPr>
          <w:p w14:paraId="21509F56"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5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0.45</w:t>
            </w:r>
          </w:p>
        </w:tc>
        <w:tc>
          <w:tcPr>
            <w:tcW w:w="348" w:type="dxa"/>
            <w:shd w:val="clear" w:color="auto" w:fill="auto"/>
            <w:vAlign w:val="center"/>
          </w:tcPr>
          <w:p w14:paraId="21509F5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5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9F5A"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5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2.16</w:t>
            </w:r>
          </w:p>
        </w:tc>
        <w:tc>
          <w:tcPr>
            <w:tcW w:w="348" w:type="dxa"/>
            <w:shd w:val="clear" w:color="auto" w:fill="auto"/>
            <w:vAlign w:val="center"/>
          </w:tcPr>
          <w:p w14:paraId="21509F5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5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210" w:type="dxa"/>
            <w:shd w:val="clear" w:color="auto" w:fill="auto"/>
            <w:vAlign w:val="center"/>
          </w:tcPr>
          <w:p w14:paraId="21509F5E"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5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71" w14:textId="77777777">
        <w:trPr>
          <w:trHeight w:val="806"/>
        </w:trPr>
        <w:tc>
          <w:tcPr>
            <w:tcW w:w="550" w:type="dxa"/>
          </w:tcPr>
          <w:p w14:paraId="21509F61" w14:textId="77777777" w:rsidR="00E7693B" w:rsidRPr="00E7693B" w:rsidRDefault="00E7693B">
            <w:pPr>
              <w:rPr>
                <w:rFonts w:ascii="Times New Roman" w:hAnsi="Times New Roman" w:cs="Times New Roman"/>
                <w:color w:val="000000"/>
              </w:rPr>
            </w:pPr>
          </w:p>
          <w:p w14:paraId="21509F62"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27</w:t>
            </w:r>
          </w:p>
        </w:tc>
        <w:tc>
          <w:tcPr>
            <w:tcW w:w="1350" w:type="dxa"/>
            <w:shd w:val="clear" w:color="auto" w:fill="auto"/>
            <w:vAlign w:val="center"/>
          </w:tcPr>
          <w:p w14:paraId="21509F63"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Cyclobutylamine</w:t>
            </w:r>
            <w:proofErr w:type="spellEnd"/>
          </w:p>
        </w:tc>
        <w:tc>
          <w:tcPr>
            <w:tcW w:w="1002" w:type="dxa"/>
            <w:shd w:val="clear" w:color="auto" w:fill="auto"/>
            <w:vAlign w:val="center"/>
          </w:tcPr>
          <w:p w14:paraId="21509F6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9.24</w:t>
            </w:r>
          </w:p>
        </w:tc>
        <w:tc>
          <w:tcPr>
            <w:tcW w:w="363" w:type="dxa"/>
            <w:shd w:val="clear" w:color="auto" w:fill="auto"/>
            <w:vAlign w:val="center"/>
          </w:tcPr>
          <w:p w14:paraId="21509F6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6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0.06</w:t>
            </w:r>
          </w:p>
        </w:tc>
        <w:tc>
          <w:tcPr>
            <w:tcW w:w="411" w:type="dxa"/>
            <w:shd w:val="clear" w:color="auto" w:fill="auto"/>
            <w:vAlign w:val="center"/>
          </w:tcPr>
          <w:p w14:paraId="21509F6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6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348" w:type="dxa"/>
            <w:shd w:val="clear" w:color="auto" w:fill="auto"/>
            <w:vAlign w:val="center"/>
          </w:tcPr>
          <w:p w14:paraId="21509F6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6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0.94</w:t>
            </w:r>
          </w:p>
        </w:tc>
        <w:tc>
          <w:tcPr>
            <w:tcW w:w="411" w:type="dxa"/>
            <w:shd w:val="clear" w:color="auto" w:fill="auto"/>
            <w:vAlign w:val="center"/>
          </w:tcPr>
          <w:p w14:paraId="21509F6B"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6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3.54</w:t>
            </w:r>
          </w:p>
        </w:tc>
        <w:tc>
          <w:tcPr>
            <w:tcW w:w="348" w:type="dxa"/>
            <w:shd w:val="clear" w:color="auto" w:fill="auto"/>
            <w:vAlign w:val="center"/>
          </w:tcPr>
          <w:p w14:paraId="21509F6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6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0.72</w:t>
            </w:r>
          </w:p>
        </w:tc>
        <w:tc>
          <w:tcPr>
            <w:tcW w:w="210" w:type="dxa"/>
            <w:shd w:val="clear" w:color="auto" w:fill="auto"/>
            <w:vAlign w:val="center"/>
          </w:tcPr>
          <w:p w14:paraId="21509F6F"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7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82" w14:textId="77777777">
        <w:trPr>
          <w:trHeight w:val="806"/>
        </w:trPr>
        <w:tc>
          <w:tcPr>
            <w:tcW w:w="550" w:type="dxa"/>
          </w:tcPr>
          <w:p w14:paraId="21509F72" w14:textId="77777777" w:rsidR="00E7693B" w:rsidRPr="00E7693B" w:rsidRDefault="00E7693B">
            <w:pPr>
              <w:rPr>
                <w:rFonts w:ascii="Times New Roman" w:hAnsi="Times New Roman" w:cs="Times New Roman"/>
                <w:color w:val="000000"/>
              </w:rPr>
            </w:pPr>
          </w:p>
          <w:p w14:paraId="21509F73"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28</w:t>
            </w:r>
          </w:p>
        </w:tc>
        <w:tc>
          <w:tcPr>
            <w:tcW w:w="1350" w:type="dxa"/>
            <w:shd w:val="clear" w:color="auto" w:fill="auto"/>
            <w:vAlign w:val="center"/>
          </w:tcPr>
          <w:p w14:paraId="21509F74"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Cyclohexanone</w:t>
            </w:r>
          </w:p>
        </w:tc>
        <w:tc>
          <w:tcPr>
            <w:tcW w:w="1002" w:type="dxa"/>
            <w:shd w:val="clear" w:color="auto" w:fill="auto"/>
            <w:vAlign w:val="center"/>
          </w:tcPr>
          <w:p w14:paraId="21509F7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29.51</w:t>
            </w:r>
          </w:p>
        </w:tc>
        <w:tc>
          <w:tcPr>
            <w:tcW w:w="363" w:type="dxa"/>
            <w:shd w:val="clear" w:color="auto" w:fill="auto"/>
            <w:vAlign w:val="center"/>
          </w:tcPr>
          <w:p w14:paraId="21509F7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7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&lt;0.001</w:t>
            </w:r>
          </w:p>
        </w:tc>
        <w:tc>
          <w:tcPr>
            <w:tcW w:w="411" w:type="dxa"/>
            <w:shd w:val="clear" w:color="auto" w:fill="auto"/>
            <w:vAlign w:val="center"/>
          </w:tcPr>
          <w:p w14:paraId="21509F7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7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3.38</w:t>
            </w:r>
          </w:p>
        </w:tc>
        <w:tc>
          <w:tcPr>
            <w:tcW w:w="348" w:type="dxa"/>
            <w:shd w:val="clear" w:color="auto" w:fill="auto"/>
            <w:vAlign w:val="center"/>
          </w:tcPr>
          <w:p w14:paraId="21509F7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7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0.31</w:t>
            </w:r>
          </w:p>
        </w:tc>
        <w:tc>
          <w:tcPr>
            <w:tcW w:w="411" w:type="dxa"/>
            <w:shd w:val="clear" w:color="auto" w:fill="auto"/>
            <w:vAlign w:val="center"/>
          </w:tcPr>
          <w:p w14:paraId="21509F7C"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7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0.28</w:t>
            </w:r>
          </w:p>
        </w:tc>
        <w:tc>
          <w:tcPr>
            <w:tcW w:w="348" w:type="dxa"/>
            <w:shd w:val="clear" w:color="auto" w:fill="auto"/>
            <w:vAlign w:val="center"/>
          </w:tcPr>
          <w:p w14:paraId="21509F7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7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F80"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8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93" w14:textId="77777777">
        <w:trPr>
          <w:trHeight w:val="806"/>
        </w:trPr>
        <w:tc>
          <w:tcPr>
            <w:tcW w:w="550" w:type="dxa"/>
          </w:tcPr>
          <w:p w14:paraId="21509F83" w14:textId="77777777" w:rsidR="00E7693B" w:rsidRPr="00E7693B" w:rsidRDefault="00E7693B">
            <w:pPr>
              <w:rPr>
                <w:rFonts w:ascii="Times New Roman" w:hAnsi="Times New Roman" w:cs="Times New Roman"/>
                <w:color w:val="000000"/>
              </w:rPr>
            </w:pPr>
          </w:p>
          <w:p w14:paraId="21509F84"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29</w:t>
            </w:r>
          </w:p>
        </w:tc>
        <w:tc>
          <w:tcPr>
            <w:tcW w:w="1350" w:type="dxa"/>
            <w:shd w:val="clear" w:color="auto" w:fill="auto"/>
            <w:vAlign w:val="center"/>
          </w:tcPr>
          <w:p w14:paraId="21509F85"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Decanal</w:t>
            </w:r>
          </w:p>
        </w:tc>
        <w:tc>
          <w:tcPr>
            <w:tcW w:w="1002" w:type="dxa"/>
            <w:shd w:val="clear" w:color="auto" w:fill="auto"/>
            <w:vAlign w:val="center"/>
          </w:tcPr>
          <w:p w14:paraId="21509F8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0.50</w:t>
            </w:r>
          </w:p>
        </w:tc>
        <w:tc>
          <w:tcPr>
            <w:tcW w:w="363" w:type="dxa"/>
            <w:shd w:val="clear" w:color="auto" w:fill="auto"/>
            <w:vAlign w:val="center"/>
          </w:tcPr>
          <w:p w14:paraId="21509F8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8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0.57</w:t>
            </w:r>
          </w:p>
        </w:tc>
        <w:tc>
          <w:tcPr>
            <w:tcW w:w="411" w:type="dxa"/>
            <w:shd w:val="clear" w:color="auto" w:fill="auto"/>
            <w:vAlign w:val="center"/>
          </w:tcPr>
          <w:p w14:paraId="21509F89"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8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3.45</w:t>
            </w:r>
          </w:p>
        </w:tc>
        <w:tc>
          <w:tcPr>
            <w:tcW w:w="348" w:type="dxa"/>
            <w:shd w:val="clear" w:color="auto" w:fill="auto"/>
            <w:vAlign w:val="center"/>
          </w:tcPr>
          <w:p w14:paraId="21509F8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8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0.31</w:t>
            </w:r>
          </w:p>
        </w:tc>
        <w:tc>
          <w:tcPr>
            <w:tcW w:w="411" w:type="dxa"/>
            <w:shd w:val="clear" w:color="auto" w:fill="auto"/>
            <w:vAlign w:val="center"/>
          </w:tcPr>
          <w:p w14:paraId="21509F8D"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8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0.45</w:t>
            </w:r>
          </w:p>
        </w:tc>
        <w:tc>
          <w:tcPr>
            <w:tcW w:w="348" w:type="dxa"/>
            <w:shd w:val="clear" w:color="auto" w:fill="auto"/>
            <w:vAlign w:val="center"/>
          </w:tcPr>
          <w:p w14:paraId="21509F8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9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F91"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9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A4" w14:textId="77777777">
        <w:trPr>
          <w:trHeight w:val="806"/>
        </w:trPr>
        <w:tc>
          <w:tcPr>
            <w:tcW w:w="550" w:type="dxa"/>
          </w:tcPr>
          <w:p w14:paraId="21509F94" w14:textId="77777777" w:rsidR="00E7693B" w:rsidRPr="00E7693B" w:rsidRDefault="00E7693B">
            <w:pPr>
              <w:rPr>
                <w:rFonts w:ascii="Times New Roman" w:hAnsi="Times New Roman" w:cs="Times New Roman"/>
                <w:color w:val="000000"/>
              </w:rPr>
            </w:pPr>
          </w:p>
          <w:p w14:paraId="21509F95"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30</w:t>
            </w:r>
          </w:p>
        </w:tc>
        <w:tc>
          <w:tcPr>
            <w:tcW w:w="1350" w:type="dxa"/>
            <w:shd w:val="clear" w:color="auto" w:fill="auto"/>
            <w:vAlign w:val="center"/>
          </w:tcPr>
          <w:p w14:paraId="21509F96"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Dimethyl sulfone</w:t>
            </w:r>
          </w:p>
        </w:tc>
        <w:tc>
          <w:tcPr>
            <w:tcW w:w="1002" w:type="dxa"/>
            <w:shd w:val="clear" w:color="auto" w:fill="auto"/>
            <w:vAlign w:val="center"/>
          </w:tcPr>
          <w:p w14:paraId="21509F9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1.77</w:t>
            </w:r>
          </w:p>
        </w:tc>
        <w:tc>
          <w:tcPr>
            <w:tcW w:w="363" w:type="dxa"/>
            <w:shd w:val="clear" w:color="auto" w:fill="auto"/>
            <w:vAlign w:val="center"/>
          </w:tcPr>
          <w:p w14:paraId="21509F9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9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0.36</w:t>
            </w:r>
          </w:p>
        </w:tc>
        <w:tc>
          <w:tcPr>
            <w:tcW w:w="411" w:type="dxa"/>
            <w:shd w:val="clear" w:color="auto" w:fill="auto"/>
            <w:vAlign w:val="center"/>
          </w:tcPr>
          <w:p w14:paraId="21509F9A"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9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8.01</w:t>
            </w:r>
          </w:p>
        </w:tc>
        <w:tc>
          <w:tcPr>
            <w:tcW w:w="348" w:type="dxa"/>
            <w:shd w:val="clear" w:color="auto" w:fill="auto"/>
            <w:vAlign w:val="center"/>
          </w:tcPr>
          <w:p w14:paraId="21509F9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9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0.07</w:t>
            </w:r>
          </w:p>
        </w:tc>
        <w:tc>
          <w:tcPr>
            <w:tcW w:w="411" w:type="dxa"/>
            <w:shd w:val="clear" w:color="auto" w:fill="auto"/>
            <w:vAlign w:val="center"/>
          </w:tcPr>
          <w:p w14:paraId="21509F9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9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1.32</w:t>
            </w:r>
          </w:p>
        </w:tc>
        <w:tc>
          <w:tcPr>
            <w:tcW w:w="348" w:type="dxa"/>
            <w:shd w:val="clear" w:color="auto" w:fill="auto"/>
            <w:vAlign w:val="center"/>
          </w:tcPr>
          <w:p w14:paraId="21509FA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A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210" w:type="dxa"/>
            <w:shd w:val="clear" w:color="auto" w:fill="auto"/>
            <w:vAlign w:val="center"/>
          </w:tcPr>
          <w:p w14:paraId="21509FA2"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A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B5" w14:textId="77777777">
        <w:trPr>
          <w:trHeight w:val="806"/>
        </w:trPr>
        <w:tc>
          <w:tcPr>
            <w:tcW w:w="550" w:type="dxa"/>
          </w:tcPr>
          <w:p w14:paraId="21509FA5" w14:textId="77777777" w:rsidR="00E7693B" w:rsidRPr="00E7693B" w:rsidRDefault="00E7693B">
            <w:pPr>
              <w:rPr>
                <w:rFonts w:ascii="Times New Roman" w:hAnsi="Times New Roman" w:cs="Times New Roman"/>
                <w:color w:val="000000"/>
              </w:rPr>
            </w:pPr>
          </w:p>
          <w:p w14:paraId="21509FA6"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31</w:t>
            </w:r>
          </w:p>
        </w:tc>
        <w:tc>
          <w:tcPr>
            <w:tcW w:w="1350" w:type="dxa"/>
            <w:shd w:val="clear" w:color="auto" w:fill="auto"/>
            <w:vAlign w:val="center"/>
          </w:tcPr>
          <w:p w14:paraId="21509FA7"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Dimethyl trisulfide</w:t>
            </w:r>
          </w:p>
        </w:tc>
        <w:tc>
          <w:tcPr>
            <w:tcW w:w="1002" w:type="dxa"/>
            <w:shd w:val="clear" w:color="auto" w:fill="auto"/>
            <w:vAlign w:val="center"/>
          </w:tcPr>
          <w:p w14:paraId="21509FA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2.96</w:t>
            </w:r>
          </w:p>
        </w:tc>
        <w:tc>
          <w:tcPr>
            <w:tcW w:w="363" w:type="dxa"/>
            <w:shd w:val="clear" w:color="auto" w:fill="auto"/>
            <w:vAlign w:val="center"/>
          </w:tcPr>
          <w:p w14:paraId="21509FA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A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0.29</w:t>
            </w:r>
          </w:p>
        </w:tc>
        <w:tc>
          <w:tcPr>
            <w:tcW w:w="411" w:type="dxa"/>
            <w:shd w:val="clear" w:color="auto" w:fill="auto"/>
            <w:vAlign w:val="center"/>
          </w:tcPr>
          <w:p w14:paraId="21509FAB"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A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348" w:type="dxa"/>
            <w:shd w:val="clear" w:color="auto" w:fill="auto"/>
            <w:vAlign w:val="center"/>
          </w:tcPr>
          <w:p w14:paraId="21509FA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A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0.75</w:t>
            </w:r>
          </w:p>
        </w:tc>
        <w:tc>
          <w:tcPr>
            <w:tcW w:w="411" w:type="dxa"/>
            <w:shd w:val="clear" w:color="auto" w:fill="auto"/>
            <w:vAlign w:val="center"/>
          </w:tcPr>
          <w:p w14:paraId="21509FAF"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B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2.05</w:t>
            </w:r>
          </w:p>
        </w:tc>
        <w:tc>
          <w:tcPr>
            <w:tcW w:w="348" w:type="dxa"/>
            <w:shd w:val="clear" w:color="auto" w:fill="auto"/>
            <w:vAlign w:val="center"/>
          </w:tcPr>
          <w:p w14:paraId="21509FB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B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210" w:type="dxa"/>
            <w:shd w:val="clear" w:color="auto" w:fill="auto"/>
            <w:vAlign w:val="center"/>
          </w:tcPr>
          <w:p w14:paraId="21509FB3"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B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C6" w14:textId="77777777">
        <w:trPr>
          <w:trHeight w:val="806"/>
        </w:trPr>
        <w:tc>
          <w:tcPr>
            <w:tcW w:w="550" w:type="dxa"/>
          </w:tcPr>
          <w:p w14:paraId="21509FB6" w14:textId="77777777" w:rsidR="00E7693B" w:rsidRPr="00E7693B" w:rsidRDefault="00E7693B">
            <w:pPr>
              <w:rPr>
                <w:rFonts w:ascii="Times New Roman" w:hAnsi="Times New Roman" w:cs="Times New Roman"/>
                <w:color w:val="000000"/>
              </w:rPr>
            </w:pPr>
          </w:p>
          <w:p w14:paraId="21509FB7"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32</w:t>
            </w:r>
          </w:p>
        </w:tc>
        <w:tc>
          <w:tcPr>
            <w:tcW w:w="1350" w:type="dxa"/>
            <w:shd w:val="clear" w:color="auto" w:fill="auto"/>
            <w:vAlign w:val="center"/>
          </w:tcPr>
          <w:p w14:paraId="21509FB8"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Disulfide, dimethyl</w:t>
            </w:r>
          </w:p>
        </w:tc>
        <w:tc>
          <w:tcPr>
            <w:tcW w:w="1002" w:type="dxa"/>
            <w:shd w:val="clear" w:color="auto" w:fill="auto"/>
            <w:vAlign w:val="center"/>
          </w:tcPr>
          <w:p w14:paraId="21509FB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8.83</w:t>
            </w:r>
          </w:p>
        </w:tc>
        <w:tc>
          <w:tcPr>
            <w:tcW w:w="363" w:type="dxa"/>
            <w:shd w:val="clear" w:color="auto" w:fill="auto"/>
            <w:vAlign w:val="center"/>
          </w:tcPr>
          <w:p w14:paraId="21509FB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B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0.06</w:t>
            </w:r>
          </w:p>
        </w:tc>
        <w:tc>
          <w:tcPr>
            <w:tcW w:w="411" w:type="dxa"/>
            <w:shd w:val="clear" w:color="auto" w:fill="auto"/>
            <w:vAlign w:val="center"/>
          </w:tcPr>
          <w:p w14:paraId="21509FB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B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15.71</w:t>
            </w:r>
          </w:p>
        </w:tc>
        <w:tc>
          <w:tcPr>
            <w:tcW w:w="348" w:type="dxa"/>
            <w:shd w:val="clear" w:color="auto" w:fill="auto"/>
            <w:vAlign w:val="center"/>
          </w:tcPr>
          <w:p w14:paraId="21509FB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B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411" w:type="dxa"/>
            <w:shd w:val="clear" w:color="auto" w:fill="auto"/>
            <w:vAlign w:val="center"/>
          </w:tcPr>
          <w:p w14:paraId="21509FC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C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4.43</w:t>
            </w:r>
          </w:p>
        </w:tc>
        <w:tc>
          <w:tcPr>
            <w:tcW w:w="348" w:type="dxa"/>
            <w:shd w:val="clear" w:color="auto" w:fill="auto"/>
            <w:vAlign w:val="center"/>
          </w:tcPr>
          <w:p w14:paraId="21509FC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C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0.72</w:t>
            </w:r>
          </w:p>
        </w:tc>
        <w:tc>
          <w:tcPr>
            <w:tcW w:w="210" w:type="dxa"/>
            <w:shd w:val="clear" w:color="auto" w:fill="auto"/>
            <w:vAlign w:val="center"/>
          </w:tcPr>
          <w:p w14:paraId="21509FC4"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C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D7" w14:textId="77777777">
        <w:trPr>
          <w:trHeight w:val="806"/>
        </w:trPr>
        <w:tc>
          <w:tcPr>
            <w:tcW w:w="550" w:type="dxa"/>
          </w:tcPr>
          <w:p w14:paraId="21509FC7" w14:textId="77777777" w:rsidR="00E7693B" w:rsidRPr="00E7693B" w:rsidRDefault="00E7693B">
            <w:pPr>
              <w:rPr>
                <w:rFonts w:ascii="Times New Roman" w:hAnsi="Times New Roman" w:cs="Times New Roman"/>
                <w:color w:val="000000"/>
              </w:rPr>
            </w:pPr>
          </w:p>
          <w:p w14:paraId="21509FC8"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33</w:t>
            </w:r>
          </w:p>
        </w:tc>
        <w:tc>
          <w:tcPr>
            <w:tcW w:w="1350" w:type="dxa"/>
            <w:shd w:val="clear" w:color="auto" w:fill="auto"/>
            <w:vAlign w:val="center"/>
          </w:tcPr>
          <w:p w14:paraId="21509FC9"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Dodecanal</w:t>
            </w:r>
          </w:p>
        </w:tc>
        <w:tc>
          <w:tcPr>
            <w:tcW w:w="1002" w:type="dxa"/>
            <w:shd w:val="clear" w:color="auto" w:fill="auto"/>
            <w:vAlign w:val="center"/>
          </w:tcPr>
          <w:p w14:paraId="21509FC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1.52</w:t>
            </w:r>
          </w:p>
        </w:tc>
        <w:tc>
          <w:tcPr>
            <w:tcW w:w="363" w:type="dxa"/>
            <w:shd w:val="clear" w:color="auto" w:fill="auto"/>
            <w:vAlign w:val="center"/>
          </w:tcPr>
          <w:p w14:paraId="21509FC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C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0.38</w:t>
            </w:r>
          </w:p>
        </w:tc>
        <w:tc>
          <w:tcPr>
            <w:tcW w:w="411" w:type="dxa"/>
            <w:shd w:val="clear" w:color="auto" w:fill="auto"/>
            <w:vAlign w:val="center"/>
          </w:tcPr>
          <w:p w14:paraId="21509FCD"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C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1.21</w:t>
            </w:r>
          </w:p>
        </w:tc>
        <w:tc>
          <w:tcPr>
            <w:tcW w:w="348" w:type="dxa"/>
            <w:shd w:val="clear" w:color="auto" w:fill="auto"/>
            <w:vAlign w:val="center"/>
          </w:tcPr>
          <w:p w14:paraId="21509FC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D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0.61</w:t>
            </w:r>
          </w:p>
        </w:tc>
        <w:tc>
          <w:tcPr>
            <w:tcW w:w="411" w:type="dxa"/>
            <w:shd w:val="clear" w:color="auto" w:fill="auto"/>
            <w:vAlign w:val="center"/>
          </w:tcPr>
          <w:p w14:paraId="21509FD1"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D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0.83</w:t>
            </w:r>
          </w:p>
        </w:tc>
        <w:tc>
          <w:tcPr>
            <w:tcW w:w="348" w:type="dxa"/>
            <w:shd w:val="clear" w:color="auto" w:fill="auto"/>
            <w:vAlign w:val="center"/>
          </w:tcPr>
          <w:p w14:paraId="21509FD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D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FD5"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D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E8" w14:textId="77777777">
        <w:trPr>
          <w:trHeight w:val="806"/>
        </w:trPr>
        <w:tc>
          <w:tcPr>
            <w:tcW w:w="550" w:type="dxa"/>
          </w:tcPr>
          <w:p w14:paraId="21509FD8" w14:textId="77777777" w:rsidR="00E7693B" w:rsidRPr="00E7693B" w:rsidRDefault="00E7693B">
            <w:pPr>
              <w:rPr>
                <w:rFonts w:ascii="Times New Roman" w:hAnsi="Times New Roman" w:cs="Times New Roman"/>
                <w:color w:val="000000"/>
              </w:rPr>
            </w:pPr>
          </w:p>
          <w:p w14:paraId="21509FD9"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34</w:t>
            </w:r>
          </w:p>
        </w:tc>
        <w:tc>
          <w:tcPr>
            <w:tcW w:w="1350" w:type="dxa"/>
            <w:shd w:val="clear" w:color="auto" w:fill="auto"/>
            <w:vAlign w:val="center"/>
          </w:tcPr>
          <w:p w14:paraId="21509FDA"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Ethanol, 2-phenoxy-</w:t>
            </w:r>
          </w:p>
        </w:tc>
        <w:tc>
          <w:tcPr>
            <w:tcW w:w="1002" w:type="dxa"/>
            <w:shd w:val="clear" w:color="auto" w:fill="auto"/>
            <w:vAlign w:val="center"/>
          </w:tcPr>
          <w:p w14:paraId="21509FD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2.58</w:t>
            </w:r>
          </w:p>
        </w:tc>
        <w:tc>
          <w:tcPr>
            <w:tcW w:w="363" w:type="dxa"/>
            <w:shd w:val="clear" w:color="auto" w:fill="auto"/>
            <w:vAlign w:val="center"/>
          </w:tcPr>
          <w:p w14:paraId="21509FD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D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0.30</w:t>
            </w:r>
          </w:p>
        </w:tc>
        <w:tc>
          <w:tcPr>
            <w:tcW w:w="411" w:type="dxa"/>
            <w:shd w:val="clear" w:color="auto" w:fill="auto"/>
            <w:vAlign w:val="center"/>
          </w:tcPr>
          <w:p w14:paraId="21509FDE"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9FD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59.27</w:t>
            </w:r>
          </w:p>
        </w:tc>
        <w:tc>
          <w:tcPr>
            <w:tcW w:w="348" w:type="dxa"/>
            <w:shd w:val="clear" w:color="auto" w:fill="auto"/>
            <w:vAlign w:val="center"/>
          </w:tcPr>
          <w:p w14:paraId="21509FE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E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&lt;0.001</w:t>
            </w:r>
          </w:p>
        </w:tc>
        <w:tc>
          <w:tcPr>
            <w:tcW w:w="411" w:type="dxa"/>
            <w:shd w:val="clear" w:color="auto" w:fill="auto"/>
            <w:vAlign w:val="center"/>
          </w:tcPr>
          <w:p w14:paraId="21509FE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E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0.19</w:t>
            </w:r>
          </w:p>
        </w:tc>
        <w:tc>
          <w:tcPr>
            <w:tcW w:w="348" w:type="dxa"/>
            <w:shd w:val="clear" w:color="auto" w:fill="auto"/>
            <w:vAlign w:val="center"/>
          </w:tcPr>
          <w:p w14:paraId="21509FE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E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FE6"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E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9FF9" w14:textId="77777777">
        <w:trPr>
          <w:trHeight w:val="806"/>
        </w:trPr>
        <w:tc>
          <w:tcPr>
            <w:tcW w:w="550" w:type="dxa"/>
          </w:tcPr>
          <w:p w14:paraId="21509FE9" w14:textId="77777777" w:rsidR="00E7693B" w:rsidRPr="00E7693B" w:rsidRDefault="00E7693B">
            <w:pPr>
              <w:rPr>
                <w:rFonts w:ascii="Times New Roman" w:hAnsi="Times New Roman" w:cs="Times New Roman"/>
                <w:color w:val="000000"/>
              </w:rPr>
            </w:pPr>
          </w:p>
          <w:p w14:paraId="21509FEA"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35</w:t>
            </w:r>
          </w:p>
        </w:tc>
        <w:tc>
          <w:tcPr>
            <w:tcW w:w="1350" w:type="dxa"/>
            <w:shd w:val="clear" w:color="auto" w:fill="auto"/>
            <w:vAlign w:val="center"/>
          </w:tcPr>
          <w:p w14:paraId="21509FEB"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Ethylbenzene</w:t>
            </w:r>
          </w:p>
        </w:tc>
        <w:tc>
          <w:tcPr>
            <w:tcW w:w="1002" w:type="dxa"/>
            <w:shd w:val="clear" w:color="auto" w:fill="auto"/>
            <w:vAlign w:val="center"/>
          </w:tcPr>
          <w:p w14:paraId="21509FE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21.20</w:t>
            </w:r>
          </w:p>
        </w:tc>
        <w:tc>
          <w:tcPr>
            <w:tcW w:w="363" w:type="dxa"/>
            <w:shd w:val="clear" w:color="auto" w:fill="auto"/>
            <w:vAlign w:val="center"/>
          </w:tcPr>
          <w:p w14:paraId="21509FE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E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&lt;0.001</w:t>
            </w:r>
          </w:p>
        </w:tc>
        <w:tc>
          <w:tcPr>
            <w:tcW w:w="411" w:type="dxa"/>
            <w:shd w:val="clear" w:color="auto" w:fill="auto"/>
            <w:vAlign w:val="center"/>
          </w:tcPr>
          <w:p w14:paraId="21509FE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F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15.24</w:t>
            </w:r>
          </w:p>
        </w:tc>
        <w:tc>
          <w:tcPr>
            <w:tcW w:w="348" w:type="dxa"/>
            <w:shd w:val="clear" w:color="auto" w:fill="auto"/>
            <w:vAlign w:val="center"/>
          </w:tcPr>
          <w:p w14:paraId="21509FF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9FF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411" w:type="dxa"/>
            <w:shd w:val="clear" w:color="auto" w:fill="auto"/>
            <w:vAlign w:val="center"/>
          </w:tcPr>
          <w:p w14:paraId="21509FF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9FF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0.38</w:t>
            </w:r>
          </w:p>
        </w:tc>
        <w:tc>
          <w:tcPr>
            <w:tcW w:w="348" w:type="dxa"/>
            <w:shd w:val="clear" w:color="auto" w:fill="auto"/>
            <w:vAlign w:val="center"/>
          </w:tcPr>
          <w:p w14:paraId="21509FF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9FF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9FF7"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9FF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0A" w14:textId="77777777">
        <w:trPr>
          <w:trHeight w:val="806"/>
        </w:trPr>
        <w:tc>
          <w:tcPr>
            <w:tcW w:w="550" w:type="dxa"/>
          </w:tcPr>
          <w:p w14:paraId="21509FFA" w14:textId="77777777" w:rsidR="00E7693B" w:rsidRPr="00E7693B" w:rsidRDefault="00E7693B">
            <w:pPr>
              <w:rPr>
                <w:rFonts w:ascii="Times New Roman" w:hAnsi="Times New Roman" w:cs="Times New Roman"/>
                <w:color w:val="000000"/>
              </w:rPr>
            </w:pPr>
          </w:p>
          <w:p w14:paraId="21509FFB"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36</w:t>
            </w:r>
          </w:p>
        </w:tc>
        <w:tc>
          <w:tcPr>
            <w:tcW w:w="1350" w:type="dxa"/>
            <w:shd w:val="clear" w:color="auto" w:fill="auto"/>
            <w:vAlign w:val="center"/>
          </w:tcPr>
          <w:p w14:paraId="21509FFC"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Ethylene glycol diallyl ether</w:t>
            </w:r>
          </w:p>
        </w:tc>
        <w:tc>
          <w:tcPr>
            <w:tcW w:w="1002" w:type="dxa"/>
            <w:shd w:val="clear" w:color="auto" w:fill="auto"/>
            <w:vAlign w:val="center"/>
          </w:tcPr>
          <w:p w14:paraId="21509FF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2.31</w:t>
            </w:r>
          </w:p>
        </w:tc>
        <w:tc>
          <w:tcPr>
            <w:tcW w:w="363" w:type="dxa"/>
            <w:shd w:val="clear" w:color="auto" w:fill="auto"/>
            <w:vAlign w:val="center"/>
          </w:tcPr>
          <w:p w14:paraId="21509FF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9FF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0.30</w:t>
            </w:r>
          </w:p>
        </w:tc>
        <w:tc>
          <w:tcPr>
            <w:tcW w:w="411" w:type="dxa"/>
            <w:shd w:val="clear" w:color="auto" w:fill="auto"/>
            <w:vAlign w:val="center"/>
          </w:tcPr>
          <w:p w14:paraId="2150A000"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0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2.51</w:t>
            </w:r>
          </w:p>
        </w:tc>
        <w:tc>
          <w:tcPr>
            <w:tcW w:w="348" w:type="dxa"/>
            <w:shd w:val="clear" w:color="auto" w:fill="auto"/>
            <w:vAlign w:val="center"/>
          </w:tcPr>
          <w:p w14:paraId="2150A00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0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0.42</w:t>
            </w:r>
          </w:p>
        </w:tc>
        <w:tc>
          <w:tcPr>
            <w:tcW w:w="411" w:type="dxa"/>
            <w:shd w:val="clear" w:color="auto" w:fill="auto"/>
            <w:vAlign w:val="center"/>
          </w:tcPr>
          <w:p w14:paraId="2150A004"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0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0.63</w:t>
            </w:r>
          </w:p>
        </w:tc>
        <w:tc>
          <w:tcPr>
            <w:tcW w:w="348" w:type="dxa"/>
            <w:shd w:val="clear" w:color="auto" w:fill="auto"/>
            <w:vAlign w:val="center"/>
          </w:tcPr>
          <w:p w14:paraId="2150A00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0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A008"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0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1B" w14:textId="77777777">
        <w:trPr>
          <w:trHeight w:val="806"/>
        </w:trPr>
        <w:tc>
          <w:tcPr>
            <w:tcW w:w="550" w:type="dxa"/>
          </w:tcPr>
          <w:p w14:paraId="2150A00B" w14:textId="77777777" w:rsidR="00E7693B" w:rsidRPr="00E7693B" w:rsidRDefault="00E7693B">
            <w:pPr>
              <w:rPr>
                <w:rFonts w:ascii="Times New Roman" w:hAnsi="Times New Roman" w:cs="Times New Roman"/>
                <w:color w:val="000000"/>
              </w:rPr>
            </w:pPr>
          </w:p>
          <w:p w14:paraId="2150A00C"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37</w:t>
            </w:r>
          </w:p>
        </w:tc>
        <w:tc>
          <w:tcPr>
            <w:tcW w:w="1350" w:type="dxa"/>
            <w:shd w:val="clear" w:color="auto" w:fill="auto"/>
            <w:vAlign w:val="center"/>
          </w:tcPr>
          <w:p w14:paraId="2150A00D"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Formamide, N,N-dibutyl-</w:t>
            </w:r>
          </w:p>
        </w:tc>
        <w:tc>
          <w:tcPr>
            <w:tcW w:w="1002" w:type="dxa"/>
            <w:shd w:val="clear" w:color="auto" w:fill="auto"/>
            <w:vAlign w:val="center"/>
          </w:tcPr>
          <w:p w14:paraId="2150A00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363" w:type="dxa"/>
            <w:shd w:val="clear" w:color="auto" w:fill="auto"/>
            <w:vAlign w:val="center"/>
          </w:tcPr>
          <w:p w14:paraId="2150A00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1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0.90</w:t>
            </w:r>
          </w:p>
        </w:tc>
        <w:tc>
          <w:tcPr>
            <w:tcW w:w="411" w:type="dxa"/>
            <w:shd w:val="clear" w:color="auto" w:fill="auto"/>
            <w:vAlign w:val="center"/>
          </w:tcPr>
          <w:p w14:paraId="2150A011"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1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1.73</w:t>
            </w:r>
          </w:p>
        </w:tc>
        <w:tc>
          <w:tcPr>
            <w:tcW w:w="348" w:type="dxa"/>
            <w:shd w:val="clear" w:color="auto" w:fill="auto"/>
            <w:vAlign w:val="center"/>
          </w:tcPr>
          <w:p w14:paraId="2150A01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1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0.53</w:t>
            </w:r>
          </w:p>
        </w:tc>
        <w:tc>
          <w:tcPr>
            <w:tcW w:w="411" w:type="dxa"/>
            <w:shd w:val="clear" w:color="auto" w:fill="auto"/>
            <w:vAlign w:val="center"/>
          </w:tcPr>
          <w:p w14:paraId="2150A015"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1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0.47</w:t>
            </w:r>
          </w:p>
        </w:tc>
        <w:tc>
          <w:tcPr>
            <w:tcW w:w="348" w:type="dxa"/>
            <w:shd w:val="clear" w:color="auto" w:fill="auto"/>
            <w:vAlign w:val="center"/>
          </w:tcPr>
          <w:p w14:paraId="2150A01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1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A019"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1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2C" w14:textId="77777777">
        <w:trPr>
          <w:trHeight w:val="806"/>
        </w:trPr>
        <w:tc>
          <w:tcPr>
            <w:tcW w:w="550" w:type="dxa"/>
          </w:tcPr>
          <w:p w14:paraId="2150A01C" w14:textId="77777777" w:rsidR="00E7693B" w:rsidRPr="00E7693B" w:rsidRDefault="00E7693B">
            <w:pPr>
              <w:rPr>
                <w:rFonts w:ascii="Times New Roman" w:hAnsi="Times New Roman" w:cs="Times New Roman"/>
                <w:color w:val="000000"/>
              </w:rPr>
            </w:pPr>
          </w:p>
          <w:p w14:paraId="2150A01D"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38</w:t>
            </w:r>
          </w:p>
        </w:tc>
        <w:tc>
          <w:tcPr>
            <w:tcW w:w="1350" w:type="dxa"/>
            <w:shd w:val="clear" w:color="auto" w:fill="auto"/>
            <w:vAlign w:val="center"/>
          </w:tcPr>
          <w:p w14:paraId="2150A01E"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Heptanal</w:t>
            </w:r>
          </w:p>
        </w:tc>
        <w:tc>
          <w:tcPr>
            <w:tcW w:w="1002" w:type="dxa"/>
            <w:shd w:val="clear" w:color="auto" w:fill="auto"/>
            <w:vAlign w:val="center"/>
          </w:tcPr>
          <w:p w14:paraId="2150A01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7.04</w:t>
            </w:r>
          </w:p>
        </w:tc>
        <w:tc>
          <w:tcPr>
            <w:tcW w:w="363" w:type="dxa"/>
            <w:shd w:val="clear" w:color="auto" w:fill="auto"/>
            <w:vAlign w:val="center"/>
          </w:tcPr>
          <w:p w14:paraId="2150A02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2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0.08</w:t>
            </w:r>
          </w:p>
        </w:tc>
        <w:tc>
          <w:tcPr>
            <w:tcW w:w="411" w:type="dxa"/>
            <w:shd w:val="clear" w:color="auto" w:fill="auto"/>
            <w:vAlign w:val="center"/>
          </w:tcPr>
          <w:p w14:paraId="2150A02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A02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0.73</w:t>
            </w:r>
          </w:p>
        </w:tc>
        <w:tc>
          <w:tcPr>
            <w:tcW w:w="348" w:type="dxa"/>
            <w:shd w:val="clear" w:color="auto" w:fill="auto"/>
            <w:vAlign w:val="center"/>
          </w:tcPr>
          <w:p w14:paraId="2150A02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2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0.75</w:t>
            </w:r>
          </w:p>
        </w:tc>
        <w:tc>
          <w:tcPr>
            <w:tcW w:w="411" w:type="dxa"/>
            <w:shd w:val="clear" w:color="auto" w:fill="auto"/>
            <w:vAlign w:val="center"/>
          </w:tcPr>
          <w:p w14:paraId="2150A026"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2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348" w:type="dxa"/>
            <w:shd w:val="clear" w:color="auto" w:fill="auto"/>
            <w:vAlign w:val="center"/>
          </w:tcPr>
          <w:p w14:paraId="2150A02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2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A02A"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2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3D" w14:textId="77777777">
        <w:trPr>
          <w:trHeight w:val="806"/>
        </w:trPr>
        <w:tc>
          <w:tcPr>
            <w:tcW w:w="550" w:type="dxa"/>
          </w:tcPr>
          <w:p w14:paraId="2150A02D" w14:textId="77777777" w:rsidR="00E7693B" w:rsidRPr="00E7693B" w:rsidRDefault="00E7693B">
            <w:pPr>
              <w:rPr>
                <w:rFonts w:ascii="Times New Roman" w:hAnsi="Times New Roman" w:cs="Times New Roman"/>
                <w:color w:val="000000"/>
              </w:rPr>
            </w:pPr>
          </w:p>
          <w:p w14:paraId="2150A02E"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39</w:t>
            </w:r>
          </w:p>
        </w:tc>
        <w:tc>
          <w:tcPr>
            <w:tcW w:w="1350" w:type="dxa"/>
            <w:shd w:val="clear" w:color="auto" w:fill="auto"/>
            <w:vAlign w:val="center"/>
          </w:tcPr>
          <w:p w14:paraId="2150A02F"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Hexanal</w:t>
            </w:r>
          </w:p>
        </w:tc>
        <w:tc>
          <w:tcPr>
            <w:tcW w:w="1002" w:type="dxa"/>
            <w:shd w:val="clear" w:color="auto" w:fill="auto"/>
            <w:vAlign w:val="center"/>
          </w:tcPr>
          <w:p w14:paraId="2150A03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2.91</w:t>
            </w:r>
          </w:p>
        </w:tc>
        <w:tc>
          <w:tcPr>
            <w:tcW w:w="363" w:type="dxa"/>
            <w:shd w:val="clear" w:color="auto" w:fill="auto"/>
            <w:vAlign w:val="center"/>
          </w:tcPr>
          <w:p w14:paraId="2150A03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3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0.29</w:t>
            </w:r>
          </w:p>
        </w:tc>
        <w:tc>
          <w:tcPr>
            <w:tcW w:w="411" w:type="dxa"/>
            <w:shd w:val="clear" w:color="auto" w:fill="auto"/>
            <w:vAlign w:val="center"/>
          </w:tcPr>
          <w:p w14:paraId="2150A033"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3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0.26</w:t>
            </w:r>
          </w:p>
        </w:tc>
        <w:tc>
          <w:tcPr>
            <w:tcW w:w="348" w:type="dxa"/>
            <w:shd w:val="clear" w:color="auto" w:fill="auto"/>
            <w:vAlign w:val="center"/>
          </w:tcPr>
          <w:p w14:paraId="2150A03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3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A037"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3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1.13</w:t>
            </w:r>
          </w:p>
        </w:tc>
        <w:tc>
          <w:tcPr>
            <w:tcW w:w="348" w:type="dxa"/>
            <w:shd w:val="clear" w:color="auto" w:fill="auto"/>
            <w:vAlign w:val="center"/>
          </w:tcPr>
          <w:p w14:paraId="2150A03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3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A03B"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3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4E" w14:textId="77777777">
        <w:trPr>
          <w:trHeight w:val="806"/>
        </w:trPr>
        <w:tc>
          <w:tcPr>
            <w:tcW w:w="550" w:type="dxa"/>
          </w:tcPr>
          <w:p w14:paraId="2150A03E" w14:textId="77777777" w:rsidR="00E7693B" w:rsidRPr="00E7693B" w:rsidRDefault="00E7693B">
            <w:pPr>
              <w:rPr>
                <w:rFonts w:ascii="Times New Roman" w:hAnsi="Times New Roman" w:cs="Times New Roman"/>
                <w:color w:val="000000"/>
              </w:rPr>
            </w:pPr>
          </w:p>
          <w:p w14:paraId="2150A03F"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40</w:t>
            </w:r>
          </w:p>
        </w:tc>
        <w:tc>
          <w:tcPr>
            <w:tcW w:w="1350" w:type="dxa"/>
            <w:shd w:val="clear" w:color="auto" w:fill="auto"/>
            <w:vAlign w:val="center"/>
          </w:tcPr>
          <w:p w14:paraId="2150A040"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Hexanoic acid, butyl ester</w:t>
            </w:r>
          </w:p>
        </w:tc>
        <w:tc>
          <w:tcPr>
            <w:tcW w:w="1002" w:type="dxa"/>
            <w:shd w:val="clear" w:color="auto" w:fill="auto"/>
            <w:vAlign w:val="center"/>
          </w:tcPr>
          <w:p w14:paraId="2150A04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4.11</w:t>
            </w:r>
          </w:p>
        </w:tc>
        <w:tc>
          <w:tcPr>
            <w:tcW w:w="363" w:type="dxa"/>
            <w:shd w:val="clear" w:color="auto" w:fill="auto"/>
            <w:vAlign w:val="center"/>
          </w:tcPr>
          <w:p w14:paraId="2150A04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4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0.19</w:t>
            </w:r>
          </w:p>
        </w:tc>
        <w:tc>
          <w:tcPr>
            <w:tcW w:w="411" w:type="dxa"/>
            <w:shd w:val="clear" w:color="auto" w:fill="auto"/>
            <w:vAlign w:val="center"/>
          </w:tcPr>
          <w:p w14:paraId="2150A044"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4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0.25</w:t>
            </w:r>
          </w:p>
        </w:tc>
        <w:tc>
          <w:tcPr>
            <w:tcW w:w="348" w:type="dxa"/>
            <w:shd w:val="clear" w:color="auto" w:fill="auto"/>
            <w:vAlign w:val="center"/>
          </w:tcPr>
          <w:p w14:paraId="2150A04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4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A048"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4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0.57</w:t>
            </w:r>
          </w:p>
        </w:tc>
        <w:tc>
          <w:tcPr>
            <w:tcW w:w="348" w:type="dxa"/>
            <w:shd w:val="clear" w:color="auto" w:fill="auto"/>
            <w:vAlign w:val="center"/>
          </w:tcPr>
          <w:p w14:paraId="2150A04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4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A04C"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4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5F" w14:textId="77777777">
        <w:trPr>
          <w:trHeight w:val="806"/>
        </w:trPr>
        <w:tc>
          <w:tcPr>
            <w:tcW w:w="550" w:type="dxa"/>
          </w:tcPr>
          <w:p w14:paraId="2150A04F" w14:textId="77777777" w:rsidR="00E7693B" w:rsidRPr="00E7693B" w:rsidRDefault="00E7693B">
            <w:pPr>
              <w:rPr>
                <w:rFonts w:ascii="Times New Roman" w:hAnsi="Times New Roman" w:cs="Times New Roman"/>
                <w:color w:val="000000"/>
              </w:rPr>
            </w:pPr>
          </w:p>
          <w:p w14:paraId="2150A050"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41</w:t>
            </w:r>
          </w:p>
        </w:tc>
        <w:tc>
          <w:tcPr>
            <w:tcW w:w="1350" w:type="dxa"/>
            <w:shd w:val="clear" w:color="auto" w:fill="auto"/>
            <w:vAlign w:val="center"/>
          </w:tcPr>
          <w:p w14:paraId="2150A051"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Hexanoic acid, hexyl ester:2</w:t>
            </w:r>
          </w:p>
        </w:tc>
        <w:tc>
          <w:tcPr>
            <w:tcW w:w="1002" w:type="dxa"/>
            <w:shd w:val="clear" w:color="auto" w:fill="auto"/>
            <w:vAlign w:val="center"/>
          </w:tcPr>
          <w:p w14:paraId="2150A05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5.60</w:t>
            </w:r>
          </w:p>
        </w:tc>
        <w:tc>
          <w:tcPr>
            <w:tcW w:w="363" w:type="dxa"/>
            <w:shd w:val="clear" w:color="auto" w:fill="auto"/>
            <w:vAlign w:val="center"/>
          </w:tcPr>
          <w:p w14:paraId="2150A05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5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0.13</w:t>
            </w:r>
          </w:p>
        </w:tc>
        <w:tc>
          <w:tcPr>
            <w:tcW w:w="411" w:type="dxa"/>
            <w:shd w:val="clear" w:color="auto" w:fill="auto"/>
            <w:vAlign w:val="center"/>
          </w:tcPr>
          <w:p w14:paraId="2150A055"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5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0.25</w:t>
            </w:r>
          </w:p>
        </w:tc>
        <w:tc>
          <w:tcPr>
            <w:tcW w:w="348" w:type="dxa"/>
            <w:shd w:val="clear" w:color="auto" w:fill="auto"/>
            <w:vAlign w:val="center"/>
          </w:tcPr>
          <w:p w14:paraId="2150A05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5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A059"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5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0.06</w:t>
            </w:r>
          </w:p>
        </w:tc>
        <w:tc>
          <w:tcPr>
            <w:tcW w:w="348" w:type="dxa"/>
            <w:shd w:val="clear" w:color="auto" w:fill="auto"/>
            <w:vAlign w:val="center"/>
          </w:tcPr>
          <w:p w14:paraId="2150A05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5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A05D"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5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70" w14:textId="77777777">
        <w:trPr>
          <w:trHeight w:val="806"/>
        </w:trPr>
        <w:tc>
          <w:tcPr>
            <w:tcW w:w="550" w:type="dxa"/>
          </w:tcPr>
          <w:p w14:paraId="2150A060" w14:textId="77777777" w:rsidR="00E7693B" w:rsidRPr="00E7693B" w:rsidRDefault="00E7693B">
            <w:pPr>
              <w:rPr>
                <w:rFonts w:ascii="Times New Roman" w:hAnsi="Times New Roman" w:cs="Times New Roman"/>
                <w:color w:val="000000"/>
              </w:rPr>
            </w:pPr>
          </w:p>
          <w:p w14:paraId="2150A061"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42</w:t>
            </w:r>
          </w:p>
        </w:tc>
        <w:tc>
          <w:tcPr>
            <w:tcW w:w="1350" w:type="dxa"/>
            <w:shd w:val="clear" w:color="auto" w:fill="auto"/>
            <w:vAlign w:val="center"/>
          </w:tcPr>
          <w:p w14:paraId="2150A062"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Isobutyl acetate</w:t>
            </w:r>
          </w:p>
        </w:tc>
        <w:tc>
          <w:tcPr>
            <w:tcW w:w="1002" w:type="dxa"/>
            <w:shd w:val="clear" w:color="auto" w:fill="auto"/>
            <w:vAlign w:val="center"/>
          </w:tcPr>
          <w:p w14:paraId="2150A06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0.66</w:t>
            </w:r>
          </w:p>
        </w:tc>
        <w:tc>
          <w:tcPr>
            <w:tcW w:w="363" w:type="dxa"/>
            <w:shd w:val="clear" w:color="auto" w:fill="auto"/>
            <w:vAlign w:val="center"/>
          </w:tcPr>
          <w:p w14:paraId="2150A06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6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0.55</w:t>
            </w:r>
          </w:p>
        </w:tc>
        <w:tc>
          <w:tcPr>
            <w:tcW w:w="411" w:type="dxa"/>
            <w:shd w:val="clear" w:color="auto" w:fill="auto"/>
            <w:vAlign w:val="center"/>
          </w:tcPr>
          <w:p w14:paraId="2150A066"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6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0.18</w:t>
            </w:r>
          </w:p>
        </w:tc>
        <w:tc>
          <w:tcPr>
            <w:tcW w:w="348" w:type="dxa"/>
            <w:shd w:val="clear" w:color="auto" w:fill="auto"/>
            <w:vAlign w:val="center"/>
          </w:tcPr>
          <w:p w14:paraId="2150A06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6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0.81</w:t>
            </w:r>
          </w:p>
        </w:tc>
        <w:tc>
          <w:tcPr>
            <w:tcW w:w="411" w:type="dxa"/>
            <w:shd w:val="clear" w:color="auto" w:fill="auto"/>
            <w:vAlign w:val="center"/>
          </w:tcPr>
          <w:p w14:paraId="2150A06A"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6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348" w:type="dxa"/>
            <w:shd w:val="clear" w:color="auto" w:fill="auto"/>
            <w:vAlign w:val="center"/>
          </w:tcPr>
          <w:p w14:paraId="2150A06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6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A06E"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6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81" w14:textId="77777777">
        <w:trPr>
          <w:trHeight w:val="806"/>
        </w:trPr>
        <w:tc>
          <w:tcPr>
            <w:tcW w:w="550" w:type="dxa"/>
          </w:tcPr>
          <w:p w14:paraId="2150A071" w14:textId="77777777" w:rsidR="00E7693B" w:rsidRPr="00E7693B" w:rsidRDefault="00E7693B">
            <w:pPr>
              <w:rPr>
                <w:rFonts w:ascii="Times New Roman" w:hAnsi="Times New Roman" w:cs="Times New Roman"/>
                <w:color w:val="000000"/>
              </w:rPr>
            </w:pPr>
          </w:p>
          <w:p w14:paraId="2150A072"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43</w:t>
            </w:r>
          </w:p>
        </w:tc>
        <w:tc>
          <w:tcPr>
            <w:tcW w:w="1350" w:type="dxa"/>
            <w:shd w:val="clear" w:color="auto" w:fill="auto"/>
            <w:vAlign w:val="center"/>
          </w:tcPr>
          <w:p w14:paraId="2150A073"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Methane, nitro-</w:t>
            </w:r>
          </w:p>
        </w:tc>
        <w:tc>
          <w:tcPr>
            <w:tcW w:w="1002" w:type="dxa"/>
            <w:shd w:val="clear" w:color="auto" w:fill="auto"/>
            <w:vAlign w:val="center"/>
          </w:tcPr>
          <w:p w14:paraId="2150A07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28.50</w:t>
            </w:r>
          </w:p>
        </w:tc>
        <w:tc>
          <w:tcPr>
            <w:tcW w:w="363" w:type="dxa"/>
            <w:shd w:val="clear" w:color="auto" w:fill="auto"/>
            <w:vAlign w:val="center"/>
          </w:tcPr>
          <w:p w14:paraId="2150A07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7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&lt;0.001</w:t>
            </w:r>
          </w:p>
        </w:tc>
        <w:tc>
          <w:tcPr>
            <w:tcW w:w="411" w:type="dxa"/>
            <w:shd w:val="clear" w:color="auto" w:fill="auto"/>
            <w:vAlign w:val="center"/>
          </w:tcPr>
          <w:p w14:paraId="2150A07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A07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3.71</w:t>
            </w:r>
          </w:p>
        </w:tc>
        <w:tc>
          <w:tcPr>
            <w:tcW w:w="348" w:type="dxa"/>
            <w:shd w:val="clear" w:color="auto" w:fill="auto"/>
            <w:vAlign w:val="center"/>
          </w:tcPr>
          <w:p w14:paraId="2150A07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7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0.31</w:t>
            </w:r>
          </w:p>
        </w:tc>
        <w:tc>
          <w:tcPr>
            <w:tcW w:w="411" w:type="dxa"/>
            <w:shd w:val="clear" w:color="auto" w:fill="auto"/>
            <w:vAlign w:val="center"/>
          </w:tcPr>
          <w:p w14:paraId="2150A07B"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7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14.82</w:t>
            </w:r>
          </w:p>
        </w:tc>
        <w:tc>
          <w:tcPr>
            <w:tcW w:w="348" w:type="dxa"/>
            <w:shd w:val="clear" w:color="auto" w:fill="auto"/>
            <w:vAlign w:val="center"/>
          </w:tcPr>
          <w:p w14:paraId="2150A07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7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0.06</w:t>
            </w:r>
          </w:p>
        </w:tc>
        <w:tc>
          <w:tcPr>
            <w:tcW w:w="210" w:type="dxa"/>
            <w:shd w:val="clear" w:color="auto" w:fill="auto"/>
            <w:vAlign w:val="center"/>
          </w:tcPr>
          <w:p w14:paraId="2150A07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1020" w:type="dxa"/>
            <w:shd w:val="clear" w:color="auto" w:fill="auto"/>
            <w:vAlign w:val="center"/>
          </w:tcPr>
          <w:p w14:paraId="2150A08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92" w14:textId="77777777">
        <w:trPr>
          <w:trHeight w:val="806"/>
        </w:trPr>
        <w:tc>
          <w:tcPr>
            <w:tcW w:w="550" w:type="dxa"/>
          </w:tcPr>
          <w:p w14:paraId="2150A082" w14:textId="77777777" w:rsidR="00E7693B" w:rsidRPr="00E7693B" w:rsidRDefault="00E7693B">
            <w:pPr>
              <w:rPr>
                <w:rFonts w:ascii="Times New Roman" w:hAnsi="Times New Roman" w:cs="Times New Roman"/>
                <w:color w:val="000000"/>
              </w:rPr>
            </w:pPr>
          </w:p>
          <w:p w14:paraId="2150A083"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44</w:t>
            </w:r>
          </w:p>
        </w:tc>
        <w:tc>
          <w:tcPr>
            <w:tcW w:w="1350" w:type="dxa"/>
            <w:shd w:val="clear" w:color="auto" w:fill="auto"/>
            <w:vAlign w:val="center"/>
          </w:tcPr>
          <w:p w14:paraId="2150A084"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Methyl glyoxal</w:t>
            </w:r>
          </w:p>
        </w:tc>
        <w:tc>
          <w:tcPr>
            <w:tcW w:w="1002" w:type="dxa"/>
            <w:shd w:val="clear" w:color="auto" w:fill="auto"/>
            <w:vAlign w:val="center"/>
          </w:tcPr>
          <w:p w14:paraId="2150A08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0.74</w:t>
            </w:r>
          </w:p>
        </w:tc>
        <w:tc>
          <w:tcPr>
            <w:tcW w:w="363" w:type="dxa"/>
            <w:shd w:val="clear" w:color="auto" w:fill="auto"/>
            <w:vAlign w:val="center"/>
          </w:tcPr>
          <w:p w14:paraId="2150A08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8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0.54</w:t>
            </w:r>
          </w:p>
        </w:tc>
        <w:tc>
          <w:tcPr>
            <w:tcW w:w="411" w:type="dxa"/>
            <w:shd w:val="clear" w:color="auto" w:fill="auto"/>
            <w:vAlign w:val="center"/>
          </w:tcPr>
          <w:p w14:paraId="2150A088"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8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0.12</w:t>
            </w:r>
          </w:p>
        </w:tc>
        <w:tc>
          <w:tcPr>
            <w:tcW w:w="348" w:type="dxa"/>
            <w:shd w:val="clear" w:color="auto" w:fill="auto"/>
            <w:vAlign w:val="center"/>
          </w:tcPr>
          <w:p w14:paraId="2150A08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8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411" w:type="dxa"/>
            <w:shd w:val="clear" w:color="auto" w:fill="auto"/>
            <w:vAlign w:val="center"/>
          </w:tcPr>
          <w:p w14:paraId="2150A08C"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8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3.69</w:t>
            </w:r>
          </w:p>
        </w:tc>
        <w:tc>
          <w:tcPr>
            <w:tcW w:w="348" w:type="dxa"/>
            <w:shd w:val="clear" w:color="auto" w:fill="auto"/>
            <w:vAlign w:val="center"/>
          </w:tcPr>
          <w:p w14:paraId="2150A08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8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0.72</w:t>
            </w:r>
          </w:p>
        </w:tc>
        <w:tc>
          <w:tcPr>
            <w:tcW w:w="210" w:type="dxa"/>
            <w:shd w:val="clear" w:color="auto" w:fill="auto"/>
            <w:vAlign w:val="center"/>
          </w:tcPr>
          <w:p w14:paraId="2150A090"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9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A3" w14:textId="77777777">
        <w:trPr>
          <w:trHeight w:val="806"/>
        </w:trPr>
        <w:tc>
          <w:tcPr>
            <w:tcW w:w="550" w:type="dxa"/>
          </w:tcPr>
          <w:p w14:paraId="2150A093" w14:textId="77777777" w:rsidR="00E7693B" w:rsidRPr="00E7693B" w:rsidRDefault="00E7693B">
            <w:pPr>
              <w:rPr>
                <w:rFonts w:ascii="Times New Roman" w:hAnsi="Times New Roman" w:cs="Times New Roman"/>
                <w:color w:val="000000"/>
              </w:rPr>
            </w:pPr>
          </w:p>
          <w:p w14:paraId="2150A094"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45</w:t>
            </w:r>
          </w:p>
        </w:tc>
        <w:tc>
          <w:tcPr>
            <w:tcW w:w="1350" w:type="dxa"/>
            <w:shd w:val="clear" w:color="auto" w:fill="auto"/>
            <w:vAlign w:val="center"/>
          </w:tcPr>
          <w:p w14:paraId="2150A095"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Methyl isobutyl ketone</w:t>
            </w:r>
          </w:p>
        </w:tc>
        <w:tc>
          <w:tcPr>
            <w:tcW w:w="1002" w:type="dxa"/>
            <w:shd w:val="clear" w:color="auto" w:fill="auto"/>
            <w:vAlign w:val="center"/>
          </w:tcPr>
          <w:p w14:paraId="2150A09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5.53</w:t>
            </w:r>
          </w:p>
        </w:tc>
        <w:tc>
          <w:tcPr>
            <w:tcW w:w="363" w:type="dxa"/>
            <w:shd w:val="clear" w:color="auto" w:fill="auto"/>
            <w:vAlign w:val="center"/>
          </w:tcPr>
          <w:p w14:paraId="2150A09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9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0.13</w:t>
            </w:r>
          </w:p>
        </w:tc>
        <w:tc>
          <w:tcPr>
            <w:tcW w:w="411" w:type="dxa"/>
            <w:shd w:val="clear" w:color="auto" w:fill="auto"/>
            <w:vAlign w:val="center"/>
          </w:tcPr>
          <w:p w14:paraId="2150A099"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9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2.43</w:t>
            </w:r>
          </w:p>
        </w:tc>
        <w:tc>
          <w:tcPr>
            <w:tcW w:w="348" w:type="dxa"/>
            <w:shd w:val="clear" w:color="auto" w:fill="auto"/>
            <w:vAlign w:val="center"/>
          </w:tcPr>
          <w:p w14:paraId="2150A09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9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0.42</w:t>
            </w:r>
          </w:p>
        </w:tc>
        <w:tc>
          <w:tcPr>
            <w:tcW w:w="411" w:type="dxa"/>
            <w:shd w:val="clear" w:color="auto" w:fill="auto"/>
            <w:vAlign w:val="center"/>
          </w:tcPr>
          <w:p w14:paraId="2150A09D"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9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1.40</w:t>
            </w:r>
          </w:p>
        </w:tc>
        <w:tc>
          <w:tcPr>
            <w:tcW w:w="348" w:type="dxa"/>
            <w:shd w:val="clear" w:color="auto" w:fill="auto"/>
            <w:vAlign w:val="center"/>
          </w:tcPr>
          <w:p w14:paraId="2150A09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A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210" w:type="dxa"/>
            <w:shd w:val="clear" w:color="auto" w:fill="auto"/>
            <w:vAlign w:val="center"/>
          </w:tcPr>
          <w:p w14:paraId="2150A0A1"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A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B4" w14:textId="77777777">
        <w:trPr>
          <w:trHeight w:val="806"/>
        </w:trPr>
        <w:tc>
          <w:tcPr>
            <w:tcW w:w="550" w:type="dxa"/>
          </w:tcPr>
          <w:p w14:paraId="2150A0A4" w14:textId="77777777" w:rsidR="00E7693B" w:rsidRPr="00E7693B" w:rsidRDefault="00E7693B">
            <w:pPr>
              <w:rPr>
                <w:rFonts w:ascii="Times New Roman" w:hAnsi="Times New Roman" w:cs="Times New Roman"/>
                <w:color w:val="000000"/>
              </w:rPr>
            </w:pPr>
          </w:p>
          <w:p w14:paraId="2150A0A5"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46</w:t>
            </w:r>
          </w:p>
        </w:tc>
        <w:tc>
          <w:tcPr>
            <w:tcW w:w="1350" w:type="dxa"/>
            <w:shd w:val="clear" w:color="auto" w:fill="auto"/>
            <w:vAlign w:val="center"/>
          </w:tcPr>
          <w:p w14:paraId="2150A0A6" w14:textId="77777777" w:rsidR="00E7693B" w:rsidRPr="00E7693B" w:rsidRDefault="00E7693B">
            <w:pPr>
              <w:rPr>
                <w:rFonts w:ascii="Times New Roman" w:hAnsi="Times New Roman" w:cs="Times New Roman"/>
                <w:color w:val="000000"/>
                <w:lang w:val="it-IT"/>
              </w:rPr>
            </w:pPr>
            <w:r w:rsidRPr="00E7693B">
              <w:rPr>
                <w:rFonts w:ascii="Times New Roman" w:hAnsi="Times New Roman" w:cs="Times New Roman"/>
                <w:color w:val="000000"/>
                <w:lang w:val="it-IT"/>
              </w:rPr>
              <w:t>N,N-dimethyl-glycine-(4-nitro-anilide)</w:t>
            </w:r>
          </w:p>
        </w:tc>
        <w:tc>
          <w:tcPr>
            <w:tcW w:w="1002" w:type="dxa"/>
            <w:shd w:val="clear" w:color="auto" w:fill="auto"/>
            <w:vAlign w:val="center"/>
          </w:tcPr>
          <w:p w14:paraId="2150A0A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2.30</w:t>
            </w:r>
          </w:p>
        </w:tc>
        <w:tc>
          <w:tcPr>
            <w:tcW w:w="363" w:type="dxa"/>
            <w:shd w:val="clear" w:color="auto" w:fill="auto"/>
            <w:vAlign w:val="center"/>
          </w:tcPr>
          <w:p w14:paraId="2150A0A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A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0.30</w:t>
            </w:r>
          </w:p>
        </w:tc>
        <w:tc>
          <w:tcPr>
            <w:tcW w:w="411" w:type="dxa"/>
            <w:shd w:val="clear" w:color="auto" w:fill="auto"/>
            <w:vAlign w:val="center"/>
          </w:tcPr>
          <w:p w14:paraId="2150A0AA"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A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0.03</w:t>
            </w:r>
          </w:p>
        </w:tc>
        <w:tc>
          <w:tcPr>
            <w:tcW w:w="348" w:type="dxa"/>
            <w:shd w:val="clear" w:color="auto" w:fill="auto"/>
            <w:vAlign w:val="center"/>
          </w:tcPr>
          <w:p w14:paraId="2150A0A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A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411" w:type="dxa"/>
            <w:shd w:val="clear" w:color="auto" w:fill="auto"/>
            <w:vAlign w:val="center"/>
          </w:tcPr>
          <w:p w14:paraId="2150A0AE"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A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1.38</w:t>
            </w:r>
          </w:p>
        </w:tc>
        <w:tc>
          <w:tcPr>
            <w:tcW w:w="348" w:type="dxa"/>
            <w:shd w:val="clear" w:color="auto" w:fill="auto"/>
            <w:vAlign w:val="center"/>
          </w:tcPr>
          <w:p w14:paraId="2150A0B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B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210" w:type="dxa"/>
            <w:shd w:val="clear" w:color="auto" w:fill="auto"/>
            <w:vAlign w:val="center"/>
          </w:tcPr>
          <w:p w14:paraId="2150A0B2"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B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C5" w14:textId="77777777">
        <w:trPr>
          <w:trHeight w:val="806"/>
        </w:trPr>
        <w:tc>
          <w:tcPr>
            <w:tcW w:w="550" w:type="dxa"/>
          </w:tcPr>
          <w:p w14:paraId="2150A0B5" w14:textId="77777777" w:rsidR="00E7693B" w:rsidRPr="00E7693B" w:rsidRDefault="00E7693B">
            <w:pPr>
              <w:rPr>
                <w:rFonts w:ascii="Times New Roman" w:hAnsi="Times New Roman" w:cs="Times New Roman"/>
                <w:color w:val="000000"/>
              </w:rPr>
            </w:pPr>
          </w:p>
          <w:p w14:paraId="2150A0B6"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47</w:t>
            </w:r>
          </w:p>
        </w:tc>
        <w:tc>
          <w:tcPr>
            <w:tcW w:w="1350" w:type="dxa"/>
            <w:shd w:val="clear" w:color="auto" w:fill="auto"/>
            <w:vAlign w:val="center"/>
          </w:tcPr>
          <w:p w14:paraId="2150A0B7"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Nicotine</w:t>
            </w:r>
          </w:p>
        </w:tc>
        <w:tc>
          <w:tcPr>
            <w:tcW w:w="1002" w:type="dxa"/>
            <w:shd w:val="clear" w:color="auto" w:fill="auto"/>
            <w:vAlign w:val="center"/>
          </w:tcPr>
          <w:p w14:paraId="2150A0B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2.80</w:t>
            </w:r>
          </w:p>
        </w:tc>
        <w:tc>
          <w:tcPr>
            <w:tcW w:w="363" w:type="dxa"/>
            <w:shd w:val="clear" w:color="auto" w:fill="auto"/>
            <w:vAlign w:val="center"/>
          </w:tcPr>
          <w:p w14:paraId="2150A0B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B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0.30</w:t>
            </w:r>
          </w:p>
        </w:tc>
        <w:tc>
          <w:tcPr>
            <w:tcW w:w="411" w:type="dxa"/>
            <w:shd w:val="clear" w:color="auto" w:fill="auto"/>
            <w:vAlign w:val="center"/>
          </w:tcPr>
          <w:p w14:paraId="2150A0BB"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B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1.23</w:t>
            </w:r>
          </w:p>
        </w:tc>
        <w:tc>
          <w:tcPr>
            <w:tcW w:w="348" w:type="dxa"/>
            <w:shd w:val="clear" w:color="auto" w:fill="auto"/>
            <w:vAlign w:val="center"/>
          </w:tcPr>
          <w:p w14:paraId="2150A0B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B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0.61</w:t>
            </w:r>
          </w:p>
        </w:tc>
        <w:tc>
          <w:tcPr>
            <w:tcW w:w="411" w:type="dxa"/>
            <w:shd w:val="clear" w:color="auto" w:fill="auto"/>
            <w:vAlign w:val="center"/>
          </w:tcPr>
          <w:p w14:paraId="2150A0BF"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C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348" w:type="dxa"/>
            <w:shd w:val="clear" w:color="auto" w:fill="auto"/>
            <w:vAlign w:val="center"/>
          </w:tcPr>
          <w:p w14:paraId="2150A0C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C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A0C3"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C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D6" w14:textId="77777777">
        <w:trPr>
          <w:trHeight w:val="806"/>
        </w:trPr>
        <w:tc>
          <w:tcPr>
            <w:tcW w:w="550" w:type="dxa"/>
          </w:tcPr>
          <w:p w14:paraId="2150A0C6" w14:textId="77777777" w:rsidR="00E7693B" w:rsidRPr="00E7693B" w:rsidRDefault="00E7693B">
            <w:pPr>
              <w:rPr>
                <w:rFonts w:ascii="Times New Roman" w:hAnsi="Times New Roman" w:cs="Times New Roman"/>
                <w:color w:val="000000"/>
              </w:rPr>
            </w:pPr>
          </w:p>
          <w:p w14:paraId="2150A0C7"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48</w:t>
            </w:r>
          </w:p>
        </w:tc>
        <w:tc>
          <w:tcPr>
            <w:tcW w:w="1350" w:type="dxa"/>
            <w:shd w:val="clear" w:color="auto" w:fill="auto"/>
            <w:vAlign w:val="center"/>
          </w:tcPr>
          <w:p w14:paraId="2150A0C8"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Nonanal</w:t>
            </w:r>
          </w:p>
        </w:tc>
        <w:tc>
          <w:tcPr>
            <w:tcW w:w="1002" w:type="dxa"/>
            <w:shd w:val="clear" w:color="auto" w:fill="auto"/>
            <w:vAlign w:val="center"/>
          </w:tcPr>
          <w:p w14:paraId="2150A0C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2.18</w:t>
            </w:r>
          </w:p>
        </w:tc>
        <w:tc>
          <w:tcPr>
            <w:tcW w:w="363" w:type="dxa"/>
            <w:shd w:val="clear" w:color="auto" w:fill="auto"/>
            <w:vAlign w:val="center"/>
          </w:tcPr>
          <w:p w14:paraId="2150A0C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C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0.31</w:t>
            </w:r>
          </w:p>
        </w:tc>
        <w:tc>
          <w:tcPr>
            <w:tcW w:w="411" w:type="dxa"/>
            <w:shd w:val="clear" w:color="auto" w:fill="auto"/>
            <w:vAlign w:val="center"/>
          </w:tcPr>
          <w:p w14:paraId="2150A0CC"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C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348" w:type="dxa"/>
            <w:shd w:val="clear" w:color="auto" w:fill="auto"/>
            <w:vAlign w:val="center"/>
          </w:tcPr>
          <w:p w14:paraId="2150A0C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C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0.98</w:t>
            </w:r>
          </w:p>
        </w:tc>
        <w:tc>
          <w:tcPr>
            <w:tcW w:w="411" w:type="dxa"/>
            <w:shd w:val="clear" w:color="auto" w:fill="auto"/>
            <w:vAlign w:val="center"/>
          </w:tcPr>
          <w:p w14:paraId="2150A0D0"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D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1.56</w:t>
            </w:r>
          </w:p>
        </w:tc>
        <w:tc>
          <w:tcPr>
            <w:tcW w:w="348" w:type="dxa"/>
            <w:shd w:val="clear" w:color="auto" w:fill="auto"/>
            <w:vAlign w:val="center"/>
          </w:tcPr>
          <w:p w14:paraId="2150A0D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D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210" w:type="dxa"/>
            <w:shd w:val="clear" w:color="auto" w:fill="auto"/>
            <w:vAlign w:val="center"/>
          </w:tcPr>
          <w:p w14:paraId="2150A0D4"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D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E7" w14:textId="77777777">
        <w:trPr>
          <w:trHeight w:val="806"/>
        </w:trPr>
        <w:tc>
          <w:tcPr>
            <w:tcW w:w="550" w:type="dxa"/>
          </w:tcPr>
          <w:p w14:paraId="2150A0D7" w14:textId="77777777" w:rsidR="00E7693B" w:rsidRPr="00E7693B" w:rsidRDefault="00E7693B">
            <w:pPr>
              <w:rPr>
                <w:rFonts w:ascii="Times New Roman" w:hAnsi="Times New Roman" w:cs="Times New Roman"/>
                <w:color w:val="000000"/>
              </w:rPr>
            </w:pPr>
          </w:p>
          <w:p w14:paraId="2150A0D8"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49</w:t>
            </w:r>
          </w:p>
        </w:tc>
        <w:tc>
          <w:tcPr>
            <w:tcW w:w="1350" w:type="dxa"/>
            <w:shd w:val="clear" w:color="auto" w:fill="auto"/>
            <w:vAlign w:val="center"/>
          </w:tcPr>
          <w:p w14:paraId="2150A0D9"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Octanal</w:t>
            </w:r>
          </w:p>
        </w:tc>
        <w:tc>
          <w:tcPr>
            <w:tcW w:w="1002" w:type="dxa"/>
            <w:shd w:val="clear" w:color="auto" w:fill="auto"/>
            <w:vAlign w:val="center"/>
          </w:tcPr>
          <w:p w14:paraId="2150A0D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0.32</w:t>
            </w:r>
          </w:p>
        </w:tc>
        <w:tc>
          <w:tcPr>
            <w:tcW w:w="363" w:type="dxa"/>
            <w:shd w:val="clear" w:color="auto" w:fill="auto"/>
            <w:vAlign w:val="center"/>
          </w:tcPr>
          <w:p w14:paraId="2150A0D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D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0.62</w:t>
            </w:r>
          </w:p>
        </w:tc>
        <w:tc>
          <w:tcPr>
            <w:tcW w:w="411" w:type="dxa"/>
            <w:shd w:val="clear" w:color="auto" w:fill="auto"/>
            <w:vAlign w:val="center"/>
          </w:tcPr>
          <w:p w14:paraId="2150A0DD"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D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0.57</w:t>
            </w:r>
          </w:p>
        </w:tc>
        <w:tc>
          <w:tcPr>
            <w:tcW w:w="348" w:type="dxa"/>
            <w:shd w:val="clear" w:color="auto" w:fill="auto"/>
            <w:vAlign w:val="center"/>
          </w:tcPr>
          <w:p w14:paraId="2150A0D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E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A0E1"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E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0.03</w:t>
            </w:r>
          </w:p>
        </w:tc>
        <w:tc>
          <w:tcPr>
            <w:tcW w:w="348" w:type="dxa"/>
            <w:shd w:val="clear" w:color="auto" w:fill="auto"/>
            <w:vAlign w:val="center"/>
          </w:tcPr>
          <w:p w14:paraId="2150A0E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E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A0E5"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E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0F8" w14:textId="77777777">
        <w:trPr>
          <w:trHeight w:val="806"/>
        </w:trPr>
        <w:tc>
          <w:tcPr>
            <w:tcW w:w="550" w:type="dxa"/>
          </w:tcPr>
          <w:p w14:paraId="2150A0E8" w14:textId="77777777" w:rsidR="00E7693B" w:rsidRPr="00E7693B" w:rsidRDefault="00E7693B">
            <w:pPr>
              <w:rPr>
                <w:rFonts w:ascii="Times New Roman" w:hAnsi="Times New Roman" w:cs="Times New Roman"/>
                <w:color w:val="000000"/>
              </w:rPr>
            </w:pPr>
          </w:p>
          <w:p w14:paraId="2150A0E9"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50</w:t>
            </w:r>
          </w:p>
        </w:tc>
        <w:tc>
          <w:tcPr>
            <w:tcW w:w="1350" w:type="dxa"/>
            <w:shd w:val="clear" w:color="auto" w:fill="auto"/>
            <w:vAlign w:val="center"/>
          </w:tcPr>
          <w:p w14:paraId="2150A0EA"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Octanoic acid, hexyl ester</w:t>
            </w:r>
          </w:p>
        </w:tc>
        <w:tc>
          <w:tcPr>
            <w:tcW w:w="1002" w:type="dxa"/>
            <w:shd w:val="clear" w:color="auto" w:fill="auto"/>
            <w:vAlign w:val="center"/>
          </w:tcPr>
          <w:p w14:paraId="2150A0E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1.56</w:t>
            </w:r>
          </w:p>
        </w:tc>
        <w:tc>
          <w:tcPr>
            <w:tcW w:w="363" w:type="dxa"/>
            <w:shd w:val="clear" w:color="auto" w:fill="auto"/>
            <w:vAlign w:val="center"/>
          </w:tcPr>
          <w:p w14:paraId="2150A0E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E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0.38</w:t>
            </w:r>
          </w:p>
        </w:tc>
        <w:tc>
          <w:tcPr>
            <w:tcW w:w="411" w:type="dxa"/>
            <w:shd w:val="clear" w:color="auto" w:fill="auto"/>
            <w:vAlign w:val="center"/>
          </w:tcPr>
          <w:p w14:paraId="2150A0EE"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E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0.11</w:t>
            </w:r>
          </w:p>
        </w:tc>
        <w:tc>
          <w:tcPr>
            <w:tcW w:w="348" w:type="dxa"/>
            <w:shd w:val="clear" w:color="auto" w:fill="auto"/>
            <w:vAlign w:val="center"/>
          </w:tcPr>
          <w:p w14:paraId="2150A0F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0F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411" w:type="dxa"/>
            <w:shd w:val="clear" w:color="auto" w:fill="auto"/>
            <w:vAlign w:val="center"/>
          </w:tcPr>
          <w:p w14:paraId="2150A0F2"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0F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1.03</w:t>
            </w:r>
          </w:p>
        </w:tc>
        <w:tc>
          <w:tcPr>
            <w:tcW w:w="348" w:type="dxa"/>
            <w:shd w:val="clear" w:color="auto" w:fill="auto"/>
            <w:vAlign w:val="center"/>
          </w:tcPr>
          <w:p w14:paraId="2150A0F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0F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A0F6"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0F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109" w14:textId="77777777">
        <w:trPr>
          <w:trHeight w:val="806"/>
        </w:trPr>
        <w:tc>
          <w:tcPr>
            <w:tcW w:w="550" w:type="dxa"/>
          </w:tcPr>
          <w:p w14:paraId="2150A0F9" w14:textId="77777777" w:rsidR="00E7693B" w:rsidRPr="00E7693B" w:rsidRDefault="00E7693B">
            <w:pPr>
              <w:rPr>
                <w:rFonts w:ascii="Times New Roman" w:hAnsi="Times New Roman" w:cs="Times New Roman"/>
                <w:color w:val="000000"/>
              </w:rPr>
            </w:pPr>
          </w:p>
          <w:p w14:paraId="2150A0FA"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51</w:t>
            </w:r>
          </w:p>
        </w:tc>
        <w:tc>
          <w:tcPr>
            <w:tcW w:w="1350" w:type="dxa"/>
            <w:shd w:val="clear" w:color="auto" w:fill="auto"/>
            <w:vAlign w:val="center"/>
          </w:tcPr>
          <w:p w14:paraId="2150A0FB"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 xml:space="preserve">Oxalic acid, </w:t>
            </w:r>
            <w:proofErr w:type="spellStart"/>
            <w:r w:rsidRPr="00E7693B">
              <w:rPr>
                <w:rFonts w:ascii="Times New Roman" w:hAnsi="Times New Roman" w:cs="Times New Roman"/>
                <w:color w:val="000000"/>
              </w:rPr>
              <w:t>cyclobutyl</w:t>
            </w:r>
            <w:proofErr w:type="spellEnd"/>
            <w:r w:rsidRPr="00E7693B">
              <w:rPr>
                <w:rFonts w:ascii="Times New Roman" w:hAnsi="Times New Roman" w:cs="Times New Roman"/>
                <w:color w:val="000000"/>
              </w:rPr>
              <w:t xml:space="preserve"> octyl ester</w:t>
            </w:r>
          </w:p>
        </w:tc>
        <w:tc>
          <w:tcPr>
            <w:tcW w:w="1002" w:type="dxa"/>
            <w:shd w:val="clear" w:color="auto" w:fill="auto"/>
            <w:vAlign w:val="center"/>
          </w:tcPr>
          <w:p w14:paraId="2150A0F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1.01</w:t>
            </w:r>
          </w:p>
        </w:tc>
        <w:tc>
          <w:tcPr>
            <w:tcW w:w="363" w:type="dxa"/>
            <w:shd w:val="clear" w:color="auto" w:fill="auto"/>
            <w:vAlign w:val="center"/>
          </w:tcPr>
          <w:p w14:paraId="2150A0F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0F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0.49</w:t>
            </w:r>
          </w:p>
        </w:tc>
        <w:tc>
          <w:tcPr>
            <w:tcW w:w="411" w:type="dxa"/>
            <w:shd w:val="clear" w:color="auto" w:fill="auto"/>
            <w:vAlign w:val="center"/>
          </w:tcPr>
          <w:p w14:paraId="2150A0FF"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10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1.55</w:t>
            </w:r>
          </w:p>
        </w:tc>
        <w:tc>
          <w:tcPr>
            <w:tcW w:w="348" w:type="dxa"/>
            <w:shd w:val="clear" w:color="auto" w:fill="auto"/>
            <w:vAlign w:val="center"/>
          </w:tcPr>
          <w:p w14:paraId="2150A10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10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0.53</w:t>
            </w:r>
          </w:p>
        </w:tc>
        <w:tc>
          <w:tcPr>
            <w:tcW w:w="411" w:type="dxa"/>
            <w:shd w:val="clear" w:color="auto" w:fill="auto"/>
            <w:vAlign w:val="center"/>
          </w:tcPr>
          <w:p w14:paraId="2150A103"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10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1.67</w:t>
            </w:r>
          </w:p>
        </w:tc>
        <w:tc>
          <w:tcPr>
            <w:tcW w:w="348" w:type="dxa"/>
            <w:shd w:val="clear" w:color="auto" w:fill="auto"/>
            <w:vAlign w:val="center"/>
          </w:tcPr>
          <w:p w14:paraId="2150A10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10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210" w:type="dxa"/>
            <w:shd w:val="clear" w:color="auto" w:fill="auto"/>
            <w:vAlign w:val="center"/>
          </w:tcPr>
          <w:p w14:paraId="2150A107"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10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11A" w14:textId="77777777">
        <w:trPr>
          <w:trHeight w:val="806"/>
        </w:trPr>
        <w:tc>
          <w:tcPr>
            <w:tcW w:w="550" w:type="dxa"/>
          </w:tcPr>
          <w:p w14:paraId="2150A10A" w14:textId="77777777" w:rsidR="00E7693B" w:rsidRPr="00E7693B" w:rsidRDefault="00E7693B">
            <w:pPr>
              <w:rPr>
                <w:rFonts w:ascii="Times New Roman" w:hAnsi="Times New Roman" w:cs="Times New Roman"/>
                <w:color w:val="000000"/>
              </w:rPr>
            </w:pPr>
          </w:p>
          <w:p w14:paraId="2150A10B"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52</w:t>
            </w:r>
          </w:p>
        </w:tc>
        <w:tc>
          <w:tcPr>
            <w:tcW w:w="1350" w:type="dxa"/>
            <w:shd w:val="clear" w:color="auto" w:fill="auto"/>
            <w:vAlign w:val="center"/>
          </w:tcPr>
          <w:p w14:paraId="2150A10C"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Pentanal</w:t>
            </w:r>
          </w:p>
        </w:tc>
        <w:tc>
          <w:tcPr>
            <w:tcW w:w="1002" w:type="dxa"/>
            <w:shd w:val="clear" w:color="auto" w:fill="auto"/>
            <w:vAlign w:val="center"/>
          </w:tcPr>
          <w:p w14:paraId="2150A10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7.73</w:t>
            </w:r>
          </w:p>
        </w:tc>
        <w:tc>
          <w:tcPr>
            <w:tcW w:w="363" w:type="dxa"/>
            <w:shd w:val="clear" w:color="auto" w:fill="auto"/>
            <w:vAlign w:val="center"/>
          </w:tcPr>
          <w:p w14:paraId="2150A10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10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0.07</w:t>
            </w:r>
          </w:p>
        </w:tc>
        <w:tc>
          <w:tcPr>
            <w:tcW w:w="411" w:type="dxa"/>
            <w:shd w:val="clear" w:color="auto" w:fill="auto"/>
            <w:vAlign w:val="center"/>
          </w:tcPr>
          <w:p w14:paraId="2150A11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A11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0.29</w:t>
            </w:r>
          </w:p>
        </w:tc>
        <w:tc>
          <w:tcPr>
            <w:tcW w:w="348" w:type="dxa"/>
            <w:shd w:val="clear" w:color="auto" w:fill="auto"/>
            <w:vAlign w:val="center"/>
          </w:tcPr>
          <w:p w14:paraId="2150A11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11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0.77</w:t>
            </w:r>
          </w:p>
        </w:tc>
        <w:tc>
          <w:tcPr>
            <w:tcW w:w="411" w:type="dxa"/>
            <w:shd w:val="clear" w:color="auto" w:fill="auto"/>
            <w:vAlign w:val="center"/>
          </w:tcPr>
          <w:p w14:paraId="2150A114"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11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0.15</w:t>
            </w:r>
          </w:p>
        </w:tc>
        <w:tc>
          <w:tcPr>
            <w:tcW w:w="348" w:type="dxa"/>
            <w:shd w:val="clear" w:color="auto" w:fill="auto"/>
            <w:vAlign w:val="center"/>
          </w:tcPr>
          <w:p w14:paraId="2150A11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11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A118"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11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12B" w14:textId="77777777">
        <w:trPr>
          <w:trHeight w:val="806"/>
        </w:trPr>
        <w:tc>
          <w:tcPr>
            <w:tcW w:w="550" w:type="dxa"/>
          </w:tcPr>
          <w:p w14:paraId="2150A11B" w14:textId="77777777" w:rsidR="00E7693B" w:rsidRPr="00E7693B" w:rsidRDefault="00E7693B">
            <w:pPr>
              <w:rPr>
                <w:rFonts w:ascii="Times New Roman" w:hAnsi="Times New Roman" w:cs="Times New Roman"/>
                <w:color w:val="000000"/>
              </w:rPr>
            </w:pPr>
          </w:p>
          <w:p w14:paraId="2150A11C"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53</w:t>
            </w:r>
          </w:p>
        </w:tc>
        <w:tc>
          <w:tcPr>
            <w:tcW w:w="1350" w:type="dxa"/>
            <w:shd w:val="clear" w:color="auto" w:fill="auto"/>
            <w:vAlign w:val="center"/>
          </w:tcPr>
          <w:p w14:paraId="2150A11D"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Phenylethyl alcohol</w:t>
            </w:r>
          </w:p>
        </w:tc>
        <w:tc>
          <w:tcPr>
            <w:tcW w:w="1002" w:type="dxa"/>
            <w:shd w:val="clear" w:color="auto" w:fill="auto"/>
            <w:vAlign w:val="center"/>
          </w:tcPr>
          <w:p w14:paraId="2150A11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2.32</w:t>
            </w:r>
          </w:p>
        </w:tc>
        <w:tc>
          <w:tcPr>
            <w:tcW w:w="363" w:type="dxa"/>
            <w:shd w:val="clear" w:color="auto" w:fill="auto"/>
            <w:vAlign w:val="center"/>
          </w:tcPr>
          <w:p w14:paraId="2150A11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12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0.30</w:t>
            </w:r>
          </w:p>
        </w:tc>
        <w:tc>
          <w:tcPr>
            <w:tcW w:w="411" w:type="dxa"/>
            <w:shd w:val="clear" w:color="auto" w:fill="auto"/>
            <w:vAlign w:val="center"/>
          </w:tcPr>
          <w:p w14:paraId="2150A121"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12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33.99</w:t>
            </w:r>
          </w:p>
        </w:tc>
        <w:tc>
          <w:tcPr>
            <w:tcW w:w="348" w:type="dxa"/>
            <w:shd w:val="clear" w:color="auto" w:fill="auto"/>
            <w:vAlign w:val="center"/>
          </w:tcPr>
          <w:p w14:paraId="2150A12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12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&lt;0.001</w:t>
            </w:r>
          </w:p>
        </w:tc>
        <w:tc>
          <w:tcPr>
            <w:tcW w:w="411" w:type="dxa"/>
            <w:shd w:val="clear" w:color="auto" w:fill="auto"/>
            <w:vAlign w:val="center"/>
          </w:tcPr>
          <w:p w14:paraId="2150A12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A12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0.52</w:t>
            </w:r>
          </w:p>
        </w:tc>
        <w:tc>
          <w:tcPr>
            <w:tcW w:w="348" w:type="dxa"/>
            <w:shd w:val="clear" w:color="auto" w:fill="auto"/>
            <w:vAlign w:val="center"/>
          </w:tcPr>
          <w:p w14:paraId="2150A12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12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210" w:type="dxa"/>
            <w:shd w:val="clear" w:color="auto" w:fill="auto"/>
            <w:vAlign w:val="center"/>
          </w:tcPr>
          <w:p w14:paraId="2150A129"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12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13C" w14:textId="77777777">
        <w:trPr>
          <w:trHeight w:val="806"/>
        </w:trPr>
        <w:tc>
          <w:tcPr>
            <w:tcW w:w="550" w:type="dxa"/>
          </w:tcPr>
          <w:p w14:paraId="2150A12C" w14:textId="77777777" w:rsidR="00E7693B" w:rsidRPr="00E7693B" w:rsidRDefault="00E7693B">
            <w:pPr>
              <w:rPr>
                <w:rFonts w:ascii="Times New Roman" w:hAnsi="Times New Roman" w:cs="Times New Roman"/>
                <w:color w:val="000000"/>
              </w:rPr>
            </w:pPr>
          </w:p>
          <w:p w14:paraId="2150A12D"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54</w:t>
            </w:r>
          </w:p>
        </w:tc>
        <w:tc>
          <w:tcPr>
            <w:tcW w:w="1350" w:type="dxa"/>
            <w:shd w:val="clear" w:color="auto" w:fill="auto"/>
            <w:vAlign w:val="center"/>
          </w:tcPr>
          <w:p w14:paraId="2150A12E"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Pyridine, 2,4,6-trimethyl-</w:t>
            </w:r>
          </w:p>
        </w:tc>
        <w:tc>
          <w:tcPr>
            <w:tcW w:w="1002" w:type="dxa"/>
            <w:shd w:val="clear" w:color="auto" w:fill="auto"/>
            <w:vAlign w:val="center"/>
          </w:tcPr>
          <w:p w14:paraId="2150A12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21.38</w:t>
            </w:r>
          </w:p>
        </w:tc>
        <w:tc>
          <w:tcPr>
            <w:tcW w:w="363" w:type="dxa"/>
            <w:shd w:val="clear" w:color="auto" w:fill="auto"/>
            <w:vAlign w:val="center"/>
          </w:tcPr>
          <w:p w14:paraId="2150A13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13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&lt;0.001</w:t>
            </w:r>
          </w:p>
        </w:tc>
        <w:tc>
          <w:tcPr>
            <w:tcW w:w="411" w:type="dxa"/>
            <w:shd w:val="clear" w:color="auto" w:fill="auto"/>
            <w:vAlign w:val="center"/>
          </w:tcPr>
          <w:p w14:paraId="2150A13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708" w:type="dxa"/>
            <w:shd w:val="clear" w:color="auto" w:fill="auto"/>
            <w:vAlign w:val="center"/>
          </w:tcPr>
          <w:p w14:paraId="2150A13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3.66</w:t>
            </w:r>
          </w:p>
        </w:tc>
        <w:tc>
          <w:tcPr>
            <w:tcW w:w="348" w:type="dxa"/>
            <w:shd w:val="clear" w:color="auto" w:fill="auto"/>
            <w:vAlign w:val="center"/>
          </w:tcPr>
          <w:p w14:paraId="2150A13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13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0.31</w:t>
            </w:r>
          </w:p>
        </w:tc>
        <w:tc>
          <w:tcPr>
            <w:tcW w:w="411" w:type="dxa"/>
            <w:shd w:val="clear" w:color="auto" w:fill="auto"/>
            <w:vAlign w:val="center"/>
          </w:tcPr>
          <w:p w14:paraId="2150A136"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13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348" w:type="dxa"/>
            <w:shd w:val="clear" w:color="auto" w:fill="auto"/>
            <w:vAlign w:val="center"/>
          </w:tcPr>
          <w:p w14:paraId="2150A13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13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210" w:type="dxa"/>
            <w:shd w:val="clear" w:color="auto" w:fill="auto"/>
            <w:vAlign w:val="center"/>
          </w:tcPr>
          <w:p w14:paraId="2150A13A"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13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r w:rsidR="00E7693B" w:rsidRPr="00E7693B" w14:paraId="2150A14D" w14:textId="77777777">
        <w:trPr>
          <w:trHeight w:val="806"/>
        </w:trPr>
        <w:tc>
          <w:tcPr>
            <w:tcW w:w="550" w:type="dxa"/>
          </w:tcPr>
          <w:p w14:paraId="2150A13D" w14:textId="77777777" w:rsidR="00E7693B" w:rsidRPr="00E7693B" w:rsidRDefault="00E7693B">
            <w:pPr>
              <w:rPr>
                <w:rFonts w:ascii="Times New Roman" w:hAnsi="Times New Roman" w:cs="Times New Roman"/>
                <w:color w:val="000000"/>
              </w:rPr>
            </w:pPr>
          </w:p>
          <w:p w14:paraId="2150A13E"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55</w:t>
            </w:r>
          </w:p>
        </w:tc>
        <w:tc>
          <w:tcPr>
            <w:tcW w:w="1350" w:type="dxa"/>
            <w:shd w:val="clear" w:color="auto" w:fill="auto"/>
            <w:vAlign w:val="center"/>
          </w:tcPr>
          <w:p w14:paraId="2150A13F"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Undecanal</w:t>
            </w:r>
          </w:p>
        </w:tc>
        <w:tc>
          <w:tcPr>
            <w:tcW w:w="1002" w:type="dxa"/>
            <w:shd w:val="clear" w:color="auto" w:fill="auto"/>
            <w:vAlign w:val="center"/>
          </w:tcPr>
          <w:p w14:paraId="2150A14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0.21</w:t>
            </w:r>
          </w:p>
        </w:tc>
        <w:tc>
          <w:tcPr>
            <w:tcW w:w="363" w:type="dxa"/>
            <w:shd w:val="clear" w:color="auto" w:fill="auto"/>
            <w:vAlign w:val="center"/>
          </w:tcPr>
          <w:p w14:paraId="2150A14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88" w:type="dxa"/>
            <w:shd w:val="clear" w:color="auto" w:fill="auto"/>
            <w:vAlign w:val="center"/>
          </w:tcPr>
          <w:p w14:paraId="2150A14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0.68</w:t>
            </w:r>
          </w:p>
        </w:tc>
        <w:tc>
          <w:tcPr>
            <w:tcW w:w="411" w:type="dxa"/>
            <w:shd w:val="clear" w:color="auto" w:fill="auto"/>
            <w:vAlign w:val="center"/>
          </w:tcPr>
          <w:p w14:paraId="2150A143"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14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4.88</w:t>
            </w:r>
          </w:p>
        </w:tc>
        <w:tc>
          <w:tcPr>
            <w:tcW w:w="348" w:type="dxa"/>
            <w:shd w:val="clear" w:color="auto" w:fill="auto"/>
            <w:vAlign w:val="center"/>
          </w:tcPr>
          <w:p w14:paraId="2150A14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603" w:type="dxa"/>
            <w:shd w:val="clear" w:color="auto" w:fill="auto"/>
            <w:vAlign w:val="center"/>
          </w:tcPr>
          <w:p w14:paraId="2150A14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0.23</w:t>
            </w:r>
          </w:p>
        </w:tc>
        <w:tc>
          <w:tcPr>
            <w:tcW w:w="411" w:type="dxa"/>
            <w:shd w:val="clear" w:color="auto" w:fill="auto"/>
            <w:vAlign w:val="center"/>
          </w:tcPr>
          <w:p w14:paraId="2150A147" w14:textId="77777777" w:rsidR="00E7693B" w:rsidRPr="00E7693B" w:rsidRDefault="00E7693B">
            <w:pPr>
              <w:jc w:val="center"/>
              <w:rPr>
                <w:rFonts w:ascii="Times New Roman" w:hAnsi="Times New Roman" w:cs="Times New Roman"/>
                <w:color w:val="000000"/>
              </w:rPr>
            </w:pPr>
          </w:p>
        </w:tc>
        <w:tc>
          <w:tcPr>
            <w:tcW w:w="708" w:type="dxa"/>
            <w:shd w:val="clear" w:color="auto" w:fill="auto"/>
            <w:vAlign w:val="center"/>
          </w:tcPr>
          <w:p w14:paraId="2150A14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1.57</w:t>
            </w:r>
          </w:p>
        </w:tc>
        <w:tc>
          <w:tcPr>
            <w:tcW w:w="348" w:type="dxa"/>
            <w:shd w:val="clear" w:color="auto" w:fill="auto"/>
            <w:vAlign w:val="center"/>
          </w:tcPr>
          <w:p w14:paraId="2150A14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476" w:type="dxa"/>
            <w:shd w:val="clear" w:color="auto" w:fill="auto"/>
            <w:vAlign w:val="center"/>
          </w:tcPr>
          <w:p w14:paraId="2150A14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210" w:type="dxa"/>
            <w:shd w:val="clear" w:color="auto" w:fill="auto"/>
            <w:vAlign w:val="center"/>
          </w:tcPr>
          <w:p w14:paraId="2150A14B" w14:textId="77777777" w:rsidR="00E7693B" w:rsidRPr="00E7693B" w:rsidRDefault="00E7693B">
            <w:pPr>
              <w:jc w:val="center"/>
              <w:rPr>
                <w:rFonts w:ascii="Times New Roman" w:hAnsi="Times New Roman" w:cs="Times New Roman"/>
                <w:color w:val="000000"/>
              </w:rPr>
            </w:pPr>
          </w:p>
        </w:tc>
        <w:tc>
          <w:tcPr>
            <w:tcW w:w="1020" w:type="dxa"/>
            <w:shd w:val="clear" w:color="auto" w:fill="auto"/>
            <w:vAlign w:val="center"/>
          </w:tcPr>
          <w:p w14:paraId="2150A14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w:t>
            </w:r>
          </w:p>
        </w:tc>
      </w:tr>
    </w:tbl>
    <w:p w14:paraId="2150A14E" w14:textId="77777777" w:rsidR="00E7693B" w:rsidRPr="00E7693B" w:rsidRDefault="00E7693B">
      <w:pPr>
        <w:spacing w:line="360" w:lineRule="auto"/>
        <w:jc w:val="both"/>
        <w:rPr>
          <w:rFonts w:ascii="Times New Roman" w:hAnsi="Times New Roman" w:cs="Times New Roman"/>
        </w:rPr>
      </w:pPr>
    </w:p>
    <w:p w14:paraId="2150A14F" w14:textId="77777777" w:rsidR="00E7693B" w:rsidRPr="00E7693B" w:rsidRDefault="00E7693B" w:rsidP="00EC70C2">
      <w:pPr>
        <w:pStyle w:val="Heading3"/>
      </w:pPr>
      <w:bookmarkStart w:id="62" w:name="_Toc167977631"/>
      <w:r w:rsidRPr="00E7693B">
        <w:t>Discussion</w:t>
      </w:r>
      <w:bookmarkEnd w:id="62"/>
    </w:p>
    <w:p w14:paraId="2150A150" w14:textId="77777777" w:rsidR="00E7693B" w:rsidRPr="00E7693B" w:rsidRDefault="00E7693B" w:rsidP="00CF0A23">
      <w:pPr>
        <w:spacing w:after="0"/>
        <w:rPr>
          <w:rFonts w:ascii="Times New Roman" w:hAnsi="Times New Roman" w:cs="Times New Roman"/>
        </w:rPr>
      </w:pPr>
    </w:p>
    <w:p w14:paraId="2150A151" w14:textId="52AC9584" w:rsidR="00E7693B" w:rsidRPr="00CF0A23" w:rsidRDefault="00E7693B" w:rsidP="00313E35">
      <w:pPr>
        <w:spacing w:after="0"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 xml:space="preserve">Plant attractiveness to insect herbivores changes during the life span of the plant. According to the optimal defence theory, plants protect their most crucial parts with mechanical and chemical barriers to deter insect herbivores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{"citationID":"YSOVIi87","properties":{"formattedCitation":"(Badenes-Perez et al., 2014)","plainCitation":"(Badenes-Perez et al., 2014)","noteIndex":0},"citationItems":[{"id":418,"uris":["http://zotero.org/users/10895598/items/VPAR2PE7"],"itemData":{"id":418,"type":"article-journal","container-title":"PLoS ONE","DOI":"10.1371/journal.pone.0095766","ISSN":"1932-6203","issue":"4","journalAbbreviation":"PLoS ONE","language":"en","page":"e95766","source":"DOI.org (Crossref)","title":"Insect attraction versus plant defense: young leaves high in glucosinolates stimulate oviposition by a specialist herbivore despite poor larval survival due to high saponin content","title-short":"Insect Attraction versus Plant Defense","volume":"9","author":[{"family":"Badenes-Perez","given":"Francisco R."},{"family":"Gershenzon","given":"Jonathan"},{"family":"Heckel","given":"David G."}],"editor":[{"family":"Etges","given":"William J."}],"issued":{"date-parts":[["2014",4,21]]}}}],"schema":"https://github.com/citation-style-language/schema/raw/master/csl-citation.json"}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(Badenes-Perez et al., 2014)</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Thus, individual plant organs can differ in their attractiveness and resistance to insect herbivores, which can be demonstrated by plant damage caused by the attacker and/or reproduction rate. Feeding choice tests revealed that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sz w:val="24"/>
          <w:szCs w:val="24"/>
        </w:rPr>
        <w:t xml:space="preserve"> caterpillars and </w:t>
      </w:r>
      <w:r w:rsidRPr="00CF0A23">
        <w:rPr>
          <w:rFonts w:ascii="Times New Roman" w:hAnsi="Times New Roman" w:cs="Times New Roman"/>
          <w:i/>
          <w:sz w:val="24"/>
          <w:szCs w:val="24"/>
        </w:rPr>
        <w:t xml:space="preserve">B. </w:t>
      </w:r>
      <w:proofErr w:type="spellStart"/>
      <w:r w:rsidRPr="00CF0A23">
        <w:rPr>
          <w:rFonts w:ascii="Times New Roman" w:hAnsi="Times New Roman" w:cs="Times New Roman"/>
          <w:i/>
          <w:sz w:val="24"/>
          <w:szCs w:val="24"/>
        </w:rPr>
        <w:t>brassicae</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aphids strongly</w:t>
      </w:r>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prefer true leaves to cotyledons when evaluated based on the leaf area eaten and a number of individuals feeding on the leaves. Therefore, true leaves were further used to study tripartite interaction between oilseed rape,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 and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/B. </w:t>
      </w:r>
      <w:proofErr w:type="spellStart"/>
      <w:r w:rsidRPr="00CF0A23">
        <w:rPr>
          <w:rFonts w:ascii="Times New Roman" w:hAnsi="Times New Roman" w:cs="Times New Roman"/>
          <w:i/>
          <w:sz w:val="24"/>
          <w:szCs w:val="24"/>
        </w:rPr>
        <w:t>brassicae</w:t>
      </w:r>
      <w:proofErr w:type="spellEnd"/>
      <w:r w:rsidRPr="00CF0A23">
        <w:rPr>
          <w:rFonts w:ascii="Times New Roman" w:hAnsi="Times New Roman" w:cs="Times New Roman"/>
          <w:sz w:val="24"/>
          <w:szCs w:val="24"/>
        </w:rPr>
        <w:t xml:space="preserve">. This result is in line with the recent finding that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larvae prefer to feed on true leaves of </w:t>
      </w:r>
      <w:r w:rsidRPr="00CF0A23">
        <w:rPr>
          <w:rFonts w:ascii="Times New Roman" w:hAnsi="Times New Roman" w:cs="Times New Roman"/>
          <w:i/>
          <w:sz w:val="24"/>
          <w:szCs w:val="24"/>
        </w:rPr>
        <w:t xml:space="preserve">Brassica oleracea </w:t>
      </w:r>
      <w:r w:rsidRPr="00CF0A23">
        <w:rPr>
          <w:rFonts w:ascii="Times New Roman" w:hAnsi="Times New Roman" w:cs="Times New Roman"/>
          <w:sz w:val="24"/>
          <w:szCs w:val="24"/>
        </w:rPr>
        <w:t>than cotyledons</w:t>
      </w:r>
      <w:r w:rsidRPr="00CF0A23">
        <w:rPr>
          <w:rFonts w:ascii="Times New Roman" w:hAnsi="Times New Roman" w:cs="Times New Roman"/>
          <w:sz w:val="24"/>
          <w:szCs w:val="24"/>
          <w:vertAlign w:val="superscript"/>
        </w:rPr>
        <w:t xml:space="preserve">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{"citationID":"0V05nBl6","properties":{"formattedCitation":"(Zhu et al., 2022)","plainCitation":"(Zhu et al., 2022)","noteIndex":0},"citationItems":[{"id":484,"uris":["http://zotero.org/users/10895598/items/XU63XEGB"],"itemData":{"id":484,"type":"article-journal","container-title":"Journal of Pest Science","DOI":"10.1007/s10340-021-01366-3","ISSN":"1612-4758, 1612-4766","issue":"1","journalAbbreviation":"J Pest Sci","language":"en","page":"203-214","source":"DOI.org (Crossref)","title":"Adaptations of &lt;i&gt;Plutella xylostella&lt;/i&gt; adult females and larvae to waxy host plants","volume":"95","author":[{"family":"Zhu","given":"Jing-Yun"},{"family":"Xiang","given":"Zhong-Wen"},{"family":"Zhang","given":"Shi-Ze"},{"family":"Wu","given":"Lin-Nan"},{"family":"Liu","given":"Tong-Xian"}],"issued":{"date-parts":[["2022",1]]}}}],"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(Zhu et al., 2022)</w:t>
      </w:r>
      <w:r w:rsidR="00713AE4">
        <w:rPr>
          <w:rFonts w:ascii="Times New Roman" w:hAnsi="Times New Roman" w:cs="Times New Roman"/>
          <w:sz w:val="24"/>
          <w:szCs w:val="24"/>
        </w:rPr>
        <w:fldChar w:fldCharType="end"/>
      </w:r>
    </w:p>
    <w:p w14:paraId="2150A152" w14:textId="045539EB" w:rsidR="00E7693B" w:rsidRPr="00CF0A23" w:rsidRDefault="00E7693B" w:rsidP="00CF0A23">
      <w:pPr>
        <w:spacing w:after="0"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 xml:space="preserve">To investigate changes in leaf palatability for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larvae after the infection with the </w:t>
      </w:r>
      <w:proofErr w:type="spellStart"/>
      <w:r w:rsidRPr="00CF0A23">
        <w:rPr>
          <w:rFonts w:ascii="Times New Roman" w:hAnsi="Times New Roman" w:cs="Times New Roman"/>
          <w:sz w:val="24"/>
          <w:szCs w:val="24"/>
        </w:rPr>
        <w:t>hemibiotroph</w:t>
      </w:r>
      <w:proofErr w:type="spellEnd"/>
      <w:r w:rsidRPr="00CF0A23">
        <w:rPr>
          <w:rFonts w:ascii="Times New Roman" w:hAnsi="Times New Roman" w:cs="Times New Roman"/>
          <w:sz w:val="24"/>
          <w:szCs w:val="24"/>
        </w:rPr>
        <w:t xml:space="preserve">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 non-inoculated (control) and inoculated detached leaves of oilseed rape were placed in separate vials interconnected by a T-tube, whereas to test the preference of </w:t>
      </w:r>
      <w:r w:rsidRPr="00CF0A23">
        <w:rPr>
          <w:rFonts w:ascii="Times New Roman" w:hAnsi="Times New Roman" w:cs="Times New Roman"/>
          <w:i/>
          <w:sz w:val="24"/>
          <w:szCs w:val="24"/>
        </w:rPr>
        <w:t xml:space="preserve">B. </w:t>
      </w:r>
      <w:proofErr w:type="spellStart"/>
      <w:r w:rsidRPr="00CF0A23">
        <w:rPr>
          <w:rFonts w:ascii="Times New Roman" w:hAnsi="Times New Roman" w:cs="Times New Roman"/>
          <w:i/>
          <w:sz w:val="24"/>
          <w:szCs w:val="24"/>
        </w:rPr>
        <w:t>brassicae</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aphids, control and inoculated detached leaves of oilseed rape were placed in Petri dishes. Although experiments with cut leaves do not provide field-realistic implications, </w:t>
      </w:r>
      <w:r w:rsidRPr="00CF0A23">
        <w:rPr>
          <w:rFonts w:ascii="Times New Roman" w:hAnsi="Times New Roman" w:cs="Times New Roman"/>
          <w:i/>
          <w:sz w:val="24"/>
          <w:szCs w:val="24"/>
        </w:rPr>
        <w:t>in vitro</w:t>
      </w:r>
      <w:r w:rsidRPr="00CF0A23">
        <w:rPr>
          <w:rFonts w:ascii="Times New Roman" w:hAnsi="Times New Roman" w:cs="Times New Roman"/>
          <w:sz w:val="24"/>
          <w:szCs w:val="24"/>
        </w:rPr>
        <w:t xml:space="preserve"> experiments are a common method used in laboratories to test insect preference, and the results of insect choice are generally consistent with </w:t>
      </w:r>
      <w:r w:rsidRPr="00CF0A23">
        <w:rPr>
          <w:rFonts w:ascii="Times New Roman" w:hAnsi="Times New Roman" w:cs="Times New Roman"/>
          <w:i/>
          <w:sz w:val="24"/>
          <w:szCs w:val="24"/>
        </w:rPr>
        <w:t>in vivo</w:t>
      </w:r>
      <w:r w:rsidRPr="00CF0A23">
        <w:rPr>
          <w:rFonts w:ascii="Times New Roman" w:hAnsi="Times New Roman" w:cs="Times New Roman"/>
          <w:sz w:val="24"/>
          <w:szCs w:val="24"/>
        </w:rPr>
        <w:t xml:space="preserve"> experiments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{"citationID":"cn05pbwp","properties":{"formattedCitation":"(Robin et al., 2017)","plainCitation":"(Robin et al., 2017)","noteIndex":0},"citationItems":[{"id":157,"uris":["http://zotero.org/users/10895598/items/CHVLQSS3"],"itemData":{"id":157,"type":"article-journal","container-title":"Frontiers in Plant Science","DOI":"10.3389/fpls.2017.01244","ISSN":"1664-462X","journalAbbreviation":"Front. Plant Sci.","page":"1244","source":"DOI.org (Crossref)","title":"Glucosinolate profiles in cabbage genotypes influence the preferential feeding of diamondback moth (&lt;i&gt;Plutella xylostella&lt;/i&gt;)","volume":"8","author":[{"family":"Robin","given":"Arif Hasan Khan"},{"family":"Hossain","given":"Mohammad Rashed"},{"family":"Park","given":"Jong-In"},{"family":"Kim","given":"Hye R."},{"family":"Nou","given":"Ill-Sup"}],"issued":{"date-parts":[["2017",7,18]]}}}],"schema":"https://github.com/citation-style-language/schema/raw/master/csl-citation.json"}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(Robin et al., 2017)</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The results showed that caterpillars significantly prefer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to control leaves </w:t>
      </w:r>
      <w:r w:rsidR="008516B3">
        <w:rPr>
          <w:rFonts w:ascii="Times New Roman" w:hAnsi="Times New Roman" w:cs="Times New Roman"/>
          <w:sz w:val="24"/>
          <w:szCs w:val="24"/>
        </w:rPr>
        <w:t>early</w:t>
      </w:r>
      <w:r w:rsidR="008516B3" w:rsidRPr="00CF0A23">
        <w:rPr>
          <w:rFonts w:ascii="Times New Roman" w:hAnsi="Times New Roman" w:cs="Times New Roman"/>
          <w:sz w:val="24"/>
          <w:szCs w:val="24"/>
        </w:rPr>
        <w:t xml:space="preserve"> </w:t>
      </w:r>
      <w:r w:rsidRPr="00CF0A23">
        <w:rPr>
          <w:rFonts w:ascii="Times New Roman" w:hAnsi="Times New Roman" w:cs="Times New Roman"/>
          <w:sz w:val="24"/>
          <w:szCs w:val="24"/>
        </w:rPr>
        <w:t xml:space="preserve">after inoculation, and the palatability of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for caterpillars decreased at 7 dpi. On the other hand, aphids did not show any preference at 3 dpi but the significant avoidance for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was observed at 7 dpi. Regardless of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being still green and symptomless at 3 dpi, the previous research by Šašek et al. (2012b) in cotyledons of oilseed rape showed that conidia start to germinate at this early stage of the disease followed by the slow growth of mycelium, and symptoms start to be visually detectable (yellowing of infected leaf and first lesion formation) at 7 dpi when mycelium is already expanded. It should be noted that plants activate defence mechanisms when they come into contact with pathogens, which could alter their palatability to herbivores. Pathogenic microorganisms are primarily identified on the basis of PAMPs, which are represented by molecules present in their cell walls or spores. Recognition of PAMPs is followed by the activation of defence responses. The second stronger wave of defence is activated by the effectors secreted by the pathogen. In case of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oilseed rape</w:t>
      </w:r>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response during the first wave is rather weak and later on, </w:t>
      </w:r>
      <w:r w:rsidRPr="00CF0A23">
        <w:rPr>
          <w:rFonts w:ascii="Times New Roman" w:hAnsi="Times New Roman" w:cs="Times New Roman"/>
          <w:i/>
          <w:sz w:val="24"/>
          <w:szCs w:val="24"/>
        </w:rPr>
        <w:t>i.e.</w:t>
      </w:r>
      <w:r w:rsidRPr="00CF0A23">
        <w:rPr>
          <w:rFonts w:ascii="Times New Roman" w:hAnsi="Times New Roman" w:cs="Times New Roman"/>
          <w:sz w:val="24"/>
          <w:szCs w:val="24"/>
        </w:rPr>
        <w:t xml:space="preserve"> at 7 dpi, the hyphae colonize the leaf apoplast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{"citationID":"kxrX4dG5","properties":{"formattedCitation":"(Gay et al., 2021; Jones and Dangl, 2006)","plainCitation":"(Gay et al., 2021; Jones and Dangl, 2006)","noteIndex":0},"citationItems":[{"id":495,"uris":["http://zotero.org/users/10895598/items/7FZH9BCT"],"itemData":{"id":495,"type":"article-journal","abstract":"Abstract\n            \n              Background\n              \n                The fungus\n                Leptosphaeria maculans\n                has an exceptionally long and complex relationship with its host plant,\n                Brassica napus\n                , during which it switches between different lifestyles, including asymptomatic, biotrophic, necrotrophic, and saprotrophic stages. The fungus is also exemplary of “two-speed” genome organisms in the genome of which gene-rich and repeat-rich regions alternate. Except for a few stages of plant infection under controlled conditions, nothing is known about the genes mobilized by the fungus throughout its life cycle, which may last several years in the field.\n              \n            \n            \n              Results\n              \n                We performed RNA-seq on samples corresponding to all stages of the interaction of\n                L. maculans\n                with its host plant, either alive or dead (stem residues after harvest) in controlled conditions or in field experiments under natural inoculum pressure, over periods of time ranging from a few days to months or years. A total of 102 biological samples corresponding to 37 sets of conditions were analyzed. We show here that about 9% of the genes of this fungus are highly expressed during its interactions with its host plant. These genes are distributed into eight well-defined expression clusters, corresponding to specific infection lifestyles or to tissue-specific genes. All expression clusters are enriched in effector genes, and one cluster is specific to the saprophytic lifestyle on plant residues. One cluster, including genes known to be involved in the first phase of asymptomatic fungal growth in leaves, is re-used at each asymptomatic growth stage, regardless of the type of organ infected. The expression of the genes of this cluster is repeatedly turned on and off during infection. Whatever their expression profile, the genes of these clusters are enriched in heterochromatin regions associated with H3K9me3 or H3K27me3 repressive marks. These findings provide support for the hypothesis that part of the fungal genes involved in niche adaptation is located in heterochromatic regions of the genome, conferring an extreme plasticity of expression.\n              \n            \n            \n              Conclusion\n              This work opens up new avenues for plant disease control, by identifying stage-specific effectors that could be used as targets for the identification of novel durable disease resistance genes, or for the in-depth analysis of chromatin remodeling during plant infection, which could be manipulated to interfere with the global expression of effector genes at crucial stages of plant infection.","container-title":"BMC Biology","DOI":"10.1186/s12915-021-00989-3","ISSN":"1741-7007","issue":"1","journalAbbreviation":"BMC Biol","language":"en","page":"55","source":"DOI.org (Crossref)","title":"Large-scale transcriptomics to dissect 2 years of the life of a fungal phytopathogen interacting with its host plant","volume":"19","author":[{"family":"Gay","given":"Elise J."},{"family":"Soyer","given":"Jessica L."},{"family":"Lapalu","given":"Nicolas"},{"family":"Linglin","given":"Juliette"},{"family":"Fudal","given":"Isabelle"},{"family":"Da Silva","given":"Corinne"},{"family":"Wincker","given":"Patrick"},{"family":"Aury","given":"Jean-Marc"},{"family":"Cruaud","given":"Corinne"},{"family":"Levrel","given":"Anne"},{"family":"Lemoine","given":"Jocelyne"},{"family":"Delourme","given":"Regine"},{"family":"Rouxel","given":"Thierry"},{"family":"Balesdent","given":"Marie-Hélène"}],"issued":{"date-parts":[["2021",3,23]]}}},{"id":55,"uris":["http://zotero.org/users/10895598/items/VW5F5BNG"],"itemData":{"id":55,"type":"article-journal","container-title":"Nature","DOI":"10.1038/nature05286","ISSN":"0028-0836, 1476-4687","issue":"7117","journalAbbreviation":"Nature","language":"en","page":"323-329","source":"DOI.org (Crossref)","title":"The plant immune system","volume":"444","author":[{"family":"Jones","given":"Jonathan D. G."},{"family":"Dangl","given":"Jeffery L."}],"issued":{"date-parts":[["2006",11]]}}}],"schema":"https://github.com/citation-style-language/schema/raw/master/csl-citation.json"}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(Gay et al., 2021; Jones and Dangl, 2006)</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Thus, this may affect the feeding preference of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sz w:val="24"/>
          <w:szCs w:val="24"/>
        </w:rPr>
        <w:t xml:space="preserve"> caterpillars and </w:t>
      </w:r>
      <w:r w:rsidRPr="00CF0A23">
        <w:rPr>
          <w:rFonts w:ascii="Times New Roman" w:hAnsi="Times New Roman" w:cs="Times New Roman"/>
          <w:i/>
          <w:sz w:val="24"/>
          <w:szCs w:val="24"/>
        </w:rPr>
        <w:t xml:space="preserve">B. </w:t>
      </w:r>
      <w:proofErr w:type="spellStart"/>
      <w:r w:rsidRPr="00CF0A23">
        <w:rPr>
          <w:rFonts w:ascii="Times New Roman" w:hAnsi="Times New Roman" w:cs="Times New Roman"/>
          <w:i/>
          <w:sz w:val="24"/>
          <w:szCs w:val="24"/>
        </w:rPr>
        <w:t>brassicae</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aphids in the course of disease development.</w:t>
      </w:r>
    </w:p>
    <w:p w14:paraId="2150A153" w14:textId="50393B1D" w:rsidR="00E7693B" w:rsidRPr="00CF0A23" w:rsidRDefault="00E7693B" w:rsidP="00CF0A23">
      <w:pPr>
        <w:spacing w:after="0"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 xml:space="preserve">Pathogen recognition triggers numerous defence mechanisms and phytohormone </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pathways. The activation of SA, JA and ET </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was examined and demonstrated that dominant </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pathways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were SA (based on </w:t>
      </w:r>
      <w:r w:rsidRPr="00CF0A23">
        <w:rPr>
          <w:rFonts w:ascii="Times New Roman" w:hAnsi="Times New Roman" w:cs="Times New Roman"/>
          <w:i/>
          <w:sz w:val="24"/>
          <w:szCs w:val="24"/>
        </w:rPr>
        <w:t>ICS1</w:t>
      </w:r>
      <w:r w:rsidRPr="00CF0A23">
        <w:rPr>
          <w:rFonts w:ascii="Times New Roman" w:hAnsi="Times New Roman" w:cs="Times New Roman"/>
          <w:sz w:val="24"/>
          <w:szCs w:val="24"/>
        </w:rPr>
        <w:t xml:space="preserve">, </w:t>
      </w:r>
      <w:r w:rsidRPr="00CF0A23">
        <w:rPr>
          <w:rFonts w:ascii="Times New Roman" w:hAnsi="Times New Roman" w:cs="Times New Roman"/>
          <w:i/>
          <w:sz w:val="24"/>
          <w:szCs w:val="24"/>
        </w:rPr>
        <w:t>PAL1</w:t>
      </w:r>
      <w:r w:rsidRPr="00CF0A23">
        <w:rPr>
          <w:rFonts w:ascii="Times New Roman" w:hAnsi="Times New Roman" w:cs="Times New Roman"/>
          <w:sz w:val="24"/>
          <w:szCs w:val="24"/>
        </w:rPr>
        <w:t xml:space="preserve"> and </w:t>
      </w:r>
      <w:r w:rsidRPr="00CF0A23">
        <w:rPr>
          <w:rFonts w:ascii="Times New Roman" w:hAnsi="Times New Roman" w:cs="Times New Roman"/>
          <w:i/>
          <w:sz w:val="24"/>
          <w:szCs w:val="24"/>
        </w:rPr>
        <w:t xml:space="preserve">PR1 </w:t>
      </w:r>
      <w:r w:rsidRPr="00CF0A23">
        <w:rPr>
          <w:rFonts w:ascii="Times New Roman" w:hAnsi="Times New Roman" w:cs="Times New Roman"/>
          <w:sz w:val="24"/>
          <w:szCs w:val="24"/>
        </w:rPr>
        <w:t xml:space="preserve">transcription) and ET (based on </w:t>
      </w:r>
      <w:r w:rsidRPr="00CF0A23">
        <w:rPr>
          <w:rFonts w:ascii="Times New Roman" w:hAnsi="Times New Roman" w:cs="Times New Roman"/>
          <w:i/>
          <w:sz w:val="24"/>
          <w:szCs w:val="24"/>
        </w:rPr>
        <w:t>ACS2</w:t>
      </w:r>
      <w:r w:rsidRPr="00CF0A23">
        <w:rPr>
          <w:rFonts w:ascii="Times New Roman" w:hAnsi="Times New Roman" w:cs="Times New Roman"/>
          <w:sz w:val="24"/>
          <w:szCs w:val="24"/>
        </w:rPr>
        <w:t xml:space="preserve">, </w:t>
      </w:r>
      <w:r w:rsidRPr="00CF0A23">
        <w:rPr>
          <w:rFonts w:ascii="Times New Roman" w:hAnsi="Times New Roman" w:cs="Times New Roman"/>
          <w:i/>
          <w:sz w:val="24"/>
          <w:szCs w:val="24"/>
        </w:rPr>
        <w:t>βCHI</w:t>
      </w:r>
      <w:r w:rsidRPr="00CF0A23">
        <w:rPr>
          <w:rFonts w:ascii="Times New Roman" w:hAnsi="Times New Roman" w:cs="Times New Roman"/>
          <w:sz w:val="24"/>
          <w:szCs w:val="24"/>
        </w:rPr>
        <w:t xml:space="preserve"> and </w:t>
      </w:r>
      <w:r w:rsidRPr="00CF0A23">
        <w:rPr>
          <w:rFonts w:ascii="Times New Roman" w:hAnsi="Times New Roman" w:cs="Times New Roman"/>
          <w:i/>
          <w:sz w:val="24"/>
          <w:szCs w:val="24"/>
        </w:rPr>
        <w:t xml:space="preserve">HEL </w:t>
      </w:r>
      <w:r w:rsidRPr="00CF0A23">
        <w:rPr>
          <w:rFonts w:ascii="Times New Roman" w:hAnsi="Times New Roman" w:cs="Times New Roman"/>
          <w:sz w:val="24"/>
          <w:szCs w:val="24"/>
        </w:rPr>
        <w:t xml:space="preserve">transcription), and that the activation of JA </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did not occur during the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infection in oilseed rape</w:t>
      </w:r>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leaves. Therefore, </w:t>
      </w:r>
      <w:r w:rsidRPr="00CF0A23">
        <w:rPr>
          <w:rFonts w:ascii="Times New Roman" w:hAnsi="Times New Roman" w:cs="Times New Roman"/>
          <w:i/>
          <w:sz w:val="24"/>
          <w:szCs w:val="24"/>
        </w:rPr>
        <w:t>βCHI</w:t>
      </w:r>
      <w:r w:rsidRPr="00CF0A23">
        <w:rPr>
          <w:rFonts w:ascii="Times New Roman" w:hAnsi="Times New Roman" w:cs="Times New Roman"/>
          <w:sz w:val="24"/>
          <w:szCs w:val="24"/>
        </w:rPr>
        <w:t xml:space="preserve"> and </w:t>
      </w:r>
      <w:r w:rsidRPr="00CF0A23">
        <w:rPr>
          <w:rFonts w:ascii="Times New Roman" w:hAnsi="Times New Roman" w:cs="Times New Roman"/>
          <w:i/>
          <w:sz w:val="24"/>
          <w:szCs w:val="24"/>
        </w:rPr>
        <w:t>HEL</w:t>
      </w:r>
      <w:r w:rsidRPr="00CF0A23">
        <w:rPr>
          <w:rFonts w:ascii="Times New Roman" w:hAnsi="Times New Roman" w:cs="Times New Roman"/>
          <w:sz w:val="24"/>
          <w:szCs w:val="24"/>
        </w:rPr>
        <w:t xml:space="preserve"> were activated via the ET pathway at both time points. These results performed on detached true leaves correspond with previous work by Šašek et al. (2012b), which was done on intact </w:t>
      </w:r>
      <w:r w:rsidRPr="00CF0A23">
        <w:rPr>
          <w:rFonts w:ascii="Times New Roman" w:hAnsi="Times New Roman" w:cs="Times New Roman"/>
          <w:i/>
          <w:sz w:val="24"/>
          <w:szCs w:val="24"/>
        </w:rPr>
        <w:t>in vivo</w:t>
      </w:r>
      <w:r w:rsidRPr="00CF0A23">
        <w:rPr>
          <w:rFonts w:ascii="Times New Roman" w:hAnsi="Times New Roman" w:cs="Times New Roman"/>
          <w:sz w:val="24"/>
          <w:szCs w:val="24"/>
        </w:rPr>
        <w:t xml:space="preserve"> cotyledons. As discussed previously,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 activates the SA </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pathway at the early stage of infection, during the biotrophic stage, whereas ET </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starts its activity later on in connection with the development of necrotic symptoms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{"citationID":"REV7dKtL","properties":{"formattedCitation":"(Lowe et al., 2014; \\uc0\\u352{}a\\uc0\\u353{}ek et al., 2012b)","plainCitation":"(Lowe et al., 2014; Šašek et al., 2012b)","noteIndex":0},"citationItems":[{"id":494,"uris":["http://zotero.org/users/10895598/items/LLBMRTWR"],"itemData":{"id":494,"type":"article-journal","container-title":"PLoS ONE","DOI":"10.1371/journal.pone.0103098","ISSN":"1932-6203","issue":"7","journalAbbreviation":"PLoS ONE","language":"en","page":"e103098","source":"DOI.org (Crossref)","title":"Genomes and transcriptomes of partners in plant-fungal interactions between canola (&lt;i&gt;Brassica napus&lt;/i&gt;) and two &lt;i&gt;Leptosphaeria&lt;/i&gt; species","volume":"9","author":[{"family":"Lowe","given":"Rohan G. T."},{"family":"Cassin","given":"Andrew"},{"family":"Grandaubert","given":"Jonathan"},{"family":"Clark","given":"Bethany L."},{"family":"Van de Wouw","given":"Angela P."},{"family":"Rouxel","given":"Thierry"},{"family":"Howlett","given":"Barbara J."}],"editor":[{"family":"Wilson","given":"Richard A."}],"issued":{"date-parts":[["2014",7,28]]}}},{"id":411,"uris":["http://zotero.org/users/10895598/items/SABULKU5"],"itemData":{"id":411,"type":"article-journal","abstract":"Interaction of a plant with a fungal pathogen is an encounter with hundreds of molecules. In contrast to this, a single molecule often decides between the disease and resistance. In the present article, we describe the defense responses triggered by AvrLm1, an avirulence gene from a hemibiotrophic ascomycete, Leptosphaeria maculans, responsible for an incompatible interaction with Brassica napus. Using multiple hormone quantification and expression analysis of defense-related genes, we investigated signaling events in Rlm1 plants infected with two sister isolates of L. maculans differentiated by the presence or absence of AvrLm1. Infection with the isolate carrying AvrLm1 increased the biosynthesis of salicylic acid (SA) and induced expression of the SA-associated genes ICS1, WRKY70, and PR-1, a feature characteristic of responses to biotrophic pathogens and resistance gene–mediated resistance. In addition to SA-signaling elements, we also observed the induction of ASC2a, HEL, and CHI genes associated with ethylene (ET) signaling. Pharmacological experiments confirmed the positive roles of SA and ET in mediating resistance to L. maculans. The unusual cooperation of SA and ET signaling might be a response to the hemibiotrophic nature of L. maculans. Our results also demonstrate the profound difference between the natural host B. napus and the model plant Arabidopsis in their response to L. maculans infection.","container-title":"Molecular Plant-Microbe Interactions®","DOI":"10.1094/MPMI-02-12-0033-R","ISSN":"0894-0282, 1943-7706","issue":"9","journalAbbreviation":"MPMI","language":"en","page":"1238-1250","source":"DOI.org (Crossref)","title":"Recognition of avirulence gene &lt;i&gt;AvrLm1&lt;/i&gt; from hemibiotrophic ascomycete &lt;i&gt;Leptosphaeria maculans&lt;/i&gt; triggers salicylic acid and ethylene signaling in &lt;i&gt;Brassica napus&lt;/i&gt;","volume":"25","author":[{"family":"Šašek","given":"Vladimír"},{"family":"Nováková","given":"Miroslava"},{"family":"Jindřichová","given":"Barbora"},{"family":"Bóka","given":"Károly"},{"family":"Valentová","given":"Olga"},{"family":"Burketová","given":"Lenka"}],"issued":{"date-parts":[["2012",9]]}}}],"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szCs w:val="24"/>
        </w:rPr>
        <w:t>(Lowe et al., 2014; Šašek et al., 2012b)</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this combination is quite uncharacteristic for plant pathogens and here reflects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 transition from biotrophic to a necrotrophic phase. Since plant defence against chewing herbivores is generally regulated by JA and the activation of the JA </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pathway was not observed (based on the lack of </w:t>
      </w:r>
      <w:r w:rsidRPr="00CF0A23">
        <w:rPr>
          <w:rFonts w:ascii="Times New Roman" w:hAnsi="Times New Roman" w:cs="Times New Roman"/>
          <w:i/>
          <w:sz w:val="24"/>
          <w:szCs w:val="24"/>
        </w:rPr>
        <w:t>LOX3</w:t>
      </w:r>
      <w:r w:rsidRPr="00CF0A23">
        <w:rPr>
          <w:rFonts w:ascii="Times New Roman" w:hAnsi="Times New Roman" w:cs="Times New Roman"/>
          <w:sz w:val="24"/>
          <w:szCs w:val="24"/>
        </w:rPr>
        <w:t xml:space="preserve"> and/or </w:t>
      </w:r>
      <w:r w:rsidRPr="00CF0A23">
        <w:rPr>
          <w:rFonts w:ascii="Times New Roman" w:hAnsi="Times New Roman" w:cs="Times New Roman"/>
          <w:i/>
          <w:sz w:val="24"/>
          <w:szCs w:val="24"/>
        </w:rPr>
        <w:t>VSP</w:t>
      </w:r>
      <w:r w:rsidRPr="00CF0A23">
        <w:rPr>
          <w:rFonts w:ascii="Times New Roman" w:hAnsi="Times New Roman" w:cs="Times New Roman"/>
          <w:sz w:val="24"/>
          <w:szCs w:val="24"/>
        </w:rPr>
        <w:t xml:space="preserve"> transcription), it cannot be assumed that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 activated JA-dependent defence mechanisms against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sz w:val="24"/>
          <w:szCs w:val="24"/>
        </w:rPr>
        <w:t xml:space="preserve"> in leaves. Also, given the well-described antagonism between SA and JA </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{"citationID":"OYa4OIuE","properties":{"formattedCitation":"(Pieterse et al., 2012)","plainCitation":"(Pieterse et al., 2012)","noteIndex":0},"citationItems":[{"id":226,"uris":["http://zotero.org/users/10895598/items/VCT53VQV"],"itemData":{"id":226,"type":"article-journal","abstract":"Plant hormones have pivotal roles in the regulation of plant growth, development, and reproduction. Additionally, they emerged as cellular signal molecules with key functions in the regulation of immune responses to microbial pathogens, insect herbivores, and beneficial microbes. Their signaling pathways are interconnected in a complex network, which provides plants with an enormous regulatory potential to rapidly adapt to their biotic environment and to utilize their limited resources for growth and survival in a cost-efficient manner. Plants activate their immune system to counteract attack by pathogens or herbivorous insects. Intriguingly, successful plant enemies evolved ingenious mechanisms to rewire the plant's hormone signaling circuitry to suppress or evade host immunity. Evidence is emerging that beneficial root-inhabiting microbes also hijack the hormone-regulated immune signaling network to establish a prolonged mutualistic association, highlighting the central role of plant hormones in the regulation of plant growth and survival.","container-title":"Annual Review of Cell and Developmental Biology","DOI":"10.1146/annurev-cellbio-092910-154055","ISSN":"1081-0706, 1530-8995","issue":"1","journalAbbreviation":"Annu. Rev. Cell Dev. Biol.","language":"en","page":"489-521","source":"DOI.org (Crossref)","title":"Hormonal modulation of plant immunity","volume":"28","author":[{"family":"Pieterse","given":"Corné M.J."},{"family":"Van der Does","given":"Dieuwertje"},{"family":"Zamioudis","given":"Christos"},{"family":"Leon-Reyes","given":"Antonio"},{"family":"Van Wees","given":"Saskia C.M."}],"issued":{"date-parts":[["2012",11,10]]}}}],"schema":"https://github.com/citation-style-language/schema/raw/master/csl-citation.json"}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(Pieterse et al., 2012)</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a possible attenuation of the defence against chewing herbivores cannot be excluded. Thus, elevated SA-</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could block production of MeJA, the molecule known as an activator of direct or indirect defence mechanisms against insect herbivores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{"citationID":"cOyLhO4C","properties":{"formattedCitation":"(Xiao et al., 2019)","plainCitation":"(Xiao et al., 2019)","noteIndex":0},"citationItems":[{"id":592,"uris":["http://zotero.org/users/10895598/items/FAZQ4TTV"],"itemData":{"id":592,"type":"article-journal","container-title":"AoB PLANTS","DOI":"10.1093/aobpla/plz003","ISSN":"2041-2851","issue":"1","language":"en","source":"DOI.org (Crossref)","title":"Herbivore-specific induction of indirect and direct defensive responses in leaves and roots","URL":"https://academic.oup.com/aobpla/article/doi/10.1093/aobpla/plz003/5305675","volume":"11","author":[{"family":"Xiao","given":"Li"},{"family":"Carrillo","given":"Juli"},{"family":"Siemann","given":"Evan"},{"family":"Ding","given":"Jianqing"}],"accessed":{"date-parts":[["2023",8,31]]},"issued":{"date-parts":[["2019",2,1]]}}}],"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(Xiao et al., 2019)</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Unlike chewing herbivores, piercing-sucking aphids tend to activate SA and ET responses in plants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{"citationID":"Ps8owM8X","properties":{"formattedCitation":"(Khoshfarman-Borji et al., 2020)","plainCitation":"(Khoshfarman-Borji et al., 2020)","noteIndex":0},"citationItems":[{"id":605,"uris":["http://zotero.org/users/10895598/items/NRM59D9D"],"itemData":{"id":605,"type":"article-journal","abstract":"Abstract\n            \n              The cabbage aphid,\n              Brevicoryne brassicae\n              L. (Hem: Aphididae), is one of the most serious pests of canola worldwide. In this research, the effects of\n              Pseudomonas putida\n              , salicylic acid (SA), and integrated application of both inducers were studied on the resistance of canola to\n              B. brassicae\n              . In free-choice situation, the number of\n              B. brassicae\n              attracted on canola plants under treatments containing\n              P. putida\n              and SA was significantly lower compared to control plants. In the life table study, pre-adult survival, longevity, reproductive period, and fecundity of this aphid were lowest on plants treated with\n              P. putida\n              + SA. The net reproductive rate (\n              R\n              0\n              ), intrinsic rate of population increase (\n              r\n              ), and finite rate of increase (\n              λ\n              ) of\n              B. brassicae\n              decreased significantly in the following order: control (47.19 offspring, 0.293 and 1.340 day\n              −1\n              ),\n              P. putida\n              (16.7 offspring, 0.238 and 1.269 day\n              −1\n              ), SA (6.37 offspring, 0.163 and 1.178 day\n              −1\n              ), and\n              P. putida\n              + SA (3.24 offspring, 0.112 and 1.119 day\n              −1\n              ). Moreover, the beneficial effect of the integrated application of\n              P. putida\n              and SA on plant growth parameters was significantly evident in our study. The highest values of glucosinolates, total phenol, and flavonoids were recorded in\n              P. putida\n              + SA treatment. We concluded that canola plants treated with\n              P. putida\n              + SA are more resistant to the cabbage aphid. These findings demonstrated that SA integrated with\n              P. putida\n              on canola plants act effectively for reducing the population of\n              B. brassicae\n              and can be used in integrated management programs of this pest.","container-title":"Bulletin of Entomological Research","DOI":"10.1017/S0007485320000097","ISSN":"0007-4853, 1475-2670","issue":"5","journalAbbreviation":"Bull. Entomol. Res.","language":"en","page":"597-610","source":"DOI.org (Crossref)","title":"Induction of resistance against &lt;i&gt;Brevicoryne brassicae&lt;/i&gt; by &lt;i&gt;Pseudomonas putida&lt;/i&gt; and salicylic acid in canola","volume":"110","author":[{"family":"Khoshfarman-Borji","given":"H."},{"family":"Pahlavan Yali","given":"M."},{"family":"Bozorg-Amirkalaee","given":"M."}],"issued":{"date-parts":[["2020",10]]}}}],"schema":"https://github.com/citation-style-language/schema/raw/master/csl-citation.json"}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(Khoshfarman-Borji et al., 2020)</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Although SA and ET </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were activated at both time points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aphid deterrence towards inoculated leaves was observed only at 7 dpi. Nevertheless, the difference in plant palatability between 3 and 7 dpi is also dependent on other factors, due to the </w:t>
      </w:r>
      <w:r w:rsidRPr="00CF0A23">
        <w:rPr>
          <w:rFonts w:ascii="Times New Roman" w:hAnsi="Times New Roman" w:cs="Times New Roman"/>
          <w:i/>
          <w:sz w:val="24"/>
          <w:szCs w:val="24"/>
        </w:rPr>
        <w:t>L.</w:t>
      </w:r>
      <w:r w:rsidR="00257CCA">
        <w:rPr>
          <w:rFonts w:ascii="Times New Roman" w:hAnsi="Times New Roman" w:cs="Times New Roman"/>
          <w:i/>
          <w:sz w:val="24"/>
          <w:szCs w:val="24"/>
        </w:rPr>
        <w:t xml:space="preserve">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 transition to a necrotrophic stage between 7 and 9 dpi, as demonstrated by a wide </w:t>
      </w:r>
      <w:proofErr w:type="spellStart"/>
      <w:r w:rsidRPr="00CF0A23">
        <w:rPr>
          <w:rFonts w:ascii="Times New Roman" w:hAnsi="Times New Roman" w:cs="Times New Roman"/>
          <w:sz w:val="24"/>
          <w:szCs w:val="24"/>
        </w:rPr>
        <w:t>RNAseq</w:t>
      </w:r>
      <w:proofErr w:type="spellEnd"/>
      <w:r w:rsidRPr="00CF0A23">
        <w:rPr>
          <w:rFonts w:ascii="Times New Roman" w:hAnsi="Times New Roman" w:cs="Times New Roman"/>
          <w:sz w:val="24"/>
          <w:szCs w:val="24"/>
        </w:rPr>
        <w:t xml:space="preserve"> study</w:t>
      </w:r>
      <w:r w:rsidRPr="00CF0A23">
        <w:rPr>
          <w:rFonts w:ascii="Times New Roman" w:hAnsi="Times New Roman" w:cs="Times New Roman"/>
          <w:sz w:val="24"/>
          <w:szCs w:val="24"/>
          <w:vertAlign w:val="superscript"/>
        </w:rPr>
        <w:t xml:space="preserve">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{"citationID":"R7AFg9B7","properties":{"formattedCitation":"(Gay et al., 2021)","plainCitation":"(Gay et al., 2021)","noteIndex":0},"citationItems":[{"id":495,"uris":["http://zotero.org/users/10895598/items/7FZH9BCT"],"itemData":{"id":495,"type":"article-journal","abstract":"Abstract\n            \n              Background\n              \n                The fungus\n                Leptosphaeria maculans\n                has an exceptionally long and complex relationship with its host plant,\n                Brassica napus\n                , during which it switches between different lifestyles, including asymptomatic, biotrophic, necrotrophic, and saprotrophic stages. The fungus is also exemplary of “two-speed” genome organisms in the genome of which gene-rich and repeat-rich regions alternate. Except for a few stages of plant infection under controlled conditions, nothing is known about the genes mobilized by the fungus throughout its life cycle, which may last several years in the field.\n              \n            \n            \n              Results\n              \n                We performed RNA-seq on samples corresponding to all stages of the interaction of\n                L. maculans\n                with its host plant, either alive or dead (stem residues after harvest) in controlled conditions or in field experiments under natural inoculum pressure, over periods of time ranging from a few days to months or years. A total of 102 biological samples corresponding to 37 sets of conditions were analyzed. We show here that about 9% of the genes of this fungus are highly expressed during its interactions with its host plant. These genes are distributed into eight well-defined expression clusters, corresponding to specific infection lifestyles or to tissue-specific genes. All expression clusters are enriched in effector genes, and one cluster is specific to the saprophytic lifestyle on plant residues. One cluster, including genes known to be involved in the first phase of asymptomatic fungal growth in leaves, is re-used at each asymptomatic growth stage, regardless of the type of organ infected. The expression of the genes of this cluster is repeatedly turned on and off during infection. Whatever their expression profile, the genes of these clusters are enriched in heterochromatin regions associated with H3K9me3 or H3K27me3 repressive marks. These findings provide support for the hypothesis that part of the fungal genes involved in niche adaptation is located in heterochromatic regions of the genome, conferring an extreme plasticity of expression.\n              \n            \n            \n              Conclusion\n              This work opens up new avenues for plant disease control, by identifying stage-specific effectors that could be used as targets for the identification of novel durable disease resistance genes, or for the in-depth analysis of chromatin remodeling during plant infection, which could be manipulated to interfere with the global expression of effector genes at crucial stages of plant infection.","container-title":"BMC Biology","DOI":"10.1186/s12915-021-00989-3","ISSN":"1741-7007","issue":"1","journalAbbreviation":"BMC Biol","language":"en","page":"55","source":"DOI.org (Crossref)","title":"Large-scale transcriptomics to dissect 2 years of the life of a fungal phytopathogen interacting with its host plant","volume":"19","author":[{"family":"Gay","given":"Elise J."},{"family":"Soyer","given":"Jessica L."},{"family":"Lapalu","given":"Nicolas"},{"family":"Linglin","given":"Juliette"},{"family":"Fudal","given":"Isabelle"},{"family":"Da Silva","given":"Corinne"},{"family":"Wincker","given":"Patrick"},{"family":"Aury","given":"Jean-Marc"},{"family":"Cruaud","given":"Corinne"},{"family":"Levrel","given":"Anne"},{"family":"Lemoine","given":"Jocelyne"},{"family":"Delourme","given":"Regine"},{"family":"Rouxel","given":"Thierry"},{"family":"Balesdent","given":"Marie-Hélène"}],"issued":{"date-parts":[["2021",3,23]]}}}],"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(Gay et al., 2021)</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The reported increased transcription of 148 genes by </w:t>
      </w:r>
      <w:r w:rsidRPr="00CF0A23">
        <w:rPr>
          <w:rFonts w:ascii="Times New Roman" w:hAnsi="Times New Roman" w:cs="Times New Roman"/>
          <w:i/>
          <w:sz w:val="24"/>
          <w:szCs w:val="24"/>
        </w:rPr>
        <w:t>L.</w:t>
      </w:r>
      <w:r w:rsidR="00257CCA">
        <w:rPr>
          <w:rFonts w:ascii="Times New Roman" w:hAnsi="Times New Roman" w:cs="Times New Roman"/>
          <w:i/>
          <w:sz w:val="24"/>
          <w:szCs w:val="24"/>
        </w:rPr>
        <w:t xml:space="preserve">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during that time interval could affect oilseed rape physiology.</w:t>
      </w:r>
    </w:p>
    <w:p w14:paraId="2150A154" w14:textId="2F07A461" w:rsidR="00E7693B" w:rsidRPr="00CF0A23" w:rsidRDefault="00E7693B" w:rsidP="00CF0A23">
      <w:pPr>
        <w:spacing w:after="0"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Caterpillar and aphid preference and performance is also mediated by restricted nutrition sources, the accumulation of products produced by secondary metaboli</w:t>
      </w:r>
      <w:r w:rsidR="008516B3">
        <w:rPr>
          <w:rFonts w:ascii="Times New Roman" w:hAnsi="Times New Roman" w:cs="Times New Roman"/>
          <w:sz w:val="24"/>
          <w:szCs w:val="24"/>
        </w:rPr>
        <w:t>te</w:t>
      </w:r>
      <w:r w:rsidRPr="00CF0A23">
        <w:rPr>
          <w:rFonts w:ascii="Times New Roman" w:hAnsi="Times New Roman" w:cs="Times New Roman"/>
          <w:sz w:val="24"/>
          <w:szCs w:val="24"/>
        </w:rPr>
        <w:t>s in the infected leaves, and changes in VOC composition</w:t>
      </w:r>
      <w:r w:rsidRPr="00CF0A23">
        <w:rPr>
          <w:rFonts w:ascii="Times New Roman" w:hAnsi="Times New Roman" w:cs="Times New Roman"/>
          <w:sz w:val="24"/>
          <w:szCs w:val="24"/>
          <w:vertAlign w:val="superscript"/>
        </w:rPr>
        <w:t xml:space="preserve"> </w:t>
      </w:r>
      <w:r w:rsidR="00713AE4">
        <w:rPr>
          <w:rFonts w:ascii="Times New Roman" w:hAnsi="Times New Roman" w:cs="Times New Roman"/>
          <w:sz w:val="24"/>
          <w:szCs w:val="24"/>
          <w:vertAlign w:val="superscript"/>
        </w:rPr>
        <w:fldChar w:fldCharType="begin"/>
      </w:r>
      <w:r w:rsidR="00D5193C">
        <w:rPr>
          <w:rFonts w:ascii="Times New Roman" w:hAnsi="Times New Roman" w:cs="Times New Roman"/>
          <w:sz w:val="24"/>
          <w:szCs w:val="24"/>
          <w:vertAlign w:val="superscript"/>
        </w:rPr>
        <w:instrText xml:space="preserve"> ADDIN ZOTERO_ITEM CSL_CITATION {"citationID":"z51CY3J7","properties":{"formattedCitation":"(Babic et al., 2008; Merkx-Jacques and Bede, 2005; War et al., 2012)","plainCitation":"(Babic et al., 2008; Merkx-Jacques and Bede, 2005; War et al., 2012)","noteIndex":0},"citationItems":[{"id":574,"uris":["http://zotero.org/users/10895598/items/9E5ZNR5E"],"itemData":{"id":574,"type":"article-journal","container-title":"Journal of Insect Physiology","DOI":"10.1016/j.jinsphys.2007.09.010","ISSN":"00221910","issue":"1","journalAbbreviation":"Journal of Insect Physiology","language":"en","page":"286-296","source":"DOI.org (Crossref)","title":"Influence of dietary nutritional composition on caterpillar salivary enzyme activity","volume":"54","author":[{"family":"Babic","given":"Branislav"},{"family":"Poisson","given":"Alexandre"},{"family":"Darwish","given":"Shireef"},{"family":"Lacasse","given":"Jean"},{"family":"Merkx-Jacques","given":"Magali"},{"family":"Despland","given":"Emma"},{"family":"Bede","given":"Jacqueline C."}],"issued":{"date-parts":[["2008",1]]}}},{"id":313,"uris":["http://zotero.org/users/10895598/items/LY234H8P"],"itemData":{"id":313,"type":"article-journal","container-title":"Journal of Insect Science","DOI":"10.1093/jis/5.1.48","ISSN":"1536-2442","issue":"1","language":"en","source":"DOI.org (Crossref)","title":"Influence of diet on the larval beet armyworm, &lt;i&gt;Spodoptera exigua&lt;/i&gt;, glucose oxidase activity","URL":"https://academic.oup.com/jinsectscience/article-lookup/doi/10.1093/jis/5.1.48","volume":"5","author":[{"family":"Merkx-Jacques","given":"Magali"},{"family":"Bede","given":"Jacqueline C."}],"accessed":{"date-parts":[["2022",6,1]]},"issued":{"date-parts":[["2005"]]}}},{"id":594,"uris":["http://zotero.org/users/10895598/items/XMWX5GJ5"],"itemData":{"id":594,"type":"article-journal","container-title":"Plant Signaling &amp; Behavior","DOI":"10.4161/psb.21663","ISSN":"1559-2324","issue":"10","journalAbbreviation":"Plant Signaling &amp; Behavior","language":"en","page":"1306-1320","source":"DOI.org (Crossref)","title":"Mechanisms of plant defense against insect herbivores","volume":"7","author":[{"family":"War","given":"Abdul Rashid"},{"family":"Paulraj","given":"Michael Gabriel"},{"family":"Ahmad","given":"Tariq"},{"family":"Buhroo","given":"Abdul Ahad"},{"family":"Hussain","given":"Barkat"},{"family":"Ignacimuthu","given":"Savarimuthu"},{"family":"Sharma","given":"Hari Chand"}],"issued":{"date-parts":[["2012",10]]}}}],"schema":"https://github.com/citation-style-language/schema/raw/master/csl-citation.json"} </w:instrText>
      </w:r>
      <w:r w:rsidR="00713AE4">
        <w:rPr>
          <w:rFonts w:ascii="Times New Roman" w:hAnsi="Times New Roman" w:cs="Times New Roman"/>
          <w:sz w:val="24"/>
          <w:szCs w:val="24"/>
          <w:vertAlign w:val="superscript"/>
        </w:rPr>
        <w:fldChar w:fldCharType="separate"/>
      </w:r>
      <w:r w:rsidR="00713AE4" w:rsidRPr="00713AE4">
        <w:rPr>
          <w:rFonts w:ascii="Times New Roman" w:hAnsi="Times New Roman" w:cs="Times New Roman"/>
          <w:sz w:val="24"/>
        </w:rPr>
        <w:t>(Babic et al., 2008; Merkx-Jacques and Bede, 2005; War et al., 2012)</w:t>
      </w:r>
      <w:r w:rsidR="00713AE4">
        <w:rPr>
          <w:rFonts w:ascii="Times New Roman" w:hAnsi="Times New Roman" w:cs="Times New Roman"/>
          <w:sz w:val="24"/>
          <w:szCs w:val="24"/>
          <w:vertAlign w:val="superscript"/>
        </w:rPr>
        <w:fldChar w:fldCharType="end"/>
      </w:r>
      <w:r w:rsidRPr="00CF0A23">
        <w:rPr>
          <w:rFonts w:ascii="Times New Roman" w:hAnsi="Times New Roman" w:cs="Times New Roman"/>
          <w:sz w:val="24"/>
          <w:szCs w:val="24"/>
        </w:rPr>
        <w:t xml:space="preserve">. </w:t>
      </w:r>
      <w:r w:rsidR="00755BFE">
        <w:rPr>
          <w:rFonts w:ascii="Times New Roman" w:hAnsi="Times New Roman" w:cs="Times New Roman"/>
          <w:sz w:val="24"/>
          <w:szCs w:val="24"/>
        </w:rPr>
        <w:t>R</w:t>
      </w:r>
      <w:r w:rsidRPr="00CF0A23">
        <w:rPr>
          <w:rFonts w:ascii="Times New Roman" w:hAnsi="Times New Roman" w:cs="Times New Roman"/>
          <w:sz w:val="24"/>
          <w:szCs w:val="24"/>
        </w:rPr>
        <w:t xml:space="preserve">esults </w:t>
      </w:r>
      <w:r w:rsidR="00755BFE">
        <w:rPr>
          <w:rFonts w:ascii="Times New Roman" w:hAnsi="Times New Roman" w:cs="Times New Roman"/>
          <w:sz w:val="24"/>
          <w:szCs w:val="24"/>
        </w:rPr>
        <w:t xml:space="preserve">presented here </w:t>
      </w:r>
      <w:r w:rsidRPr="00CF0A23">
        <w:rPr>
          <w:rFonts w:ascii="Times New Roman" w:hAnsi="Times New Roman" w:cs="Times New Roman"/>
          <w:sz w:val="24"/>
          <w:szCs w:val="24"/>
        </w:rPr>
        <w:t xml:space="preserve">show that the total content of specialized metabolites GLSs was highly elevated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at 3 dpi compared to control leaves, especially aliphatic GLSs. Specific compounds play distinct roles in preference or performance of specialist pathogens and insect pests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{"citationID":"nsC72EMP","properties":{"formattedCitation":"(Cole, 1997; Robin et al., 2020, 2017)","plainCitation":"(Cole, 1997; Robin et al., 2020, 2017)","noteIndex":0},"citationItems":[{"id":585,"uris":["http://zotero.org/users/10895598/items/CL428VFN"],"itemData":{"id":585,"type":"article-journal","container-title":"Entomologia Experimentalis et Applicata","DOI":"10.1046/j.1570-7458.1997.00242.x","ISSN":"0013-8703, 1570-7458","issue":"2","journalAbbreviation":"Entomologia Experimentalis et Applicata","language":"en","page":"121-133","source":"DOI.org (Crossref)","title":"The relative importance of glucosinolates and amino acids to the development of two aphid pests &lt;i&gt;Brevicoryne brassicae&lt;/i&gt; and &lt;i&gt;Myzus persicae&lt;/i&gt; on wild and cultivated brassica species","volume":"85","author":[{"family":"Cole","given":"R. A."}],"issued":{"date-parts":[["1997",11]]}}},{"id":41,"uris":["http://zotero.org/users/10895598/items/9NG8EPG7"],"itemData":{"id":41,"type":"article-journal","container-title":"Frontiers in Plant Science","DOI":"10.3389/fpls.2020.01134","ISSN":"1664-462X","journalAbbreviation":"Front. Plant Sci.","page":"1134","source":"DOI.org (Crossref)","title":"&lt;i&gt;Leptosphaeria maculans&lt;/i&gt; alters glucosinolate accumulation and expression of aliphatic and indolic glucosinolate biosynthesis genes in blackleg disease-resistant and -susceptible cabbage lines at the seedling stage","volume":"11","author":[{"family":"Robin","given":"Arif Hasan Khan"},{"family":"Laila","given":"Rawnak"},{"family":"Abuyusuf","given":"Md."},{"family":"Park","given":"Jong-In"},{"family":"Nou","given":"Ill-Sup"}],"issued":{"date-parts":[["2020",7,30]]}}},{"id":157,"uris":["http://zotero.org/users/10895598/items/CHVLQSS3"],"itemData":{"id":157,"type":"article-journal","container-title":"Frontiers in Plant Science","DOI":"10.3389/fpls.2017.01244","ISSN":"1664-462X","journalAbbreviation":"Front. Plant Sci.","page":"1244","source":"DOI.org (Crossref)","title":"Glucosinolate profiles in cabbage genotypes influence the preferential feeding of diamondback moth (&lt;i&gt;Plutella xylostella&lt;/i&gt;)","volume":"8","author":[{"family":"Robin","given":"Arif Hasan Khan"},{"family":"Hossain","given":"Mohammad Rashed"},{"family":"Park","given":"Jong-In"},{"family":"Kim","given":"Hye R."},{"family":"Nou","given":"Ill-Sup"}],"issued":{"date-parts":[["2017",7,18]]}}}],"schema":"https://github.com/citation-style-language/schema/raw/master/csl-citation.json"}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(Cole, 1997; Robin et al., 2020, 2017)</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for instance, specific GLS compounds can act as gustatory stimulants for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larvae (Robin et al., 2017): when larvae were exposed to cabbage lines differing in GLS profile, a higher level of herbivory was observed on plant lines rich in aliphatic GLSs glucoerucin, glucoraphanin, progoitrin and gluconapin, and indole 4-hydroxyglucobrassicin; on the other hand, lower leaf damage was recorded on plants with high content of aliphatic sinigrin, </w:t>
      </w:r>
      <w:proofErr w:type="spellStart"/>
      <w:r w:rsidRPr="00CF0A23">
        <w:rPr>
          <w:rFonts w:ascii="Times New Roman" w:hAnsi="Times New Roman" w:cs="Times New Roman"/>
          <w:sz w:val="24"/>
          <w:szCs w:val="24"/>
        </w:rPr>
        <w:t>glucoiberin</w:t>
      </w:r>
      <w:proofErr w:type="spellEnd"/>
      <w:r w:rsidRPr="00CF0A23">
        <w:rPr>
          <w:rFonts w:ascii="Times New Roman" w:hAnsi="Times New Roman" w:cs="Times New Roman"/>
          <w:sz w:val="24"/>
          <w:szCs w:val="24"/>
        </w:rPr>
        <w:t xml:space="preserve"> and </w:t>
      </w:r>
      <w:proofErr w:type="spellStart"/>
      <w:r w:rsidRPr="00CF0A23">
        <w:rPr>
          <w:rFonts w:ascii="Times New Roman" w:hAnsi="Times New Roman" w:cs="Times New Roman"/>
          <w:sz w:val="24"/>
          <w:szCs w:val="24"/>
        </w:rPr>
        <w:t>glucoiberverin</w:t>
      </w:r>
      <w:proofErr w:type="spellEnd"/>
      <w:r w:rsidRPr="00CF0A23">
        <w:rPr>
          <w:rFonts w:ascii="Times New Roman" w:hAnsi="Times New Roman" w:cs="Times New Roman"/>
          <w:sz w:val="24"/>
          <w:szCs w:val="24"/>
        </w:rPr>
        <w:t xml:space="preserve">, and indole </w:t>
      </w:r>
      <w:proofErr w:type="spellStart"/>
      <w:r w:rsidRPr="00CF0A23">
        <w:rPr>
          <w:rFonts w:ascii="Times New Roman" w:hAnsi="Times New Roman" w:cs="Times New Roman"/>
          <w:sz w:val="24"/>
          <w:szCs w:val="24"/>
        </w:rPr>
        <w:t>glucobrassicin</w:t>
      </w:r>
      <w:proofErr w:type="spellEnd"/>
      <w:r w:rsidRPr="00CF0A23">
        <w:rPr>
          <w:rFonts w:ascii="Times New Roman" w:hAnsi="Times New Roman" w:cs="Times New Roman"/>
          <w:sz w:val="24"/>
          <w:szCs w:val="24"/>
        </w:rPr>
        <w:t xml:space="preserve">. On the other hand, </w:t>
      </w:r>
      <w:r w:rsidRPr="00CF0A23">
        <w:rPr>
          <w:rFonts w:ascii="Times New Roman" w:hAnsi="Times New Roman" w:cs="Times New Roman"/>
          <w:i/>
          <w:sz w:val="24"/>
          <w:szCs w:val="24"/>
        </w:rPr>
        <w:t xml:space="preserve">B. </w:t>
      </w:r>
      <w:proofErr w:type="spellStart"/>
      <w:r w:rsidRPr="00CF0A23">
        <w:rPr>
          <w:rFonts w:ascii="Times New Roman" w:hAnsi="Times New Roman" w:cs="Times New Roman"/>
          <w:i/>
          <w:sz w:val="24"/>
          <w:szCs w:val="24"/>
        </w:rPr>
        <w:t>brassicae</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aphids performed better on </w:t>
      </w:r>
      <w:r w:rsidRPr="00CF0A23">
        <w:rPr>
          <w:rFonts w:ascii="Times New Roman" w:hAnsi="Times New Roman" w:cs="Times New Roman"/>
          <w:i/>
          <w:sz w:val="24"/>
          <w:szCs w:val="24"/>
        </w:rPr>
        <w:t xml:space="preserve">Brassica </w:t>
      </w:r>
      <w:r w:rsidRPr="00CF0A23">
        <w:rPr>
          <w:rFonts w:ascii="Times New Roman" w:hAnsi="Times New Roman" w:cs="Times New Roman"/>
          <w:sz w:val="24"/>
          <w:szCs w:val="24"/>
        </w:rPr>
        <w:t xml:space="preserve">spp. with high content of aliphatic sinigrin and progoitrin, and worse on cauliflower cultivars rich in indole </w:t>
      </w:r>
      <w:proofErr w:type="spellStart"/>
      <w:r w:rsidRPr="00CF0A23">
        <w:rPr>
          <w:rFonts w:ascii="Times New Roman" w:hAnsi="Times New Roman" w:cs="Times New Roman"/>
          <w:sz w:val="24"/>
          <w:szCs w:val="24"/>
        </w:rPr>
        <w:t>glucobrassicin</w:t>
      </w:r>
      <w:proofErr w:type="spellEnd"/>
      <w:r w:rsidRPr="00CF0A23">
        <w:rPr>
          <w:rFonts w:ascii="Times New Roman" w:hAnsi="Times New Roman" w:cs="Times New Roman"/>
          <w:sz w:val="24"/>
          <w:szCs w:val="24"/>
        </w:rPr>
        <w:t xml:space="preserve"> and </w:t>
      </w:r>
      <w:proofErr w:type="spellStart"/>
      <w:r w:rsidRPr="00CF0A23">
        <w:rPr>
          <w:rFonts w:ascii="Times New Roman" w:hAnsi="Times New Roman" w:cs="Times New Roman"/>
          <w:sz w:val="24"/>
          <w:szCs w:val="24"/>
        </w:rPr>
        <w:t>neoglucobrassicin</w:t>
      </w:r>
      <w:proofErr w:type="spellEnd"/>
      <w:r w:rsidRPr="00CF0A23">
        <w:rPr>
          <w:rFonts w:ascii="Times New Roman" w:hAnsi="Times New Roman" w:cs="Times New Roman"/>
          <w:sz w:val="24"/>
          <w:szCs w:val="24"/>
        </w:rPr>
        <w:t xml:space="preserve"> (Cole, 1997). It could therefore be speculated that caterpillar and aphid preference to true leaves of oilseed rape may be due to the higher content of aliphatic GLSs and lower content of indole GLSs in the true leaves compared to cotyledons. Another reason for this speculation is that this preference seems not to be driven by the difference in the leaf surface between cotyledons and true leaves</w:t>
      </w:r>
      <w:bookmarkStart w:id="63" w:name="bookmark=id.sqyw64" w:colFirst="0" w:colLast="0"/>
      <w:bookmarkEnd w:id="63"/>
      <w:r w:rsidRPr="00CF0A23">
        <w:rPr>
          <w:rFonts w:ascii="Times New Roman" w:hAnsi="Times New Roman" w:cs="Times New Roman"/>
          <w:sz w:val="24"/>
          <w:szCs w:val="24"/>
        </w:rPr>
        <w:t xml:space="preserve">, such as in terms of waxy layer and trichome density (Zhu et al., 2022), as studies have shown that caterpillars and aphids generally prefer </w:t>
      </w:r>
      <w:proofErr w:type="spellStart"/>
      <w:r w:rsidRPr="00CF0A23">
        <w:rPr>
          <w:rFonts w:ascii="Times New Roman" w:hAnsi="Times New Roman" w:cs="Times New Roman"/>
          <w:sz w:val="24"/>
          <w:szCs w:val="24"/>
        </w:rPr>
        <w:t>glabrous</w:t>
      </w:r>
      <w:proofErr w:type="spellEnd"/>
      <w:r w:rsidRPr="00CF0A23">
        <w:rPr>
          <w:rFonts w:ascii="Times New Roman" w:hAnsi="Times New Roman" w:cs="Times New Roman"/>
          <w:sz w:val="24"/>
          <w:szCs w:val="24"/>
        </w:rPr>
        <w:t xml:space="preserve"> and/or less waxy leaves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{"citationID":"Hczq95dG","properties":{"formattedCitation":"(Eigenbrode et al., 1991; Hao et al., 2020; Xuan et al., 2020)","plainCitation":"(Eigenbrode et al., 1991; Hao et al., 2020; Xuan et al., 2020)","noteIndex":0},"citationItems":[{"id":590,"uris":["http://zotero.org/users/10895598/items/L7TDUCSI"],"itemData":{"id":590,"type":"article-journal","container-title":"Journal of Chemical Ecology","DOI":"10.1007/BF00984697","ISSN":"0098-0331, 1573-1561","issue":"8","journalAbbreviation":"J Chem Ecol","language":"en","page":"1691-1704","source":"DOI.org (Crossref)","title":"Behavior of neonate diamondback moth larvae [&lt;i&gt;Plutella xylostella&lt;/i&gt; (L.)] on leaves and on extracted leaf waxes of resistant and susceptible cabbages","volume":"17","author":[{"family":"Eigenbrode","given":"Sanford D."},{"family":"Espelie","given":"Karl E."},{"family":"Shelton","given":"Anthony M."}],"issued":{"date-parts":[["1991",8]]}}},{"id":581,"uris":["http://zotero.org/users/10895598/items/GJFDMI6Y"],"itemData":{"id":581,"type":"article-journal","container-title":"Arthropod-Plant Interactions","DOI":"10.1007/s11829-020-09782-5","ISSN":"1872-8855, 1872-8847","issue":"6","journalAbbreviation":"Arthropod-Plant Interactions","language":"en","page":"733-744","source":"DOI.org (Crossref)","title":"Possible effects of leaf tissue characteristics of oilseed rape &lt;i&gt;Brassica napus&lt;/i&gt; on probing and feeding behaviors of cabbage aphids &lt;i&gt;Brevicoryne brassicae&lt;/i&gt;","volume":"14","author":[{"family":"Hao","given":"Zhong-Ping"},{"family":"Zhan","given":"Hai-Xia"},{"family":"Gao","given":"Ling-Ling"},{"family":"Huang","given":"Fang"},{"family":"Zhu","given":"Li-Ni"},{"family":"Hou","given":"Shu-Min"}],"issued":{"date-parts":[["2020",12]]}}},{"id":597,"uris":["http://zotero.org/users/10895598/items/UAJRTV2I"],"itemData":{"id":597,"type":"article-journal","container-title":"Plant, Cell &amp; Environment","DOI":"10.1111/pce.13694","ISSN":"0140-7791, 1365-3040","issue":"3","journalAbbreviation":"Plant Cell Environ","language":"en","page":"675-691","source":"DOI.org (Crossref)","title":"Genome‐wide association study reveals new genes involved in leaf trichome formation in polyploid oilseed rape (&lt;span style=\"font-variant:small-caps;\"&gt;&lt;i&gt;Brassica napus&lt;/i&gt;&lt;/span&gt; L.)","title-short":"Genome‐wide association study reveals new genes involved in leaf trichome formation in polyploid oilseed rape ( &lt;span style=\"font-variant","volume":"43","author":[{"family":"Xuan","given":"Lijie"},{"family":"Yan","given":"Tao"},{"family":"Lu","given":"Lingzhi"},{"family":"Zhao","given":"Xinze"},{"family":"Wu","given":"Dezhi"},{"family":"Hua","given":"Shuijin"},{"family":"Jiang","given":"Lixi"}],"issued":{"date-parts":[["2020",3]]}}}],"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(Eigenbrode et al., 1991; Hao et al., 2020; Xuan et al., 2020)</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hence the cause could be the change in the leaf biochemical composition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{"citationID":"OWT7wDK0","properties":{"formattedCitation":"(Gruber et al., 2018)","plainCitation":"(Gruber et al., 2018)","noteIndex":0},"citationItems":[{"id":596,"uris":["http://zotero.org/users/10895598/items/FEIK4HKV"],"itemData":{"id":596,"type":"article-journal","container-title":"BMC Plant Biology","DOI":"10.1186/s12870-018-1277-6","ISSN":"1471-2229","issue":"1","journalAbbreviation":"BMC Plant Biol","language":"en","page":"64","source":"DOI.org (Crossref)","title":"The biochemical composition and transcriptome of cotyledons from &lt;i&gt;Brassica napus&lt;/i&gt; lines expressing the AtGL3 transcription factor and exhibiting reduced flea beetle feeding","volume":"18","author":[{"family":"Gruber","given":"Margaret"},{"family":"Alahakoon","given":"Ushan"},{"family":"Taheri","given":"Ali"},{"family":"Nagubushana","given":"Nayidu"},{"family":"Zhou","given":"Rong"},{"family":"Aung","given":"Banyar"},{"family":"Sharpe","given":"Andrew"},{"family":"Hannoufa","given":"Abdelali"},{"family":"Bonham-Smith","given":"Peta"},{"family":"Hegedus D","given":"Dwayne D."}],"issued":{"date-parts":[["2018",12]]}}}],"schema":"https://github.com/citation-style-language/schema/raw/master/csl-citation.json"}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(Gruber et al., 2018)</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Moreover,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induces high levels of indole GLSs in oilseed rape leaves (Fig. 21), which could be the plant mechanism to defend itself against the herbivory. Therefore, in accordance with the literature, one could speculate that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sz w:val="24"/>
          <w:szCs w:val="24"/>
        </w:rPr>
        <w:t xml:space="preserve"> preferred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to control leaves at 3 dpi, for their lower content of </w:t>
      </w:r>
      <w:proofErr w:type="spellStart"/>
      <w:r w:rsidRPr="00CF0A23">
        <w:rPr>
          <w:rFonts w:ascii="Times New Roman" w:hAnsi="Times New Roman" w:cs="Times New Roman"/>
          <w:sz w:val="24"/>
          <w:szCs w:val="24"/>
        </w:rPr>
        <w:t>glucoiberin</w:t>
      </w:r>
      <w:proofErr w:type="spellEnd"/>
      <w:r w:rsidRPr="00CF0A23">
        <w:rPr>
          <w:rFonts w:ascii="Times New Roman" w:hAnsi="Times New Roman" w:cs="Times New Roman"/>
          <w:sz w:val="24"/>
          <w:szCs w:val="24"/>
        </w:rPr>
        <w:t xml:space="preserve"> and higher content of other tested aliphatic GLSs. Although not significant, gluconapin showed a similar trend as the increased </w:t>
      </w:r>
      <w:proofErr w:type="spellStart"/>
      <w:r w:rsidRPr="00CF0A23">
        <w:rPr>
          <w:rFonts w:ascii="Times New Roman" w:hAnsi="Times New Roman" w:cs="Times New Roman"/>
          <w:sz w:val="24"/>
          <w:szCs w:val="24"/>
        </w:rPr>
        <w:t>glucobrassicanapin</w:t>
      </w:r>
      <w:proofErr w:type="spellEnd"/>
      <w:r w:rsidRPr="00CF0A23">
        <w:rPr>
          <w:rFonts w:ascii="Times New Roman" w:hAnsi="Times New Roman" w:cs="Times New Roman"/>
          <w:sz w:val="24"/>
          <w:szCs w:val="24"/>
        </w:rPr>
        <w:t xml:space="preserve">, considering they are both catalysed by the same enzyme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{"citationID":"ynkSVtbV","properties":{"formattedCitation":"(Augustine and Bisht, 2015)","plainCitation":"(Augustine and Bisht, 2015)","noteIndex":0},"citationItems":[{"id":492,"uris":["http://zotero.org/users/10895598/items/22W9BJEQ"],"itemData":{"id":492,"type":"article-journal","abstract":"Abstract\n            \n              Glucosinolates are amino acids derived secondary metabolites, invariably present in Brassicales, which have huge health and agricultural benefits. Sulphoraphane, the breakdown product of glucosinolate glucoraphanin is known to posses anti-cancer properties. AOP (2-oxoglutarate-dependent dioxygenases) or GSL-ALK enzyme catalyzes the conversion of desirable glucoraphanin to deleterious gluconapin and progoitrin, which are present in very high amounts in most of the cultivable\n              Brassica\n              species including\n              Brassica juncea\n              . In this study we showed that\n              B. juncea\n              encodes four functional homologs of\n              GSL-ALK\n              gene and constitutive silencing of\n              GSL-ALK\n              homologs resulted in accumulation of glucoraphanin up to 43.11 μmoles g\n              −1\n              DW in the seeds with a concomitant reduction in the anti-nutritional glucosinolates. Glucoraphanin content was found remarkably high in leaves as well as sprouts of the transgenic lines. Transcript quantification of high glucoraphanin lines confirmed significant down-regulation of\n              GSL-ALK\n              homologs. Growth and other seed quality parameters of the transgenic lines did not show drastic difference, compared to the untransformed control. High glucoraphanin lines also showed higher resistance towards stem rot pathogen\n              Sclerotinia sclerotiorum\n              . Our results suggest that metabolic engineering of\n              GSL-ALK\n              has huge potential for enriching glucoraphanin content and improve the oil quality and vegetable value of\n              Brassica\n              crops.","container-title":"Scientific Reports","DOI":"10.1038/srep18005","ISSN":"2045-2322","issue":"1","journalAbbreviation":"Sci Rep","language":"en","page":"18005","source":"DOI.org (Crossref)","title":"Biofortification of oilseed &lt;i&gt;Brassica juncea&lt;/i&gt; with the anti-cancer compound glucoraphanin by suppressing &lt;i&gt;GSL-ALK&lt;/i&gt; gene family","volume":"5","author":[{"family":"Augustine","given":"Rehna"},{"family":"Bisht","given":"Naveen C."}],"issued":{"date-parts":[["2015",12,10]]}}}],"schema":"https://github.com/citation-style-language/schema/raw/master/csl-citation.json"}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(Augustine and Bisht, 2015)</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w:t>
      </w:r>
    </w:p>
    <w:p w14:paraId="2150A156" w14:textId="383FD30C" w:rsidR="00E7693B" w:rsidRPr="00CF0A23" w:rsidRDefault="00E7693B" w:rsidP="00CF0A23">
      <w:pPr>
        <w:spacing w:after="0"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 xml:space="preserve">Herbivores specialized to feed on Brassicaceae also use plant VOCs as cues for locating and selecting their host plant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{"citationID":"jR8jRRPq","properties":{"formattedCitation":"(Hussain et al., 2020; Liu et al., 2020; Renwick et al., 2006)","plainCitation":"(Hussain et al., 2020; Liu et al., 2020; Renwick et al., 2006)","noteIndex":0},"citationItems":[{"id":239,"uris":["http://zotero.org/users/10895598/items/CH4Z8H67"],"itemData":{"id":239,"type":"article-journal","abstract":"The diamondback moth (DBM) is a destructive pest of crucifer crops. In this study, DBM larvae shown to herbivore induced plant volatiles (HIPVs) that were attractive to adult females exposed in a Y-tube olfactometer. Our results showed that olfactory responses of adult females to HIPVs induced by third instar larvae feeding on Barbarea vulgaris were significantly higher (20.40 ± 1.78; mean moths (%) ± SD) than those induced by first instar larvae (14.80 ± 1.86; mean moths (%) ± SD). Meanwhile, a significant concentration of Sulphur-containing isothiocyanate, 3-methylsulfinylpropyl isothiocyanate, and 4-methylsulfinyl-3-butenyl isothiocyanate were detected in HIPVs released by third instar larvae compared to those released by first instar larvae while feeding on B. vulgaris. When the DBM females were exposed to synthetic chemicals, singly and in blend form, a similar response was observed as to natural HIPVs. Our study demonstrated that the relationship between isothiocyanates acting as plant defense compounds, host plant cues emission and regulation of the DBM adult female behavior due to key volatile triggered by the DBM larvae feeding on B. vulgaris.","container-title":"Insects","DOI":"10.3390/insects11110725","ISSN":"2075-4450","issue":"11","journalAbbreviation":"Insects","language":"en","page":"725","source":"DOI.org (Crossref)","title":"Diamondback moth larvae trigger host plant volatiles that lure its adult females for oviposition","volume":"11","author":[{"family":"Hussain","given":"Mubasher"},{"family":"Gao","given":"Jing"},{"family":"Bano","given":"Summyya"},{"family":"Wang","given":"Liande"},{"family":"Lin","given":"Yongwen"},{"family":"Arthurs","given":"Steve"},{"family":"Qasim","given":"Muhammad"},{"family":"Mao","given":"Runqian"}],"issued":{"date-parts":[["2020",10,23]]}}},{"id":256,"uris":["http://zotero.org/users/10895598/items/4KHRB68H"],"itemData":{"id":256,"type":"article-journal","container-title":"Current Biology","DOI":"10.1016/j.cub.2020.08.047","ISSN":"09609822","issue":"22","journalAbbreviation":"Current Biology","language":"en","page":"4476-4482.e5","source":"DOI.org (Crossref)","title":"The molecular basis of host selection in a crucifer-specialized moth","volume":"30","author":[{"family":"Liu","given":"Xiao-Long"},{"family":"Zhang","given":"Jin"},{"family":"Yan","given":"Qi"},{"family":"Miao","given":"Chun-Li"},{"family":"Han","given":"Wei-Kang"},{"family":"Hou","given":"Wen"},{"family":"Yang","given":"Ke"},{"family":"Hansson","given":"Bill S."},{"family":"Peng","given":"Ying-Chuan"},{"family":"Guo","given":"Jin-Meng"},{"family":"Xu","given":"Hao"},{"family":"Wang","given":"Chen-Zhu"},{"family":"Dong","given":"Shuang-Lin"},{"family":"Knaden","given":"Markus"}],"issued":{"date-parts":[["2020",11]]}}},{"id":241,"uris":["http://zotero.org/users/10895598/items/ZEJCXDUZ"],"itemData":{"id":241,"type":"article-journal","container-title":"Journal of Chemical Ecology","DOI":"10.1007/s10886-006-9036-9","ISSN":"0098-0331, 1573-1561","issue":"4","journalAbbreviation":"J Chem Ecol","language":"en","page":"755-766","source":"DOI.org (Crossref)","title":"Isothiocyanates stimulating oviposition by the diamondback moth, &lt;i&gt;Plutella xylostella&lt;/i&gt;","volume":"32","author":[{"family":"Renwick","given":"J. Alan A."},{"family":"Haribal","given":"Meena"},{"family":"Gouinguené","given":"Sandrine"},{"family":"Städler","given":"Erich"}],"issued":{"date-parts":[["2006",4]]}}}],"schema":"https://github.com/citation-style-language/schema/raw/master/csl-citation.json"}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(Hussain et al., 2020; Liu et al., 2020; Renwick et al., 2006)</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Here</w:t>
      </w:r>
      <w:r w:rsidR="008C5AD3">
        <w:rPr>
          <w:rFonts w:ascii="Times New Roman" w:hAnsi="Times New Roman" w:cs="Times New Roman"/>
          <w:sz w:val="24"/>
          <w:szCs w:val="24"/>
        </w:rPr>
        <w:t xml:space="preserve">, </w:t>
      </w:r>
      <w:r w:rsidR="00403DB4">
        <w:rPr>
          <w:rFonts w:ascii="Times New Roman" w:hAnsi="Times New Roman" w:cs="Times New Roman"/>
          <w:sz w:val="24"/>
          <w:szCs w:val="24"/>
        </w:rPr>
        <w:t>I</w:t>
      </w:r>
      <w:r w:rsidRPr="00CF0A23">
        <w:rPr>
          <w:rFonts w:ascii="Times New Roman" w:hAnsi="Times New Roman" w:cs="Times New Roman"/>
          <w:sz w:val="24"/>
          <w:szCs w:val="24"/>
        </w:rPr>
        <w:t xml:space="preserve"> </w:t>
      </w:r>
      <w:r w:rsidRPr="00CF0A23">
        <w:rPr>
          <w:rFonts w:ascii="Times New Roman" w:hAnsi="Times New Roman" w:cs="Times New Roman"/>
          <w:color w:val="212121"/>
          <w:sz w:val="24"/>
          <w:szCs w:val="24"/>
        </w:rPr>
        <w:t xml:space="preserve">demonstrated that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infection</w:t>
      </w:r>
      <w:r w:rsidRPr="00CF0A23">
        <w:rPr>
          <w:rFonts w:ascii="Times New Roman" w:hAnsi="Times New Roman" w:cs="Times New Roman"/>
          <w:i/>
          <w:color w:val="212121"/>
          <w:sz w:val="24"/>
          <w:szCs w:val="24"/>
        </w:rPr>
        <w:t xml:space="preserve"> </w:t>
      </w:r>
      <w:r w:rsidRPr="00CF0A23">
        <w:rPr>
          <w:rFonts w:ascii="Times New Roman" w:hAnsi="Times New Roman" w:cs="Times New Roman"/>
          <w:color w:val="212121"/>
          <w:sz w:val="24"/>
          <w:szCs w:val="24"/>
        </w:rPr>
        <w:t>altered the spectrum of VOCs emitted from oilseed rape</w:t>
      </w:r>
      <w:r w:rsidRPr="00CF0A23">
        <w:rPr>
          <w:rFonts w:ascii="Times New Roman" w:hAnsi="Times New Roman" w:cs="Times New Roman"/>
          <w:i/>
          <w:color w:val="212121"/>
          <w:sz w:val="24"/>
          <w:szCs w:val="24"/>
        </w:rPr>
        <w:t xml:space="preserve"> </w:t>
      </w:r>
      <w:r w:rsidRPr="00CF0A23">
        <w:rPr>
          <w:rFonts w:ascii="Times New Roman" w:hAnsi="Times New Roman" w:cs="Times New Roman"/>
          <w:color w:val="212121"/>
          <w:sz w:val="24"/>
          <w:szCs w:val="24"/>
        </w:rPr>
        <w:t xml:space="preserve">leaves. </w:t>
      </w:r>
      <w:r w:rsidRPr="00CF0A23">
        <w:rPr>
          <w:rFonts w:ascii="Times New Roman" w:hAnsi="Times New Roman" w:cs="Times New Roman"/>
          <w:sz w:val="24"/>
          <w:szCs w:val="24"/>
        </w:rPr>
        <w:t xml:space="preserve">Both control and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-inoculated leaves of oilseed rape</w:t>
      </w:r>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emitted </w:t>
      </w:r>
      <w:proofErr w:type="spellStart"/>
      <w:r w:rsidRPr="00CF0A23">
        <w:rPr>
          <w:rFonts w:ascii="Times New Roman" w:hAnsi="Times New Roman" w:cs="Times New Roman"/>
          <w:sz w:val="24"/>
          <w:szCs w:val="24"/>
        </w:rPr>
        <w:t>sulfides</w:t>
      </w:r>
      <w:proofErr w:type="spellEnd"/>
      <w:r w:rsidRPr="00CF0A23">
        <w:rPr>
          <w:rFonts w:ascii="Times New Roman" w:hAnsi="Times New Roman" w:cs="Times New Roman"/>
          <w:sz w:val="24"/>
          <w:szCs w:val="24"/>
        </w:rPr>
        <w:t xml:space="preserve"> (dimethyl disulfide, dimethyl trisulfide) at 3 and 7 dpi, with dimethyl disulfide being significantly higher in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-inoculated leaves at 7 dpi compared to control leaves. Interestingly, </w:t>
      </w:r>
      <w:r w:rsidRPr="00CF0A23">
        <w:rPr>
          <w:rFonts w:ascii="Times New Roman" w:hAnsi="Times New Roman" w:cs="Times New Roman"/>
          <w:i/>
          <w:sz w:val="24"/>
          <w:szCs w:val="24"/>
        </w:rPr>
        <w:t xml:space="preserve">B. </w:t>
      </w:r>
      <w:proofErr w:type="spellStart"/>
      <w:r w:rsidRPr="00CF0A23">
        <w:rPr>
          <w:rFonts w:ascii="Times New Roman" w:hAnsi="Times New Roman" w:cs="Times New Roman"/>
          <w:i/>
          <w:sz w:val="24"/>
          <w:szCs w:val="24"/>
        </w:rPr>
        <w:t>brassicae</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aphids induced significantly higher concentrations of dimethyl disulfide in </w:t>
      </w:r>
      <w:r w:rsidRPr="00CF0A23">
        <w:rPr>
          <w:rFonts w:ascii="Times New Roman" w:hAnsi="Times New Roman" w:cs="Times New Roman"/>
          <w:i/>
          <w:sz w:val="24"/>
          <w:szCs w:val="24"/>
        </w:rPr>
        <w:t xml:space="preserve">B. oleracea </w:t>
      </w:r>
      <w:r w:rsidRPr="00CF0A23">
        <w:rPr>
          <w:rFonts w:ascii="Times New Roman" w:hAnsi="Times New Roman" w:cs="Times New Roman"/>
          <w:sz w:val="24"/>
          <w:szCs w:val="24"/>
        </w:rPr>
        <w:t xml:space="preserve">compared to non-damaged plants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{"citationID":"5QIqh2Vv","properties":{"formattedCitation":"(Najar-Rodriguez et al., 2015)","plainCitation":"(Najar-Rodriguez et al., 2015)","noteIndex":0},"citationItems":[{"id":659,"uris":["http://zotero.org/users/10895598/items/JLM524EZ"],"itemData":{"id":659,"type":"article-journal","container-title":"Chemoecology","DOI":"10.1007/s00049-015-0199-0","ISSN":"0937-7409, 1423-0445","issue":"6","journalAbbreviation":"Chemoecology","language":"en","page":"303-311","source":"DOI.org (Crossref)","title":"Aphid-deprivation from &lt;i&gt;Brassica&lt;/i&gt; plants results in increased isothiocyanate release and parasitoid attraction","volume":"25","author":[{"family":"Najar-Rodriguez","given":"Adriana J."},{"family":"Friedli","given":"Michael"},{"family":"Klaiber","given":"Jeannine"},{"family":"Dorn","given":"Silvia"}],"issued":{"date-parts":[["2015",12]]}}}],"schema":"https://github.com/citation-style-language/schema/raw/master/csl-citation.json"}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(Najar-Rodriguez et al., 2015)</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and it can therefore be assumed that high levels of this compound at 7 dpi played a role in </w:t>
      </w:r>
      <w:r w:rsidRPr="00CF0A23">
        <w:rPr>
          <w:rFonts w:ascii="Times New Roman" w:hAnsi="Times New Roman" w:cs="Times New Roman"/>
          <w:i/>
          <w:sz w:val="24"/>
          <w:szCs w:val="24"/>
        </w:rPr>
        <w:t xml:space="preserve">B. </w:t>
      </w:r>
      <w:proofErr w:type="spellStart"/>
      <w:r w:rsidRPr="00CF0A23">
        <w:rPr>
          <w:rFonts w:ascii="Times New Roman" w:hAnsi="Times New Roman" w:cs="Times New Roman"/>
          <w:i/>
          <w:sz w:val="24"/>
          <w:szCs w:val="24"/>
        </w:rPr>
        <w:t>brassicae</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deterrence towards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w:t>
      </w:r>
      <w:r w:rsidRPr="00CF0A23">
        <w:rPr>
          <w:rFonts w:ascii="Times New Roman" w:hAnsi="Times New Roman" w:cs="Times New Roman"/>
          <w:sz w:val="24"/>
          <w:szCs w:val="24"/>
        </w:rPr>
        <w:t xml:space="preserve">inoculated leaves. Also, </w:t>
      </w:r>
      <w:proofErr w:type="spellStart"/>
      <w:r w:rsidRPr="00CF0A23">
        <w:rPr>
          <w:rFonts w:ascii="Times New Roman" w:hAnsi="Times New Roman" w:cs="Times New Roman"/>
          <w:sz w:val="24"/>
          <w:szCs w:val="24"/>
        </w:rPr>
        <w:t>sulfides</w:t>
      </w:r>
      <w:proofErr w:type="spellEnd"/>
      <w:r w:rsidRPr="00CF0A23">
        <w:rPr>
          <w:rFonts w:ascii="Times New Roman" w:hAnsi="Times New Roman" w:cs="Times New Roman"/>
          <w:sz w:val="24"/>
          <w:szCs w:val="24"/>
        </w:rPr>
        <w:t xml:space="preserve"> were released from </w:t>
      </w:r>
      <w:r w:rsidRPr="00CF0A23">
        <w:rPr>
          <w:rFonts w:ascii="Times New Roman" w:hAnsi="Times New Roman" w:cs="Times New Roman"/>
          <w:i/>
          <w:sz w:val="24"/>
          <w:szCs w:val="24"/>
        </w:rPr>
        <w:t>A.</w:t>
      </w:r>
      <w:r w:rsidR="00C81FBA">
        <w:rPr>
          <w:rFonts w:ascii="Times New Roman" w:hAnsi="Times New Roman" w:cs="Times New Roman"/>
          <w:i/>
          <w:sz w:val="24"/>
          <w:szCs w:val="24"/>
        </w:rPr>
        <w:t xml:space="preserve"> </w:t>
      </w:r>
      <w:r w:rsidRPr="00CF0A23">
        <w:rPr>
          <w:rFonts w:ascii="Times New Roman" w:hAnsi="Times New Roman" w:cs="Times New Roman"/>
          <w:i/>
          <w:sz w:val="24"/>
          <w:szCs w:val="24"/>
        </w:rPr>
        <w:t>thaliana</w:t>
      </w:r>
      <w:r w:rsidRPr="00CF0A23">
        <w:rPr>
          <w:rFonts w:ascii="Times New Roman" w:hAnsi="Times New Roman" w:cs="Times New Roman"/>
          <w:sz w:val="24"/>
          <w:szCs w:val="24"/>
        </w:rPr>
        <w:t xml:space="preserve"> and </w:t>
      </w:r>
      <w:r w:rsidRPr="00CF0A23">
        <w:rPr>
          <w:rFonts w:ascii="Times New Roman" w:hAnsi="Times New Roman" w:cs="Times New Roman"/>
          <w:i/>
          <w:sz w:val="24"/>
          <w:szCs w:val="24"/>
        </w:rPr>
        <w:t xml:space="preserve">Brassica </w:t>
      </w:r>
      <w:proofErr w:type="spellStart"/>
      <w:r w:rsidRPr="00CF0A23">
        <w:rPr>
          <w:rFonts w:ascii="Times New Roman" w:hAnsi="Times New Roman" w:cs="Times New Roman"/>
          <w:i/>
          <w:sz w:val="24"/>
          <w:szCs w:val="24"/>
        </w:rPr>
        <w:t>rapa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after</w:t>
      </w:r>
      <w:r w:rsidRPr="00CF0A23">
        <w:rPr>
          <w:rFonts w:ascii="Times New Roman" w:hAnsi="Times New Roman" w:cs="Times New Roman"/>
          <w:i/>
          <w:sz w:val="24"/>
          <w:szCs w:val="24"/>
        </w:rPr>
        <w:t xml:space="preserve"> 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sz w:val="24"/>
          <w:szCs w:val="24"/>
        </w:rPr>
        <w:t xml:space="preserve"> infestation, which served as strong attractants to the </w:t>
      </w:r>
      <w:proofErr w:type="spellStart"/>
      <w:r w:rsidRPr="00CF0A23">
        <w:rPr>
          <w:rFonts w:ascii="Times New Roman" w:hAnsi="Times New Roman" w:cs="Times New Roman"/>
          <w:sz w:val="24"/>
          <w:szCs w:val="24"/>
        </w:rPr>
        <w:t>parasitoid</w:t>
      </w:r>
      <w:proofErr w:type="spellEnd"/>
      <w:r w:rsidRPr="00CF0A23">
        <w:rPr>
          <w:rFonts w:ascii="Times New Roman" w:hAnsi="Times New Roman" w:cs="Times New Roman"/>
          <w:i/>
          <w:sz w:val="24"/>
          <w:szCs w:val="24"/>
        </w:rPr>
        <w:t xml:space="preserve"> Cotesia </w:t>
      </w:r>
      <w:proofErr w:type="spellStart"/>
      <w:r w:rsidRPr="00CF0A23">
        <w:rPr>
          <w:rFonts w:ascii="Times New Roman" w:hAnsi="Times New Roman" w:cs="Times New Roman"/>
          <w:i/>
          <w:sz w:val="24"/>
          <w:szCs w:val="24"/>
        </w:rPr>
        <w:t>vestalis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in </w:t>
      </w:r>
      <w:r w:rsidRPr="00CF0A23">
        <w:rPr>
          <w:rFonts w:ascii="Times New Roman" w:hAnsi="Times New Roman" w:cs="Times New Roman"/>
          <w:i/>
          <w:sz w:val="24"/>
          <w:szCs w:val="24"/>
        </w:rPr>
        <w:t xml:space="preserve">B. </w:t>
      </w:r>
      <w:proofErr w:type="spellStart"/>
      <w:r w:rsidRPr="00CF0A23">
        <w:rPr>
          <w:rFonts w:ascii="Times New Roman" w:hAnsi="Times New Roman" w:cs="Times New Roman"/>
          <w:i/>
          <w:sz w:val="24"/>
          <w:szCs w:val="24"/>
        </w:rPr>
        <w:t>rapa</w:t>
      </w:r>
      <w:proofErr w:type="spellEnd"/>
      <w:r w:rsidRPr="00CF0A23">
        <w:rPr>
          <w:rFonts w:ascii="Times New Roman" w:hAnsi="Times New Roman" w:cs="Times New Roman"/>
          <w:sz w:val="24"/>
          <w:szCs w:val="24"/>
        </w:rPr>
        <w:t xml:space="preserve">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{"citationID":"C2WgeTMx","properties":{"formattedCitation":"(Kugimiya et al., 2010; Truong et al., 2014)","plainCitation":"(Kugimiya et al., 2010; Truong et al., 2014)","noteIndex":0},"citationItems":[{"id":391,"uris":["http://zotero.org/users/10895598/items/FEV7CB3I"],"itemData":{"id":391,"type":"article-journal","container-title":"Journal of Chemical Ecology","DOI":"10.1007/s10886-010-9802-6","ISSN":"0098-0331, 1573-1561","issue":"6","journalAbbreviation":"J Chem Ecol","language":"en","page":"620-628","source":"DOI.org (Crossref)","title":"Present or past herbivory: a screening of volatiles released from &lt;i&gt;Brassica rapa&lt;/i&gt; under caterpillar attacks as attractants for the solitary parasitoid, &lt;i&gt;Cotesia vestalis&lt;/i&gt;","title-short":"Present or Past Herbivory","volume":"36","author":[{"family":"Kugimiya","given":"Soichi"},{"family":"Shimoda","given":"Takeshi"},{"family":"Tabata","given":"Jun"},{"family":"Takabayashi","given":"Junji"}],"issued":{"date-parts":[["2010",6]]}}},{"id":398,"uris":["http://zotero.org/users/10895598/items/4UNK5LW2"],"itemData":{"id":398,"type":"article-journal","container-title":"Plant Signaling &amp; Behavior","DOI":"10.4161/15592324.2014.973816","ISSN":"1559-2324","issue":"11","journalAbbreviation":"Plant Signaling &amp; Behavior","language":"en","page":"e973816","source":"DOI.org (Crossref)","title":"&lt;i&gt;Plutella xylostella&lt;/i&gt; (L.) infestations at varying temperatures induce the emission of specific volatile blends by &lt;i&gt;Arabidopsis thaliana&lt;/i&gt; (L.) Heynh","volume":"9","author":[{"family":"Truong","given":"Dieu-Hien"},{"family":"Delory","given":"Benjamin M"},{"family":"Brostaux","given":"Yves"},{"family":"Heuskin","given":"Stéphanie"},{"family":"Delaplace","given":"Pierre"},{"family":"Francis","given":"Frédéric"},{"family":"Lognay","given":"Georges"}],"issued":{"date-parts":[["2014",11,2]]}}}],"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(Kugimiya et al., 2010; Truong et al., 2014)</w:t>
      </w:r>
      <w:r w:rsidR="00713AE4">
        <w:rPr>
          <w:rFonts w:ascii="Times New Roman" w:hAnsi="Times New Roman" w:cs="Times New Roman"/>
          <w:sz w:val="24"/>
          <w:szCs w:val="24"/>
        </w:rPr>
        <w:fldChar w:fldCharType="end"/>
      </w:r>
      <w:r w:rsidRPr="00CF0A23">
        <w:rPr>
          <w:rFonts w:ascii="Times New Roman" w:hAnsi="Times New Roman" w:cs="Times New Roman"/>
          <w:i/>
          <w:sz w:val="24"/>
          <w:szCs w:val="24"/>
        </w:rPr>
        <w:t>.</w:t>
      </w:r>
      <w:r w:rsidRPr="00CF0A23">
        <w:rPr>
          <w:rFonts w:ascii="Times New Roman" w:hAnsi="Times New Roman" w:cs="Times New Roman"/>
          <w:sz w:val="24"/>
          <w:szCs w:val="24"/>
        </w:rPr>
        <w:t xml:space="preserve"> As larvae are able to choose food and move from one spot to another (Zhu et al., 2022), their performance may be influenced by VOC levels: high concentrations of allyl ITC can be toxic to neonate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sz w:val="24"/>
          <w:szCs w:val="24"/>
        </w:rPr>
        <w:t xml:space="preserve">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{"citationID":"yfOrHYyP","properties":{"formattedCitation":"(Li et al., 2000)","plainCitation":"(Li et al., 2000)","noteIndex":0},"citationItems":[{"id":383,"uris":["http://zotero.org/users/10895598/items/DYJ8CG6D"],"itemData":{"id":383,"type":"article-journal","container-title":"Journal of chemical ecology","ISSN":"1573-1561","issue":"10","journalAbbreviation":"Journal of chemical ecology","note":"publisher: Springer","page":"2401-2419","title":"Feeding and growth of &lt;i&gt;Plutella xylostella&lt;/i&gt; and &lt;i&gt;Spodoptera eridania&lt;/i&gt; on &lt;i&gt;Brassica juncea&lt;/i&gt; with varying glucosinolate concentrations and myrosinase activities","volume":"26","author":[{"family":"Li","given":"Qun"},{"family":"Eigenbrode","given":"Sanford D"},{"family":"Stringam","given":"GR"},{"family":"Thiagarajah","given":"MR"}],"issued":{"date-parts":[["2000"]]}}}],"schema":"https://github.com/citation-style-language/schema/raw/master/csl-citation.json"}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(Li et al., 2000)</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and plant-produced (3</w:t>
      </w:r>
      <w:r w:rsidRPr="00CF0A23">
        <w:rPr>
          <w:rFonts w:ascii="Times New Roman" w:hAnsi="Times New Roman" w:cs="Times New Roman"/>
          <w:i/>
          <w:sz w:val="24"/>
          <w:szCs w:val="24"/>
        </w:rPr>
        <w:t>E</w:t>
      </w:r>
      <w:r w:rsidRPr="00CF0A23">
        <w:rPr>
          <w:rFonts w:ascii="Times New Roman" w:hAnsi="Times New Roman" w:cs="Times New Roman"/>
          <w:sz w:val="24"/>
          <w:szCs w:val="24"/>
        </w:rPr>
        <w:t xml:space="preserve">)-4,8-dimethyl-1,3,7-nonatriene can negatively affect the number of larval midgut microbiota which finally results in high larval mortality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{"citationID":"Z6o41joq","properties":{"formattedCitation":"(Chen et al., 2021)","plainCitation":"(Chen et al., 2021)","noteIndex":0},"citationItems":[{"id":399,"uris":["http://zotero.org/users/10895598/items/AVZVLNT2"],"itemData":{"id":399,"type":"article-journal","abstract":"Insect pests negatively affect crop quality and yield; identifying new methods to protect crops against insects therefore has important agricultural applications. Our analysis of transgenic\n              Arabidopsis thaliana\n              plants showed that overexpression of\n              pentacyclic triterpene synthase 1\n              , encoding the key biosynthetic enzyme for the natural plant product (3E)-4,8-dimethyl-1,3,7-nonatriene (DMNT), led to a significant resistance against a major insect pest,\n              Plutella xylostella\n              . DMNT treatment severely damaged the peritrophic matrix (PM), a physical barrier isolating food and pathogens from the midgut wall cells. DMNT repressed the expression of\n              PxMucin\n              in midgut cells, and knocking down\n              PxMucin\n              resulted in PM rupture and\n              P. xylostella\n              death. A 16S RNA survey revealed that DMNT significantly disrupted midgut microbiota populations and that midgut microbes were essential for DMNT-induced killing. Therefore, we propose that the midgut microbiota assists DMNT in killing\n              P. xylostella\n              . These findings may provide a novel approach for plant protection against\n              P. xylostella\n              .","container-title":"eLife","DOI":"10.7554/eLife.63938","ISSN":"2050-084X","language":"en","page":"e63938","source":"DOI.org (Crossref)","title":"Volatile DMNT directly protects plants against &lt;i&gt;Plutella xylostella&lt;/i&gt; by disrupting the peritrophic matrix barrier in insect midgut","volume":"10","author":[{"family":"Chen","given":"Chen"},{"family":"Chen","given":"Hongyi"},{"family":"Huang","given":"Shijie"},{"family":"Jiang","given":"Taoshan"},{"family":"Wang","given":"Chuanhong"},{"family":"Tao","given":"Zhen"},{"family":"He","given":"Chen"},{"family":"Tang","given":"Qingfeng"},{"family":"Li","given":"Peijin"}],"issued":{"date-parts":[["2021",2,18]]}}}],"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(Chen et al., 2021)</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w:t>
      </w:r>
      <w:r w:rsidR="00403DB4">
        <w:rPr>
          <w:rFonts w:ascii="Times New Roman" w:hAnsi="Times New Roman" w:cs="Times New Roman"/>
          <w:sz w:val="24"/>
          <w:szCs w:val="24"/>
        </w:rPr>
        <w:t xml:space="preserve"> </w:t>
      </w:r>
      <w:r w:rsidR="00403DB4" w:rsidRPr="00403DB4">
        <w:rPr>
          <w:rFonts w:ascii="Times New Roman" w:hAnsi="Times New Roman" w:cs="Times New Roman"/>
          <w:sz w:val="24"/>
          <w:szCs w:val="24"/>
        </w:rPr>
        <w:t xml:space="preserve">However, no GSL-derived volatiles were detected in this study, likely due to the specific experimental </w:t>
      </w:r>
      <w:proofErr w:type="spellStart"/>
      <w:r w:rsidR="00403DB4" w:rsidRPr="00403DB4">
        <w:rPr>
          <w:rFonts w:ascii="Times New Roman" w:hAnsi="Times New Roman" w:cs="Times New Roman"/>
          <w:sz w:val="24"/>
          <w:szCs w:val="24"/>
        </w:rPr>
        <w:t>setup.</w:t>
      </w:r>
      <w:bookmarkStart w:id="64" w:name="_heading=h.3cqmetx" w:colFirst="0" w:colLast="0"/>
      <w:bookmarkEnd w:id="64"/>
      <w:r w:rsidRPr="00CF0A23">
        <w:rPr>
          <w:rFonts w:ascii="Times New Roman" w:hAnsi="Times New Roman" w:cs="Times New Roman"/>
          <w:sz w:val="24"/>
          <w:szCs w:val="24"/>
        </w:rPr>
        <w:t>Numerous</w:t>
      </w:r>
      <w:proofErr w:type="spellEnd"/>
      <w:r w:rsidRPr="00CF0A23">
        <w:rPr>
          <w:rFonts w:ascii="Times New Roman" w:hAnsi="Times New Roman" w:cs="Times New Roman"/>
          <w:sz w:val="24"/>
          <w:szCs w:val="24"/>
        </w:rPr>
        <w:t xml:space="preserve"> plant–insect–microorganism interactions have been investigated so far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{"citationID":"ibRsrgZf","properties":{"formattedCitation":"(Franco et al., 2017)","plainCitation":"(Franco et al., 2017)","noteIndex":0},"citationItems":[{"id":430,"uris":["http://zotero.org/users/10895598/items/F9U9CW7Z"],"itemData":{"id":430,"type":"article-journal","container-title":"Current Opinion in Microbiology","DOI":"10.1016/j.mib.2017.04.007","ISSN":"13695274","journalAbbreviation":"Current Opinion in Microbiology","language":"en","page":"54-60","source":"DOI.org (Crossref)","title":"Plant–insect–pathogen interactions: a naturally complex ménage à trois","title-short":"Plant–insect–pathogen interactions","volume":"37","author":[{"family":"Franco","given":"Flávia P"},{"family":"Moura","given":"Daniel S"},{"family":"Vivanco","given":"Jorge M"},{"family":"Silva-Filho","given":"Marcio C"}],"issued":{"date-parts":[["2017",6]]}}}],"schema":"https://github.com/citation-style-language/schema/raw/master/csl-citation.json"}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(Franco et al., 2017)</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which clearly show high variability in synergistic and antagonistic impacts on plant performance. A recent meta-analysis highlighted important information on the insect herbivore preference and performance on fungus-challenged plants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{"citationID":"2ulQ5wVj","properties":{"formattedCitation":"(Fernandez-Conradi et al., 2018)","plainCitation":"(Fernandez-Conradi et al., 2018)","noteIndex":0},"citationItems":[{"id":50,"uris":["http://zotero.org/users/10895598/items/DMGCYZGR"],"itemData":{"id":50,"type":"article-journal","container-title":"Ecology","DOI":"10.1002/ecy.2044","ISSN":"00129658","issue":"2","journalAbbreviation":"Ecology","language":"en","page":"300-311","source":"DOI.org (Crossref)","title":"Fungi reduce preference and performance of insect herbivores on challenged plants","volume":"99","author":[{"family":"Fernandez-Conradi","given":"Pilar"},{"family":"Jactel","given":"Hervé"},{"family":"Robin","given":"Cécile"},{"family":"Tack","given":"Ayco J. M."},{"family":"Castagneyrol","given":"Bastien"}],"issued":{"date-parts":[["2018",2]]}}}],"schema":"https://github.com/citation-style-language/schema/raw/master/csl-citation.json"}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(Fernandez-Conradi et al., 2018)</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Insect preference can be influenced by the plant species, the fungus lifestyle (biotrophic vs. necrotrophic), or the stage of infection, and therefore by various underlying defence mechanisms. Multiple interactions were reported on several members </w:t>
      </w:r>
      <w:r w:rsidR="00544355">
        <w:rPr>
          <w:rFonts w:ascii="Times New Roman" w:hAnsi="Times New Roman" w:cs="Times New Roman"/>
          <w:sz w:val="24"/>
          <w:szCs w:val="24"/>
        </w:rPr>
        <w:t>of Brassicaceae family, but to my</w:t>
      </w:r>
      <w:r w:rsidRPr="00CF0A23">
        <w:rPr>
          <w:rFonts w:ascii="Times New Roman" w:hAnsi="Times New Roman" w:cs="Times New Roman"/>
          <w:sz w:val="24"/>
          <w:szCs w:val="24"/>
        </w:rPr>
        <w:t xml:space="preserve"> knowledge, none concerned oilseed rape. In </w:t>
      </w:r>
      <w:r w:rsidRPr="00CF0A23">
        <w:rPr>
          <w:rFonts w:ascii="Times New Roman" w:hAnsi="Times New Roman" w:cs="Times New Roman"/>
          <w:i/>
          <w:sz w:val="24"/>
          <w:szCs w:val="24"/>
        </w:rPr>
        <w:t xml:space="preserve">Brassica </w:t>
      </w:r>
      <w:proofErr w:type="spellStart"/>
      <w:r w:rsidRPr="00CF0A23">
        <w:rPr>
          <w:rFonts w:ascii="Times New Roman" w:hAnsi="Times New Roman" w:cs="Times New Roman"/>
          <w:i/>
          <w:sz w:val="24"/>
          <w:szCs w:val="24"/>
        </w:rPr>
        <w:t>rapa</w:t>
      </w:r>
      <w:proofErr w:type="spellEnd"/>
      <w:r w:rsidRPr="00CF0A23">
        <w:rPr>
          <w:rFonts w:ascii="Times New Roman" w:hAnsi="Times New Roman" w:cs="Times New Roman"/>
          <w:sz w:val="24"/>
          <w:szCs w:val="24"/>
        </w:rPr>
        <w:t xml:space="preserve">, the infection with a biotrophic fungal pathogen </w:t>
      </w:r>
      <w:r w:rsidRPr="00CF0A23">
        <w:rPr>
          <w:rFonts w:ascii="Times New Roman" w:hAnsi="Times New Roman" w:cs="Times New Roman"/>
          <w:i/>
          <w:sz w:val="24"/>
          <w:szCs w:val="24"/>
        </w:rPr>
        <w:t xml:space="preserve">Erysiphe </w:t>
      </w:r>
      <w:proofErr w:type="spellStart"/>
      <w:r w:rsidRPr="00CF0A23">
        <w:rPr>
          <w:rFonts w:ascii="Times New Roman" w:hAnsi="Times New Roman" w:cs="Times New Roman"/>
          <w:i/>
          <w:sz w:val="24"/>
          <w:szCs w:val="24"/>
        </w:rPr>
        <w:t>cruciferarum</w:t>
      </w:r>
      <w:proofErr w:type="spellEnd"/>
      <w:r w:rsidRPr="00CF0A23">
        <w:rPr>
          <w:rFonts w:ascii="Times New Roman" w:hAnsi="Times New Roman" w:cs="Times New Roman"/>
          <w:sz w:val="24"/>
          <w:szCs w:val="24"/>
        </w:rPr>
        <w:t xml:space="preserve"> did not affect the pupal weight and mortality of </w:t>
      </w:r>
      <w:r w:rsidRPr="00CF0A23">
        <w:rPr>
          <w:rFonts w:ascii="Times New Roman" w:hAnsi="Times New Roman" w:cs="Times New Roman"/>
          <w:i/>
          <w:sz w:val="24"/>
          <w:szCs w:val="24"/>
        </w:rPr>
        <w:t xml:space="preserve">Pieris </w:t>
      </w:r>
      <w:proofErr w:type="spellStart"/>
      <w:r w:rsidRPr="00CF0A23">
        <w:rPr>
          <w:rFonts w:ascii="Times New Roman" w:hAnsi="Times New Roman" w:cs="Times New Roman"/>
          <w:i/>
          <w:sz w:val="24"/>
          <w:szCs w:val="24"/>
        </w:rPr>
        <w:t>brassicae</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caterpillars; however, fungal infection with subsequent infestation indirectly and negatively affected the incidence of natural enemies by reducing the emission of VOCs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{"citationID":"Ev5qd0ko","properties":{"formattedCitation":"(Desurmont et al., 2016)","plainCitation":"(Desurmont et al., 2016)","noteIndex":0},"citationItems":[{"id":406,"uris":["http://zotero.org/users/10895598/items/K7QJMKGG"],"itemData":{"id":406,"type":"article-journal","container-title":"Plant, Cell &amp; Environment","DOI":"10.1111/pce.12752","ISSN":"01407791","issue":"9","journalAbbreviation":"Plant, Cell &amp; Environment","language":"en","page":"1920-1927","source":"DOI.org (Crossref)","title":"Powdery mildew suppresses herbivore-induced plant volatiles and interferes with parasitoid attraction in &lt;i&gt;Brassica rapa&lt;/i&gt;: a plant pathogen affects infochemical networks","title-short":"Powdery mildew suppresses herbivore-induced plant volatiles and interferes with parasitoid attraction in &lt;i&gt;Brassica rapa&lt;/i&gt;","volume":"39","author":[{"family":"Desurmont","given":"Gaylord A."},{"family":"Xu","given":"Hao"},{"family":"Turlings","given":"Ted C. J."}],"issued":{"date-parts":[["2016",9]]}}}],"schema":"https://github.com/citation-style-language/schema/raw/master/csl-citation.json"}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(Desurmont et al., 2016)</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Another study on Brassicaceae plants demonstrated an interaction effect of an insect herbivore and a fungal pathogen, and how it differs on two resistant host cultivars of </w:t>
      </w:r>
      <w:r w:rsidRPr="00CF0A23">
        <w:rPr>
          <w:rFonts w:ascii="Times New Roman" w:hAnsi="Times New Roman" w:cs="Times New Roman"/>
          <w:i/>
          <w:sz w:val="24"/>
          <w:szCs w:val="24"/>
        </w:rPr>
        <w:t>Barbarea vulgaris</w:t>
      </w:r>
      <w:r w:rsidRPr="00CF0A23">
        <w:rPr>
          <w:rFonts w:ascii="Times New Roman" w:hAnsi="Times New Roman" w:cs="Times New Roman"/>
          <w:sz w:val="24"/>
          <w:szCs w:val="24"/>
        </w:rPr>
        <w:t xml:space="preserve">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{"citationID":"0NM6m6jn","properties":{"formattedCitation":"(Heimes et al., 2015)","plainCitation":"(Heimes et al., 2015)","noteIndex":0},"citationItems":[{"id":416,"uris":["http://zotero.org/users/10895598/items/HPDDAURS"],"itemData":{"id":416,"type":"article-journal","container-title":"Oecologia","DOI":"10.1007/s00442-014-3113-5","ISSN":"0029-8549, 1432-1939","issue":"2","journalAbbreviation":"Oecologia","language":"en","page":"441-452","source":"DOI.org (Crossref)","title":"Interactive impacts of a herbivore and a pathogen on two resistance types of &lt;i&gt;Barbarea vulgaris&lt;/i&gt; (Brassicaceae)","volume":"177","author":[{"family":"Heimes","given":"Christine"},{"family":"Thiele","given":"Jan"},{"family":"Mölken","given":"Tamara","non-dropping-particle":"van"},{"family":"Hauser","given":"Thure P."}],"issued":{"date-parts":[["2015",2]]}}}],"schema":"https://github.com/citation-style-language/schema/raw/master/csl-citation.json"}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(Heimes et al., 2015)</w:t>
      </w:r>
      <w:r w:rsidR="00713AE4">
        <w:rPr>
          <w:rFonts w:ascii="Times New Roman" w:hAnsi="Times New Roman" w:cs="Times New Roman"/>
          <w:sz w:val="24"/>
          <w:szCs w:val="24"/>
        </w:rPr>
        <w:fldChar w:fldCharType="end"/>
      </w:r>
      <w:r w:rsidRPr="00CF0A23">
        <w:rPr>
          <w:rFonts w:ascii="Times New Roman" w:hAnsi="Times New Roman" w:cs="Times New Roman"/>
          <w:sz w:val="24"/>
          <w:szCs w:val="24"/>
        </w:rPr>
        <w:t xml:space="preserve">: the insect-resistant genotype was severely infected by a biotrophic fungus </w:t>
      </w:r>
      <w:proofErr w:type="spellStart"/>
      <w:r w:rsidRPr="00CF0A23">
        <w:rPr>
          <w:rFonts w:ascii="Times New Roman" w:hAnsi="Times New Roman" w:cs="Times New Roman"/>
          <w:i/>
          <w:sz w:val="24"/>
          <w:szCs w:val="24"/>
        </w:rPr>
        <w:t>Albugo</w:t>
      </w:r>
      <w:proofErr w:type="spellEnd"/>
      <w:r w:rsidRPr="00CF0A23">
        <w:rPr>
          <w:rFonts w:ascii="Times New Roman" w:hAnsi="Times New Roman" w:cs="Times New Roman"/>
          <w:sz w:val="24"/>
          <w:szCs w:val="24"/>
        </w:rPr>
        <w:t xml:space="preserve"> spp., which reduced plant biomass loss when subsequently infested by </w:t>
      </w:r>
      <w:proofErr w:type="spellStart"/>
      <w:r w:rsidRPr="00CF0A23">
        <w:rPr>
          <w:rFonts w:ascii="Times New Roman" w:hAnsi="Times New Roman" w:cs="Times New Roman"/>
          <w:i/>
          <w:sz w:val="24"/>
          <w:szCs w:val="24"/>
        </w:rPr>
        <w:t>Phyllotreta</w:t>
      </w:r>
      <w:proofErr w:type="spellEnd"/>
      <w:r w:rsidRPr="00CF0A23">
        <w:rPr>
          <w:rFonts w:ascii="Times New Roman" w:hAnsi="Times New Roman" w:cs="Times New Roman"/>
          <w:i/>
          <w:sz w:val="24"/>
          <w:szCs w:val="24"/>
        </w:rPr>
        <w:t xml:space="preserve"> </w:t>
      </w:r>
      <w:proofErr w:type="spellStart"/>
      <w:r w:rsidRPr="00CF0A23">
        <w:rPr>
          <w:rFonts w:ascii="Times New Roman" w:hAnsi="Times New Roman" w:cs="Times New Roman"/>
          <w:i/>
          <w:sz w:val="24"/>
          <w:szCs w:val="24"/>
        </w:rPr>
        <w:t>nemorum</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flea beetles. However, the reverse effect was observed in the insect-susceptible genotype, where </w:t>
      </w:r>
      <w:proofErr w:type="spellStart"/>
      <w:r w:rsidRPr="00CF0A23">
        <w:rPr>
          <w:rFonts w:ascii="Times New Roman" w:hAnsi="Times New Roman" w:cs="Times New Roman"/>
          <w:i/>
          <w:sz w:val="24"/>
          <w:szCs w:val="24"/>
        </w:rPr>
        <w:t>Albugo</w:t>
      </w:r>
      <w:proofErr w:type="spellEnd"/>
      <w:r w:rsidRPr="00CF0A23">
        <w:rPr>
          <w:rFonts w:ascii="Times New Roman" w:hAnsi="Times New Roman" w:cs="Times New Roman"/>
          <w:sz w:val="24"/>
          <w:szCs w:val="24"/>
        </w:rPr>
        <w:t xml:space="preserve"> spp. positively affected insect feeding, indicating some kind of a negative cross-talk towards plants. Furthermore, understanding the role of some VOCs is further complicated by the fact that they are produced by pathogens themselves, such as in </w:t>
      </w:r>
      <w:r w:rsidR="00755BFE">
        <w:rPr>
          <w:rFonts w:ascii="Times New Roman" w:hAnsi="Times New Roman" w:cs="Times New Roman"/>
          <w:sz w:val="24"/>
          <w:szCs w:val="24"/>
        </w:rPr>
        <w:t xml:space="preserve">the </w:t>
      </w:r>
      <w:r w:rsidRPr="00CF0A23">
        <w:rPr>
          <w:rFonts w:ascii="Times New Roman" w:hAnsi="Times New Roman" w:cs="Times New Roman"/>
          <w:sz w:val="24"/>
          <w:szCs w:val="24"/>
        </w:rPr>
        <w:t>case</w:t>
      </w:r>
      <w:r w:rsidR="00755BFE">
        <w:rPr>
          <w:rFonts w:ascii="Times New Roman" w:hAnsi="Times New Roman" w:cs="Times New Roman"/>
          <w:sz w:val="24"/>
          <w:szCs w:val="24"/>
        </w:rPr>
        <w:t xml:space="preserve"> here</w:t>
      </w:r>
      <w:r w:rsidRPr="00CF0A23">
        <w:rPr>
          <w:rFonts w:ascii="Times New Roman" w:hAnsi="Times New Roman" w:cs="Times New Roman"/>
          <w:sz w:val="24"/>
          <w:szCs w:val="24"/>
        </w:rPr>
        <w:t xml:space="preserve"> isobutyl acetate, which was reported as a volatile of </w:t>
      </w:r>
      <w:r w:rsidRPr="00CF0A23">
        <w:rPr>
          <w:rFonts w:ascii="Times New Roman" w:hAnsi="Times New Roman" w:cs="Times New Roman"/>
          <w:i/>
          <w:sz w:val="24"/>
          <w:szCs w:val="24"/>
        </w:rPr>
        <w:t xml:space="preserve">Ceratocystis </w:t>
      </w:r>
      <w:proofErr w:type="spellStart"/>
      <w:r w:rsidRPr="00CF0A23">
        <w:rPr>
          <w:rFonts w:ascii="Times New Roman" w:hAnsi="Times New Roman" w:cs="Times New Roman"/>
          <w:i/>
          <w:sz w:val="24"/>
          <w:szCs w:val="24"/>
        </w:rPr>
        <w:t>platani</w:t>
      </w:r>
      <w:proofErr w:type="spellEnd"/>
      <w:r w:rsidRPr="00CF0A23">
        <w:rPr>
          <w:rFonts w:ascii="Times New Roman" w:hAnsi="Times New Roman" w:cs="Times New Roman"/>
          <w:sz w:val="24"/>
          <w:szCs w:val="24"/>
        </w:rPr>
        <w:t xml:space="preserve"> fungus </w:t>
      </w:r>
      <w:r w:rsidR="00713AE4">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{"citationID":"72o1l58h","properties":{"formattedCitation":"(Brilli et al., 2020)","plainCitation":"(Brilli et al., 2020)","noteIndex":0},"citationItems":[{"id":591,"uris":["http://zotero.org/users/10895598/items/7FX4TEMP"],"itemData":{"id":591,"type":"article-journal","container-title":"Forest Pathology","DOI":"10.1111/efp.12618","ISSN":"14374781","journalAbbreviation":"For. Path.","language":"en","page":"e12618","source":"DOI.org (Crossref)","title":"Volatile organic compounds (VOC) as biomarkers for detection of &lt;i&gt;Ceratocystis platani&lt;/i&gt;","author":[{"family":"Brilli","given":"Federico"},{"family":"Luchi","given":"Nicola"},{"family":"Michelozzi","given":"Marco"},{"family":"Calamai","given":"Luca"},{"family":"Cencetti","given":"Gabriele"},{"family":"Pecori","given":"Francesco"},{"family":"Nigrone","given":"Emanuele"},{"family":"Santini","given":"Alberto"}],"issued":{"date-parts":[["2020",6,16]]}}}],"schema":"https://github.com/citation-style-language/schema/raw/master/csl-citation.json"} </w:instrText>
      </w:r>
      <w:r w:rsidR="00713AE4">
        <w:rPr>
          <w:rFonts w:ascii="Times New Roman" w:hAnsi="Times New Roman" w:cs="Times New Roman"/>
          <w:sz w:val="24"/>
          <w:szCs w:val="24"/>
        </w:rPr>
        <w:fldChar w:fldCharType="separate"/>
      </w:r>
      <w:r w:rsidR="00713AE4" w:rsidRPr="00713AE4">
        <w:rPr>
          <w:rFonts w:ascii="Times New Roman" w:hAnsi="Times New Roman" w:cs="Times New Roman"/>
          <w:sz w:val="24"/>
        </w:rPr>
        <w:t>(Brilli et al., 2020)</w:t>
      </w:r>
      <w:r w:rsidR="00713AE4">
        <w:rPr>
          <w:rFonts w:ascii="Times New Roman" w:hAnsi="Times New Roman" w:cs="Times New Roman"/>
          <w:sz w:val="24"/>
          <w:szCs w:val="24"/>
        </w:rPr>
        <w:fldChar w:fldCharType="end"/>
      </w:r>
      <w:r w:rsidRPr="00CF0A23">
        <w:rPr>
          <w:rFonts w:ascii="Times New Roman" w:hAnsi="Times New Roman" w:cs="Times New Roman"/>
          <w:i/>
          <w:sz w:val="24"/>
          <w:szCs w:val="24"/>
        </w:rPr>
        <w:t>.</w:t>
      </w:r>
    </w:p>
    <w:p w14:paraId="2150A157" w14:textId="2EF679D5" w:rsidR="00E7693B" w:rsidRPr="00CF0A23" w:rsidRDefault="00E7693B" w:rsidP="00CF0A23">
      <w:pPr>
        <w:spacing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 xml:space="preserve">Multitrophic interactions are extremely complex and mainly context-dependent. While much work has been done to investigate plant-insect-fungi (biotrophic or necrotrophic) interactions, relatively little has been done to explore such relationships with </w:t>
      </w:r>
      <w:proofErr w:type="spellStart"/>
      <w:r w:rsidRPr="00CF0A23">
        <w:rPr>
          <w:rFonts w:ascii="Times New Roman" w:hAnsi="Times New Roman" w:cs="Times New Roman"/>
          <w:sz w:val="24"/>
          <w:szCs w:val="24"/>
        </w:rPr>
        <w:t>hemibiotrophic</w:t>
      </w:r>
      <w:proofErr w:type="spellEnd"/>
      <w:r w:rsidRPr="00CF0A23">
        <w:rPr>
          <w:rFonts w:ascii="Times New Roman" w:hAnsi="Times New Roman" w:cs="Times New Roman"/>
          <w:sz w:val="24"/>
          <w:szCs w:val="24"/>
        </w:rPr>
        <w:t xml:space="preserve"> fungi. </w:t>
      </w:r>
      <w:r w:rsidR="00755BFE">
        <w:rPr>
          <w:rFonts w:ascii="Times New Roman" w:hAnsi="Times New Roman" w:cs="Times New Roman"/>
          <w:sz w:val="24"/>
          <w:szCs w:val="24"/>
        </w:rPr>
        <w:t>This</w:t>
      </w:r>
      <w:r w:rsidRPr="00CF0A23">
        <w:rPr>
          <w:rFonts w:ascii="Times New Roman" w:hAnsi="Times New Roman" w:cs="Times New Roman"/>
          <w:sz w:val="24"/>
          <w:szCs w:val="24"/>
        </w:rPr>
        <w:t xml:space="preserve"> study brings novel findings regarding oilseed rape plants interacting with a destructive specialist </w:t>
      </w:r>
      <w:proofErr w:type="spellStart"/>
      <w:r w:rsidRPr="00CF0A23">
        <w:rPr>
          <w:rFonts w:ascii="Times New Roman" w:hAnsi="Times New Roman" w:cs="Times New Roman"/>
          <w:sz w:val="24"/>
          <w:szCs w:val="24"/>
        </w:rPr>
        <w:t>hemibiotrophic</w:t>
      </w:r>
      <w:proofErr w:type="spellEnd"/>
      <w:r w:rsidRPr="00CF0A23">
        <w:rPr>
          <w:rFonts w:ascii="Times New Roman" w:hAnsi="Times New Roman" w:cs="Times New Roman"/>
          <w:sz w:val="24"/>
          <w:szCs w:val="24"/>
        </w:rPr>
        <w:t xml:space="preserve"> fungal pathogen and a chewing insect herbivore, which lead to better understanding of plant resistance strategies and further development of </w:t>
      </w:r>
      <w:proofErr w:type="spellStart"/>
      <w:r w:rsidRPr="00CF0A23">
        <w:rPr>
          <w:rFonts w:ascii="Times New Roman" w:hAnsi="Times New Roman" w:cs="Times New Roman"/>
          <w:sz w:val="24"/>
          <w:szCs w:val="24"/>
        </w:rPr>
        <w:t>enviromentally</w:t>
      </w:r>
      <w:proofErr w:type="spellEnd"/>
      <w:r w:rsidRPr="00CF0A23">
        <w:rPr>
          <w:rFonts w:ascii="Times New Roman" w:hAnsi="Times New Roman" w:cs="Times New Roman"/>
          <w:sz w:val="24"/>
          <w:szCs w:val="24"/>
        </w:rPr>
        <w:t>-friendly methods in terms of pest management. As a major crop, oilseed rape</w:t>
      </w:r>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deserves more thorough exploration: its defence is controlled by different </w:t>
      </w:r>
      <w:proofErr w:type="spellStart"/>
      <w:r w:rsidRPr="00CF0A23">
        <w:rPr>
          <w:rFonts w:ascii="Times New Roman" w:hAnsi="Times New Roman" w:cs="Times New Roman"/>
          <w:sz w:val="24"/>
          <w:szCs w:val="24"/>
        </w:rPr>
        <w:t>signaling</w:t>
      </w:r>
      <w:proofErr w:type="spellEnd"/>
      <w:r w:rsidRPr="00CF0A23">
        <w:rPr>
          <w:rFonts w:ascii="Times New Roman" w:hAnsi="Times New Roman" w:cs="Times New Roman"/>
          <w:sz w:val="24"/>
          <w:szCs w:val="24"/>
        </w:rPr>
        <w:t xml:space="preserve"> pathways than in the model plant </w:t>
      </w:r>
      <w:r w:rsidRPr="00CF0A23">
        <w:rPr>
          <w:rFonts w:ascii="Times New Roman" w:hAnsi="Times New Roman" w:cs="Times New Roman"/>
          <w:i/>
          <w:sz w:val="24"/>
          <w:szCs w:val="24"/>
        </w:rPr>
        <w:t>A. thaliana</w:t>
      </w:r>
      <w:r w:rsidRPr="00CF0A23">
        <w:rPr>
          <w:rFonts w:ascii="Times New Roman" w:hAnsi="Times New Roman" w:cs="Times New Roman"/>
          <w:sz w:val="24"/>
          <w:szCs w:val="24"/>
        </w:rPr>
        <w:t xml:space="preserve"> belonging to the same family </w:t>
      </w:r>
      <w:r w:rsidR="00266E16">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{"citationID":"epIBfKx8","properties":{"formattedCitation":"(\\uc0\\u352{}a\\uc0\\u353{}ek et al., 2012b)","plainCitation":"(Šašek et al., 2012b)","noteIndex":0},"citationItems":[{"id":411,"uris":["http://zotero.org/users/10895598/items/SABULKU5"],"itemData":{"id":411,"type":"article-journal","abstract":"Interaction of a plant with a fungal pathogen is an encounter with hundreds of molecules. In contrast to this, a single molecule often decides between the disease and resistance. In the present article, we describe the defense responses triggered by AvrLm1, an avirulence gene from a hemibiotrophic ascomycete, Leptosphaeria maculans, responsible for an incompatible interaction with Brassica napus. Using multiple hormone quantification and expression analysis of defense-related genes, we investigated signaling events in Rlm1 plants infected with two sister isolates of L. maculans differentiated by the presence or absence of AvrLm1. Infection with the isolate carrying AvrLm1 increased the biosynthesis of salicylic acid (SA) and induced expression of the SA-associated genes ICS1, WRKY70, and PR-1, a feature characteristic of responses to biotrophic pathogens and resistance gene–mediated resistance. In addition to SA-signaling elements, we also observed the induction of ASC2a, HEL, and CHI genes associated with ethylene (ET) signaling. Pharmacological experiments confirmed the positive roles of SA and ET in mediating resistance to L. maculans. The unusual cooperation of SA and ET signaling might be a response to the hemibiotrophic nature of L. maculans. Our results also demonstrate the profound difference between the natural host B. napus and the model plant Arabidopsis in their response to L. maculans infection.","container-title":"Molecular Plant-Microbe Interactions®","DOI":"10.1094/MPMI-02-12-0033-R","ISSN":"0894-0282, 1943-7706","issue":"9","journalAbbreviation":"MPMI","language":"en","page":"1238-1250","source":"DOI.org (Crossref)","title":"Recognition of avirulence gene &lt;i&gt;AvrLm1&lt;/i&gt; from hemibiotrophic ascomycete &lt;i&gt;Leptosphaeria maculans&lt;/i&gt; triggers salicylic acid and ethylene signaling in &lt;i&gt;Brassica napus&lt;/i&gt;","volume":"25","author":[{"family":"Šašek","given":"Vladimír"},{"family":"Nováková","given":"Miroslava"},{"family":"Jindřichová","given":"Barbora"},{"family":"Bóka","given":"Károly"},{"family":"Valentová","given":"Olga"},{"family":"Burketová","given":"Lenka"}],"issued":{"date-parts":[["2012",9]]}}}],"schema":"https://github.com/citation-style-language/schema/raw/master/csl-citation.json"} </w:instrText>
      </w:r>
      <w:r w:rsidR="00266E16">
        <w:rPr>
          <w:rFonts w:ascii="Times New Roman" w:hAnsi="Times New Roman" w:cs="Times New Roman"/>
          <w:sz w:val="24"/>
          <w:szCs w:val="24"/>
        </w:rPr>
        <w:fldChar w:fldCharType="separate"/>
      </w:r>
      <w:r w:rsidR="00266E16" w:rsidRPr="00266E16">
        <w:rPr>
          <w:rFonts w:ascii="Times New Roman" w:hAnsi="Times New Roman" w:cs="Times New Roman"/>
          <w:sz w:val="24"/>
          <w:szCs w:val="24"/>
        </w:rPr>
        <w:t>(Šašek et al., 2012b)</w:t>
      </w:r>
      <w:r w:rsidR="00266E16">
        <w:rPr>
          <w:rFonts w:ascii="Times New Roman" w:hAnsi="Times New Roman" w:cs="Times New Roman"/>
          <w:sz w:val="24"/>
          <w:szCs w:val="24"/>
        </w:rPr>
        <w:fldChar w:fldCharType="end"/>
      </w:r>
      <w:r w:rsidRPr="00CF0A23">
        <w:rPr>
          <w:rFonts w:ascii="Times New Roman" w:hAnsi="Times New Roman" w:cs="Times New Roman"/>
          <w:sz w:val="24"/>
          <w:szCs w:val="24"/>
        </w:rPr>
        <w:t xml:space="preserve">, thus underlining the importance of carrying out </w:t>
      </w:r>
      <w:proofErr w:type="spellStart"/>
      <w:r w:rsidRPr="00CF0A23">
        <w:rPr>
          <w:rFonts w:ascii="Times New Roman" w:hAnsi="Times New Roman" w:cs="Times New Roman"/>
          <w:sz w:val="24"/>
          <w:szCs w:val="24"/>
        </w:rPr>
        <w:t>phytopathological</w:t>
      </w:r>
      <w:proofErr w:type="spellEnd"/>
      <w:r w:rsidRPr="00CF0A23">
        <w:rPr>
          <w:rFonts w:ascii="Times New Roman" w:hAnsi="Times New Roman" w:cs="Times New Roman"/>
          <w:sz w:val="24"/>
          <w:szCs w:val="24"/>
        </w:rPr>
        <w:t xml:space="preserve"> studies on relevant </w:t>
      </w:r>
      <w:proofErr w:type="spellStart"/>
      <w:r w:rsidRPr="00CF0A23">
        <w:rPr>
          <w:rFonts w:ascii="Times New Roman" w:hAnsi="Times New Roman" w:cs="Times New Roman"/>
          <w:sz w:val="24"/>
          <w:szCs w:val="24"/>
        </w:rPr>
        <w:t>pathosystems</w:t>
      </w:r>
      <w:proofErr w:type="spellEnd"/>
      <w:r w:rsidRPr="00CF0A23">
        <w:rPr>
          <w:rFonts w:ascii="Times New Roman" w:hAnsi="Times New Roman" w:cs="Times New Roman"/>
          <w:sz w:val="24"/>
          <w:szCs w:val="24"/>
        </w:rPr>
        <w:t>.</w:t>
      </w:r>
    </w:p>
    <w:p w14:paraId="2150A158" w14:textId="77777777" w:rsidR="00E7693B" w:rsidRPr="00CF0A23" w:rsidRDefault="00E7693B" w:rsidP="00CF0A23">
      <w:pPr>
        <w:spacing w:line="360" w:lineRule="auto"/>
        <w:jc w:val="both"/>
        <w:rPr>
          <w:rFonts w:ascii="Times New Roman" w:hAnsi="Times New Roman" w:cs="Times New Roman"/>
          <w:sz w:val="24"/>
          <w:szCs w:val="24"/>
        </w:rPr>
      </w:pPr>
      <w:r w:rsidRPr="00CF0A23">
        <w:rPr>
          <w:rFonts w:ascii="Times New Roman" w:hAnsi="Times New Roman" w:cs="Times New Roman"/>
          <w:sz w:val="24"/>
          <w:szCs w:val="24"/>
        </w:rPr>
        <w:br w:type="page"/>
      </w:r>
    </w:p>
    <w:p w14:paraId="2150A15B" w14:textId="77777777" w:rsidR="00E7693B" w:rsidRPr="00E7693B" w:rsidRDefault="00E7693B" w:rsidP="00EC70C2">
      <w:pPr>
        <w:pStyle w:val="Heading2"/>
      </w:pPr>
      <w:bookmarkStart w:id="65" w:name="_Toc167977632"/>
      <w:r w:rsidRPr="00E7693B">
        <w:t>Can resistance inducers alter palatability of oilseed rape for</w:t>
      </w:r>
      <w:r w:rsidRPr="00E7693B">
        <w:rPr>
          <w:i/>
        </w:rPr>
        <w:t xml:space="preserve"> </w:t>
      </w:r>
      <w:proofErr w:type="spellStart"/>
      <w:r w:rsidRPr="00E7693B">
        <w:rPr>
          <w:i/>
        </w:rPr>
        <w:t>Plutella</w:t>
      </w:r>
      <w:proofErr w:type="spellEnd"/>
      <w:r w:rsidRPr="00E7693B">
        <w:rPr>
          <w:i/>
        </w:rPr>
        <w:t xml:space="preserve"> </w:t>
      </w:r>
      <w:proofErr w:type="spellStart"/>
      <w:r w:rsidRPr="00E7693B">
        <w:rPr>
          <w:i/>
        </w:rPr>
        <w:t>xylostella</w:t>
      </w:r>
      <w:proofErr w:type="spellEnd"/>
      <w:r w:rsidRPr="00E7693B">
        <w:t xml:space="preserve"> caterpillars?</w:t>
      </w:r>
      <w:bookmarkEnd w:id="65"/>
    </w:p>
    <w:p w14:paraId="2150A15C" w14:textId="1D6CDA82" w:rsidR="00E7693B" w:rsidRPr="0074184F" w:rsidRDefault="00E7693B">
      <w:pPr>
        <w:rPr>
          <w:rFonts w:ascii="Times New Roman" w:hAnsi="Times New Roman" w:cs="Times New Roman"/>
          <w:sz w:val="24"/>
          <w:szCs w:val="24"/>
        </w:rPr>
      </w:pPr>
    </w:p>
    <w:p w14:paraId="6024150F" w14:textId="0B90CC6D" w:rsidR="00727A64" w:rsidRDefault="00727A64" w:rsidP="00EC70C2">
      <w:pPr>
        <w:pStyle w:val="Heading3"/>
      </w:pPr>
      <w:bookmarkStart w:id="66" w:name="_Toc167977633"/>
      <w:r>
        <w:t>Introduction</w:t>
      </w:r>
      <w:bookmarkEnd w:id="66"/>
    </w:p>
    <w:p w14:paraId="74B98A80" w14:textId="77777777" w:rsidR="00727A64" w:rsidRDefault="00727A64" w:rsidP="00727A64">
      <w:pPr>
        <w:rPr>
          <w:rFonts w:ascii="Times New Roman" w:hAnsi="Times New Roman" w:cs="Times New Roman"/>
          <w:sz w:val="24"/>
          <w:szCs w:val="24"/>
        </w:rPr>
      </w:pPr>
    </w:p>
    <w:p w14:paraId="0B04D4AD" w14:textId="2DA572AE" w:rsidR="00727A64" w:rsidRPr="00544143" w:rsidRDefault="0027609F" w:rsidP="0027609F">
      <w:pPr>
        <w:spacing w:after="0" w:line="360" w:lineRule="auto"/>
        <w:ind w:firstLine="720"/>
        <w:jc w:val="both"/>
        <w:rPr>
          <w:rFonts w:ascii="Times New Roman" w:hAnsi="Times New Roman" w:cs="Times New Roman"/>
          <w:sz w:val="24"/>
          <w:szCs w:val="24"/>
        </w:rPr>
      </w:pPr>
      <w:r w:rsidRPr="0027609F">
        <w:rPr>
          <w:rFonts w:ascii="Times New Roman" w:hAnsi="Times New Roman" w:cs="Times New Roman"/>
          <w:sz w:val="24"/>
          <w:szCs w:val="24"/>
        </w:rPr>
        <w:t>In modern agricultural practices, the effective management of insect herbivores poses a significant challenge, requiring sustainable and environmentally friendly solutions. Traditional methods often rely heavily on chemical pesticides, which can have adverse effects on ecosystems and human health, as well as contribute to the development of insect resistance. As a result, there has been a growing interest in alternative strategies, such as the utilization of resistance inducers in plant protection against insect herbivores. Resistance inducers are compounds or substances that trigger defen</w:t>
      </w:r>
      <w:r>
        <w:rPr>
          <w:rFonts w:ascii="Times New Roman" w:hAnsi="Times New Roman" w:cs="Times New Roman"/>
          <w:sz w:val="24"/>
          <w:szCs w:val="24"/>
        </w:rPr>
        <w:t>c</w:t>
      </w:r>
      <w:r w:rsidRPr="0027609F">
        <w:rPr>
          <w:rFonts w:ascii="Times New Roman" w:hAnsi="Times New Roman" w:cs="Times New Roman"/>
          <w:sz w:val="24"/>
          <w:szCs w:val="24"/>
        </w:rPr>
        <w:t>e mechanisms within plants, enhancing their ability to withstand herbivore attacks. By stimulating the plant</w:t>
      </w:r>
      <w:r>
        <w:rPr>
          <w:rFonts w:ascii="Times New Roman" w:hAnsi="Times New Roman" w:cs="Times New Roman"/>
          <w:sz w:val="24"/>
          <w:szCs w:val="24"/>
        </w:rPr>
        <w:t xml:space="preserve"> </w:t>
      </w:r>
      <w:r w:rsidRPr="0027609F">
        <w:rPr>
          <w:rFonts w:ascii="Times New Roman" w:hAnsi="Times New Roman" w:cs="Times New Roman"/>
          <w:sz w:val="24"/>
          <w:szCs w:val="24"/>
        </w:rPr>
        <w:t>natural defen</w:t>
      </w:r>
      <w:r>
        <w:rPr>
          <w:rFonts w:ascii="Times New Roman" w:hAnsi="Times New Roman" w:cs="Times New Roman"/>
          <w:sz w:val="24"/>
          <w:szCs w:val="24"/>
        </w:rPr>
        <w:t>c</w:t>
      </w:r>
      <w:r w:rsidRPr="0027609F">
        <w:rPr>
          <w:rFonts w:ascii="Times New Roman" w:hAnsi="Times New Roman" w:cs="Times New Roman"/>
          <w:sz w:val="24"/>
          <w:szCs w:val="24"/>
        </w:rPr>
        <w:t xml:space="preserve">e pathways, resistance inducers offer a promising </w:t>
      </w:r>
      <w:r>
        <w:rPr>
          <w:rFonts w:ascii="Times New Roman" w:hAnsi="Times New Roman" w:cs="Times New Roman"/>
          <w:sz w:val="24"/>
          <w:szCs w:val="24"/>
        </w:rPr>
        <w:t>strategy</w:t>
      </w:r>
      <w:r w:rsidRPr="0027609F">
        <w:rPr>
          <w:rFonts w:ascii="Times New Roman" w:hAnsi="Times New Roman" w:cs="Times New Roman"/>
          <w:sz w:val="24"/>
          <w:szCs w:val="24"/>
        </w:rPr>
        <w:t xml:space="preserve"> for reducing reliance on chemical pesticides while promoting sustainable pest management practices. </w:t>
      </w:r>
      <w:r w:rsidR="0029216B">
        <w:rPr>
          <w:rFonts w:ascii="Times New Roman" w:hAnsi="Times New Roman" w:cs="Times New Roman"/>
          <w:sz w:val="24"/>
          <w:szCs w:val="24"/>
        </w:rPr>
        <w:t xml:space="preserve">Benzothiadiazole (BTH) functions by activating </w:t>
      </w:r>
      <w:r w:rsidR="005F05C6">
        <w:rPr>
          <w:rFonts w:ascii="Times New Roman" w:hAnsi="Times New Roman" w:cs="Times New Roman"/>
          <w:sz w:val="24"/>
          <w:szCs w:val="24"/>
        </w:rPr>
        <w:t xml:space="preserve">the </w:t>
      </w:r>
      <w:r w:rsidR="0029216B">
        <w:rPr>
          <w:rFonts w:ascii="Times New Roman" w:hAnsi="Times New Roman" w:cs="Times New Roman"/>
          <w:sz w:val="24"/>
          <w:szCs w:val="24"/>
        </w:rPr>
        <w:t xml:space="preserve">SA </w:t>
      </w:r>
      <w:proofErr w:type="spellStart"/>
      <w:r w:rsidR="0029216B">
        <w:rPr>
          <w:rFonts w:ascii="Times New Roman" w:hAnsi="Times New Roman" w:cs="Times New Roman"/>
          <w:sz w:val="24"/>
          <w:szCs w:val="24"/>
        </w:rPr>
        <w:t>signaling</w:t>
      </w:r>
      <w:proofErr w:type="spellEnd"/>
      <w:r w:rsidR="0029216B">
        <w:rPr>
          <w:rFonts w:ascii="Times New Roman" w:hAnsi="Times New Roman" w:cs="Times New Roman"/>
          <w:sz w:val="24"/>
          <w:szCs w:val="24"/>
        </w:rPr>
        <w:t xml:space="preserve"> pathway</w:t>
      </w:r>
      <w:r w:rsidR="00304C29">
        <w:rPr>
          <w:rFonts w:ascii="Times New Roman" w:hAnsi="Times New Roman" w:cs="Times New Roman"/>
          <w:sz w:val="24"/>
          <w:szCs w:val="24"/>
        </w:rPr>
        <w:t xml:space="preserve"> </w:t>
      </w:r>
      <w:r w:rsidR="00304C29">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{"citationID":"IrFOUFNF","properties":{"formattedCitation":"(Blanco et al., 2009)","plainCitation":"(Blanco et al., 2009)","noteIndex":0},"citationItems":[{"id":657,"uris":["http://zotero.org/users/10895598/items/I9UFYBGZ"],"itemData":{"id":657,"type":"article-journal","container-title":"Plant Molecular Biology","DOI":"10.1007/s11103-009-9458-1","ISSN":"0167-4412, 1573-5028","issue":"1-2","journalAbbreviation":"Plant Mol Biol","language":"en","page":"79-102","source":"DOI.org (Crossref)","title":"Early genomic responses to salicylic acid in Arabidopsis","volume":"70","author":[{"family":"Blanco","given":"Francisca"},{"family":"Salinas","given":"Paula"},{"family":"Cecchini","given":"Nicolás M."},{"family":"Jordana","given":"Xavier"},{"family":"Van Hummelen","given":"Paul"},{"family":"Alvarez","given":"María Elena"},{"family":"Holuigue","given":"Loreto"}],"issued":{"date-parts":[["2009",5]]}}}],"schema":"https://github.com/citation-style-language/schema/raw/master/csl-citation.json"} </w:instrText>
      </w:r>
      <w:r w:rsidR="00304C29">
        <w:rPr>
          <w:rFonts w:ascii="Times New Roman" w:hAnsi="Times New Roman" w:cs="Times New Roman"/>
          <w:sz w:val="24"/>
          <w:szCs w:val="24"/>
        </w:rPr>
        <w:fldChar w:fldCharType="separate"/>
      </w:r>
      <w:r w:rsidR="00304C29" w:rsidRPr="00304C29">
        <w:rPr>
          <w:rFonts w:ascii="Times New Roman" w:hAnsi="Times New Roman" w:cs="Times New Roman"/>
          <w:sz w:val="24"/>
        </w:rPr>
        <w:t>(Blanco et al., 2009)</w:t>
      </w:r>
      <w:r w:rsidR="00304C29">
        <w:rPr>
          <w:rFonts w:ascii="Times New Roman" w:hAnsi="Times New Roman" w:cs="Times New Roman"/>
          <w:sz w:val="24"/>
          <w:szCs w:val="24"/>
        </w:rPr>
        <w:fldChar w:fldCharType="end"/>
      </w:r>
      <w:r w:rsidR="0029216B">
        <w:rPr>
          <w:rFonts w:ascii="Times New Roman" w:hAnsi="Times New Roman" w:cs="Times New Roman"/>
          <w:sz w:val="24"/>
          <w:szCs w:val="24"/>
        </w:rPr>
        <w:t xml:space="preserve">, whereas </w:t>
      </w:r>
      <w:proofErr w:type="spellStart"/>
      <w:r w:rsidR="0029216B">
        <w:rPr>
          <w:rFonts w:ascii="Times New Roman" w:hAnsi="Times New Roman" w:cs="Times New Roman"/>
          <w:sz w:val="24"/>
          <w:szCs w:val="24"/>
        </w:rPr>
        <w:t>ulvan</w:t>
      </w:r>
      <w:proofErr w:type="spellEnd"/>
      <w:r w:rsidR="0029216B">
        <w:rPr>
          <w:rFonts w:ascii="Times New Roman" w:hAnsi="Times New Roman" w:cs="Times New Roman"/>
          <w:sz w:val="24"/>
          <w:szCs w:val="24"/>
        </w:rPr>
        <w:t xml:space="preserve"> has been demonstrated to elicit plant defences through JA pathway</w:t>
      </w:r>
      <w:r w:rsidR="00304C29">
        <w:rPr>
          <w:rFonts w:ascii="Times New Roman" w:hAnsi="Times New Roman" w:cs="Times New Roman"/>
          <w:sz w:val="24"/>
          <w:szCs w:val="24"/>
        </w:rPr>
        <w:t xml:space="preserve"> </w:t>
      </w:r>
      <w:r w:rsidR="00304C29">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{"citationID":"824VpjDy","properties":{"formattedCitation":"(P\\uc0\\u345{}erovsk\\uc0\\u225{} et al., 2022)","plainCitation":"(Přerovská et al., 2022)","noteIndex":0},"citationItems":[{"id":669,"uris":["http://zotero.org/users/10895598/items/9HZI6LW4"],"itemData":{"id":669,"type":"article-journal","abstract":"Natural compounds isolated from macroalgae are promising, ecofriendly, and multifunctional bioinoculants, which have been tested and used in agriculture. Ulvans, for instance, one of the major polysaccharides present in\n              Ulva\n              spp. cell walls, have been tested for their plant growth-promoting properties as well as their ability to activate plant immune defense, on a large variety of crops. Recently, we have characterized for the first time an arabinogalactan protein-like (AGP-like) from\n              Ulva lactuca\n              , which exhibits several features associated to land plant AGPs. In land plant, AGPs were shown to play a role in several plant biological functions, including cell morphogenesis, reproduction, and plant-microbe interactions. Thus, isolated AGP-like proteins may be good candidates for either the plant growth-promoting properties or the activation of plant immune defense. Here, we have isolated an AGP-like enriched fraction from\n              Ulva lactuca\n              and we have evaluated its ability to (i) protect oilseed rape (\n              Brassica napus\n              ) cotyledons against\n              Leptosphaeria maculans\n              , and (ii) its ability to activate immune responses. Preventive application of the\n              Ulva\n              AGP-like enriched fraction on oilseed rape, followed by cotyledon inoculation with the fungal hemibiotroph\n              L. maculans\n              , resulted in a major reduction of infection propagation. The noticed reduction correlated with an accumulation of H\n              2\n              O\n              2\n              in treated cotyledons and with the activation of SA and ET signaling pathways in oilseed rape cotyledons. In parallel, an ulvan was also isolated from\n              Ulva lactuca\n              . Preventive application of ulvan also enhanced plant resistance against\n              L. maculans\n              . Surprisingly, reduction of infection severity was only observed at high concentration of ulvan. Here, no such significant changes in gene expression and H\n              2\n              O\n              2\n              production were observed. Together, this study indicates that\n              U. lactuca\n              AGP-like glycoproteins exhibit promising elicitor activity and that plant eliciting properties of\n              Ulva\n              extract, might result not only from an ulvan-originated eliciting activities, but also AGP-like originated.","container-title":"Frontiers in Plant Science","DOI":"10.3389/fpls.2022.893858","ISSN":"1664-462X","journalAbbreviation":"Front. Plant Sci.","page":"893858","source":"DOI.org (Crossref)","title":"Arabinogalactan protein-like proteins from &lt;i&gt;Ulva lactuca&lt;/i&gt; activate immune responses and plant resistance in an oilseed crop","volume":"13","author":[{"family":"Přerovská","given":"Tereza"},{"family":"Jindřichová","given":"Barbora"},{"family":"Henke","given":"Svatopluk"},{"family":"Yvin","given":"Jean-Claude"},{"family":"Ferrieres","given":"Vincent"},{"family":"Burketová","given":"Lenka"},{"family":"Lipovová","given":"Petra"},{"family":"Nguema-Ona","given":"Eric"}],"issued":{"date-parts":[["2022",5,20]]}}}],"schema":"https://github.com/citation-style-language/schema/raw/master/csl-citation.json"} </w:instrText>
      </w:r>
      <w:r w:rsidR="00304C29">
        <w:rPr>
          <w:rFonts w:ascii="Times New Roman" w:hAnsi="Times New Roman" w:cs="Times New Roman"/>
          <w:sz w:val="24"/>
          <w:szCs w:val="24"/>
        </w:rPr>
        <w:fldChar w:fldCharType="separate"/>
      </w:r>
      <w:r w:rsidR="00304C29" w:rsidRPr="00304C29">
        <w:rPr>
          <w:rFonts w:ascii="Times New Roman" w:hAnsi="Times New Roman" w:cs="Times New Roman"/>
          <w:sz w:val="24"/>
          <w:szCs w:val="24"/>
        </w:rPr>
        <w:t>(Přerovská et al., 2022)</w:t>
      </w:r>
      <w:r w:rsidR="00304C29">
        <w:rPr>
          <w:rFonts w:ascii="Times New Roman" w:hAnsi="Times New Roman" w:cs="Times New Roman"/>
          <w:sz w:val="24"/>
          <w:szCs w:val="24"/>
        </w:rPr>
        <w:fldChar w:fldCharType="end"/>
      </w:r>
      <w:r w:rsidR="00544143">
        <w:rPr>
          <w:rFonts w:ascii="Times New Roman" w:hAnsi="Times New Roman" w:cs="Times New Roman"/>
          <w:sz w:val="24"/>
          <w:szCs w:val="24"/>
        </w:rPr>
        <w:t xml:space="preserve">. </w:t>
      </w:r>
      <w:r w:rsidR="00544143" w:rsidRPr="00544143">
        <w:rPr>
          <w:rFonts w:ascii="Times New Roman" w:hAnsi="Times New Roman" w:cs="Times New Roman"/>
          <w:sz w:val="24"/>
          <w:szCs w:val="24"/>
        </w:rPr>
        <w:t xml:space="preserve">Hence, based on this dichotomy in their modes of action, I </w:t>
      </w:r>
      <w:r w:rsidR="00544143">
        <w:rPr>
          <w:rFonts w:ascii="Times New Roman" w:hAnsi="Times New Roman" w:cs="Times New Roman"/>
          <w:sz w:val="24"/>
          <w:szCs w:val="24"/>
        </w:rPr>
        <w:t xml:space="preserve">hypothesized </w:t>
      </w:r>
      <w:r w:rsidR="00544143" w:rsidRPr="00544143">
        <w:rPr>
          <w:rFonts w:ascii="Times New Roman" w:hAnsi="Times New Roman" w:cs="Times New Roman"/>
          <w:sz w:val="24"/>
          <w:szCs w:val="24"/>
        </w:rPr>
        <w:t xml:space="preserve">that </w:t>
      </w:r>
      <w:r w:rsidR="00181A78">
        <w:rPr>
          <w:rFonts w:ascii="Times New Roman" w:hAnsi="Times New Roman" w:cs="Times New Roman"/>
          <w:sz w:val="24"/>
          <w:szCs w:val="24"/>
        </w:rPr>
        <w:t xml:space="preserve">BTH and/or </w:t>
      </w:r>
      <w:proofErr w:type="spellStart"/>
      <w:r w:rsidR="00181A78">
        <w:rPr>
          <w:rFonts w:ascii="Times New Roman" w:hAnsi="Times New Roman" w:cs="Times New Roman"/>
          <w:sz w:val="24"/>
          <w:szCs w:val="24"/>
        </w:rPr>
        <w:t>ulvan</w:t>
      </w:r>
      <w:proofErr w:type="spellEnd"/>
      <w:r w:rsidR="00544143" w:rsidRPr="00544143">
        <w:rPr>
          <w:rFonts w:ascii="Times New Roman" w:hAnsi="Times New Roman" w:cs="Times New Roman"/>
          <w:sz w:val="24"/>
          <w:szCs w:val="24"/>
        </w:rPr>
        <w:t xml:space="preserve"> would influence the feeding preferences of the </w:t>
      </w:r>
      <w:r w:rsidR="00D24C5A">
        <w:rPr>
          <w:rFonts w:ascii="Times New Roman" w:hAnsi="Times New Roman" w:cs="Times New Roman"/>
          <w:sz w:val="24"/>
          <w:szCs w:val="24"/>
        </w:rPr>
        <w:t xml:space="preserve">destructive </w:t>
      </w:r>
      <w:r w:rsidR="00544143" w:rsidRPr="00544143">
        <w:rPr>
          <w:rFonts w:ascii="Times New Roman" w:hAnsi="Times New Roman" w:cs="Times New Roman"/>
          <w:sz w:val="24"/>
          <w:szCs w:val="24"/>
        </w:rPr>
        <w:t xml:space="preserve">insect herbivore </w:t>
      </w:r>
      <w:r w:rsidR="00544143">
        <w:rPr>
          <w:rFonts w:ascii="Times New Roman" w:hAnsi="Times New Roman" w:cs="Times New Roman"/>
          <w:i/>
          <w:iCs/>
          <w:sz w:val="24"/>
          <w:szCs w:val="24"/>
        </w:rPr>
        <w:t xml:space="preserve">P. </w:t>
      </w:r>
      <w:proofErr w:type="spellStart"/>
      <w:r w:rsidR="00544143">
        <w:rPr>
          <w:rFonts w:ascii="Times New Roman" w:hAnsi="Times New Roman" w:cs="Times New Roman"/>
          <w:i/>
          <w:iCs/>
          <w:sz w:val="24"/>
          <w:szCs w:val="24"/>
        </w:rPr>
        <w:t>xylostella</w:t>
      </w:r>
      <w:proofErr w:type="spellEnd"/>
      <w:r w:rsidR="00D24C5A">
        <w:rPr>
          <w:rFonts w:ascii="Times New Roman" w:hAnsi="Times New Roman" w:cs="Times New Roman"/>
          <w:i/>
          <w:iCs/>
          <w:sz w:val="24"/>
          <w:szCs w:val="24"/>
        </w:rPr>
        <w:t xml:space="preserve"> </w:t>
      </w:r>
      <w:r w:rsidR="00D24C5A">
        <w:rPr>
          <w:rFonts w:ascii="Times New Roman" w:hAnsi="Times New Roman" w:cs="Times New Roman"/>
          <w:iCs/>
          <w:sz w:val="24"/>
          <w:szCs w:val="24"/>
        </w:rPr>
        <w:t>in oilseed rape</w:t>
      </w:r>
      <w:r w:rsidR="00544143">
        <w:rPr>
          <w:rFonts w:ascii="Times New Roman" w:hAnsi="Times New Roman" w:cs="Times New Roman"/>
          <w:sz w:val="24"/>
          <w:szCs w:val="24"/>
        </w:rPr>
        <w:t xml:space="preserve">. </w:t>
      </w:r>
      <w:r w:rsidR="00E775F0">
        <w:rPr>
          <w:rFonts w:ascii="Times New Roman" w:hAnsi="Times New Roman" w:cs="Times New Roman"/>
          <w:sz w:val="24"/>
          <w:szCs w:val="24"/>
        </w:rPr>
        <w:t xml:space="preserve">To </w:t>
      </w:r>
      <w:r w:rsidR="00D54807">
        <w:rPr>
          <w:rFonts w:ascii="Times New Roman" w:hAnsi="Times New Roman" w:cs="Times New Roman"/>
          <w:sz w:val="24"/>
          <w:szCs w:val="24"/>
        </w:rPr>
        <w:t>investigate</w:t>
      </w:r>
      <w:r w:rsidR="00E775F0">
        <w:rPr>
          <w:rFonts w:ascii="Times New Roman" w:hAnsi="Times New Roman" w:cs="Times New Roman"/>
          <w:sz w:val="24"/>
          <w:szCs w:val="24"/>
        </w:rPr>
        <w:t xml:space="preserve"> this hypothesis, </w:t>
      </w:r>
      <w:r w:rsidR="00D54807">
        <w:rPr>
          <w:rFonts w:ascii="Times New Roman" w:hAnsi="Times New Roman" w:cs="Times New Roman"/>
          <w:sz w:val="24"/>
          <w:szCs w:val="24"/>
        </w:rPr>
        <w:t>a series of</w:t>
      </w:r>
      <w:r w:rsidR="00E775F0">
        <w:rPr>
          <w:rFonts w:ascii="Times New Roman" w:hAnsi="Times New Roman" w:cs="Times New Roman"/>
          <w:sz w:val="24"/>
          <w:szCs w:val="24"/>
        </w:rPr>
        <w:t xml:space="preserve"> choice test experiments were </w:t>
      </w:r>
      <w:r w:rsidR="00D54807">
        <w:rPr>
          <w:rFonts w:ascii="Times New Roman" w:hAnsi="Times New Roman" w:cs="Times New Roman"/>
          <w:sz w:val="24"/>
          <w:szCs w:val="24"/>
        </w:rPr>
        <w:t>primarily conducted</w:t>
      </w:r>
      <w:r w:rsidR="00E775F0">
        <w:rPr>
          <w:rFonts w:ascii="Times New Roman" w:hAnsi="Times New Roman" w:cs="Times New Roman"/>
          <w:sz w:val="24"/>
          <w:szCs w:val="24"/>
        </w:rPr>
        <w:t>.</w:t>
      </w:r>
    </w:p>
    <w:p w14:paraId="3D7A79E7" w14:textId="77777777" w:rsidR="0027609F" w:rsidRPr="00727A64" w:rsidRDefault="0027609F" w:rsidP="0027609F">
      <w:pPr>
        <w:spacing w:after="0" w:line="360" w:lineRule="auto"/>
        <w:jc w:val="both"/>
        <w:rPr>
          <w:rFonts w:ascii="Times New Roman" w:hAnsi="Times New Roman" w:cs="Times New Roman"/>
          <w:sz w:val="24"/>
          <w:szCs w:val="24"/>
        </w:rPr>
      </w:pPr>
    </w:p>
    <w:p w14:paraId="2150A15D" w14:textId="55D17937" w:rsidR="00E7693B" w:rsidRPr="00E7693B" w:rsidRDefault="00E7693B" w:rsidP="00EC70C2">
      <w:pPr>
        <w:pStyle w:val="Heading3"/>
      </w:pPr>
      <w:bookmarkStart w:id="67" w:name="_Toc167977634"/>
      <w:r w:rsidRPr="00E7693B">
        <w:t>Experimental design</w:t>
      </w:r>
      <w:bookmarkEnd w:id="67"/>
    </w:p>
    <w:p w14:paraId="2150A15E" w14:textId="77777777" w:rsidR="00E7693B" w:rsidRPr="00CF0A23" w:rsidRDefault="00E7693B" w:rsidP="00CF0A23">
      <w:pPr>
        <w:spacing w:after="0" w:line="360" w:lineRule="auto"/>
        <w:jc w:val="both"/>
        <w:rPr>
          <w:rFonts w:ascii="Times New Roman" w:hAnsi="Times New Roman" w:cs="Times New Roman"/>
          <w:color w:val="000000"/>
          <w:sz w:val="24"/>
          <w:szCs w:val="24"/>
        </w:rPr>
      </w:pPr>
    </w:p>
    <w:p w14:paraId="2150A15F" w14:textId="49771F23" w:rsidR="00E7693B" w:rsidRPr="00CF0A23" w:rsidRDefault="00E7693B" w:rsidP="00CF0A23">
      <w:pPr>
        <w:spacing w:after="0" w:line="360" w:lineRule="auto"/>
        <w:ind w:firstLine="432"/>
        <w:jc w:val="both"/>
        <w:rPr>
          <w:rFonts w:ascii="Times New Roman" w:hAnsi="Times New Roman" w:cs="Times New Roman"/>
          <w:sz w:val="24"/>
          <w:szCs w:val="24"/>
        </w:rPr>
      </w:pPr>
      <w:r w:rsidRPr="00CF0A23">
        <w:rPr>
          <w:rFonts w:ascii="Times New Roman" w:hAnsi="Times New Roman" w:cs="Times New Roman"/>
          <w:sz w:val="24"/>
          <w:szCs w:val="24"/>
        </w:rPr>
        <w:t xml:space="preserve">To investigate the behaviour of </w:t>
      </w:r>
      <w:r w:rsidR="00A023DC">
        <w:rPr>
          <w:rFonts w:ascii="Times New Roman" w:hAnsi="Times New Roman" w:cs="Times New Roman"/>
          <w:sz w:val="24"/>
          <w:szCs w:val="24"/>
        </w:rPr>
        <w:t xml:space="preserve">the </w:t>
      </w:r>
      <w:r w:rsidRPr="00CF0A23">
        <w:rPr>
          <w:rFonts w:ascii="Times New Roman" w:hAnsi="Times New Roman" w:cs="Times New Roman"/>
          <w:sz w:val="24"/>
          <w:szCs w:val="24"/>
        </w:rPr>
        <w:t xml:space="preserve">plant elicitor BTH in oilseed rape, cotyledons were infiltrated by syringe with 32 µM of BTH solution. Subsequently, 24 h after treatment, infiltrated cotyledons and systemic true leaves were used for </w:t>
      </w:r>
      <w:r w:rsidRPr="00CF0A23">
        <w:rPr>
          <w:rFonts w:ascii="Times New Roman" w:hAnsi="Times New Roman" w:cs="Times New Roman"/>
          <w:i/>
          <w:sz w:val="24"/>
          <w:szCs w:val="24"/>
        </w:rPr>
        <w:t>PR1</w:t>
      </w:r>
      <w:r w:rsidRPr="00CF0A23">
        <w:rPr>
          <w:rFonts w:ascii="Times New Roman" w:hAnsi="Times New Roman" w:cs="Times New Roman"/>
          <w:sz w:val="24"/>
          <w:szCs w:val="24"/>
        </w:rPr>
        <w:t xml:space="preserve"> gene transcription analysis to verify whether the signal was transferred to other parts of the plant. Systemic true leaves were then used for choice tests with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caterpillars. Water-infiltrated cotyledons and systemic true leaves were used as control. Vacuum infiltration of detached leaves with BTH solution (32 µM) was also performed, in order to test the direct effect of the compound on caterpillar preference.</w:t>
      </w:r>
    </w:p>
    <w:p w14:paraId="2150A160" w14:textId="79F252DC" w:rsidR="00E7693B" w:rsidRPr="00CF0A23" w:rsidRDefault="00E7693B" w:rsidP="00CF0A23">
      <w:pPr>
        <w:spacing w:after="0" w:line="360" w:lineRule="auto"/>
        <w:ind w:firstLine="432"/>
        <w:jc w:val="both"/>
        <w:rPr>
          <w:rFonts w:ascii="Times New Roman" w:hAnsi="Times New Roman" w:cs="Times New Roman"/>
          <w:sz w:val="24"/>
          <w:szCs w:val="24"/>
        </w:rPr>
      </w:pPr>
      <w:r w:rsidRPr="00CF0A23">
        <w:rPr>
          <w:rFonts w:ascii="Times New Roman" w:hAnsi="Times New Roman" w:cs="Times New Roman"/>
          <w:sz w:val="24"/>
          <w:szCs w:val="24"/>
        </w:rPr>
        <w:t>Ulvan solution (1 mg ml</w:t>
      </w:r>
      <w:r w:rsidRPr="00CF0A23">
        <w:rPr>
          <w:rFonts w:ascii="Times New Roman" w:hAnsi="Times New Roman" w:cs="Times New Roman"/>
          <w:sz w:val="24"/>
          <w:szCs w:val="24"/>
          <w:vertAlign w:val="superscript"/>
        </w:rPr>
        <w:t>-1</w:t>
      </w:r>
      <w:r w:rsidRPr="00CF0A23">
        <w:rPr>
          <w:rFonts w:ascii="Times New Roman" w:hAnsi="Times New Roman" w:cs="Times New Roman"/>
          <w:sz w:val="24"/>
          <w:szCs w:val="24"/>
        </w:rPr>
        <w:t>) was sprayed evenly on attached plants of oilseed rape, and 48</w:t>
      </w:r>
      <w:r w:rsidR="00A023DC">
        <w:rPr>
          <w:rFonts w:ascii="Times New Roman" w:hAnsi="Times New Roman" w:cs="Times New Roman"/>
          <w:sz w:val="24"/>
          <w:szCs w:val="24"/>
        </w:rPr>
        <w:t xml:space="preserve"> </w:t>
      </w:r>
      <w:r w:rsidRPr="00CF0A23">
        <w:rPr>
          <w:rFonts w:ascii="Times New Roman" w:hAnsi="Times New Roman" w:cs="Times New Roman"/>
          <w:sz w:val="24"/>
          <w:szCs w:val="24"/>
        </w:rPr>
        <w:t xml:space="preserve">h after detached leaves were used for choice tests with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caterpillars. Water-sprayed leaves were used as control.</w:t>
      </w:r>
    </w:p>
    <w:p w14:paraId="2150A161" w14:textId="6771ECEE" w:rsidR="00E7693B" w:rsidRPr="00CF0A23" w:rsidRDefault="00E7693B" w:rsidP="00CF0A23">
      <w:pPr>
        <w:spacing w:after="0" w:line="360" w:lineRule="auto"/>
        <w:ind w:firstLine="432"/>
        <w:jc w:val="both"/>
        <w:rPr>
          <w:rFonts w:ascii="Times New Roman" w:hAnsi="Times New Roman" w:cs="Times New Roman"/>
          <w:sz w:val="24"/>
          <w:szCs w:val="24"/>
        </w:rPr>
      </w:pPr>
      <w:r w:rsidRPr="00CF0A23">
        <w:rPr>
          <w:rFonts w:ascii="Times New Roman" w:hAnsi="Times New Roman" w:cs="Times New Roman"/>
          <w:color w:val="000000"/>
          <w:sz w:val="24"/>
          <w:szCs w:val="24"/>
        </w:rPr>
        <w:t xml:space="preserve">To determine the preference of </w:t>
      </w:r>
      <w:r w:rsidRPr="00CF0A23">
        <w:rPr>
          <w:rFonts w:ascii="Times New Roman" w:hAnsi="Times New Roman" w:cs="Times New Roman"/>
          <w:i/>
          <w:color w:val="000000"/>
          <w:sz w:val="24"/>
          <w:szCs w:val="24"/>
        </w:rPr>
        <w:t xml:space="preserve">P. </w:t>
      </w:r>
      <w:proofErr w:type="spellStart"/>
      <w:r w:rsidRPr="00CF0A23">
        <w:rPr>
          <w:rFonts w:ascii="Times New Roman" w:hAnsi="Times New Roman" w:cs="Times New Roman"/>
          <w:i/>
          <w:color w:val="000000"/>
          <w:sz w:val="24"/>
          <w:szCs w:val="24"/>
        </w:rPr>
        <w:t>xylostella</w:t>
      </w:r>
      <w:proofErr w:type="spellEnd"/>
      <w:r w:rsidRPr="00CF0A23">
        <w:rPr>
          <w:rFonts w:ascii="Times New Roman" w:hAnsi="Times New Roman" w:cs="Times New Roman"/>
          <w:color w:val="000000"/>
          <w:sz w:val="24"/>
          <w:szCs w:val="24"/>
        </w:rPr>
        <w:t xml:space="preserve"> caterpillars for different leaf treatments, </w:t>
      </w:r>
      <w:r w:rsidR="005F05C6">
        <w:rPr>
          <w:rFonts w:ascii="Times New Roman" w:hAnsi="Times New Roman" w:cs="Times New Roman"/>
          <w:color w:val="000000"/>
          <w:sz w:val="24"/>
          <w:szCs w:val="24"/>
        </w:rPr>
        <w:t xml:space="preserve">a </w:t>
      </w:r>
      <w:r w:rsidRPr="00CF0A23">
        <w:rPr>
          <w:rFonts w:ascii="Times New Roman" w:hAnsi="Times New Roman" w:cs="Times New Roman"/>
          <w:color w:val="000000"/>
          <w:sz w:val="24"/>
          <w:szCs w:val="24"/>
        </w:rPr>
        <w:t xml:space="preserve">feeding choice test was performed on detached systemic </w:t>
      </w:r>
      <w:r w:rsidR="00586832">
        <w:rPr>
          <w:rFonts w:ascii="Times New Roman" w:hAnsi="Times New Roman" w:cs="Times New Roman"/>
          <w:color w:val="000000"/>
          <w:sz w:val="24"/>
          <w:szCs w:val="24"/>
        </w:rPr>
        <w:t xml:space="preserve">true </w:t>
      </w:r>
      <w:r w:rsidRPr="00CF0A23">
        <w:rPr>
          <w:rFonts w:ascii="Times New Roman" w:hAnsi="Times New Roman" w:cs="Times New Roman"/>
          <w:color w:val="000000"/>
          <w:sz w:val="24"/>
          <w:szCs w:val="24"/>
        </w:rPr>
        <w:t xml:space="preserve">leaves of oilseed rape 24 h after the cotyledon treatment and 24 h after the vacuum leaf infiltration with BTH, and 48 h after </w:t>
      </w:r>
      <w:proofErr w:type="spellStart"/>
      <w:r w:rsidRPr="00CF0A23">
        <w:rPr>
          <w:rFonts w:ascii="Times New Roman" w:hAnsi="Times New Roman" w:cs="Times New Roman"/>
          <w:color w:val="000000"/>
          <w:sz w:val="24"/>
          <w:szCs w:val="24"/>
        </w:rPr>
        <w:t>ulvan</w:t>
      </w:r>
      <w:proofErr w:type="spellEnd"/>
      <w:r w:rsidRPr="00CF0A23">
        <w:rPr>
          <w:rFonts w:ascii="Times New Roman" w:hAnsi="Times New Roman" w:cs="Times New Roman"/>
          <w:color w:val="000000"/>
          <w:sz w:val="24"/>
          <w:szCs w:val="24"/>
        </w:rPr>
        <w:t xml:space="preserve"> spraying; with one leaf placed in each vial. </w:t>
      </w:r>
      <w:r w:rsidRPr="00CF0A23">
        <w:rPr>
          <w:rFonts w:ascii="Times New Roman" w:hAnsi="Times New Roman" w:cs="Times New Roman"/>
          <w:sz w:val="24"/>
          <w:szCs w:val="24"/>
        </w:rPr>
        <w:t>Three third-instar caterpillars were starv</w:t>
      </w:r>
      <w:r w:rsidR="005F05C6">
        <w:rPr>
          <w:rFonts w:ascii="Times New Roman" w:hAnsi="Times New Roman" w:cs="Times New Roman"/>
          <w:sz w:val="24"/>
          <w:szCs w:val="24"/>
        </w:rPr>
        <w:t>ed</w:t>
      </w:r>
      <w:r w:rsidRPr="00CF0A23">
        <w:rPr>
          <w:rFonts w:ascii="Times New Roman" w:hAnsi="Times New Roman" w:cs="Times New Roman"/>
          <w:sz w:val="24"/>
          <w:szCs w:val="24"/>
        </w:rPr>
        <w:t xml:space="preserve"> for 3</w:t>
      </w:r>
      <w:r w:rsidR="00C81FBA">
        <w:rPr>
          <w:rFonts w:ascii="Times New Roman" w:hAnsi="Times New Roman" w:cs="Times New Roman"/>
          <w:sz w:val="24"/>
          <w:szCs w:val="24"/>
        </w:rPr>
        <w:t xml:space="preserve"> </w:t>
      </w:r>
      <w:r w:rsidRPr="00CF0A23">
        <w:rPr>
          <w:rFonts w:ascii="Times New Roman" w:hAnsi="Times New Roman" w:cs="Times New Roman"/>
          <w:sz w:val="24"/>
          <w:szCs w:val="24"/>
        </w:rPr>
        <w:t xml:space="preserve">h in a separate plastic container before being transferred to the T-tube using a fine paintbrush. T-tube connected vials were randomly placed in a controlled environment under the same conditions as plants used for experiments were growing. During the next 48 h, caterpillars could choose the vial and feed on the leaf within, and switch from one vial to another. After 48 h of exposure to herbivory, leaves were scanned and the percentage of the leaf area consumed by larvae was evaluated using </w:t>
      </w:r>
      <w:proofErr w:type="spellStart"/>
      <w:r w:rsidRPr="00CF0A23">
        <w:rPr>
          <w:rFonts w:ascii="Times New Roman" w:hAnsi="Times New Roman" w:cs="Times New Roman"/>
          <w:sz w:val="24"/>
          <w:szCs w:val="24"/>
        </w:rPr>
        <w:t>BioLeaf</w:t>
      </w:r>
      <w:proofErr w:type="spellEnd"/>
      <w:r w:rsidRPr="00CF0A23">
        <w:rPr>
          <w:rFonts w:ascii="Times New Roman" w:hAnsi="Times New Roman" w:cs="Times New Roman"/>
          <w:sz w:val="24"/>
          <w:szCs w:val="24"/>
        </w:rPr>
        <w:t xml:space="preserve"> (Machado et al., 2016).</w:t>
      </w:r>
    </w:p>
    <w:p w14:paraId="2150A162" w14:textId="77777777" w:rsidR="00E7693B" w:rsidRPr="00CF0A23" w:rsidRDefault="00E7693B" w:rsidP="00CF0A23">
      <w:pPr>
        <w:spacing w:after="0" w:line="360" w:lineRule="auto"/>
        <w:ind w:firstLine="432"/>
        <w:jc w:val="both"/>
        <w:rPr>
          <w:rFonts w:ascii="Times New Roman" w:hAnsi="Times New Roman" w:cs="Times New Roman"/>
          <w:sz w:val="24"/>
          <w:szCs w:val="24"/>
        </w:rPr>
      </w:pPr>
      <w:r w:rsidRPr="00CF0A23">
        <w:rPr>
          <w:rFonts w:ascii="Times New Roman" w:hAnsi="Times New Roman" w:cs="Times New Roman"/>
          <w:sz w:val="24"/>
          <w:szCs w:val="24"/>
        </w:rPr>
        <w:t>At least three separate experiments, with approximately ten replicates per treatment (control vs. BTH/</w:t>
      </w:r>
      <w:proofErr w:type="spellStart"/>
      <w:r w:rsidRPr="00CF0A23">
        <w:rPr>
          <w:rFonts w:ascii="Times New Roman" w:hAnsi="Times New Roman" w:cs="Times New Roman"/>
          <w:sz w:val="24"/>
          <w:szCs w:val="24"/>
        </w:rPr>
        <w:t>ulvan</w:t>
      </w:r>
      <w:proofErr w:type="spellEnd"/>
      <w:r w:rsidRPr="00CF0A23">
        <w:rPr>
          <w:rFonts w:ascii="Times New Roman" w:hAnsi="Times New Roman" w:cs="Times New Roman"/>
          <w:sz w:val="24"/>
          <w:szCs w:val="24"/>
        </w:rPr>
        <w:t>-treated leaf) within each biological repetition were performed. For the gene transcription analysis one leaf was placed in the individual non-connected plastic vial, and the samples were collected 24 and 48 h post infestation (</w:t>
      </w:r>
      <w:proofErr w:type="spellStart"/>
      <w:r w:rsidRPr="00CF0A23">
        <w:rPr>
          <w:rFonts w:ascii="Times New Roman" w:hAnsi="Times New Roman" w:cs="Times New Roman"/>
          <w:sz w:val="24"/>
          <w:szCs w:val="24"/>
        </w:rPr>
        <w:t>hpi</w:t>
      </w:r>
      <w:proofErr w:type="spellEnd"/>
      <w:r w:rsidRPr="00CF0A23">
        <w:rPr>
          <w:rFonts w:ascii="Times New Roman" w:hAnsi="Times New Roman" w:cs="Times New Roman"/>
          <w:sz w:val="24"/>
          <w:szCs w:val="24"/>
        </w:rPr>
        <w:t>).</w:t>
      </w:r>
    </w:p>
    <w:p w14:paraId="2150A163" w14:textId="77777777" w:rsidR="00E7693B" w:rsidRPr="00CF0A23" w:rsidRDefault="00E7693B" w:rsidP="00CF0A23">
      <w:pPr>
        <w:spacing w:after="0"/>
        <w:rPr>
          <w:rFonts w:ascii="Times New Roman" w:hAnsi="Times New Roman" w:cs="Times New Roman"/>
          <w:sz w:val="24"/>
          <w:szCs w:val="24"/>
        </w:rPr>
      </w:pPr>
    </w:p>
    <w:p w14:paraId="2150A164" w14:textId="77777777" w:rsidR="00E7693B" w:rsidRPr="00E7693B" w:rsidRDefault="00E7693B" w:rsidP="00EC70C2">
      <w:pPr>
        <w:pStyle w:val="Heading3"/>
      </w:pPr>
      <w:bookmarkStart w:id="68" w:name="_Toc167977635"/>
      <w:r w:rsidRPr="00E7693B">
        <w:t>Results</w:t>
      </w:r>
      <w:bookmarkEnd w:id="68"/>
    </w:p>
    <w:p w14:paraId="2150A165" w14:textId="77777777" w:rsidR="00E7693B" w:rsidRPr="00E7693B" w:rsidRDefault="00E7693B">
      <w:pPr>
        <w:rPr>
          <w:rFonts w:ascii="Times New Roman" w:hAnsi="Times New Roman" w:cs="Times New Roman"/>
        </w:rPr>
      </w:pPr>
    </w:p>
    <w:p w14:paraId="2150A166" w14:textId="77777777" w:rsidR="00E7693B" w:rsidRPr="00E7693B" w:rsidRDefault="00E7693B" w:rsidP="00EC70C2">
      <w:pPr>
        <w:pStyle w:val="Heading4"/>
      </w:pPr>
      <w:bookmarkStart w:id="69" w:name="_Toc167977636"/>
      <w:r w:rsidRPr="00E7693B">
        <w:t xml:space="preserve">Benzothiadiazole (BTH) induces </w:t>
      </w:r>
      <w:r w:rsidRPr="00E7693B">
        <w:rPr>
          <w:i/>
        </w:rPr>
        <w:t xml:space="preserve">PR1 </w:t>
      </w:r>
      <w:r w:rsidRPr="00E7693B">
        <w:t>gene transcription in the systemic true leaves of oilseed rape</w:t>
      </w:r>
      <w:bookmarkEnd w:id="69"/>
    </w:p>
    <w:p w14:paraId="2150A167" w14:textId="77777777" w:rsidR="00E7693B" w:rsidRPr="00CF0A23" w:rsidRDefault="00E7693B" w:rsidP="00CF0A23">
      <w:pPr>
        <w:spacing w:after="0"/>
        <w:rPr>
          <w:rFonts w:ascii="Times New Roman" w:hAnsi="Times New Roman" w:cs="Times New Roman"/>
          <w:sz w:val="24"/>
          <w:szCs w:val="24"/>
        </w:rPr>
      </w:pPr>
    </w:p>
    <w:p w14:paraId="2150A168" w14:textId="77777777" w:rsidR="00E7693B" w:rsidRPr="00CF0A23" w:rsidRDefault="00E7693B">
      <w:pPr>
        <w:spacing w:after="240" w:line="360" w:lineRule="auto"/>
        <w:ind w:firstLine="576"/>
        <w:jc w:val="both"/>
        <w:rPr>
          <w:rFonts w:ascii="Times New Roman" w:hAnsi="Times New Roman" w:cs="Times New Roman"/>
          <w:sz w:val="24"/>
          <w:szCs w:val="24"/>
        </w:rPr>
      </w:pPr>
      <w:r w:rsidRPr="00CF0A23">
        <w:rPr>
          <w:rFonts w:ascii="Times New Roman" w:hAnsi="Times New Roman" w:cs="Times New Roman"/>
          <w:sz w:val="24"/>
          <w:szCs w:val="24"/>
        </w:rPr>
        <w:t xml:space="preserve">An upregulation of </w:t>
      </w:r>
      <w:r w:rsidRPr="00CF0A23">
        <w:rPr>
          <w:rFonts w:ascii="Times New Roman" w:hAnsi="Times New Roman" w:cs="Times New Roman"/>
          <w:i/>
          <w:sz w:val="24"/>
          <w:szCs w:val="24"/>
        </w:rPr>
        <w:t>PR1</w:t>
      </w:r>
      <w:r w:rsidRPr="00CF0A23">
        <w:rPr>
          <w:rFonts w:ascii="Times New Roman" w:hAnsi="Times New Roman" w:cs="Times New Roman"/>
          <w:sz w:val="24"/>
          <w:szCs w:val="24"/>
        </w:rPr>
        <w:t xml:space="preserve"> gene marker was observed in the systemic true leaves of oilseed rape that did not come into direct contact with the BTH solution during treatment (Fig. 25). The increase in the </w:t>
      </w:r>
      <w:r w:rsidRPr="00CF0A23">
        <w:rPr>
          <w:rFonts w:ascii="Times New Roman" w:hAnsi="Times New Roman" w:cs="Times New Roman"/>
          <w:i/>
          <w:sz w:val="24"/>
          <w:szCs w:val="24"/>
        </w:rPr>
        <w:t xml:space="preserve">PR1 </w:t>
      </w:r>
      <w:r w:rsidRPr="00CF0A23">
        <w:rPr>
          <w:rFonts w:ascii="Times New Roman" w:hAnsi="Times New Roman" w:cs="Times New Roman"/>
          <w:sz w:val="24"/>
          <w:szCs w:val="24"/>
        </w:rPr>
        <w:t>transcription was significantly higher in the systemic true leaves compared to cotyledons that were directly treated with the BTH solution (F</w:t>
      </w:r>
      <w:r w:rsidRPr="00CF0A23">
        <w:rPr>
          <w:rFonts w:ascii="Times New Roman" w:hAnsi="Times New Roman" w:cs="Times New Roman"/>
          <w:sz w:val="24"/>
          <w:szCs w:val="24"/>
          <w:vertAlign w:val="subscript"/>
        </w:rPr>
        <w:t xml:space="preserve">3,8 </w:t>
      </w:r>
      <w:r w:rsidRPr="00CF0A23">
        <w:rPr>
          <w:rFonts w:ascii="Times New Roman" w:hAnsi="Times New Roman" w:cs="Times New Roman"/>
          <w:sz w:val="24"/>
          <w:szCs w:val="24"/>
        </w:rPr>
        <w:t>= 9596.56, P = 0.000). The transcription in cotyledons treated with BTH increased to 200-fold, and in systemic true leaves up to 500-fold.</w:t>
      </w:r>
    </w:p>
    <w:p w14:paraId="2150A169" w14:textId="77777777" w:rsidR="00E7693B" w:rsidRPr="00E7693B" w:rsidRDefault="00E7693B">
      <w:pPr>
        <w:spacing w:line="360" w:lineRule="auto"/>
        <w:jc w:val="center"/>
        <w:rPr>
          <w:rFonts w:ascii="Times New Roman" w:hAnsi="Times New Roman" w:cs="Times New Roman"/>
          <w:color w:val="000000"/>
        </w:rPr>
      </w:pPr>
      <w:r w:rsidRPr="00E7693B">
        <w:rPr>
          <w:rFonts w:ascii="Times New Roman" w:hAnsi="Times New Roman" w:cs="Times New Roman"/>
          <w:noProof/>
          <w:color w:val="000000"/>
          <w:lang w:val="en-US"/>
        </w:rPr>
        <w:drawing>
          <wp:inline distT="0" distB="0" distL="0" distR="0" wp14:anchorId="2150A5A0" wp14:editId="2150A5A1">
            <wp:extent cx="2658316" cy="2519339"/>
            <wp:effectExtent l="0" t="0" r="0" b="0"/>
            <wp:docPr id="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
                    <a:srcRect/>
                    <a:stretch>
                      <a:fillRect/>
                    </a:stretch>
                  </pic:blipFill>
                  <pic:spPr>
                    <a:xfrm>
                      <a:off x="0" y="0"/>
                      <a:ext cx="2658316" cy="2519339"/>
                    </a:xfrm>
                    <a:prstGeom prst="rect">
                      <a:avLst/>
                    </a:prstGeom>
                    <a:ln/>
                  </pic:spPr>
                </pic:pic>
              </a:graphicData>
            </a:graphic>
          </wp:inline>
        </w:drawing>
      </w:r>
    </w:p>
    <w:p w14:paraId="2150A16B" w14:textId="06A9A39C" w:rsidR="00E7693B" w:rsidRDefault="00E7693B" w:rsidP="003A6977">
      <w:pPr>
        <w:spacing w:before="240" w:after="0" w:line="360" w:lineRule="auto"/>
        <w:jc w:val="both"/>
        <w:rPr>
          <w:rFonts w:ascii="Times New Roman" w:hAnsi="Times New Roman" w:cs="Times New Roman"/>
        </w:rPr>
      </w:pPr>
      <w:r w:rsidRPr="00E7693B">
        <w:rPr>
          <w:rFonts w:ascii="Times New Roman" w:hAnsi="Times New Roman" w:cs="Times New Roman"/>
          <w:b/>
        </w:rPr>
        <w:t>Figure 25</w:t>
      </w:r>
      <w:r w:rsidRPr="00E7693B">
        <w:rPr>
          <w:rFonts w:ascii="Times New Roman" w:hAnsi="Times New Roman" w:cs="Times New Roman"/>
        </w:rPr>
        <w:t xml:space="preserve">. Systemic effect of benzothiadiazole (BTH) on </w:t>
      </w:r>
      <w:r w:rsidRPr="00E7693B">
        <w:rPr>
          <w:rFonts w:ascii="Times New Roman" w:hAnsi="Times New Roman" w:cs="Times New Roman"/>
          <w:i/>
        </w:rPr>
        <w:t>PR1</w:t>
      </w:r>
      <w:r w:rsidRPr="00E7693B">
        <w:rPr>
          <w:rFonts w:ascii="Times New Roman" w:hAnsi="Times New Roman" w:cs="Times New Roman"/>
        </w:rPr>
        <w:t xml:space="preserve"> gene transcription in the true leaves of oilseed rape 24 h after cotyledon infiltration with 32 µM of BTH solution. Boxplots show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lowercase letters significant differences (P &lt; 0.001) between treatments. Abbreviations: </w:t>
      </w:r>
      <w:r w:rsidRPr="00E7693B">
        <w:rPr>
          <w:rFonts w:ascii="Times New Roman" w:hAnsi="Times New Roman" w:cs="Times New Roman"/>
          <w:i/>
        </w:rPr>
        <w:t>PR1 = pathogenesis related 1</w:t>
      </w:r>
      <w:r w:rsidRPr="00E7693B">
        <w:rPr>
          <w:rFonts w:ascii="Times New Roman" w:hAnsi="Times New Roman" w:cs="Times New Roman"/>
        </w:rPr>
        <w:t xml:space="preserve">; </w:t>
      </w:r>
      <w:proofErr w:type="spellStart"/>
      <w:r w:rsidRPr="00E7693B">
        <w:rPr>
          <w:rFonts w:ascii="Times New Roman" w:hAnsi="Times New Roman" w:cs="Times New Roman"/>
        </w:rPr>
        <w:t>Con_cot</w:t>
      </w:r>
      <w:proofErr w:type="spellEnd"/>
      <w:r w:rsidRPr="00E7693B">
        <w:rPr>
          <w:rFonts w:ascii="Times New Roman" w:hAnsi="Times New Roman" w:cs="Times New Roman"/>
        </w:rPr>
        <w:t xml:space="preserve"> = control cotyledons; </w:t>
      </w:r>
      <w:proofErr w:type="spellStart"/>
      <w:r w:rsidRPr="00E7693B">
        <w:rPr>
          <w:rFonts w:ascii="Times New Roman" w:hAnsi="Times New Roman" w:cs="Times New Roman"/>
        </w:rPr>
        <w:t>BTH_cot</w:t>
      </w:r>
      <w:proofErr w:type="spellEnd"/>
      <w:r w:rsidRPr="00E7693B">
        <w:rPr>
          <w:rFonts w:ascii="Times New Roman" w:hAnsi="Times New Roman" w:cs="Times New Roman"/>
        </w:rPr>
        <w:t xml:space="preserve"> = BTH cotyledons; </w:t>
      </w:r>
      <w:proofErr w:type="spellStart"/>
      <w:r w:rsidRPr="00E7693B">
        <w:rPr>
          <w:rFonts w:ascii="Times New Roman" w:hAnsi="Times New Roman" w:cs="Times New Roman"/>
        </w:rPr>
        <w:t>Con_tl</w:t>
      </w:r>
      <w:proofErr w:type="spellEnd"/>
      <w:r w:rsidRPr="00E7693B">
        <w:rPr>
          <w:rFonts w:ascii="Times New Roman" w:hAnsi="Times New Roman" w:cs="Times New Roman"/>
        </w:rPr>
        <w:t xml:space="preserve"> = control true leaves; </w:t>
      </w:r>
      <w:proofErr w:type="spellStart"/>
      <w:r w:rsidRPr="00E7693B">
        <w:rPr>
          <w:rFonts w:ascii="Times New Roman" w:hAnsi="Times New Roman" w:cs="Times New Roman"/>
        </w:rPr>
        <w:t>BTH_tl</w:t>
      </w:r>
      <w:proofErr w:type="spellEnd"/>
      <w:r w:rsidRPr="00E7693B">
        <w:rPr>
          <w:rFonts w:ascii="Times New Roman" w:hAnsi="Times New Roman" w:cs="Times New Roman"/>
        </w:rPr>
        <w:t xml:space="preserve"> = BTH true leaves.</w:t>
      </w:r>
    </w:p>
    <w:p w14:paraId="5F37D39D" w14:textId="77777777" w:rsidR="003A6977" w:rsidRPr="00E7693B" w:rsidRDefault="003A6977" w:rsidP="003A6977">
      <w:pPr>
        <w:spacing w:after="0" w:line="360" w:lineRule="auto"/>
        <w:jc w:val="both"/>
        <w:rPr>
          <w:rFonts w:ascii="Times New Roman" w:hAnsi="Times New Roman" w:cs="Times New Roman"/>
        </w:rPr>
      </w:pPr>
    </w:p>
    <w:p w14:paraId="2150A16C" w14:textId="77777777" w:rsidR="00E7693B" w:rsidRPr="00E7693B" w:rsidRDefault="00E7693B" w:rsidP="00EC70C2">
      <w:pPr>
        <w:pStyle w:val="Heading4"/>
      </w:pPr>
      <w:bookmarkStart w:id="70" w:name="_Toc167977637"/>
      <w:r w:rsidRPr="00E7693B">
        <w:t xml:space="preserve">The method of oilseed rape leaf infiltration by BTH affects the palatability for </w:t>
      </w:r>
      <w:proofErr w:type="spellStart"/>
      <w:r w:rsidRPr="00E7693B">
        <w:rPr>
          <w:i/>
        </w:rPr>
        <w:t>Plutella</w:t>
      </w:r>
      <w:proofErr w:type="spellEnd"/>
      <w:r w:rsidRPr="00E7693B">
        <w:rPr>
          <w:i/>
        </w:rPr>
        <w:t xml:space="preserve"> </w:t>
      </w:r>
      <w:proofErr w:type="spellStart"/>
      <w:r w:rsidRPr="00E7693B">
        <w:rPr>
          <w:i/>
        </w:rPr>
        <w:t>xylostella</w:t>
      </w:r>
      <w:proofErr w:type="spellEnd"/>
      <w:r w:rsidRPr="00E7693B">
        <w:t xml:space="preserve"> caterpillars</w:t>
      </w:r>
      <w:bookmarkEnd w:id="70"/>
    </w:p>
    <w:p w14:paraId="2150A16D" w14:textId="77777777" w:rsidR="00E7693B" w:rsidRPr="00E7693B" w:rsidRDefault="00E7693B" w:rsidP="00CF0A23">
      <w:pPr>
        <w:spacing w:after="0"/>
        <w:rPr>
          <w:rFonts w:ascii="Times New Roman" w:hAnsi="Times New Roman" w:cs="Times New Roman"/>
        </w:rPr>
      </w:pPr>
    </w:p>
    <w:p w14:paraId="2150A16E" w14:textId="6061B742" w:rsidR="00E7693B" w:rsidRPr="00CF0A23" w:rsidRDefault="00E7693B">
      <w:pPr>
        <w:spacing w:line="360" w:lineRule="auto"/>
        <w:ind w:firstLine="432"/>
        <w:jc w:val="both"/>
        <w:rPr>
          <w:rFonts w:ascii="Times New Roman" w:hAnsi="Times New Roman" w:cs="Times New Roman"/>
          <w:color w:val="000000"/>
          <w:sz w:val="24"/>
          <w:szCs w:val="24"/>
        </w:rPr>
      </w:pPr>
      <w:r w:rsidRPr="00CF0A23">
        <w:rPr>
          <w:rFonts w:ascii="Times New Roman" w:hAnsi="Times New Roman" w:cs="Times New Roman"/>
          <w:color w:val="000000"/>
          <w:sz w:val="24"/>
          <w:szCs w:val="24"/>
        </w:rPr>
        <w:t xml:space="preserve">No significant preference of </w:t>
      </w:r>
      <w:r w:rsidRPr="00CF0A23">
        <w:rPr>
          <w:rFonts w:ascii="Times New Roman" w:hAnsi="Times New Roman" w:cs="Times New Roman"/>
          <w:i/>
          <w:color w:val="000000"/>
          <w:sz w:val="24"/>
          <w:szCs w:val="24"/>
        </w:rPr>
        <w:t xml:space="preserve">P. </w:t>
      </w:r>
      <w:proofErr w:type="spellStart"/>
      <w:r w:rsidRPr="00CF0A23">
        <w:rPr>
          <w:rFonts w:ascii="Times New Roman" w:hAnsi="Times New Roman" w:cs="Times New Roman"/>
          <w:i/>
          <w:color w:val="000000"/>
          <w:sz w:val="24"/>
          <w:szCs w:val="24"/>
        </w:rPr>
        <w:t>xylostella</w:t>
      </w:r>
      <w:proofErr w:type="spellEnd"/>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caterpillars to detached systemic true leaves 24</w:t>
      </w:r>
      <w:r w:rsidR="00A023DC">
        <w:rPr>
          <w:rFonts w:ascii="Times New Roman" w:hAnsi="Times New Roman" w:cs="Times New Roman"/>
          <w:color w:val="000000"/>
          <w:sz w:val="24"/>
          <w:szCs w:val="24"/>
        </w:rPr>
        <w:t xml:space="preserve"> </w:t>
      </w:r>
      <w:r w:rsidRPr="00CF0A23">
        <w:rPr>
          <w:rFonts w:ascii="Times New Roman" w:hAnsi="Times New Roman" w:cs="Times New Roman"/>
          <w:color w:val="000000"/>
          <w:sz w:val="24"/>
          <w:szCs w:val="24"/>
        </w:rPr>
        <w:t xml:space="preserve">h after infiltration of cotyledons with BTH solution, nor to the control leaves of oilseed rape was observed </w:t>
      </w:r>
      <w:r w:rsidRPr="00CF0A23">
        <w:rPr>
          <w:rFonts w:ascii="Times New Roman" w:hAnsi="Times New Roman" w:cs="Times New Roman"/>
          <w:sz w:val="24"/>
          <w:szCs w:val="24"/>
        </w:rPr>
        <w:t>(F</w:t>
      </w:r>
      <w:r w:rsidRPr="00CF0A23">
        <w:rPr>
          <w:rFonts w:ascii="Times New Roman" w:hAnsi="Times New Roman" w:cs="Times New Roman"/>
          <w:sz w:val="24"/>
          <w:szCs w:val="24"/>
          <w:vertAlign w:val="subscript"/>
        </w:rPr>
        <w:t>1,98</w:t>
      </w:r>
      <w:r w:rsidRPr="00CF0A23">
        <w:rPr>
          <w:rFonts w:ascii="Times New Roman" w:hAnsi="Times New Roman" w:cs="Times New Roman"/>
          <w:sz w:val="24"/>
          <w:szCs w:val="24"/>
        </w:rPr>
        <w:t xml:space="preserve"> = 0.316, P = 0.575; Fig. 26). </w:t>
      </w:r>
      <w:r w:rsidR="005F05C6">
        <w:rPr>
          <w:rFonts w:ascii="Times New Roman" w:hAnsi="Times New Roman" w:cs="Times New Roman"/>
          <w:color w:val="000000"/>
          <w:sz w:val="24"/>
          <w:szCs w:val="24"/>
        </w:rPr>
        <w:t>A different</w:t>
      </w:r>
      <w:r w:rsidR="005F05C6" w:rsidRPr="00CF0A23">
        <w:rPr>
          <w:rFonts w:ascii="Times New Roman" w:hAnsi="Times New Roman" w:cs="Times New Roman"/>
          <w:color w:val="000000"/>
          <w:sz w:val="24"/>
          <w:szCs w:val="24"/>
        </w:rPr>
        <w:t xml:space="preserve"> </w:t>
      </w:r>
      <w:r w:rsidRPr="00CF0A23">
        <w:rPr>
          <w:rFonts w:ascii="Times New Roman" w:hAnsi="Times New Roman" w:cs="Times New Roman"/>
          <w:color w:val="000000"/>
          <w:sz w:val="24"/>
          <w:szCs w:val="24"/>
        </w:rPr>
        <w:t xml:space="preserve">situation was observed when true leaves were directly treated with BTH: the results show significant preference of caterpillars to the control leaves, </w:t>
      </w:r>
      <w:r w:rsidRPr="00CF0A23">
        <w:rPr>
          <w:rFonts w:ascii="Times New Roman" w:hAnsi="Times New Roman" w:cs="Times New Roman"/>
          <w:i/>
          <w:color w:val="000000"/>
          <w:sz w:val="24"/>
          <w:szCs w:val="24"/>
        </w:rPr>
        <w:t>i.e.</w:t>
      </w:r>
      <w:r w:rsidRPr="00CF0A23">
        <w:rPr>
          <w:rFonts w:ascii="Times New Roman" w:hAnsi="Times New Roman" w:cs="Times New Roman"/>
          <w:color w:val="000000"/>
          <w:sz w:val="24"/>
          <w:szCs w:val="24"/>
        </w:rPr>
        <w:t xml:space="preserve"> water-infiltrated leaves in comparison to BTH-infiltrated leaves (F</w:t>
      </w:r>
      <w:r w:rsidRPr="00CF0A23">
        <w:rPr>
          <w:rFonts w:ascii="Times New Roman" w:hAnsi="Times New Roman" w:cs="Times New Roman"/>
          <w:color w:val="000000"/>
          <w:sz w:val="24"/>
          <w:szCs w:val="24"/>
          <w:vertAlign w:val="subscript"/>
        </w:rPr>
        <w:t>1,54</w:t>
      </w:r>
      <w:r w:rsidRPr="00CF0A23">
        <w:rPr>
          <w:rFonts w:ascii="Times New Roman" w:hAnsi="Times New Roman" w:cs="Times New Roman"/>
          <w:color w:val="000000"/>
          <w:sz w:val="24"/>
          <w:szCs w:val="24"/>
        </w:rPr>
        <w:t xml:space="preserve"> = 9.435, P = 0.003</w:t>
      </w:r>
      <w:r w:rsidRPr="00CF0A23">
        <w:rPr>
          <w:rFonts w:ascii="Times New Roman" w:hAnsi="Times New Roman" w:cs="Times New Roman"/>
          <w:sz w:val="24"/>
          <w:szCs w:val="24"/>
        </w:rPr>
        <w:t>; Fig. 27).</w:t>
      </w:r>
    </w:p>
    <w:p w14:paraId="2150A16F" w14:textId="77777777" w:rsidR="00E7693B" w:rsidRPr="00E7693B" w:rsidRDefault="00E7693B">
      <w:pPr>
        <w:spacing w:line="360" w:lineRule="auto"/>
        <w:jc w:val="center"/>
        <w:rPr>
          <w:rFonts w:ascii="Times New Roman" w:hAnsi="Times New Roman" w:cs="Times New Roman"/>
          <w:color w:val="000000"/>
        </w:rPr>
      </w:pPr>
      <w:r w:rsidRPr="00E7693B">
        <w:rPr>
          <w:rFonts w:ascii="Times New Roman" w:hAnsi="Times New Roman" w:cs="Times New Roman"/>
          <w:noProof/>
          <w:color w:val="000000"/>
          <w:lang w:val="en-US"/>
        </w:rPr>
        <w:drawing>
          <wp:inline distT="0" distB="0" distL="0" distR="0" wp14:anchorId="2150A5A2" wp14:editId="2150A5A3">
            <wp:extent cx="5760085" cy="3145155"/>
            <wp:effectExtent l="0" t="0" r="0" b="0"/>
            <wp:docPr id="2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3"/>
                    <a:srcRect/>
                    <a:stretch>
                      <a:fillRect/>
                    </a:stretch>
                  </pic:blipFill>
                  <pic:spPr>
                    <a:xfrm>
                      <a:off x="0" y="0"/>
                      <a:ext cx="5760085" cy="3145155"/>
                    </a:xfrm>
                    <a:prstGeom prst="rect">
                      <a:avLst/>
                    </a:prstGeom>
                    <a:ln/>
                  </pic:spPr>
                </pic:pic>
              </a:graphicData>
            </a:graphic>
          </wp:inline>
        </w:drawing>
      </w:r>
    </w:p>
    <w:p w14:paraId="2150A170" w14:textId="77777777"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color w:val="000000"/>
        </w:rPr>
        <w:t>Figure 26</w:t>
      </w:r>
      <w:r w:rsidRPr="00E7693B">
        <w:rPr>
          <w:rFonts w:ascii="Times New Roman" w:hAnsi="Times New Roman" w:cs="Times New Roman"/>
          <w:color w:val="000000"/>
        </w:rPr>
        <w:t xml:space="preserve">. </w:t>
      </w:r>
      <w:r w:rsidRPr="00E7693B">
        <w:rPr>
          <w:rFonts w:ascii="Times New Roman" w:hAnsi="Times New Roman" w:cs="Times New Roman"/>
        </w:rPr>
        <w:t xml:space="preserve">Feeding preference of </w:t>
      </w:r>
      <w:proofErr w:type="spellStart"/>
      <w:r w:rsidRPr="00E7693B">
        <w:rPr>
          <w:rFonts w:ascii="Times New Roman" w:hAnsi="Times New Roman" w:cs="Times New Roman"/>
          <w:i/>
        </w:rPr>
        <w:t>Plutella</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xylostella</w:t>
      </w:r>
      <w:proofErr w:type="spellEnd"/>
      <w:r w:rsidRPr="00E7693B">
        <w:rPr>
          <w:rFonts w:ascii="Times New Roman" w:hAnsi="Times New Roman" w:cs="Times New Roman"/>
          <w:i/>
        </w:rPr>
        <w:t xml:space="preserve"> </w:t>
      </w:r>
      <w:r w:rsidRPr="00E7693B">
        <w:rPr>
          <w:rFonts w:ascii="Times New Roman" w:hAnsi="Times New Roman" w:cs="Times New Roman"/>
        </w:rPr>
        <w:t>caterpillars</w:t>
      </w:r>
      <w:r w:rsidRPr="00E7693B">
        <w:rPr>
          <w:rFonts w:ascii="Times New Roman" w:hAnsi="Times New Roman" w:cs="Times New Roman"/>
          <w:i/>
        </w:rPr>
        <w:t xml:space="preserve"> </w:t>
      </w:r>
      <w:r w:rsidRPr="00E7693B">
        <w:rPr>
          <w:rFonts w:ascii="Times New Roman" w:hAnsi="Times New Roman" w:cs="Times New Roman"/>
        </w:rPr>
        <w:t xml:space="preserve">to systemic leaves of oilseed rape (cotyledons were previously treated with benzothiadiazole, ‘BTH’). </w:t>
      </w:r>
      <w:r w:rsidRPr="006B61C5">
        <w:rPr>
          <w:rFonts w:ascii="Times New Roman" w:hAnsi="Times New Roman" w:cs="Times New Roman"/>
          <w:b/>
          <w:bCs/>
        </w:rPr>
        <w:t>A:</w:t>
      </w:r>
      <w:r w:rsidRPr="00E7693B">
        <w:rPr>
          <w:rFonts w:ascii="Times New Roman" w:hAnsi="Times New Roman" w:cs="Times New Roman"/>
        </w:rPr>
        <w:t xml:space="preserve"> consumed leaf area (in %) caused by third-instar caterpillars after 48 h of feeding. Boxplot represents mean (´x´), median, 25</w:t>
      </w:r>
      <w:r w:rsidRPr="00E7693B">
        <w:rPr>
          <w:rFonts w:ascii="Times New Roman" w:hAnsi="Times New Roman" w:cs="Times New Roman"/>
          <w:vertAlign w:val="superscript"/>
        </w:rPr>
        <w:t xml:space="preserve">th </w:t>
      </w:r>
      <w:r w:rsidRPr="00E7693B">
        <w:rPr>
          <w:rFonts w:ascii="Times New Roman" w:hAnsi="Times New Roman" w:cs="Times New Roman"/>
        </w:rPr>
        <w:t>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ns = not significant; </w:t>
      </w:r>
      <w:r w:rsidRPr="006B61C5">
        <w:rPr>
          <w:rFonts w:ascii="Times New Roman" w:hAnsi="Times New Roman" w:cs="Times New Roman"/>
          <w:b/>
          <w:bCs/>
        </w:rPr>
        <w:t>B:</w:t>
      </w:r>
      <w:r w:rsidRPr="00E7693B">
        <w:rPr>
          <w:rFonts w:ascii="Times New Roman" w:hAnsi="Times New Roman" w:cs="Times New Roman"/>
        </w:rPr>
        <w:t xml:space="preserve"> </w:t>
      </w:r>
      <w:r w:rsidRPr="00E7693B">
        <w:rPr>
          <w:rFonts w:ascii="Times New Roman" w:hAnsi="Times New Roman" w:cs="Times New Roman"/>
          <w:color w:val="000000"/>
        </w:rPr>
        <w:t xml:space="preserve">vial system developed for performing larval feeding choice experiments with one control leaf inside the left vial and one BTH-treated leaf inside the right vial. Three caterpillars were placed in the T-tube and were given a choice to feed on two types of leaves; </w:t>
      </w:r>
      <w:r w:rsidRPr="006B61C5">
        <w:rPr>
          <w:rFonts w:ascii="Times New Roman" w:hAnsi="Times New Roman" w:cs="Times New Roman"/>
          <w:b/>
          <w:bCs/>
          <w:color w:val="000000"/>
        </w:rPr>
        <w:t>C:</w:t>
      </w:r>
      <w:r w:rsidRPr="00E7693B">
        <w:rPr>
          <w:rFonts w:ascii="Times New Roman" w:hAnsi="Times New Roman" w:cs="Times New Roman"/>
          <w:color w:val="000000"/>
        </w:rPr>
        <w:t xml:space="preserve"> scanned leaves after 48 h of caterpillar feeding.</w:t>
      </w:r>
    </w:p>
    <w:p w14:paraId="2150A171" w14:textId="77777777" w:rsidR="00E7693B" w:rsidRPr="00E7693B" w:rsidRDefault="00E7693B">
      <w:pPr>
        <w:spacing w:line="360" w:lineRule="auto"/>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A4" wp14:editId="2150A5A5">
            <wp:extent cx="5760085" cy="2984500"/>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4"/>
                    <a:srcRect/>
                    <a:stretch>
                      <a:fillRect/>
                    </a:stretch>
                  </pic:blipFill>
                  <pic:spPr>
                    <a:xfrm>
                      <a:off x="0" y="0"/>
                      <a:ext cx="5760085" cy="2984500"/>
                    </a:xfrm>
                    <a:prstGeom prst="rect">
                      <a:avLst/>
                    </a:prstGeom>
                    <a:ln/>
                  </pic:spPr>
                </pic:pic>
              </a:graphicData>
            </a:graphic>
          </wp:inline>
        </w:drawing>
      </w:r>
    </w:p>
    <w:p w14:paraId="2150A172" w14:textId="77777777" w:rsidR="00E7693B" w:rsidRPr="00E7693B" w:rsidRDefault="00E7693B" w:rsidP="00CF0A23">
      <w:pPr>
        <w:spacing w:before="240" w:after="0" w:line="360" w:lineRule="auto"/>
        <w:jc w:val="both"/>
        <w:rPr>
          <w:rFonts w:ascii="Times New Roman" w:hAnsi="Times New Roman" w:cs="Times New Roman"/>
        </w:rPr>
      </w:pPr>
      <w:r w:rsidRPr="00E7693B">
        <w:rPr>
          <w:rFonts w:ascii="Times New Roman" w:hAnsi="Times New Roman" w:cs="Times New Roman"/>
          <w:b/>
        </w:rPr>
        <w:t>Figure 27</w:t>
      </w:r>
      <w:r w:rsidRPr="00E7693B">
        <w:rPr>
          <w:rFonts w:ascii="Times New Roman" w:hAnsi="Times New Roman" w:cs="Times New Roman"/>
        </w:rPr>
        <w:t xml:space="preserve">. Feeding preference of </w:t>
      </w:r>
      <w:proofErr w:type="spellStart"/>
      <w:r w:rsidRPr="00E7693B">
        <w:rPr>
          <w:rFonts w:ascii="Times New Roman" w:hAnsi="Times New Roman" w:cs="Times New Roman"/>
          <w:i/>
        </w:rPr>
        <w:t>Plutella</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xylostella</w:t>
      </w:r>
      <w:proofErr w:type="spellEnd"/>
      <w:r w:rsidRPr="00E7693B">
        <w:rPr>
          <w:rFonts w:ascii="Times New Roman" w:hAnsi="Times New Roman" w:cs="Times New Roman"/>
          <w:i/>
        </w:rPr>
        <w:t xml:space="preserve"> </w:t>
      </w:r>
      <w:r w:rsidRPr="00E7693B">
        <w:rPr>
          <w:rFonts w:ascii="Times New Roman" w:hAnsi="Times New Roman" w:cs="Times New Roman"/>
        </w:rPr>
        <w:t>caterpillars</w:t>
      </w:r>
      <w:r w:rsidRPr="00E7693B">
        <w:rPr>
          <w:rFonts w:ascii="Times New Roman" w:hAnsi="Times New Roman" w:cs="Times New Roman"/>
          <w:i/>
        </w:rPr>
        <w:t xml:space="preserve"> </w:t>
      </w:r>
      <w:r w:rsidRPr="00E7693B">
        <w:rPr>
          <w:rFonts w:ascii="Times New Roman" w:hAnsi="Times New Roman" w:cs="Times New Roman"/>
        </w:rPr>
        <w:t xml:space="preserve">to detached leaves of oilseed rape infiltrated with benzothiadiazole (BTH). </w:t>
      </w:r>
      <w:r w:rsidRPr="006B61C5">
        <w:rPr>
          <w:rFonts w:ascii="Times New Roman" w:hAnsi="Times New Roman" w:cs="Times New Roman"/>
          <w:b/>
          <w:bCs/>
        </w:rPr>
        <w:t>A:</w:t>
      </w:r>
      <w:r w:rsidRPr="00E7693B">
        <w:rPr>
          <w:rFonts w:ascii="Times New Roman" w:hAnsi="Times New Roman" w:cs="Times New Roman"/>
        </w:rPr>
        <w:t xml:space="preserve"> consumed leaf area (in %) caused by third-instar caterpillars after 48 h of feeding. Boxplot represents mean (´x´), median, 25</w:t>
      </w:r>
      <w:r w:rsidRPr="00E7693B">
        <w:rPr>
          <w:rFonts w:ascii="Times New Roman" w:hAnsi="Times New Roman" w:cs="Times New Roman"/>
          <w:vertAlign w:val="superscript"/>
        </w:rPr>
        <w:t xml:space="preserve">th </w:t>
      </w:r>
      <w:r w:rsidRPr="00E7693B">
        <w:rPr>
          <w:rFonts w:ascii="Times New Roman" w:hAnsi="Times New Roman" w:cs="Times New Roman"/>
        </w:rPr>
        <w:t>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asterisks significant differences (P &lt; 0.01); </w:t>
      </w:r>
      <w:r w:rsidRPr="006B61C5">
        <w:rPr>
          <w:rFonts w:ascii="Times New Roman" w:hAnsi="Times New Roman" w:cs="Times New Roman"/>
          <w:b/>
          <w:bCs/>
        </w:rPr>
        <w:t>B:</w:t>
      </w:r>
      <w:r w:rsidRPr="00E7693B">
        <w:rPr>
          <w:rFonts w:ascii="Times New Roman" w:hAnsi="Times New Roman" w:cs="Times New Roman"/>
        </w:rPr>
        <w:t xml:space="preserve"> </w:t>
      </w:r>
      <w:r w:rsidRPr="00E7693B">
        <w:rPr>
          <w:rFonts w:ascii="Times New Roman" w:hAnsi="Times New Roman" w:cs="Times New Roman"/>
          <w:color w:val="000000"/>
        </w:rPr>
        <w:t xml:space="preserve">vial system developed for performing larval feeding choice experiments with one control leaf inside the left vial and one BTH-treated leaf inside the right vial. Three caterpillars were placed in the T-tube and were given a choice to feed on two types of leaves; </w:t>
      </w:r>
      <w:r w:rsidRPr="006B61C5">
        <w:rPr>
          <w:rFonts w:ascii="Times New Roman" w:hAnsi="Times New Roman" w:cs="Times New Roman"/>
          <w:b/>
          <w:bCs/>
          <w:color w:val="000000"/>
        </w:rPr>
        <w:t>C:</w:t>
      </w:r>
      <w:r w:rsidRPr="00E7693B">
        <w:rPr>
          <w:rFonts w:ascii="Times New Roman" w:hAnsi="Times New Roman" w:cs="Times New Roman"/>
          <w:color w:val="000000"/>
        </w:rPr>
        <w:t xml:space="preserve"> scanned leaves after 48 h of caterpillar feeding.</w:t>
      </w:r>
    </w:p>
    <w:p w14:paraId="2150A173" w14:textId="77777777" w:rsidR="00E7693B" w:rsidRPr="00E7693B" w:rsidRDefault="00E7693B" w:rsidP="00CF0A23">
      <w:pPr>
        <w:spacing w:after="0" w:line="360" w:lineRule="auto"/>
        <w:jc w:val="both"/>
        <w:rPr>
          <w:rFonts w:ascii="Times New Roman" w:hAnsi="Times New Roman" w:cs="Times New Roman"/>
        </w:rPr>
      </w:pPr>
    </w:p>
    <w:p w14:paraId="2150A174" w14:textId="77777777" w:rsidR="00E7693B" w:rsidRPr="00E7693B" w:rsidRDefault="00E7693B" w:rsidP="00EC70C2">
      <w:pPr>
        <w:pStyle w:val="Heading4"/>
      </w:pPr>
      <w:bookmarkStart w:id="71" w:name="_Toc167977638"/>
      <w:r w:rsidRPr="00E7693B">
        <w:t>Treatment of oilseed rape</w:t>
      </w:r>
      <w:r w:rsidRPr="00E7693B">
        <w:rPr>
          <w:i/>
        </w:rPr>
        <w:t xml:space="preserve"> </w:t>
      </w:r>
      <w:r w:rsidRPr="00E7693B">
        <w:t xml:space="preserve">leaves with </w:t>
      </w:r>
      <w:proofErr w:type="spellStart"/>
      <w:r w:rsidRPr="00E7693B">
        <w:t>ulvan</w:t>
      </w:r>
      <w:proofErr w:type="spellEnd"/>
      <w:r w:rsidRPr="00E7693B">
        <w:t xml:space="preserve"> alters the preference of </w:t>
      </w:r>
      <w:proofErr w:type="spellStart"/>
      <w:r w:rsidRPr="00E7693B">
        <w:rPr>
          <w:i/>
        </w:rPr>
        <w:t>Plutella</w:t>
      </w:r>
      <w:proofErr w:type="spellEnd"/>
      <w:r w:rsidRPr="00E7693B">
        <w:rPr>
          <w:i/>
        </w:rPr>
        <w:t xml:space="preserve"> </w:t>
      </w:r>
      <w:proofErr w:type="spellStart"/>
      <w:r w:rsidRPr="00E7693B">
        <w:rPr>
          <w:i/>
        </w:rPr>
        <w:t>xylostella</w:t>
      </w:r>
      <w:proofErr w:type="spellEnd"/>
      <w:r w:rsidRPr="00E7693B">
        <w:rPr>
          <w:i/>
        </w:rPr>
        <w:t xml:space="preserve"> </w:t>
      </w:r>
      <w:r w:rsidRPr="00E7693B">
        <w:t>caterpillars</w:t>
      </w:r>
      <w:bookmarkEnd w:id="71"/>
    </w:p>
    <w:p w14:paraId="2150A175" w14:textId="77777777" w:rsidR="00E7693B" w:rsidRPr="00CF0A23" w:rsidRDefault="00E7693B" w:rsidP="00CF0A23">
      <w:pPr>
        <w:spacing w:after="0" w:line="360" w:lineRule="auto"/>
        <w:ind w:firstLine="720"/>
        <w:jc w:val="both"/>
        <w:rPr>
          <w:rFonts w:ascii="Times New Roman" w:hAnsi="Times New Roman" w:cs="Times New Roman"/>
          <w:sz w:val="24"/>
          <w:szCs w:val="24"/>
        </w:rPr>
      </w:pPr>
    </w:p>
    <w:p w14:paraId="2150A176" w14:textId="77777777" w:rsidR="00E7693B" w:rsidRPr="00CF0A23" w:rsidRDefault="00E7693B">
      <w:pPr>
        <w:spacing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 xml:space="preserve">A clear preference of </w:t>
      </w:r>
      <w:r w:rsidRPr="00CF0A23">
        <w:rPr>
          <w:rFonts w:ascii="Times New Roman" w:hAnsi="Times New Roman" w:cs="Times New Roman"/>
          <w:i/>
          <w:sz w:val="24"/>
          <w:szCs w:val="24"/>
        </w:rPr>
        <w:t xml:space="preserve">P. </w:t>
      </w:r>
      <w:proofErr w:type="spellStart"/>
      <w:r w:rsidRPr="00CF0A23">
        <w:rPr>
          <w:rFonts w:ascii="Times New Roman" w:hAnsi="Times New Roman" w:cs="Times New Roman"/>
          <w:i/>
          <w:sz w:val="24"/>
          <w:szCs w:val="24"/>
        </w:rPr>
        <w:t>xylostella</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caterpillars to </w:t>
      </w:r>
      <w:proofErr w:type="spellStart"/>
      <w:r w:rsidRPr="00CF0A23">
        <w:rPr>
          <w:rFonts w:ascii="Times New Roman" w:hAnsi="Times New Roman" w:cs="Times New Roman"/>
          <w:sz w:val="24"/>
          <w:szCs w:val="24"/>
        </w:rPr>
        <w:t>ulvan</w:t>
      </w:r>
      <w:proofErr w:type="spellEnd"/>
      <w:r w:rsidRPr="00CF0A23">
        <w:rPr>
          <w:rFonts w:ascii="Times New Roman" w:hAnsi="Times New Roman" w:cs="Times New Roman"/>
          <w:sz w:val="24"/>
          <w:szCs w:val="24"/>
        </w:rPr>
        <w:t>-treated leaves of oilseed rape was observed: significantly higher leaf consumption was recorded in control (</w:t>
      </w:r>
      <w:r w:rsidRPr="00CF0A23">
        <w:rPr>
          <w:rFonts w:ascii="Times New Roman" w:hAnsi="Times New Roman" w:cs="Times New Roman"/>
          <w:i/>
          <w:sz w:val="24"/>
          <w:szCs w:val="24"/>
        </w:rPr>
        <w:t xml:space="preserve">i.e. </w:t>
      </w:r>
      <w:r w:rsidRPr="00CF0A23">
        <w:rPr>
          <w:rFonts w:ascii="Times New Roman" w:hAnsi="Times New Roman" w:cs="Times New Roman"/>
          <w:sz w:val="24"/>
          <w:szCs w:val="24"/>
        </w:rPr>
        <w:t xml:space="preserve">water-sprayed) leaves compared to </w:t>
      </w:r>
      <w:proofErr w:type="spellStart"/>
      <w:r w:rsidRPr="00CF0A23">
        <w:rPr>
          <w:rFonts w:ascii="Times New Roman" w:hAnsi="Times New Roman" w:cs="Times New Roman"/>
          <w:sz w:val="24"/>
          <w:szCs w:val="24"/>
        </w:rPr>
        <w:t>ulvan</w:t>
      </w:r>
      <w:proofErr w:type="spellEnd"/>
      <w:r w:rsidRPr="00CF0A23">
        <w:rPr>
          <w:rFonts w:ascii="Times New Roman" w:hAnsi="Times New Roman" w:cs="Times New Roman"/>
          <w:sz w:val="24"/>
          <w:szCs w:val="24"/>
        </w:rPr>
        <w:t>-sprayed leaves (F</w:t>
      </w:r>
      <w:r w:rsidRPr="00CF0A23">
        <w:rPr>
          <w:rFonts w:ascii="Times New Roman" w:hAnsi="Times New Roman" w:cs="Times New Roman"/>
          <w:sz w:val="24"/>
          <w:szCs w:val="24"/>
          <w:vertAlign w:val="subscript"/>
        </w:rPr>
        <w:t>1,52</w:t>
      </w:r>
      <w:r w:rsidRPr="00CF0A23">
        <w:rPr>
          <w:rFonts w:ascii="Times New Roman" w:hAnsi="Times New Roman" w:cs="Times New Roman"/>
          <w:sz w:val="24"/>
          <w:szCs w:val="24"/>
        </w:rPr>
        <w:t xml:space="preserve"> = 8.146, P = 0.006; Fig. 28).</w:t>
      </w:r>
    </w:p>
    <w:p w14:paraId="2150A177" w14:textId="77777777" w:rsidR="00E7693B" w:rsidRPr="00E7693B" w:rsidRDefault="00E7693B">
      <w:pPr>
        <w:spacing w:before="240" w:line="360" w:lineRule="auto"/>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A6" wp14:editId="2150A5A7">
            <wp:extent cx="5760085" cy="3237230"/>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
                    <a:srcRect/>
                    <a:stretch>
                      <a:fillRect/>
                    </a:stretch>
                  </pic:blipFill>
                  <pic:spPr>
                    <a:xfrm>
                      <a:off x="0" y="0"/>
                      <a:ext cx="5760085" cy="3237230"/>
                    </a:xfrm>
                    <a:prstGeom prst="rect">
                      <a:avLst/>
                    </a:prstGeom>
                    <a:ln/>
                  </pic:spPr>
                </pic:pic>
              </a:graphicData>
            </a:graphic>
          </wp:inline>
        </w:drawing>
      </w:r>
    </w:p>
    <w:p w14:paraId="2150A178" w14:textId="77777777" w:rsidR="00E7693B" w:rsidRPr="00E7693B" w:rsidRDefault="00E7693B" w:rsidP="00544143">
      <w:pPr>
        <w:spacing w:before="240" w:after="0" w:line="360" w:lineRule="auto"/>
        <w:jc w:val="both"/>
        <w:rPr>
          <w:rFonts w:ascii="Times New Roman" w:hAnsi="Times New Roman" w:cs="Times New Roman"/>
        </w:rPr>
      </w:pPr>
      <w:r w:rsidRPr="00E7693B">
        <w:rPr>
          <w:rFonts w:ascii="Times New Roman" w:hAnsi="Times New Roman" w:cs="Times New Roman"/>
          <w:b/>
        </w:rPr>
        <w:t>Figure 28</w:t>
      </w:r>
      <w:r w:rsidRPr="00E7693B">
        <w:rPr>
          <w:rFonts w:ascii="Times New Roman" w:hAnsi="Times New Roman" w:cs="Times New Roman"/>
        </w:rPr>
        <w:t xml:space="preserve">. Feeding preference of </w:t>
      </w:r>
      <w:proofErr w:type="spellStart"/>
      <w:r w:rsidRPr="00E7693B">
        <w:rPr>
          <w:rFonts w:ascii="Times New Roman" w:hAnsi="Times New Roman" w:cs="Times New Roman"/>
          <w:i/>
        </w:rPr>
        <w:t>Plutella</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xylostella</w:t>
      </w:r>
      <w:proofErr w:type="spellEnd"/>
      <w:r w:rsidRPr="00E7693B">
        <w:rPr>
          <w:rFonts w:ascii="Times New Roman" w:hAnsi="Times New Roman" w:cs="Times New Roman"/>
          <w:i/>
        </w:rPr>
        <w:t xml:space="preserve"> </w:t>
      </w:r>
      <w:r w:rsidRPr="00E7693B">
        <w:rPr>
          <w:rFonts w:ascii="Times New Roman" w:hAnsi="Times New Roman" w:cs="Times New Roman"/>
        </w:rPr>
        <w:t>caterpillars</w:t>
      </w:r>
      <w:r w:rsidRPr="00E7693B">
        <w:rPr>
          <w:rFonts w:ascii="Times New Roman" w:hAnsi="Times New Roman" w:cs="Times New Roman"/>
          <w:i/>
        </w:rPr>
        <w:t xml:space="preserve"> </w:t>
      </w:r>
      <w:r w:rsidRPr="00E7693B">
        <w:rPr>
          <w:rFonts w:ascii="Times New Roman" w:hAnsi="Times New Roman" w:cs="Times New Roman"/>
        </w:rPr>
        <w:t xml:space="preserve">to detached leaves of oilseed rape treated with </w:t>
      </w:r>
      <w:proofErr w:type="spellStart"/>
      <w:r w:rsidRPr="00E7693B">
        <w:rPr>
          <w:rFonts w:ascii="Times New Roman" w:hAnsi="Times New Roman" w:cs="Times New Roman"/>
        </w:rPr>
        <w:t>ulvan</w:t>
      </w:r>
      <w:proofErr w:type="spellEnd"/>
      <w:r w:rsidRPr="00E7693B">
        <w:rPr>
          <w:rFonts w:ascii="Times New Roman" w:hAnsi="Times New Roman" w:cs="Times New Roman"/>
        </w:rPr>
        <w:t xml:space="preserve">. </w:t>
      </w:r>
      <w:r w:rsidRPr="006B61C5">
        <w:rPr>
          <w:rFonts w:ascii="Times New Roman" w:hAnsi="Times New Roman" w:cs="Times New Roman"/>
          <w:b/>
          <w:bCs/>
        </w:rPr>
        <w:t>A:</w:t>
      </w:r>
      <w:r w:rsidRPr="00E7693B">
        <w:rPr>
          <w:rFonts w:ascii="Times New Roman" w:hAnsi="Times New Roman" w:cs="Times New Roman"/>
        </w:rPr>
        <w:t xml:space="preserve"> consumed leaf area (in %) caused by third-instar caterpillars after 48 h of feeding. Boxplot represents mean (´x´), median, 25</w:t>
      </w:r>
      <w:r w:rsidRPr="00E7693B">
        <w:rPr>
          <w:rFonts w:ascii="Times New Roman" w:hAnsi="Times New Roman" w:cs="Times New Roman"/>
          <w:vertAlign w:val="superscript"/>
        </w:rPr>
        <w:t xml:space="preserve">th </w:t>
      </w:r>
      <w:r w:rsidRPr="00E7693B">
        <w:rPr>
          <w:rFonts w:ascii="Times New Roman" w:hAnsi="Times New Roman" w:cs="Times New Roman"/>
        </w:rPr>
        <w:t>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asterisks significant differences (P &lt; 0.01); </w:t>
      </w:r>
      <w:r w:rsidRPr="006B61C5">
        <w:rPr>
          <w:rFonts w:ascii="Times New Roman" w:hAnsi="Times New Roman" w:cs="Times New Roman"/>
          <w:b/>
          <w:bCs/>
        </w:rPr>
        <w:t>B:</w:t>
      </w:r>
      <w:r w:rsidRPr="00E7693B">
        <w:rPr>
          <w:rFonts w:ascii="Times New Roman" w:hAnsi="Times New Roman" w:cs="Times New Roman"/>
        </w:rPr>
        <w:t xml:space="preserve"> </w:t>
      </w:r>
      <w:r w:rsidRPr="00E7693B">
        <w:rPr>
          <w:rFonts w:ascii="Times New Roman" w:hAnsi="Times New Roman" w:cs="Times New Roman"/>
          <w:color w:val="000000"/>
        </w:rPr>
        <w:t xml:space="preserve">vial system developed for performing larval feeding choice experiments with one control leaf inside the left vial and one </w:t>
      </w:r>
      <w:proofErr w:type="spellStart"/>
      <w:r w:rsidRPr="00E7693B">
        <w:rPr>
          <w:rFonts w:ascii="Times New Roman" w:hAnsi="Times New Roman" w:cs="Times New Roman"/>
          <w:color w:val="000000"/>
        </w:rPr>
        <w:t>ulvan</w:t>
      </w:r>
      <w:proofErr w:type="spellEnd"/>
      <w:r w:rsidRPr="00E7693B">
        <w:rPr>
          <w:rFonts w:ascii="Times New Roman" w:hAnsi="Times New Roman" w:cs="Times New Roman"/>
          <w:color w:val="000000"/>
        </w:rPr>
        <w:t xml:space="preserve">-treated leaf inside the right vial. Three caterpillars were placed in the T-tube and were given a choice to feed on two types of leaves; </w:t>
      </w:r>
      <w:r w:rsidRPr="006B61C5">
        <w:rPr>
          <w:rFonts w:ascii="Times New Roman" w:hAnsi="Times New Roman" w:cs="Times New Roman"/>
          <w:b/>
          <w:bCs/>
          <w:color w:val="000000"/>
        </w:rPr>
        <w:t>C:</w:t>
      </w:r>
      <w:r w:rsidRPr="00E7693B">
        <w:rPr>
          <w:rFonts w:ascii="Times New Roman" w:hAnsi="Times New Roman" w:cs="Times New Roman"/>
          <w:color w:val="000000"/>
        </w:rPr>
        <w:t xml:space="preserve"> scanned leaves after 48 h of caterpillar feeding.</w:t>
      </w:r>
    </w:p>
    <w:p w14:paraId="2150A179" w14:textId="77777777" w:rsidR="00E7693B" w:rsidRPr="00E7693B" w:rsidRDefault="00E7693B" w:rsidP="00544143">
      <w:pPr>
        <w:spacing w:after="0" w:line="360" w:lineRule="auto"/>
        <w:jc w:val="both"/>
        <w:rPr>
          <w:rFonts w:ascii="Times New Roman" w:hAnsi="Times New Roman" w:cs="Times New Roman"/>
        </w:rPr>
      </w:pPr>
    </w:p>
    <w:p w14:paraId="2150A17A" w14:textId="77777777" w:rsidR="00E7693B" w:rsidRPr="00CF0A23" w:rsidRDefault="00E7693B" w:rsidP="00EC70C2">
      <w:pPr>
        <w:pStyle w:val="Heading3"/>
      </w:pPr>
      <w:bookmarkStart w:id="72" w:name="_Toc167977639"/>
      <w:r w:rsidRPr="00CF0A23">
        <w:t>Discussion</w:t>
      </w:r>
      <w:bookmarkEnd w:id="72"/>
    </w:p>
    <w:p w14:paraId="2150A17B" w14:textId="77777777" w:rsidR="00E7693B" w:rsidRPr="00CF0A23" w:rsidRDefault="00E7693B" w:rsidP="00CF0A23">
      <w:pPr>
        <w:spacing w:after="0" w:line="360" w:lineRule="auto"/>
        <w:jc w:val="both"/>
        <w:rPr>
          <w:rFonts w:ascii="Times New Roman" w:hAnsi="Times New Roman" w:cs="Times New Roman"/>
          <w:sz w:val="24"/>
          <w:szCs w:val="24"/>
        </w:rPr>
      </w:pPr>
    </w:p>
    <w:p w14:paraId="2150A17C" w14:textId="1FAF1A62" w:rsidR="00E7693B" w:rsidRPr="00CF0A23" w:rsidRDefault="00E7693B" w:rsidP="00CF0A23">
      <w:pPr>
        <w:pBdr>
          <w:top w:val="nil"/>
          <w:left w:val="nil"/>
          <w:bottom w:val="nil"/>
          <w:right w:val="nil"/>
          <w:between w:val="nil"/>
        </w:pBdr>
        <w:spacing w:after="0" w:line="360" w:lineRule="auto"/>
        <w:ind w:firstLine="432"/>
        <w:jc w:val="both"/>
        <w:rPr>
          <w:rFonts w:ascii="Times New Roman" w:hAnsi="Times New Roman" w:cs="Times New Roman"/>
          <w:color w:val="000000"/>
          <w:sz w:val="24"/>
          <w:szCs w:val="24"/>
        </w:rPr>
      </w:pPr>
      <w:r w:rsidRPr="00CF0A23">
        <w:rPr>
          <w:rFonts w:ascii="Times New Roman" w:hAnsi="Times New Roman" w:cs="Times New Roman"/>
          <w:color w:val="000000"/>
          <w:sz w:val="24"/>
          <w:szCs w:val="24"/>
        </w:rPr>
        <w:t xml:space="preserve">Efficient, cheap, and environmentally friendly compounds, which could substitute synthetic pesticides, are of a high interest. Compounds inducing plant resistance to pathogens and pests pose a promising strategy. BTH is considered a powerful inducer of plant resistance to pathogens. Upon BTH perception, plants undergo activation of defence </w:t>
      </w:r>
      <w:proofErr w:type="spellStart"/>
      <w:r w:rsidRPr="00CF0A23">
        <w:rPr>
          <w:rFonts w:ascii="Times New Roman" w:hAnsi="Times New Roman" w:cs="Times New Roman"/>
          <w:color w:val="000000"/>
          <w:sz w:val="24"/>
          <w:szCs w:val="24"/>
        </w:rPr>
        <w:t>signaling</w:t>
      </w:r>
      <w:proofErr w:type="spellEnd"/>
      <w:r w:rsidRPr="00CF0A23">
        <w:rPr>
          <w:rFonts w:ascii="Times New Roman" w:hAnsi="Times New Roman" w:cs="Times New Roman"/>
          <w:color w:val="000000"/>
          <w:sz w:val="24"/>
          <w:szCs w:val="24"/>
        </w:rPr>
        <w:t xml:space="preserve"> pathways, and eventually develop the ability of resistance to pests </w:t>
      </w:r>
      <w:r w:rsidR="008840AD">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{"citationID":"u4HvSekd","properties":{"formattedCitation":"(Li et al., 2018)","plainCitation":"(Li et al., 2018)","noteIndex":0},"citationItems":[{"id":658,"uris":["http://zotero.org/users/10895598/items/WB4UXMZ8"],"itemData":{"id":658,"type":"article-journal","container-title":"Molecules","DOI":"10.3390/molecules23061290","ISSN":"1420-3049","issue":"6","journalAbbreviation":"Molecules","language":"en","page":"1290","source":"DOI.org (Crossref)","title":"Benzothiadiazole and B-aminobutyric acid induce resistance to &lt;i&gt;Ectropis Obliqua&lt;/i&gt; in tea plants (&lt;i&gt;Camellia Sinensis&lt;/i&gt; (L.) O. Kuntz)","volume":"23","author":[{"family":"Li","given":"Huan"},{"family":"Yu","given":"Ying"},{"family":"Li","given":"Zhenzhen"},{"family":"Arkorful","given":"Emmanuel"},{"family":"Yang","given":"Yiyang"},{"family":"Liu","given":"Xinqiu"},{"family":"Li","given":"Xinghui"},{"family":"Li","given":"Ronglin"}],"issued":{"date-parts":[["2018",5,28]]}}}],"schema":"https://github.com/citation-style-language/schema/raw/master/csl-citation.json"} </w:instrText>
      </w:r>
      <w:r w:rsidR="008840AD">
        <w:rPr>
          <w:rFonts w:ascii="Times New Roman" w:hAnsi="Times New Roman" w:cs="Times New Roman"/>
          <w:color w:val="000000"/>
          <w:sz w:val="24"/>
          <w:szCs w:val="24"/>
        </w:rPr>
        <w:fldChar w:fldCharType="separate"/>
      </w:r>
      <w:r w:rsidR="008840AD" w:rsidRPr="008840AD">
        <w:rPr>
          <w:rFonts w:ascii="Times New Roman" w:hAnsi="Times New Roman" w:cs="Times New Roman"/>
          <w:sz w:val="24"/>
        </w:rPr>
        <w:t>(Li et al., 2018)</w:t>
      </w:r>
      <w:r w:rsidR="008840AD">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Although it does not induce SA biosynthesis, BTH activates SA-dependent defence responses in plants and rather mimics SA function, which was proven in dicot plants </w:t>
      </w:r>
      <w:r w:rsidR="008840AD">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{"citationID":"FD5uc281","properties":{"formattedCitation":"(Blanco et al., 2009)","plainCitation":"(Blanco et al., 2009)","noteIndex":0},"citationItems":[{"id":657,"uris":["http://zotero.org/users/10895598/items/I9UFYBGZ"],"itemData":{"id":657,"type":"article-journal","container-title":"Plant Molecular Biology","DOI":"10.1007/s11103-009-9458-1","ISSN":"0167-4412, 1573-5028","issue":"1-2","journalAbbreviation":"Plant Mol Biol","language":"en","page":"79-102","source":"DOI.org (Crossref)","title":"Early genomic responses to salicylic acid in Arabidopsis","volume":"70","author":[{"family":"Blanco","given":"Francisca"},{"family":"Salinas","given":"Paula"},{"family":"Cecchini","given":"Nicolás M."},{"family":"Jordana","given":"Xavier"},{"family":"Van Hummelen","given":"Paul"},{"family":"Alvarez","given":"María Elena"},{"family":"Holuigue","given":"Loreto"}],"issued":{"date-parts":[["2009",5]]}}}],"schema":"https://github.com/citation-style-language/schema/raw/master/csl-citation.json"} </w:instrText>
      </w:r>
      <w:r w:rsidR="008840AD">
        <w:rPr>
          <w:rFonts w:ascii="Times New Roman" w:hAnsi="Times New Roman" w:cs="Times New Roman"/>
          <w:color w:val="000000"/>
          <w:sz w:val="24"/>
          <w:szCs w:val="24"/>
        </w:rPr>
        <w:fldChar w:fldCharType="separate"/>
      </w:r>
      <w:r w:rsidR="008840AD" w:rsidRPr="008840AD">
        <w:rPr>
          <w:rFonts w:ascii="Times New Roman" w:hAnsi="Times New Roman" w:cs="Times New Roman"/>
          <w:sz w:val="24"/>
        </w:rPr>
        <w:t>(Blanco et al., 2009)</w:t>
      </w:r>
      <w:r w:rsidR="008840AD">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Despite widely accepted opinion on nearly identical functions of BTH and SA, it has been reported recently that several upregulated and downregulated genes significantly differed in response to these two compounds in </w:t>
      </w:r>
      <w:proofErr w:type="spellStart"/>
      <w:r w:rsidRPr="00CF0A23">
        <w:rPr>
          <w:rFonts w:ascii="Times New Roman" w:hAnsi="Times New Roman" w:cs="Times New Roman"/>
          <w:i/>
          <w:color w:val="000000"/>
          <w:sz w:val="24"/>
          <w:szCs w:val="24"/>
        </w:rPr>
        <w:t>Brachypodium</w:t>
      </w:r>
      <w:proofErr w:type="spellEnd"/>
      <w:r w:rsidRPr="00CF0A23">
        <w:rPr>
          <w:rFonts w:ascii="Times New Roman" w:hAnsi="Times New Roman" w:cs="Times New Roman"/>
          <w:i/>
          <w:color w:val="000000"/>
          <w:sz w:val="24"/>
          <w:szCs w:val="24"/>
        </w:rPr>
        <w:t xml:space="preserve"> </w:t>
      </w:r>
      <w:proofErr w:type="spellStart"/>
      <w:r w:rsidRPr="00CF0A23">
        <w:rPr>
          <w:rFonts w:ascii="Times New Roman" w:hAnsi="Times New Roman" w:cs="Times New Roman"/>
          <w:i/>
          <w:color w:val="000000"/>
          <w:sz w:val="24"/>
          <w:szCs w:val="24"/>
        </w:rPr>
        <w:t>distachyon</w:t>
      </w:r>
      <w:proofErr w:type="spellEnd"/>
      <w:r w:rsidRPr="00CF0A23">
        <w:rPr>
          <w:rFonts w:ascii="Times New Roman" w:hAnsi="Times New Roman" w:cs="Times New Roman"/>
          <w:i/>
          <w:color w:val="000000"/>
          <w:sz w:val="24"/>
          <w:szCs w:val="24"/>
        </w:rPr>
        <w:t xml:space="preserve"> </w:t>
      </w:r>
      <w:r w:rsidR="008840AD">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{"citationID":"uVNEVuiv","properties":{"formattedCitation":"(Kouzai et al., 2018)","plainCitation":"(Kouzai et al., 2018)","noteIndex":0},"citationItems":[{"id":656,"uris":["http://zotero.org/users/10895598/items/KULPJSW9"],"itemData":{"id":656,"type":"article-journal","abstract":"Abstract\n            \n              Plant defense inducers that mimic functions of the plant immune hormone salicylic acid (SA) often affect plant growth. Although benzothiadiazole (BTH), a synthetic analog of SA, has been widely used to protect crops from diseases by inducing plant defense responses, we recently demonstrated that SA, but not BTH, confers resistance against\n              Rhizoctonia solani\n              , the causal agent of sheath blight disease, in\n              Brachypodium distachyon\n              . Here, we demonstrated that BTH compromised the resistance of Bd3-1 and Gaz4, the two sheath blight-resistant accessions of\n              B\n              .\n              distachyon\n              , which activate SA-dependent signaling following challenge by\n              R\n              .\n              solani\n              . Moreover, upon analyzing our published RNA-seq data from\n              B\n              .\n              distachyon\n              treated with SA or BTH, we found that BTH specifically induces expression of genes related to chloroplast function and jasmonic acid (JA) signaling, suggesting that BTH attenuates\n              R\n              .\n              solani\n              resistance by perturbing growth-defense trade-offs and/or by inducing a JA response that may increase susceptibility to\n              R\n              .\n              solani\n              . Our findings demonstrated that BTH does not work as a simple mimic of SA in\n              B\n              .\n              distachyon\n              , and consequently may presumably cause unfavorable side effects through the transcriptional alteration, particularly with respect to\n              R\n              .\n              solani\n              resistance.","container-title":"Scientific Reports","DOI":"10.1038/s41598-018-35790-w","ISSN":"2045-2322","issue":"1","journalAbbreviation":"Sci Rep","language":"en","page":"17358","source":"DOI.org (Crossref)","title":"Benzothiadiazole, a plant defense inducer, negatively regulates sheath blight resistance in &lt;i&gt;Brachypodium distachyon&lt;/i&gt;","volume":"8","author":[{"family":"Kouzai","given":"Yusuke"},{"family":"Noutoshi","given":"Yoshiteru"},{"family":"Inoue","given":"Komaki"},{"family":"Shimizu","given":"Minami"},{"family":"Onda","given":"Yoshihiko"},{"family":"Mochida","given":"Keiichi"}],"issued":{"date-parts":[["2018",11,26]]}}}],"schema":"https://github.com/citation-style-language/schema/raw/master/csl-citation.json"} </w:instrText>
      </w:r>
      <w:r w:rsidR="008840AD">
        <w:rPr>
          <w:rFonts w:ascii="Times New Roman" w:hAnsi="Times New Roman" w:cs="Times New Roman"/>
          <w:color w:val="000000"/>
          <w:sz w:val="24"/>
          <w:szCs w:val="24"/>
        </w:rPr>
        <w:fldChar w:fldCharType="separate"/>
      </w:r>
      <w:r w:rsidR="008840AD" w:rsidRPr="008840AD">
        <w:rPr>
          <w:rFonts w:ascii="Times New Roman" w:hAnsi="Times New Roman" w:cs="Times New Roman"/>
          <w:sz w:val="24"/>
        </w:rPr>
        <w:t>(Kouzai et al., 2018)</w:t>
      </w:r>
      <w:r w:rsidR="008840AD">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Accordingly, these compounds may differ in th</w:t>
      </w:r>
      <w:r w:rsidR="0077442F">
        <w:rPr>
          <w:rFonts w:ascii="Times New Roman" w:hAnsi="Times New Roman" w:cs="Times New Roman"/>
          <w:color w:val="000000"/>
          <w:sz w:val="24"/>
          <w:szCs w:val="24"/>
        </w:rPr>
        <w:t>eir activity in individual host–</w:t>
      </w:r>
      <w:r w:rsidRPr="00CF0A23">
        <w:rPr>
          <w:rFonts w:ascii="Times New Roman" w:hAnsi="Times New Roman" w:cs="Times New Roman"/>
          <w:color w:val="000000"/>
          <w:sz w:val="24"/>
          <w:szCs w:val="24"/>
        </w:rPr>
        <w:t xml:space="preserve">pathogen interactions in inducing resistance </w:t>
      </w:r>
      <w:r w:rsidR="008840AD">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{"citationID":"lA7QYbid","properties":{"formattedCitation":"(Sugano et al., 2010)","plainCitation":"(Sugano et al., 2010)","noteIndex":0},"citationItems":[{"id":655,"uris":["http://zotero.org/users/10895598/items/C4LJ2UFD"],"itemData":{"id":655,"type":"article-journal","container-title":"Plant Molecular Biology","DOI":"10.1007/s11103-010-9695-3","ISSN":"0167-4412, 1573-5028","issue":"6","journalAbbreviation":"Plant Mol Biol","language":"en","page":"549-562","source":"DOI.org (Crossref)","title":"Role of OsNPR1 in rice defense program as revealed by genome-wide expression analysis","volume":"74","author":[{"family":"Sugano","given":"Shoji"},{"family":"Jiang","given":"Chang-Jie"},{"family":"Miyazawa","given":"Shin-Ichi"},{"family":"Masumoto","given":"Chisato"},{"family":"Yazawa","given":"Katsumi"},{"family":"Hayashi","given":"Nagao"},{"family":"Shimono","given":"Masaki"},{"family":"Nakayama","given":"Akira"},{"family":"Miyao","given":"Mitsue"},{"family":"Takatsuji","given":"Hiroshi"}],"issued":{"date-parts":[["2010",12]]}}}],"schema":"https://github.com/citation-style-language/schema/raw/master/csl-citation.json"} </w:instrText>
      </w:r>
      <w:r w:rsidR="008840AD">
        <w:rPr>
          <w:rFonts w:ascii="Times New Roman" w:hAnsi="Times New Roman" w:cs="Times New Roman"/>
          <w:color w:val="000000"/>
          <w:sz w:val="24"/>
          <w:szCs w:val="24"/>
        </w:rPr>
        <w:fldChar w:fldCharType="separate"/>
      </w:r>
      <w:r w:rsidR="008840AD" w:rsidRPr="008840AD">
        <w:rPr>
          <w:rFonts w:ascii="Times New Roman" w:hAnsi="Times New Roman" w:cs="Times New Roman"/>
          <w:sz w:val="24"/>
        </w:rPr>
        <w:t>(Sugano et al., 2010)</w:t>
      </w:r>
      <w:r w:rsidR="008840AD">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Available data on BTH-induced plant resistance to insect herbivores are scarce; however, several studies are documenting none or weak effect </w:t>
      </w:r>
      <w:r w:rsidR="008840AD">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{"citationID":"EIRzG1fU","properties":{"formattedCitation":"(Gordy et al., 2015)","plainCitation":"(Gordy et al., 2015)","noteIndex":0},"citationItems":[{"id":654,"uris":["http://zotero.org/users/10895598/items/DNQYDFES"],"itemData":{"id":654,"type":"article-journal","container-title":"PLOS ONE","DOI":"10.1371/journal.pone.0136689","ISSN":"1932-6203","issue":"9","journalAbbreviation":"PLoS ONE","language":"en","page":"e0136689","source":"DOI.org (Crossref)","title":"Comparative effectiveness of potential elicitors of plant resistance against &lt;i&gt;Spodoptera frugiperda&lt;/i&gt; (J. E. Smith) (Lepidoptera: Noctuidae) in four crop plants","title-short":"Comparative Effectiveness of Potential Elicitors of Plant Resistance against Spodoptera frugiperda (J. E. Smith) (Lepidoptera","volume":"10","author":[{"family":"Gordy","given":"John W."},{"family":"Leonard","given":"B. Rogers"},{"family":"Blouin","given":"David"},{"family":"Davis","given":"Jeffrey A."},{"family":"Stout","given":"Michael J."}],"editor":[{"family":"Luthe","given":"Dawn Sywassink"}],"issued":{"date-parts":[["2015",9,2]]}}}],"schema":"https://github.com/citation-style-language/schema/raw/master/csl-citation.json"} </w:instrText>
      </w:r>
      <w:r w:rsidR="008840AD">
        <w:rPr>
          <w:rFonts w:ascii="Times New Roman" w:hAnsi="Times New Roman" w:cs="Times New Roman"/>
          <w:color w:val="000000"/>
          <w:sz w:val="24"/>
          <w:szCs w:val="24"/>
        </w:rPr>
        <w:fldChar w:fldCharType="separate"/>
      </w:r>
      <w:r w:rsidR="008840AD" w:rsidRPr="008840AD">
        <w:rPr>
          <w:rFonts w:ascii="Times New Roman" w:hAnsi="Times New Roman" w:cs="Times New Roman"/>
          <w:sz w:val="24"/>
        </w:rPr>
        <w:t>(Gordy et al., 2015)</w:t>
      </w:r>
      <w:r w:rsidR="008840AD">
        <w:rPr>
          <w:rFonts w:ascii="Times New Roman" w:hAnsi="Times New Roman" w:cs="Times New Roman"/>
          <w:color w:val="000000"/>
          <w:sz w:val="24"/>
          <w:szCs w:val="24"/>
        </w:rPr>
        <w:fldChar w:fldCharType="end"/>
      </w:r>
      <w:r w:rsidR="00755BFE">
        <w:rPr>
          <w:rFonts w:ascii="Times New Roman" w:hAnsi="Times New Roman" w:cs="Times New Roman"/>
          <w:color w:val="000000"/>
          <w:sz w:val="24"/>
          <w:szCs w:val="24"/>
        </w:rPr>
        <w:t>. R</w:t>
      </w:r>
      <w:r w:rsidRPr="00CF0A23">
        <w:rPr>
          <w:rFonts w:ascii="Times New Roman" w:hAnsi="Times New Roman" w:cs="Times New Roman"/>
          <w:color w:val="000000"/>
          <w:sz w:val="24"/>
          <w:szCs w:val="24"/>
        </w:rPr>
        <w:t>esults</w:t>
      </w:r>
      <w:r w:rsidR="00755BFE">
        <w:rPr>
          <w:rFonts w:ascii="Times New Roman" w:hAnsi="Times New Roman" w:cs="Times New Roman"/>
          <w:color w:val="000000"/>
          <w:sz w:val="24"/>
          <w:szCs w:val="24"/>
        </w:rPr>
        <w:t xml:space="preserve"> presented here</w:t>
      </w:r>
      <w:r w:rsidRPr="00CF0A23">
        <w:rPr>
          <w:rFonts w:ascii="Times New Roman" w:hAnsi="Times New Roman" w:cs="Times New Roman"/>
          <w:color w:val="000000"/>
          <w:sz w:val="24"/>
          <w:szCs w:val="24"/>
        </w:rPr>
        <w:t xml:space="preserve"> reveal that BTH activates both local and systemic </w:t>
      </w:r>
      <w:r w:rsidRPr="00CF0A23">
        <w:rPr>
          <w:rFonts w:ascii="Times New Roman" w:hAnsi="Times New Roman" w:cs="Times New Roman"/>
          <w:i/>
          <w:color w:val="000000"/>
          <w:sz w:val="24"/>
          <w:szCs w:val="24"/>
        </w:rPr>
        <w:t>PR1</w:t>
      </w:r>
      <w:r w:rsidRPr="00CF0A23">
        <w:rPr>
          <w:rFonts w:ascii="Times New Roman" w:hAnsi="Times New Roman" w:cs="Times New Roman"/>
          <w:color w:val="000000"/>
          <w:sz w:val="24"/>
          <w:szCs w:val="24"/>
        </w:rPr>
        <w:t xml:space="preserve"> gene transcription in oilseed rape. Moreover, the method of BTH plant treatment affected caterpillar performance in distinct manner. While locally BTH-treated true leaves deterred </w:t>
      </w:r>
      <w:r w:rsidRPr="00CF0A23">
        <w:rPr>
          <w:rFonts w:ascii="Times New Roman" w:hAnsi="Times New Roman" w:cs="Times New Roman"/>
          <w:i/>
          <w:color w:val="000000"/>
          <w:sz w:val="24"/>
          <w:szCs w:val="24"/>
        </w:rPr>
        <w:t xml:space="preserve">P. </w:t>
      </w:r>
      <w:proofErr w:type="spellStart"/>
      <w:r w:rsidRPr="00CF0A23">
        <w:rPr>
          <w:rFonts w:ascii="Times New Roman" w:hAnsi="Times New Roman" w:cs="Times New Roman"/>
          <w:i/>
          <w:color w:val="000000"/>
          <w:sz w:val="24"/>
          <w:szCs w:val="24"/>
        </w:rPr>
        <w:t>xylostella</w:t>
      </w:r>
      <w:proofErr w:type="spellEnd"/>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 xml:space="preserve">caterpillars, the systemic non-treated leaves did not affect caterpillar choice. </w:t>
      </w:r>
      <w:r w:rsidR="00544355">
        <w:rPr>
          <w:rFonts w:ascii="Times New Roman" w:hAnsi="Times New Roman" w:cs="Times New Roman"/>
          <w:color w:val="000000"/>
          <w:sz w:val="24"/>
          <w:szCs w:val="24"/>
        </w:rPr>
        <w:t>These</w:t>
      </w:r>
      <w:r w:rsidRPr="00CF0A23">
        <w:rPr>
          <w:rFonts w:ascii="Times New Roman" w:hAnsi="Times New Roman" w:cs="Times New Roman"/>
          <w:color w:val="000000"/>
          <w:sz w:val="24"/>
          <w:szCs w:val="24"/>
        </w:rPr>
        <w:t xml:space="preserve"> results agree with previous findings by </w:t>
      </w:r>
      <w:r w:rsidR="008840AD">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{"citationID":"e5SYeIHG","properties":{"formattedCitation":"(Nombela et al., 2005)","plainCitation":"(Nombela et al., 2005)","noteIndex":0},"citationItems":[{"id":650,"uris":["http://zotero.org/users/10895598/items/U4FRYEQK"],"itemData":{"id":650,"type":"article-journal","container-title":"Journal of Economic Entomology","DOI":"10.1093/jee/98.6.2266","ISSN":"1938-291X, 0022-0493","issue":"6","language":"en","page":"2266-2271","source":"DOI.org (Crossref)","title":"Benzothiadiazole induces local resistance to &lt;i&gt;Bemisia tabaci&lt;/i&gt; (Hemiptera: Aleyrodidae) in tomato plants","title-short":"Benzothiadiazole Induces Local Resistance to Bemisia tabaci (Hemiptera","volume":"98","author":[{"family":"Nombela","given":"Gloria"},{"family":"Pascual","given":"Susana"},{"family":"Aviles","given":"Milagros"},{"family":"Guillard","given":"Emilie"},{"family":"Muñiz","given":"Mariano"}],"issued":{"date-parts":[["2005",12,1]]}}}],"schema":"https://github.com/citation-style-language/schema/raw/master/csl-citation.json"} </w:instrText>
      </w:r>
      <w:r w:rsidR="008840AD">
        <w:rPr>
          <w:rFonts w:ascii="Times New Roman" w:hAnsi="Times New Roman" w:cs="Times New Roman"/>
          <w:color w:val="000000"/>
          <w:sz w:val="24"/>
          <w:szCs w:val="24"/>
        </w:rPr>
        <w:fldChar w:fldCharType="separate"/>
      </w:r>
      <w:r w:rsidR="008840AD" w:rsidRPr="008840AD">
        <w:rPr>
          <w:rFonts w:ascii="Times New Roman" w:hAnsi="Times New Roman" w:cs="Times New Roman"/>
          <w:sz w:val="24"/>
        </w:rPr>
        <w:t>(Nombela et al., 2005)</w:t>
      </w:r>
      <w:r w:rsidR="008840AD">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showing that BTH treatment negatively affected the egg-laying and development of </w:t>
      </w:r>
      <w:proofErr w:type="spellStart"/>
      <w:r w:rsidRPr="00CF0A23">
        <w:rPr>
          <w:rFonts w:ascii="Times New Roman" w:hAnsi="Times New Roman" w:cs="Times New Roman"/>
          <w:i/>
          <w:color w:val="000000"/>
          <w:sz w:val="24"/>
          <w:szCs w:val="24"/>
        </w:rPr>
        <w:t>Bemisia</w:t>
      </w:r>
      <w:proofErr w:type="spellEnd"/>
      <w:r w:rsidRPr="00CF0A23">
        <w:rPr>
          <w:rFonts w:ascii="Times New Roman" w:hAnsi="Times New Roman" w:cs="Times New Roman"/>
          <w:i/>
          <w:color w:val="000000"/>
          <w:sz w:val="24"/>
          <w:szCs w:val="24"/>
        </w:rPr>
        <w:t xml:space="preserve"> </w:t>
      </w:r>
      <w:proofErr w:type="spellStart"/>
      <w:r w:rsidRPr="00CF0A23">
        <w:rPr>
          <w:rFonts w:ascii="Times New Roman" w:hAnsi="Times New Roman" w:cs="Times New Roman"/>
          <w:i/>
          <w:color w:val="000000"/>
          <w:sz w:val="24"/>
          <w:szCs w:val="24"/>
        </w:rPr>
        <w:t>tabaci</w:t>
      </w:r>
      <w:proofErr w:type="spellEnd"/>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 xml:space="preserve">in tomato plants. Later, Li et al. (2018) observed that foliar application of BTH and BABA ultimately inhibited growth, development, and performance of geometrid larvae </w:t>
      </w:r>
      <w:proofErr w:type="spellStart"/>
      <w:r w:rsidRPr="00CF0A23">
        <w:rPr>
          <w:rFonts w:ascii="Times New Roman" w:hAnsi="Times New Roman" w:cs="Times New Roman"/>
          <w:i/>
          <w:color w:val="000000"/>
          <w:sz w:val="24"/>
          <w:szCs w:val="24"/>
        </w:rPr>
        <w:t>Ectropis</w:t>
      </w:r>
      <w:proofErr w:type="spellEnd"/>
      <w:r w:rsidRPr="00CF0A23">
        <w:rPr>
          <w:rFonts w:ascii="Times New Roman" w:hAnsi="Times New Roman" w:cs="Times New Roman"/>
          <w:i/>
          <w:color w:val="000000"/>
          <w:sz w:val="24"/>
          <w:szCs w:val="24"/>
        </w:rPr>
        <w:t xml:space="preserve"> </w:t>
      </w:r>
      <w:proofErr w:type="spellStart"/>
      <w:r w:rsidRPr="00CF0A23">
        <w:rPr>
          <w:rFonts w:ascii="Times New Roman" w:hAnsi="Times New Roman" w:cs="Times New Roman"/>
          <w:i/>
          <w:color w:val="000000"/>
          <w:sz w:val="24"/>
          <w:szCs w:val="24"/>
        </w:rPr>
        <w:t>obliqua</w:t>
      </w:r>
      <w:proofErr w:type="spellEnd"/>
      <w:r w:rsidRPr="00CF0A23">
        <w:rPr>
          <w:rFonts w:ascii="Times New Roman" w:hAnsi="Times New Roman" w:cs="Times New Roman"/>
          <w:color w:val="000000"/>
          <w:sz w:val="24"/>
          <w:szCs w:val="24"/>
        </w:rPr>
        <w:t>,</w:t>
      </w:r>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 xml:space="preserve">characterized by decreased body weight, prolonged development duration, and lower rates of survival, pupation and emergence of larvae compared to control. Several studies have described that peroxidase (PPO), polyphenol oxidase (POD) and phenylalanine ammonia-lyase (PAL) are involved in induced plant resistance to herbivores, and elicitors that trigger the activity of these enzymes could, therefore, induce plant resistance to insect herbivores </w:t>
      </w:r>
      <w:r w:rsidR="008840AD">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{"citationID":"Dm66CAXJ","properties":{"formattedCitation":"(Li et al., 2018; War et al., 2012)","plainCitation":"(Li et al., 2018; War et al., 2012)","noteIndex":0},"citationItems":[{"id":658,"uris":["http://zotero.org/users/10895598/items/WB4UXMZ8"],"itemData":{"id":658,"type":"article-journal","container-title":"Molecules","DOI":"10.3390/molecules23061290","ISSN":"1420-3049","issue":"6","journalAbbreviation":"Molecules","language":"en","page":"1290","source":"DOI.org (Crossref)","title":"Benzothiadiazole and B-aminobutyric acid induce resistance to &lt;i&gt;Ectropis Obliqua&lt;/i&gt; in tea plants (&lt;i&gt;Camellia Sinensis&lt;/i&gt; (L.) O. Kuntz)","volume":"23","author":[{"family":"Li","given":"Huan"},{"family":"Yu","given":"Ying"},{"family":"Li","given":"Zhenzhen"},{"family":"Arkorful","given":"Emmanuel"},{"family":"Yang","given":"Yiyang"},{"family":"Liu","given":"Xinqiu"},{"family":"Li","given":"Xinghui"},{"family":"Li","given":"Ronglin"}],"issued":{"date-parts":[["2018",5,28]]}}},{"id":594,"uris":["http://zotero.org/users/10895598/items/XMWX5GJ5"],"itemData":{"id":594,"type":"article-journal","container-title":"Plant Signaling &amp; Behavior","DOI":"10.4161/psb.21663","ISSN":"1559-2324","issue":"10","journalAbbreviation":"Plant Signaling &amp; Behavior","language":"en","page":"1306-1320","source":"DOI.org (Crossref)","title":"Mechanisms of plant defense against insect herbivores","volume":"7","author":[{"family":"War","given":"Abdul Rashid"},{"family":"Paulraj","given":"Michael Gabriel"},{"family":"Ahmad","given":"Tariq"},{"family":"Buhroo","given":"Abdul Ahad"},{"family":"Hussain","given":"Barkat"},{"family":"Ignacimuthu","given":"Savarimuthu"},{"family":"Sharma","given":"Hari Chand"}],"issued":{"date-parts":[["2012",10]]}}}],"schema":"https://github.com/citation-style-language/schema/raw/master/csl-citation.json"} </w:instrText>
      </w:r>
      <w:r w:rsidR="008840AD">
        <w:rPr>
          <w:rFonts w:ascii="Times New Roman" w:hAnsi="Times New Roman" w:cs="Times New Roman"/>
          <w:color w:val="000000"/>
          <w:sz w:val="24"/>
          <w:szCs w:val="24"/>
        </w:rPr>
        <w:fldChar w:fldCharType="separate"/>
      </w:r>
      <w:r w:rsidR="008840AD" w:rsidRPr="008840AD">
        <w:rPr>
          <w:rFonts w:ascii="Times New Roman" w:hAnsi="Times New Roman" w:cs="Times New Roman"/>
          <w:sz w:val="24"/>
        </w:rPr>
        <w:t>(Li et al., 2018; War et al., 2012)</w:t>
      </w:r>
      <w:r w:rsidR="008840AD">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w:t>
      </w:r>
      <w:r w:rsidR="008840AD">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{"citationID":"QUNBFBTR","properties":{"formattedCitation":"(Li et al., 2016)","plainCitation":"(Li et al., 2016)","dontUpdate":true,"noteIndex":0},"citationItems":[{"id":668,"uris":["http://zotero.org/users/10895598/items/V5H278TW"],"itemData":{"id":668,"type":"article-journal","container-title":"Southwest China Journal of Agricultural Sciences","issue":"7","note":"ISBN: 1001-4829\npublisher: Editorial Department of Southwest China Journal of Agricultural Sciences","page":"1600-1606","title":"Changes of insect-resistance relative physiology indexes induced by low molecular compounds in tea plant.","volume":"29","author":[{"family":"Li","given":"RongLin"},{"family":"Hu","given":"YunFei"},{"family":"Yang","given":"YiYang"},{"family":"Wang","given":"WenLi"},{"family":"Shen","given":"JiaFang"}],"issued":{"date-parts":[["2016"]]}}}],"schema":"https://github.com/citation-style-language/schema/raw/master/csl-citation.json"} </w:instrText>
      </w:r>
      <w:r w:rsidR="008840AD">
        <w:rPr>
          <w:rFonts w:ascii="Times New Roman" w:hAnsi="Times New Roman" w:cs="Times New Roman"/>
          <w:color w:val="000000"/>
          <w:sz w:val="24"/>
          <w:szCs w:val="24"/>
        </w:rPr>
        <w:fldChar w:fldCharType="separate"/>
      </w:r>
      <w:r w:rsidR="008840AD">
        <w:rPr>
          <w:rFonts w:ascii="Times New Roman" w:hAnsi="Times New Roman" w:cs="Times New Roman"/>
          <w:sz w:val="24"/>
        </w:rPr>
        <w:t>Li et al. (</w:t>
      </w:r>
      <w:r w:rsidR="008840AD" w:rsidRPr="008840AD">
        <w:rPr>
          <w:rFonts w:ascii="Times New Roman" w:hAnsi="Times New Roman" w:cs="Times New Roman"/>
          <w:sz w:val="24"/>
        </w:rPr>
        <w:t>2016)</w:t>
      </w:r>
      <w:r w:rsidR="008840AD">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found that BTH and BABA may trigger the upregulation of PPO, POD, and PAL accumulation in tea plants, which would indicate that BTH and BABA likely play a critical role in plant resistance to attackers. Moreover, BTH treatment causes changes in GLS levels of plants </w:t>
      </w:r>
      <w:r w:rsidR="008840AD">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{"citationID":"djzrxVLJ","properties":{"formattedCitation":"(Thakur et al., 2014)","plainCitation":"(Thakur et al., 2014)","noteIndex":0},"citationItems":[{"id":672,"uris":["http://zotero.org/users/10895598/items/EVZ72SRQ"],"itemData":{"id":672,"type":"article-journal","abstract":"A field experiment was conducted during 2011-12 at Punjab Agricultural University, Ludhiana, India to assess the effect of foliar application of elicitors viz., salicylic acid (SA) and benzothiadiazole (BTH) on biochemical constituents of Brassica seeds. Seeds of Brassica juncea and B. napus were sown in the field during rabi season. Four different treatments of elicitors along with a fungicide and control were given to 10 week old plants up to four consecutive weeks. After harvesting, the seeds were analyzed for oil, total soluble protein and glucosinolate content. Results indicated that the elicitor treatments increased the oil, total soluble protein and glucosinolate content in seeds of both the Brassica species. In B. juncea, BTH (7 ppm) + SA (17 ppm) showed 12.5% higher oil content than control. In B. napus, the combinations of elicitors viz., BTH (3 ppm) + SA (33 ppm) and BTH (7 ppm) + SA (17 ppm) exhibited 15% increase in oil content compared to control. Treatment containing BTH (3 ppm) + SA (33 ppm) showed 18.72 and 15.86% higher total soluble protein content in B. juncea and B. napus seeds, respectively compared to control. In B. juncea, BTH (3 ppm) + SA (33 ppm) exhibited 7.13% higher glucosinolate content compared to control. In B. napus, BTH (7 ppm) + SA (17 ppm) showed 11.23% higher glucosinolate content than control. In conclusion, the application of elicitors, i.e., SA and BTH could be a useful tool for improving the nutritive value of B. juncea and B. napus seeds.","container-title":"Journal of Applied and Natural Science","DOI":"10.31018/jans.v6i2.526","ISSN":"2231-5209, 0974-9411","issue":"2","journalAbbreviation":"JANS","page":"725-728","source":"DOI.org (Crossref)","title":"Biochemical attributes of Indian mustard (&lt;i&gt;Brassica juncea&lt;/i&gt;) and rapeseed (&lt;i&gt;B. napus&lt;/i&gt;) as influenced by salicylic acid and benzothiadiazole","volume":"6","author":[{"family":"Thakur","given":"Meenakshi"},{"family":"Sohal","given":"B. S."},{"family":"Sharma","given":"Sanjula"}],"issued":{"date-parts":[["2014",12,1]]}}}],"schema":"https://github.com/citation-style-language/schema/raw/master/csl-citation.json"} </w:instrText>
      </w:r>
      <w:r w:rsidR="008840AD">
        <w:rPr>
          <w:rFonts w:ascii="Times New Roman" w:hAnsi="Times New Roman" w:cs="Times New Roman"/>
          <w:color w:val="000000"/>
          <w:sz w:val="24"/>
          <w:szCs w:val="24"/>
        </w:rPr>
        <w:fldChar w:fldCharType="separate"/>
      </w:r>
      <w:r w:rsidR="008840AD" w:rsidRPr="008840AD">
        <w:rPr>
          <w:rFonts w:ascii="Times New Roman" w:hAnsi="Times New Roman" w:cs="Times New Roman"/>
          <w:sz w:val="24"/>
        </w:rPr>
        <w:t>(Thakur et al., 2014)</w:t>
      </w:r>
      <w:r w:rsidR="008840AD">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which might also be important in driving caterpillar preference.</w:t>
      </w:r>
    </w:p>
    <w:p w14:paraId="2150A17D" w14:textId="4E330414" w:rsidR="00E7693B" w:rsidRPr="00CF0A23" w:rsidRDefault="00E7693B" w:rsidP="00CF0A23">
      <w:pPr>
        <w:pBdr>
          <w:top w:val="nil"/>
          <w:left w:val="nil"/>
          <w:bottom w:val="nil"/>
          <w:right w:val="nil"/>
          <w:between w:val="nil"/>
        </w:pBdr>
        <w:spacing w:line="360" w:lineRule="auto"/>
        <w:ind w:firstLine="432"/>
        <w:jc w:val="both"/>
        <w:rPr>
          <w:rFonts w:ascii="Times New Roman" w:hAnsi="Times New Roman" w:cs="Times New Roman"/>
          <w:color w:val="000000"/>
          <w:sz w:val="24"/>
          <w:szCs w:val="24"/>
        </w:rPr>
      </w:pPr>
      <w:r w:rsidRPr="00CF0A23">
        <w:rPr>
          <w:rFonts w:ascii="Times New Roman" w:hAnsi="Times New Roman" w:cs="Times New Roman"/>
          <w:color w:val="000000"/>
          <w:sz w:val="24"/>
          <w:szCs w:val="24"/>
        </w:rPr>
        <w:t xml:space="preserve">Apart from having a </w:t>
      </w:r>
      <w:proofErr w:type="spellStart"/>
      <w:r w:rsidRPr="00CF0A23">
        <w:rPr>
          <w:rFonts w:ascii="Times New Roman" w:hAnsi="Times New Roman" w:cs="Times New Roman"/>
          <w:color w:val="000000"/>
          <w:sz w:val="24"/>
          <w:szCs w:val="24"/>
        </w:rPr>
        <w:t>biostimulative</w:t>
      </w:r>
      <w:proofErr w:type="spellEnd"/>
      <w:r w:rsidRPr="00CF0A23">
        <w:rPr>
          <w:rFonts w:ascii="Times New Roman" w:hAnsi="Times New Roman" w:cs="Times New Roman"/>
          <w:color w:val="000000"/>
          <w:sz w:val="24"/>
          <w:szCs w:val="24"/>
        </w:rPr>
        <w:t xml:space="preserve"> effect, extracts from </w:t>
      </w:r>
      <w:r w:rsidRPr="00CF0A23">
        <w:rPr>
          <w:rFonts w:ascii="Times New Roman" w:hAnsi="Times New Roman" w:cs="Times New Roman"/>
          <w:i/>
          <w:color w:val="000000"/>
          <w:sz w:val="24"/>
          <w:szCs w:val="24"/>
        </w:rPr>
        <w:t xml:space="preserve">Ulva </w:t>
      </w:r>
      <w:r w:rsidRPr="00CF0A23">
        <w:rPr>
          <w:rFonts w:ascii="Times New Roman" w:hAnsi="Times New Roman" w:cs="Times New Roman"/>
          <w:color w:val="000000"/>
          <w:sz w:val="24"/>
          <w:szCs w:val="24"/>
        </w:rPr>
        <w:t xml:space="preserve">spp. are triggering JA-dependent </w:t>
      </w:r>
      <w:proofErr w:type="spellStart"/>
      <w:r w:rsidRPr="00CF0A23">
        <w:rPr>
          <w:rFonts w:ascii="Times New Roman" w:hAnsi="Times New Roman" w:cs="Times New Roman"/>
          <w:color w:val="000000"/>
          <w:sz w:val="24"/>
          <w:szCs w:val="24"/>
        </w:rPr>
        <w:t>signaling</w:t>
      </w:r>
      <w:proofErr w:type="spellEnd"/>
      <w:r w:rsidRPr="00CF0A23">
        <w:rPr>
          <w:rFonts w:ascii="Times New Roman" w:hAnsi="Times New Roman" w:cs="Times New Roman"/>
          <w:color w:val="000000"/>
          <w:sz w:val="24"/>
          <w:szCs w:val="24"/>
        </w:rPr>
        <w:t xml:space="preserve"> in plants and are proven to have an effect in enhancing resistance to various pathogens </w:t>
      </w:r>
      <w:r w:rsidR="008840AD">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{"citationID":"JEY0eotS","properties":{"formattedCitation":"(P\\uc0\\u345{}erovsk\\uc0\\u225{} et al., 2022; Shukla et al., 2021)","plainCitation":"(Přerovská et al., 2022; Shukla et al., 2021)","noteIndex":0},"citationItems":[{"id":669,"uris":["http://zotero.org/users/10895598/items/9HZI6LW4"],"itemData":{"id":669,"type":"article-journal","abstract":"Natural compounds isolated from macroalgae are promising, ecofriendly, and multifunctional bioinoculants, which have been tested and used in agriculture. Ulvans, for instance, one of the major polysaccharides present in\n              Ulva\n              spp. cell walls, have been tested for their plant growth-promoting properties as well as their ability to activate plant immune defense, on a large variety of crops. Recently, we have characterized for the first time an arabinogalactan protein-like (AGP-like) from\n              Ulva lactuca\n              , which exhibits several features associated to land plant AGPs. In land plant, AGPs were shown to play a role in several plant biological functions, including cell morphogenesis, reproduction, and plant-microbe interactions. Thus, isolated AGP-like proteins may be good candidates for either the plant growth-promoting properties or the activation of plant immune defense. Here, we have isolated an AGP-like enriched fraction from\n              Ulva lactuca\n              and we have evaluated its ability to (i) protect oilseed rape (\n              Brassica napus\n              ) cotyledons against\n              Leptosphaeria maculans\n              , and (ii) its ability to activate immune responses. Preventive application of the\n              Ulva\n              AGP-like enriched fraction on oilseed rape, followed by cotyledon inoculation with the fungal hemibiotroph\n              L. maculans\n              , resulted in a major reduction of infection propagation. The noticed reduction correlated with an accumulation of H\n              2\n              O\n              2\n              in treated cotyledons and with the activation of SA and ET signaling pathways in oilseed rape cotyledons. In parallel, an ulvan was also isolated from\n              Ulva lactuca\n              . Preventive application of ulvan also enhanced plant resistance against\n              L. maculans\n              . Surprisingly, reduction of infection severity was only observed at high concentration of ulvan. Here, no such significant changes in gene expression and H\n              2\n              O\n              2\n              production were observed. Together, this study indicates that\n              U. lactuca\n              AGP-like glycoproteins exhibit promising elicitor activity and that plant eliciting properties of\n              Ulva\n              extract, might result not only from an ulvan-originated eliciting activities, but also AGP-like originated.","container-title":"Frontiers in Plant Science","DOI":"10.3389/fpls.2022.893858","ISSN":"1664-462X","journalAbbreviation":"Front. Plant Sci.","page":"893858","source":"DOI.org (Crossref)","title":"Arabinogalactan protein-like proteins from &lt;i&gt;Ulva lactuca&lt;/i&gt; activate immune responses and plant resistance in an oilseed crop","volume":"13","author":[{"family":"Přerovská","given":"Tereza"},{"family":"Jindřichová","given":"Barbora"},{"family":"Henke","given":"Svatopluk"},{"family":"Yvin","given":"Jean-Claude"},{"family":"Ferrieres","given":"Vincent"},{"family":"Burketová","given":"Lenka"},{"family":"Lipovová","given":"Petra"},{"family":"Nguema-Ona","given":"Eric"}],"issued":{"date-parts":[["2022",5,20]]}}},{"id":674,"uris":["http://zotero.org/users/10895598/items/QZG52SHQ"],"itemData":{"id":674,"type":"article-journal","abstract":"Sustainable agricultural practices increasingly demand novel, environmentally friendly compounds which induce plant immunity against pathogens. Stimulating plant immunity using seaweed extracts is a highly viable strategy, as these formulations contain many bio-elicitors (phyco-elicitors) which can significantly boost natural plant immunity. Certain bioactive elicitors present in a multitude of extracts of seaweeds (both commercially available and bench-scale laboratory formulations) activate pathogen-associated molecular patterns (PAMPs) due to their structural similarity (i.e., analogous structure) with pathogen-derived molecules. This is achieved via the priming and/or elicitation of the defense responses of the induced systemic resistance (ISR) and systemic acquired resistance (SAR) pathways. Knowledge accumulated over the past few decades is reviewed here, aiming to explain why certain seaweed-derived bioactives have such tremendous potential to elicit plant defense responses with considerable economic significance, particularly with increasing biotic stress impacts due to climate change and the concomitant move to sustainable agriculture and away from synthetic chemistry and environmental damage. Various extracts of seaweeds display remarkably different modes of action(s) which can manipulate the plant defense responses when applied. This review focuses on both the similarities and differences amongst the modes of actions of several different seaweed extracts, as well as their individual components. Novel biotechnological approaches for the development of new commercial products for crop protection, in a sustainable manner, are also suggested.","container-title":"Marine Drugs","DOI":"10.3390/md19020059","ISSN":"1660-3397","issue":"2","journalAbbreviation":"Marine Drugs","language":"en","page":"59","source":"DOI.org (Crossref)","title":"Seaweed-based compounds and products for sustainable protection against plant pathogens","volume":"19","author":[{"family":"Shukla","given":"Pushp Sheel"},{"family":"Borza","given":"Tudor"},{"family":"Critchley","given":"Alan T."},{"family":"Prithiviraj","given":"Balakrishnan"}],"issued":{"date-parts":[["2021",1,25]]}}}],"schema":"https://github.com/citation-style-language/schema/raw/master/csl-citation.json"} </w:instrText>
      </w:r>
      <w:r w:rsidR="008840AD">
        <w:rPr>
          <w:rFonts w:ascii="Times New Roman" w:hAnsi="Times New Roman" w:cs="Times New Roman"/>
          <w:color w:val="000000"/>
          <w:sz w:val="24"/>
          <w:szCs w:val="24"/>
        </w:rPr>
        <w:fldChar w:fldCharType="separate"/>
      </w:r>
      <w:r w:rsidR="008840AD" w:rsidRPr="008840AD">
        <w:rPr>
          <w:rFonts w:ascii="Times New Roman" w:hAnsi="Times New Roman" w:cs="Times New Roman"/>
          <w:sz w:val="24"/>
          <w:szCs w:val="24"/>
        </w:rPr>
        <w:t>(Přerovská et al., 2022; Shukla et al., 2021)</w:t>
      </w:r>
      <w:r w:rsidR="008840AD">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There are no studies on the potential use of </w:t>
      </w:r>
      <w:proofErr w:type="spellStart"/>
      <w:r w:rsidRPr="00CF0A23">
        <w:rPr>
          <w:rFonts w:ascii="Times New Roman" w:hAnsi="Times New Roman" w:cs="Times New Roman"/>
          <w:color w:val="000000"/>
          <w:sz w:val="24"/>
          <w:szCs w:val="24"/>
        </w:rPr>
        <w:t>ulvan</w:t>
      </w:r>
      <w:proofErr w:type="spellEnd"/>
      <w:r w:rsidRPr="00CF0A23">
        <w:rPr>
          <w:rFonts w:ascii="Times New Roman" w:hAnsi="Times New Roman" w:cs="Times New Roman"/>
          <w:color w:val="000000"/>
          <w:sz w:val="24"/>
          <w:szCs w:val="24"/>
        </w:rPr>
        <w:t xml:space="preserve"> against </w:t>
      </w:r>
      <w:r w:rsidR="00544355">
        <w:rPr>
          <w:rFonts w:ascii="Times New Roman" w:hAnsi="Times New Roman" w:cs="Times New Roman"/>
          <w:color w:val="000000"/>
          <w:sz w:val="24"/>
          <w:szCs w:val="24"/>
        </w:rPr>
        <w:t xml:space="preserve">insect herbivores; however, I observed </w:t>
      </w:r>
      <w:r w:rsidRPr="00CF0A23">
        <w:rPr>
          <w:rFonts w:ascii="Times New Roman" w:hAnsi="Times New Roman" w:cs="Times New Roman"/>
          <w:color w:val="000000"/>
          <w:sz w:val="24"/>
          <w:szCs w:val="24"/>
        </w:rPr>
        <w:t xml:space="preserve">that </w:t>
      </w:r>
      <w:proofErr w:type="spellStart"/>
      <w:r w:rsidRPr="00CF0A23">
        <w:rPr>
          <w:rFonts w:ascii="Times New Roman" w:hAnsi="Times New Roman" w:cs="Times New Roman"/>
          <w:color w:val="000000"/>
          <w:sz w:val="24"/>
          <w:szCs w:val="24"/>
        </w:rPr>
        <w:t>ulvan</w:t>
      </w:r>
      <w:proofErr w:type="spellEnd"/>
      <w:r w:rsidRPr="00CF0A23">
        <w:rPr>
          <w:rFonts w:ascii="Times New Roman" w:hAnsi="Times New Roman" w:cs="Times New Roman"/>
          <w:color w:val="000000"/>
          <w:sz w:val="24"/>
          <w:szCs w:val="24"/>
        </w:rPr>
        <w:t xml:space="preserve">-treated leaves of oilseed rape were deterrent to </w:t>
      </w:r>
      <w:r w:rsidRPr="00CF0A23">
        <w:rPr>
          <w:rFonts w:ascii="Times New Roman" w:hAnsi="Times New Roman" w:cs="Times New Roman"/>
          <w:i/>
          <w:color w:val="000000"/>
          <w:sz w:val="24"/>
          <w:szCs w:val="24"/>
        </w:rPr>
        <w:t xml:space="preserve">P. </w:t>
      </w:r>
      <w:proofErr w:type="spellStart"/>
      <w:r w:rsidRPr="00CF0A23">
        <w:rPr>
          <w:rFonts w:ascii="Times New Roman" w:hAnsi="Times New Roman" w:cs="Times New Roman"/>
          <w:i/>
          <w:color w:val="000000"/>
          <w:sz w:val="24"/>
          <w:szCs w:val="24"/>
        </w:rPr>
        <w:t>xylostella</w:t>
      </w:r>
      <w:proofErr w:type="spellEnd"/>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 xml:space="preserve">caterpillars, which might be due to the JA-activated plant defence responses. Another reason could be the difference in GLS profile and/or VOC composition between </w:t>
      </w:r>
      <w:proofErr w:type="spellStart"/>
      <w:r w:rsidRPr="00CF0A23">
        <w:rPr>
          <w:rFonts w:ascii="Times New Roman" w:hAnsi="Times New Roman" w:cs="Times New Roman"/>
          <w:color w:val="000000"/>
          <w:sz w:val="24"/>
          <w:szCs w:val="24"/>
        </w:rPr>
        <w:t>ulvan</w:t>
      </w:r>
      <w:proofErr w:type="spellEnd"/>
      <w:r w:rsidRPr="00CF0A23">
        <w:rPr>
          <w:rFonts w:ascii="Times New Roman" w:hAnsi="Times New Roman" w:cs="Times New Roman"/>
          <w:color w:val="000000"/>
          <w:sz w:val="24"/>
          <w:szCs w:val="24"/>
        </w:rPr>
        <w:t>-sprayed leaves and control leaves. Hence, further research is needed to pinpoint the exact cause of caterpillar choice.</w:t>
      </w:r>
    </w:p>
    <w:p w14:paraId="2150A17E" w14:textId="77777777" w:rsidR="00E7693B" w:rsidRPr="00CF0A23" w:rsidRDefault="00E7693B" w:rsidP="00CF0A23">
      <w:pPr>
        <w:spacing w:line="360" w:lineRule="auto"/>
        <w:jc w:val="both"/>
        <w:rPr>
          <w:rFonts w:ascii="Times New Roman" w:hAnsi="Times New Roman" w:cs="Times New Roman"/>
          <w:b/>
          <w:sz w:val="24"/>
          <w:szCs w:val="24"/>
        </w:rPr>
      </w:pPr>
      <w:r w:rsidRPr="00CF0A23">
        <w:rPr>
          <w:rFonts w:ascii="Times New Roman" w:hAnsi="Times New Roman" w:cs="Times New Roman"/>
          <w:sz w:val="24"/>
          <w:szCs w:val="24"/>
        </w:rPr>
        <w:br w:type="page"/>
      </w:r>
    </w:p>
    <w:p w14:paraId="2150A182" w14:textId="2862C3FA" w:rsidR="00E7693B" w:rsidRDefault="00E7693B" w:rsidP="0074184F">
      <w:pPr>
        <w:pStyle w:val="Heading2"/>
      </w:pPr>
      <w:bookmarkStart w:id="73" w:name="_Toc167977640"/>
      <w:r w:rsidRPr="00E7693B">
        <w:t xml:space="preserve">Activation of defence </w:t>
      </w:r>
      <w:proofErr w:type="spellStart"/>
      <w:r w:rsidRPr="00E7693B">
        <w:t>signaling</w:t>
      </w:r>
      <w:proofErr w:type="spellEnd"/>
      <w:r w:rsidRPr="00E7693B">
        <w:t xml:space="preserve"> responses in </w:t>
      </w:r>
      <w:r w:rsidRPr="00E7693B">
        <w:rPr>
          <w:i/>
        </w:rPr>
        <w:t xml:space="preserve">Arabidopsis thaliana </w:t>
      </w:r>
      <w:r w:rsidRPr="00E7693B">
        <w:t xml:space="preserve">during </w:t>
      </w:r>
      <w:proofErr w:type="spellStart"/>
      <w:r w:rsidRPr="00E7693B">
        <w:rPr>
          <w:i/>
        </w:rPr>
        <w:t>Brevicoryne</w:t>
      </w:r>
      <w:proofErr w:type="spellEnd"/>
      <w:r w:rsidRPr="00E7693B">
        <w:rPr>
          <w:i/>
        </w:rPr>
        <w:t xml:space="preserve"> </w:t>
      </w:r>
      <w:proofErr w:type="spellStart"/>
      <w:r w:rsidRPr="00E7693B">
        <w:rPr>
          <w:i/>
        </w:rPr>
        <w:t>brassicae</w:t>
      </w:r>
      <w:proofErr w:type="spellEnd"/>
      <w:r w:rsidRPr="00E7693B">
        <w:rPr>
          <w:i/>
        </w:rPr>
        <w:t xml:space="preserve"> </w:t>
      </w:r>
      <w:r w:rsidRPr="00E7693B">
        <w:t>feeding</w:t>
      </w:r>
      <w:bookmarkEnd w:id="73"/>
    </w:p>
    <w:p w14:paraId="0B96AC35" w14:textId="77777777" w:rsidR="0074184F" w:rsidRPr="0074184F" w:rsidRDefault="0074184F" w:rsidP="0074184F">
      <w:pPr>
        <w:rPr>
          <w:rFonts w:ascii="Times New Roman" w:hAnsi="Times New Roman" w:cs="Times New Roman"/>
          <w:sz w:val="24"/>
          <w:szCs w:val="24"/>
        </w:rPr>
      </w:pPr>
    </w:p>
    <w:p w14:paraId="164FB6E8" w14:textId="0EDFAC50" w:rsidR="00727A64" w:rsidRDefault="00727A64" w:rsidP="00EC70C2">
      <w:pPr>
        <w:pStyle w:val="Heading3"/>
      </w:pPr>
      <w:bookmarkStart w:id="74" w:name="_Toc167977641"/>
      <w:r>
        <w:t>Introduction</w:t>
      </w:r>
      <w:bookmarkEnd w:id="74"/>
    </w:p>
    <w:p w14:paraId="4226AC8B" w14:textId="77777777" w:rsidR="00727A64" w:rsidRDefault="00727A64" w:rsidP="00727A64">
      <w:pPr>
        <w:rPr>
          <w:rFonts w:ascii="Times New Roman" w:hAnsi="Times New Roman" w:cs="Times New Roman"/>
          <w:sz w:val="24"/>
          <w:szCs w:val="24"/>
        </w:rPr>
      </w:pPr>
    </w:p>
    <w:p w14:paraId="0E25B44B" w14:textId="647A8EB9" w:rsidR="007F0C75" w:rsidRDefault="007F0C75" w:rsidP="007F0C75">
      <w:pPr>
        <w:spacing w:after="0" w:line="360" w:lineRule="auto"/>
        <w:ind w:firstLine="720"/>
        <w:jc w:val="both"/>
        <w:rPr>
          <w:rFonts w:ascii="Times New Roman" w:hAnsi="Times New Roman" w:cs="Times New Roman"/>
          <w:sz w:val="24"/>
          <w:szCs w:val="24"/>
        </w:rPr>
      </w:pPr>
      <w:r w:rsidRPr="007F0C75">
        <w:rPr>
          <w:rFonts w:ascii="Times New Roman" w:hAnsi="Times New Roman" w:cs="Times New Roman"/>
          <w:sz w:val="24"/>
          <w:szCs w:val="24"/>
        </w:rPr>
        <w:t xml:space="preserve">Aphids, </w:t>
      </w:r>
      <w:r w:rsidR="0077442F">
        <w:rPr>
          <w:rFonts w:ascii="Times New Roman" w:hAnsi="Times New Roman" w:cs="Times New Roman"/>
          <w:sz w:val="24"/>
          <w:szCs w:val="24"/>
        </w:rPr>
        <w:t>as</w:t>
      </w:r>
      <w:r w:rsidR="0077442F" w:rsidRPr="007F0C75">
        <w:rPr>
          <w:rFonts w:ascii="Times New Roman" w:hAnsi="Times New Roman" w:cs="Times New Roman"/>
          <w:sz w:val="24"/>
          <w:szCs w:val="24"/>
        </w:rPr>
        <w:t xml:space="preserve"> </w:t>
      </w:r>
      <w:r w:rsidRPr="007F0C75">
        <w:rPr>
          <w:rFonts w:ascii="Times New Roman" w:hAnsi="Times New Roman" w:cs="Times New Roman"/>
          <w:sz w:val="24"/>
          <w:szCs w:val="24"/>
        </w:rPr>
        <w:t>phloem sap feeders, probe into leaf tissues and activate a complex network of plant defen</w:t>
      </w:r>
      <w:r>
        <w:rPr>
          <w:rFonts w:ascii="Times New Roman" w:hAnsi="Times New Roman" w:cs="Times New Roman"/>
          <w:sz w:val="24"/>
          <w:szCs w:val="24"/>
        </w:rPr>
        <w:t>c</w:t>
      </w:r>
      <w:r w:rsidRPr="007F0C75">
        <w:rPr>
          <w:rFonts w:ascii="Times New Roman" w:hAnsi="Times New Roman" w:cs="Times New Roman"/>
          <w:sz w:val="24"/>
          <w:szCs w:val="24"/>
        </w:rPr>
        <w:t xml:space="preserve">e responses. Phytohormonal </w:t>
      </w:r>
      <w:proofErr w:type="spellStart"/>
      <w:r w:rsidRPr="007F0C75">
        <w:rPr>
          <w:rFonts w:ascii="Times New Roman" w:hAnsi="Times New Roman" w:cs="Times New Roman"/>
          <w:sz w:val="24"/>
          <w:szCs w:val="24"/>
        </w:rPr>
        <w:t>signaling</w:t>
      </w:r>
      <w:proofErr w:type="spellEnd"/>
      <w:r w:rsidRPr="007F0C75">
        <w:rPr>
          <w:rFonts w:ascii="Times New Roman" w:hAnsi="Times New Roman" w:cs="Times New Roman"/>
          <w:sz w:val="24"/>
          <w:szCs w:val="24"/>
        </w:rPr>
        <w:t xml:space="preserve"> plays a major role in this network; however, the dynamics of the signal spreading </w:t>
      </w:r>
      <w:r w:rsidR="0077442F">
        <w:rPr>
          <w:rFonts w:ascii="Times New Roman" w:hAnsi="Times New Roman" w:cs="Times New Roman"/>
          <w:sz w:val="24"/>
          <w:szCs w:val="24"/>
        </w:rPr>
        <w:t>are</w:t>
      </w:r>
      <w:r w:rsidR="0077442F" w:rsidRPr="007F0C75">
        <w:rPr>
          <w:rFonts w:ascii="Times New Roman" w:hAnsi="Times New Roman" w:cs="Times New Roman"/>
          <w:sz w:val="24"/>
          <w:szCs w:val="24"/>
        </w:rPr>
        <w:t xml:space="preserve"> </w:t>
      </w:r>
      <w:r w:rsidRPr="007F0C75">
        <w:rPr>
          <w:rFonts w:ascii="Times New Roman" w:hAnsi="Times New Roman" w:cs="Times New Roman"/>
          <w:sz w:val="24"/>
          <w:szCs w:val="24"/>
        </w:rPr>
        <w:t xml:space="preserve">yet to be clarified. Despite the growing knowledge about transcriptomic changes upon infestation, results often differ due to sampling, </w:t>
      </w:r>
      <w:r w:rsidR="0077442F">
        <w:rPr>
          <w:rFonts w:ascii="Times New Roman" w:hAnsi="Times New Roman" w:cs="Times New Roman"/>
          <w:sz w:val="24"/>
          <w:szCs w:val="24"/>
        </w:rPr>
        <w:t xml:space="preserve">and they </w:t>
      </w:r>
      <w:r w:rsidRPr="007F0C75">
        <w:rPr>
          <w:rFonts w:ascii="Times New Roman" w:hAnsi="Times New Roman" w:cs="Times New Roman"/>
          <w:sz w:val="24"/>
          <w:szCs w:val="24"/>
        </w:rPr>
        <w:t xml:space="preserve">vary strongly between the tissues collected at the single feeding site, individual leaves, pooled infested leaves, or whole plant rosettes. This study </w:t>
      </w:r>
      <w:r w:rsidR="00537DC4">
        <w:rPr>
          <w:rFonts w:ascii="Times New Roman" w:hAnsi="Times New Roman" w:cs="Times New Roman"/>
          <w:sz w:val="24"/>
          <w:szCs w:val="24"/>
        </w:rPr>
        <w:t>seeks to elucidate</w:t>
      </w:r>
      <w:r w:rsidRPr="007F0C75">
        <w:rPr>
          <w:rFonts w:ascii="Times New Roman" w:hAnsi="Times New Roman" w:cs="Times New Roman"/>
          <w:sz w:val="24"/>
          <w:szCs w:val="24"/>
        </w:rPr>
        <w:t xml:space="preserve"> </w:t>
      </w:r>
      <w:r w:rsidR="00537DC4">
        <w:rPr>
          <w:rFonts w:ascii="Times New Roman" w:hAnsi="Times New Roman" w:cs="Times New Roman"/>
          <w:sz w:val="24"/>
          <w:szCs w:val="24"/>
        </w:rPr>
        <w:t>the</w:t>
      </w:r>
      <w:r w:rsidRPr="007F0C75">
        <w:rPr>
          <w:rFonts w:ascii="Times New Roman" w:hAnsi="Times New Roman" w:cs="Times New Roman"/>
          <w:sz w:val="24"/>
          <w:szCs w:val="24"/>
        </w:rPr>
        <w:t xml:space="preserve"> activation</w:t>
      </w:r>
      <w:r w:rsidR="00537DC4">
        <w:rPr>
          <w:rFonts w:ascii="Times New Roman" w:hAnsi="Times New Roman" w:cs="Times New Roman"/>
          <w:sz w:val="24"/>
          <w:szCs w:val="24"/>
        </w:rPr>
        <w:t xml:space="preserve"> patterns</w:t>
      </w:r>
      <w:r w:rsidRPr="007F0C75">
        <w:rPr>
          <w:rFonts w:ascii="Times New Roman" w:hAnsi="Times New Roman" w:cs="Times New Roman"/>
          <w:sz w:val="24"/>
          <w:szCs w:val="24"/>
        </w:rPr>
        <w:t xml:space="preserve"> of SA and JA signals in </w:t>
      </w:r>
      <w:r w:rsidRPr="007F0C75">
        <w:rPr>
          <w:rFonts w:ascii="Times New Roman" w:hAnsi="Times New Roman" w:cs="Times New Roman"/>
          <w:i/>
          <w:iCs/>
          <w:sz w:val="24"/>
          <w:szCs w:val="24"/>
        </w:rPr>
        <w:t>Arabidopsis</w:t>
      </w:r>
      <w:r w:rsidRPr="007F0C75">
        <w:rPr>
          <w:rFonts w:ascii="Times New Roman" w:hAnsi="Times New Roman" w:cs="Times New Roman"/>
          <w:sz w:val="24"/>
          <w:szCs w:val="24"/>
        </w:rPr>
        <w:t xml:space="preserve"> leaves </w:t>
      </w:r>
      <w:r w:rsidR="00537DC4">
        <w:rPr>
          <w:rFonts w:ascii="Times New Roman" w:hAnsi="Times New Roman" w:cs="Times New Roman"/>
          <w:sz w:val="24"/>
          <w:szCs w:val="24"/>
        </w:rPr>
        <w:t>upon</w:t>
      </w:r>
      <w:r w:rsidRPr="007F0C75">
        <w:rPr>
          <w:rFonts w:ascii="Times New Roman" w:hAnsi="Times New Roman" w:cs="Times New Roman"/>
          <w:sz w:val="24"/>
          <w:szCs w:val="24"/>
        </w:rPr>
        <w:t xml:space="preserve"> infestation by </w:t>
      </w:r>
      <w:r w:rsidRPr="007F0C75">
        <w:rPr>
          <w:rFonts w:ascii="Times New Roman" w:hAnsi="Times New Roman" w:cs="Times New Roman"/>
          <w:i/>
          <w:iCs/>
          <w:sz w:val="24"/>
          <w:szCs w:val="24"/>
        </w:rPr>
        <w:t xml:space="preserve">B. </w:t>
      </w:r>
      <w:proofErr w:type="spellStart"/>
      <w:r w:rsidRPr="007F0C75">
        <w:rPr>
          <w:rFonts w:ascii="Times New Roman" w:hAnsi="Times New Roman" w:cs="Times New Roman"/>
          <w:i/>
          <w:iCs/>
          <w:sz w:val="24"/>
          <w:szCs w:val="24"/>
        </w:rPr>
        <w:t>brassicae</w:t>
      </w:r>
      <w:proofErr w:type="spellEnd"/>
      <w:r w:rsidRPr="007F0C75">
        <w:rPr>
          <w:rFonts w:ascii="Times New Roman" w:hAnsi="Times New Roman" w:cs="Times New Roman"/>
          <w:sz w:val="24"/>
          <w:szCs w:val="24"/>
        </w:rPr>
        <w:t xml:space="preserve"> </w:t>
      </w:r>
      <w:r w:rsidR="00537DC4">
        <w:rPr>
          <w:rFonts w:ascii="Times New Roman" w:hAnsi="Times New Roman" w:cs="Times New Roman"/>
          <w:sz w:val="24"/>
          <w:szCs w:val="24"/>
        </w:rPr>
        <w:t>with</w:t>
      </w:r>
      <w:r w:rsidRPr="007F0C75">
        <w:rPr>
          <w:rFonts w:ascii="Times New Roman" w:hAnsi="Times New Roman" w:cs="Times New Roman"/>
          <w:sz w:val="24"/>
          <w:szCs w:val="24"/>
        </w:rPr>
        <w:t xml:space="preserve"> high </w:t>
      </w:r>
      <w:proofErr w:type="spellStart"/>
      <w:r w:rsidRPr="007F0C75">
        <w:rPr>
          <w:rFonts w:ascii="Times New Roman" w:hAnsi="Times New Roman" w:cs="Times New Roman"/>
          <w:sz w:val="24"/>
          <w:szCs w:val="24"/>
        </w:rPr>
        <w:t>spatio</w:t>
      </w:r>
      <w:proofErr w:type="spellEnd"/>
      <w:r w:rsidRPr="007F0C75">
        <w:rPr>
          <w:rFonts w:ascii="Times New Roman" w:hAnsi="Times New Roman" w:cs="Times New Roman"/>
          <w:sz w:val="24"/>
          <w:szCs w:val="24"/>
        </w:rPr>
        <w:t xml:space="preserve">-temporal resolution. </w:t>
      </w:r>
      <w:r w:rsidR="00537DC4" w:rsidRPr="00537DC4">
        <w:rPr>
          <w:rFonts w:ascii="Times New Roman" w:hAnsi="Times New Roman" w:cs="Times New Roman"/>
          <w:sz w:val="24"/>
          <w:szCs w:val="24"/>
        </w:rPr>
        <w:t xml:space="preserve">Employing genetically encoded fluorescent biosensors, histochemistry, and </w:t>
      </w:r>
      <w:proofErr w:type="spellStart"/>
      <w:r w:rsidR="00D261A6" w:rsidRPr="00323FAE">
        <w:rPr>
          <w:rFonts w:ascii="Times New Roman" w:hAnsi="Times New Roman" w:cs="Times New Roman"/>
          <w:bCs/>
          <w:sz w:val="24"/>
          <w:szCs w:val="24"/>
        </w:rPr>
        <w:t>qRT</w:t>
      </w:r>
      <w:proofErr w:type="spellEnd"/>
      <w:r w:rsidR="00D261A6" w:rsidRPr="00323FAE">
        <w:rPr>
          <w:rFonts w:ascii="Times New Roman" w:hAnsi="Times New Roman" w:cs="Times New Roman"/>
          <w:bCs/>
          <w:sz w:val="24"/>
          <w:szCs w:val="24"/>
        </w:rPr>
        <w:t>-PCR</w:t>
      </w:r>
      <w:r w:rsidR="00537DC4" w:rsidRPr="00537DC4">
        <w:rPr>
          <w:rFonts w:ascii="Times New Roman" w:hAnsi="Times New Roman" w:cs="Times New Roman"/>
          <w:sz w:val="24"/>
          <w:szCs w:val="24"/>
        </w:rPr>
        <w:t xml:space="preserve">, I </w:t>
      </w:r>
      <w:r w:rsidR="00537DC4">
        <w:rPr>
          <w:rFonts w:ascii="Times New Roman" w:hAnsi="Times New Roman" w:cs="Times New Roman"/>
          <w:sz w:val="24"/>
          <w:szCs w:val="24"/>
        </w:rPr>
        <w:t>rigorously</w:t>
      </w:r>
      <w:r w:rsidR="00537DC4" w:rsidRPr="00537DC4">
        <w:rPr>
          <w:rFonts w:ascii="Times New Roman" w:hAnsi="Times New Roman" w:cs="Times New Roman"/>
          <w:sz w:val="24"/>
          <w:szCs w:val="24"/>
        </w:rPr>
        <w:t xml:space="preserve"> map the activation of distinct</w:t>
      </w:r>
      <w:r w:rsidR="00537DC4">
        <w:rPr>
          <w:rFonts w:ascii="Times New Roman" w:hAnsi="Times New Roman" w:cs="Times New Roman"/>
          <w:sz w:val="24"/>
          <w:szCs w:val="24"/>
        </w:rPr>
        <w:t xml:space="preserve"> branches of</w:t>
      </w:r>
      <w:r w:rsidR="00537DC4" w:rsidRPr="00537DC4">
        <w:rPr>
          <w:rFonts w:ascii="Times New Roman" w:hAnsi="Times New Roman" w:cs="Times New Roman"/>
          <w:sz w:val="24"/>
          <w:szCs w:val="24"/>
        </w:rPr>
        <w:t xml:space="preserve"> phytohormonal </w:t>
      </w:r>
      <w:proofErr w:type="spellStart"/>
      <w:r w:rsidR="00537DC4" w:rsidRPr="00537DC4">
        <w:rPr>
          <w:rFonts w:ascii="Times New Roman" w:hAnsi="Times New Roman" w:cs="Times New Roman"/>
          <w:sz w:val="24"/>
          <w:szCs w:val="24"/>
        </w:rPr>
        <w:t>signaling</w:t>
      </w:r>
      <w:proofErr w:type="spellEnd"/>
      <w:r w:rsidR="00537DC4" w:rsidRPr="00537DC4">
        <w:rPr>
          <w:rFonts w:ascii="Times New Roman" w:hAnsi="Times New Roman" w:cs="Times New Roman"/>
          <w:sz w:val="24"/>
          <w:szCs w:val="24"/>
        </w:rPr>
        <w:t xml:space="preserve">. </w:t>
      </w:r>
      <w:r w:rsidR="00537DC4">
        <w:rPr>
          <w:rFonts w:ascii="Times New Roman" w:hAnsi="Times New Roman" w:cs="Times New Roman"/>
          <w:sz w:val="24"/>
          <w:szCs w:val="24"/>
        </w:rPr>
        <w:t>The</w:t>
      </w:r>
      <w:r w:rsidRPr="007F0C75">
        <w:rPr>
          <w:rFonts w:ascii="Times New Roman" w:hAnsi="Times New Roman" w:cs="Times New Roman"/>
          <w:sz w:val="24"/>
          <w:szCs w:val="24"/>
        </w:rPr>
        <w:t xml:space="preserve"> results first show </w:t>
      </w:r>
      <w:r w:rsidR="00537DC4">
        <w:rPr>
          <w:rFonts w:ascii="Times New Roman" w:hAnsi="Times New Roman" w:cs="Times New Roman"/>
          <w:sz w:val="24"/>
          <w:szCs w:val="24"/>
        </w:rPr>
        <w:t>the dynamics of</w:t>
      </w:r>
      <w:r w:rsidRPr="007F0C75">
        <w:rPr>
          <w:rFonts w:ascii="Times New Roman" w:hAnsi="Times New Roman" w:cs="Times New Roman"/>
          <w:sz w:val="24"/>
          <w:szCs w:val="24"/>
        </w:rPr>
        <w:t xml:space="preserve"> SA- and JA-related responses </w:t>
      </w:r>
      <w:r w:rsidR="00537DC4">
        <w:rPr>
          <w:rFonts w:ascii="Times New Roman" w:hAnsi="Times New Roman" w:cs="Times New Roman"/>
          <w:sz w:val="24"/>
          <w:szCs w:val="24"/>
        </w:rPr>
        <w:t>following</w:t>
      </w:r>
      <w:r w:rsidRPr="007F0C75">
        <w:rPr>
          <w:rFonts w:ascii="Times New Roman" w:hAnsi="Times New Roman" w:cs="Times New Roman"/>
          <w:sz w:val="24"/>
          <w:szCs w:val="24"/>
        </w:rPr>
        <w:t xml:space="preserve"> stylet penetration of </w:t>
      </w:r>
      <w:r w:rsidRPr="007F0C75">
        <w:rPr>
          <w:rFonts w:ascii="Times New Roman" w:hAnsi="Times New Roman" w:cs="Times New Roman"/>
          <w:i/>
          <w:iCs/>
          <w:sz w:val="24"/>
          <w:szCs w:val="24"/>
        </w:rPr>
        <w:t>Arabidopsis</w:t>
      </w:r>
      <w:r w:rsidRPr="007F0C75">
        <w:rPr>
          <w:rFonts w:ascii="Times New Roman" w:hAnsi="Times New Roman" w:cs="Times New Roman"/>
          <w:sz w:val="24"/>
          <w:szCs w:val="24"/>
        </w:rPr>
        <w:t xml:space="preserve"> leaves and bring a detailed insight into the </w:t>
      </w:r>
      <w:proofErr w:type="spellStart"/>
      <w:r w:rsidRPr="007F0C75">
        <w:rPr>
          <w:rFonts w:ascii="Times New Roman" w:hAnsi="Times New Roman" w:cs="Times New Roman"/>
          <w:sz w:val="24"/>
          <w:szCs w:val="24"/>
        </w:rPr>
        <w:t>spatio</w:t>
      </w:r>
      <w:proofErr w:type="spellEnd"/>
      <w:r w:rsidR="00537DC4">
        <w:rPr>
          <w:rFonts w:ascii="Times New Roman" w:hAnsi="Times New Roman" w:cs="Times New Roman"/>
          <w:sz w:val="24"/>
          <w:szCs w:val="24"/>
        </w:rPr>
        <w:t>-</w:t>
      </w:r>
      <w:r w:rsidRPr="007F0C75">
        <w:rPr>
          <w:rFonts w:ascii="Times New Roman" w:hAnsi="Times New Roman" w:cs="Times New Roman"/>
          <w:sz w:val="24"/>
          <w:szCs w:val="24"/>
        </w:rPr>
        <w:t>temporal complexity of plant defen</w:t>
      </w:r>
      <w:r>
        <w:rPr>
          <w:rFonts w:ascii="Times New Roman" w:hAnsi="Times New Roman" w:cs="Times New Roman"/>
          <w:sz w:val="24"/>
          <w:szCs w:val="24"/>
        </w:rPr>
        <w:t>c</w:t>
      </w:r>
      <w:r w:rsidRPr="007F0C75">
        <w:rPr>
          <w:rFonts w:ascii="Times New Roman" w:hAnsi="Times New Roman" w:cs="Times New Roman"/>
          <w:sz w:val="24"/>
          <w:szCs w:val="24"/>
        </w:rPr>
        <w:t>e activation during specialist aphid attack.</w:t>
      </w:r>
    </w:p>
    <w:p w14:paraId="46A0E757" w14:textId="77777777" w:rsidR="00727A64" w:rsidRPr="00727A64" w:rsidRDefault="00727A64" w:rsidP="00727A64">
      <w:pPr>
        <w:rPr>
          <w:rFonts w:ascii="Times New Roman" w:hAnsi="Times New Roman" w:cs="Times New Roman"/>
          <w:sz w:val="24"/>
          <w:szCs w:val="24"/>
        </w:rPr>
      </w:pPr>
    </w:p>
    <w:p w14:paraId="2150A183" w14:textId="535F9E7B" w:rsidR="00E7693B" w:rsidRPr="00E7693B" w:rsidRDefault="00E7693B" w:rsidP="00EC70C2">
      <w:pPr>
        <w:pStyle w:val="Heading3"/>
      </w:pPr>
      <w:bookmarkStart w:id="75" w:name="_Toc167977642"/>
      <w:r w:rsidRPr="00E7693B">
        <w:t>Experimental design</w:t>
      </w:r>
      <w:bookmarkEnd w:id="75"/>
    </w:p>
    <w:p w14:paraId="2150A184" w14:textId="77777777" w:rsidR="00E7693B" w:rsidRPr="00CF0A23" w:rsidRDefault="00E7693B" w:rsidP="00CF0A23">
      <w:pPr>
        <w:spacing w:after="0"/>
        <w:rPr>
          <w:rFonts w:ascii="Times New Roman" w:hAnsi="Times New Roman" w:cs="Times New Roman"/>
          <w:sz w:val="24"/>
        </w:rPr>
      </w:pPr>
    </w:p>
    <w:p w14:paraId="2150A185" w14:textId="1FC04A34" w:rsidR="00E7693B" w:rsidRPr="006C5896" w:rsidRDefault="00E7693B" w:rsidP="00631FCE">
      <w:pPr>
        <w:pBdr>
          <w:top w:val="nil"/>
          <w:left w:val="nil"/>
          <w:bottom w:val="nil"/>
          <w:right w:val="nil"/>
          <w:between w:val="nil"/>
        </w:pBdr>
        <w:spacing w:after="0" w:line="360" w:lineRule="auto"/>
        <w:ind w:firstLine="720"/>
        <w:jc w:val="both"/>
        <w:rPr>
          <w:rFonts w:ascii="Times New Roman" w:hAnsi="Times New Roman" w:cs="Times New Roman"/>
          <w:sz w:val="24"/>
          <w:highlight w:val="white"/>
          <w:lang w:val="hr-HR"/>
        </w:rPr>
      </w:pPr>
      <w:r w:rsidRPr="00CF0A23">
        <w:rPr>
          <w:rFonts w:ascii="Times New Roman" w:hAnsi="Times New Roman" w:cs="Times New Roman"/>
          <w:sz w:val="24"/>
          <w:highlight w:val="white"/>
        </w:rPr>
        <w:t xml:space="preserve">To investigate the dynamics of </w:t>
      </w:r>
      <w:r w:rsidRPr="00CF0A23">
        <w:rPr>
          <w:rFonts w:ascii="Times New Roman" w:hAnsi="Times New Roman" w:cs="Times New Roman"/>
          <w:i/>
          <w:sz w:val="24"/>
          <w:highlight w:val="white"/>
        </w:rPr>
        <w:t>A. thaliana</w:t>
      </w:r>
      <w:r w:rsidRPr="00CF0A23">
        <w:rPr>
          <w:rFonts w:ascii="Times New Roman" w:hAnsi="Times New Roman" w:cs="Times New Roman"/>
          <w:sz w:val="24"/>
          <w:highlight w:val="white"/>
        </w:rPr>
        <w:t xml:space="preserve"> defence responses and the role of individual cell reactions and cell-to-cell communication during infestation by a specialist aphid </w:t>
      </w:r>
      <w:r w:rsidRPr="00CF0A23">
        <w:rPr>
          <w:rFonts w:ascii="Times New Roman" w:hAnsi="Times New Roman" w:cs="Times New Roman"/>
          <w:i/>
          <w:sz w:val="24"/>
          <w:highlight w:val="white"/>
        </w:rPr>
        <w:t>B.</w:t>
      </w:r>
      <w:r w:rsidR="00AD302A">
        <w:rPr>
          <w:rFonts w:ascii="Times New Roman" w:hAnsi="Times New Roman" w:cs="Times New Roman"/>
          <w:i/>
          <w:sz w:val="24"/>
          <w:highlight w:val="white"/>
        </w:rPr>
        <w:t xml:space="preserve"> </w:t>
      </w:r>
      <w:proofErr w:type="spellStart"/>
      <w:r w:rsidRPr="00CF0A23">
        <w:rPr>
          <w:rFonts w:ascii="Times New Roman" w:hAnsi="Times New Roman" w:cs="Times New Roman"/>
          <w:i/>
          <w:sz w:val="24"/>
          <w:highlight w:val="white"/>
        </w:rPr>
        <w:t>brassicae</w:t>
      </w:r>
      <w:proofErr w:type="spellEnd"/>
      <w:r w:rsidRPr="00CF0A23">
        <w:rPr>
          <w:rFonts w:ascii="Times New Roman" w:hAnsi="Times New Roman" w:cs="Times New Roman"/>
          <w:sz w:val="24"/>
          <w:highlight w:val="white"/>
        </w:rPr>
        <w:t xml:space="preserve">, a combination of biochemical and molecular biology methods with novel visualisation tools was used. Hence, to study the spatial progression of the signal induced by feeding aphids, the following approaches were combined: </w:t>
      </w:r>
      <w:proofErr w:type="spellStart"/>
      <w:r w:rsidRPr="00CF0A23">
        <w:rPr>
          <w:rFonts w:ascii="Times New Roman" w:hAnsi="Times New Roman" w:cs="Times New Roman"/>
          <w:sz w:val="24"/>
          <w:highlight w:val="white"/>
        </w:rPr>
        <w:t>i</w:t>
      </w:r>
      <w:proofErr w:type="spellEnd"/>
      <w:r w:rsidRPr="00CF0A23">
        <w:rPr>
          <w:rFonts w:ascii="Times New Roman" w:hAnsi="Times New Roman" w:cs="Times New Roman"/>
          <w:sz w:val="24"/>
          <w:highlight w:val="white"/>
        </w:rPr>
        <w:t xml:space="preserve">) </w:t>
      </w:r>
      <w:proofErr w:type="spellStart"/>
      <w:r w:rsidRPr="00CF0A23">
        <w:rPr>
          <w:rFonts w:ascii="Times New Roman" w:hAnsi="Times New Roman" w:cs="Times New Roman"/>
          <w:sz w:val="24"/>
          <w:highlight w:val="white"/>
        </w:rPr>
        <w:t>qRT</w:t>
      </w:r>
      <w:proofErr w:type="spellEnd"/>
      <w:r w:rsidRPr="00CF0A23">
        <w:rPr>
          <w:rFonts w:ascii="Times New Roman" w:hAnsi="Times New Roman" w:cs="Times New Roman"/>
          <w:sz w:val="24"/>
          <w:highlight w:val="white"/>
        </w:rPr>
        <w:t xml:space="preserve">-PCR of marker genes for different </w:t>
      </w:r>
      <w:proofErr w:type="spellStart"/>
      <w:r w:rsidRPr="00CF0A23">
        <w:rPr>
          <w:rFonts w:ascii="Times New Roman" w:hAnsi="Times New Roman" w:cs="Times New Roman"/>
          <w:sz w:val="24"/>
          <w:highlight w:val="white"/>
        </w:rPr>
        <w:t>signaling</w:t>
      </w:r>
      <w:proofErr w:type="spellEnd"/>
      <w:r w:rsidRPr="00CF0A23">
        <w:rPr>
          <w:rFonts w:ascii="Times New Roman" w:hAnsi="Times New Roman" w:cs="Times New Roman"/>
          <w:sz w:val="24"/>
          <w:highlight w:val="white"/>
        </w:rPr>
        <w:t xml:space="preserve"> pathways, sampling 6 mm</w:t>
      </w:r>
      <w:r w:rsidRPr="00CF0A23">
        <w:rPr>
          <w:rFonts w:ascii="Times New Roman" w:hAnsi="Times New Roman" w:cs="Times New Roman"/>
          <w:sz w:val="24"/>
        </w:rPr>
        <w:t>-diameter</w:t>
      </w:r>
      <w:r w:rsidRPr="00CF0A23">
        <w:rPr>
          <w:rFonts w:ascii="Times New Roman" w:hAnsi="Times New Roman" w:cs="Times New Roman"/>
          <w:sz w:val="24"/>
          <w:highlight w:val="white"/>
        </w:rPr>
        <w:t xml:space="preserve"> leaf discs around the aphid feeding site; ii) monitoring activation of marker genes in vivo in the area surrounding the feeding site, using a set of visualisation tools, including plant lines expressing promoter-fluorescent reporter constructs for genes associated with SA, JA, and ET </w:t>
      </w:r>
      <w:proofErr w:type="spellStart"/>
      <w:r w:rsidRPr="00CF0A23">
        <w:rPr>
          <w:rFonts w:ascii="Times New Roman" w:hAnsi="Times New Roman" w:cs="Times New Roman"/>
          <w:sz w:val="24"/>
          <w:highlight w:val="white"/>
        </w:rPr>
        <w:t>signaling</w:t>
      </w:r>
      <w:proofErr w:type="spellEnd"/>
      <w:r w:rsidRPr="00CF0A23">
        <w:rPr>
          <w:rFonts w:ascii="Times New Roman" w:hAnsi="Times New Roman" w:cs="Times New Roman"/>
          <w:sz w:val="24"/>
          <w:highlight w:val="white"/>
        </w:rPr>
        <w:t xml:space="preserve"> pathways </w:t>
      </w:r>
      <w:r w:rsidR="008840AD">
        <w:rPr>
          <w:rFonts w:ascii="Times New Roman" w:hAnsi="Times New Roman" w:cs="Times New Roman"/>
          <w:sz w:val="24"/>
          <w:highlight w:val="white"/>
        </w:rPr>
        <w:fldChar w:fldCharType="begin"/>
      </w:r>
      <w:r w:rsidR="00D5193C">
        <w:rPr>
          <w:rFonts w:ascii="Times New Roman" w:hAnsi="Times New Roman" w:cs="Times New Roman"/>
          <w:sz w:val="24"/>
          <w:highlight w:val="white"/>
        </w:rPr>
        <w:instrText xml:space="preserve"> ADDIN ZOTERO_ITEM CSL_CITATION {"citationID":"sLn2n8ic","properties":{"formattedCitation":"(Marhav\\uc0\\u253{} et al., 2019)","plainCitation":"(Marhavý et al., 2019)","noteIndex":0},"citationItems":[{"id":78,"uris":["http://zotero.org/users/10895598/items/HVLVTTW6"],"itemData":{"id":78,"type":"article-journal","container-title":"The EMBO Journal","DOI":"10.15252/embj.2018100972","ISSN":"0261-4189, 1460-2075","issue":"10","journalAbbreviation":"EMBO J","language":"en","source":"DOI.org (Crossref)","title":"Single‐cell damage elicits regional, nematode‐restricting ethylene responses in roots","URL":"https://onlinelibrary.wiley.com/doi/abs/10.15252/embj.2018100972","volume":"38","author":[{"family":"Marhavý","given":"Peter"},{"family":"Kurenda","given":"Andrzej"},{"family":"Siddique","given":"Shahid"},{"family":"Dénervaud Tendon","given":"Valerie"},{"family":"Zhou","given":"Feng"},{"family":"Holbein","given":"Julia"},{"family":"Hasan","given":"M Shamim"},{"family":"Grundler","given":"Florian MW"},{"family":"Farmer","given":"Edward E"},{"family":"Geldner","given":"Niko"}],"accessed":{"date-parts":[["2021",1,10]]},"issued":{"date-parts":[["2019",5,15]]}}}],"schema":"https://github.com/citation-style-language/schema/raw/master/csl-citation.json"} </w:instrText>
      </w:r>
      <w:r w:rsidR="008840AD">
        <w:rPr>
          <w:rFonts w:ascii="Times New Roman" w:hAnsi="Times New Roman" w:cs="Times New Roman"/>
          <w:sz w:val="24"/>
          <w:highlight w:val="white"/>
        </w:rPr>
        <w:fldChar w:fldCharType="separate"/>
      </w:r>
      <w:r w:rsidR="008840AD" w:rsidRPr="008840AD">
        <w:rPr>
          <w:rFonts w:ascii="Times New Roman" w:hAnsi="Times New Roman" w:cs="Times New Roman"/>
          <w:sz w:val="24"/>
          <w:szCs w:val="24"/>
        </w:rPr>
        <w:t>(Marhavý et al., 2019)</w:t>
      </w:r>
      <w:r w:rsidR="008840AD">
        <w:rPr>
          <w:rFonts w:ascii="Times New Roman" w:hAnsi="Times New Roman" w:cs="Times New Roman"/>
          <w:sz w:val="24"/>
          <w:highlight w:val="white"/>
        </w:rPr>
        <w:fldChar w:fldCharType="end"/>
      </w:r>
      <w:r w:rsidRPr="00CF0A23">
        <w:rPr>
          <w:rFonts w:ascii="Times New Roman" w:hAnsi="Times New Roman" w:cs="Times New Roman"/>
          <w:sz w:val="24"/>
          <w:highlight w:val="white"/>
        </w:rPr>
        <w:t xml:space="preserve">; and iii) monitoring the localization of </w:t>
      </w:r>
      <w:r w:rsidRPr="00CF0A23">
        <w:rPr>
          <w:rFonts w:ascii="Times New Roman" w:hAnsi="Times New Roman" w:cs="Times New Roman"/>
          <w:i/>
          <w:sz w:val="24"/>
          <w:highlight w:val="white"/>
        </w:rPr>
        <w:t>PR1</w:t>
      </w:r>
      <w:r w:rsidRPr="00CF0A23">
        <w:rPr>
          <w:rFonts w:ascii="Times New Roman" w:hAnsi="Times New Roman" w:cs="Times New Roman"/>
          <w:sz w:val="24"/>
          <w:highlight w:val="white"/>
        </w:rPr>
        <w:t xml:space="preserve"> activation using plants expressing </w:t>
      </w:r>
      <w:r w:rsidR="0077442F">
        <w:rPr>
          <w:rFonts w:ascii="Times New Roman" w:hAnsi="Times New Roman" w:cs="Times New Roman"/>
          <w:sz w:val="24"/>
          <w:highlight w:val="white"/>
        </w:rPr>
        <w:t>a</w:t>
      </w:r>
      <w:r w:rsidR="0077442F" w:rsidRPr="00CF0A23">
        <w:rPr>
          <w:rFonts w:ascii="Times New Roman" w:hAnsi="Times New Roman" w:cs="Times New Roman"/>
          <w:sz w:val="24"/>
          <w:highlight w:val="white"/>
        </w:rPr>
        <w:t xml:space="preserve"> </w:t>
      </w:r>
      <w:r w:rsidRPr="00CF0A23">
        <w:rPr>
          <w:rFonts w:ascii="Times New Roman" w:hAnsi="Times New Roman" w:cs="Times New Roman"/>
          <w:sz w:val="24"/>
          <w:highlight w:val="white"/>
        </w:rPr>
        <w:t>PR1::GUS construct.</w:t>
      </w:r>
    </w:p>
    <w:p w14:paraId="2150A186" w14:textId="04FC7F4A" w:rsidR="00E7693B" w:rsidRPr="00CF0A23" w:rsidRDefault="00E7693B" w:rsidP="00CF0A23">
      <w:pPr>
        <w:spacing w:after="0" w:line="360" w:lineRule="auto"/>
        <w:ind w:firstLine="432"/>
        <w:jc w:val="both"/>
        <w:rPr>
          <w:rFonts w:ascii="Times New Roman" w:hAnsi="Times New Roman" w:cs="Times New Roman"/>
          <w:sz w:val="24"/>
        </w:rPr>
      </w:pPr>
      <w:r w:rsidRPr="00CF0A23">
        <w:rPr>
          <w:rFonts w:ascii="Times New Roman" w:hAnsi="Times New Roman" w:cs="Times New Roman"/>
          <w:sz w:val="24"/>
        </w:rPr>
        <w:t xml:space="preserve">Non-winged adults (apterae) of </w:t>
      </w:r>
      <w:r w:rsidRPr="00CF0A23">
        <w:rPr>
          <w:rFonts w:ascii="Times New Roman" w:hAnsi="Times New Roman" w:cs="Times New Roman"/>
          <w:i/>
          <w:sz w:val="24"/>
        </w:rPr>
        <w:t xml:space="preserve">B. </w:t>
      </w:r>
      <w:proofErr w:type="spellStart"/>
      <w:r w:rsidRPr="00CF0A23">
        <w:rPr>
          <w:rFonts w:ascii="Times New Roman" w:hAnsi="Times New Roman" w:cs="Times New Roman"/>
          <w:i/>
          <w:sz w:val="24"/>
        </w:rPr>
        <w:t>brassicae</w:t>
      </w:r>
      <w:proofErr w:type="spellEnd"/>
      <w:r w:rsidRPr="00CF0A23">
        <w:rPr>
          <w:rFonts w:ascii="Times New Roman" w:hAnsi="Times New Roman" w:cs="Times New Roman"/>
          <w:i/>
          <w:sz w:val="24"/>
        </w:rPr>
        <w:t xml:space="preserve"> </w:t>
      </w:r>
      <w:r w:rsidRPr="00CF0A23">
        <w:rPr>
          <w:rFonts w:ascii="Times New Roman" w:hAnsi="Times New Roman" w:cs="Times New Roman"/>
          <w:sz w:val="24"/>
        </w:rPr>
        <w:t xml:space="preserve">were used in all experiments. Aphids were transferred on the leaves with a fine paintbrush. For gene transcription measurement by </w:t>
      </w:r>
      <w:proofErr w:type="spellStart"/>
      <w:r w:rsidRPr="00CF0A23">
        <w:rPr>
          <w:rFonts w:ascii="Times New Roman" w:hAnsi="Times New Roman" w:cs="Times New Roman"/>
          <w:sz w:val="24"/>
        </w:rPr>
        <w:t>qRT</w:t>
      </w:r>
      <w:proofErr w:type="spellEnd"/>
      <w:r w:rsidRPr="00CF0A23">
        <w:rPr>
          <w:rFonts w:ascii="Times New Roman" w:hAnsi="Times New Roman" w:cs="Times New Roman"/>
          <w:sz w:val="24"/>
        </w:rPr>
        <w:t xml:space="preserve">-PCR, five-week-old plants of </w:t>
      </w:r>
      <w:r w:rsidRPr="00CF0A23">
        <w:rPr>
          <w:rFonts w:ascii="Times New Roman" w:hAnsi="Times New Roman" w:cs="Times New Roman"/>
          <w:i/>
          <w:sz w:val="24"/>
        </w:rPr>
        <w:t xml:space="preserve">A. thaliana </w:t>
      </w:r>
      <w:r w:rsidRPr="00CF0A23">
        <w:rPr>
          <w:rFonts w:ascii="Times New Roman" w:hAnsi="Times New Roman" w:cs="Times New Roman"/>
          <w:sz w:val="24"/>
        </w:rPr>
        <w:t xml:space="preserve">Col-0 were infested with 20 non-winged aphids; for microscopic observation or histochemical studies four- to five-week-old transgenic plants of </w:t>
      </w:r>
      <w:r w:rsidRPr="00CF0A23">
        <w:rPr>
          <w:rFonts w:ascii="Times New Roman" w:hAnsi="Times New Roman" w:cs="Times New Roman"/>
          <w:i/>
          <w:sz w:val="24"/>
        </w:rPr>
        <w:t>A.</w:t>
      </w:r>
      <w:r w:rsidR="00F2380C">
        <w:rPr>
          <w:rFonts w:ascii="Times New Roman" w:hAnsi="Times New Roman" w:cs="Times New Roman"/>
          <w:i/>
          <w:sz w:val="24"/>
        </w:rPr>
        <w:t> </w:t>
      </w:r>
      <w:r w:rsidRPr="00CF0A23">
        <w:rPr>
          <w:rFonts w:ascii="Times New Roman" w:hAnsi="Times New Roman" w:cs="Times New Roman"/>
          <w:i/>
          <w:sz w:val="24"/>
        </w:rPr>
        <w:t xml:space="preserve">thaliana </w:t>
      </w:r>
      <w:r w:rsidRPr="00CF0A23">
        <w:rPr>
          <w:rFonts w:ascii="Times New Roman" w:hAnsi="Times New Roman" w:cs="Times New Roman"/>
          <w:sz w:val="24"/>
        </w:rPr>
        <w:t>were infested with 15 non-winged adult aphids. Infested plants were kept individually in glass beakers covered with a fine mesh gauze, at 22°C, 70 % relative humidity, under 10 h light (100-130 µE m</w:t>
      </w:r>
      <w:r w:rsidRPr="00CF0A23">
        <w:rPr>
          <w:rFonts w:ascii="Times New Roman" w:hAnsi="Times New Roman" w:cs="Times New Roman"/>
          <w:sz w:val="24"/>
          <w:vertAlign w:val="superscript"/>
        </w:rPr>
        <w:t>-2</w:t>
      </w:r>
      <w:r w:rsidRPr="00CF0A23">
        <w:rPr>
          <w:rFonts w:ascii="Times New Roman" w:hAnsi="Times New Roman" w:cs="Times New Roman"/>
          <w:sz w:val="24"/>
        </w:rPr>
        <w:t xml:space="preserve"> s</w:t>
      </w:r>
      <w:r w:rsidRPr="00CF0A23">
        <w:rPr>
          <w:rFonts w:ascii="Times New Roman" w:hAnsi="Times New Roman" w:cs="Times New Roman"/>
          <w:sz w:val="24"/>
          <w:vertAlign w:val="superscript"/>
        </w:rPr>
        <w:t>-1</w:t>
      </w:r>
      <w:r w:rsidRPr="00CF0A23">
        <w:rPr>
          <w:rFonts w:ascii="Times New Roman" w:hAnsi="Times New Roman" w:cs="Times New Roman"/>
          <w:sz w:val="24"/>
        </w:rPr>
        <w:t>) and 14 h dark regime. Aphid-free plants served as controls and were kept under the same conditions. Infested and non-infested plants were harvested 6, 24, 48 and 72 h post infestation (</w:t>
      </w:r>
      <w:proofErr w:type="spellStart"/>
      <w:r w:rsidRPr="00CF0A23">
        <w:rPr>
          <w:rFonts w:ascii="Times New Roman" w:hAnsi="Times New Roman" w:cs="Times New Roman"/>
          <w:sz w:val="24"/>
        </w:rPr>
        <w:t>hpi</w:t>
      </w:r>
      <w:proofErr w:type="spellEnd"/>
      <w:r w:rsidRPr="00CF0A23">
        <w:rPr>
          <w:rFonts w:ascii="Times New Roman" w:hAnsi="Times New Roman" w:cs="Times New Roman"/>
          <w:sz w:val="24"/>
        </w:rPr>
        <w:t xml:space="preserve">) for gene transcription measurement, and 24, 48 and 72 </w:t>
      </w:r>
      <w:proofErr w:type="spellStart"/>
      <w:r w:rsidRPr="00CF0A23">
        <w:rPr>
          <w:rFonts w:ascii="Times New Roman" w:hAnsi="Times New Roman" w:cs="Times New Roman"/>
          <w:sz w:val="24"/>
        </w:rPr>
        <w:t>hpi</w:t>
      </w:r>
      <w:proofErr w:type="spellEnd"/>
      <w:r w:rsidRPr="00CF0A23">
        <w:rPr>
          <w:rFonts w:ascii="Times New Roman" w:hAnsi="Times New Roman" w:cs="Times New Roman"/>
          <w:sz w:val="24"/>
        </w:rPr>
        <w:t xml:space="preserve"> for imaging. Aphids were removed from the leaves using the brush and 6 mm leaf discs were used for microscopic imaging or were immediately frozen in liquid nitrogen and stored at -80°C for RNA extraction.</w:t>
      </w:r>
    </w:p>
    <w:p w14:paraId="2150A187" w14:textId="77777777" w:rsidR="00E7693B" w:rsidRPr="00CF0A23" w:rsidRDefault="00E7693B" w:rsidP="00CF0A23">
      <w:pPr>
        <w:spacing w:after="0" w:line="360" w:lineRule="auto"/>
        <w:jc w:val="both"/>
        <w:rPr>
          <w:rFonts w:ascii="Times New Roman" w:hAnsi="Times New Roman" w:cs="Times New Roman"/>
          <w:sz w:val="24"/>
        </w:rPr>
      </w:pPr>
    </w:p>
    <w:p w14:paraId="2150A188" w14:textId="77777777" w:rsidR="00E7693B" w:rsidRPr="00E7693B" w:rsidRDefault="00E7693B" w:rsidP="00EC70C2">
      <w:pPr>
        <w:pStyle w:val="Heading3"/>
      </w:pPr>
      <w:bookmarkStart w:id="76" w:name="_Toc167977643"/>
      <w:r w:rsidRPr="00E7693B">
        <w:t>Results</w:t>
      </w:r>
      <w:bookmarkEnd w:id="76"/>
    </w:p>
    <w:p w14:paraId="2150A189" w14:textId="77777777" w:rsidR="00E7693B" w:rsidRPr="00E7693B" w:rsidRDefault="00E7693B" w:rsidP="00CF0A23">
      <w:pPr>
        <w:spacing w:after="0"/>
        <w:rPr>
          <w:rFonts w:ascii="Times New Roman" w:hAnsi="Times New Roman" w:cs="Times New Roman"/>
        </w:rPr>
      </w:pPr>
    </w:p>
    <w:p w14:paraId="2150A18A" w14:textId="77777777" w:rsidR="00E7693B" w:rsidRPr="00E7693B" w:rsidRDefault="00E7693B" w:rsidP="00EC70C2">
      <w:pPr>
        <w:pStyle w:val="Heading4"/>
      </w:pPr>
      <w:bookmarkStart w:id="77" w:name="_Toc167977644"/>
      <w:proofErr w:type="spellStart"/>
      <w:r w:rsidRPr="00E7693B">
        <w:rPr>
          <w:i/>
        </w:rPr>
        <w:t>Brevicoryne</w:t>
      </w:r>
      <w:proofErr w:type="spellEnd"/>
      <w:r w:rsidRPr="00E7693B">
        <w:rPr>
          <w:i/>
        </w:rPr>
        <w:t xml:space="preserve"> </w:t>
      </w:r>
      <w:proofErr w:type="spellStart"/>
      <w:r w:rsidRPr="00E7693B">
        <w:rPr>
          <w:i/>
        </w:rPr>
        <w:t>brassicae</w:t>
      </w:r>
      <w:proofErr w:type="spellEnd"/>
      <w:r w:rsidRPr="00E7693B">
        <w:rPr>
          <w:i/>
        </w:rPr>
        <w:t xml:space="preserve"> </w:t>
      </w:r>
      <w:r w:rsidRPr="00E7693B">
        <w:t xml:space="preserve">regulates the transcription of genes involved in SA, JA and ET </w:t>
      </w:r>
      <w:proofErr w:type="spellStart"/>
      <w:r w:rsidRPr="00E7693B">
        <w:t>signaling</w:t>
      </w:r>
      <w:proofErr w:type="spellEnd"/>
      <w:r w:rsidRPr="00E7693B">
        <w:t xml:space="preserve"> and triggers callose deposition in </w:t>
      </w:r>
      <w:r w:rsidRPr="00E7693B">
        <w:rPr>
          <w:i/>
        </w:rPr>
        <w:t>Arabidopsis thaliana</w:t>
      </w:r>
      <w:bookmarkEnd w:id="77"/>
    </w:p>
    <w:p w14:paraId="2150A18B" w14:textId="77777777" w:rsidR="00E7693B" w:rsidRPr="00CF0A23" w:rsidRDefault="00E7693B" w:rsidP="00CF0A23">
      <w:pPr>
        <w:spacing w:after="0" w:line="360" w:lineRule="auto"/>
        <w:jc w:val="both"/>
        <w:rPr>
          <w:rFonts w:ascii="Times New Roman" w:hAnsi="Times New Roman" w:cs="Times New Roman"/>
          <w:sz w:val="24"/>
        </w:rPr>
      </w:pPr>
    </w:p>
    <w:p w14:paraId="2150A18C" w14:textId="6D3B196D" w:rsidR="00E7693B" w:rsidRPr="00CF0A23" w:rsidRDefault="00E7693B" w:rsidP="00CF0A23">
      <w:pPr>
        <w:pBdr>
          <w:top w:val="nil"/>
          <w:left w:val="nil"/>
          <w:bottom w:val="nil"/>
          <w:right w:val="nil"/>
          <w:between w:val="nil"/>
        </w:pBdr>
        <w:spacing w:after="0" w:line="360" w:lineRule="auto"/>
        <w:ind w:firstLine="708"/>
        <w:jc w:val="both"/>
        <w:rPr>
          <w:rFonts w:ascii="Times New Roman" w:hAnsi="Times New Roman" w:cs="Times New Roman"/>
          <w:color w:val="000000"/>
          <w:sz w:val="24"/>
        </w:rPr>
      </w:pPr>
      <w:r w:rsidRPr="00CF0A23">
        <w:rPr>
          <w:rFonts w:ascii="Times New Roman" w:hAnsi="Times New Roman" w:cs="Times New Roman"/>
          <w:color w:val="000000"/>
          <w:sz w:val="24"/>
        </w:rPr>
        <w:t xml:space="preserve">Feeding by </w:t>
      </w:r>
      <w:r w:rsidRPr="00CF0A23">
        <w:rPr>
          <w:rFonts w:ascii="Times New Roman" w:hAnsi="Times New Roman" w:cs="Times New Roman"/>
          <w:i/>
          <w:color w:val="000000"/>
          <w:sz w:val="24"/>
        </w:rPr>
        <w:t xml:space="preserve">B. </w:t>
      </w:r>
      <w:proofErr w:type="spellStart"/>
      <w:r w:rsidRPr="00CF0A23">
        <w:rPr>
          <w:rFonts w:ascii="Times New Roman" w:hAnsi="Times New Roman" w:cs="Times New Roman"/>
          <w:i/>
          <w:color w:val="000000"/>
          <w:sz w:val="24"/>
        </w:rPr>
        <w:t>brassicae</w:t>
      </w:r>
      <w:proofErr w:type="spellEnd"/>
      <w:r w:rsidRPr="00CF0A23">
        <w:rPr>
          <w:rFonts w:ascii="Times New Roman" w:hAnsi="Times New Roman" w:cs="Times New Roman"/>
          <w:i/>
          <w:color w:val="000000"/>
          <w:sz w:val="24"/>
        </w:rPr>
        <w:t xml:space="preserve"> </w:t>
      </w:r>
      <w:r w:rsidRPr="00CF0A23">
        <w:rPr>
          <w:rFonts w:ascii="Times New Roman" w:hAnsi="Times New Roman" w:cs="Times New Roman"/>
          <w:color w:val="000000"/>
          <w:sz w:val="24"/>
        </w:rPr>
        <w:t>altered the transcription of genes involved in SA (</w:t>
      </w:r>
      <w:r w:rsidRPr="00CF0A23">
        <w:rPr>
          <w:rFonts w:ascii="Times New Roman" w:hAnsi="Times New Roman" w:cs="Times New Roman"/>
          <w:i/>
          <w:color w:val="000000"/>
          <w:sz w:val="24"/>
        </w:rPr>
        <w:t>PR1</w:t>
      </w:r>
      <w:r w:rsidRPr="00CF0A23">
        <w:rPr>
          <w:rFonts w:ascii="Times New Roman" w:hAnsi="Times New Roman" w:cs="Times New Roman"/>
          <w:color w:val="000000"/>
          <w:sz w:val="24"/>
        </w:rPr>
        <w:t xml:space="preserve">, </w:t>
      </w:r>
      <w:r w:rsidRPr="00CF0A23">
        <w:rPr>
          <w:rFonts w:ascii="Times New Roman" w:hAnsi="Times New Roman" w:cs="Times New Roman"/>
          <w:i/>
          <w:color w:val="000000"/>
          <w:sz w:val="24"/>
        </w:rPr>
        <w:t>PR2</w:t>
      </w:r>
      <w:r w:rsidRPr="00CF0A23">
        <w:rPr>
          <w:rFonts w:ascii="Times New Roman" w:hAnsi="Times New Roman" w:cs="Times New Roman"/>
          <w:color w:val="000000"/>
          <w:sz w:val="24"/>
        </w:rPr>
        <w:t xml:space="preserve">, </w:t>
      </w:r>
      <w:r w:rsidRPr="00CF0A23">
        <w:rPr>
          <w:rFonts w:ascii="Times New Roman" w:hAnsi="Times New Roman" w:cs="Times New Roman"/>
          <w:i/>
          <w:color w:val="000000"/>
          <w:sz w:val="24"/>
        </w:rPr>
        <w:t>PR5</w:t>
      </w:r>
      <w:r w:rsidRPr="00CF0A23">
        <w:rPr>
          <w:rFonts w:ascii="Times New Roman" w:hAnsi="Times New Roman" w:cs="Times New Roman"/>
          <w:color w:val="000000"/>
          <w:sz w:val="24"/>
        </w:rPr>
        <w:t xml:space="preserve">, </w:t>
      </w:r>
      <w:r w:rsidRPr="00CF0A23">
        <w:rPr>
          <w:rFonts w:ascii="Times New Roman" w:hAnsi="Times New Roman" w:cs="Times New Roman"/>
          <w:i/>
          <w:color w:val="000000"/>
          <w:sz w:val="24"/>
        </w:rPr>
        <w:t>ICS1</w:t>
      </w:r>
      <w:r w:rsidRPr="00CF0A23">
        <w:rPr>
          <w:rFonts w:ascii="Times New Roman" w:hAnsi="Times New Roman" w:cs="Times New Roman"/>
          <w:color w:val="000000"/>
          <w:sz w:val="24"/>
        </w:rPr>
        <w:t xml:space="preserve">, </w:t>
      </w:r>
      <w:r w:rsidRPr="00CF0A23">
        <w:rPr>
          <w:rFonts w:ascii="Times New Roman" w:hAnsi="Times New Roman" w:cs="Times New Roman"/>
          <w:i/>
          <w:color w:val="000000"/>
          <w:sz w:val="24"/>
        </w:rPr>
        <w:t>ICS2</w:t>
      </w:r>
      <w:r w:rsidRPr="00CF0A23">
        <w:rPr>
          <w:rFonts w:ascii="Times New Roman" w:hAnsi="Times New Roman" w:cs="Times New Roman"/>
          <w:color w:val="000000"/>
          <w:sz w:val="24"/>
        </w:rPr>
        <w:t>), JA (</w:t>
      </w:r>
      <w:r w:rsidRPr="00CF0A23">
        <w:rPr>
          <w:rFonts w:ascii="Times New Roman" w:hAnsi="Times New Roman" w:cs="Times New Roman"/>
          <w:i/>
          <w:color w:val="000000"/>
          <w:sz w:val="24"/>
        </w:rPr>
        <w:t>AOS</w:t>
      </w:r>
      <w:r w:rsidRPr="00CF0A23">
        <w:rPr>
          <w:rFonts w:ascii="Times New Roman" w:hAnsi="Times New Roman" w:cs="Times New Roman"/>
          <w:color w:val="000000"/>
          <w:sz w:val="24"/>
        </w:rPr>
        <w:t xml:space="preserve">, </w:t>
      </w:r>
      <w:r w:rsidRPr="00CF0A23">
        <w:rPr>
          <w:rFonts w:ascii="Times New Roman" w:hAnsi="Times New Roman" w:cs="Times New Roman"/>
          <w:i/>
          <w:color w:val="000000"/>
          <w:sz w:val="24"/>
        </w:rPr>
        <w:t>LOX2</w:t>
      </w:r>
      <w:r w:rsidRPr="00CF0A23">
        <w:rPr>
          <w:rFonts w:ascii="Times New Roman" w:hAnsi="Times New Roman" w:cs="Times New Roman"/>
          <w:color w:val="000000"/>
          <w:sz w:val="24"/>
        </w:rPr>
        <w:t xml:space="preserve">, </w:t>
      </w:r>
      <w:r w:rsidRPr="00CF0A23">
        <w:rPr>
          <w:rFonts w:ascii="Times New Roman" w:hAnsi="Times New Roman" w:cs="Times New Roman"/>
          <w:i/>
          <w:color w:val="000000"/>
          <w:sz w:val="24"/>
        </w:rPr>
        <w:t>JAZ8</w:t>
      </w:r>
      <w:r w:rsidRPr="00CF0A23">
        <w:rPr>
          <w:rFonts w:ascii="Times New Roman" w:hAnsi="Times New Roman" w:cs="Times New Roman"/>
          <w:color w:val="000000"/>
          <w:sz w:val="24"/>
        </w:rPr>
        <w:t xml:space="preserve">, </w:t>
      </w:r>
      <w:r w:rsidRPr="00CF0A23">
        <w:rPr>
          <w:rFonts w:ascii="Times New Roman" w:hAnsi="Times New Roman" w:cs="Times New Roman"/>
          <w:i/>
          <w:color w:val="000000"/>
          <w:sz w:val="24"/>
        </w:rPr>
        <w:t>JAZ10</w:t>
      </w:r>
      <w:r w:rsidRPr="00CF0A23">
        <w:rPr>
          <w:rFonts w:ascii="Times New Roman" w:hAnsi="Times New Roman" w:cs="Times New Roman"/>
          <w:color w:val="000000"/>
          <w:sz w:val="24"/>
        </w:rPr>
        <w:t>), ET (</w:t>
      </w:r>
      <w:r w:rsidRPr="00CF0A23">
        <w:rPr>
          <w:rFonts w:ascii="Times New Roman" w:hAnsi="Times New Roman" w:cs="Times New Roman"/>
          <w:i/>
          <w:color w:val="000000"/>
          <w:sz w:val="24"/>
        </w:rPr>
        <w:t>ACS2</w:t>
      </w:r>
      <w:r w:rsidRPr="00CF0A23">
        <w:rPr>
          <w:rFonts w:ascii="Times New Roman" w:hAnsi="Times New Roman" w:cs="Times New Roman"/>
          <w:color w:val="000000"/>
          <w:sz w:val="24"/>
        </w:rPr>
        <w:t xml:space="preserve">, </w:t>
      </w:r>
      <w:r w:rsidRPr="00CF0A23">
        <w:rPr>
          <w:rFonts w:ascii="Times New Roman" w:hAnsi="Times New Roman" w:cs="Times New Roman"/>
          <w:i/>
          <w:color w:val="000000"/>
          <w:sz w:val="24"/>
        </w:rPr>
        <w:t>ACS6</w:t>
      </w:r>
      <w:r w:rsidRPr="00CF0A23">
        <w:rPr>
          <w:rFonts w:ascii="Times New Roman" w:hAnsi="Times New Roman" w:cs="Times New Roman"/>
          <w:color w:val="000000"/>
          <w:sz w:val="24"/>
        </w:rPr>
        <w:t>) and JA/ET (</w:t>
      </w:r>
      <w:r w:rsidRPr="00CF0A23">
        <w:rPr>
          <w:rFonts w:ascii="Times New Roman" w:hAnsi="Times New Roman" w:cs="Times New Roman"/>
          <w:i/>
          <w:color w:val="000000"/>
          <w:sz w:val="24"/>
        </w:rPr>
        <w:t>PDF1.2</w:t>
      </w:r>
      <w:r w:rsidRPr="00CF0A23">
        <w:rPr>
          <w:rFonts w:ascii="Times New Roman" w:hAnsi="Times New Roman" w:cs="Times New Roman"/>
          <w:color w:val="000000"/>
          <w:sz w:val="24"/>
        </w:rPr>
        <w:t xml:space="preserve">, </w:t>
      </w:r>
      <w:r w:rsidRPr="00CF0A23">
        <w:rPr>
          <w:rFonts w:ascii="Times New Roman" w:hAnsi="Times New Roman" w:cs="Times New Roman"/>
          <w:i/>
          <w:color w:val="000000"/>
          <w:sz w:val="24"/>
        </w:rPr>
        <w:t>HEL/PR4</w:t>
      </w:r>
      <w:r w:rsidRPr="00CF0A23">
        <w:rPr>
          <w:rFonts w:ascii="Times New Roman" w:hAnsi="Times New Roman" w:cs="Times New Roman"/>
          <w:color w:val="000000"/>
          <w:sz w:val="24"/>
        </w:rPr>
        <w:t xml:space="preserve">) </w:t>
      </w:r>
      <w:proofErr w:type="spellStart"/>
      <w:r w:rsidRPr="00CF0A23">
        <w:rPr>
          <w:rFonts w:ascii="Times New Roman" w:hAnsi="Times New Roman" w:cs="Times New Roman"/>
          <w:color w:val="000000"/>
          <w:sz w:val="24"/>
        </w:rPr>
        <w:t>signaling</w:t>
      </w:r>
      <w:proofErr w:type="spellEnd"/>
      <w:r w:rsidRPr="00CF0A23">
        <w:rPr>
          <w:rFonts w:ascii="Times New Roman" w:hAnsi="Times New Roman" w:cs="Times New Roman"/>
          <w:color w:val="000000"/>
          <w:sz w:val="24"/>
        </w:rPr>
        <w:t xml:space="preserve"> in </w:t>
      </w:r>
      <w:r w:rsidRPr="00CF0A23">
        <w:rPr>
          <w:rFonts w:ascii="Times New Roman" w:hAnsi="Times New Roman" w:cs="Times New Roman"/>
          <w:i/>
          <w:color w:val="000000"/>
          <w:sz w:val="24"/>
        </w:rPr>
        <w:t xml:space="preserve">A. thaliana </w:t>
      </w:r>
      <w:r w:rsidRPr="00CF0A23">
        <w:rPr>
          <w:rFonts w:ascii="Times New Roman" w:hAnsi="Times New Roman" w:cs="Times New Roman"/>
          <w:color w:val="000000"/>
          <w:sz w:val="24"/>
        </w:rPr>
        <w:t xml:space="preserve">(Fig. </w:t>
      </w:r>
      <w:r w:rsidRPr="00CF0A23">
        <w:rPr>
          <w:rFonts w:ascii="Times New Roman" w:hAnsi="Times New Roman" w:cs="Times New Roman"/>
          <w:sz w:val="24"/>
        </w:rPr>
        <w:t>29</w:t>
      </w:r>
      <w:r w:rsidRPr="00CF0A23">
        <w:rPr>
          <w:rFonts w:ascii="Times New Roman" w:hAnsi="Times New Roman" w:cs="Times New Roman"/>
          <w:color w:val="000000"/>
          <w:sz w:val="24"/>
        </w:rPr>
        <w:t xml:space="preserve">). Aphid feeding normally caused upregulation of all the tested genes, rather than the downregulation. </w:t>
      </w:r>
      <w:r w:rsidRPr="00CF0A23">
        <w:rPr>
          <w:rFonts w:ascii="Times New Roman" w:hAnsi="Times New Roman" w:cs="Times New Roman"/>
          <w:sz w:val="24"/>
        </w:rPr>
        <w:t>The upregulation of SA biosynthetic gene (</w:t>
      </w:r>
      <w:r w:rsidRPr="00CF0A23">
        <w:rPr>
          <w:rFonts w:ascii="Times New Roman" w:hAnsi="Times New Roman" w:cs="Times New Roman"/>
          <w:i/>
          <w:sz w:val="24"/>
        </w:rPr>
        <w:t>ICS1</w:t>
      </w:r>
      <w:r w:rsidRPr="00CF0A23">
        <w:rPr>
          <w:rFonts w:ascii="Times New Roman" w:hAnsi="Times New Roman" w:cs="Times New Roman"/>
          <w:sz w:val="24"/>
        </w:rPr>
        <w:t>)</w:t>
      </w:r>
      <w:r w:rsidRPr="00CF0A23">
        <w:rPr>
          <w:rFonts w:ascii="Times New Roman" w:hAnsi="Times New Roman" w:cs="Times New Roman"/>
          <w:i/>
          <w:sz w:val="24"/>
        </w:rPr>
        <w:t xml:space="preserve"> </w:t>
      </w:r>
      <w:r w:rsidRPr="00CF0A23">
        <w:rPr>
          <w:rFonts w:ascii="Times New Roman" w:hAnsi="Times New Roman" w:cs="Times New Roman"/>
          <w:sz w:val="24"/>
        </w:rPr>
        <w:t>and SA downstream genes (</w:t>
      </w:r>
      <w:r w:rsidRPr="00CF0A23">
        <w:rPr>
          <w:rFonts w:ascii="Times New Roman" w:hAnsi="Times New Roman" w:cs="Times New Roman"/>
          <w:i/>
          <w:sz w:val="24"/>
        </w:rPr>
        <w:t>PR1</w:t>
      </w:r>
      <w:r w:rsidRPr="00CF0A23">
        <w:rPr>
          <w:rFonts w:ascii="Times New Roman" w:hAnsi="Times New Roman" w:cs="Times New Roman"/>
          <w:sz w:val="24"/>
        </w:rPr>
        <w:t xml:space="preserve">, </w:t>
      </w:r>
      <w:r w:rsidRPr="00CF0A23">
        <w:rPr>
          <w:rFonts w:ascii="Times New Roman" w:hAnsi="Times New Roman" w:cs="Times New Roman"/>
          <w:i/>
          <w:sz w:val="24"/>
        </w:rPr>
        <w:t>PR2</w:t>
      </w:r>
      <w:r w:rsidRPr="00CF0A23">
        <w:rPr>
          <w:rFonts w:ascii="Times New Roman" w:hAnsi="Times New Roman" w:cs="Times New Roman"/>
          <w:sz w:val="24"/>
        </w:rPr>
        <w:t xml:space="preserve">, </w:t>
      </w:r>
      <w:r w:rsidRPr="00CF0A23">
        <w:rPr>
          <w:rFonts w:ascii="Times New Roman" w:hAnsi="Times New Roman" w:cs="Times New Roman"/>
          <w:i/>
          <w:sz w:val="24"/>
        </w:rPr>
        <w:t>PR5</w:t>
      </w:r>
      <w:r w:rsidRPr="00CF0A23">
        <w:rPr>
          <w:rFonts w:ascii="Times New Roman" w:hAnsi="Times New Roman" w:cs="Times New Roman"/>
          <w:sz w:val="24"/>
        </w:rPr>
        <w:t xml:space="preserve">) around the aphid feeding sites was observed from 24 until 72 </w:t>
      </w:r>
      <w:proofErr w:type="spellStart"/>
      <w:r w:rsidRPr="00CF0A23">
        <w:rPr>
          <w:rFonts w:ascii="Times New Roman" w:hAnsi="Times New Roman" w:cs="Times New Roman"/>
          <w:sz w:val="24"/>
        </w:rPr>
        <w:t>hpi</w:t>
      </w:r>
      <w:proofErr w:type="spellEnd"/>
      <w:r w:rsidRPr="00CF0A23">
        <w:rPr>
          <w:rFonts w:ascii="Times New Roman" w:hAnsi="Times New Roman" w:cs="Times New Roman"/>
          <w:sz w:val="24"/>
        </w:rPr>
        <w:t xml:space="preserve">, and biosynthetic </w:t>
      </w:r>
      <w:r w:rsidRPr="00CF0A23">
        <w:rPr>
          <w:rFonts w:ascii="Times New Roman" w:hAnsi="Times New Roman" w:cs="Times New Roman"/>
          <w:i/>
          <w:sz w:val="24"/>
        </w:rPr>
        <w:t xml:space="preserve">ICS2 </w:t>
      </w:r>
      <w:r w:rsidRPr="00CF0A23">
        <w:rPr>
          <w:rFonts w:ascii="Times New Roman" w:hAnsi="Times New Roman" w:cs="Times New Roman"/>
          <w:sz w:val="24"/>
        </w:rPr>
        <w:t xml:space="preserve">was upregulated from 48 </w:t>
      </w:r>
      <w:proofErr w:type="spellStart"/>
      <w:r w:rsidRPr="00CF0A23">
        <w:rPr>
          <w:rFonts w:ascii="Times New Roman" w:hAnsi="Times New Roman" w:cs="Times New Roman"/>
          <w:sz w:val="24"/>
        </w:rPr>
        <w:t>hpi</w:t>
      </w:r>
      <w:proofErr w:type="spellEnd"/>
      <w:r w:rsidRPr="00CF0A23">
        <w:rPr>
          <w:rFonts w:ascii="Times New Roman" w:hAnsi="Times New Roman" w:cs="Times New Roman"/>
          <w:sz w:val="24"/>
        </w:rPr>
        <w:t xml:space="preserve">. </w:t>
      </w:r>
      <w:r w:rsidRPr="00CF0A23">
        <w:rPr>
          <w:rFonts w:ascii="Times New Roman" w:hAnsi="Times New Roman" w:cs="Times New Roman"/>
          <w:color w:val="000000"/>
          <w:sz w:val="24"/>
        </w:rPr>
        <w:t xml:space="preserve">Interestingly, the transcription of </w:t>
      </w:r>
      <w:r w:rsidRPr="00CF0A23">
        <w:rPr>
          <w:rFonts w:ascii="Times New Roman" w:hAnsi="Times New Roman" w:cs="Times New Roman"/>
          <w:i/>
          <w:color w:val="000000"/>
          <w:sz w:val="24"/>
        </w:rPr>
        <w:t xml:space="preserve">PR1 </w:t>
      </w:r>
      <w:r w:rsidRPr="00CF0A23">
        <w:rPr>
          <w:rFonts w:ascii="Times New Roman" w:hAnsi="Times New Roman" w:cs="Times New Roman"/>
          <w:color w:val="000000"/>
          <w:sz w:val="24"/>
        </w:rPr>
        <w:t xml:space="preserve">was over 100-fold higher in aphid-infested plants at 24 </w:t>
      </w:r>
      <w:proofErr w:type="spellStart"/>
      <w:r w:rsidRPr="00CF0A23">
        <w:rPr>
          <w:rFonts w:ascii="Times New Roman" w:hAnsi="Times New Roman" w:cs="Times New Roman"/>
          <w:color w:val="000000"/>
          <w:sz w:val="24"/>
        </w:rPr>
        <w:t>hpi</w:t>
      </w:r>
      <w:proofErr w:type="spellEnd"/>
      <w:r w:rsidRPr="00CF0A23">
        <w:rPr>
          <w:rFonts w:ascii="Times New Roman" w:hAnsi="Times New Roman" w:cs="Times New Roman"/>
          <w:color w:val="000000"/>
          <w:sz w:val="24"/>
        </w:rPr>
        <w:t xml:space="preserve"> compared to its respective control, and 1000-fold higher at 48 and 72 </w:t>
      </w:r>
      <w:proofErr w:type="spellStart"/>
      <w:r w:rsidRPr="00CF0A23">
        <w:rPr>
          <w:rFonts w:ascii="Times New Roman" w:hAnsi="Times New Roman" w:cs="Times New Roman"/>
          <w:color w:val="000000"/>
          <w:sz w:val="24"/>
        </w:rPr>
        <w:t>hpi</w:t>
      </w:r>
      <w:proofErr w:type="spellEnd"/>
      <w:r w:rsidRPr="00CF0A23">
        <w:rPr>
          <w:rFonts w:ascii="Times New Roman" w:hAnsi="Times New Roman" w:cs="Times New Roman"/>
          <w:sz w:val="24"/>
        </w:rPr>
        <w:t xml:space="preserve">. As for </w:t>
      </w:r>
      <w:r w:rsidRPr="00CF0A23">
        <w:rPr>
          <w:rFonts w:ascii="Times New Roman" w:hAnsi="Times New Roman" w:cs="Times New Roman"/>
          <w:i/>
          <w:sz w:val="24"/>
        </w:rPr>
        <w:t>PR2</w:t>
      </w:r>
      <w:r w:rsidRPr="00CF0A23">
        <w:rPr>
          <w:rFonts w:ascii="Times New Roman" w:hAnsi="Times New Roman" w:cs="Times New Roman"/>
          <w:sz w:val="24"/>
        </w:rPr>
        <w:t xml:space="preserve"> and </w:t>
      </w:r>
      <w:r w:rsidRPr="00CF0A23">
        <w:rPr>
          <w:rFonts w:ascii="Times New Roman" w:hAnsi="Times New Roman" w:cs="Times New Roman"/>
          <w:i/>
          <w:sz w:val="24"/>
        </w:rPr>
        <w:t>PR5</w:t>
      </w:r>
      <w:r w:rsidRPr="00CF0A23">
        <w:rPr>
          <w:rFonts w:ascii="Times New Roman" w:hAnsi="Times New Roman" w:cs="Times New Roman"/>
          <w:sz w:val="24"/>
        </w:rPr>
        <w:t xml:space="preserve">, the pattern of induction was similar to that of </w:t>
      </w:r>
      <w:r w:rsidRPr="00CF0A23">
        <w:rPr>
          <w:rFonts w:ascii="Times New Roman" w:hAnsi="Times New Roman" w:cs="Times New Roman"/>
          <w:i/>
          <w:sz w:val="24"/>
        </w:rPr>
        <w:t>PR1</w:t>
      </w:r>
      <w:r w:rsidRPr="00CF0A23">
        <w:rPr>
          <w:rFonts w:ascii="Times New Roman" w:hAnsi="Times New Roman" w:cs="Times New Roman"/>
          <w:sz w:val="24"/>
        </w:rPr>
        <w:t xml:space="preserve"> (gradual increase in transcription starting from 24 </w:t>
      </w:r>
      <w:proofErr w:type="spellStart"/>
      <w:r w:rsidRPr="00CF0A23">
        <w:rPr>
          <w:rFonts w:ascii="Times New Roman" w:hAnsi="Times New Roman" w:cs="Times New Roman"/>
          <w:sz w:val="24"/>
        </w:rPr>
        <w:t>hpi</w:t>
      </w:r>
      <w:proofErr w:type="spellEnd"/>
      <w:r w:rsidRPr="00CF0A23">
        <w:rPr>
          <w:rFonts w:ascii="Times New Roman" w:hAnsi="Times New Roman" w:cs="Times New Roman"/>
          <w:sz w:val="24"/>
        </w:rPr>
        <w:t xml:space="preserve">). Moreover, </w:t>
      </w:r>
      <w:r w:rsidR="00181A78">
        <w:rPr>
          <w:rFonts w:ascii="Times New Roman" w:hAnsi="Times New Roman" w:cs="Times New Roman"/>
          <w:sz w:val="24"/>
        </w:rPr>
        <w:t xml:space="preserve">the upregulation of JA biosynthetic </w:t>
      </w:r>
      <w:r w:rsidRPr="00CF0A23">
        <w:rPr>
          <w:rFonts w:ascii="Times New Roman" w:hAnsi="Times New Roman" w:cs="Times New Roman"/>
          <w:sz w:val="24"/>
        </w:rPr>
        <w:t xml:space="preserve">genes </w:t>
      </w:r>
      <w:r w:rsidRPr="00CF0A23">
        <w:rPr>
          <w:rFonts w:ascii="Times New Roman" w:hAnsi="Times New Roman" w:cs="Times New Roman"/>
          <w:i/>
          <w:sz w:val="24"/>
        </w:rPr>
        <w:t>LOX2</w:t>
      </w:r>
      <w:r w:rsidR="00181A78">
        <w:rPr>
          <w:rFonts w:ascii="Times New Roman" w:hAnsi="Times New Roman" w:cs="Times New Roman"/>
          <w:sz w:val="24"/>
        </w:rPr>
        <w:t xml:space="preserve"> and </w:t>
      </w:r>
      <w:r w:rsidRPr="00CF0A23">
        <w:rPr>
          <w:rFonts w:ascii="Times New Roman" w:hAnsi="Times New Roman" w:cs="Times New Roman"/>
          <w:i/>
          <w:sz w:val="24"/>
        </w:rPr>
        <w:t>AOS</w:t>
      </w:r>
      <w:r w:rsidR="00181A78">
        <w:rPr>
          <w:rFonts w:ascii="Times New Roman" w:hAnsi="Times New Roman" w:cs="Times New Roman"/>
          <w:i/>
          <w:sz w:val="24"/>
        </w:rPr>
        <w:t xml:space="preserve"> </w:t>
      </w:r>
      <w:r w:rsidR="00181A78">
        <w:rPr>
          <w:rFonts w:ascii="Times New Roman" w:hAnsi="Times New Roman" w:cs="Times New Roman"/>
          <w:sz w:val="24"/>
        </w:rPr>
        <w:t xml:space="preserve">at </w:t>
      </w:r>
      <w:r w:rsidRPr="00CF0A23">
        <w:rPr>
          <w:rFonts w:ascii="Times New Roman" w:hAnsi="Times New Roman" w:cs="Times New Roman"/>
          <w:sz w:val="24"/>
        </w:rPr>
        <w:t xml:space="preserve">24 and 48 </w:t>
      </w:r>
      <w:proofErr w:type="spellStart"/>
      <w:r w:rsidRPr="00CF0A23">
        <w:rPr>
          <w:rFonts w:ascii="Times New Roman" w:hAnsi="Times New Roman" w:cs="Times New Roman"/>
          <w:sz w:val="24"/>
        </w:rPr>
        <w:t>hpi</w:t>
      </w:r>
      <w:proofErr w:type="spellEnd"/>
      <w:r w:rsidR="00181A78">
        <w:rPr>
          <w:rFonts w:ascii="Times New Roman" w:hAnsi="Times New Roman" w:cs="Times New Roman"/>
          <w:sz w:val="24"/>
        </w:rPr>
        <w:t xml:space="preserve"> was significant</w:t>
      </w:r>
      <w:r w:rsidRPr="00CF0A23">
        <w:rPr>
          <w:rFonts w:ascii="Times New Roman" w:hAnsi="Times New Roman" w:cs="Times New Roman"/>
          <w:sz w:val="24"/>
        </w:rPr>
        <w:t>,</w:t>
      </w:r>
      <w:r w:rsidR="00181A78">
        <w:rPr>
          <w:rFonts w:ascii="Times New Roman" w:hAnsi="Times New Roman" w:cs="Times New Roman"/>
          <w:sz w:val="24"/>
        </w:rPr>
        <w:t xml:space="preserve"> but fold change was not high. The</w:t>
      </w:r>
      <w:r w:rsidRPr="00CF0A23">
        <w:rPr>
          <w:rFonts w:ascii="Times New Roman" w:hAnsi="Times New Roman" w:cs="Times New Roman"/>
          <w:sz w:val="24"/>
        </w:rPr>
        <w:t xml:space="preserve"> transcription of JA-downstream gene </w:t>
      </w:r>
      <w:r w:rsidRPr="00CF0A23">
        <w:rPr>
          <w:rFonts w:ascii="Times New Roman" w:hAnsi="Times New Roman" w:cs="Times New Roman"/>
          <w:i/>
          <w:sz w:val="24"/>
        </w:rPr>
        <w:t xml:space="preserve">JAZ8 </w:t>
      </w:r>
      <w:r w:rsidRPr="00CF0A23">
        <w:rPr>
          <w:rFonts w:ascii="Times New Roman" w:hAnsi="Times New Roman" w:cs="Times New Roman"/>
          <w:sz w:val="24"/>
        </w:rPr>
        <w:t xml:space="preserve">was significantly increased already at 6 </w:t>
      </w:r>
      <w:proofErr w:type="spellStart"/>
      <w:r w:rsidRPr="00CF0A23">
        <w:rPr>
          <w:rFonts w:ascii="Times New Roman" w:hAnsi="Times New Roman" w:cs="Times New Roman"/>
          <w:sz w:val="24"/>
        </w:rPr>
        <w:t>hpi</w:t>
      </w:r>
      <w:proofErr w:type="spellEnd"/>
      <w:r w:rsidRPr="00CF0A23">
        <w:rPr>
          <w:rFonts w:ascii="Times New Roman" w:hAnsi="Times New Roman" w:cs="Times New Roman"/>
          <w:sz w:val="24"/>
        </w:rPr>
        <w:t xml:space="preserve">, indicating an early response to </w:t>
      </w:r>
      <w:r w:rsidRPr="00CF0A23">
        <w:rPr>
          <w:rFonts w:ascii="Times New Roman" w:hAnsi="Times New Roman" w:cs="Times New Roman"/>
          <w:i/>
          <w:sz w:val="24"/>
        </w:rPr>
        <w:t xml:space="preserve">B. </w:t>
      </w:r>
      <w:proofErr w:type="spellStart"/>
      <w:r w:rsidRPr="00CF0A23">
        <w:rPr>
          <w:rFonts w:ascii="Times New Roman" w:hAnsi="Times New Roman" w:cs="Times New Roman"/>
          <w:i/>
          <w:sz w:val="24"/>
        </w:rPr>
        <w:t>brassicae</w:t>
      </w:r>
      <w:proofErr w:type="spellEnd"/>
      <w:r w:rsidRPr="00CF0A23">
        <w:rPr>
          <w:rFonts w:ascii="Times New Roman" w:hAnsi="Times New Roman" w:cs="Times New Roman"/>
          <w:i/>
          <w:sz w:val="24"/>
        </w:rPr>
        <w:t xml:space="preserve"> </w:t>
      </w:r>
      <w:r w:rsidRPr="00CF0A23">
        <w:rPr>
          <w:rFonts w:ascii="Times New Roman" w:hAnsi="Times New Roman" w:cs="Times New Roman"/>
          <w:sz w:val="24"/>
        </w:rPr>
        <w:t xml:space="preserve">attack, and at 24 and 72 </w:t>
      </w:r>
      <w:proofErr w:type="spellStart"/>
      <w:r w:rsidRPr="00CF0A23">
        <w:rPr>
          <w:rFonts w:ascii="Times New Roman" w:hAnsi="Times New Roman" w:cs="Times New Roman"/>
          <w:sz w:val="24"/>
        </w:rPr>
        <w:t>hpi</w:t>
      </w:r>
      <w:proofErr w:type="spellEnd"/>
      <w:r w:rsidRPr="00CF0A23">
        <w:rPr>
          <w:rFonts w:ascii="Times New Roman" w:hAnsi="Times New Roman" w:cs="Times New Roman"/>
          <w:sz w:val="24"/>
        </w:rPr>
        <w:t xml:space="preserve">, together with </w:t>
      </w:r>
      <w:r w:rsidRPr="00CF0A23">
        <w:rPr>
          <w:rFonts w:ascii="Times New Roman" w:hAnsi="Times New Roman" w:cs="Times New Roman"/>
          <w:i/>
          <w:sz w:val="24"/>
        </w:rPr>
        <w:t xml:space="preserve">JAZ10. </w:t>
      </w:r>
      <w:r w:rsidRPr="00CF0A23">
        <w:rPr>
          <w:rFonts w:ascii="Times New Roman" w:hAnsi="Times New Roman" w:cs="Times New Roman"/>
          <w:sz w:val="24"/>
        </w:rPr>
        <w:t xml:space="preserve">Moreover, genes involved in ET biosynthesis, </w:t>
      </w:r>
      <w:r w:rsidRPr="00CF0A23">
        <w:rPr>
          <w:rFonts w:ascii="Times New Roman" w:hAnsi="Times New Roman" w:cs="Times New Roman"/>
          <w:i/>
          <w:sz w:val="24"/>
        </w:rPr>
        <w:t xml:space="preserve">ACS2 </w:t>
      </w:r>
      <w:r w:rsidRPr="00CF0A23">
        <w:rPr>
          <w:rFonts w:ascii="Times New Roman" w:hAnsi="Times New Roman" w:cs="Times New Roman"/>
          <w:sz w:val="24"/>
        </w:rPr>
        <w:t xml:space="preserve">and </w:t>
      </w:r>
      <w:r w:rsidRPr="00CF0A23">
        <w:rPr>
          <w:rFonts w:ascii="Times New Roman" w:hAnsi="Times New Roman" w:cs="Times New Roman"/>
          <w:i/>
          <w:sz w:val="24"/>
        </w:rPr>
        <w:t xml:space="preserve">ACS6 </w:t>
      </w:r>
      <w:r w:rsidRPr="00CF0A23">
        <w:rPr>
          <w:rFonts w:ascii="Times New Roman" w:hAnsi="Times New Roman" w:cs="Times New Roman"/>
          <w:sz w:val="24"/>
        </w:rPr>
        <w:t xml:space="preserve">showed an early upregulation (6 </w:t>
      </w:r>
      <w:proofErr w:type="spellStart"/>
      <w:r w:rsidRPr="00CF0A23">
        <w:rPr>
          <w:rFonts w:ascii="Times New Roman" w:hAnsi="Times New Roman" w:cs="Times New Roman"/>
          <w:sz w:val="24"/>
        </w:rPr>
        <w:t>hpi</w:t>
      </w:r>
      <w:proofErr w:type="spellEnd"/>
      <w:r w:rsidRPr="00CF0A23">
        <w:rPr>
          <w:rFonts w:ascii="Times New Roman" w:hAnsi="Times New Roman" w:cs="Times New Roman"/>
          <w:sz w:val="24"/>
        </w:rPr>
        <w:t xml:space="preserve">), with the strong induction at 48 and 72 </w:t>
      </w:r>
      <w:proofErr w:type="spellStart"/>
      <w:r w:rsidRPr="00CF0A23">
        <w:rPr>
          <w:rFonts w:ascii="Times New Roman" w:hAnsi="Times New Roman" w:cs="Times New Roman"/>
          <w:sz w:val="24"/>
        </w:rPr>
        <w:t>hpi</w:t>
      </w:r>
      <w:proofErr w:type="spellEnd"/>
      <w:r w:rsidRPr="00CF0A23">
        <w:rPr>
          <w:rFonts w:ascii="Times New Roman" w:hAnsi="Times New Roman" w:cs="Times New Roman"/>
          <w:sz w:val="24"/>
        </w:rPr>
        <w:t xml:space="preserve">. In addition, genes involved in both JA and ET </w:t>
      </w:r>
      <w:proofErr w:type="spellStart"/>
      <w:r w:rsidRPr="00CF0A23">
        <w:rPr>
          <w:rFonts w:ascii="Times New Roman" w:hAnsi="Times New Roman" w:cs="Times New Roman"/>
          <w:sz w:val="24"/>
        </w:rPr>
        <w:t>signaling</w:t>
      </w:r>
      <w:proofErr w:type="spellEnd"/>
      <w:r w:rsidRPr="00CF0A23">
        <w:rPr>
          <w:rFonts w:ascii="Times New Roman" w:hAnsi="Times New Roman" w:cs="Times New Roman"/>
          <w:sz w:val="24"/>
        </w:rPr>
        <w:t xml:space="preserve"> (</w:t>
      </w:r>
      <w:r w:rsidRPr="00CF0A23">
        <w:rPr>
          <w:rFonts w:ascii="Times New Roman" w:hAnsi="Times New Roman" w:cs="Times New Roman"/>
          <w:i/>
          <w:sz w:val="24"/>
        </w:rPr>
        <w:t>PDF1.2</w:t>
      </w:r>
      <w:r w:rsidRPr="00CF0A23">
        <w:rPr>
          <w:rFonts w:ascii="Times New Roman" w:hAnsi="Times New Roman" w:cs="Times New Roman"/>
          <w:sz w:val="24"/>
        </w:rPr>
        <w:t xml:space="preserve">, </w:t>
      </w:r>
      <w:r w:rsidRPr="00CF0A23">
        <w:rPr>
          <w:rFonts w:ascii="Times New Roman" w:hAnsi="Times New Roman" w:cs="Times New Roman"/>
          <w:i/>
          <w:sz w:val="24"/>
        </w:rPr>
        <w:t>HEL/PR4</w:t>
      </w:r>
      <w:r w:rsidRPr="00CF0A23">
        <w:rPr>
          <w:rFonts w:ascii="Times New Roman" w:hAnsi="Times New Roman" w:cs="Times New Roman"/>
          <w:sz w:val="24"/>
        </w:rPr>
        <w:t xml:space="preserve">) were upregulated from 24 until 72 </w:t>
      </w:r>
      <w:proofErr w:type="spellStart"/>
      <w:r w:rsidRPr="00CF0A23">
        <w:rPr>
          <w:rFonts w:ascii="Times New Roman" w:hAnsi="Times New Roman" w:cs="Times New Roman"/>
          <w:sz w:val="24"/>
        </w:rPr>
        <w:t>hpi</w:t>
      </w:r>
      <w:proofErr w:type="spellEnd"/>
      <w:r w:rsidRPr="00CF0A23">
        <w:rPr>
          <w:rFonts w:ascii="Times New Roman" w:hAnsi="Times New Roman" w:cs="Times New Roman"/>
          <w:sz w:val="24"/>
        </w:rPr>
        <w:t>.</w:t>
      </w:r>
    </w:p>
    <w:p w14:paraId="2150A18D" w14:textId="77777777" w:rsidR="00E7693B" w:rsidRPr="00CF0A23" w:rsidRDefault="00E7693B" w:rsidP="00CF0A23">
      <w:pPr>
        <w:pBdr>
          <w:top w:val="nil"/>
          <w:left w:val="nil"/>
          <w:bottom w:val="nil"/>
          <w:right w:val="nil"/>
          <w:between w:val="nil"/>
        </w:pBdr>
        <w:spacing w:after="0" w:line="360" w:lineRule="auto"/>
        <w:ind w:firstLine="720"/>
        <w:jc w:val="both"/>
        <w:rPr>
          <w:rFonts w:ascii="Times New Roman" w:hAnsi="Times New Roman" w:cs="Times New Roman"/>
          <w:sz w:val="24"/>
          <w:highlight w:val="white"/>
        </w:rPr>
      </w:pPr>
      <w:r w:rsidRPr="00CF0A23">
        <w:rPr>
          <w:rFonts w:ascii="Times New Roman" w:hAnsi="Times New Roman" w:cs="Times New Roman"/>
          <w:sz w:val="24"/>
          <w:highlight w:val="white"/>
        </w:rPr>
        <w:t xml:space="preserve">Using fluorescent reporter lines of </w:t>
      </w:r>
      <w:r w:rsidRPr="00CF0A23">
        <w:rPr>
          <w:rFonts w:ascii="Times New Roman" w:hAnsi="Times New Roman" w:cs="Times New Roman"/>
          <w:i/>
          <w:sz w:val="24"/>
          <w:highlight w:val="white"/>
        </w:rPr>
        <w:t>A. thaliana</w:t>
      </w:r>
      <w:r w:rsidRPr="00CF0A23">
        <w:rPr>
          <w:rFonts w:ascii="Times New Roman" w:hAnsi="Times New Roman" w:cs="Times New Roman"/>
          <w:sz w:val="24"/>
          <w:highlight w:val="white"/>
        </w:rPr>
        <w:t xml:space="preserve">, an induced transcription of </w:t>
      </w:r>
      <w:r w:rsidRPr="00CF0A23">
        <w:rPr>
          <w:rFonts w:ascii="Times New Roman" w:hAnsi="Times New Roman" w:cs="Times New Roman"/>
          <w:i/>
          <w:sz w:val="24"/>
          <w:highlight w:val="white"/>
        </w:rPr>
        <w:t>PR1</w:t>
      </w:r>
      <w:r w:rsidRPr="00CF0A23">
        <w:rPr>
          <w:rFonts w:ascii="Times New Roman" w:hAnsi="Times New Roman" w:cs="Times New Roman"/>
          <w:sz w:val="24"/>
          <w:highlight w:val="white"/>
        </w:rPr>
        <w:t xml:space="preserve"> and </w:t>
      </w:r>
      <w:r w:rsidRPr="00CF0A23">
        <w:rPr>
          <w:rFonts w:ascii="Times New Roman" w:hAnsi="Times New Roman" w:cs="Times New Roman"/>
          <w:i/>
          <w:sz w:val="24"/>
          <w:highlight w:val="white"/>
        </w:rPr>
        <w:t>JAZ10</w:t>
      </w:r>
      <w:r w:rsidRPr="00CF0A23">
        <w:rPr>
          <w:rFonts w:ascii="Times New Roman" w:hAnsi="Times New Roman" w:cs="Times New Roman"/>
          <w:sz w:val="24"/>
          <w:highlight w:val="white"/>
        </w:rPr>
        <w:t xml:space="preserve"> was detected in the cells surrounding the stylet puncture at 24 </w:t>
      </w:r>
      <w:proofErr w:type="spellStart"/>
      <w:r w:rsidRPr="00CF0A23">
        <w:rPr>
          <w:rFonts w:ascii="Times New Roman" w:hAnsi="Times New Roman" w:cs="Times New Roman"/>
          <w:sz w:val="24"/>
          <w:highlight w:val="white"/>
        </w:rPr>
        <w:t>hpi</w:t>
      </w:r>
      <w:proofErr w:type="spellEnd"/>
      <w:r w:rsidRPr="00CF0A23">
        <w:rPr>
          <w:rFonts w:ascii="Times New Roman" w:hAnsi="Times New Roman" w:cs="Times New Roman"/>
          <w:sz w:val="24"/>
          <w:highlight w:val="white"/>
        </w:rPr>
        <w:t xml:space="preserve"> in comparison with non-infested plants (</w:t>
      </w:r>
      <w:r w:rsidRPr="00CF0A23">
        <w:rPr>
          <w:rFonts w:ascii="Times New Roman" w:hAnsi="Times New Roman" w:cs="Times New Roman"/>
          <w:sz w:val="24"/>
        </w:rPr>
        <w:t>Fig. 30A, B</w:t>
      </w:r>
      <w:r w:rsidRPr="00CF0A23">
        <w:rPr>
          <w:rFonts w:ascii="Times New Roman" w:hAnsi="Times New Roman" w:cs="Times New Roman"/>
          <w:sz w:val="24"/>
          <w:highlight w:val="white"/>
        </w:rPr>
        <w:t xml:space="preserve">). Notably, the induction started from the sites of stylet punctures (visible as an </w:t>
      </w:r>
      <w:proofErr w:type="spellStart"/>
      <w:r w:rsidRPr="00CF0A23">
        <w:rPr>
          <w:rFonts w:ascii="Times New Roman" w:hAnsi="Times New Roman" w:cs="Times New Roman"/>
          <w:sz w:val="24"/>
          <w:highlight w:val="white"/>
        </w:rPr>
        <w:t>autofluorescent</w:t>
      </w:r>
      <w:proofErr w:type="spellEnd"/>
      <w:r w:rsidRPr="00CF0A23">
        <w:rPr>
          <w:rFonts w:ascii="Times New Roman" w:hAnsi="Times New Roman" w:cs="Times New Roman"/>
          <w:sz w:val="24"/>
          <w:highlight w:val="white"/>
        </w:rPr>
        <w:t xml:space="preserve"> line in Fig. 30B) at 24 </w:t>
      </w:r>
      <w:proofErr w:type="spellStart"/>
      <w:r w:rsidRPr="00CF0A23">
        <w:rPr>
          <w:rFonts w:ascii="Times New Roman" w:hAnsi="Times New Roman" w:cs="Times New Roman"/>
          <w:sz w:val="24"/>
          <w:highlight w:val="white"/>
        </w:rPr>
        <w:t>hpi</w:t>
      </w:r>
      <w:proofErr w:type="spellEnd"/>
      <w:r w:rsidRPr="00CF0A23">
        <w:rPr>
          <w:rFonts w:ascii="Times New Roman" w:hAnsi="Times New Roman" w:cs="Times New Roman"/>
          <w:sz w:val="24"/>
          <w:highlight w:val="white"/>
        </w:rPr>
        <w:t xml:space="preserve">, and, until 48 </w:t>
      </w:r>
      <w:proofErr w:type="spellStart"/>
      <w:r w:rsidRPr="00CF0A23">
        <w:rPr>
          <w:rFonts w:ascii="Times New Roman" w:hAnsi="Times New Roman" w:cs="Times New Roman"/>
          <w:sz w:val="24"/>
          <w:highlight w:val="white"/>
        </w:rPr>
        <w:t>hpi</w:t>
      </w:r>
      <w:proofErr w:type="spellEnd"/>
      <w:r w:rsidRPr="00CF0A23">
        <w:rPr>
          <w:rFonts w:ascii="Times New Roman" w:hAnsi="Times New Roman" w:cs="Times New Roman"/>
          <w:sz w:val="24"/>
          <w:highlight w:val="white"/>
        </w:rPr>
        <w:t xml:space="preserve">, was spreading along the veins, whereas at 72 </w:t>
      </w:r>
      <w:proofErr w:type="spellStart"/>
      <w:r w:rsidRPr="00CF0A23">
        <w:rPr>
          <w:rFonts w:ascii="Times New Roman" w:hAnsi="Times New Roman" w:cs="Times New Roman"/>
          <w:sz w:val="24"/>
          <w:highlight w:val="white"/>
        </w:rPr>
        <w:t>hpi</w:t>
      </w:r>
      <w:proofErr w:type="spellEnd"/>
      <w:r w:rsidRPr="00CF0A23">
        <w:rPr>
          <w:rFonts w:ascii="Times New Roman" w:hAnsi="Times New Roman" w:cs="Times New Roman"/>
          <w:sz w:val="24"/>
          <w:highlight w:val="white"/>
        </w:rPr>
        <w:t xml:space="preserve">, the reporter fluorescence was detected also in the leaf epidermis pavement cells outside the vein (Fig. 30B). The induction of </w:t>
      </w:r>
      <w:r w:rsidRPr="00CF0A23">
        <w:rPr>
          <w:rFonts w:ascii="Times New Roman" w:hAnsi="Times New Roman" w:cs="Times New Roman"/>
          <w:i/>
          <w:sz w:val="24"/>
          <w:highlight w:val="white"/>
        </w:rPr>
        <w:t>PR1</w:t>
      </w:r>
      <w:r w:rsidRPr="00CF0A23">
        <w:rPr>
          <w:rFonts w:ascii="Times New Roman" w:hAnsi="Times New Roman" w:cs="Times New Roman"/>
          <w:sz w:val="24"/>
          <w:highlight w:val="white"/>
        </w:rPr>
        <w:t xml:space="preserve"> and </w:t>
      </w:r>
      <w:r w:rsidRPr="00CF0A23">
        <w:rPr>
          <w:rFonts w:ascii="Times New Roman" w:hAnsi="Times New Roman" w:cs="Times New Roman"/>
          <w:i/>
          <w:sz w:val="24"/>
          <w:highlight w:val="white"/>
        </w:rPr>
        <w:t>JAZ10</w:t>
      </w:r>
      <w:r w:rsidRPr="00CF0A23">
        <w:rPr>
          <w:rFonts w:ascii="Times New Roman" w:hAnsi="Times New Roman" w:cs="Times New Roman"/>
          <w:sz w:val="24"/>
          <w:highlight w:val="white"/>
        </w:rPr>
        <w:t xml:space="preserve"> was evaluated by manual counting of the number of cells with nuclear fluorescence per leaf disc. The statistically significant induction of </w:t>
      </w:r>
      <w:r w:rsidRPr="00CF0A23">
        <w:rPr>
          <w:rFonts w:ascii="Times New Roman" w:hAnsi="Times New Roman" w:cs="Times New Roman"/>
          <w:i/>
          <w:sz w:val="24"/>
          <w:highlight w:val="white"/>
        </w:rPr>
        <w:t>PR1</w:t>
      </w:r>
      <w:r w:rsidRPr="00CF0A23">
        <w:rPr>
          <w:rFonts w:ascii="Times New Roman" w:hAnsi="Times New Roman" w:cs="Times New Roman"/>
          <w:sz w:val="24"/>
          <w:highlight w:val="white"/>
        </w:rPr>
        <w:t xml:space="preserve"> and </w:t>
      </w:r>
      <w:r w:rsidRPr="00CF0A23">
        <w:rPr>
          <w:rFonts w:ascii="Times New Roman" w:hAnsi="Times New Roman" w:cs="Times New Roman"/>
          <w:i/>
          <w:sz w:val="24"/>
          <w:highlight w:val="white"/>
        </w:rPr>
        <w:t>JAZ10</w:t>
      </w:r>
      <w:r w:rsidRPr="00CF0A23">
        <w:rPr>
          <w:rFonts w:ascii="Times New Roman" w:hAnsi="Times New Roman" w:cs="Times New Roman"/>
          <w:sz w:val="24"/>
          <w:highlight w:val="white"/>
        </w:rPr>
        <w:t xml:space="preserve"> was detected in the cells of aphid-infested plants at each time point (Fig. 30C). </w:t>
      </w:r>
      <w:r w:rsidRPr="00CF0A23">
        <w:rPr>
          <w:rFonts w:ascii="Times New Roman" w:hAnsi="Times New Roman" w:cs="Times New Roman"/>
          <w:sz w:val="24"/>
        </w:rPr>
        <w:t xml:space="preserve">Unfortunately, high background noise was observed in non-infested leaves with reporter constructs for </w:t>
      </w:r>
      <w:r w:rsidRPr="00CF0A23">
        <w:rPr>
          <w:rFonts w:ascii="Times New Roman" w:hAnsi="Times New Roman" w:cs="Times New Roman"/>
          <w:i/>
          <w:sz w:val="24"/>
        </w:rPr>
        <w:t>ACS6,</w:t>
      </w:r>
      <w:r w:rsidRPr="00CF0A23">
        <w:rPr>
          <w:rFonts w:ascii="Times New Roman" w:hAnsi="Times New Roman" w:cs="Times New Roman"/>
          <w:sz w:val="24"/>
        </w:rPr>
        <w:t xml:space="preserve"> </w:t>
      </w:r>
      <w:r w:rsidRPr="00CF0A23">
        <w:rPr>
          <w:rFonts w:ascii="Times New Roman" w:hAnsi="Times New Roman" w:cs="Times New Roman"/>
          <w:i/>
          <w:sz w:val="24"/>
        </w:rPr>
        <w:t xml:space="preserve">AOS </w:t>
      </w:r>
      <w:r w:rsidRPr="00CF0A23">
        <w:rPr>
          <w:rFonts w:ascii="Times New Roman" w:hAnsi="Times New Roman" w:cs="Times New Roman"/>
          <w:sz w:val="24"/>
        </w:rPr>
        <w:t xml:space="preserve">and </w:t>
      </w:r>
      <w:r w:rsidRPr="00CF0A23">
        <w:rPr>
          <w:rFonts w:ascii="Times New Roman" w:hAnsi="Times New Roman" w:cs="Times New Roman"/>
          <w:i/>
          <w:sz w:val="24"/>
        </w:rPr>
        <w:t>PR4/HEL</w:t>
      </w:r>
      <w:r w:rsidRPr="00CF0A23">
        <w:rPr>
          <w:rFonts w:ascii="Times New Roman" w:hAnsi="Times New Roman" w:cs="Times New Roman"/>
          <w:sz w:val="24"/>
        </w:rPr>
        <w:t>, which brought difficulties for data interpretation (Fig. 31).</w:t>
      </w:r>
    </w:p>
    <w:p w14:paraId="2150A18F" w14:textId="57D7B40D" w:rsidR="00E7693B" w:rsidRDefault="00E7693B" w:rsidP="006B61C5">
      <w:pPr>
        <w:pBdr>
          <w:top w:val="nil"/>
          <w:left w:val="nil"/>
          <w:bottom w:val="nil"/>
          <w:right w:val="nil"/>
          <w:between w:val="nil"/>
        </w:pBdr>
        <w:shd w:val="clear" w:color="auto" w:fill="FFFFFF"/>
        <w:spacing w:after="240" w:line="360" w:lineRule="auto"/>
        <w:ind w:firstLine="576"/>
        <w:jc w:val="both"/>
        <w:rPr>
          <w:rFonts w:ascii="Times New Roman" w:hAnsi="Times New Roman" w:cs="Times New Roman"/>
        </w:rPr>
      </w:pPr>
      <w:r w:rsidRPr="00CF0A23">
        <w:rPr>
          <w:rFonts w:ascii="Times New Roman" w:hAnsi="Times New Roman" w:cs="Times New Roman"/>
          <w:sz w:val="24"/>
        </w:rPr>
        <w:t>To complement previous results regarding</w:t>
      </w:r>
      <w:r w:rsidRPr="00CF0A23">
        <w:rPr>
          <w:rFonts w:ascii="Times New Roman" w:hAnsi="Times New Roman" w:cs="Times New Roman"/>
          <w:color w:val="333333"/>
          <w:sz w:val="24"/>
        </w:rPr>
        <w:t xml:space="preserve"> visualisation </w:t>
      </w:r>
      <w:r w:rsidRPr="00CF0A23">
        <w:rPr>
          <w:rFonts w:ascii="Times New Roman" w:hAnsi="Times New Roman" w:cs="Times New Roman"/>
          <w:sz w:val="24"/>
        </w:rPr>
        <w:t xml:space="preserve">of </w:t>
      </w:r>
      <w:proofErr w:type="spellStart"/>
      <w:r w:rsidRPr="00CF0A23">
        <w:rPr>
          <w:rFonts w:ascii="Times New Roman" w:hAnsi="Times New Roman" w:cs="Times New Roman"/>
          <w:sz w:val="24"/>
        </w:rPr>
        <w:t>spatio</w:t>
      </w:r>
      <w:proofErr w:type="spellEnd"/>
      <w:r w:rsidRPr="00CF0A23">
        <w:rPr>
          <w:rFonts w:ascii="Times New Roman" w:hAnsi="Times New Roman" w:cs="Times New Roman"/>
          <w:sz w:val="24"/>
        </w:rPr>
        <w:t xml:space="preserve">-temporal dispersion of </w:t>
      </w:r>
      <w:r w:rsidRPr="00CF0A23">
        <w:rPr>
          <w:rFonts w:ascii="Times New Roman" w:hAnsi="Times New Roman" w:cs="Times New Roman"/>
          <w:i/>
          <w:sz w:val="24"/>
        </w:rPr>
        <w:t>PR1</w:t>
      </w:r>
      <w:r w:rsidRPr="00CF0A23">
        <w:rPr>
          <w:rFonts w:ascii="Times New Roman" w:hAnsi="Times New Roman" w:cs="Times New Roman"/>
          <w:sz w:val="24"/>
        </w:rPr>
        <w:t xml:space="preserve"> induction from the sites of aphid feeding, </w:t>
      </w:r>
      <w:r w:rsidRPr="00CF0A23">
        <w:rPr>
          <w:rFonts w:ascii="Times New Roman" w:hAnsi="Times New Roman" w:cs="Times New Roman"/>
          <w:i/>
          <w:sz w:val="24"/>
        </w:rPr>
        <w:t>Arabidopsis</w:t>
      </w:r>
      <w:r w:rsidRPr="00CF0A23">
        <w:rPr>
          <w:rFonts w:ascii="Times New Roman" w:hAnsi="Times New Roman" w:cs="Times New Roman"/>
          <w:sz w:val="24"/>
        </w:rPr>
        <w:t xml:space="preserve"> plants expressing PR1::GUS were infested and </w:t>
      </w:r>
      <w:r w:rsidRPr="00CF0A23">
        <w:rPr>
          <w:rFonts w:ascii="Times New Roman" w:hAnsi="Times New Roman" w:cs="Times New Roman"/>
          <w:color w:val="333333"/>
          <w:sz w:val="24"/>
        </w:rPr>
        <w:t xml:space="preserve">analysed by X-GLUC </w:t>
      </w:r>
      <w:r w:rsidRPr="00CF0A23">
        <w:rPr>
          <w:rFonts w:ascii="Times New Roman" w:hAnsi="Times New Roman" w:cs="Times New Roman"/>
          <w:sz w:val="24"/>
        </w:rPr>
        <w:t xml:space="preserve">assay sampling whole infested leaves. As expected, β-glucuronidase (GUS) activity was detected, as the </w:t>
      </w:r>
      <w:r w:rsidRPr="00CF0A23">
        <w:rPr>
          <w:rFonts w:ascii="Times New Roman" w:hAnsi="Times New Roman" w:cs="Times New Roman"/>
          <w:i/>
          <w:sz w:val="24"/>
        </w:rPr>
        <w:t>PR1</w:t>
      </w:r>
      <w:r w:rsidRPr="00CF0A23">
        <w:rPr>
          <w:rFonts w:ascii="Times New Roman" w:hAnsi="Times New Roman" w:cs="Times New Roman"/>
          <w:sz w:val="24"/>
        </w:rPr>
        <w:t xml:space="preserve"> gene was slightly induced in infested plants at 24 </w:t>
      </w:r>
      <w:proofErr w:type="spellStart"/>
      <w:r w:rsidRPr="00CF0A23">
        <w:rPr>
          <w:rFonts w:ascii="Times New Roman" w:hAnsi="Times New Roman" w:cs="Times New Roman"/>
          <w:sz w:val="24"/>
        </w:rPr>
        <w:t>hpi</w:t>
      </w:r>
      <w:proofErr w:type="spellEnd"/>
      <w:r w:rsidRPr="00CF0A23">
        <w:rPr>
          <w:rFonts w:ascii="Times New Roman" w:hAnsi="Times New Roman" w:cs="Times New Roman"/>
          <w:sz w:val="24"/>
        </w:rPr>
        <w:t xml:space="preserve"> and more strongly in later time points (Fig. 32</w:t>
      </w:r>
      <w:hyperlink r:id="rId46" w:anchor="fig3">
        <w:r w:rsidRPr="00CF0A23">
          <w:rPr>
            <w:rFonts w:ascii="Times New Roman" w:hAnsi="Times New Roman" w:cs="Times New Roman"/>
            <w:sz w:val="24"/>
          </w:rPr>
          <w:t>A, B</w:t>
        </w:r>
      </w:hyperlink>
      <w:r w:rsidRPr="00CF0A23">
        <w:rPr>
          <w:rFonts w:ascii="Times New Roman" w:hAnsi="Times New Roman" w:cs="Times New Roman"/>
          <w:sz w:val="24"/>
        </w:rPr>
        <w:t>) and was detectable around the sites of stylet puncturing (Fig. 32</w:t>
      </w:r>
      <w:hyperlink r:id="rId47" w:anchor="fig3">
        <w:r w:rsidRPr="00CF0A23">
          <w:rPr>
            <w:rFonts w:ascii="Times New Roman" w:hAnsi="Times New Roman" w:cs="Times New Roman"/>
            <w:sz w:val="24"/>
          </w:rPr>
          <w:t>B</w:t>
        </w:r>
      </w:hyperlink>
      <w:r w:rsidRPr="00CF0A23">
        <w:rPr>
          <w:rFonts w:ascii="Times New Roman" w:hAnsi="Times New Roman" w:cs="Times New Roman"/>
          <w:sz w:val="24"/>
        </w:rPr>
        <w:t xml:space="preserve">, yellow arrows). Indeed, the strong induction of </w:t>
      </w:r>
      <w:r w:rsidRPr="00CF0A23">
        <w:rPr>
          <w:rFonts w:ascii="Times New Roman" w:hAnsi="Times New Roman" w:cs="Times New Roman"/>
          <w:i/>
          <w:sz w:val="24"/>
        </w:rPr>
        <w:t>PR1</w:t>
      </w:r>
      <w:r w:rsidRPr="00CF0A23">
        <w:rPr>
          <w:rFonts w:ascii="Times New Roman" w:hAnsi="Times New Roman" w:cs="Times New Roman"/>
          <w:sz w:val="24"/>
        </w:rPr>
        <w:t xml:space="preserve"> seems to occur locally around the aphid feeding zones and when using </w:t>
      </w:r>
      <w:r w:rsidR="000B6E74">
        <w:rPr>
          <w:rFonts w:ascii="Times New Roman" w:hAnsi="Times New Roman" w:cs="Times New Roman"/>
          <w:sz w:val="24"/>
        </w:rPr>
        <w:t xml:space="preserve">the </w:t>
      </w:r>
      <w:r w:rsidRPr="00CF0A23">
        <w:rPr>
          <w:rFonts w:ascii="Times New Roman" w:hAnsi="Times New Roman" w:cs="Times New Roman"/>
          <w:sz w:val="24"/>
        </w:rPr>
        <w:t xml:space="preserve">promoter-reporter line </w:t>
      </w:r>
      <w:r w:rsidRPr="00CF0A23">
        <w:rPr>
          <w:rFonts w:ascii="Times New Roman" w:hAnsi="Times New Roman" w:cs="Times New Roman"/>
          <w:i/>
          <w:sz w:val="24"/>
        </w:rPr>
        <w:t>pPR1::NLS3xVenus</w:t>
      </w:r>
      <w:r w:rsidRPr="00CF0A23">
        <w:rPr>
          <w:rFonts w:ascii="Times New Roman" w:hAnsi="Times New Roman" w:cs="Times New Roman"/>
          <w:sz w:val="24"/>
        </w:rPr>
        <w:t xml:space="preserve"> (Fig. 30A, B). </w:t>
      </w:r>
      <w:r w:rsidRPr="00CF0A23">
        <w:rPr>
          <w:rFonts w:ascii="Times New Roman" w:hAnsi="Times New Roman" w:cs="Times New Roman"/>
          <w:sz w:val="24"/>
          <w:highlight w:val="white"/>
        </w:rPr>
        <w:t xml:space="preserve">To study whether callose deposition is spatially connected </w:t>
      </w:r>
      <w:r w:rsidR="00755BFE">
        <w:rPr>
          <w:rFonts w:ascii="Times New Roman" w:hAnsi="Times New Roman" w:cs="Times New Roman"/>
          <w:sz w:val="24"/>
          <w:highlight w:val="white"/>
        </w:rPr>
        <w:t>with defence gene activation, I</w:t>
      </w:r>
      <w:r w:rsidRPr="00CF0A23">
        <w:rPr>
          <w:rFonts w:ascii="Times New Roman" w:hAnsi="Times New Roman" w:cs="Times New Roman"/>
          <w:sz w:val="24"/>
          <w:highlight w:val="white"/>
        </w:rPr>
        <w:t xml:space="preserve"> subsequently stained </w:t>
      </w:r>
      <w:r w:rsidRPr="00CF0A23">
        <w:rPr>
          <w:rFonts w:ascii="Times New Roman" w:hAnsi="Times New Roman" w:cs="Times New Roman"/>
          <w:i/>
          <w:sz w:val="24"/>
          <w:highlight w:val="white"/>
        </w:rPr>
        <w:t xml:space="preserve">PR1::GUS </w:t>
      </w:r>
      <w:r w:rsidRPr="00CF0A23">
        <w:rPr>
          <w:rFonts w:ascii="Times New Roman" w:hAnsi="Times New Roman" w:cs="Times New Roman"/>
          <w:sz w:val="24"/>
          <w:highlight w:val="white"/>
        </w:rPr>
        <w:t xml:space="preserve">leaves with aniline blue for callose deposition analysis after X-GLUC assay. Callose deposition was detected at all studied time points at the sites of </w:t>
      </w:r>
      <w:r w:rsidRPr="00CF0A23">
        <w:rPr>
          <w:rFonts w:ascii="Times New Roman" w:hAnsi="Times New Roman" w:cs="Times New Roman"/>
          <w:i/>
          <w:sz w:val="24"/>
          <w:highlight w:val="white"/>
        </w:rPr>
        <w:t xml:space="preserve">B. </w:t>
      </w:r>
      <w:proofErr w:type="spellStart"/>
      <w:r w:rsidRPr="00CF0A23">
        <w:rPr>
          <w:rFonts w:ascii="Times New Roman" w:hAnsi="Times New Roman" w:cs="Times New Roman"/>
          <w:i/>
          <w:sz w:val="24"/>
          <w:highlight w:val="white"/>
        </w:rPr>
        <w:t>brassicae</w:t>
      </w:r>
      <w:proofErr w:type="spellEnd"/>
      <w:r w:rsidRPr="00CF0A23">
        <w:rPr>
          <w:rFonts w:ascii="Times New Roman" w:hAnsi="Times New Roman" w:cs="Times New Roman"/>
          <w:sz w:val="24"/>
          <w:highlight w:val="white"/>
        </w:rPr>
        <w:t xml:space="preserve"> stylet insertions; hence, it co-localized with </w:t>
      </w:r>
      <w:r w:rsidRPr="00CF0A23">
        <w:rPr>
          <w:rFonts w:ascii="Times New Roman" w:hAnsi="Times New Roman" w:cs="Times New Roman"/>
          <w:i/>
          <w:sz w:val="24"/>
          <w:highlight w:val="white"/>
        </w:rPr>
        <w:t>PR1</w:t>
      </w:r>
      <w:r w:rsidRPr="00CF0A23">
        <w:rPr>
          <w:rFonts w:ascii="Times New Roman" w:hAnsi="Times New Roman" w:cs="Times New Roman"/>
          <w:sz w:val="24"/>
          <w:highlight w:val="white"/>
        </w:rPr>
        <w:t xml:space="preserve"> gene activation (Fig. 32B).</w:t>
      </w:r>
    </w:p>
    <w:p w14:paraId="68178612" w14:textId="0F3743FF" w:rsidR="003E75D7" w:rsidRPr="00E7693B" w:rsidRDefault="003E75D7">
      <w:pPr>
        <w:spacing w:after="240" w:line="360" w:lineRule="auto"/>
        <w:jc w:val="center"/>
        <w:rPr>
          <w:rFonts w:ascii="Times New Roman" w:hAnsi="Times New Roman" w:cs="Times New Roman"/>
        </w:rPr>
      </w:pPr>
      <w:r>
        <w:rPr>
          <w:rFonts w:ascii="Times New Roman" w:hAnsi="Times New Roman" w:cs="Times New Roman"/>
          <w:noProof/>
        </w:rPr>
        <w:drawing>
          <wp:inline distT="0" distB="0" distL="0" distR="0" wp14:anchorId="5638550B" wp14:editId="48DE5B76">
            <wp:extent cx="5759944" cy="7616142"/>
            <wp:effectExtent l="0" t="0" r="0" b="0"/>
            <wp:docPr id="4660125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12592" name="Picture 466012592"/>
                    <pic:cNvPicPr/>
                  </pic:nvPicPr>
                  <pic:blipFill rotWithShape="1">
                    <a:blip r:embed="rId48">
                      <a:extLst>
                        <a:ext uri="{28A0092B-C50C-407E-A947-70E740481C1C}">
                          <a14:useLocalDpi xmlns:a14="http://schemas.microsoft.com/office/drawing/2010/main" val="0"/>
                        </a:ext>
                      </a:extLst>
                    </a:blip>
                    <a:srcRect t="3552" b="2963"/>
                    <a:stretch/>
                  </pic:blipFill>
                  <pic:spPr bwMode="auto">
                    <a:xfrm>
                      <a:off x="0" y="0"/>
                      <a:ext cx="5760085" cy="7616329"/>
                    </a:xfrm>
                    <a:prstGeom prst="rect">
                      <a:avLst/>
                    </a:prstGeom>
                    <a:ln>
                      <a:noFill/>
                    </a:ln>
                    <a:extLst>
                      <a:ext uri="{53640926-AAD7-44D8-BBD7-CCE9431645EC}">
                        <a14:shadowObscured xmlns:a14="http://schemas.microsoft.com/office/drawing/2010/main"/>
                      </a:ext>
                    </a:extLst>
                  </pic:spPr>
                </pic:pic>
              </a:graphicData>
            </a:graphic>
          </wp:inline>
        </w:drawing>
      </w:r>
    </w:p>
    <w:p w14:paraId="2150A190" w14:textId="77777777" w:rsidR="00E7693B" w:rsidRPr="00E7693B" w:rsidRDefault="00E7693B">
      <w:pPr>
        <w:spacing w:after="240" w:line="360" w:lineRule="auto"/>
        <w:jc w:val="both"/>
        <w:rPr>
          <w:rFonts w:ascii="Times New Roman" w:hAnsi="Times New Roman" w:cs="Times New Roman"/>
        </w:rPr>
      </w:pPr>
      <w:r w:rsidRPr="00E7693B">
        <w:rPr>
          <w:rFonts w:ascii="Times New Roman" w:hAnsi="Times New Roman" w:cs="Times New Roman"/>
          <w:b/>
          <w:color w:val="000000"/>
        </w:rPr>
        <w:t xml:space="preserve">Figure </w:t>
      </w:r>
      <w:r w:rsidRPr="00E7693B">
        <w:rPr>
          <w:rFonts w:ascii="Times New Roman" w:hAnsi="Times New Roman" w:cs="Times New Roman"/>
          <w:b/>
        </w:rPr>
        <w:t>29</w:t>
      </w:r>
      <w:r w:rsidRPr="00E7693B">
        <w:rPr>
          <w:rFonts w:ascii="Times New Roman" w:hAnsi="Times New Roman" w:cs="Times New Roman"/>
          <w:b/>
          <w:color w:val="000000"/>
        </w:rPr>
        <w:t>.</w:t>
      </w:r>
      <w:r w:rsidRPr="00E7693B">
        <w:rPr>
          <w:rFonts w:ascii="Times New Roman" w:hAnsi="Times New Roman" w:cs="Times New Roman"/>
        </w:rPr>
        <w:t xml:space="preserve"> Gene transcription changes in leaf discs around feeding sites of the specialist aphid </w:t>
      </w:r>
      <w:proofErr w:type="spellStart"/>
      <w:r w:rsidRPr="00E7693B">
        <w:rPr>
          <w:rFonts w:ascii="Times New Roman" w:hAnsi="Times New Roman" w:cs="Times New Roman"/>
          <w:i/>
        </w:rPr>
        <w:t>Brevicoryne</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brassicae</w:t>
      </w:r>
      <w:proofErr w:type="spellEnd"/>
      <w:r w:rsidRPr="00E7693B">
        <w:rPr>
          <w:rFonts w:ascii="Times New Roman" w:hAnsi="Times New Roman" w:cs="Times New Roman"/>
          <w:i/>
        </w:rPr>
        <w:t xml:space="preserve"> </w:t>
      </w:r>
      <w:r w:rsidRPr="00E7693B">
        <w:rPr>
          <w:rFonts w:ascii="Times New Roman" w:hAnsi="Times New Roman" w:cs="Times New Roman"/>
        </w:rPr>
        <w:t>(</w:t>
      </w:r>
      <w:r w:rsidRPr="00E7693B">
        <w:rPr>
          <w:rFonts w:ascii="Times New Roman" w:hAnsi="Times New Roman" w:cs="Times New Roman"/>
          <w:i/>
        </w:rPr>
        <w:t>Bb</w:t>
      </w:r>
      <w:r w:rsidRPr="00E7693B">
        <w:rPr>
          <w:rFonts w:ascii="Times New Roman" w:hAnsi="Times New Roman" w:cs="Times New Roman"/>
        </w:rPr>
        <w:t xml:space="preserve">) in WT plants of </w:t>
      </w:r>
      <w:r w:rsidRPr="00E7693B">
        <w:rPr>
          <w:rFonts w:ascii="Times New Roman" w:hAnsi="Times New Roman" w:cs="Times New Roman"/>
          <w:i/>
        </w:rPr>
        <w:t xml:space="preserve">Arabidopsis thaliana </w:t>
      </w:r>
      <w:r w:rsidRPr="00E7693B">
        <w:rPr>
          <w:rFonts w:ascii="Times New Roman" w:hAnsi="Times New Roman" w:cs="Times New Roman"/>
        </w:rPr>
        <w:t>(Col-0) 6, 24, 48 and 72 h post infestation (</w:t>
      </w:r>
      <w:proofErr w:type="spellStart"/>
      <w:r w:rsidRPr="00E7693B">
        <w:rPr>
          <w:rFonts w:ascii="Times New Roman" w:hAnsi="Times New Roman" w:cs="Times New Roman"/>
        </w:rPr>
        <w:t>hpi</w:t>
      </w:r>
      <w:proofErr w:type="spellEnd"/>
      <w:r w:rsidRPr="00E7693B">
        <w:rPr>
          <w:rFonts w:ascii="Times New Roman" w:hAnsi="Times New Roman" w:cs="Times New Roman"/>
        </w:rPr>
        <w:t>)</w:t>
      </w:r>
      <w:r w:rsidRPr="00E7693B">
        <w:rPr>
          <w:rFonts w:ascii="Times New Roman" w:hAnsi="Times New Roman" w:cs="Times New Roman"/>
          <w:i/>
        </w:rPr>
        <w:t>.</w:t>
      </w:r>
      <w:r w:rsidRPr="00E7693B">
        <w:rPr>
          <w:rFonts w:ascii="Times New Roman" w:hAnsi="Times New Roman" w:cs="Times New Roman"/>
        </w:rPr>
        <w:t xml:space="preserve"> Graphs represent genes involved in SA </w:t>
      </w:r>
      <w:proofErr w:type="spellStart"/>
      <w:r w:rsidRPr="00E7693B">
        <w:rPr>
          <w:rFonts w:ascii="Times New Roman" w:hAnsi="Times New Roman" w:cs="Times New Roman"/>
        </w:rPr>
        <w:t>signaling</w:t>
      </w:r>
      <w:proofErr w:type="spellEnd"/>
      <w:r w:rsidRPr="00E7693B">
        <w:rPr>
          <w:rFonts w:ascii="Times New Roman" w:hAnsi="Times New Roman" w:cs="Times New Roman"/>
        </w:rPr>
        <w:t xml:space="preserve"> pathway (</w:t>
      </w:r>
      <w:r w:rsidRPr="00E7693B">
        <w:rPr>
          <w:rFonts w:ascii="Times New Roman" w:hAnsi="Times New Roman" w:cs="Times New Roman"/>
          <w:i/>
        </w:rPr>
        <w:t>PR1, PR2, PR5</w:t>
      </w:r>
      <w:r w:rsidRPr="00E7693B">
        <w:rPr>
          <w:rFonts w:ascii="Times New Roman" w:hAnsi="Times New Roman" w:cs="Times New Roman"/>
        </w:rPr>
        <w:t xml:space="preserve">, </w:t>
      </w:r>
      <w:r w:rsidRPr="00E7693B">
        <w:rPr>
          <w:rFonts w:ascii="Times New Roman" w:hAnsi="Times New Roman" w:cs="Times New Roman"/>
          <w:i/>
        </w:rPr>
        <w:t>ICS1, ICS2</w:t>
      </w:r>
      <w:r w:rsidRPr="00E7693B">
        <w:rPr>
          <w:rFonts w:ascii="Times New Roman" w:hAnsi="Times New Roman" w:cs="Times New Roman"/>
        </w:rPr>
        <w:t xml:space="preserve">), JA </w:t>
      </w:r>
      <w:proofErr w:type="spellStart"/>
      <w:r w:rsidRPr="00E7693B">
        <w:rPr>
          <w:rFonts w:ascii="Times New Roman" w:hAnsi="Times New Roman" w:cs="Times New Roman"/>
        </w:rPr>
        <w:t>signaling</w:t>
      </w:r>
      <w:proofErr w:type="spellEnd"/>
      <w:r w:rsidRPr="00E7693B">
        <w:rPr>
          <w:rFonts w:ascii="Times New Roman" w:hAnsi="Times New Roman" w:cs="Times New Roman"/>
        </w:rPr>
        <w:t xml:space="preserve"> pathway (</w:t>
      </w:r>
      <w:r w:rsidRPr="00E7693B">
        <w:rPr>
          <w:rFonts w:ascii="Times New Roman" w:hAnsi="Times New Roman" w:cs="Times New Roman"/>
          <w:i/>
        </w:rPr>
        <w:t>LOX2</w:t>
      </w:r>
      <w:r w:rsidRPr="00E7693B">
        <w:rPr>
          <w:rFonts w:ascii="Times New Roman" w:hAnsi="Times New Roman" w:cs="Times New Roman"/>
        </w:rPr>
        <w:t xml:space="preserve">, </w:t>
      </w:r>
      <w:r w:rsidRPr="00E7693B">
        <w:rPr>
          <w:rFonts w:ascii="Times New Roman" w:hAnsi="Times New Roman" w:cs="Times New Roman"/>
          <w:i/>
        </w:rPr>
        <w:t>AOS, JAZ8, JAZ10</w:t>
      </w:r>
      <w:r w:rsidRPr="00E7693B">
        <w:rPr>
          <w:rFonts w:ascii="Times New Roman" w:hAnsi="Times New Roman" w:cs="Times New Roman"/>
        </w:rPr>
        <w:t>), ET biosynthetic pathway (</w:t>
      </w:r>
      <w:r w:rsidRPr="00E7693B">
        <w:rPr>
          <w:rFonts w:ascii="Times New Roman" w:hAnsi="Times New Roman" w:cs="Times New Roman"/>
          <w:i/>
        </w:rPr>
        <w:t>ACS2, ACS6</w:t>
      </w:r>
      <w:r w:rsidRPr="00E7693B">
        <w:rPr>
          <w:rFonts w:ascii="Times New Roman" w:hAnsi="Times New Roman" w:cs="Times New Roman"/>
        </w:rPr>
        <w:t xml:space="preserve">) and ET/JA </w:t>
      </w:r>
      <w:proofErr w:type="spellStart"/>
      <w:r w:rsidRPr="00E7693B">
        <w:rPr>
          <w:rFonts w:ascii="Times New Roman" w:hAnsi="Times New Roman" w:cs="Times New Roman"/>
        </w:rPr>
        <w:t>signaling</w:t>
      </w:r>
      <w:proofErr w:type="spellEnd"/>
      <w:r w:rsidRPr="00E7693B">
        <w:rPr>
          <w:rFonts w:ascii="Times New Roman" w:hAnsi="Times New Roman" w:cs="Times New Roman"/>
        </w:rPr>
        <w:t xml:space="preserve"> pathway (</w:t>
      </w:r>
      <w:r w:rsidRPr="00E7693B">
        <w:rPr>
          <w:rFonts w:ascii="Times New Roman" w:hAnsi="Times New Roman" w:cs="Times New Roman"/>
          <w:i/>
        </w:rPr>
        <w:t>PDF1.2</w:t>
      </w:r>
      <w:r w:rsidRPr="00E7693B">
        <w:rPr>
          <w:rFonts w:ascii="Times New Roman" w:hAnsi="Times New Roman" w:cs="Times New Roman"/>
        </w:rPr>
        <w:t xml:space="preserve">, </w:t>
      </w:r>
      <w:r w:rsidRPr="00E7693B">
        <w:rPr>
          <w:rFonts w:ascii="Times New Roman" w:hAnsi="Times New Roman" w:cs="Times New Roman"/>
          <w:i/>
        </w:rPr>
        <w:t>HEL/PR4</w:t>
      </w:r>
      <w:r w:rsidRPr="00E7693B">
        <w:rPr>
          <w:rFonts w:ascii="Times New Roman" w:hAnsi="Times New Roman" w:cs="Times New Roman"/>
        </w:rPr>
        <w:t xml:space="preserve">). CT values of target genes were normalised to the geometric mean of two housekeeping genes, namely </w:t>
      </w:r>
      <w:r w:rsidRPr="00E7693B">
        <w:rPr>
          <w:rFonts w:ascii="Times New Roman" w:hAnsi="Times New Roman" w:cs="Times New Roman"/>
          <w:i/>
        </w:rPr>
        <w:t xml:space="preserve">ACT8 </w:t>
      </w:r>
      <w:r w:rsidRPr="00E7693B">
        <w:rPr>
          <w:rFonts w:ascii="Times New Roman" w:hAnsi="Times New Roman" w:cs="Times New Roman"/>
        </w:rPr>
        <w:t>and</w:t>
      </w:r>
      <w:r w:rsidRPr="00E7693B">
        <w:rPr>
          <w:rFonts w:ascii="Times New Roman" w:hAnsi="Times New Roman" w:cs="Times New Roman"/>
          <w:i/>
        </w:rPr>
        <w:t xml:space="preserve"> SAND</w:t>
      </w:r>
      <w:r w:rsidRPr="00E7693B">
        <w:rPr>
          <w:rFonts w:ascii="Times New Roman" w:hAnsi="Times New Roman" w:cs="Times New Roman"/>
        </w:rPr>
        <w:t xml:space="preserve">. Control and infested samples were compared within each time point with Student’s </w:t>
      </w:r>
      <w:r w:rsidRPr="00E7693B">
        <w:rPr>
          <w:rFonts w:ascii="Times New Roman" w:hAnsi="Times New Roman" w:cs="Times New Roman"/>
          <w:i/>
        </w:rPr>
        <w:t>t</w:t>
      </w:r>
      <w:r w:rsidRPr="00E7693B">
        <w:rPr>
          <w:rFonts w:ascii="Times New Roman" w:hAnsi="Times New Roman" w:cs="Times New Roman"/>
        </w:rPr>
        <w:t xml:space="preserve"> test; P-value is indicated for comparisons that passed the significance threshold; n = 4. Error bars represent standard error of the mean (SE). Dashed line on y = 1 is set to a normalised mean of non-infested control for each time point. Abbreviations: </w:t>
      </w:r>
      <w:r w:rsidRPr="00E7693B">
        <w:rPr>
          <w:rFonts w:ascii="Times New Roman" w:hAnsi="Times New Roman" w:cs="Times New Roman"/>
          <w:i/>
        </w:rPr>
        <w:t xml:space="preserve">PR1,2,5 </w:t>
      </w:r>
      <w:r w:rsidRPr="00E7693B">
        <w:rPr>
          <w:rFonts w:ascii="Times New Roman" w:hAnsi="Times New Roman" w:cs="Times New Roman"/>
        </w:rPr>
        <w:t xml:space="preserve">= </w:t>
      </w:r>
      <w:r w:rsidRPr="00E7693B">
        <w:rPr>
          <w:rFonts w:ascii="Times New Roman" w:hAnsi="Times New Roman" w:cs="Times New Roman"/>
          <w:i/>
        </w:rPr>
        <w:t>pathogenesis-related 1,2,5</w:t>
      </w:r>
      <w:r w:rsidRPr="00E7693B">
        <w:rPr>
          <w:rFonts w:ascii="Times New Roman" w:hAnsi="Times New Roman" w:cs="Times New Roman"/>
        </w:rPr>
        <w:t>;</w:t>
      </w:r>
      <w:r w:rsidRPr="00E7693B">
        <w:rPr>
          <w:rFonts w:ascii="Times New Roman" w:hAnsi="Times New Roman" w:cs="Times New Roman"/>
          <w:i/>
        </w:rPr>
        <w:t xml:space="preserve"> ICS1,2 </w:t>
      </w:r>
      <w:r w:rsidRPr="00E7693B">
        <w:rPr>
          <w:rFonts w:ascii="Times New Roman" w:hAnsi="Times New Roman" w:cs="Times New Roman"/>
        </w:rPr>
        <w:t xml:space="preserve">= </w:t>
      </w:r>
      <w:proofErr w:type="spellStart"/>
      <w:r w:rsidRPr="00E7693B">
        <w:rPr>
          <w:rFonts w:ascii="Times New Roman" w:hAnsi="Times New Roman" w:cs="Times New Roman"/>
          <w:i/>
        </w:rPr>
        <w:t>isochorismate</w:t>
      </w:r>
      <w:proofErr w:type="spellEnd"/>
      <w:r w:rsidRPr="00E7693B">
        <w:rPr>
          <w:rFonts w:ascii="Times New Roman" w:hAnsi="Times New Roman" w:cs="Times New Roman"/>
          <w:i/>
        </w:rPr>
        <w:t xml:space="preserve"> synthase 1,2</w:t>
      </w:r>
      <w:r w:rsidRPr="00E7693B">
        <w:rPr>
          <w:rFonts w:ascii="Times New Roman" w:hAnsi="Times New Roman" w:cs="Times New Roman"/>
        </w:rPr>
        <w:t>;</w:t>
      </w:r>
      <w:r w:rsidRPr="00E7693B">
        <w:rPr>
          <w:rFonts w:ascii="Times New Roman" w:hAnsi="Times New Roman" w:cs="Times New Roman"/>
          <w:i/>
        </w:rPr>
        <w:t xml:space="preserve"> AOS </w:t>
      </w:r>
      <w:r w:rsidRPr="00E7693B">
        <w:rPr>
          <w:rFonts w:ascii="Times New Roman" w:hAnsi="Times New Roman" w:cs="Times New Roman"/>
        </w:rPr>
        <w:t xml:space="preserve">= </w:t>
      </w:r>
      <w:r w:rsidRPr="00E7693B">
        <w:rPr>
          <w:rFonts w:ascii="Times New Roman" w:hAnsi="Times New Roman" w:cs="Times New Roman"/>
          <w:i/>
        </w:rPr>
        <w:t>allene oxide synthase</w:t>
      </w:r>
      <w:r w:rsidRPr="00E7693B">
        <w:rPr>
          <w:rFonts w:ascii="Times New Roman" w:hAnsi="Times New Roman" w:cs="Times New Roman"/>
        </w:rPr>
        <w:t>;</w:t>
      </w:r>
      <w:r w:rsidRPr="00E7693B">
        <w:rPr>
          <w:rFonts w:ascii="Times New Roman" w:hAnsi="Times New Roman" w:cs="Times New Roman"/>
          <w:i/>
        </w:rPr>
        <w:t xml:space="preserve"> LOX2 </w:t>
      </w:r>
      <w:r w:rsidRPr="00E7693B">
        <w:rPr>
          <w:rFonts w:ascii="Times New Roman" w:hAnsi="Times New Roman" w:cs="Times New Roman"/>
        </w:rPr>
        <w:t xml:space="preserve">= </w:t>
      </w:r>
      <w:r w:rsidRPr="00E7693B">
        <w:rPr>
          <w:rFonts w:ascii="Times New Roman" w:hAnsi="Times New Roman" w:cs="Times New Roman"/>
          <w:i/>
        </w:rPr>
        <w:t>lipoxygenase 2</w:t>
      </w:r>
      <w:r w:rsidRPr="00E7693B">
        <w:rPr>
          <w:rFonts w:ascii="Times New Roman" w:hAnsi="Times New Roman" w:cs="Times New Roman"/>
        </w:rPr>
        <w:t xml:space="preserve">; </w:t>
      </w:r>
      <w:r w:rsidRPr="00E7693B">
        <w:rPr>
          <w:rFonts w:ascii="Times New Roman" w:hAnsi="Times New Roman" w:cs="Times New Roman"/>
          <w:i/>
        </w:rPr>
        <w:t xml:space="preserve">JAZ8,10 </w:t>
      </w:r>
      <w:r w:rsidRPr="00E7693B">
        <w:rPr>
          <w:rFonts w:ascii="Times New Roman" w:hAnsi="Times New Roman" w:cs="Times New Roman"/>
        </w:rPr>
        <w:t xml:space="preserve">= </w:t>
      </w:r>
      <w:proofErr w:type="spellStart"/>
      <w:r w:rsidRPr="00E7693B">
        <w:rPr>
          <w:rFonts w:ascii="Times New Roman" w:hAnsi="Times New Roman" w:cs="Times New Roman"/>
          <w:i/>
        </w:rPr>
        <w:t>jasmonate</w:t>
      </w:r>
      <w:proofErr w:type="spellEnd"/>
      <w:r w:rsidRPr="00E7693B">
        <w:rPr>
          <w:rFonts w:ascii="Times New Roman" w:hAnsi="Times New Roman" w:cs="Times New Roman"/>
          <w:i/>
        </w:rPr>
        <w:t xml:space="preserve"> ZIM domain 8,10</w:t>
      </w:r>
      <w:r w:rsidRPr="00E7693B">
        <w:rPr>
          <w:rFonts w:ascii="Times New Roman" w:hAnsi="Times New Roman" w:cs="Times New Roman"/>
        </w:rPr>
        <w:t xml:space="preserve">; </w:t>
      </w:r>
      <w:r w:rsidRPr="00E7693B">
        <w:rPr>
          <w:rFonts w:ascii="Times New Roman" w:hAnsi="Times New Roman" w:cs="Times New Roman"/>
          <w:i/>
        </w:rPr>
        <w:t xml:space="preserve">ACS2,6 </w:t>
      </w:r>
      <w:r w:rsidRPr="00E7693B">
        <w:rPr>
          <w:rFonts w:ascii="Times New Roman" w:hAnsi="Times New Roman" w:cs="Times New Roman"/>
        </w:rPr>
        <w:t xml:space="preserve">= </w:t>
      </w:r>
      <w:r w:rsidRPr="00E7693B">
        <w:rPr>
          <w:rFonts w:ascii="Times New Roman" w:hAnsi="Times New Roman" w:cs="Times New Roman"/>
          <w:i/>
        </w:rPr>
        <w:t>ACC synthase 2,6</w:t>
      </w:r>
      <w:r w:rsidRPr="00E7693B">
        <w:rPr>
          <w:rFonts w:ascii="Times New Roman" w:hAnsi="Times New Roman" w:cs="Times New Roman"/>
        </w:rPr>
        <w:t xml:space="preserve">; </w:t>
      </w:r>
      <w:r w:rsidRPr="00E7693B">
        <w:rPr>
          <w:rFonts w:ascii="Times New Roman" w:hAnsi="Times New Roman" w:cs="Times New Roman"/>
          <w:i/>
        </w:rPr>
        <w:t xml:space="preserve">PDF1.2 </w:t>
      </w:r>
      <w:r w:rsidRPr="00E7693B">
        <w:rPr>
          <w:rFonts w:ascii="Times New Roman" w:hAnsi="Times New Roman" w:cs="Times New Roman"/>
        </w:rPr>
        <w:t xml:space="preserve">= </w:t>
      </w:r>
      <w:r w:rsidRPr="00E7693B">
        <w:rPr>
          <w:rFonts w:ascii="Times New Roman" w:hAnsi="Times New Roman" w:cs="Times New Roman"/>
          <w:i/>
        </w:rPr>
        <w:t>plant defensin 1.2</w:t>
      </w:r>
      <w:r w:rsidRPr="00E7693B">
        <w:rPr>
          <w:rFonts w:ascii="Times New Roman" w:hAnsi="Times New Roman" w:cs="Times New Roman"/>
        </w:rPr>
        <w:t xml:space="preserve">; </w:t>
      </w:r>
      <w:r w:rsidRPr="00E7693B">
        <w:rPr>
          <w:rFonts w:ascii="Times New Roman" w:hAnsi="Times New Roman" w:cs="Times New Roman"/>
          <w:i/>
        </w:rPr>
        <w:t xml:space="preserve">HEL/PR4 </w:t>
      </w:r>
      <w:r w:rsidRPr="00E7693B">
        <w:rPr>
          <w:rFonts w:ascii="Times New Roman" w:hAnsi="Times New Roman" w:cs="Times New Roman"/>
        </w:rPr>
        <w:t xml:space="preserve">= </w:t>
      </w:r>
      <w:proofErr w:type="spellStart"/>
      <w:r w:rsidRPr="00E7693B">
        <w:rPr>
          <w:rFonts w:ascii="Times New Roman" w:hAnsi="Times New Roman" w:cs="Times New Roman"/>
          <w:i/>
        </w:rPr>
        <w:t>hevein</w:t>
      </w:r>
      <w:proofErr w:type="spellEnd"/>
      <w:r w:rsidRPr="00E7693B">
        <w:rPr>
          <w:rFonts w:ascii="Times New Roman" w:hAnsi="Times New Roman" w:cs="Times New Roman"/>
          <w:i/>
        </w:rPr>
        <w:t>-like/pathogenesis-related 4</w:t>
      </w:r>
      <w:r w:rsidRPr="00E7693B">
        <w:rPr>
          <w:rFonts w:ascii="Times New Roman" w:hAnsi="Times New Roman" w:cs="Times New Roman"/>
        </w:rPr>
        <w:t>.</w:t>
      </w:r>
    </w:p>
    <w:p w14:paraId="16C130E9" w14:textId="1FF2F7F8" w:rsidR="003E75D7" w:rsidRPr="00E7693B" w:rsidRDefault="003E75D7" w:rsidP="003E75D7">
      <w:pPr>
        <w:spacing w:after="240" w:line="360" w:lineRule="auto"/>
        <w:jc w:val="center"/>
        <w:rPr>
          <w:rFonts w:ascii="Times New Roman" w:hAnsi="Times New Roman" w:cs="Times New Roman"/>
        </w:rPr>
      </w:pPr>
      <w:r>
        <w:rPr>
          <w:rFonts w:ascii="Times New Roman" w:hAnsi="Times New Roman" w:cs="Times New Roman"/>
          <w:noProof/>
        </w:rPr>
        <w:drawing>
          <wp:inline distT="0" distB="0" distL="0" distR="0" wp14:anchorId="606702FD" wp14:editId="0455CEFC">
            <wp:extent cx="4879351" cy="6748040"/>
            <wp:effectExtent l="0" t="0" r="0" b="0"/>
            <wp:docPr id="1624667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67896" name="Picture 1624667896"/>
                    <pic:cNvPicPr/>
                  </pic:nvPicPr>
                  <pic:blipFill>
                    <a:blip r:embed="rId49">
                      <a:extLst>
                        <a:ext uri="{28A0092B-C50C-407E-A947-70E740481C1C}">
                          <a14:useLocalDpi xmlns:a14="http://schemas.microsoft.com/office/drawing/2010/main" val="0"/>
                        </a:ext>
                      </a:extLst>
                    </a:blip>
                    <a:stretch>
                      <a:fillRect/>
                    </a:stretch>
                  </pic:blipFill>
                  <pic:spPr>
                    <a:xfrm>
                      <a:off x="0" y="0"/>
                      <a:ext cx="4911209" cy="6792099"/>
                    </a:xfrm>
                    <a:prstGeom prst="rect">
                      <a:avLst/>
                    </a:prstGeom>
                  </pic:spPr>
                </pic:pic>
              </a:graphicData>
            </a:graphic>
          </wp:inline>
        </w:drawing>
      </w:r>
    </w:p>
    <w:p w14:paraId="2150A192" w14:textId="77777777"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color w:val="000000"/>
        </w:rPr>
        <w:t xml:space="preserve">Figure 30. </w:t>
      </w:r>
      <w:r w:rsidRPr="00E7693B">
        <w:rPr>
          <w:rFonts w:ascii="Times New Roman" w:hAnsi="Times New Roman" w:cs="Times New Roman"/>
        </w:rPr>
        <w:t xml:space="preserve">Local activation of </w:t>
      </w:r>
      <w:r w:rsidRPr="00E7693B">
        <w:rPr>
          <w:rFonts w:ascii="Times New Roman" w:hAnsi="Times New Roman" w:cs="Times New Roman"/>
          <w:i/>
        </w:rPr>
        <w:t>PR1</w:t>
      </w:r>
      <w:r w:rsidRPr="00E7693B">
        <w:rPr>
          <w:rFonts w:ascii="Times New Roman" w:hAnsi="Times New Roman" w:cs="Times New Roman"/>
        </w:rPr>
        <w:t xml:space="preserve"> and </w:t>
      </w:r>
      <w:r w:rsidRPr="00E7693B">
        <w:rPr>
          <w:rFonts w:ascii="Times New Roman" w:hAnsi="Times New Roman" w:cs="Times New Roman"/>
          <w:i/>
        </w:rPr>
        <w:t>JAZ10</w:t>
      </w:r>
      <w:r w:rsidRPr="00E7693B">
        <w:rPr>
          <w:rFonts w:ascii="Times New Roman" w:hAnsi="Times New Roman" w:cs="Times New Roman"/>
        </w:rPr>
        <w:t xml:space="preserve"> transcription in </w:t>
      </w:r>
      <w:r w:rsidRPr="00E7693B">
        <w:rPr>
          <w:rFonts w:ascii="Times New Roman" w:hAnsi="Times New Roman" w:cs="Times New Roman"/>
          <w:i/>
        </w:rPr>
        <w:t>Arabidopsis thaliana</w:t>
      </w:r>
      <w:r w:rsidRPr="00E7693B">
        <w:rPr>
          <w:rFonts w:ascii="Times New Roman" w:hAnsi="Times New Roman" w:cs="Times New Roman"/>
        </w:rPr>
        <w:t xml:space="preserve"> veins upon infestation around the feeding sites of </w:t>
      </w:r>
      <w:proofErr w:type="spellStart"/>
      <w:r w:rsidRPr="00E7693B">
        <w:rPr>
          <w:rFonts w:ascii="Times New Roman" w:hAnsi="Times New Roman" w:cs="Times New Roman"/>
          <w:i/>
        </w:rPr>
        <w:t>Brevicoryne</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brassicae</w:t>
      </w:r>
      <w:proofErr w:type="spellEnd"/>
      <w:r w:rsidRPr="00E7693B">
        <w:rPr>
          <w:rFonts w:ascii="Times New Roman" w:hAnsi="Times New Roman" w:cs="Times New Roman"/>
          <w:i/>
        </w:rPr>
        <w:t xml:space="preserve"> </w:t>
      </w:r>
      <w:r w:rsidRPr="00E7693B">
        <w:rPr>
          <w:rFonts w:ascii="Times New Roman" w:hAnsi="Times New Roman" w:cs="Times New Roman"/>
        </w:rPr>
        <w:t>(</w:t>
      </w:r>
      <w:r w:rsidRPr="00E7693B">
        <w:rPr>
          <w:rFonts w:ascii="Times New Roman" w:hAnsi="Times New Roman" w:cs="Times New Roman"/>
          <w:i/>
        </w:rPr>
        <w:t>Bb</w:t>
      </w:r>
      <w:r w:rsidRPr="00E7693B">
        <w:rPr>
          <w:rFonts w:ascii="Times New Roman" w:hAnsi="Times New Roman" w:cs="Times New Roman"/>
        </w:rPr>
        <w:t xml:space="preserve">). </w:t>
      </w:r>
      <w:r w:rsidRPr="006B61C5">
        <w:rPr>
          <w:rFonts w:ascii="Times New Roman" w:hAnsi="Times New Roman" w:cs="Times New Roman"/>
          <w:b/>
          <w:bCs/>
        </w:rPr>
        <w:t>A:</w:t>
      </w:r>
      <w:r w:rsidRPr="00E7693B">
        <w:rPr>
          <w:rFonts w:ascii="Times New Roman" w:hAnsi="Times New Roman" w:cs="Times New Roman"/>
        </w:rPr>
        <w:t xml:space="preserve"> </w:t>
      </w:r>
      <w:r w:rsidRPr="00E7693B">
        <w:rPr>
          <w:rFonts w:ascii="Times New Roman" w:hAnsi="Times New Roman" w:cs="Times New Roman"/>
          <w:i/>
        </w:rPr>
        <w:t xml:space="preserve">B. </w:t>
      </w:r>
      <w:proofErr w:type="spellStart"/>
      <w:r w:rsidRPr="00E7693B">
        <w:rPr>
          <w:rFonts w:ascii="Times New Roman" w:hAnsi="Times New Roman" w:cs="Times New Roman"/>
          <w:i/>
        </w:rPr>
        <w:t>brassicae</w:t>
      </w:r>
      <w:proofErr w:type="spellEnd"/>
      <w:r w:rsidRPr="00E7693B">
        <w:rPr>
          <w:rFonts w:ascii="Times New Roman" w:hAnsi="Times New Roman" w:cs="Times New Roman"/>
        </w:rPr>
        <w:t xml:space="preserve"> feeding on the leaves of </w:t>
      </w:r>
      <w:r w:rsidRPr="00E7693B">
        <w:rPr>
          <w:rFonts w:ascii="Times New Roman" w:hAnsi="Times New Roman" w:cs="Times New Roman"/>
          <w:i/>
        </w:rPr>
        <w:t xml:space="preserve">pPR1::NLS3xVenus </w:t>
      </w:r>
      <w:r w:rsidRPr="00E7693B">
        <w:rPr>
          <w:rFonts w:ascii="Times New Roman" w:hAnsi="Times New Roman" w:cs="Times New Roman"/>
        </w:rPr>
        <w:t xml:space="preserve">and </w:t>
      </w:r>
      <w:r w:rsidRPr="00E7693B">
        <w:rPr>
          <w:rFonts w:ascii="Times New Roman" w:hAnsi="Times New Roman" w:cs="Times New Roman"/>
          <w:i/>
        </w:rPr>
        <w:t>pJAZ10::NLS3xVenus</w:t>
      </w:r>
      <w:r w:rsidRPr="00E7693B">
        <w:rPr>
          <w:rFonts w:ascii="Times New Roman" w:hAnsi="Times New Roman" w:cs="Times New Roman"/>
        </w:rPr>
        <w:t xml:space="preserve"> 48 h post infestation (</w:t>
      </w:r>
      <w:proofErr w:type="spellStart"/>
      <w:r w:rsidRPr="00E7693B">
        <w:rPr>
          <w:rFonts w:ascii="Times New Roman" w:hAnsi="Times New Roman" w:cs="Times New Roman"/>
        </w:rPr>
        <w:t>hpi</w:t>
      </w:r>
      <w:proofErr w:type="spellEnd"/>
      <w:r w:rsidRPr="00E7693B">
        <w:rPr>
          <w:rFonts w:ascii="Times New Roman" w:hAnsi="Times New Roman" w:cs="Times New Roman"/>
        </w:rPr>
        <w:t xml:space="preserve">); scale bar = 500 µm; </w:t>
      </w:r>
      <w:r w:rsidRPr="006B61C5">
        <w:rPr>
          <w:rFonts w:ascii="Times New Roman" w:hAnsi="Times New Roman" w:cs="Times New Roman"/>
          <w:b/>
          <w:bCs/>
        </w:rPr>
        <w:t>B:</w:t>
      </w:r>
      <w:r w:rsidRPr="00E7693B">
        <w:rPr>
          <w:rFonts w:ascii="Times New Roman" w:hAnsi="Times New Roman" w:cs="Times New Roman"/>
        </w:rPr>
        <w:t xml:space="preserve"> representative images of </w:t>
      </w:r>
      <w:r w:rsidRPr="00E7693B">
        <w:rPr>
          <w:rFonts w:ascii="Times New Roman" w:hAnsi="Times New Roman" w:cs="Times New Roman"/>
          <w:i/>
        </w:rPr>
        <w:t>PR1</w:t>
      </w:r>
      <w:r w:rsidRPr="00E7693B">
        <w:rPr>
          <w:rFonts w:ascii="Times New Roman" w:hAnsi="Times New Roman" w:cs="Times New Roman"/>
        </w:rPr>
        <w:t xml:space="preserve"> and </w:t>
      </w:r>
      <w:r w:rsidRPr="00E7693B">
        <w:rPr>
          <w:rFonts w:ascii="Times New Roman" w:hAnsi="Times New Roman" w:cs="Times New Roman"/>
          <w:i/>
        </w:rPr>
        <w:t>JAZ10</w:t>
      </w:r>
      <w:r w:rsidRPr="00E7693B">
        <w:rPr>
          <w:rFonts w:ascii="Times New Roman" w:hAnsi="Times New Roman" w:cs="Times New Roman"/>
        </w:rPr>
        <w:t xml:space="preserve"> induction; yellow arrows point to the nuclei with induced reporter construct expression, blue arrows point to the stylet puncture autofluorescence; scale bar 10 µm; </w:t>
      </w:r>
      <w:r w:rsidRPr="006B61C5">
        <w:rPr>
          <w:rFonts w:ascii="Times New Roman" w:hAnsi="Times New Roman" w:cs="Times New Roman"/>
          <w:b/>
          <w:bCs/>
        </w:rPr>
        <w:t>C:</w:t>
      </w:r>
      <w:r w:rsidRPr="00E7693B">
        <w:rPr>
          <w:rFonts w:ascii="Times New Roman" w:hAnsi="Times New Roman" w:cs="Times New Roman"/>
        </w:rPr>
        <w:t xml:space="preserve"> </w:t>
      </w:r>
      <w:r w:rsidRPr="00E7693B">
        <w:rPr>
          <w:rFonts w:ascii="Times New Roman" w:hAnsi="Times New Roman" w:cs="Times New Roman"/>
          <w:i/>
        </w:rPr>
        <w:t>PR1</w:t>
      </w:r>
      <w:r w:rsidRPr="00E7693B">
        <w:rPr>
          <w:rFonts w:ascii="Times New Roman" w:hAnsi="Times New Roman" w:cs="Times New Roman"/>
        </w:rPr>
        <w:t xml:space="preserve"> and </w:t>
      </w:r>
      <w:r w:rsidRPr="00E7693B">
        <w:rPr>
          <w:rFonts w:ascii="Times New Roman" w:hAnsi="Times New Roman" w:cs="Times New Roman"/>
          <w:i/>
        </w:rPr>
        <w:t>JAZ10</w:t>
      </w:r>
      <w:r w:rsidRPr="00E7693B">
        <w:rPr>
          <w:rFonts w:ascii="Times New Roman" w:hAnsi="Times New Roman" w:cs="Times New Roman"/>
        </w:rPr>
        <w:t xml:space="preserve"> quantification of induced cells per 6 mm leaf disc; ** - variants are significantly different from non-infested control, P &lt; 0.01.</w:t>
      </w:r>
    </w:p>
    <w:p w14:paraId="2150A193" w14:textId="77777777" w:rsidR="00E7693B" w:rsidRPr="00E7693B" w:rsidRDefault="00E7693B">
      <w:pPr>
        <w:spacing w:after="240" w:line="360" w:lineRule="auto"/>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AC" wp14:editId="2150A5AD">
            <wp:extent cx="5113228" cy="6615511"/>
            <wp:effectExtent l="0" t="0" r="0" b="0"/>
            <wp:docPr id="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0"/>
                    <a:srcRect/>
                    <a:stretch>
                      <a:fillRect/>
                    </a:stretch>
                  </pic:blipFill>
                  <pic:spPr>
                    <a:xfrm>
                      <a:off x="0" y="0"/>
                      <a:ext cx="5113228" cy="6615511"/>
                    </a:xfrm>
                    <a:prstGeom prst="rect">
                      <a:avLst/>
                    </a:prstGeom>
                    <a:ln/>
                  </pic:spPr>
                </pic:pic>
              </a:graphicData>
            </a:graphic>
          </wp:inline>
        </w:drawing>
      </w:r>
    </w:p>
    <w:p w14:paraId="2150A195" w14:textId="66DCFDA4" w:rsidR="00E7693B" w:rsidRDefault="00E7693B" w:rsidP="006B61C5">
      <w:pPr>
        <w:spacing w:after="240" w:line="360" w:lineRule="auto"/>
        <w:jc w:val="both"/>
        <w:rPr>
          <w:rFonts w:ascii="Times New Roman" w:hAnsi="Times New Roman" w:cs="Times New Roman"/>
        </w:rPr>
      </w:pPr>
      <w:r w:rsidRPr="00E7693B">
        <w:rPr>
          <w:rFonts w:ascii="Times New Roman" w:hAnsi="Times New Roman" w:cs="Times New Roman"/>
          <w:b/>
        </w:rPr>
        <w:t xml:space="preserve">Figure 31. </w:t>
      </w:r>
      <w:r w:rsidRPr="00E7693B">
        <w:rPr>
          <w:rFonts w:ascii="Times New Roman" w:hAnsi="Times New Roman" w:cs="Times New Roman"/>
          <w:i/>
        </w:rPr>
        <w:t>Arabidopsis thaliana</w:t>
      </w:r>
      <w:r w:rsidRPr="00E7693B">
        <w:rPr>
          <w:rFonts w:ascii="Times New Roman" w:hAnsi="Times New Roman" w:cs="Times New Roman"/>
        </w:rPr>
        <w:t xml:space="preserve"> plants with reporter constructs for</w:t>
      </w:r>
      <w:r w:rsidRPr="00E7693B">
        <w:rPr>
          <w:rFonts w:ascii="Times New Roman" w:hAnsi="Times New Roman" w:cs="Times New Roman"/>
          <w:i/>
        </w:rPr>
        <w:t xml:space="preserve"> AOS, ACS6 and PR4/HEL</w:t>
      </w:r>
      <w:r w:rsidRPr="00E7693B">
        <w:rPr>
          <w:rFonts w:ascii="Times New Roman" w:hAnsi="Times New Roman" w:cs="Times New Roman"/>
        </w:rPr>
        <w:t xml:space="preserve"> expressing high background noise compared to </w:t>
      </w:r>
      <w:r w:rsidRPr="00E7693B">
        <w:rPr>
          <w:rFonts w:ascii="Times New Roman" w:hAnsi="Times New Roman" w:cs="Times New Roman"/>
          <w:i/>
        </w:rPr>
        <w:t xml:space="preserve">PR1 </w:t>
      </w:r>
      <w:r w:rsidRPr="00E7693B">
        <w:rPr>
          <w:rFonts w:ascii="Times New Roman" w:hAnsi="Times New Roman" w:cs="Times New Roman"/>
        </w:rPr>
        <w:t xml:space="preserve">and </w:t>
      </w:r>
      <w:r w:rsidRPr="00E7693B">
        <w:rPr>
          <w:rFonts w:ascii="Times New Roman" w:hAnsi="Times New Roman" w:cs="Times New Roman"/>
          <w:i/>
        </w:rPr>
        <w:t xml:space="preserve">JAZ10 </w:t>
      </w:r>
      <w:r w:rsidRPr="00E7693B">
        <w:rPr>
          <w:rFonts w:ascii="Times New Roman" w:hAnsi="Times New Roman" w:cs="Times New Roman"/>
        </w:rPr>
        <w:t>genes in non-infested plants. Scale bar = 500 µm.</w:t>
      </w:r>
    </w:p>
    <w:p w14:paraId="17DD142F" w14:textId="27C7D2D8" w:rsidR="003E75D7" w:rsidRPr="00E7693B" w:rsidRDefault="003E75D7">
      <w:pPr>
        <w:spacing w:after="240" w:line="360" w:lineRule="auto"/>
        <w:jc w:val="center"/>
        <w:rPr>
          <w:rFonts w:ascii="Times New Roman" w:hAnsi="Times New Roman" w:cs="Times New Roman"/>
        </w:rPr>
      </w:pPr>
      <w:r>
        <w:rPr>
          <w:rFonts w:ascii="Times New Roman" w:hAnsi="Times New Roman" w:cs="Times New Roman"/>
          <w:noProof/>
        </w:rPr>
        <w:drawing>
          <wp:inline distT="0" distB="0" distL="0" distR="0" wp14:anchorId="37F0756C" wp14:editId="32E2F536">
            <wp:extent cx="4716069" cy="6776977"/>
            <wp:effectExtent l="0" t="0" r="0" b="0"/>
            <wp:docPr id="10794313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431300" name="Picture 1079431300"/>
                    <pic:cNvPicPr/>
                  </pic:nvPicPr>
                  <pic:blipFill>
                    <a:blip r:embed="rId51">
                      <a:extLst>
                        <a:ext uri="{28A0092B-C50C-407E-A947-70E740481C1C}">
                          <a14:useLocalDpi xmlns:a14="http://schemas.microsoft.com/office/drawing/2010/main" val="0"/>
                        </a:ext>
                      </a:extLst>
                    </a:blip>
                    <a:stretch>
                      <a:fillRect/>
                    </a:stretch>
                  </pic:blipFill>
                  <pic:spPr>
                    <a:xfrm>
                      <a:off x="0" y="0"/>
                      <a:ext cx="4723107" cy="6787090"/>
                    </a:xfrm>
                    <a:prstGeom prst="rect">
                      <a:avLst/>
                    </a:prstGeom>
                  </pic:spPr>
                </pic:pic>
              </a:graphicData>
            </a:graphic>
          </wp:inline>
        </w:drawing>
      </w:r>
    </w:p>
    <w:p w14:paraId="2150A196" w14:textId="77777777"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color w:val="000000"/>
        </w:rPr>
        <w:t xml:space="preserve">Figure 32. </w:t>
      </w:r>
      <w:proofErr w:type="spellStart"/>
      <w:r w:rsidRPr="00E7693B">
        <w:rPr>
          <w:rFonts w:ascii="Times New Roman" w:hAnsi="Times New Roman" w:cs="Times New Roman"/>
          <w:i/>
        </w:rPr>
        <w:t>Brevicoryne</w:t>
      </w:r>
      <w:proofErr w:type="spellEnd"/>
      <w:r w:rsidRPr="00E7693B">
        <w:rPr>
          <w:rFonts w:ascii="Times New Roman" w:hAnsi="Times New Roman" w:cs="Times New Roman"/>
          <w:i/>
        </w:rPr>
        <w:t xml:space="preserve"> </w:t>
      </w:r>
      <w:proofErr w:type="spellStart"/>
      <w:r w:rsidRPr="00E7693B">
        <w:rPr>
          <w:rFonts w:ascii="Times New Roman" w:hAnsi="Times New Roman" w:cs="Times New Roman"/>
          <w:i/>
        </w:rPr>
        <w:t>brassicae</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triggers </w:t>
      </w:r>
      <w:r w:rsidRPr="00E7693B">
        <w:rPr>
          <w:rFonts w:ascii="Times New Roman" w:hAnsi="Times New Roman" w:cs="Times New Roman"/>
          <w:i/>
        </w:rPr>
        <w:t>PR1</w:t>
      </w:r>
      <w:r w:rsidRPr="00E7693B">
        <w:rPr>
          <w:rFonts w:ascii="Times New Roman" w:hAnsi="Times New Roman" w:cs="Times New Roman"/>
        </w:rPr>
        <w:t xml:space="preserve"> expression and callose deposition. </w:t>
      </w:r>
      <w:r w:rsidRPr="006B61C5">
        <w:rPr>
          <w:rFonts w:ascii="Times New Roman" w:hAnsi="Times New Roman" w:cs="Times New Roman"/>
          <w:b/>
          <w:bCs/>
        </w:rPr>
        <w:t xml:space="preserve">A: </w:t>
      </w:r>
      <w:r w:rsidRPr="00E7693B">
        <w:rPr>
          <w:rFonts w:ascii="Times New Roman" w:hAnsi="Times New Roman" w:cs="Times New Roman"/>
        </w:rPr>
        <w:t xml:space="preserve">histochemical staining of β-glucuronidase (GUS) activity in leaves of </w:t>
      </w:r>
      <w:r w:rsidRPr="00E7693B">
        <w:rPr>
          <w:rFonts w:ascii="Times New Roman" w:hAnsi="Times New Roman" w:cs="Times New Roman"/>
          <w:i/>
        </w:rPr>
        <w:t>PR1::GUS</w:t>
      </w:r>
      <w:r w:rsidRPr="00E7693B">
        <w:rPr>
          <w:rFonts w:ascii="Times New Roman" w:hAnsi="Times New Roman" w:cs="Times New Roman"/>
        </w:rPr>
        <w:t xml:space="preserve"> at 24, 48 and 72 h post infestation (</w:t>
      </w:r>
      <w:proofErr w:type="spellStart"/>
      <w:r w:rsidRPr="00E7693B">
        <w:rPr>
          <w:rFonts w:ascii="Times New Roman" w:hAnsi="Times New Roman" w:cs="Times New Roman"/>
        </w:rPr>
        <w:t>hpi</w:t>
      </w:r>
      <w:proofErr w:type="spellEnd"/>
      <w:r w:rsidRPr="00E7693B">
        <w:rPr>
          <w:rFonts w:ascii="Times New Roman" w:hAnsi="Times New Roman" w:cs="Times New Roman"/>
        </w:rPr>
        <w:t xml:space="preserve">) by </w:t>
      </w:r>
      <w:r w:rsidRPr="00E7693B">
        <w:rPr>
          <w:rFonts w:ascii="Times New Roman" w:hAnsi="Times New Roman" w:cs="Times New Roman"/>
          <w:i/>
        </w:rPr>
        <w:t xml:space="preserve">B. </w:t>
      </w:r>
      <w:proofErr w:type="spellStart"/>
      <w:r w:rsidRPr="00E7693B">
        <w:rPr>
          <w:rFonts w:ascii="Times New Roman" w:hAnsi="Times New Roman" w:cs="Times New Roman"/>
          <w:i/>
        </w:rPr>
        <w:t>brassicae</w:t>
      </w:r>
      <w:proofErr w:type="spellEnd"/>
      <w:r w:rsidRPr="00E7693B">
        <w:rPr>
          <w:rFonts w:ascii="Times New Roman" w:hAnsi="Times New Roman" w:cs="Times New Roman"/>
        </w:rPr>
        <w:t xml:space="preserve">; </w:t>
      </w:r>
      <w:r w:rsidRPr="006B61C5">
        <w:rPr>
          <w:rFonts w:ascii="Times New Roman" w:hAnsi="Times New Roman" w:cs="Times New Roman"/>
          <w:b/>
          <w:bCs/>
        </w:rPr>
        <w:t>B:</w:t>
      </w:r>
      <w:r w:rsidRPr="00E7693B">
        <w:rPr>
          <w:rFonts w:ascii="Times New Roman" w:hAnsi="Times New Roman" w:cs="Times New Roman"/>
        </w:rPr>
        <w:t xml:space="preserve"> dynamics of </w:t>
      </w:r>
      <w:r w:rsidRPr="00E7693B">
        <w:rPr>
          <w:rFonts w:ascii="Times New Roman" w:hAnsi="Times New Roman" w:cs="Times New Roman"/>
          <w:i/>
        </w:rPr>
        <w:t>PR1::GUS</w:t>
      </w:r>
      <w:r w:rsidRPr="00E7693B">
        <w:rPr>
          <w:rFonts w:ascii="Times New Roman" w:hAnsi="Times New Roman" w:cs="Times New Roman"/>
        </w:rPr>
        <w:t xml:space="preserve"> expression and callose deposition in leaves at 24, 48 and 72 </w:t>
      </w:r>
      <w:proofErr w:type="spellStart"/>
      <w:r w:rsidRPr="00E7693B">
        <w:rPr>
          <w:rFonts w:ascii="Times New Roman" w:hAnsi="Times New Roman" w:cs="Times New Roman"/>
        </w:rPr>
        <w:t>hpi</w:t>
      </w:r>
      <w:proofErr w:type="spellEnd"/>
      <w:r w:rsidRPr="00E7693B">
        <w:rPr>
          <w:rFonts w:ascii="Times New Roman" w:hAnsi="Times New Roman" w:cs="Times New Roman"/>
        </w:rPr>
        <w:t xml:space="preserve"> by </w:t>
      </w:r>
      <w:r w:rsidRPr="00E7693B">
        <w:rPr>
          <w:rFonts w:ascii="Times New Roman" w:hAnsi="Times New Roman" w:cs="Times New Roman"/>
          <w:i/>
        </w:rPr>
        <w:t xml:space="preserve">B. </w:t>
      </w:r>
      <w:proofErr w:type="spellStart"/>
      <w:r w:rsidRPr="00E7693B">
        <w:rPr>
          <w:rFonts w:ascii="Times New Roman" w:hAnsi="Times New Roman" w:cs="Times New Roman"/>
          <w:i/>
        </w:rPr>
        <w:t>brassicae</w:t>
      </w:r>
      <w:proofErr w:type="spellEnd"/>
      <w:r w:rsidRPr="00E7693B">
        <w:rPr>
          <w:rFonts w:ascii="Times New Roman" w:hAnsi="Times New Roman" w:cs="Times New Roman"/>
        </w:rPr>
        <w:t>; yellow arrows indicate the sites of stylet insertion, blue arrows point to deposited callose; scale bar = 100 µm.</w:t>
      </w:r>
    </w:p>
    <w:p w14:paraId="2150A197" w14:textId="77777777" w:rsidR="00E7693B" w:rsidRPr="00E7693B" w:rsidRDefault="00E7693B" w:rsidP="00EC70C2">
      <w:pPr>
        <w:pStyle w:val="Heading3"/>
      </w:pPr>
      <w:bookmarkStart w:id="78" w:name="_Toc167977645"/>
      <w:r w:rsidRPr="00E7693B">
        <w:t>Discussion</w:t>
      </w:r>
      <w:bookmarkEnd w:id="78"/>
    </w:p>
    <w:p w14:paraId="2150A198" w14:textId="77777777" w:rsidR="00E7693B" w:rsidRPr="00CF0A23" w:rsidRDefault="00E7693B" w:rsidP="00CF0A23">
      <w:pPr>
        <w:spacing w:after="0" w:line="360" w:lineRule="auto"/>
        <w:jc w:val="both"/>
        <w:rPr>
          <w:rFonts w:ascii="Times New Roman" w:hAnsi="Times New Roman" w:cs="Times New Roman"/>
          <w:sz w:val="24"/>
          <w:szCs w:val="24"/>
        </w:rPr>
      </w:pPr>
    </w:p>
    <w:p w14:paraId="2150A199" w14:textId="312A50A6" w:rsidR="00E7693B" w:rsidRPr="00CF0A23" w:rsidRDefault="00E7693B" w:rsidP="00CF0A23">
      <w:pPr>
        <w:pBdr>
          <w:top w:val="nil"/>
          <w:left w:val="nil"/>
          <w:bottom w:val="nil"/>
          <w:right w:val="nil"/>
          <w:between w:val="nil"/>
        </w:pBdr>
        <w:spacing w:after="0" w:line="360" w:lineRule="auto"/>
        <w:ind w:firstLine="567"/>
        <w:jc w:val="both"/>
        <w:rPr>
          <w:rFonts w:ascii="Times New Roman" w:hAnsi="Times New Roman" w:cs="Times New Roman"/>
          <w:color w:val="000000"/>
          <w:sz w:val="24"/>
          <w:szCs w:val="24"/>
        </w:rPr>
      </w:pPr>
      <w:r w:rsidRPr="00CF0A23">
        <w:rPr>
          <w:rFonts w:ascii="Times New Roman" w:hAnsi="Times New Roman" w:cs="Times New Roman"/>
          <w:color w:val="000000"/>
          <w:sz w:val="24"/>
          <w:szCs w:val="24"/>
        </w:rPr>
        <w:t>The spatial dynamics of defence response triggering in leaf tissues in response to aphid feeding remains rather enigmatic. Despite an increasing amount of data, the sensitivity and accuracy of transcriptome studies is largely limited by various factors: (</w:t>
      </w:r>
      <w:proofErr w:type="spellStart"/>
      <w:r w:rsidRPr="00CF0A23">
        <w:rPr>
          <w:rFonts w:ascii="Times New Roman" w:hAnsi="Times New Roman" w:cs="Times New Roman"/>
          <w:color w:val="000000"/>
          <w:sz w:val="24"/>
          <w:szCs w:val="24"/>
        </w:rPr>
        <w:t>i</w:t>
      </w:r>
      <w:proofErr w:type="spellEnd"/>
      <w:r w:rsidRPr="00CF0A23">
        <w:rPr>
          <w:rFonts w:ascii="Times New Roman" w:hAnsi="Times New Roman" w:cs="Times New Roman"/>
          <w:color w:val="000000"/>
          <w:sz w:val="24"/>
          <w:szCs w:val="24"/>
        </w:rPr>
        <w:t xml:space="preserve">) sample preparation, as a certain amount of leaf tissues needs to be homogenized, (ii) highly heterogeneous infestation due to the distinct number of individuals feeding on the leaf, (iii) different methods of sampling between studies. Several studies reported the induction of SA and JA </w:t>
      </w:r>
      <w:proofErr w:type="spellStart"/>
      <w:r w:rsidRPr="00CF0A23">
        <w:rPr>
          <w:rFonts w:ascii="Times New Roman" w:hAnsi="Times New Roman" w:cs="Times New Roman"/>
          <w:color w:val="000000"/>
          <w:sz w:val="24"/>
          <w:szCs w:val="24"/>
        </w:rPr>
        <w:t>signaling</w:t>
      </w:r>
      <w:proofErr w:type="spellEnd"/>
      <w:r w:rsidRPr="00CF0A23">
        <w:rPr>
          <w:rFonts w:ascii="Times New Roman" w:hAnsi="Times New Roman" w:cs="Times New Roman"/>
          <w:color w:val="000000"/>
          <w:sz w:val="24"/>
          <w:szCs w:val="24"/>
        </w:rPr>
        <w:t xml:space="preserve"> responses during the aphid infestation </w:t>
      </w:r>
      <w:r w:rsidR="000531F9">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{"citationID":"QfPXzN5k","properties":{"formattedCitation":"(De Vos et al., 2005; Moran and Thompson, 2001)","plainCitation":"(De Vos et al., 2005; Moran and Thompson, 2001)","noteIndex":0},"citationItems":[{"id":101,"uris":["http://zotero.org/users/10895598/items/GZMZQY7M"],"itemData":{"id":101,"type":"article-journal","abstract":"Plant defenses against pathogens and insects are regulated differentially by cross-communicating signaling pathways in which salicylic acid (SA), jasmonic acid (JA), and ethylene (ET) play key roles. To understand how plants integrate pathogen- and insect-induced signals into specific defense responses, we monitored the dynamics of SA, JA, and ET signaling in Arabidopsis after attack by a set of microbial pathogens and herbivorous insects with different modes of attack. Arabidopsis plants were exposed to a pathogenic leaf bacterium (Pseudomonas syringae pv. tomato), a pathogenic leaf fungus (Alternaria brassicicola), tissue-chewing caterpillars (Pieris rapae), cell-content-feeding thrips (Frankliniella occidentalis), or phloem-feeding aphids (Myzus persicae). Monitoring the signal signature in each plant-attacker combination showed that the kinetics of SA, JA, and ET production varies greatly in both quantity and timing. Analysis of global gene expression profiles demonstrated that the signal signature characteristic of each Arabidopsis-attacker combination is orchestrated into a surprisingly complex set of transcriptional alterations in which, in all cases, stress-related genes are overrepresented. Comparison of the transcript profiles revealed that consistent changes induced by pathogens and insects with very different modes of attack can show considerable overlap. Of all consistent changes induced by A. brassicicola, Pieris rapae, and F. occidentalis, more than 50% also were induced consistently by P. syringae. Notably, although these four attackers all stimulated JA biosynthesis, the majority of the changes in JA-responsive gene expression were attacker specific. All together, our study shows that SA, JA, and ET play a primary role in the orchestration of the plant's defense response, but other regulatory mechanisms, such as pathway cross-talk or additional attacker-induced signals, eventually shape the highly complex attacker-specific defense response.","container-title":"Molecular Plant-Microbe Interactions®","DOI":"10.1094/MPMI-18-0923","ISSN":"0894-0282, 1943-7706","issue":"9","journalAbbreviation":"MPMI","language":"en","page":"923-937","source":"DOI.org (Crossref)","title":"Signal signature and transcriptome changes of &lt;i&gt;Arabidopsis&lt;/i&gt; during pathogen and insect attack","volume":"18","author":[{"family":"De Vos","given":"Martin"},{"family":"Van Oosten","given":"Vivian R."},{"family":"Van Poecke","given":"Remco M. P."},{"family":"Van Pelt","given":"Johan A."},{"family":"Pozo","given":"Maria J."},{"family":"Mueller","given":"Martin J."},{"family":"Buchala","given":"Antony J."},{"family":"Métraux","given":"Jean-Pierre"},{"family":"Van Loon","given":"L. C."},{"family":"Dicke","given":"Marcel"},{"family":"Pieterse","given":"Corné M. J."}],"issued":{"date-parts":[["2005",9]]}}},{"id":99,"uris":["http://zotero.org/users/10895598/items/6MJDSS5N"],"itemData":{"id":99,"type":"article-journal","container-title":"Plant Physiology","DOI":"10.1104/pp.125.2.1074","ISSN":"0032-0889, 1532-2548","issue":"2","journalAbbreviation":"Plant Physiol.","language":"en","page":"1074-1085","source":"DOI.org (Crossref)","title":"Molecular responses to aphid feeding in &lt;i&gt;Arabidopsis&lt;/i&gt; in relation to plant defense pathways","volume":"125","author":[{"family":"Moran","given":"Patrick J."},{"family":"Thompson","given":"Gary A."}],"issued":{"date-parts":[["2001",2,1]]}}}],"schema":"https://github.com/citation-style-language/schema/raw/master/csl-citation.json"} </w:instrText>
      </w:r>
      <w:r w:rsidR="000531F9">
        <w:rPr>
          <w:rFonts w:ascii="Times New Roman" w:hAnsi="Times New Roman" w:cs="Times New Roman"/>
          <w:color w:val="000000"/>
          <w:sz w:val="24"/>
          <w:szCs w:val="24"/>
        </w:rPr>
        <w:fldChar w:fldCharType="separate"/>
      </w:r>
      <w:r w:rsidR="000531F9" w:rsidRPr="000531F9">
        <w:rPr>
          <w:rFonts w:ascii="Times New Roman" w:hAnsi="Times New Roman" w:cs="Times New Roman"/>
          <w:sz w:val="24"/>
        </w:rPr>
        <w:t>(De Vos et al., 2005; Moran and Thompson, 2001)</w:t>
      </w:r>
      <w:r w:rsidR="000531F9">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while attackers differing in a range of host plants, </w:t>
      </w:r>
      <w:r w:rsidRPr="00CF0A23">
        <w:rPr>
          <w:rFonts w:ascii="Times New Roman" w:hAnsi="Times New Roman" w:cs="Times New Roman"/>
          <w:i/>
          <w:color w:val="000000"/>
          <w:sz w:val="24"/>
          <w:szCs w:val="24"/>
        </w:rPr>
        <w:t>i.e.</w:t>
      </w:r>
      <w:r w:rsidRPr="00CF0A23">
        <w:rPr>
          <w:rFonts w:ascii="Times New Roman" w:hAnsi="Times New Roman" w:cs="Times New Roman"/>
          <w:color w:val="000000"/>
          <w:sz w:val="24"/>
          <w:szCs w:val="24"/>
        </w:rPr>
        <w:t xml:space="preserve"> specialists or generalists trigger distinct changes in plant transcriptome </w:t>
      </w:r>
      <w:r w:rsidR="000531F9">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{"citationID":"mMw4Harr","properties":{"formattedCitation":"(Ku\\uc0\\u347{}nierczyk et al., 2007; Mewis et al., 2005; Moran et al., 2002)","plainCitation":"(Kuśnierczyk et al., 2007; Mewis et al., 2005; Moran et al., 2002)","noteIndex":0},"citationItems":[{"id":97,"uris":["http://zotero.org/users/10895598/items/VMVQS5DZ"],"itemData":{"id":97,"type":"article-journal","container-title":"Journal of Experimental Botany","DOI":"10.1093/jxb/erm043","ISSN":"1460-2431, 0022-0957","issue":"10","language":"en","page":"2537-2552","source":"DOI.org (Crossref)","title":"Transcriptional responses of &lt;i&gt;Arabidopsis thaliana&lt;/i&gt; ecotypes with different glucosinolate profiles after attack by polyphagous &lt;i&gt;Myzus persicae&lt;/i&gt; and oligophagous &lt;i&gt;Brevicoryne brassicae&lt;/i&gt;","volume":"58","author":[{"family":"Kuśnierczyk","given":"Anna"},{"family":"Winge","given":"Per"},{"family":"Midelfart","given":"Herman"},{"family":"Armbruster","given":"W. Scott"},{"family":"Rossiter","given":"John T."},{"family":"Bones","given":"Atle Magnar"}],"issued":{"date-parts":[["2007",7]]}}},{"id":105,"uris":["http://zotero.org/users/10895598/items/AYZHDDEL"],"itemData":{"id":105,"type":"article-journal","container-title":"Plant Physiology","DOI":"10.1104/pp.104.053389","ISSN":"0032-0889, 1532-2548","issue":"2","journalAbbreviation":"Plant Physiol.","language":"en","page":"1149-1162","source":"DOI.org (Crossref)","title":"Major signaling pathways modulate Arabidopsis glucosinolate accumulation and response to both phloem-feeding and chewing insects","volume":"138","author":[{"family":"Mewis","given":"Inga"},{"family":"Appel","given":"Heidi M."},{"family":"Hom","given":"Amanda"},{"family":"Raina","given":"Ramesh"},{"family":"Schultz","given":"Jack C."}],"issued":{"date-parts":[["2005",6]]}}},{"id":116,"uris":["http://zotero.org/users/10895598/items/NYVBML5Q"],"itemData":{"id":116,"type":"article-journal","container-title":"Archives of Insect Biochemistry and Physiology","DOI":"10.1002/arch.10064","ISSN":"0739-4462, 1520-6327","issue":"4","journalAbbreviation":"Arch. Insect Biochem. Physiol.","language":"en","page":"182-203","source":"DOI.org (Crossref)","title":"Gene expression profiling of &lt;i&gt;Arabidopsis thaliana&lt;/i&gt; in compatible plant-aphid interactions","volume":"51","author":[{"family":"Moran","given":"Patrick J."},{"family":"Cheng","given":"Youfa"},{"family":"Cassell","given":"Jeffery L."},{"family":"Thompson","given":"Gary A."}],"issued":{"date-parts":[["2002",12]]}}}],"schema":"https://github.com/citation-style-language/schema/raw/master/csl-citation.json"} </w:instrText>
      </w:r>
      <w:r w:rsidR="000531F9">
        <w:rPr>
          <w:rFonts w:ascii="Times New Roman" w:hAnsi="Times New Roman" w:cs="Times New Roman"/>
          <w:color w:val="000000"/>
          <w:sz w:val="24"/>
          <w:szCs w:val="24"/>
        </w:rPr>
        <w:fldChar w:fldCharType="separate"/>
      </w:r>
      <w:r w:rsidR="000531F9" w:rsidRPr="000531F9">
        <w:rPr>
          <w:rFonts w:ascii="Times New Roman" w:hAnsi="Times New Roman" w:cs="Times New Roman"/>
          <w:sz w:val="24"/>
          <w:szCs w:val="24"/>
        </w:rPr>
        <w:t>(Kuśnierczyk et al., 2007; Mewis et al., 2005; Moran et al., 2002)</w:t>
      </w:r>
      <w:r w:rsidR="000531F9">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On the other hand, some of the studies reported changes in gene transcription when sampling the whole rosettes of </w:t>
      </w:r>
      <w:r w:rsidRPr="00CF0A23">
        <w:rPr>
          <w:rFonts w:ascii="Times New Roman" w:hAnsi="Times New Roman" w:cs="Times New Roman"/>
          <w:i/>
          <w:color w:val="000000"/>
          <w:sz w:val="24"/>
          <w:szCs w:val="24"/>
        </w:rPr>
        <w:t>Arabidopsis</w:t>
      </w:r>
      <w:r w:rsidRPr="00CF0A23">
        <w:rPr>
          <w:rFonts w:ascii="Times New Roman" w:hAnsi="Times New Roman" w:cs="Times New Roman"/>
          <w:color w:val="000000"/>
          <w:sz w:val="24"/>
          <w:szCs w:val="24"/>
        </w:rPr>
        <w:t xml:space="preserve"> </w:t>
      </w:r>
      <w:r w:rsidR="000531F9">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{"citationID":"vPd5juG8","properties":{"formattedCitation":"(Ku\\uc0\\u347{}nierczyk et al., 2008; Mewis et al., 2005; Onkokesung et al., 2019)","plainCitation":"(Kuśnierczyk et al., 2008; Mewis et al., 2005; Onkokesung et al., 2019)","noteIndex":0},"citationItems":[{"id":104,"uris":["http://zotero.org/users/10895598/items/CDZ55Y65"],"itemData":{"id":104,"type":"article-journal","container-title":"Plant, Cell &amp; Environment","DOI":"10.1111/j.1365-3040.2008.01823.x","ISSN":"01407791, 13653040","issue":"8","language":"en","page":"1097-1115","source":"DOI.org (Crossref)","title":"Towards global understanding of plant defence against aphids timing and dynamics of early &lt;i&gt;Arabidopsis&lt;/i&gt; defence responses to cabbage aphid (&lt;i&gt;Brevicoryne brassicae&lt;/i&gt;) attack","volume":"31","author":[{"family":"Kuśnierczyk","given":"Anna"},{"family":"Winge","given":"Per"},{"family":"Jrstad","given":"Tommy S."},{"family":"Troczyska","given":"Joanna"},{"family":"Rossiter","given":"John T."},{"family":"Bones","given":"Atle M."}],"issued":{"date-parts":[["2008",8]]}}},{"id":105,"uris":["http://zotero.org/users/10895598/items/AYZHDDEL"],"itemData":{"id":105,"type":"article-journal","container-title":"Plant Physiology","DOI":"10.1104/pp.104.053389","ISSN":"0032-0889, 1532-2548","issue":"2","journalAbbreviation":"Plant Physiol.","language":"en","page":"1149-1162","source":"DOI.org (Crossref)","title":"Major signaling pathways modulate Arabidopsis glucosinolate accumulation and response to both phloem-feeding and chewing insects","volume":"138","author":[{"family":"Mewis","given":"Inga"},{"family":"Appel","given":"Heidi M."},{"family":"Hom","given":"Amanda"},{"family":"Raina","given":"Ramesh"},{"family":"Schultz","given":"Jack C."}],"issued":{"date-parts":[["2005",6]]}}},{"id":127,"uris":["http://zotero.org/users/10895598/items/6E2G3VYT"],"itemData":{"id":127,"type":"article-journal","container-title":"Plant, Cell &amp; Environment","DOI":"10.1111/pce.13538","ISSN":"0140-7791, 1365-3040","issue":"7","journalAbbreviation":"Plant Cell Environ","language":"en","page":"2309-2323","source":"DOI.org (Crossref)","title":"The plastidial metabolite 2‐&lt;i&gt;C&lt;/i&gt;‐methyl‐&lt;i&gt;D&lt;/i&gt;‐erythritol‐2,4-cyclodiphosphate modulates defence responses against aphids","volume":"42","author":[{"family":"Onkokesung","given":"Nawaporn"},{"family":"Reichelt","given":"Michael"},{"family":"Wright","given":"Louwrance P."},{"family":"Phillips","given":"Michael A."},{"family":"Gershenzon","given":"Jonathan"},{"family":"Dicke","given":"Marcel"}],"issued":{"date-parts":[["2019",7]]}}}],"schema":"https://github.com/citation-style-language/schema/raw/master/csl-citation.json"} </w:instrText>
      </w:r>
      <w:r w:rsidR="000531F9">
        <w:rPr>
          <w:rFonts w:ascii="Times New Roman" w:hAnsi="Times New Roman" w:cs="Times New Roman"/>
          <w:color w:val="000000"/>
          <w:sz w:val="24"/>
          <w:szCs w:val="24"/>
        </w:rPr>
        <w:fldChar w:fldCharType="separate"/>
      </w:r>
      <w:r w:rsidR="000531F9" w:rsidRPr="000531F9">
        <w:rPr>
          <w:rFonts w:ascii="Times New Roman" w:hAnsi="Times New Roman" w:cs="Times New Roman"/>
          <w:sz w:val="24"/>
          <w:szCs w:val="24"/>
        </w:rPr>
        <w:t>(Kuśnierczyk et al., 2008; Mewis et al., 2005; Onkokesung et al., 2019)</w:t>
      </w:r>
      <w:r w:rsidR="000531F9">
        <w:rPr>
          <w:rFonts w:ascii="Times New Roman" w:hAnsi="Times New Roman" w:cs="Times New Roman"/>
          <w:color w:val="000000"/>
          <w:sz w:val="24"/>
          <w:szCs w:val="24"/>
        </w:rPr>
        <w:fldChar w:fldCharType="end"/>
      </w:r>
      <w:r w:rsidR="000531F9">
        <w:rPr>
          <w:rFonts w:ascii="Times New Roman" w:hAnsi="Times New Roman" w:cs="Times New Roman"/>
          <w:color w:val="000000"/>
          <w:sz w:val="24"/>
          <w:szCs w:val="24"/>
        </w:rPr>
        <w:t xml:space="preserve"> </w:t>
      </w:r>
      <w:r w:rsidRPr="00CF0A23">
        <w:rPr>
          <w:rFonts w:ascii="Times New Roman" w:hAnsi="Times New Roman" w:cs="Times New Roman"/>
          <w:color w:val="000000"/>
          <w:sz w:val="24"/>
          <w:szCs w:val="24"/>
        </w:rPr>
        <w:t>or the individual aphid-infested leaves (</w:t>
      </w:r>
      <w:proofErr w:type="spellStart"/>
      <w:r w:rsidRPr="00CF0A23">
        <w:rPr>
          <w:rFonts w:ascii="Times New Roman" w:hAnsi="Times New Roman" w:cs="Times New Roman"/>
          <w:color w:val="000000"/>
          <w:sz w:val="24"/>
          <w:szCs w:val="24"/>
        </w:rPr>
        <w:t>Kuśnierczyk</w:t>
      </w:r>
      <w:proofErr w:type="spellEnd"/>
      <w:r w:rsidRPr="00CF0A23">
        <w:rPr>
          <w:rFonts w:ascii="Times New Roman" w:hAnsi="Times New Roman" w:cs="Times New Roman"/>
          <w:color w:val="000000"/>
          <w:sz w:val="24"/>
          <w:szCs w:val="24"/>
        </w:rPr>
        <w:t xml:space="preserve"> et al. 2007; Moran et al. 2002; Moran and Thompson 2001). However, feeding aphids are not homogenously dispersed on the leaf, but mostly localize along the veins, that might introduce a significant bias into sampling.</w:t>
      </w:r>
    </w:p>
    <w:p w14:paraId="2150A19A" w14:textId="7A5944CC" w:rsidR="00E7693B" w:rsidRPr="00CF0A23" w:rsidRDefault="00E7693B" w:rsidP="00CF0A23">
      <w:pPr>
        <w:pBdr>
          <w:top w:val="nil"/>
          <w:left w:val="nil"/>
          <w:bottom w:val="nil"/>
          <w:right w:val="nil"/>
          <w:between w:val="nil"/>
        </w:pBdr>
        <w:spacing w:after="0" w:line="360" w:lineRule="auto"/>
        <w:ind w:firstLine="567"/>
        <w:jc w:val="both"/>
        <w:rPr>
          <w:rFonts w:ascii="Times New Roman" w:hAnsi="Times New Roman" w:cs="Times New Roman"/>
          <w:color w:val="000000"/>
          <w:sz w:val="24"/>
          <w:szCs w:val="24"/>
        </w:rPr>
      </w:pPr>
      <w:bookmarkStart w:id="79" w:name="_heading=h.4h042r0" w:colFirst="0" w:colLast="0"/>
      <w:bookmarkEnd w:id="79"/>
      <w:r w:rsidRPr="00CF0A23">
        <w:rPr>
          <w:rFonts w:ascii="Times New Roman" w:hAnsi="Times New Roman" w:cs="Times New Roman"/>
          <w:color w:val="000000"/>
          <w:sz w:val="24"/>
          <w:szCs w:val="24"/>
        </w:rPr>
        <w:t>Changes in the transcription of the gene involved in SA synthesis (</w:t>
      </w:r>
      <w:r w:rsidRPr="00CF0A23">
        <w:rPr>
          <w:rFonts w:ascii="Times New Roman" w:hAnsi="Times New Roman" w:cs="Times New Roman"/>
          <w:i/>
          <w:color w:val="000000"/>
          <w:sz w:val="24"/>
          <w:szCs w:val="24"/>
        </w:rPr>
        <w:t>ICS1)</w:t>
      </w:r>
      <w:r w:rsidRPr="00CF0A23">
        <w:rPr>
          <w:rFonts w:ascii="Times New Roman" w:hAnsi="Times New Roman" w:cs="Times New Roman"/>
          <w:color w:val="000000"/>
          <w:sz w:val="24"/>
          <w:szCs w:val="24"/>
        </w:rPr>
        <w:t xml:space="preserve"> and stress-responsive SA-related genes (</w:t>
      </w:r>
      <w:r w:rsidRPr="00CF0A23">
        <w:rPr>
          <w:rFonts w:ascii="Times New Roman" w:hAnsi="Times New Roman" w:cs="Times New Roman"/>
          <w:i/>
          <w:color w:val="000000"/>
          <w:sz w:val="24"/>
          <w:szCs w:val="24"/>
        </w:rPr>
        <w:t>PR1, PR2, PR5</w:t>
      </w:r>
      <w:r w:rsidRPr="00CF0A23">
        <w:rPr>
          <w:rFonts w:ascii="Times New Roman" w:hAnsi="Times New Roman" w:cs="Times New Roman"/>
          <w:color w:val="000000"/>
          <w:sz w:val="24"/>
          <w:szCs w:val="24"/>
        </w:rPr>
        <w:t>) were detected already at 24 h after</w:t>
      </w:r>
      <w:r w:rsidRPr="00CF0A23">
        <w:rPr>
          <w:rFonts w:ascii="Times New Roman" w:hAnsi="Times New Roman" w:cs="Times New Roman"/>
          <w:i/>
          <w:color w:val="000000"/>
          <w:sz w:val="24"/>
          <w:szCs w:val="24"/>
        </w:rPr>
        <w:t xml:space="preserve"> B. </w:t>
      </w:r>
      <w:proofErr w:type="spellStart"/>
      <w:r w:rsidRPr="00CF0A23">
        <w:rPr>
          <w:rFonts w:ascii="Times New Roman" w:hAnsi="Times New Roman" w:cs="Times New Roman"/>
          <w:i/>
          <w:color w:val="000000"/>
          <w:sz w:val="24"/>
          <w:szCs w:val="24"/>
        </w:rPr>
        <w:t>brassicae</w:t>
      </w:r>
      <w:proofErr w:type="spellEnd"/>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 xml:space="preserve">infestation comparing to non-infested control; however, the values were quite heterogeneous, which might relate to different number of individuals feeding together on the same site. </w:t>
      </w:r>
      <w:r w:rsidRPr="00CF0A23">
        <w:rPr>
          <w:rFonts w:ascii="Times New Roman" w:hAnsi="Times New Roman" w:cs="Times New Roman"/>
          <w:i/>
          <w:color w:val="000000"/>
          <w:sz w:val="24"/>
          <w:szCs w:val="24"/>
        </w:rPr>
        <w:t>ICS1</w:t>
      </w:r>
      <w:r w:rsidRPr="00CF0A23">
        <w:rPr>
          <w:rFonts w:ascii="Times New Roman" w:hAnsi="Times New Roman" w:cs="Times New Roman"/>
          <w:color w:val="000000"/>
          <w:sz w:val="24"/>
          <w:szCs w:val="24"/>
        </w:rPr>
        <w:t xml:space="preserve"> was significantly induced already at 24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and </w:t>
      </w:r>
      <w:r w:rsidRPr="00CF0A23">
        <w:rPr>
          <w:rFonts w:ascii="Times New Roman" w:hAnsi="Times New Roman" w:cs="Times New Roman"/>
          <w:i/>
          <w:color w:val="000000"/>
          <w:sz w:val="24"/>
          <w:szCs w:val="24"/>
        </w:rPr>
        <w:t>ICS2</w:t>
      </w:r>
      <w:r w:rsidRPr="00CF0A23">
        <w:rPr>
          <w:rFonts w:ascii="Times New Roman" w:hAnsi="Times New Roman" w:cs="Times New Roman"/>
          <w:color w:val="000000"/>
          <w:sz w:val="24"/>
          <w:szCs w:val="24"/>
        </w:rPr>
        <w:t xml:space="preserve"> only from 48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suggesting that this gene is rather involved in maintaining than in the establishment of the response. Regarding the </w:t>
      </w:r>
      <w:r w:rsidRPr="00CF0A23">
        <w:rPr>
          <w:rFonts w:ascii="Times New Roman" w:hAnsi="Times New Roman" w:cs="Times New Roman"/>
          <w:i/>
          <w:color w:val="000000"/>
          <w:sz w:val="24"/>
          <w:szCs w:val="24"/>
        </w:rPr>
        <w:t xml:space="preserve">PR1 </w:t>
      </w:r>
      <w:r w:rsidRPr="00CF0A23">
        <w:rPr>
          <w:rFonts w:ascii="Times New Roman" w:hAnsi="Times New Roman" w:cs="Times New Roman"/>
          <w:color w:val="000000"/>
          <w:sz w:val="24"/>
          <w:szCs w:val="24"/>
        </w:rPr>
        <w:t xml:space="preserve">gene, previous studies by </w:t>
      </w:r>
      <w:proofErr w:type="spellStart"/>
      <w:r w:rsidRPr="00CF0A23">
        <w:rPr>
          <w:rFonts w:ascii="Times New Roman" w:hAnsi="Times New Roman" w:cs="Times New Roman"/>
          <w:color w:val="000000"/>
          <w:sz w:val="24"/>
          <w:szCs w:val="24"/>
        </w:rPr>
        <w:t>Kuśnierczyk</w:t>
      </w:r>
      <w:proofErr w:type="spellEnd"/>
      <w:r w:rsidRPr="00CF0A23">
        <w:rPr>
          <w:rFonts w:ascii="Times New Roman" w:hAnsi="Times New Roman" w:cs="Times New Roman"/>
          <w:color w:val="000000"/>
          <w:sz w:val="24"/>
          <w:szCs w:val="24"/>
        </w:rPr>
        <w:t xml:space="preserve"> and colleagues also reported the strong induction at 72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by a specialist aphid (</w:t>
      </w:r>
      <w:proofErr w:type="spellStart"/>
      <w:r w:rsidRPr="00CF0A23">
        <w:rPr>
          <w:rFonts w:ascii="Times New Roman" w:hAnsi="Times New Roman" w:cs="Times New Roman"/>
          <w:color w:val="000000"/>
          <w:sz w:val="24"/>
          <w:szCs w:val="24"/>
        </w:rPr>
        <w:t>Kuśnierczyk</w:t>
      </w:r>
      <w:proofErr w:type="spellEnd"/>
      <w:r w:rsidRPr="00CF0A23">
        <w:rPr>
          <w:rFonts w:ascii="Times New Roman" w:hAnsi="Times New Roman" w:cs="Times New Roman"/>
          <w:color w:val="000000"/>
          <w:sz w:val="24"/>
          <w:szCs w:val="24"/>
        </w:rPr>
        <w:t xml:space="preserve"> et al. 2008, 2007; Moran et al. 2002). However, </w:t>
      </w:r>
      <w:r w:rsidRPr="00CF0A23">
        <w:rPr>
          <w:rFonts w:ascii="Times New Roman" w:hAnsi="Times New Roman" w:cs="Times New Roman"/>
          <w:i/>
          <w:color w:val="000000"/>
          <w:sz w:val="24"/>
          <w:szCs w:val="24"/>
        </w:rPr>
        <w:t xml:space="preserve">PR1 </w:t>
      </w:r>
      <w:r w:rsidRPr="00CF0A23">
        <w:rPr>
          <w:rFonts w:ascii="Times New Roman" w:hAnsi="Times New Roman" w:cs="Times New Roman"/>
          <w:color w:val="000000"/>
          <w:sz w:val="24"/>
          <w:szCs w:val="24"/>
        </w:rPr>
        <w:t xml:space="preserve">fold change </w:t>
      </w:r>
      <w:r w:rsidR="00544355">
        <w:rPr>
          <w:rFonts w:ascii="Times New Roman" w:hAnsi="Times New Roman" w:cs="Times New Roman"/>
          <w:color w:val="000000"/>
          <w:sz w:val="24"/>
          <w:szCs w:val="24"/>
        </w:rPr>
        <w:t xml:space="preserve">presented here </w:t>
      </w:r>
      <w:r w:rsidRPr="00CF0A23">
        <w:rPr>
          <w:rFonts w:ascii="Times New Roman" w:hAnsi="Times New Roman" w:cs="Times New Roman"/>
          <w:color w:val="000000"/>
          <w:sz w:val="24"/>
          <w:szCs w:val="24"/>
        </w:rPr>
        <w:t xml:space="preserve">was considerably higher, likely due to the analysis of leaf discs closely surrounding the feeding sites, whereas other researchers focused on the analysis of whole leaves or even rosettes. </w:t>
      </w:r>
      <w:proofErr w:type="spellStart"/>
      <w:r w:rsidRPr="00CF0A23">
        <w:rPr>
          <w:rFonts w:ascii="Times New Roman" w:hAnsi="Times New Roman" w:cs="Times New Roman"/>
          <w:color w:val="000000"/>
          <w:sz w:val="24"/>
          <w:szCs w:val="24"/>
        </w:rPr>
        <w:t>Kuśnierczyk</w:t>
      </w:r>
      <w:proofErr w:type="spellEnd"/>
      <w:r w:rsidRPr="00CF0A23">
        <w:rPr>
          <w:rFonts w:ascii="Times New Roman" w:hAnsi="Times New Roman" w:cs="Times New Roman"/>
          <w:color w:val="000000"/>
          <w:sz w:val="24"/>
          <w:szCs w:val="24"/>
        </w:rPr>
        <w:t xml:space="preserve"> et al. (2007) infested three different ecotypes of </w:t>
      </w:r>
      <w:r w:rsidRPr="00CF0A23">
        <w:rPr>
          <w:rFonts w:ascii="Times New Roman" w:hAnsi="Times New Roman" w:cs="Times New Roman"/>
          <w:i/>
          <w:color w:val="000000"/>
          <w:sz w:val="24"/>
          <w:szCs w:val="24"/>
        </w:rPr>
        <w:t>A.</w:t>
      </w:r>
      <w:r w:rsidR="00FC2845">
        <w:rPr>
          <w:rFonts w:ascii="Times New Roman" w:hAnsi="Times New Roman" w:cs="Times New Roman"/>
          <w:i/>
          <w:color w:val="000000"/>
          <w:sz w:val="24"/>
          <w:szCs w:val="24"/>
        </w:rPr>
        <w:t> </w:t>
      </w:r>
      <w:r w:rsidRPr="00CF0A23">
        <w:rPr>
          <w:rFonts w:ascii="Times New Roman" w:hAnsi="Times New Roman" w:cs="Times New Roman"/>
          <w:i/>
          <w:color w:val="000000"/>
          <w:sz w:val="24"/>
          <w:szCs w:val="24"/>
        </w:rPr>
        <w:t xml:space="preserve">thaliana </w:t>
      </w:r>
      <w:r w:rsidRPr="00CF0A23">
        <w:rPr>
          <w:rFonts w:ascii="Times New Roman" w:hAnsi="Times New Roman" w:cs="Times New Roman"/>
          <w:color w:val="000000"/>
          <w:sz w:val="24"/>
          <w:szCs w:val="24"/>
        </w:rPr>
        <w:t>(</w:t>
      </w:r>
      <w:proofErr w:type="spellStart"/>
      <w:r w:rsidRPr="00CF0A23">
        <w:rPr>
          <w:rFonts w:ascii="Times New Roman" w:hAnsi="Times New Roman" w:cs="Times New Roman"/>
          <w:color w:val="000000"/>
          <w:sz w:val="24"/>
          <w:szCs w:val="24"/>
        </w:rPr>
        <w:t>Ws</w:t>
      </w:r>
      <w:proofErr w:type="spellEnd"/>
      <w:r w:rsidRPr="00CF0A23">
        <w:rPr>
          <w:rFonts w:ascii="Times New Roman" w:hAnsi="Times New Roman" w:cs="Times New Roman"/>
          <w:color w:val="000000"/>
          <w:sz w:val="24"/>
          <w:szCs w:val="24"/>
        </w:rPr>
        <w:t xml:space="preserve">, </w:t>
      </w:r>
      <w:proofErr w:type="spellStart"/>
      <w:r w:rsidRPr="00CF0A23">
        <w:rPr>
          <w:rFonts w:ascii="Times New Roman" w:hAnsi="Times New Roman" w:cs="Times New Roman"/>
          <w:color w:val="000000"/>
          <w:sz w:val="24"/>
          <w:szCs w:val="24"/>
        </w:rPr>
        <w:t>Cvi</w:t>
      </w:r>
      <w:proofErr w:type="spellEnd"/>
      <w:r w:rsidRPr="00CF0A23">
        <w:rPr>
          <w:rFonts w:ascii="Times New Roman" w:hAnsi="Times New Roman" w:cs="Times New Roman"/>
          <w:color w:val="000000"/>
          <w:sz w:val="24"/>
          <w:szCs w:val="24"/>
        </w:rPr>
        <w:t xml:space="preserve"> and Ler) with </w:t>
      </w:r>
      <w:r w:rsidRPr="00CF0A23">
        <w:rPr>
          <w:rFonts w:ascii="Times New Roman" w:hAnsi="Times New Roman" w:cs="Times New Roman"/>
          <w:i/>
          <w:color w:val="000000"/>
          <w:sz w:val="24"/>
          <w:szCs w:val="24"/>
        </w:rPr>
        <w:t xml:space="preserve">B. </w:t>
      </w:r>
      <w:proofErr w:type="spellStart"/>
      <w:r w:rsidRPr="00CF0A23">
        <w:rPr>
          <w:rFonts w:ascii="Times New Roman" w:hAnsi="Times New Roman" w:cs="Times New Roman"/>
          <w:i/>
          <w:color w:val="000000"/>
          <w:sz w:val="24"/>
          <w:szCs w:val="24"/>
        </w:rPr>
        <w:t>brassicae</w:t>
      </w:r>
      <w:proofErr w:type="spellEnd"/>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and after harvesting the whole leaves, the induction of</w:t>
      </w:r>
      <w:r w:rsidRPr="00CF0A23">
        <w:rPr>
          <w:rFonts w:ascii="Times New Roman" w:hAnsi="Times New Roman" w:cs="Times New Roman"/>
          <w:i/>
          <w:color w:val="000000"/>
          <w:sz w:val="24"/>
          <w:szCs w:val="24"/>
        </w:rPr>
        <w:t xml:space="preserve"> PR1 </w:t>
      </w:r>
      <w:r w:rsidRPr="00CF0A23">
        <w:rPr>
          <w:rFonts w:ascii="Times New Roman" w:hAnsi="Times New Roman" w:cs="Times New Roman"/>
          <w:color w:val="000000"/>
          <w:sz w:val="24"/>
          <w:szCs w:val="24"/>
        </w:rPr>
        <w:t xml:space="preserve">was five-fold higher in infested </w:t>
      </w:r>
      <w:proofErr w:type="spellStart"/>
      <w:r w:rsidRPr="00CF0A23">
        <w:rPr>
          <w:rFonts w:ascii="Times New Roman" w:hAnsi="Times New Roman" w:cs="Times New Roman"/>
          <w:color w:val="000000"/>
          <w:sz w:val="24"/>
          <w:szCs w:val="24"/>
        </w:rPr>
        <w:t>Ws</w:t>
      </w:r>
      <w:proofErr w:type="spellEnd"/>
      <w:r w:rsidRPr="00CF0A23">
        <w:rPr>
          <w:rFonts w:ascii="Times New Roman" w:hAnsi="Times New Roman" w:cs="Times New Roman"/>
          <w:color w:val="000000"/>
          <w:sz w:val="24"/>
          <w:szCs w:val="24"/>
        </w:rPr>
        <w:t xml:space="preserve"> ecotype compared to non-infested leaves, two-fold in </w:t>
      </w:r>
      <w:proofErr w:type="spellStart"/>
      <w:r w:rsidRPr="00CF0A23">
        <w:rPr>
          <w:rFonts w:ascii="Times New Roman" w:hAnsi="Times New Roman" w:cs="Times New Roman"/>
          <w:color w:val="000000"/>
          <w:sz w:val="24"/>
          <w:szCs w:val="24"/>
        </w:rPr>
        <w:t>Cvi</w:t>
      </w:r>
      <w:proofErr w:type="spellEnd"/>
      <w:r w:rsidRPr="00CF0A23">
        <w:rPr>
          <w:rFonts w:ascii="Times New Roman" w:hAnsi="Times New Roman" w:cs="Times New Roman"/>
          <w:color w:val="000000"/>
          <w:sz w:val="24"/>
          <w:szCs w:val="24"/>
        </w:rPr>
        <w:t xml:space="preserve"> ecotype and 21-fold in Ler ecotype, respectively. Moreover, Moran et al. (2002) reported 23-fold induction of </w:t>
      </w:r>
      <w:r w:rsidRPr="00CF0A23">
        <w:rPr>
          <w:rFonts w:ascii="Times New Roman" w:hAnsi="Times New Roman" w:cs="Times New Roman"/>
          <w:i/>
          <w:color w:val="000000"/>
          <w:sz w:val="24"/>
          <w:szCs w:val="24"/>
        </w:rPr>
        <w:t>PR1</w:t>
      </w:r>
      <w:r w:rsidRPr="00CF0A23">
        <w:rPr>
          <w:rFonts w:ascii="Times New Roman" w:hAnsi="Times New Roman" w:cs="Times New Roman"/>
          <w:color w:val="000000"/>
          <w:sz w:val="24"/>
          <w:szCs w:val="24"/>
        </w:rPr>
        <w:t xml:space="preserve"> in infested leaves of </w:t>
      </w:r>
      <w:r w:rsidRPr="00CF0A23">
        <w:rPr>
          <w:rFonts w:ascii="Times New Roman" w:hAnsi="Times New Roman" w:cs="Times New Roman"/>
          <w:i/>
          <w:color w:val="000000"/>
          <w:sz w:val="24"/>
          <w:szCs w:val="24"/>
        </w:rPr>
        <w:t xml:space="preserve">A. thaliana </w:t>
      </w:r>
      <w:r w:rsidRPr="00CF0A23">
        <w:rPr>
          <w:rFonts w:ascii="Times New Roman" w:hAnsi="Times New Roman" w:cs="Times New Roman"/>
          <w:color w:val="000000"/>
          <w:sz w:val="24"/>
          <w:szCs w:val="24"/>
        </w:rPr>
        <w:t xml:space="preserve">ecotype Col-0 at 72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Surprisingly, </w:t>
      </w:r>
      <w:proofErr w:type="spellStart"/>
      <w:r w:rsidRPr="00CF0A23">
        <w:rPr>
          <w:rFonts w:ascii="Times New Roman" w:hAnsi="Times New Roman" w:cs="Times New Roman"/>
          <w:color w:val="000000"/>
          <w:sz w:val="24"/>
          <w:szCs w:val="24"/>
        </w:rPr>
        <w:t>Onkokesung</w:t>
      </w:r>
      <w:proofErr w:type="spellEnd"/>
      <w:r w:rsidRPr="00CF0A23">
        <w:rPr>
          <w:rFonts w:ascii="Times New Roman" w:hAnsi="Times New Roman" w:cs="Times New Roman"/>
          <w:color w:val="000000"/>
          <w:sz w:val="24"/>
          <w:szCs w:val="24"/>
        </w:rPr>
        <w:t xml:space="preserve"> et al. (2019) observed the induction of </w:t>
      </w:r>
      <w:r w:rsidRPr="00CF0A23">
        <w:rPr>
          <w:rFonts w:ascii="Times New Roman" w:hAnsi="Times New Roman" w:cs="Times New Roman"/>
          <w:i/>
          <w:color w:val="000000"/>
          <w:sz w:val="24"/>
          <w:szCs w:val="24"/>
        </w:rPr>
        <w:t xml:space="preserve">PR1 </w:t>
      </w:r>
      <w:r w:rsidRPr="00CF0A23">
        <w:rPr>
          <w:rFonts w:ascii="Times New Roman" w:hAnsi="Times New Roman" w:cs="Times New Roman"/>
          <w:color w:val="000000"/>
          <w:sz w:val="24"/>
          <w:szCs w:val="24"/>
        </w:rPr>
        <w:t xml:space="preserve">when sampling whole leaves of </w:t>
      </w:r>
      <w:r w:rsidRPr="00CF0A23">
        <w:rPr>
          <w:rFonts w:ascii="Times New Roman" w:hAnsi="Times New Roman" w:cs="Times New Roman"/>
          <w:i/>
          <w:color w:val="000000"/>
          <w:sz w:val="24"/>
          <w:szCs w:val="24"/>
        </w:rPr>
        <w:t xml:space="preserve">A. thaliana </w:t>
      </w:r>
      <w:r w:rsidRPr="00CF0A23">
        <w:rPr>
          <w:rFonts w:ascii="Times New Roman" w:hAnsi="Times New Roman" w:cs="Times New Roman"/>
          <w:color w:val="000000"/>
          <w:sz w:val="24"/>
          <w:szCs w:val="24"/>
        </w:rPr>
        <w:t xml:space="preserve">ecotype Col-0 (up to 50-fold) only at 6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with </w:t>
      </w:r>
      <w:r w:rsidRPr="00CF0A23">
        <w:rPr>
          <w:rFonts w:ascii="Times New Roman" w:hAnsi="Times New Roman" w:cs="Times New Roman"/>
          <w:i/>
          <w:color w:val="000000"/>
          <w:sz w:val="24"/>
          <w:szCs w:val="24"/>
        </w:rPr>
        <w:t xml:space="preserve">B. </w:t>
      </w:r>
      <w:proofErr w:type="spellStart"/>
      <w:r w:rsidRPr="00CF0A23">
        <w:rPr>
          <w:rFonts w:ascii="Times New Roman" w:hAnsi="Times New Roman" w:cs="Times New Roman"/>
          <w:i/>
          <w:color w:val="000000"/>
          <w:sz w:val="24"/>
          <w:szCs w:val="24"/>
        </w:rPr>
        <w:t>brassicae</w:t>
      </w:r>
      <w:proofErr w:type="spellEnd"/>
      <w:r w:rsidRPr="00CF0A23">
        <w:rPr>
          <w:rFonts w:ascii="Times New Roman" w:hAnsi="Times New Roman" w:cs="Times New Roman"/>
          <w:color w:val="000000"/>
          <w:sz w:val="24"/>
          <w:szCs w:val="24"/>
        </w:rPr>
        <w:t xml:space="preserve">, whereas there was no induction observed at 24, 48 and 72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The significant and strong induction at later time points </w:t>
      </w:r>
      <w:r w:rsidR="00544355">
        <w:rPr>
          <w:rFonts w:ascii="Times New Roman" w:hAnsi="Times New Roman" w:cs="Times New Roman"/>
          <w:color w:val="000000"/>
          <w:sz w:val="24"/>
          <w:szCs w:val="24"/>
        </w:rPr>
        <w:t xml:space="preserve">presented here </w:t>
      </w:r>
      <w:r w:rsidRPr="00CF0A23">
        <w:rPr>
          <w:rFonts w:ascii="Times New Roman" w:hAnsi="Times New Roman" w:cs="Times New Roman"/>
          <w:color w:val="000000"/>
          <w:sz w:val="24"/>
          <w:szCs w:val="24"/>
        </w:rPr>
        <w:t xml:space="preserve">could be caused by </w:t>
      </w:r>
      <w:r w:rsidR="00544355">
        <w:rPr>
          <w:rFonts w:ascii="Times New Roman" w:hAnsi="Times New Roman" w:cs="Times New Roman"/>
          <w:color w:val="000000"/>
          <w:sz w:val="24"/>
          <w:szCs w:val="24"/>
        </w:rPr>
        <w:t xml:space="preserve">the </w:t>
      </w:r>
      <w:r w:rsidRPr="00CF0A23">
        <w:rPr>
          <w:rFonts w:ascii="Times New Roman" w:hAnsi="Times New Roman" w:cs="Times New Roman"/>
          <w:color w:val="000000"/>
          <w:sz w:val="24"/>
          <w:szCs w:val="24"/>
        </w:rPr>
        <w:t xml:space="preserve">spatial sampling technique, as for the whole leaf sampling the signal may be masked by the background level in many non-induced cells. Indeed, the strongest induction of </w:t>
      </w:r>
      <w:r w:rsidRPr="00CF0A23">
        <w:rPr>
          <w:rFonts w:ascii="Times New Roman" w:hAnsi="Times New Roman" w:cs="Times New Roman"/>
          <w:i/>
          <w:color w:val="000000"/>
          <w:sz w:val="24"/>
          <w:szCs w:val="24"/>
        </w:rPr>
        <w:t xml:space="preserve">PR1 </w:t>
      </w:r>
      <w:r w:rsidRPr="00CF0A23">
        <w:rPr>
          <w:rFonts w:ascii="Times New Roman" w:hAnsi="Times New Roman" w:cs="Times New Roman"/>
          <w:color w:val="000000"/>
          <w:sz w:val="24"/>
          <w:szCs w:val="24"/>
        </w:rPr>
        <w:t xml:space="preserve">seems to occur locally around the aphid feeding zones (Fig. 30A, 32A), as found when using reporter lines </w:t>
      </w:r>
      <w:r w:rsidRPr="00CF0A23">
        <w:rPr>
          <w:rFonts w:ascii="Times New Roman" w:hAnsi="Times New Roman" w:cs="Times New Roman"/>
          <w:i/>
          <w:color w:val="000000"/>
          <w:sz w:val="24"/>
          <w:szCs w:val="24"/>
        </w:rPr>
        <w:t xml:space="preserve">pPR1::NLS3xVenus </w:t>
      </w:r>
      <w:r w:rsidRPr="00CF0A23">
        <w:rPr>
          <w:rFonts w:ascii="Times New Roman" w:hAnsi="Times New Roman" w:cs="Times New Roman"/>
          <w:color w:val="000000"/>
          <w:sz w:val="24"/>
          <w:szCs w:val="24"/>
        </w:rPr>
        <w:t xml:space="preserve">and </w:t>
      </w:r>
      <w:r w:rsidRPr="00CF0A23">
        <w:rPr>
          <w:rFonts w:ascii="Times New Roman" w:hAnsi="Times New Roman" w:cs="Times New Roman"/>
          <w:i/>
          <w:color w:val="000000"/>
          <w:sz w:val="24"/>
          <w:szCs w:val="24"/>
        </w:rPr>
        <w:t>PR1::GUS</w:t>
      </w:r>
      <w:r w:rsidRPr="00CF0A23">
        <w:rPr>
          <w:rFonts w:ascii="Times New Roman" w:hAnsi="Times New Roman" w:cs="Times New Roman"/>
          <w:color w:val="000000"/>
          <w:sz w:val="24"/>
          <w:szCs w:val="24"/>
        </w:rPr>
        <w:t>.</w:t>
      </w:r>
    </w:p>
    <w:p w14:paraId="2150A19B" w14:textId="682C597F" w:rsidR="00E7693B" w:rsidRPr="00CF0A23" w:rsidRDefault="00E7693B" w:rsidP="00CF0A23">
      <w:pPr>
        <w:pBdr>
          <w:top w:val="nil"/>
          <w:left w:val="nil"/>
          <w:bottom w:val="nil"/>
          <w:right w:val="nil"/>
          <w:between w:val="nil"/>
        </w:pBdr>
        <w:spacing w:after="0" w:line="360" w:lineRule="auto"/>
        <w:ind w:firstLine="567"/>
        <w:jc w:val="both"/>
        <w:rPr>
          <w:rFonts w:ascii="Times New Roman" w:hAnsi="Times New Roman" w:cs="Times New Roman"/>
          <w:color w:val="000000"/>
          <w:sz w:val="24"/>
          <w:szCs w:val="24"/>
        </w:rPr>
      </w:pPr>
      <w:r w:rsidRPr="00CF0A23">
        <w:rPr>
          <w:rFonts w:ascii="Times New Roman" w:hAnsi="Times New Roman" w:cs="Times New Roman"/>
          <w:color w:val="000000"/>
          <w:sz w:val="24"/>
          <w:szCs w:val="24"/>
        </w:rPr>
        <w:t xml:space="preserve">In addition to the SA-related marker genes, an early induction of several JA and ET marker genes in leaf tissues surrounding feeding sites </w:t>
      </w:r>
      <w:r w:rsidR="00755BFE">
        <w:rPr>
          <w:rFonts w:ascii="Times New Roman" w:hAnsi="Times New Roman" w:cs="Times New Roman"/>
          <w:color w:val="000000"/>
          <w:sz w:val="24"/>
          <w:szCs w:val="24"/>
        </w:rPr>
        <w:t xml:space="preserve">was detected </w:t>
      </w:r>
      <w:r w:rsidRPr="00CF0A23">
        <w:rPr>
          <w:rFonts w:ascii="Times New Roman" w:hAnsi="Times New Roman" w:cs="Times New Roman"/>
          <w:color w:val="000000"/>
          <w:sz w:val="24"/>
          <w:szCs w:val="24"/>
        </w:rPr>
        <w:t xml:space="preserve">by </w:t>
      </w:r>
      <w:proofErr w:type="spellStart"/>
      <w:r w:rsidRPr="00CF0A23">
        <w:rPr>
          <w:rFonts w:ascii="Times New Roman" w:hAnsi="Times New Roman" w:cs="Times New Roman"/>
          <w:color w:val="000000"/>
          <w:sz w:val="24"/>
          <w:szCs w:val="24"/>
        </w:rPr>
        <w:t>qRT</w:t>
      </w:r>
      <w:proofErr w:type="spellEnd"/>
      <w:r w:rsidRPr="00CF0A23">
        <w:rPr>
          <w:rFonts w:ascii="Times New Roman" w:hAnsi="Times New Roman" w:cs="Times New Roman"/>
          <w:color w:val="000000"/>
          <w:sz w:val="24"/>
          <w:szCs w:val="24"/>
        </w:rPr>
        <w:t xml:space="preserve">-PCR. Infestation triggered the transcription of the gene coding for ZIM-domain protein, </w:t>
      </w:r>
      <w:r w:rsidRPr="00CF0A23">
        <w:rPr>
          <w:rFonts w:ascii="Times New Roman" w:hAnsi="Times New Roman" w:cs="Times New Roman"/>
          <w:i/>
          <w:color w:val="000000"/>
          <w:sz w:val="24"/>
          <w:szCs w:val="24"/>
        </w:rPr>
        <w:t>JAZ8</w:t>
      </w:r>
      <w:r w:rsidRPr="00CF0A23">
        <w:rPr>
          <w:rFonts w:ascii="Times New Roman" w:hAnsi="Times New Roman" w:cs="Times New Roman"/>
          <w:iCs/>
          <w:color w:val="000000"/>
          <w:sz w:val="24"/>
          <w:szCs w:val="24"/>
        </w:rPr>
        <w:t>,</w:t>
      </w:r>
      <w:r w:rsidRPr="00CF0A23">
        <w:rPr>
          <w:rFonts w:ascii="Times New Roman" w:hAnsi="Times New Roman" w:cs="Times New Roman"/>
          <w:color w:val="000000"/>
          <w:sz w:val="24"/>
          <w:szCs w:val="24"/>
        </w:rPr>
        <w:t xml:space="preserve"> already at 6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and strongly increased the transcription of </w:t>
      </w:r>
      <w:r w:rsidRPr="00CF0A23">
        <w:rPr>
          <w:rFonts w:ascii="Times New Roman" w:hAnsi="Times New Roman" w:cs="Times New Roman"/>
          <w:i/>
          <w:color w:val="000000"/>
          <w:sz w:val="24"/>
          <w:szCs w:val="24"/>
        </w:rPr>
        <w:t>JAZ8</w:t>
      </w:r>
      <w:r w:rsidRPr="00CF0A23">
        <w:rPr>
          <w:rFonts w:ascii="Times New Roman" w:hAnsi="Times New Roman" w:cs="Times New Roman"/>
          <w:color w:val="000000"/>
          <w:sz w:val="24"/>
          <w:szCs w:val="24"/>
        </w:rPr>
        <w:t xml:space="preserve"> and </w:t>
      </w:r>
      <w:r w:rsidRPr="00CF0A23">
        <w:rPr>
          <w:rFonts w:ascii="Times New Roman" w:hAnsi="Times New Roman" w:cs="Times New Roman"/>
          <w:i/>
          <w:color w:val="000000"/>
          <w:sz w:val="24"/>
          <w:szCs w:val="24"/>
        </w:rPr>
        <w:t>JAZ10</w:t>
      </w:r>
      <w:r w:rsidRPr="00CF0A23">
        <w:rPr>
          <w:rFonts w:ascii="Times New Roman" w:hAnsi="Times New Roman" w:cs="Times New Roman"/>
          <w:color w:val="000000"/>
          <w:sz w:val="24"/>
          <w:szCs w:val="24"/>
        </w:rPr>
        <w:t xml:space="preserve"> genes at 24 and 72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(Fig. 29). On the contrary, genes involved in the octadecanoid </w:t>
      </w:r>
      <w:proofErr w:type="spellStart"/>
      <w:r w:rsidRPr="00CF0A23">
        <w:rPr>
          <w:rFonts w:ascii="Times New Roman" w:hAnsi="Times New Roman" w:cs="Times New Roman"/>
          <w:color w:val="000000"/>
          <w:sz w:val="24"/>
          <w:szCs w:val="24"/>
        </w:rPr>
        <w:t>signaling</w:t>
      </w:r>
      <w:proofErr w:type="spellEnd"/>
      <w:r w:rsidRPr="00CF0A23">
        <w:rPr>
          <w:rFonts w:ascii="Times New Roman" w:hAnsi="Times New Roman" w:cs="Times New Roman"/>
          <w:color w:val="000000"/>
          <w:sz w:val="24"/>
          <w:szCs w:val="24"/>
        </w:rPr>
        <w:t xml:space="preserve"> pathway, or wound-inducible JA pathway (</w:t>
      </w:r>
      <w:r w:rsidRPr="00CF0A23">
        <w:rPr>
          <w:rFonts w:ascii="Times New Roman" w:hAnsi="Times New Roman" w:cs="Times New Roman"/>
          <w:i/>
          <w:color w:val="000000"/>
          <w:sz w:val="24"/>
          <w:szCs w:val="24"/>
        </w:rPr>
        <w:t>LOX2</w:t>
      </w:r>
      <w:r w:rsidRPr="00CF0A23">
        <w:rPr>
          <w:rFonts w:ascii="Times New Roman" w:hAnsi="Times New Roman" w:cs="Times New Roman"/>
          <w:iCs/>
          <w:color w:val="000000"/>
          <w:sz w:val="24"/>
          <w:szCs w:val="24"/>
        </w:rPr>
        <w:t>,</w:t>
      </w:r>
      <w:r w:rsidRPr="00CF0A23">
        <w:rPr>
          <w:rFonts w:ascii="Times New Roman" w:hAnsi="Times New Roman" w:cs="Times New Roman"/>
          <w:i/>
          <w:color w:val="000000"/>
          <w:sz w:val="24"/>
          <w:szCs w:val="24"/>
        </w:rPr>
        <w:t xml:space="preserve"> AOS</w:t>
      </w:r>
      <w:r w:rsidRPr="00CF0A23">
        <w:rPr>
          <w:rFonts w:ascii="Times New Roman" w:hAnsi="Times New Roman" w:cs="Times New Roman"/>
          <w:color w:val="000000"/>
          <w:sz w:val="24"/>
          <w:szCs w:val="24"/>
        </w:rPr>
        <w:t xml:space="preserve">), were significantly upregulated in aphid-infested samples at 24 and 48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However, </w:t>
      </w:r>
      <w:proofErr w:type="spellStart"/>
      <w:r w:rsidRPr="00CF0A23">
        <w:rPr>
          <w:rFonts w:ascii="Times New Roman" w:hAnsi="Times New Roman" w:cs="Times New Roman"/>
          <w:color w:val="000000"/>
          <w:sz w:val="24"/>
          <w:szCs w:val="24"/>
        </w:rPr>
        <w:t>Kuśnierczyk</w:t>
      </w:r>
      <w:proofErr w:type="spellEnd"/>
      <w:r w:rsidRPr="00CF0A23">
        <w:rPr>
          <w:rFonts w:ascii="Times New Roman" w:hAnsi="Times New Roman" w:cs="Times New Roman"/>
          <w:color w:val="000000"/>
          <w:sz w:val="24"/>
          <w:szCs w:val="24"/>
        </w:rPr>
        <w:t xml:space="preserve"> et al. (2007) observed rather low induction of JA biosynthetic genes in the whole leaves of different ecotypes of </w:t>
      </w:r>
      <w:r w:rsidRPr="00CF0A23">
        <w:rPr>
          <w:rFonts w:ascii="Times New Roman" w:hAnsi="Times New Roman" w:cs="Times New Roman"/>
          <w:i/>
          <w:color w:val="000000"/>
          <w:sz w:val="24"/>
          <w:szCs w:val="24"/>
        </w:rPr>
        <w:t xml:space="preserve">Arabidopsis </w:t>
      </w:r>
      <w:r w:rsidRPr="00CF0A23">
        <w:rPr>
          <w:rFonts w:ascii="Times New Roman" w:hAnsi="Times New Roman" w:cs="Times New Roman"/>
          <w:color w:val="000000"/>
          <w:sz w:val="24"/>
          <w:szCs w:val="24"/>
        </w:rPr>
        <w:t>only</w:t>
      </w:r>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at</w:t>
      </w:r>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 xml:space="preserve">72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a fold change in </w:t>
      </w:r>
      <w:r w:rsidRPr="00CF0A23">
        <w:rPr>
          <w:rFonts w:ascii="Times New Roman" w:hAnsi="Times New Roman" w:cs="Times New Roman"/>
          <w:i/>
          <w:color w:val="000000"/>
          <w:sz w:val="24"/>
          <w:szCs w:val="24"/>
        </w:rPr>
        <w:t xml:space="preserve">LOX2 </w:t>
      </w:r>
      <w:r w:rsidRPr="00CF0A23">
        <w:rPr>
          <w:rFonts w:ascii="Times New Roman" w:hAnsi="Times New Roman" w:cs="Times New Roman"/>
          <w:color w:val="000000"/>
          <w:sz w:val="24"/>
          <w:szCs w:val="24"/>
        </w:rPr>
        <w:t xml:space="preserve">transcription ranged from three to six, and in </w:t>
      </w:r>
      <w:r w:rsidRPr="00CF0A23">
        <w:rPr>
          <w:rFonts w:ascii="Times New Roman" w:hAnsi="Times New Roman" w:cs="Times New Roman"/>
          <w:i/>
          <w:color w:val="000000"/>
          <w:sz w:val="24"/>
          <w:szCs w:val="24"/>
        </w:rPr>
        <w:t>AOS</w:t>
      </w:r>
      <w:r w:rsidRPr="00CF0A23">
        <w:rPr>
          <w:rFonts w:ascii="Times New Roman" w:hAnsi="Times New Roman" w:cs="Times New Roman"/>
          <w:color w:val="000000"/>
          <w:sz w:val="24"/>
          <w:szCs w:val="24"/>
        </w:rPr>
        <w:t xml:space="preserve"> transcription from two to three. Later on, </w:t>
      </w:r>
      <w:proofErr w:type="spellStart"/>
      <w:r w:rsidRPr="00CF0A23">
        <w:rPr>
          <w:rFonts w:ascii="Times New Roman" w:hAnsi="Times New Roman" w:cs="Times New Roman"/>
          <w:color w:val="000000"/>
          <w:sz w:val="24"/>
          <w:szCs w:val="24"/>
        </w:rPr>
        <w:t>Kuśnierczyk</w:t>
      </w:r>
      <w:proofErr w:type="spellEnd"/>
      <w:r w:rsidRPr="00CF0A23">
        <w:rPr>
          <w:rFonts w:ascii="Times New Roman" w:hAnsi="Times New Roman" w:cs="Times New Roman"/>
          <w:color w:val="000000"/>
          <w:sz w:val="24"/>
          <w:szCs w:val="24"/>
        </w:rPr>
        <w:t xml:space="preserve"> et al. (2008) also reported lower, but still significant induction of </w:t>
      </w:r>
      <w:r w:rsidRPr="00CF0A23">
        <w:rPr>
          <w:rFonts w:ascii="Times New Roman" w:hAnsi="Times New Roman" w:cs="Times New Roman"/>
          <w:i/>
          <w:color w:val="000000"/>
          <w:sz w:val="24"/>
          <w:szCs w:val="24"/>
        </w:rPr>
        <w:t xml:space="preserve">JAZ10 </w:t>
      </w:r>
      <w:r w:rsidRPr="00CF0A23">
        <w:rPr>
          <w:rFonts w:ascii="Times New Roman" w:hAnsi="Times New Roman" w:cs="Times New Roman"/>
          <w:color w:val="000000"/>
          <w:sz w:val="24"/>
          <w:szCs w:val="24"/>
        </w:rPr>
        <w:t xml:space="preserve">in the whole rosettes of </w:t>
      </w:r>
      <w:r w:rsidRPr="00CF0A23">
        <w:rPr>
          <w:rFonts w:ascii="Times New Roman" w:hAnsi="Times New Roman" w:cs="Times New Roman"/>
          <w:i/>
          <w:color w:val="000000"/>
          <w:sz w:val="24"/>
          <w:szCs w:val="24"/>
        </w:rPr>
        <w:t xml:space="preserve">A. thaliana </w:t>
      </w:r>
      <w:r w:rsidRPr="00CF0A23">
        <w:rPr>
          <w:rFonts w:ascii="Times New Roman" w:hAnsi="Times New Roman" w:cs="Times New Roman"/>
          <w:color w:val="000000"/>
          <w:sz w:val="24"/>
          <w:szCs w:val="24"/>
        </w:rPr>
        <w:t xml:space="preserve">ecotype Ler at 6, 24 and 48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(up to 1.4-fold).</w:t>
      </w:r>
      <w:r w:rsidR="00544355">
        <w:rPr>
          <w:rFonts w:ascii="Times New Roman" w:hAnsi="Times New Roman" w:cs="Times New Roman"/>
          <w:color w:val="000000"/>
          <w:sz w:val="24"/>
          <w:szCs w:val="24"/>
        </w:rPr>
        <w:t xml:space="preserve"> My </w:t>
      </w:r>
      <w:proofErr w:type="spellStart"/>
      <w:r w:rsidR="00544355" w:rsidRPr="00CF0A23">
        <w:rPr>
          <w:rFonts w:ascii="Times New Roman" w:hAnsi="Times New Roman" w:cs="Times New Roman"/>
          <w:color w:val="000000"/>
          <w:sz w:val="24"/>
          <w:szCs w:val="24"/>
        </w:rPr>
        <w:t>qRT</w:t>
      </w:r>
      <w:proofErr w:type="spellEnd"/>
      <w:r w:rsidR="00544355" w:rsidRPr="00CF0A23">
        <w:rPr>
          <w:rFonts w:ascii="Times New Roman" w:hAnsi="Times New Roman" w:cs="Times New Roman"/>
          <w:color w:val="000000"/>
          <w:sz w:val="24"/>
          <w:szCs w:val="24"/>
        </w:rPr>
        <w:t xml:space="preserve">-PCR analysis </w:t>
      </w:r>
      <w:r w:rsidRPr="00CF0A23">
        <w:rPr>
          <w:rFonts w:ascii="Times New Roman" w:hAnsi="Times New Roman" w:cs="Times New Roman"/>
          <w:color w:val="000000"/>
          <w:sz w:val="24"/>
          <w:szCs w:val="24"/>
        </w:rPr>
        <w:t xml:space="preserve">for the genes important for ET synthesis, </w:t>
      </w:r>
      <w:r w:rsidRPr="00CF0A23">
        <w:rPr>
          <w:rFonts w:ascii="Times New Roman" w:hAnsi="Times New Roman" w:cs="Times New Roman"/>
          <w:i/>
          <w:color w:val="000000"/>
          <w:sz w:val="24"/>
          <w:szCs w:val="24"/>
        </w:rPr>
        <w:t xml:space="preserve">ACS2 </w:t>
      </w:r>
      <w:r w:rsidRPr="00CF0A23">
        <w:rPr>
          <w:rFonts w:ascii="Times New Roman" w:hAnsi="Times New Roman" w:cs="Times New Roman"/>
          <w:color w:val="000000"/>
          <w:sz w:val="24"/>
          <w:szCs w:val="24"/>
        </w:rPr>
        <w:t xml:space="preserve">and </w:t>
      </w:r>
      <w:r w:rsidRPr="00CF0A23">
        <w:rPr>
          <w:rFonts w:ascii="Times New Roman" w:hAnsi="Times New Roman" w:cs="Times New Roman"/>
          <w:i/>
          <w:color w:val="000000"/>
          <w:sz w:val="24"/>
          <w:szCs w:val="24"/>
        </w:rPr>
        <w:t>ACS6</w:t>
      </w:r>
      <w:r w:rsidRPr="00CF0A23">
        <w:rPr>
          <w:rFonts w:ascii="Times New Roman" w:hAnsi="Times New Roman" w:cs="Times New Roman"/>
          <w:color w:val="000000"/>
          <w:sz w:val="24"/>
          <w:szCs w:val="24"/>
        </w:rPr>
        <w:t xml:space="preserve">, showed the induction already at 6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indicating an early response to </w:t>
      </w:r>
      <w:r w:rsidRPr="00CF0A23">
        <w:rPr>
          <w:rFonts w:ascii="Times New Roman" w:hAnsi="Times New Roman" w:cs="Times New Roman"/>
          <w:i/>
          <w:color w:val="000000"/>
          <w:sz w:val="24"/>
          <w:szCs w:val="24"/>
        </w:rPr>
        <w:t xml:space="preserve">B. </w:t>
      </w:r>
      <w:proofErr w:type="spellStart"/>
      <w:r w:rsidRPr="00CF0A23">
        <w:rPr>
          <w:rFonts w:ascii="Times New Roman" w:hAnsi="Times New Roman" w:cs="Times New Roman"/>
          <w:i/>
          <w:color w:val="000000"/>
          <w:sz w:val="24"/>
          <w:szCs w:val="24"/>
        </w:rPr>
        <w:t>brassicae</w:t>
      </w:r>
      <w:proofErr w:type="spellEnd"/>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 xml:space="preserve">attack; then, low but significant induction was observed at 24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and it was followed by the strong upregulation at 48 and 72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(Fig. 29). </w:t>
      </w:r>
      <w:r w:rsidR="00544355">
        <w:rPr>
          <w:rFonts w:ascii="Times New Roman" w:hAnsi="Times New Roman" w:cs="Times New Roman"/>
          <w:color w:val="000000"/>
          <w:sz w:val="24"/>
          <w:szCs w:val="24"/>
        </w:rPr>
        <w:t>These</w:t>
      </w:r>
      <w:r w:rsidRPr="00CF0A23">
        <w:rPr>
          <w:rFonts w:ascii="Times New Roman" w:hAnsi="Times New Roman" w:cs="Times New Roman"/>
          <w:color w:val="000000"/>
          <w:sz w:val="24"/>
          <w:szCs w:val="24"/>
        </w:rPr>
        <w:t xml:space="preserve"> results are in line with other studies reporting the involvement of ET responses during aphid infestations in whole leaves/rosettes </w:t>
      </w:r>
      <w:r w:rsidR="000531F9">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{"citationID":"39oDZZsI","properties":{"formattedCitation":"(Ku\\uc0\\u347{}nierczyk et al., 2008, 2007; Smith and Boyko, 2007)","plainCitation":"(Kuśnierczyk et al., 2008, 2007; Smith and Boyko, 2007)","noteIndex":0},"citationItems":[{"id":104,"uris":["http://zotero.org/users/10895598/items/CDZ55Y65"],"itemData":{"id":104,"type":"article-journal","container-title":"Plant, Cell &amp; Environment","DOI":"10.1111/j.1365-3040.2008.01823.x","ISSN":"01407791, 13653040","issue":"8","language":"en","page":"1097-1115","source":"DOI.org (Crossref)","title":"Towards global understanding of plant defence against aphids timing and dynamics of early &lt;i&gt;Arabidopsis&lt;/i&gt; defence responses to cabbage aphid (&lt;i&gt;Brevicoryne brassicae&lt;/i&gt;) attack","volume":"31","author":[{"family":"Kuśnierczyk","given":"Anna"},{"family":"Winge","given":"Per"},{"family":"Jrstad","given":"Tommy S."},{"family":"Troczyska","given":"Joanna"},{"family":"Rossiter","given":"John T."},{"family":"Bones","given":"Atle M."}],"issued":{"date-parts":[["2008",8]]}}},{"id":97,"uris":["http://zotero.org/users/10895598/items/VMVQS5DZ"],"itemData":{"id":97,"type":"article-journal","container-title":"Journal of Experimental Botany","DOI":"10.1093/jxb/erm043","ISSN":"1460-2431, 0022-0957","issue":"10","language":"en","page":"2537-2552","source":"DOI.org (Crossref)","title":"Transcriptional responses of &lt;i&gt;Arabidopsis thaliana&lt;/i&gt; ecotypes with different glucosinolate profiles after attack by polyphagous &lt;i&gt;Myzus persicae&lt;/i&gt; and oligophagous &lt;i&gt;Brevicoryne brassicae&lt;/i&gt;","volume":"58","author":[{"family":"Kuśnierczyk","given":"Anna"},{"family":"Winge","given":"Per"},{"family":"Midelfart","given":"Herman"},{"family":"Armbruster","given":"W. Scott"},{"family":"Rossiter","given":"John T."},{"family":"Bones","given":"Atle Magnar"}],"issued":{"date-parts":[["2007",7]]}}},{"id":129,"uris":["http://zotero.org/users/10895598/items/RQSQ7S9W"],"itemData":{"id":129,"type":"article-journal","container-title":"Entomologia Experimentalis et Applicata","DOI":"10.1111/j.1570-7458.2006.00503.x","ISSN":"0013-8703, 1570-7458","issue":"1","journalAbbreviation":"Entomol Exper Applic","language":"en","page":"1-16","source":"DOI.org (Crossref)","title":"The molecular bases of plant resistance and defense responses to aphid feeding: current status","title-short":"The molecular bases of plant resistance and defense responses to aphid feeding","volume":"122","author":[{"family":"Smith","given":"C. Michael"},{"family":"Boyko","given":"Elena V."}],"issued":{"date-parts":[["2007",1]]}}}],"schema":"https://github.com/citation-style-language/schema/raw/master/csl-citation.json"} </w:instrText>
      </w:r>
      <w:r w:rsidR="000531F9">
        <w:rPr>
          <w:rFonts w:ascii="Times New Roman" w:hAnsi="Times New Roman" w:cs="Times New Roman"/>
          <w:color w:val="000000"/>
          <w:sz w:val="24"/>
          <w:szCs w:val="24"/>
        </w:rPr>
        <w:fldChar w:fldCharType="separate"/>
      </w:r>
      <w:r w:rsidR="000531F9" w:rsidRPr="000531F9">
        <w:rPr>
          <w:rFonts w:ascii="Times New Roman" w:hAnsi="Times New Roman" w:cs="Times New Roman"/>
          <w:sz w:val="24"/>
          <w:szCs w:val="24"/>
        </w:rPr>
        <w:t>(Kuśnierczyk et al., 2008, 2007; Smith and Boyko, 2007)</w:t>
      </w:r>
      <w:r w:rsidR="000531F9">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w:t>
      </w:r>
      <w:proofErr w:type="spellStart"/>
      <w:r w:rsidRPr="00CF0A23">
        <w:rPr>
          <w:rFonts w:ascii="Times New Roman" w:hAnsi="Times New Roman" w:cs="Times New Roman"/>
          <w:color w:val="000000"/>
          <w:sz w:val="24"/>
          <w:szCs w:val="24"/>
        </w:rPr>
        <w:t>Kuśnierczyk</w:t>
      </w:r>
      <w:proofErr w:type="spellEnd"/>
      <w:r w:rsidRPr="00CF0A23">
        <w:rPr>
          <w:rFonts w:ascii="Times New Roman" w:hAnsi="Times New Roman" w:cs="Times New Roman"/>
          <w:color w:val="000000"/>
          <w:sz w:val="24"/>
          <w:szCs w:val="24"/>
        </w:rPr>
        <w:t xml:space="preserve"> et al. (2007) also observed an increase in </w:t>
      </w:r>
      <w:r w:rsidRPr="00CF0A23">
        <w:rPr>
          <w:rFonts w:ascii="Times New Roman" w:hAnsi="Times New Roman" w:cs="Times New Roman"/>
          <w:i/>
          <w:color w:val="000000"/>
          <w:sz w:val="24"/>
          <w:szCs w:val="24"/>
        </w:rPr>
        <w:t xml:space="preserve">ACS6 </w:t>
      </w:r>
      <w:r w:rsidRPr="00CF0A23">
        <w:rPr>
          <w:rFonts w:ascii="Times New Roman" w:hAnsi="Times New Roman" w:cs="Times New Roman"/>
          <w:color w:val="000000"/>
          <w:sz w:val="24"/>
          <w:szCs w:val="24"/>
        </w:rPr>
        <w:t xml:space="preserve">transcription in </w:t>
      </w:r>
      <w:r w:rsidRPr="00CF0A23">
        <w:rPr>
          <w:rFonts w:ascii="Times New Roman" w:hAnsi="Times New Roman" w:cs="Times New Roman"/>
          <w:i/>
          <w:color w:val="000000"/>
          <w:sz w:val="24"/>
          <w:szCs w:val="24"/>
        </w:rPr>
        <w:t>B.</w:t>
      </w:r>
      <w:r w:rsidRPr="00CF0A23">
        <w:rPr>
          <w:rFonts w:ascii="Times New Roman" w:hAnsi="Times New Roman" w:cs="Times New Roman"/>
          <w:color w:val="000000"/>
          <w:sz w:val="24"/>
          <w:szCs w:val="24"/>
        </w:rPr>
        <w:t xml:space="preserve"> </w:t>
      </w:r>
      <w:proofErr w:type="spellStart"/>
      <w:r w:rsidRPr="00CF0A23">
        <w:rPr>
          <w:rFonts w:ascii="Times New Roman" w:hAnsi="Times New Roman" w:cs="Times New Roman"/>
          <w:i/>
          <w:color w:val="000000"/>
          <w:sz w:val="24"/>
          <w:szCs w:val="24"/>
        </w:rPr>
        <w:t>brassicae</w:t>
      </w:r>
      <w:proofErr w:type="spellEnd"/>
      <w:r w:rsidRPr="00CF0A23">
        <w:rPr>
          <w:rFonts w:ascii="Times New Roman" w:hAnsi="Times New Roman" w:cs="Times New Roman"/>
          <w:color w:val="000000"/>
          <w:sz w:val="24"/>
          <w:szCs w:val="24"/>
        </w:rPr>
        <w:t xml:space="preserve">-infested leaves of </w:t>
      </w:r>
      <w:r w:rsidRPr="00CF0A23">
        <w:rPr>
          <w:rFonts w:ascii="Times New Roman" w:hAnsi="Times New Roman" w:cs="Times New Roman"/>
          <w:i/>
          <w:color w:val="000000"/>
          <w:sz w:val="24"/>
          <w:szCs w:val="24"/>
        </w:rPr>
        <w:t xml:space="preserve">A. thaliana </w:t>
      </w:r>
      <w:r w:rsidRPr="00CF0A23">
        <w:rPr>
          <w:rFonts w:ascii="Times New Roman" w:hAnsi="Times New Roman" w:cs="Times New Roman"/>
          <w:color w:val="000000"/>
          <w:sz w:val="24"/>
          <w:szCs w:val="24"/>
        </w:rPr>
        <w:t xml:space="preserve">ecotype </w:t>
      </w:r>
      <w:proofErr w:type="spellStart"/>
      <w:r w:rsidRPr="00CF0A23">
        <w:rPr>
          <w:rFonts w:ascii="Times New Roman" w:hAnsi="Times New Roman" w:cs="Times New Roman"/>
          <w:color w:val="000000"/>
          <w:sz w:val="24"/>
          <w:szCs w:val="24"/>
        </w:rPr>
        <w:t>Ws</w:t>
      </w:r>
      <w:proofErr w:type="spellEnd"/>
      <w:r w:rsidRPr="00CF0A23">
        <w:rPr>
          <w:rFonts w:ascii="Times New Roman" w:hAnsi="Times New Roman" w:cs="Times New Roman"/>
          <w:color w:val="000000"/>
          <w:sz w:val="24"/>
          <w:szCs w:val="24"/>
        </w:rPr>
        <w:t xml:space="preserve"> (up to two-fold), </w:t>
      </w:r>
      <w:proofErr w:type="spellStart"/>
      <w:r w:rsidRPr="00CF0A23">
        <w:rPr>
          <w:rFonts w:ascii="Times New Roman" w:hAnsi="Times New Roman" w:cs="Times New Roman"/>
          <w:color w:val="000000"/>
          <w:sz w:val="24"/>
          <w:szCs w:val="24"/>
        </w:rPr>
        <w:t>Cvi</w:t>
      </w:r>
      <w:proofErr w:type="spellEnd"/>
      <w:r w:rsidRPr="00CF0A23">
        <w:rPr>
          <w:rFonts w:ascii="Times New Roman" w:hAnsi="Times New Roman" w:cs="Times New Roman"/>
          <w:color w:val="000000"/>
          <w:sz w:val="24"/>
          <w:szCs w:val="24"/>
        </w:rPr>
        <w:t xml:space="preserve"> (up to 13-fold) and Ler (up to two-fold) at 72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w:t>
      </w:r>
    </w:p>
    <w:p w14:paraId="2150A19C" w14:textId="1D924572" w:rsidR="00E7693B" w:rsidRPr="00CF0A23" w:rsidRDefault="00E7693B" w:rsidP="00CF0A23">
      <w:pPr>
        <w:pBdr>
          <w:top w:val="nil"/>
          <w:left w:val="nil"/>
          <w:bottom w:val="nil"/>
          <w:right w:val="nil"/>
          <w:between w:val="nil"/>
        </w:pBdr>
        <w:spacing w:after="0" w:line="360" w:lineRule="auto"/>
        <w:ind w:firstLine="567"/>
        <w:jc w:val="both"/>
        <w:rPr>
          <w:rFonts w:ascii="Times New Roman" w:hAnsi="Times New Roman" w:cs="Times New Roman"/>
          <w:color w:val="000000"/>
          <w:sz w:val="24"/>
          <w:szCs w:val="24"/>
        </w:rPr>
      </w:pPr>
      <w:r w:rsidRPr="00CF0A23">
        <w:rPr>
          <w:rFonts w:ascii="Times New Roman" w:hAnsi="Times New Roman" w:cs="Times New Roman"/>
          <w:color w:val="000000"/>
          <w:sz w:val="24"/>
          <w:szCs w:val="24"/>
        </w:rPr>
        <w:t xml:space="preserve">Genes involved in both JA and ET </w:t>
      </w:r>
      <w:proofErr w:type="spellStart"/>
      <w:r w:rsidRPr="00CF0A23">
        <w:rPr>
          <w:rFonts w:ascii="Times New Roman" w:hAnsi="Times New Roman" w:cs="Times New Roman"/>
          <w:color w:val="000000"/>
          <w:sz w:val="24"/>
          <w:szCs w:val="24"/>
        </w:rPr>
        <w:t>signaling</w:t>
      </w:r>
      <w:proofErr w:type="spellEnd"/>
      <w:r w:rsidRPr="00CF0A23">
        <w:rPr>
          <w:rFonts w:ascii="Times New Roman" w:hAnsi="Times New Roman" w:cs="Times New Roman"/>
          <w:color w:val="000000"/>
          <w:sz w:val="24"/>
          <w:szCs w:val="24"/>
        </w:rPr>
        <w:t xml:space="preserve"> pathways, </w:t>
      </w:r>
      <w:r w:rsidRPr="00CF0A23">
        <w:rPr>
          <w:rFonts w:ascii="Times New Roman" w:hAnsi="Times New Roman" w:cs="Times New Roman"/>
          <w:i/>
          <w:color w:val="000000"/>
          <w:sz w:val="24"/>
          <w:szCs w:val="24"/>
        </w:rPr>
        <w:t xml:space="preserve">HEL/PR4 </w:t>
      </w:r>
      <w:r w:rsidRPr="00CF0A23">
        <w:rPr>
          <w:rFonts w:ascii="Times New Roman" w:hAnsi="Times New Roman" w:cs="Times New Roman"/>
          <w:color w:val="000000"/>
          <w:sz w:val="24"/>
          <w:szCs w:val="24"/>
        </w:rPr>
        <w:t xml:space="preserve">and </w:t>
      </w:r>
      <w:r w:rsidRPr="00CF0A23">
        <w:rPr>
          <w:rFonts w:ascii="Times New Roman" w:hAnsi="Times New Roman" w:cs="Times New Roman"/>
          <w:i/>
          <w:color w:val="000000"/>
          <w:sz w:val="24"/>
          <w:szCs w:val="24"/>
        </w:rPr>
        <w:t>PDF1.2</w:t>
      </w:r>
      <w:r w:rsidRPr="00CF0A23">
        <w:rPr>
          <w:rFonts w:ascii="Times New Roman" w:hAnsi="Times New Roman" w:cs="Times New Roman"/>
          <w:color w:val="000000"/>
          <w:sz w:val="24"/>
          <w:szCs w:val="24"/>
        </w:rPr>
        <w:t xml:space="preserve">, were also found to be induced in leaf discs: the infestation caused the strongest upregulation of </w:t>
      </w:r>
      <w:r w:rsidRPr="00CF0A23">
        <w:rPr>
          <w:rFonts w:ascii="Times New Roman" w:hAnsi="Times New Roman" w:cs="Times New Roman"/>
          <w:i/>
          <w:color w:val="000000"/>
          <w:sz w:val="24"/>
          <w:szCs w:val="24"/>
        </w:rPr>
        <w:t xml:space="preserve">PDF1.2 </w:t>
      </w:r>
      <w:r w:rsidRPr="00CF0A23">
        <w:rPr>
          <w:rFonts w:ascii="Times New Roman" w:hAnsi="Times New Roman" w:cs="Times New Roman"/>
          <w:color w:val="000000"/>
          <w:sz w:val="24"/>
          <w:szCs w:val="24"/>
        </w:rPr>
        <w:t xml:space="preserve">at 48 h, and the transcription of </w:t>
      </w:r>
      <w:r w:rsidRPr="00CF0A23">
        <w:rPr>
          <w:rFonts w:ascii="Times New Roman" w:hAnsi="Times New Roman" w:cs="Times New Roman"/>
          <w:i/>
          <w:color w:val="000000"/>
          <w:sz w:val="24"/>
          <w:szCs w:val="24"/>
        </w:rPr>
        <w:t xml:space="preserve">HEL </w:t>
      </w:r>
      <w:r w:rsidRPr="00CF0A23">
        <w:rPr>
          <w:rFonts w:ascii="Times New Roman" w:hAnsi="Times New Roman" w:cs="Times New Roman"/>
          <w:color w:val="000000"/>
          <w:sz w:val="24"/>
          <w:szCs w:val="24"/>
        </w:rPr>
        <w:t xml:space="preserve">increased gradually. Interestingly, Moran et al. (2002) reported higher induction of </w:t>
      </w:r>
      <w:r w:rsidRPr="00CF0A23">
        <w:rPr>
          <w:rFonts w:ascii="Times New Roman" w:hAnsi="Times New Roman" w:cs="Times New Roman"/>
          <w:i/>
          <w:color w:val="000000"/>
          <w:sz w:val="24"/>
          <w:szCs w:val="24"/>
        </w:rPr>
        <w:t xml:space="preserve">PDF1.2 </w:t>
      </w:r>
      <w:r w:rsidRPr="00CF0A23">
        <w:rPr>
          <w:rFonts w:ascii="Times New Roman" w:hAnsi="Times New Roman" w:cs="Times New Roman"/>
          <w:color w:val="000000"/>
          <w:sz w:val="24"/>
          <w:szCs w:val="24"/>
        </w:rPr>
        <w:t xml:space="preserve">in </w:t>
      </w:r>
      <w:r w:rsidRPr="00CF0A23">
        <w:rPr>
          <w:rFonts w:ascii="Times New Roman" w:hAnsi="Times New Roman" w:cs="Times New Roman"/>
          <w:i/>
          <w:color w:val="000000"/>
          <w:sz w:val="24"/>
          <w:szCs w:val="24"/>
        </w:rPr>
        <w:t xml:space="preserve">B. </w:t>
      </w:r>
      <w:proofErr w:type="spellStart"/>
      <w:r w:rsidRPr="00CF0A23">
        <w:rPr>
          <w:rFonts w:ascii="Times New Roman" w:hAnsi="Times New Roman" w:cs="Times New Roman"/>
          <w:i/>
          <w:color w:val="000000"/>
          <w:sz w:val="24"/>
          <w:szCs w:val="24"/>
        </w:rPr>
        <w:t>brassicae</w:t>
      </w:r>
      <w:proofErr w:type="spellEnd"/>
      <w:r w:rsidRPr="00CF0A23">
        <w:rPr>
          <w:rFonts w:ascii="Times New Roman" w:hAnsi="Times New Roman" w:cs="Times New Roman"/>
          <w:color w:val="000000"/>
          <w:sz w:val="24"/>
          <w:szCs w:val="24"/>
        </w:rPr>
        <w:t xml:space="preserve">-infested leaves of </w:t>
      </w:r>
      <w:r w:rsidRPr="00CF0A23">
        <w:rPr>
          <w:rFonts w:ascii="Times New Roman" w:hAnsi="Times New Roman" w:cs="Times New Roman"/>
          <w:i/>
          <w:color w:val="000000"/>
          <w:sz w:val="24"/>
          <w:szCs w:val="24"/>
        </w:rPr>
        <w:t>A. thaliana</w:t>
      </w:r>
      <w:r w:rsidRPr="00CF0A23">
        <w:rPr>
          <w:rFonts w:ascii="Times New Roman" w:hAnsi="Times New Roman" w:cs="Times New Roman"/>
          <w:color w:val="000000"/>
          <w:sz w:val="24"/>
          <w:szCs w:val="24"/>
        </w:rPr>
        <w:t xml:space="preserve"> ecotype Col-0 (up to 48-fold) after 72 h of aphid feeding, whereas </w:t>
      </w:r>
      <w:proofErr w:type="spellStart"/>
      <w:r w:rsidRPr="00CF0A23">
        <w:rPr>
          <w:rFonts w:ascii="Times New Roman" w:hAnsi="Times New Roman" w:cs="Times New Roman"/>
          <w:color w:val="000000"/>
          <w:sz w:val="24"/>
          <w:szCs w:val="24"/>
        </w:rPr>
        <w:t>Kuśnierczyk</w:t>
      </w:r>
      <w:proofErr w:type="spellEnd"/>
      <w:r w:rsidRPr="00CF0A23">
        <w:rPr>
          <w:rFonts w:ascii="Times New Roman" w:hAnsi="Times New Roman" w:cs="Times New Roman"/>
          <w:color w:val="000000"/>
          <w:sz w:val="24"/>
          <w:szCs w:val="24"/>
        </w:rPr>
        <w:t xml:space="preserve"> et al. (2008) reported lower induction of </w:t>
      </w:r>
      <w:r w:rsidRPr="00CF0A23">
        <w:rPr>
          <w:rFonts w:ascii="Times New Roman" w:hAnsi="Times New Roman" w:cs="Times New Roman"/>
          <w:i/>
          <w:color w:val="000000"/>
          <w:sz w:val="24"/>
          <w:szCs w:val="24"/>
        </w:rPr>
        <w:t xml:space="preserve">PDF1.2 </w:t>
      </w:r>
      <w:r w:rsidRPr="00CF0A23">
        <w:rPr>
          <w:rFonts w:ascii="Times New Roman" w:hAnsi="Times New Roman" w:cs="Times New Roman"/>
          <w:color w:val="000000"/>
          <w:sz w:val="24"/>
          <w:szCs w:val="24"/>
        </w:rPr>
        <w:t xml:space="preserve">in infested rosettes of Ler ecotype at 48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xml:space="preserve"> (up to two-fold). Similarly to results</w:t>
      </w:r>
      <w:r w:rsidR="00544355">
        <w:rPr>
          <w:rFonts w:ascii="Times New Roman" w:hAnsi="Times New Roman" w:cs="Times New Roman"/>
          <w:color w:val="000000"/>
          <w:sz w:val="24"/>
          <w:szCs w:val="24"/>
        </w:rPr>
        <w:t xml:space="preserve"> shown here</w:t>
      </w:r>
      <w:r w:rsidRPr="00CF0A23">
        <w:rPr>
          <w:rFonts w:ascii="Times New Roman" w:hAnsi="Times New Roman" w:cs="Times New Roman"/>
          <w:color w:val="000000"/>
          <w:sz w:val="24"/>
          <w:szCs w:val="24"/>
        </w:rPr>
        <w:t xml:space="preserve">, </w:t>
      </w:r>
      <w:proofErr w:type="spellStart"/>
      <w:r w:rsidRPr="00CF0A23">
        <w:rPr>
          <w:rFonts w:ascii="Times New Roman" w:hAnsi="Times New Roman" w:cs="Times New Roman"/>
          <w:color w:val="000000"/>
          <w:sz w:val="24"/>
          <w:szCs w:val="24"/>
        </w:rPr>
        <w:t>Kuśnierczyk</w:t>
      </w:r>
      <w:proofErr w:type="spellEnd"/>
      <w:r w:rsidRPr="00CF0A23">
        <w:rPr>
          <w:rFonts w:ascii="Times New Roman" w:hAnsi="Times New Roman" w:cs="Times New Roman"/>
          <w:color w:val="000000"/>
          <w:sz w:val="24"/>
          <w:szCs w:val="24"/>
        </w:rPr>
        <w:t xml:space="preserve"> et al. (2008, 2007) reported gradual upregulation of </w:t>
      </w:r>
      <w:r w:rsidRPr="00CF0A23">
        <w:rPr>
          <w:rFonts w:ascii="Times New Roman" w:hAnsi="Times New Roman" w:cs="Times New Roman"/>
          <w:i/>
          <w:color w:val="000000"/>
          <w:sz w:val="24"/>
          <w:szCs w:val="24"/>
        </w:rPr>
        <w:t xml:space="preserve">HEL </w:t>
      </w:r>
      <w:r w:rsidRPr="00CF0A23">
        <w:rPr>
          <w:rFonts w:ascii="Times New Roman" w:hAnsi="Times New Roman" w:cs="Times New Roman"/>
          <w:color w:val="000000"/>
          <w:sz w:val="24"/>
          <w:szCs w:val="24"/>
        </w:rPr>
        <w:t xml:space="preserve">gene in the leaves and whole rosettes of </w:t>
      </w:r>
      <w:r w:rsidRPr="00CF0A23">
        <w:rPr>
          <w:rFonts w:ascii="Times New Roman" w:hAnsi="Times New Roman" w:cs="Times New Roman"/>
          <w:i/>
          <w:color w:val="000000"/>
          <w:sz w:val="24"/>
          <w:szCs w:val="24"/>
        </w:rPr>
        <w:t xml:space="preserve">A. thaliana </w:t>
      </w:r>
      <w:r w:rsidRPr="00CF0A23">
        <w:rPr>
          <w:rFonts w:ascii="Times New Roman" w:hAnsi="Times New Roman" w:cs="Times New Roman"/>
          <w:color w:val="000000"/>
          <w:sz w:val="24"/>
          <w:szCs w:val="24"/>
        </w:rPr>
        <w:t xml:space="preserve">ecotype Ler at 6, 24, 48 and 72 </w:t>
      </w:r>
      <w:proofErr w:type="spellStart"/>
      <w:r w:rsidRPr="00CF0A23">
        <w:rPr>
          <w:rFonts w:ascii="Times New Roman" w:hAnsi="Times New Roman" w:cs="Times New Roman"/>
          <w:color w:val="000000"/>
          <w:sz w:val="24"/>
          <w:szCs w:val="24"/>
        </w:rPr>
        <w:t>hpi</w:t>
      </w:r>
      <w:proofErr w:type="spellEnd"/>
      <w:r w:rsidRPr="00CF0A23">
        <w:rPr>
          <w:rFonts w:ascii="Times New Roman" w:hAnsi="Times New Roman" w:cs="Times New Roman"/>
          <w:color w:val="000000"/>
          <w:sz w:val="24"/>
          <w:szCs w:val="24"/>
        </w:rPr>
        <w:t>; however, the induction was relatively low (up to 2.7-fold).</w:t>
      </w:r>
    </w:p>
    <w:p w14:paraId="2150A19D" w14:textId="2AB1EE4C" w:rsidR="00E7693B" w:rsidRPr="00CF0A23" w:rsidRDefault="00E7693B" w:rsidP="00CF0A23">
      <w:pPr>
        <w:pBdr>
          <w:top w:val="nil"/>
          <w:left w:val="nil"/>
          <w:bottom w:val="nil"/>
          <w:right w:val="nil"/>
          <w:between w:val="nil"/>
        </w:pBdr>
        <w:spacing w:after="0" w:line="360" w:lineRule="auto"/>
        <w:ind w:firstLine="567"/>
        <w:jc w:val="both"/>
        <w:rPr>
          <w:rFonts w:ascii="Times New Roman" w:hAnsi="Times New Roman" w:cs="Times New Roman"/>
          <w:color w:val="000000"/>
          <w:sz w:val="24"/>
          <w:szCs w:val="24"/>
        </w:rPr>
      </w:pPr>
      <w:r w:rsidRPr="00CF0A23">
        <w:rPr>
          <w:rFonts w:ascii="Times New Roman" w:hAnsi="Times New Roman" w:cs="Times New Roman"/>
          <w:color w:val="000000"/>
          <w:sz w:val="24"/>
          <w:szCs w:val="24"/>
        </w:rPr>
        <w:t xml:space="preserve">To visualize the activation of marker genes </w:t>
      </w:r>
      <w:r w:rsidR="0038285A">
        <w:rPr>
          <w:rFonts w:ascii="Times New Roman" w:hAnsi="Times New Roman" w:cs="Times New Roman"/>
          <w:color w:val="000000"/>
          <w:sz w:val="24"/>
          <w:szCs w:val="24"/>
        </w:rPr>
        <w:t>at</w:t>
      </w:r>
      <w:r w:rsidR="0038285A" w:rsidRPr="00CF0A23">
        <w:rPr>
          <w:rFonts w:ascii="Times New Roman" w:hAnsi="Times New Roman" w:cs="Times New Roman"/>
          <w:color w:val="000000"/>
          <w:sz w:val="24"/>
          <w:szCs w:val="24"/>
        </w:rPr>
        <w:t xml:space="preserve"> </w:t>
      </w:r>
      <w:r w:rsidRPr="00CF0A23">
        <w:rPr>
          <w:rFonts w:ascii="Times New Roman" w:hAnsi="Times New Roman" w:cs="Times New Roman"/>
          <w:color w:val="000000"/>
          <w:sz w:val="24"/>
          <w:szCs w:val="24"/>
        </w:rPr>
        <w:t xml:space="preserve">a cellular level in different leaf tissues surrounding the stylet insertions, a set of promoter-reporter transgenic lines of </w:t>
      </w:r>
      <w:r w:rsidRPr="00CF0A23">
        <w:rPr>
          <w:rFonts w:ascii="Times New Roman" w:hAnsi="Times New Roman" w:cs="Times New Roman"/>
          <w:i/>
          <w:color w:val="000000"/>
          <w:sz w:val="24"/>
          <w:szCs w:val="24"/>
        </w:rPr>
        <w:t>A. thaliana</w:t>
      </w:r>
      <w:r w:rsidRPr="00CF0A23">
        <w:rPr>
          <w:rFonts w:ascii="Times New Roman" w:hAnsi="Times New Roman" w:cs="Times New Roman"/>
          <w:color w:val="000000"/>
          <w:sz w:val="24"/>
          <w:szCs w:val="24"/>
        </w:rPr>
        <w:t xml:space="preserve"> (</w:t>
      </w:r>
      <w:proofErr w:type="spellStart"/>
      <w:r w:rsidR="009A5D38">
        <w:fldChar w:fldCharType="begin"/>
      </w:r>
      <w:r w:rsidR="009A5D38">
        <w:instrText>HYPERLINK "https://www.zotero.org/google-docs/?7P8lwv" \h</w:instrText>
      </w:r>
      <w:r w:rsidR="009A5D38">
        <w:fldChar w:fldCharType="separate"/>
      </w:r>
      <w:r w:rsidRPr="00CF0A23">
        <w:rPr>
          <w:rFonts w:ascii="Times New Roman" w:hAnsi="Times New Roman" w:cs="Times New Roman"/>
          <w:color w:val="000000"/>
          <w:sz w:val="24"/>
          <w:szCs w:val="24"/>
        </w:rPr>
        <w:t>Marhavý</w:t>
      </w:r>
      <w:proofErr w:type="spellEnd"/>
      <w:r w:rsidRPr="00CF0A23">
        <w:rPr>
          <w:rFonts w:ascii="Times New Roman" w:hAnsi="Times New Roman" w:cs="Times New Roman"/>
          <w:color w:val="000000"/>
          <w:sz w:val="24"/>
          <w:szCs w:val="24"/>
        </w:rPr>
        <w:t xml:space="preserve"> et al.</w:t>
      </w:r>
      <w:r w:rsidR="009A5D38">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xml:space="preserve"> </w:t>
      </w:r>
      <w:hyperlink r:id="rId52">
        <w:r w:rsidRPr="00CF0A23">
          <w:rPr>
            <w:rFonts w:ascii="Times New Roman" w:hAnsi="Times New Roman" w:cs="Times New Roman"/>
            <w:color w:val="000000"/>
            <w:sz w:val="24"/>
            <w:szCs w:val="24"/>
          </w:rPr>
          <w:t>2019</w:t>
        </w:r>
      </w:hyperlink>
      <w:r w:rsidRPr="00CF0A23">
        <w:rPr>
          <w:rFonts w:ascii="Times New Roman" w:hAnsi="Times New Roman" w:cs="Times New Roman"/>
          <w:color w:val="000000"/>
          <w:sz w:val="24"/>
          <w:szCs w:val="24"/>
        </w:rPr>
        <w:t xml:space="preserve">) were used, expressing fusions of defence gene promoters with </w:t>
      </w:r>
      <w:proofErr w:type="spellStart"/>
      <w:r w:rsidRPr="00CF0A23">
        <w:rPr>
          <w:rFonts w:ascii="Times New Roman" w:hAnsi="Times New Roman" w:cs="Times New Roman"/>
          <w:color w:val="000000"/>
          <w:sz w:val="24"/>
          <w:szCs w:val="24"/>
        </w:rPr>
        <w:t>mVenus</w:t>
      </w:r>
      <w:proofErr w:type="spellEnd"/>
      <w:r w:rsidRPr="00CF0A23">
        <w:rPr>
          <w:rFonts w:ascii="Times New Roman" w:hAnsi="Times New Roman" w:cs="Times New Roman"/>
          <w:color w:val="000000"/>
          <w:sz w:val="24"/>
          <w:szCs w:val="24"/>
        </w:rPr>
        <w:t xml:space="preserve"> reporter and a nuclear localization signal (NLS). The lines were originally designed to study gene activation in roots during the infestation by nematode </w:t>
      </w:r>
      <w:proofErr w:type="spellStart"/>
      <w:r w:rsidRPr="00CF0A23">
        <w:rPr>
          <w:rFonts w:ascii="Times New Roman" w:hAnsi="Times New Roman" w:cs="Times New Roman"/>
          <w:i/>
          <w:color w:val="000000"/>
          <w:sz w:val="24"/>
          <w:szCs w:val="24"/>
        </w:rPr>
        <w:t>Heterodera</w:t>
      </w:r>
      <w:proofErr w:type="spellEnd"/>
      <w:r w:rsidRPr="00CF0A23">
        <w:rPr>
          <w:rFonts w:ascii="Times New Roman" w:hAnsi="Times New Roman" w:cs="Times New Roman"/>
          <w:i/>
          <w:color w:val="000000"/>
          <w:sz w:val="24"/>
          <w:szCs w:val="24"/>
        </w:rPr>
        <w:t xml:space="preserve"> </w:t>
      </w:r>
      <w:proofErr w:type="spellStart"/>
      <w:r w:rsidRPr="00CF0A23">
        <w:rPr>
          <w:rFonts w:ascii="Times New Roman" w:hAnsi="Times New Roman" w:cs="Times New Roman"/>
          <w:i/>
          <w:color w:val="000000"/>
          <w:sz w:val="24"/>
          <w:szCs w:val="24"/>
        </w:rPr>
        <w:t>schachtii</w:t>
      </w:r>
      <w:proofErr w:type="spellEnd"/>
      <w:r w:rsidRPr="00CF0A23">
        <w:rPr>
          <w:rFonts w:ascii="Times New Roman" w:hAnsi="Times New Roman" w:cs="Times New Roman"/>
          <w:color w:val="000000"/>
          <w:sz w:val="24"/>
          <w:szCs w:val="24"/>
        </w:rPr>
        <w:t xml:space="preserve">. Hence, the authors monitored nematode performance from the first moment of root invasion until the feeding establishment and analysed SA, JA and ET-associated responses. During this cellular damage interval, the induction of SA and JA-associated markers was not detected, while the expression of ET marker line was significantly induced. </w:t>
      </w:r>
      <w:r w:rsidR="00755BFE">
        <w:rPr>
          <w:rFonts w:ascii="Times New Roman" w:hAnsi="Times New Roman" w:cs="Times New Roman"/>
          <w:color w:val="000000"/>
          <w:sz w:val="24"/>
          <w:szCs w:val="24"/>
        </w:rPr>
        <w:t>This</w:t>
      </w:r>
      <w:r w:rsidRPr="00CF0A23">
        <w:rPr>
          <w:rFonts w:ascii="Times New Roman" w:hAnsi="Times New Roman" w:cs="Times New Roman"/>
          <w:color w:val="000000"/>
          <w:sz w:val="24"/>
          <w:szCs w:val="24"/>
        </w:rPr>
        <w:t xml:space="preserve"> method </w:t>
      </w:r>
      <w:r w:rsidR="00755BFE">
        <w:rPr>
          <w:rFonts w:ascii="Times New Roman" w:hAnsi="Times New Roman" w:cs="Times New Roman"/>
          <w:color w:val="000000"/>
          <w:sz w:val="24"/>
          <w:szCs w:val="24"/>
        </w:rPr>
        <w:t xml:space="preserve">was found </w:t>
      </w:r>
      <w:r w:rsidRPr="00CF0A23">
        <w:rPr>
          <w:rFonts w:ascii="Times New Roman" w:hAnsi="Times New Roman" w:cs="Times New Roman"/>
          <w:color w:val="000000"/>
          <w:sz w:val="24"/>
          <w:szCs w:val="24"/>
        </w:rPr>
        <w:t xml:space="preserve">applicable for experiments with aphids, as with this approach the single aphid “effect zone” can be studied. Using promoter-reporter lines the activation of SA and JA </w:t>
      </w:r>
      <w:proofErr w:type="spellStart"/>
      <w:r w:rsidRPr="00CF0A23">
        <w:rPr>
          <w:rFonts w:ascii="Times New Roman" w:hAnsi="Times New Roman" w:cs="Times New Roman"/>
          <w:color w:val="000000"/>
          <w:sz w:val="24"/>
          <w:szCs w:val="24"/>
        </w:rPr>
        <w:t>signaling</w:t>
      </w:r>
      <w:proofErr w:type="spellEnd"/>
      <w:r w:rsidRPr="00CF0A23">
        <w:rPr>
          <w:rFonts w:ascii="Times New Roman" w:hAnsi="Times New Roman" w:cs="Times New Roman"/>
          <w:color w:val="000000"/>
          <w:sz w:val="24"/>
          <w:szCs w:val="24"/>
        </w:rPr>
        <w:t xml:space="preserve"> during aphid infestation was confirmed.</w:t>
      </w:r>
    </w:p>
    <w:p w14:paraId="2150A19E" w14:textId="4467115A" w:rsidR="00E7693B" w:rsidRPr="00CF0A23" w:rsidRDefault="00544355" w:rsidP="00CF0A23">
      <w:pPr>
        <w:pBdr>
          <w:top w:val="nil"/>
          <w:left w:val="nil"/>
          <w:bottom w:val="nil"/>
          <w:right w:val="nil"/>
          <w:between w:val="nil"/>
        </w:pBdr>
        <w:spacing w:after="0" w:line="360" w:lineRule="auto"/>
        <w:ind w:firstLine="43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results of </w:t>
      </w:r>
      <w:r w:rsidR="00E7693B" w:rsidRPr="00CF0A23">
        <w:rPr>
          <w:rFonts w:ascii="Times New Roman" w:hAnsi="Times New Roman" w:cs="Times New Roman"/>
          <w:color w:val="000000"/>
          <w:sz w:val="24"/>
          <w:szCs w:val="24"/>
        </w:rPr>
        <w:t xml:space="preserve">callose deposition confirmed previously observed callose formations </w:t>
      </w:r>
      <w:hyperlink r:id="rId53">
        <w:r w:rsidR="00E7693B" w:rsidRPr="00CF0A23">
          <w:rPr>
            <w:rFonts w:ascii="Times New Roman" w:hAnsi="Times New Roman" w:cs="Times New Roman"/>
            <w:color w:val="000000"/>
            <w:sz w:val="24"/>
            <w:szCs w:val="24"/>
          </w:rPr>
          <w:t>(</w:t>
        </w:r>
        <w:proofErr w:type="spellStart"/>
        <w:r w:rsidR="00E7693B" w:rsidRPr="00CF0A23">
          <w:rPr>
            <w:rFonts w:ascii="Times New Roman" w:hAnsi="Times New Roman" w:cs="Times New Roman"/>
            <w:color w:val="000000"/>
            <w:sz w:val="24"/>
            <w:szCs w:val="24"/>
          </w:rPr>
          <w:t>Kuśnierczyk</w:t>
        </w:r>
        <w:proofErr w:type="spellEnd"/>
        <w:r w:rsidR="00E7693B" w:rsidRPr="00CF0A23">
          <w:rPr>
            <w:rFonts w:ascii="Times New Roman" w:hAnsi="Times New Roman" w:cs="Times New Roman"/>
            <w:color w:val="000000"/>
            <w:sz w:val="24"/>
            <w:szCs w:val="24"/>
          </w:rPr>
          <w:t xml:space="preserve"> et al. 2008)</w:t>
        </w:r>
      </w:hyperlink>
      <w:r w:rsidR="00E7693B" w:rsidRPr="00CF0A23">
        <w:rPr>
          <w:rFonts w:ascii="Times New Roman" w:hAnsi="Times New Roman" w:cs="Times New Roman"/>
          <w:color w:val="000000"/>
          <w:sz w:val="24"/>
          <w:szCs w:val="24"/>
        </w:rPr>
        <w:t xml:space="preserve"> around the stylet insertion sites during </w:t>
      </w:r>
      <w:r w:rsidR="00E7693B" w:rsidRPr="00CF0A23">
        <w:rPr>
          <w:rFonts w:ascii="Times New Roman" w:hAnsi="Times New Roman" w:cs="Times New Roman"/>
          <w:i/>
          <w:color w:val="000000"/>
          <w:sz w:val="24"/>
          <w:szCs w:val="24"/>
        </w:rPr>
        <w:t xml:space="preserve">B. </w:t>
      </w:r>
      <w:proofErr w:type="spellStart"/>
      <w:r w:rsidR="00E7693B" w:rsidRPr="00CF0A23">
        <w:rPr>
          <w:rFonts w:ascii="Times New Roman" w:hAnsi="Times New Roman" w:cs="Times New Roman"/>
          <w:i/>
          <w:color w:val="000000"/>
          <w:sz w:val="24"/>
          <w:szCs w:val="24"/>
        </w:rPr>
        <w:t>brassicae</w:t>
      </w:r>
      <w:proofErr w:type="spellEnd"/>
      <w:r w:rsidR="00E7693B" w:rsidRPr="00CF0A23">
        <w:rPr>
          <w:rFonts w:ascii="Times New Roman" w:hAnsi="Times New Roman" w:cs="Times New Roman"/>
          <w:color w:val="000000"/>
          <w:sz w:val="24"/>
          <w:szCs w:val="24"/>
        </w:rPr>
        <w:t xml:space="preserve"> wounding of </w:t>
      </w:r>
      <w:r w:rsidR="00E7693B" w:rsidRPr="00CF0A23">
        <w:rPr>
          <w:rFonts w:ascii="Times New Roman" w:hAnsi="Times New Roman" w:cs="Times New Roman"/>
          <w:i/>
          <w:color w:val="000000"/>
          <w:sz w:val="24"/>
          <w:szCs w:val="24"/>
        </w:rPr>
        <w:t>Arabidopsis</w:t>
      </w:r>
      <w:r w:rsidR="00E7693B" w:rsidRPr="00CF0A23">
        <w:rPr>
          <w:rFonts w:ascii="Times New Roman" w:hAnsi="Times New Roman" w:cs="Times New Roman"/>
          <w:color w:val="000000"/>
          <w:sz w:val="24"/>
          <w:szCs w:val="24"/>
        </w:rPr>
        <w:t xml:space="preserve"> cells. Interestingly, generalist aphids seem to trigger similar response in </w:t>
      </w:r>
      <w:r w:rsidR="00E7693B" w:rsidRPr="00CF0A23">
        <w:rPr>
          <w:rFonts w:ascii="Times New Roman" w:hAnsi="Times New Roman" w:cs="Times New Roman"/>
          <w:i/>
          <w:color w:val="000000"/>
          <w:sz w:val="24"/>
          <w:szCs w:val="24"/>
        </w:rPr>
        <w:t>Arabidopsis</w:t>
      </w:r>
      <w:r w:rsidR="00E7693B" w:rsidRPr="00CF0A23">
        <w:rPr>
          <w:rFonts w:ascii="Times New Roman" w:hAnsi="Times New Roman" w:cs="Times New Roman"/>
          <w:color w:val="000000"/>
          <w:sz w:val="24"/>
          <w:szCs w:val="24"/>
        </w:rPr>
        <w:t xml:space="preserve">: De Vos et al. (2005) observed </w:t>
      </w:r>
      <w:r w:rsidR="00E7693B" w:rsidRPr="00CF0A23">
        <w:rPr>
          <w:rFonts w:ascii="Times New Roman" w:hAnsi="Times New Roman" w:cs="Times New Roman"/>
          <w:i/>
          <w:color w:val="000000"/>
          <w:sz w:val="24"/>
          <w:szCs w:val="24"/>
        </w:rPr>
        <w:t xml:space="preserve">PR1 </w:t>
      </w:r>
      <w:r w:rsidR="00E7693B" w:rsidRPr="00CF0A23">
        <w:rPr>
          <w:rFonts w:ascii="Times New Roman" w:hAnsi="Times New Roman" w:cs="Times New Roman"/>
          <w:color w:val="000000"/>
          <w:sz w:val="24"/>
          <w:szCs w:val="24"/>
        </w:rPr>
        <w:t>gene induction around aphid feeding sites in PR1::GUS expressing</w:t>
      </w:r>
      <w:r w:rsidR="00E7693B" w:rsidRPr="00CF0A23">
        <w:rPr>
          <w:rFonts w:ascii="Times New Roman" w:hAnsi="Times New Roman" w:cs="Times New Roman"/>
          <w:i/>
          <w:color w:val="000000"/>
          <w:sz w:val="24"/>
          <w:szCs w:val="24"/>
        </w:rPr>
        <w:t xml:space="preserve"> </w:t>
      </w:r>
      <w:r w:rsidR="00E7693B" w:rsidRPr="00CF0A23">
        <w:rPr>
          <w:rFonts w:ascii="Times New Roman" w:hAnsi="Times New Roman" w:cs="Times New Roman"/>
          <w:color w:val="000000"/>
          <w:sz w:val="24"/>
          <w:szCs w:val="24"/>
        </w:rPr>
        <w:t xml:space="preserve">leaves, but only after 72 h of </w:t>
      </w:r>
      <w:proofErr w:type="spellStart"/>
      <w:r w:rsidR="00E7693B" w:rsidRPr="00CF0A23">
        <w:rPr>
          <w:rFonts w:ascii="Times New Roman" w:hAnsi="Times New Roman" w:cs="Times New Roman"/>
          <w:i/>
          <w:color w:val="000000"/>
          <w:sz w:val="24"/>
          <w:szCs w:val="24"/>
        </w:rPr>
        <w:t>Myzus</w:t>
      </w:r>
      <w:proofErr w:type="spellEnd"/>
      <w:r w:rsidR="00E7693B" w:rsidRPr="00CF0A23">
        <w:rPr>
          <w:rFonts w:ascii="Times New Roman" w:hAnsi="Times New Roman" w:cs="Times New Roman"/>
          <w:i/>
          <w:color w:val="000000"/>
          <w:sz w:val="24"/>
          <w:szCs w:val="24"/>
        </w:rPr>
        <w:t xml:space="preserve"> </w:t>
      </w:r>
      <w:proofErr w:type="spellStart"/>
      <w:r w:rsidR="00E7693B" w:rsidRPr="00CF0A23">
        <w:rPr>
          <w:rFonts w:ascii="Times New Roman" w:hAnsi="Times New Roman" w:cs="Times New Roman"/>
          <w:i/>
          <w:color w:val="000000"/>
          <w:sz w:val="24"/>
          <w:szCs w:val="24"/>
        </w:rPr>
        <w:t>persicae</w:t>
      </w:r>
      <w:proofErr w:type="spellEnd"/>
      <w:r w:rsidR="00E7693B" w:rsidRPr="00CF0A23">
        <w:rPr>
          <w:rFonts w:ascii="Times New Roman" w:hAnsi="Times New Roman" w:cs="Times New Roman"/>
          <w:i/>
          <w:color w:val="000000"/>
          <w:sz w:val="24"/>
          <w:szCs w:val="24"/>
        </w:rPr>
        <w:t xml:space="preserve"> </w:t>
      </w:r>
      <w:r w:rsidR="00E7693B" w:rsidRPr="00CF0A23">
        <w:rPr>
          <w:rFonts w:ascii="Times New Roman" w:hAnsi="Times New Roman" w:cs="Times New Roman"/>
          <w:color w:val="000000"/>
          <w:sz w:val="24"/>
          <w:szCs w:val="24"/>
        </w:rPr>
        <w:t xml:space="preserve">feeding. This could be explained by variation in protein concentration and composition of saliva between specialist and generalist aphid species that causes different response intensity from plant defence system </w:t>
      </w:r>
      <w:r w:rsidR="000531F9">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{"citationID":"20578syR","properties":{"formattedCitation":"(Will et al., 2009)","plainCitation":"(Will et al., 2009)","noteIndex":0},"citationItems":[{"id":114,"uris":["http://zotero.org/users/10895598/items/GIIM7VVS"],"itemData":{"id":114,"type":"article-journal","container-title":"Journal of Experimental Biology","DOI":"10.1242/jeb.028514","ISSN":"0022-0949, 1477-9145","issue":"20","journalAbbreviation":"Journal of Experimental Biology","language":"en","page":"3305-3312","source":"DOI.org (Crossref)","title":"Aphid watery saliva counteracts sieve-tube occlusion: a universal phenomenon?","title-short":"Aphid watery saliva counteracts sieve-tube occlusion","volume":"212","author":[{"family":"Will","given":"T."},{"family":"Kornemann","given":"S. R."},{"family":"Furch","given":"A. C. U."},{"family":"Tjallingii","given":"W. F."},{"family":"Bel","given":"A. J. E.","non-dropping-particle":"van"}],"issued":{"date-parts":[["2009",10,15]]}}}],"schema":"https://github.com/citation-style-language/schema/raw/master/csl-citation.json"} </w:instrText>
      </w:r>
      <w:r w:rsidR="000531F9">
        <w:rPr>
          <w:rFonts w:ascii="Times New Roman" w:hAnsi="Times New Roman" w:cs="Times New Roman"/>
          <w:sz w:val="24"/>
          <w:szCs w:val="24"/>
        </w:rPr>
        <w:fldChar w:fldCharType="separate"/>
      </w:r>
      <w:r w:rsidR="000531F9" w:rsidRPr="000531F9">
        <w:rPr>
          <w:rFonts w:ascii="Times New Roman" w:hAnsi="Times New Roman" w:cs="Times New Roman"/>
          <w:sz w:val="24"/>
        </w:rPr>
        <w:t>(Will et al., 2009)</w:t>
      </w:r>
      <w:r w:rsidR="000531F9">
        <w:rPr>
          <w:rFonts w:ascii="Times New Roman" w:hAnsi="Times New Roman" w:cs="Times New Roman"/>
          <w:sz w:val="24"/>
          <w:szCs w:val="24"/>
        </w:rPr>
        <w:fldChar w:fldCharType="end"/>
      </w:r>
      <w:r w:rsidR="00E7693B" w:rsidRPr="00CF0A23">
        <w:rPr>
          <w:rFonts w:ascii="Times New Roman" w:hAnsi="Times New Roman" w:cs="Times New Roman"/>
          <w:color w:val="000000"/>
          <w:sz w:val="24"/>
          <w:szCs w:val="24"/>
        </w:rPr>
        <w:t>.</w:t>
      </w:r>
    </w:p>
    <w:p w14:paraId="2150A19F" w14:textId="1A61D6FD" w:rsidR="00E7693B" w:rsidRPr="00CF0A23" w:rsidRDefault="00E7693B" w:rsidP="00CF0A23">
      <w:pPr>
        <w:pBdr>
          <w:top w:val="nil"/>
          <w:left w:val="nil"/>
          <w:bottom w:val="nil"/>
          <w:right w:val="nil"/>
          <w:between w:val="nil"/>
        </w:pBdr>
        <w:spacing w:line="360" w:lineRule="auto"/>
        <w:ind w:firstLine="567"/>
        <w:jc w:val="both"/>
        <w:rPr>
          <w:rFonts w:ascii="Times New Roman" w:hAnsi="Times New Roman" w:cs="Times New Roman"/>
          <w:color w:val="000000"/>
          <w:sz w:val="24"/>
          <w:szCs w:val="24"/>
        </w:rPr>
      </w:pPr>
      <w:r w:rsidRPr="00CF0A23">
        <w:rPr>
          <w:rFonts w:ascii="Times New Roman" w:hAnsi="Times New Roman" w:cs="Times New Roman"/>
          <w:color w:val="000000"/>
          <w:sz w:val="24"/>
          <w:szCs w:val="24"/>
        </w:rPr>
        <w:t xml:space="preserve">With the development of novel visualization tools, the research on plant/pest interactions is getting more precise and detailed. Here it was shown that the stylet penetration during attack by the </w:t>
      </w:r>
      <w:r w:rsidRPr="00CF0A23">
        <w:rPr>
          <w:rFonts w:ascii="Times New Roman" w:hAnsi="Times New Roman" w:cs="Times New Roman"/>
          <w:i/>
          <w:color w:val="000000"/>
          <w:sz w:val="24"/>
          <w:szCs w:val="24"/>
        </w:rPr>
        <w:t xml:space="preserve">B. </w:t>
      </w:r>
      <w:proofErr w:type="spellStart"/>
      <w:r w:rsidRPr="00CF0A23">
        <w:rPr>
          <w:rFonts w:ascii="Times New Roman" w:hAnsi="Times New Roman" w:cs="Times New Roman"/>
          <w:i/>
          <w:color w:val="000000"/>
          <w:sz w:val="24"/>
          <w:szCs w:val="24"/>
        </w:rPr>
        <w:t>brassicae</w:t>
      </w:r>
      <w:proofErr w:type="spellEnd"/>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aphid causes a rapid activation of plant defence signals</w:t>
      </w:r>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 xml:space="preserve">in the cells surrounding the stylet puncture in </w:t>
      </w:r>
      <w:r w:rsidRPr="00CF0A23">
        <w:rPr>
          <w:rFonts w:ascii="Times New Roman" w:hAnsi="Times New Roman" w:cs="Times New Roman"/>
          <w:i/>
          <w:color w:val="000000"/>
          <w:sz w:val="24"/>
          <w:szCs w:val="24"/>
        </w:rPr>
        <w:t>A. thaliana</w:t>
      </w:r>
      <w:r w:rsidRPr="00CF0A23">
        <w:rPr>
          <w:rFonts w:ascii="Times New Roman" w:hAnsi="Times New Roman" w:cs="Times New Roman"/>
          <w:color w:val="000000"/>
          <w:sz w:val="24"/>
          <w:szCs w:val="24"/>
        </w:rPr>
        <w:t>. In time, the induction spreads along the veins and, to a lesser extent, radially to leaf tissues. Subtle, though biologically important changes in transcriptomic response can be detected by performing precise sampling procedures (</w:t>
      </w:r>
      <w:r w:rsidRPr="00CF0A23">
        <w:rPr>
          <w:rFonts w:ascii="Times New Roman" w:hAnsi="Times New Roman" w:cs="Times New Roman"/>
          <w:i/>
          <w:color w:val="000000"/>
          <w:sz w:val="24"/>
          <w:szCs w:val="24"/>
        </w:rPr>
        <w:t>i.e.</w:t>
      </w:r>
      <w:r w:rsidRPr="00CF0A23">
        <w:rPr>
          <w:rFonts w:ascii="Times New Roman" w:hAnsi="Times New Roman" w:cs="Times New Roman"/>
          <w:color w:val="000000"/>
          <w:sz w:val="24"/>
          <w:szCs w:val="24"/>
        </w:rPr>
        <w:t xml:space="preserve"> collecting leaf discs around feeding sites instead of pooling material from the whole infested rosettes or leaves). Local transcriptomic remodelling seems to occur faster in tissues close to feeding sites than in the rest of the leaf when comparing to previously published studies. It can also be suggested that important dynamics in space and time soon after herbivore attack may be missed if not using spatially explicit sampling, as also found for the reaction of leaf photosynthesis to herbivory </w:t>
      </w:r>
      <w:r w:rsidR="000531F9">
        <w:rPr>
          <w:rFonts w:ascii="Times New Roman" w:hAnsi="Times New Roman" w:cs="Times New Roman"/>
          <w:color w:val="000000"/>
          <w:sz w:val="24"/>
          <w:szCs w:val="24"/>
        </w:rPr>
        <w:fldChar w:fldCharType="begin"/>
      </w:r>
      <w:r w:rsidR="00D5193C">
        <w:rPr>
          <w:rFonts w:ascii="Times New Roman" w:hAnsi="Times New Roman" w:cs="Times New Roman"/>
          <w:color w:val="000000"/>
          <w:sz w:val="24"/>
          <w:szCs w:val="24"/>
        </w:rPr>
        <w:instrText xml:space="preserve"> ADDIN ZOTERO_ITEM CSL_CITATION {"citationID":"LJ1rnVrW","properties":{"formattedCitation":"(Moustaka et al., 2021)","plainCitation":"(Moustaka et al., 2021)","noteIndex":0},"citationItems":[{"id":688,"uris":["http://zotero.org/users/10895598/items/PNE7HH3R"],"itemData":{"id":688,"type":"article-journal","abstract":"In addition to direct tissue consumption, herbivory may affect other important plant processes. Here, we evaluated the effects of short-time leaf feeding by Spodoptera exigua larvae on the photosynthetic efficiency of tomato plants, using chlorophyll a fluorescence imaging analysis. After 15 min of feeding, the light used for photochemistry at photosystem II (PSII) (ΦPSII), and the regulated heat loss at PSII (ΦNPQ) decreased locally at the feeding zones, accompanied by increased non-regulated energy losses (ΦNO) that indicated increased singlet oxygen (1O2) formation. In contrast, in zones neighboring the feeding zones and in the rest of the leaf, ΦPSII increased due to a decreased ΦNPQ. This suggests that leaf areas not directly affected by herbivory compensate for the photosynthetic losses by increasing the fraction of open PSII reaction centers (qp) and the efficiency of these centers (Fv’/Fm’), because of decreased non-photochemical quenching (NPQ). This compensatory reaction mechanism may be signaled by singlet oxygen formed at the feeding zone. PSII functionality at the feeding zones began to balance with the rest of the leaf 3 h after feeding, in parallel with decreased compensatory responses. Thus, 3 h after feeding, PSII efficiency at the whole-leaf level was the same as before feeding, indicating that the plant managed to overcome the feeding effects with no or minor photosynthetic costs.","container-title":"Insects","DOI":"10.3390/insects12060562","ISSN":"2075-4450","issue":"6","journalAbbreviation":"Insects","language":"en","page":"562","source":"DOI.org (Crossref)","title":"Induction of a compensatory photosynthetic response mechanism in tomato leaves upon short time feeding by the chewing insect &lt;i&gt;Spodoptera exigua&lt;/i&gt;","volume":"12","author":[{"family":"Moustaka","given":"Julietta"},{"family":"Meyling","given":"Nicolai Vitt"},{"family":"Hauser","given":"Thure Pavlo"}],"issued":{"date-parts":[["2021",6,18]]}}}],"schema":"https://github.com/citation-style-language/schema/raw/master/csl-citation.json"} </w:instrText>
      </w:r>
      <w:r w:rsidR="000531F9">
        <w:rPr>
          <w:rFonts w:ascii="Times New Roman" w:hAnsi="Times New Roman" w:cs="Times New Roman"/>
          <w:color w:val="000000"/>
          <w:sz w:val="24"/>
          <w:szCs w:val="24"/>
        </w:rPr>
        <w:fldChar w:fldCharType="separate"/>
      </w:r>
      <w:r w:rsidR="000531F9" w:rsidRPr="000531F9">
        <w:rPr>
          <w:rFonts w:ascii="Times New Roman" w:hAnsi="Times New Roman" w:cs="Times New Roman"/>
          <w:sz w:val="24"/>
        </w:rPr>
        <w:t>(Moustaka et al., 2021)</w:t>
      </w:r>
      <w:r w:rsidR="000531F9">
        <w:rPr>
          <w:rFonts w:ascii="Times New Roman" w:hAnsi="Times New Roman" w:cs="Times New Roman"/>
          <w:color w:val="000000"/>
          <w:sz w:val="24"/>
          <w:szCs w:val="24"/>
        </w:rPr>
        <w:fldChar w:fldCharType="end"/>
      </w:r>
      <w:r w:rsidRPr="00CF0A23">
        <w:rPr>
          <w:rFonts w:ascii="Times New Roman" w:hAnsi="Times New Roman" w:cs="Times New Roman"/>
          <w:color w:val="000000"/>
          <w:sz w:val="24"/>
          <w:szCs w:val="24"/>
        </w:rPr>
        <w:t>. Attention should be directed to the need for a detailed description of sampling protocols that might influence the data output, especially for high-throughput methods such as transcriptomics or metabolomics.</w:t>
      </w:r>
      <w:r w:rsidR="008E7789">
        <w:rPr>
          <w:rFonts w:ascii="Times New Roman" w:hAnsi="Times New Roman" w:cs="Times New Roman"/>
          <w:color w:val="000000"/>
          <w:sz w:val="24"/>
          <w:szCs w:val="24"/>
        </w:rPr>
        <w:t xml:space="preserve"> </w:t>
      </w:r>
      <w:r w:rsidR="008E7789" w:rsidRPr="008E7789">
        <w:rPr>
          <w:rFonts w:ascii="Times New Roman" w:hAnsi="Times New Roman" w:cs="Times New Roman"/>
          <w:color w:val="000000"/>
          <w:sz w:val="24"/>
          <w:szCs w:val="24"/>
        </w:rPr>
        <w:t>Thorough documentation of the starting material enhances the quality, reliability, and reproducibility of omics research, enabling scientists to draw more accurate and meaningful conclusions from their studies.</w:t>
      </w:r>
    </w:p>
    <w:p w14:paraId="2150A1A0" w14:textId="77777777" w:rsidR="00E7693B" w:rsidRPr="00CF0A23" w:rsidRDefault="00E7693B" w:rsidP="00CF0A23">
      <w:pPr>
        <w:spacing w:line="360" w:lineRule="auto"/>
        <w:jc w:val="both"/>
        <w:rPr>
          <w:rFonts w:ascii="Times New Roman" w:hAnsi="Times New Roman" w:cs="Times New Roman"/>
          <w:sz w:val="24"/>
          <w:szCs w:val="24"/>
        </w:rPr>
      </w:pPr>
      <w:r w:rsidRPr="00CF0A23">
        <w:rPr>
          <w:rFonts w:ascii="Times New Roman" w:hAnsi="Times New Roman" w:cs="Times New Roman"/>
          <w:sz w:val="24"/>
          <w:szCs w:val="24"/>
        </w:rPr>
        <w:br w:type="page"/>
      </w:r>
    </w:p>
    <w:p w14:paraId="2150A1A4" w14:textId="5292CE70" w:rsidR="00E7693B" w:rsidRDefault="00E7693B" w:rsidP="0074184F">
      <w:pPr>
        <w:pStyle w:val="Heading2"/>
      </w:pPr>
      <w:bookmarkStart w:id="80" w:name="_Toc167977646"/>
      <w:r w:rsidRPr="00E7693B">
        <w:t xml:space="preserve">Can </w:t>
      </w:r>
      <w:r w:rsidRPr="00CF0A23">
        <w:rPr>
          <w:i/>
        </w:rPr>
        <w:t xml:space="preserve">Metarhizium </w:t>
      </w:r>
      <w:proofErr w:type="spellStart"/>
      <w:r w:rsidRPr="00CF0A23">
        <w:rPr>
          <w:i/>
        </w:rPr>
        <w:t>robertsii</w:t>
      </w:r>
      <w:proofErr w:type="spellEnd"/>
      <w:r w:rsidRPr="00E7693B">
        <w:t xml:space="preserve"> prime cauliflower for defence against </w:t>
      </w:r>
      <w:r w:rsidRPr="00CF0A23">
        <w:rPr>
          <w:i/>
        </w:rPr>
        <w:t xml:space="preserve">Leptosphaeria </w:t>
      </w:r>
      <w:proofErr w:type="spellStart"/>
      <w:r w:rsidRPr="00CF0A23">
        <w:rPr>
          <w:i/>
        </w:rPr>
        <w:t>maculans</w:t>
      </w:r>
      <w:proofErr w:type="spellEnd"/>
      <w:r w:rsidRPr="00E7693B">
        <w:t>?</w:t>
      </w:r>
      <w:bookmarkEnd w:id="80"/>
    </w:p>
    <w:p w14:paraId="47FC5A2B" w14:textId="77777777" w:rsidR="0074184F" w:rsidRPr="0074184F" w:rsidRDefault="0074184F" w:rsidP="0074184F">
      <w:pPr>
        <w:rPr>
          <w:rFonts w:ascii="Times New Roman" w:hAnsi="Times New Roman" w:cs="Times New Roman"/>
          <w:sz w:val="24"/>
          <w:szCs w:val="24"/>
        </w:rPr>
      </w:pPr>
    </w:p>
    <w:p w14:paraId="625FC55C" w14:textId="78511044" w:rsidR="00727A64" w:rsidRDefault="00727A64" w:rsidP="00EC70C2">
      <w:pPr>
        <w:pStyle w:val="Heading3"/>
      </w:pPr>
      <w:bookmarkStart w:id="81" w:name="_Toc167977647"/>
      <w:r>
        <w:t>Introduction</w:t>
      </w:r>
      <w:bookmarkEnd w:id="81"/>
    </w:p>
    <w:p w14:paraId="204F02C7" w14:textId="77777777" w:rsidR="00727A64" w:rsidRDefault="00727A64" w:rsidP="00727A64">
      <w:pPr>
        <w:rPr>
          <w:rFonts w:ascii="Times New Roman" w:hAnsi="Times New Roman" w:cs="Times New Roman"/>
          <w:sz w:val="24"/>
          <w:szCs w:val="24"/>
        </w:rPr>
      </w:pPr>
    </w:p>
    <w:p w14:paraId="092A3A4E" w14:textId="2AAD2353" w:rsidR="006C5896" w:rsidRPr="006C5896" w:rsidRDefault="006C5896" w:rsidP="006809BE">
      <w:pPr>
        <w:spacing w:after="0" w:line="360" w:lineRule="auto"/>
        <w:ind w:firstLine="720"/>
        <w:jc w:val="both"/>
        <w:rPr>
          <w:rFonts w:ascii="Times New Roman" w:hAnsi="Times New Roman" w:cs="Times New Roman"/>
          <w:sz w:val="24"/>
          <w:szCs w:val="24"/>
          <w:lang w:val="en-US"/>
        </w:rPr>
      </w:pPr>
      <w:r w:rsidRPr="006C5896">
        <w:rPr>
          <w:rFonts w:ascii="Times New Roman" w:hAnsi="Times New Roman" w:cs="Times New Roman"/>
          <w:i/>
          <w:sz w:val="24"/>
          <w:szCs w:val="24"/>
          <w:lang w:val="en-US"/>
        </w:rPr>
        <w:t xml:space="preserve">Metarhizium </w:t>
      </w:r>
      <w:proofErr w:type="spellStart"/>
      <w:r w:rsidRPr="006C5896">
        <w:rPr>
          <w:rFonts w:ascii="Times New Roman" w:hAnsi="Times New Roman" w:cs="Times New Roman"/>
          <w:i/>
          <w:sz w:val="24"/>
          <w:szCs w:val="24"/>
          <w:lang w:val="en-US"/>
        </w:rPr>
        <w:t>robertsii</w:t>
      </w:r>
      <w:proofErr w:type="spellEnd"/>
      <w:r w:rsidRPr="006C5896">
        <w:rPr>
          <w:rFonts w:ascii="Times New Roman" w:hAnsi="Times New Roman" w:cs="Times New Roman"/>
          <w:sz w:val="24"/>
          <w:szCs w:val="24"/>
          <w:lang w:val="en-US"/>
        </w:rPr>
        <w:t xml:space="preserve">, a renowned entomopathogenic fungus, has recently garnered attention for its potential as a root-beneficial microorganism. Traditionally recognized for its effectiveness in biocontrol against various insect pests, emerging research suggests that </w:t>
      </w:r>
      <w:r w:rsidRPr="006C5896">
        <w:rPr>
          <w:rFonts w:ascii="Times New Roman" w:hAnsi="Times New Roman" w:cs="Times New Roman"/>
          <w:i/>
          <w:sz w:val="24"/>
          <w:szCs w:val="24"/>
          <w:lang w:val="en-US"/>
        </w:rPr>
        <w:t>M.</w:t>
      </w:r>
      <w:r w:rsidR="009F1B38">
        <w:rPr>
          <w:rFonts w:ascii="Times New Roman" w:hAnsi="Times New Roman" w:cs="Times New Roman"/>
          <w:i/>
          <w:sz w:val="24"/>
          <w:szCs w:val="24"/>
          <w:lang w:val="en-US"/>
        </w:rPr>
        <w:t> </w:t>
      </w:r>
      <w:proofErr w:type="spellStart"/>
      <w:r w:rsidRPr="006C5896">
        <w:rPr>
          <w:rFonts w:ascii="Times New Roman" w:hAnsi="Times New Roman" w:cs="Times New Roman"/>
          <w:i/>
          <w:sz w:val="24"/>
          <w:szCs w:val="24"/>
          <w:lang w:val="en-US"/>
        </w:rPr>
        <w:t>robertsii</w:t>
      </w:r>
      <w:proofErr w:type="spellEnd"/>
      <w:r w:rsidRPr="006C5896">
        <w:rPr>
          <w:rFonts w:ascii="Times New Roman" w:hAnsi="Times New Roman" w:cs="Times New Roman"/>
          <w:sz w:val="24"/>
          <w:szCs w:val="24"/>
          <w:lang w:val="en-US"/>
        </w:rPr>
        <w:t xml:space="preserve"> may also confer benefits to plants through symbiotic associations with their roots</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r>
      <w:r w:rsidR="00D5193C">
        <w:rPr>
          <w:rFonts w:ascii="Times New Roman" w:hAnsi="Times New Roman" w:cs="Times New Roman"/>
          <w:sz w:val="24"/>
          <w:szCs w:val="24"/>
          <w:lang w:val="en-US"/>
        </w:rPr>
        <w:instrText xml:space="preserve"> ADDIN ZOTERO_ITEM CSL_CITATION {"citationID":"Cj3KScsf","properties":{"formattedCitation":"(Barelli et al., 2016; Cachapa et al., 2021)","plainCitation":"(Barelli et al., 2016; Cachapa et al., 2021)","noteIndex":0},"citationItems":[{"id":337,"uris":["http://zotero.org/users/10895598/items/ELT9MKEP"],"itemData":{"id":337,"type":"article-journal","container-title":"Plant Molecular Biology","DOI":"10.1007/s11103-015-0413-z","ISSN":"0167-4412, 1573-5028","issue":"6","journalAbbreviation":"Plant Mol Biol","language":"en","page":"657-664","source":"DOI.org (Crossref)","title":"Fungi with multifunctional lifestyles: endophytic insect pathogenic fungi","title-short":"Fungi with multifunctional lifestyles","volume":"90","author":[{"family":"Barelli","given":"Larissa"},{"family":"Moonjely","given":"Soumya"},{"family":"Behie","given":"Scott W."},{"family":"Bidochka","given":"Michael J."}],"issued":{"date-parts":[["2016",4]]}}},{"id":155,"uris":["http://zotero.org/users/10895598/items/BML6IUQL"],"itemData":{"id":155,"type":"article-journal","container-title":"Journal of Chemical Ecology","DOI":"10.1007/s10886-020-01234-x","ISSN":"0098-0331, 1573-1561","issue":"1","journalAbbreviation":"J Chem Ecol","language":"en","page":"112-122","source":"DOI.org (Crossref)","title":"Induction and priming of plant defense by root-associated insect-pathogenic fungi","volume":"47","author":[{"family":"Cachapa","given":"Joana Carvalho"},{"family":"Meyling","given":"Nicolai Vitt"},{"family":"Burow","given":"Meike"},{"family":"Hauser","given":"Thure Pavlo"}],"issued":{"date-parts":[["2021",1]]}}}],"schema":"https://github.com/citation-style-language/schema/raw/master/csl-citation.json"} </w:instrText>
      </w:r>
      <w:r>
        <w:rPr>
          <w:rFonts w:ascii="Times New Roman" w:hAnsi="Times New Roman" w:cs="Times New Roman"/>
          <w:sz w:val="24"/>
          <w:szCs w:val="24"/>
          <w:lang w:val="en-US"/>
        </w:rPr>
        <w:fldChar w:fldCharType="separate"/>
      </w:r>
      <w:r w:rsidRPr="006C5896">
        <w:rPr>
          <w:rFonts w:ascii="Times New Roman" w:hAnsi="Times New Roman" w:cs="Times New Roman"/>
          <w:sz w:val="24"/>
        </w:rPr>
        <w:t>(Barelli et al., 2016; Cachapa et al., 2021)</w:t>
      </w:r>
      <w:r>
        <w:rPr>
          <w:rFonts w:ascii="Times New Roman" w:hAnsi="Times New Roman" w:cs="Times New Roman"/>
          <w:sz w:val="24"/>
          <w:szCs w:val="24"/>
          <w:lang w:val="en-US"/>
        </w:rPr>
        <w:fldChar w:fldCharType="end"/>
      </w:r>
      <w:r w:rsidRPr="006C5896">
        <w:rPr>
          <w:rFonts w:ascii="Times New Roman" w:hAnsi="Times New Roman" w:cs="Times New Roman"/>
          <w:sz w:val="24"/>
          <w:szCs w:val="24"/>
          <w:lang w:val="en-US"/>
        </w:rPr>
        <w:t>. This shift in perspective highlights the multifaceted nature of microbial interactions within the rhizosphere and raises intriguing possibilities for agricultural applications.</w:t>
      </w:r>
      <w:r>
        <w:rPr>
          <w:rFonts w:ascii="Times New Roman" w:hAnsi="Times New Roman" w:cs="Times New Roman"/>
          <w:sz w:val="24"/>
          <w:szCs w:val="24"/>
          <w:lang w:val="en-US"/>
        </w:rPr>
        <w:t xml:space="preserve"> </w:t>
      </w:r>
      <w:r w:rsidRPr="006C5896">
        <w:rPr>
          <w:rFonts w:ascii="Times New Roman" w:hAnsi="Times New Roman" w:cs="Times New Roman"/>
          <w:sz w:val="24"/>
          <w:szCs w:val="24"/>
          <w:lang w:val="en-US"/>
        </w:rPr>
        <w:t>One particularly int</w:t>
      </w:r>
      <w:r>
        <w:rPr>
          <w:rFonts w:ascii="Times New Roman" w:hAnsi="Times New Roman" w:cs="Times New Roman"/>
          <w:sz w:val="24"/>
          <w:szCs w:val="24"/>
          <w:lang w:val="en-US"/>
        </w:rPr>
        <w:t xml:space="preserve">riguing aspect of </w:t>
      </w:r>
      <w:r w:rsidRPr="006C5896">
        <w:rPr>
          <w:rFonts w:ascii="Times New Roman" w:hAnsi="Times New Roman" w:cs="Times New Roman"/>
          <w:i/>
          <w:sz w:val="24"/>
          <w:szCs w:val="24"/>
          <w:lang w:val="en-US"/>
        </w:rPr>
        <w:t xml:space="preserve">M. </w:t>
      </w:r>
      <w:proofErr w:type="spellStart"/>
      <w:r w:rsidRPr="006C5896">
        <w:rPr>
          <w:rFonts w:ascii="Times New Roman" w:hAnsi="Times New Roman" w:cs="Times New Roman"/>
          <w:i/>
          <w:sz w:val="24"/>
          <w:szCs w:val="24"/>
          <w:lang w:val="en-US"/>
        </w:rPr>
        <w:t>robertsii</w:t>
      </w:r>
      <w:proofErr w:type="spellEnd"/>
      <w:r w:rsidRPr="006C5896">
        <w:rPr>
          <w:rFonts w:ascii="Times New Roman" w:hAnsi="Times New Roman" w:cs="Times New Roman"/>
          <w:sz w:val="24"/>
          <w:szCs w:val="24"/>
          <w:lang w:val="en-US"/>
        </w:rPr>
        <w:t xml:space="preserve"> interaction with plants is its </w:t>
      </w:r>
      <w:r>
        <w:rPr>
          <w:rFonts w:ascii="Times New Roman" w:hAnsi="Times New Roman" w:cs="Times New Roman"/>
          <w:sz w:val="24"/>
          <w:szCs w:val="24"/>
          <w:lang w:val="en-US"/>
        </w:rPr>
        <w:t>potential to modulate the host</w:t>
      </w:r>
      <w:r w:rsidRPr="006C5896">
        <w:rPr>
          <w:rFonts w:ascii="Times New Roman" w:hAnsi="Times New Roman" w:cs="Times New Roman"/>
          <w:sz w:val="24"/>
          <w:szCs w:val="24"/>
          <w:lang w:val="en-US"/>
        </w:rPr>
        <w:t xml:space="preserve"> susceptibility t</w:t>
      </w:r>
      <w:r>
        <w:rPr>
          <w:rFonts w:ascii="Times New Roman" w:hAnsi="Times New Roman" w:cs="Times New Roman"/>
          <w:sz w:val="24"/>
          <w:szCs w:val="24"/>
          <w:lang w:val="en-US"/>
        </w:rPr>
        <w:t>o subsequent pathogen attacks</w:t>
      </w:r>
      <w:r w:rsidR="006809BE">
        <w:rPr>
          <w:rFonts w:ascii="Times New Roman" w:hAnsi="Times New Roman" w:cs="Times New Roman"/>
          <w:sz w:val="24"/>
          <w:szCs w:val="24"/>
          <w:lang w:val="en-US"/>
        </w:rPr>
        <w:t xml:space="preserve">. </w:t>
      </w:r>
      <w:r w:rsidR="006809BE" w:rsidRPr="006C5896">
        <w:rPr>
          <w:rFonts w:ascii="Times New Roman" w:hAnsi="Times New Roman" w:cs="Times New Roman"/>
          <w:sz w:val="24"/>
          <w:szCs w:val="24"/>
          <w:lang w:val="en-US"/>
        </w:rPr>
        <w:t>These alterations may lead to enhanced resista</w:t>
      </w:r>
      <w:r w:rsidR="006809BE">
        <w:rPr>
          <w:rFonts w:ascii="Times New Roman" w:hAnsi="Times New Roman" w:cs="Times New Roman"/>
          <w:sz w:val="24"/>
          <w:szCs w:val="24"/>
          <w:lang w:val="en-US"/>
        </w:rPr>
        <w:t>nce against certain pathogens</w:t>
      </w:r>
      <w:r w:rsidR="006809BE" w:rsidRPr="006C5896">
        <w:rPr>
          <w:rFonts w:ascii="Times New Roman" w:hAnsi="Times New Roman" w:cs="Times New Roman"/>
          <w:sz w:val="24"/>
          <w:szCs w:val="24"/>
          <w:lang w:val="en-US"/>
        </w:rPr>
        <w:t>, thereby reducing the need for chemical interventions in crop protection strategies.</w:t>
      </w:r>
      <w:r w:rsidR="006809BE">
        <w:rPr>
          <w:rFonts w:ascii="Times New Roman" w:hAnsi="Times New Roman" w:cs="Times New Roman"/>
          <w:sz w:val="24"/>
          <w:szCs w:val="24"/>
          <w:lang w:val="en-US"/>
        </w:rPr>
        <w:t xml:space="preserve"> </w:t>
      </w:r>
      <w:r w:rsidR="006809BE" w:rsidRPr="006809BE">
        <w:rPr>
          <w:rFonts w:ascii="Times New Roman" w:hAnsi="Times New Roman" w:cs="Times New Roman"/>
          <w:sz w:val="24"/>
          <w:szCs w:val="24"/>
        </w:rPr>
        <w:t>However, the intricate mechanisms orchestrating this phenomenon remain incompletely understood, varying depending on the specific plan</w:t>
      </w:r>
      <w:r w:rsidR="006809BE">
        <w:rPr>
          <w:rFonts w:ascii="Times New Roman" w:hAnsi="Times New Roman" w:cs="Times New Roman"/>
          <w:sz w:val="24"/>
          <w:szCs w:val="24"/>
        </w:rPr>
        <w:t xml:space="preserve">t host and the type of pathogen </w:t>
      </w:r>
      <w:r w:rsidR="006809BE" w:rsidRPr="006809BE">
        <w:rPr>
          <w:rFonts w:ascii="Times New Roman" w:hAnsi="Times New Roman" w:cs="Times New Roman"/>
          <w:sz w:val="24"/>
          <w:szCs w:val="24"/>
        </w:rPr>
        <w:t>involved.</w:t>
      </w:r>
      <w:r w:rsidR="006809BE">
        <w:rPr>
          <w:rFonts w:ascii="Times New Roman" w:hAnsi="Times New Roman" w:cs="Times New Roman"/>
          <w:sz w:val="24"/>
          <w:szCs w:val="24"/>
        </w:rPr>
        <w:t xml:space="preserve"> </w:t>
      </w:r>
      <w:r w:rsidRPr="006C5896">
        <w:rPr>
          <w:rFonts w:ascii="Times New Roman" w:hAnsi="Times New Roman" w:cs="Times New Roman"/>
          <w:sz w:val="24"/>
          <w:szCs w:val="24"/>
          <w:lang w:val="en-US"/>
        </w:rPr>
        <w:t xml:space="preserve">Understanding the mechanisms by which </w:t>
      </w:r>
      <w:r w:rsidRPr="006809BE">
        <w:rPr>
          <w:rFonts w:ascii="Times New Roman" w:hAnsi="Times New Roman" w:cs="Times New Roman"/>
          <w:i/>
          <w:sz w:val="24"/>
          <w:szCs w:val="24"/>
          <w:lang w:val="en-US"/>
        </w:rPr>
        <w:t xml:space="preserve">M. </w:t>
      </w:r>
      <w:proofErr w:type="spellStart"/>
      <w:r w:rsidRPr="006809BE">
        <w:rPr>
          <w:rFonts w:ascii="Times New Roman" w:hAnsi="Times New Roman" w:cs="Times New Roman"/>
          <w:i/>
          <w:sz w:val="24"/>
          <w:szCs w:val="24"/>
          <w:lang w:val="en-US"/>
        </w:rPr>
        <w:t>robertsii</w:t>
      </w:r>
      <w:proofErr w:type="spellEnd"/>
      <w:r w:rsidRPr="006C5896">
        <w:rPr>
          <w:rFonts w:ascii="Times New Roman" w:hAnsi="Times New Roman" w:cs="Times New Roman"/>
          <w:sz w:val="24"/>
          <w:szCs w:val="24"/>
          <w:lang w:val="en-US"/>
        </w:rPr>
        <w:t xml:space="preserve"> influences plant susceptibility to subsequent attacks holds significant implications for sustainable agriculture. By harnessing the beneficial effects of this fungus, farmers may be able to bolster crop resilience while minimizing reliance on synthetic pesticides. However, further research is needed to elucidate the intricacies of </w:t>
      </w:r>
      <w:r w:rsidRPr="006809BE">
        <w:rPr>
          <w:rFonts w:ascii="Times New Roman" w:hAnsi="Times New Roman" w:cs="Times New Roman"/>
          <w:i/>
          <w:sz w:val="24"/>
          <w:szCs w:val="24"/>
          <w:lang w:val="en-US"/>
        </w:rPr>
        <w:t xml:space="preserve">M. </w:t>
      </w:r>
      <w:proofErr w:type="spellStart"/>
      <w:r w:rsidRPr="006809BE">
        <w:rPr>
          <w:rFonts w:ascii="Times New Roman" w:hAnsi="Times New Roman" w:cs="Times New Roman"/>
          <w:i/>
          <w:sz w:val="24"/>
          <w:szCs w:val="24"/>
          <w:lang w:val="en-US"/>
        </w:rPr>
        <w:t>robertsii</w:t>
      </w:r>
      <w:proofErr w:type="spellEnd"/>
      <w:r w:rsidRPr="006C5896">
        <w:rPr>
          <w:rFonts w:ascii="Times New Roman" w:hAnsi="Times New Roman" w:cs="Times New Roman"/>
          <w:sz w:val="24"/>
          <w:szCs w:val="24"/>
          <w:lang w:val="en-US"/>
        </w:rPr>
        <w:t>-plant</w:t>
      </w:r>
      <w:r w:rsidR="006809BE">
        <w:rPr>
          <w:rFonts w:ascii="Times New Roman" w:hAnsi="Times New Roman" w:cs="Times New Roman"/>
          <w:sz w:val="24"/>
          <w:szCs w:val="24"/>
          <w:lang w:val="en-US"/>
        </w:rPr>
        <w:t>-pathogen</w:t>
      </w:r>
      <w:r w:rsidRPr="006C5896">
        <w:rPr>
          <w:rFonts w:ascii="Times New Roman" w:hAnsi="Times New Roman" w:cs="Times New Roman"/>
          <w:sz w:val="24"/>
          <w:szCs w:val="24"/>
          <w:lang w:val="en-US"/>
        </w:rPr>
        <w:t xml:space="preserve"> interactions and to optimize its utilization in agricultural settings.</w:t>
      </w:r>
      <w:r w:rsidR="006809BE">
        <w:rPr>
          <w:rFonts w:ascii="Times New Roman" w:hAnsi="Times New Roman" w:cs="Times New Roman"/>
          <w:sz w:val="24"/>
          <w:szCs w:val="24"/>
          <w:lang w:val="en-US"/>
        </w:rPr>
        <w:t xml:space="preserve"> </w:t>
      </w:r>
      <w:r w:rsidRPr="006C5896">
        <w:rPr>
          <w:rFonts w:ascii="Times New Roman" w:hAnsi="Times New Roman" w:cs="Times New Roman"/>
          <w:sz w:val="24"/>
          <w:szCs w:val="24"/>
          <w:lang w:val="en-US"/>
        </w:rPr>
        <w:t>In this</w:t>
      </w:r>
      <w:r w:rsidR="006809BE">
        <w:rPr>
          <w:rFonts w:ascii="Times New Roman" w:hAnsi="Times New Roman" w:cs="Times New Roman"/>
          <w:sz w:val="24"/>
          <w:szCs w:val="24"/>
          <w:lang w:val="en-US"/>
        </w:rPr>
        <w:t xml:space="preserve"> chapter</w:t>
      </w:r>
      <w:r w:rsidRPr="006C5896">
        <w:rPr>
          <w:rFonts w:ascii="Times New Roman" w:hAnsi="Times New Roman" w:cs="Times New Roman"/>
          <w:sz w:val="24"/>
          <w:szCs w:val="24"/>
          <w:lang w:val="en-US"/>
        </w:rPr>
        <w:t xml:space="preserve">, </w:t>
      </w:r>
      <w:r w:rsidR="006809BE">
        <w:rPr>
          <w:rFonts w:ascii="Times New Roman" w:hAnsi="Times New Roman" w:cs="Times New Roman"/>
          <w:sz w:val="24"/>
          <w:szCs w:val="24"/>
          <w:lang w:val="en-US"/>
        </w:rPr>
        <w:t>I try to elucidate</w:t>
      </w:r>
      <w:r w:rsidRPr="006C5896">
        <w:rPr>
          <w:rFonts w:ascii="Times New Roman" w:hAnsi="Times New Roman" w:cs="Times New Roman"/>
          <w:sz w:val="24"/>
          <w:szCs w:val="24"/>
          <w:lang w:val="en-US"/>
        </w:rPr>
        <w:t xml:space="preserve"> the current </w:t>
      </w:r>
      <w:r w:rsidR="006809BE">
        <w:rPr>
          <w:rFonts w:ascii="Times New Roman" w:hAnsi="Times New Roman" w:cs="Times New Roman"/>
          <w:sz w:val="24"/>
          <w:szCs w:val="24"/>
          <w:lang w:val="en-US"/>
        </w:rPr>
        <w:t xml:space="preserve">understanding of </w:t>
      </w:r>
      <w:r w:rsidR="006809BE" w:rsidRPr="006809BE">
        <w:rPr>
          <w:rFonts w:ascii="Times New Roman" w:hAnsi="Times New Roman" w:cs="Times New Roman"/>
          <w:i/>
          <w:sz w:val="24"/>
          <w:szCs w:val="24"/>
          <w:lang w:val="en-US"/>
        </w:rPr>
        <w:t xml:space="preserve">M. </w:t>
      </w:r>
      <w:proofErr w:type="spellStart"/>
      <w:r w:rsidR="006809BE" w:rsidRPr="006809BE">
        <w:rPr>
          <w:rFonts w:ascii="Times New Roman" w:hAnsi="Times New Roman" w:cs="Times New Roman"/>
          <w:i/>
          <w:sz w:val="24"/>
          <w:szCs w:val="24"/>
          <w:lang w:val="en-US"/>
        </w:rPr>
        <w:t>robertsii</w:t>
      </w:r>
      <w:proofErr w:type="spellEnd"/>
      <w:r w:rsidR="006809BE">
        <w:rPr>
          <w:rFonts w:ascii="Times New Roman" w:hAnsi="Times New Roman" w:cs="Times New Roman"/>
          <w:sz w:val="24"/>
          <w:szCs w:val="24"/>
          <w:lang w:val="en-US"/>
        </w:rPr>
        <w:t xml:space="preserve"> </w:t>
      </w:r>
      <w:r w:rsidRPr="006C5896">
        <w:rPr>
          <w:rFonts w:ascii="Times New Roman" w:hAnsi="Times New Roman" w:cs="Times New Roman"/>
          <w:sz w:val="24"/>
          <w:szCs w:val="24"/>
          <w:lang w:val="en-US"/>
        </w:rPr>
        <w:t xml:space="preserve">as a root-beneficial fungus </w:t>
      </w:r>
      <w:r w:rsidR="006809BE">
        <w:rPr>
          <w:rFonts w:ascii="Times New Roman" w:hAnsi="Times New Roman" w:cs="Times New Roman"/>
          <w:sz w:val="24"/>
          <w:szCs w:val="24"/>
          <w:lang w:val="en-US"/>
        </w:rPr>
        <w:t xml:space="preserve">in cauliflower plants </w:t>
      </w:r>
      <w:r w:rsidRPr="006C5896">
        <w:rPr>
          <w:rFonts w:ascii="Times New Roman" w:hAnsi="Times New Roman" w:cs="Times New Roman"/>
          <w:sz w:val="24"/>
          <w:szCs w:val="24"/>
          <w:lang w:val="en-US"/>
        </w:rPr>
        <w:t xml:space="preserve">and explore its potential to alter plant susceptibility to subsequent </w:t>
      </w:r>
      <w:r w:rsidR="006809BE">
        <w:rPr>
          <w:rFonts w:ascii="Times New Roman" w:hAnsi="Times New Roman" w:cs="Times New Roman"/>
          <w:sz w:val="24"/>
          <w:szCs w:val="24"/>
          <w:lang w:val="en-US"/>
        </w:rPr>
        <w:t xml:space="preserve">infection by </w:t>
      </w:r>
      <w:r w:rsidR="006809BE">
        <w:rPr>
          <w:rFonts w:ascii="Times New Roman" w:hAnsi="Times New Roman" w:cs="Times New Roman"/>
          <w:i/>
          <w:sz w:val="24"/>
          <w:szCs w:val="24"/>
          <w:lang w:val="en-US"/>
        </w:rPr>
        <w:t xml:space="preserve">L. </w:t>
      </w:r>
      <w:proofErr w:type="spellStart"/>
      <w:r w:rsidR="006809BE">
        <w:rPr>
          <w:rFonts w:ascii="Times New Roman" w:hAnsi="Times New Roman" w:cs="Times New Roman"/>
          <w:i/>
          <w:sz w:val="24"/>
          <w:szCs w:val="24"/>
          <w:lang w:val="en-US"/>
        </w:rPr>
        <w:t>maculans</w:t>
      </w:r>
      <w:proofErr w:type="spellEnd"/>
      <w:r w:rsidR="006809BE">
        <w:rPr>
          <w:rFonts w:ascii="Times New Roman" w:hAnsi="Times New Roman" w:cs="Times New Roman"/>
          <w:sz w:val="24"/>
          <w:szCs w:val="24"/>
          <w:lang w:val="en-US"/>
        </w:rPr>
        <w:t>. I</w:t>
      </w:r>
      <w:r w:rsidRPr="006C5896">
        <w:rPr>
          <w:rFonts w:ascii="Times New Roman" w:hAnsi="Times New Roman" w:cs="Times New Roman"/>
          <w:sz w:val="24"/>
          <w:szCs w:val="24"/>
          <w:lang w:val="en-US"/>
        </w:rPr>
        <w:t xml:space="preserve"> examine the underlying mechanisms driving these interactions and discuss their implications for crop protection and sustainab</w:t>
      </w:r>
      <w:r w:rsidR="00836535">
        <w:rPr>
          <w:rFonts w:ascii="Times New Roman" w:hAnsi="Times New Roman" w:cs="Times New Roman"/>
          <w:sz w:val="24"/>
          <w:szCs w:val="24"/>
          <w:lang w:val="en-US"/>
        </w:rPr>
        <w:t>le agriculture. Additionally, I</w:t>
      </w:r>
      <w:r w:rsidRPr="006C5896">
        <w:rPr>
          <w:rFonts w:ascii="Times New Roman" w:hAnsi="Times New Roman" w:cs="Times New Roman"/>
          <w:sz w:val="24"/>
          <w:szCs w:val="24"/>
          <w:lang w:val="en-US"/>
        </w:rPr>
        <w:t xml:space="preserve"> highlight areas for future research aimed at maximizing the beneficial effects of </w:t>
      </w:r>
      <w:r w:rsidRPr="00836535">
        <w:rPr>
          <w:rFonts w:ascii="Times New Roman" w:hAnsi="Times New Roman" w:cs="Times New Roman"/>
          <w:i/>
          <w:sz w:val="24"/>
          <w:szCs w:val="24"/>
          <w:lang w:val="en-US"/>
        </w:rPr>
        <w:t xml:space="preserve">M. </w:t>
      </w:r>
      <w:proofErr w:type="spellStart"/>
      <w:r w:rsidRPr="00836535">
        <w:rPr>
          <w:rFonts w:ascii="Times New Roman" w:hAnsi="Times New Roman" w:cs="Times New Roman"/>
          <w:i/>
          <w:sz w:val="24"/>
          <w:szCs w:val="24"/>
          <w:lang w:val="en-US"/>
        </w:rPr>
        <w:t>robertsii</w:t>
      </w:r>
      <w:proofErr w:type="spellEnd"/>
      <w:r w:rsidRPr="006C5896">
        <w:rPr>
          <w:rFonts w:ascii="Times New Roman" w:hAnsi="Times New Roman" w:cs="Times New Roman"/>
          <w:sz w:val="24"/>
          <w:szCs w:val="24"/>
          <w:lang w:val="en-US"/>
        </w:rPr>
        <w:t xml:space="preserve"> while minimizing any potential drawbacks.</w:t>
      </w:r>
    </w:p>
    <w:p w14:paraId="13BE80F1" w14:textId="77777777" w:rsidR="00727A64" w:rsidRPr="00727A64" w:rsidRDefault="00727A64" w:rsidP="00836535">
      <w:pPr>
        <w:spacing w:after="0" w:line="360" w:lineRule="auto"/>
        <w:jc w:val="both"/>
        <w:rPr>
          <w:rFonts w:ascii="Times New Roman" w:hAnsi="Times New Roman" w:cs="Times New Roman"/>
          <w:sz w:val="24"/>
          <w:szCs w:val="24"/>
        </w:rPr>
      </w:pPr>
    </w:p>
    <w:p w14:paraId="2150A1A5" w14:textId="25D7C9A7" w:rsidR="00E7693B" w:rsidRPr="00E7693B" w:rsidRDefault="00E7693B" w:rsidP="00EC70C2">
      <w:pPr>
        <w:pStyle w:val="Heading3"/>
      </w:pPr>
      <w:bookmarkStart w:id="82" w:name="_Toc167977648"/>
      <w:r w:rsidRPr="00E7693B">
        <w:t>Experimental design</w:t>
      </w:r>
      <w:bookmarkEnd w:id="82"/>
    </w:p>
    <w:p w14:paraId="2150A1A6" w14:textId="77777777" w:rsidR="00E7693B" w:rsidRPr="005B6C8D" w:rsidRDefault="00E7693B" w:rsidP="00CF0A23">
      <w:pPr>
        <w:spacing w:after="0"/>
        <w:rPr>
          <w:rFonts w:ascii="Times New Roman" w:hAnsi="Times New Roman" w:cs="Times New Roman"/>
          <w:sz w:val="24"/>
          <w:szCs w:val="24"/>
        </w:rPr>
      </w:pPr>
    </w:p>
    <w:p w14:paraId="2150A1A7" w14:textId="77777777" w:rsidR="00E7693B" w:rsidRPr="005B6C8D" w:rsidRDefault="00E7693B" w:rsidP="005B6C8D">
      <w:pPr>
        <w:spacing w:after="0" w:line="360" w:lineRule="auto"/>
        <w:rPr>
          <w:rFonts w:ascii="Times New Roman" w:hAnsi="Times New Roman" w:cs="Times New Roman"/>
          <w:b/>
          <w:sz w:val="24"/>
          <w:szCs w:val="24"/>
        </w:rPr>
      </w:pPr>
      <w:r w:rsidRPr="005B6C8D">
        <w:rPr>
          <w:rFonts w:ascii="Times New Roman" w:hAnsi="Times New Roman" w:cs="Times New Roman"/>
          <w:b/>
          <w:sz w:val="24"/>
          <w:szCs w:val="24"/>
        </w:rPr>
        <w:t>Experiments with true leaves of cauliflower</w:t>
      </w:r>
    </w:p>
    <w:p w14:paraId="2150A1A8" w14:textId="77777777" w:rsidR="00E7693B" w:rsidRPr="005B6C8D" w:rsidRDefault="00E7693B" w:rsidP="00CF0A23">
      <w:pPr>
        <w:spacing w:after="0" w:line="360" w:lineRule="auto"/>
        <w:jc w:val="both"/>
        <w:rPr>
          <w:rFonts w:ascii="Times New Roman" w:hAnsi="Times New Roman" w:cs="Times New Roman"/>
          <w:sz w:val="24"/>
          <w:szCs w:val="24"/>
        </w:rPr>
      </w:pPr>
    </w:p>
    <w:p w14:paraId="2150A1A9" w14:textId="45B63C91" w:rsidR="00E7693B" w:rsidRPr="00CF0A23" w:rsidRDefault="00E7693B" w:rsidP="00CF0A23">
      <w:pPr>
        <w:spacing w:after="0"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 xml:space="preserve">Cauliflower seeds were sown individually in pots with non-sterilized soil or soil sterilized </w:t>
      </w:r>
      <w:r w:rsidR="009F1B38">
        <w:rPr>
          <w:rFonts w:ascii="Times New Roman" w:hAnsi="Times New Roman" w:cs="Times New Roman"/>
          <w:sz w:val="24"/>
          <w:szCs w:val="24"/>
        </w:rPr>
        <w:t>at</w:t>
      </w:r>
      <w:r w:rsidR="009F1B38" w:rsidRPr="00CF0A23">
        <w:rPr>
          <w:rFonts w:ascii="Times New Roman" w:hAnsi="Times New Roman" w:cs="Times New Roman"/>
          <w:sz w:val="24"/>
          <w:szCs w:val="24"/>
        </w:rPr>
        <w:t xml:space="preserve"> </w:t>
      </w:r>
      <w:r w:rsidRPr="00CF0A23">
        <w:rPr>
          <w:rFonts w:ascii="Times New Roman" w:hAnsi="Times New Roman" w:cs="Times New Roman"/>
          <w:sz w:val="24"/>
          <w:szCs w:val="24"/>
        </w:rPr>
        <w:t xml:space="preserve">80°C for 72 h and covered with a plastic foil to increase the humidity for faster germination. Two to four days after, germinating seeds were inoculated with previously prepared spore suspension of </w:t>
      </w:r>
      <w:r w:rsidRPr="00CF0A23">
        <w:rPr>
          <w:rFonts w:ascii="Times New Roman" w:hAnsi="Times New Roman" w:cs="Times New Roman"/>
          <w:i/>
          <w:sz w:val="24"/>
          <w:szCs w:val="24"/>
        </w:rPr>
        <w:t xml:space="preserve">M. </w:t>
      </w:r>
      <w:proofErr w:type="spellStart"/>
      <w:r w:rsidRPr="00CF0A23">
        <w:rPr>
          <w:rFonts w:ascii="Times New Roman" w:hAnsi="Times New Roman" w:cs="Times New Roman"/>
          <w:i/>
          <w:sz w:val="24"/>
          <w:szCs w:val="24"/>
        </w:rPr>
        <w:t>robertsii</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KVL 12-35 (1 ml of 10</w:t>
      </w:r>
      <w:r w:rsidRPr="00CF0A23">
        <w:rPr>
          <w:rFonts w:ascii="Times New Roman" w:hAnsi="Times New Roman" w:cs="Times New Roman"/>
          <w:sz w:val="24"/>
          <w:szCs w:val="24"/>
          <w:vertAlign w:val="superscript"/>
        </w:rPr>
        <w:t xml:space="preserve">8 </w:t>
      </w:r>
      <w:r w:rsidRPr="00CF0A23">
        <w:rPr>
          <w:rFonts w:ascii="Times New Roman" w:hAnsi="Times New Roman" w:cs="Times New Roman"/>
          <w:sz w:val="24"/>
          <w:szCs w:val="24"/>
        </w:rPr>
        <w:t>spore ml</w:t>
      </w:r>
      <w:r w:rsidRPr="00CF0A23">
        <w:rPr>
          <w:rFonts w:ascii="Times New Roman" w:hAnsi="Times New Roman" w:cs="Times New Roman"/>
          <w:sz w:val="24"/>
          <w:szCs w:val="24"/>
          <w:vertAlign w:val="superscript"/>
        </w:rPr>
        <w:t>-1</w:t>
      </w:r>
      <w:r w:rsidRPr="00CF0A23">
        <w:rPr>
          <w:rFonts w:ascii="Times New Roman" w:hAnsi="Times New Roman" w:cs="Times New Roman"/>
          <w:sz w:val="24"/>
          <w:szCs w:val="24"/>
        </w:rPr>
        <w:t xml:space="preserve">). Distilled water and 0.05 % Triton X were used as controls. Three weeks after inoculation, when first true leaves have expanded, leaf discs were collected for the gene transcription and GLS analyses, and roots were harvested for performing the root colonization test (0 dpi – before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inoculation). At the same day, the rest of the plants were inoculated with the spore suspension of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sz w:val="24"/>
          <w:szCs w:val="24"/>
        </w:rPr>
        <w:t xml:space="preserve"> JN3 or JN3-GFP by “puncture and drop” (10 µl of 10</w:t>
      </w:r>
      <w:r w:rsidRPr="00CF0A23">
        <w:rPr>
          <w:rFonts w:ascii="Times New Roman" w:hAnsi="Times New Roman" w:cs="Times New Roman"/>
          <w:sz w:val="24"/>
          <w:szCs w:val="24"/>
          <w:vertAlign w:val="superscript"/>
        </w:rPr>
        <w:t>7</w:t>
      </w:r>
      <w:r w:rsidRPr="00CF0A23">
        <w:rPr>
          <w:rFonts w:ascii="Times New Roman" w:hAnsi="Times New Roman" w:cs="Times New Roman"/>
          <w:sz w:val="24"/>
          <w:szCs w:val="24"/>
        </w:rPr>
        <w:t xml:space="preserve"> spore ml</w:t>
      </w:r>
      <w:r w:rsidRPr="00CF0A23">
        <w:rPr>
          <w:rFonts w:ascii="Times New Roman" w:hAnsi="Times New Roman" w:cs="Times New Roman"/>
          <w:sz w:val="24"/>
          <w:szCs w:val="24"/>
          <w:vertAlign w:val="superscript"/>
        </w:rPr>
        <w:t>-1</w:t>
      </w:r>
      <w:r w:rsidRPr="00CF0A23">
        <w:rPr>
          <w:rFonts w:ascii="Times New Roman" w:hAnsi="Times New Roman" w:cs="Times New Roman"/>
          <w:sz w:val="24"/>
          <w:szCs w:val="24"/>
        </w:rPr>
        <w:t xml:space="preserve">). Distilled water was used as control. </w:t>
      </w:r>
      <w:r w:rsidRPr="00CF0A23">
        <w:rPr>
          <w:rFonts w:ascii="Times New Roman" w:hAnsi="Times New Roman" w:cs="Times New Roman"/>
          <w:color w:val="000000"/>
          <w:sz w:val="24"/>
          <w:szCs w:val="24"/>
        </w:rPr>
        <w:t xml:space="preserve">Plants were covered for 48 h to increase the humidity and facilitate the infection. Leaf discs were collected 7 and 14 days after </w:t>
      </w:r>
      <w:r w:rsidRPr="00CF0A23">
        <w:rPr>
          <w:rFonts w:ascii="Times New Roman" w:hAnsi="Times New Roman" w:cs="Times New Roman"/>
          <w:i/>
          <w:color w:val="000000"/>
          <w:sz w:val="24"/>
          <w:szCs w:val="24"/>
        </w:rPr>
        <w:t xml:space="preserve">L. </w:t>
      </w:r>
      <w:proofErr w:type="spellStart"/>
      <w:r w:rsidRPr="00CF0A23">
        <w:rPr>
          <w:rFonts w:ascii="Times New Roman" w:hAnsi="Times New Roman" w:cs="Times New Roman"/>
          <w:i/>
          <w:color w:val="000000"/>
          <w:sz w:val="24"/>
          <w:szCs w:val="24"/>
        </w:rPr>
        <w:t>maculans</w:t>
      </w:r>
      <w:proofErr w:type="spellEnd"/>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 xml:space="preserve">inoculation (dpi), by sampling 5 to 6 mm-diameter discs around the puncture site, and later used for </w:t>
      </w:r>
      <w:proofErr w:type="spellStart"/>
      <w:r w:rsidRPr="00CF0A23">
        <w:rPr>
          <w:rFonts w:ascii="Times New Roman" w:hAnsi="Times New Roman" w:cs="Times New Roman"/>
          <w:color w:val="000000"/>
          <w:sz w:val="24"/>
          <w:szCs w:val="24"/>
        </w:rPr>
        <w:t>qRT</w:t>
      </w:r>
      <w:proofErr w:type="spellEnd"/>
      <w:r w:rsidRPr="00CF0A23">
        <w:rPr>
          <w:rFonts w:ascii="Times New Roman" w:hAnsi="Times New Roman" w:cs="Times New Roman"/>
          <w:color w:val="000000"/>
          <w:sz w:val="24"/>
          <w:szCs w:val="24"/>
        </w:rPr>
        <w:t xml:space="preserve">-PCR and GLS analyses, and for microscopic observation of the hyphal spread. Roots were harvested at the same day for checking the establishment of </w:t>
      </w:r>
      <w:r w:rsidRPr="00CF0A23">
        <w:rPr>
          <w:rFonts w:ascii="Times New Roman" w:hAnsi="Times New Roman" w:cs="Times New Roman"/>
          <w:i/>
          <w:color w:val="000000"/>
          <w:sz w:val="24"/>
          <w:szCs w:val="24"/>
        </w:rPr>
        <w:t xml:space="preserve">M. </w:t>
      </w:r>
      <w:proofErr w:type="spellStart"/>
      <w:r w:rsidRPr="00CF0A23">
        <w:rPr>
          <w:rFonts w:ascii="Times New Roman" w:hAnsi="Times New Roman" w:cs="Times New Roman"/>
          <w:i/>
          <w:color w:val="000000"/>
          <w:sz w:val="24"/>
          <w:szCs w:val="24"/>
        </w:rPr>
        <w:t>robertsii</w:t>
      </w:r>
      <w:proofErr w:type="spellEnd"/>
      <w:r w:rsidRPr="00CF0A23">
        <w:rPr>
          <w:rFonts w:ascii="Times New Roman" w:hAnsi="Times New Roman" w:cs="Times New Roman"/>
          <w:color w:val="000000"/>
          <w:sz w:val="24"/>
          <w:szCs w:val="24"/>
        </w:rPr>
        <w:t xml:space="preserve"> (7 and 14 dpi – after </w:t>
      </w:r>
      <w:r w:rsidRPr="00CF0A23">
        <w:rPr>
          <w:rFonts w:ascii="Times New Roman" w:hAnsi="Times New Roman" w:cs="Times New Roman"/>
          <w:i/>
          <w:color w:val="000000"/>
          <w:sz w:val="24"/>
          <w:szCs w:val="24"/>
        </w:rPr>
        <w:t xml:space="preserve">L. </w:t>
      </w:r>
      <w:proofErr w:type="spellStart"/>
      <w:r w:rsidRPr="00CF0A23">
        <w:rPr>
          <w:rFonts w:ascii="Times New Roman" w:hAnsi="Times New Roman" w:cs="Times New Roman"/>
          <w:i/>
          <w:color w:val="000000"/>
          <w:sz w:val="24"/>
          <w:szCs w:val="24"/>
        </w:rPr>
        <w:t>maculans</w:t>
      </w:r>
      <w:proofErr w:type="spellEnd"/>
      <w:r w:rsidRPr="00CF0A23">
        <w:rPr>
          <w:rFonts w:ascii="Times New Roman" w:hAnsi="Times New Roman" w:cs="Times New Roman"/>
          <w:i/>
          <w:color w:val="000000"/>
          <w:sz w:val="24"/>
          <w:szCs w:val="24"/>
        </w:rPr>
        <w:t xml:space="preserve"> </w:t>
      </w:r>
      <w:r w:rsidRPr="00CF0A23">
        <w:rPr>
          <w:rFonts w:ascii="Times New Roman" w:hAnsi="Times New Roman" w:cs="Times New Roman"/>
          <w:color w:val="000000"/>
          <w:sz w:val="24"/>
          <w:szCs w:val="24"/>
        </w:rPr>
        <w:t>inoculation).</w:t>
      </w:r>
    </w:p>
    <w:p w14:paraId="2150A1AA" w14:textId="77777777" w:rsidR="00E7693B" w:rsidRPr="00CF0A23" w:rsidRDefault="00E7693B" w:rsidP="00CF0A23">
      <w:pPr>
        <w:spacing w:after="0" w:line="360" w:lineRule="auto"/>
        <w:jc w:val="both"/>
        <w:rPr>
          <w:rFonts w:ascii="Times New Roman" w:hAnsi="Times New Roman" w:cs="Times New Roman"/>
          <w:sz w:val="24"/>
          <w:szCs w:val="24"/>
        </w:rPr>
      </w:pPr>
    </w:p>
    <w:p w14:paraId="2150A1AB" w14:textId="77777777" w:rsidR="00E7693B" w:rsidRPr="00CF0A23" w:rsidRDefault="00E7693B" w:rsidP="00CF0A23">
      <w:pPr>
        <w:spacing w:after="0" w:line="360" w:lineRule="auto"/>
        <w:jc w:val="both"/>
        <w:rPr>
          <w:rFonts w:ascii="Times New Roman" w:hAnsi="Times New Roman" w:cs="Times New Roman"/>
          <w:b/>
          <w:sz w:val="24"/>
          <w:szCs w:val="24"/>
        </w:rPr>
      </w:pPr>
      <w:r w:rsidRPr="00CF0A23">
        <w:rPr>
          <w:rFonts w:ascii="Times New Roman" w:hAnsi="Times New Roman" w:cs="Times New Roman"/>
          <w:b/>
          <w:sz w:val="24"/>
          <w:szCs w:val="24"/>
        </w:rPr>
        <w:t>Experiments with cotyledons of cauliflower</w:t>
      </w:r>
    </w:p>
    <w:p w14:paraId="2150A1AC" w14:textId="77777777" w:rsidR="00E7693B" w:rsidRPr="00CF0A23" w:rsidRDefault="00E7693B" w:rsidP="00CF0A23">
      <w:pPr>
        <w:spacing w:after="0" w:line="360" w:lineRule="auto"/>
        <w:jc w:val="both"/>
        <w:rPr>
          <w:rFonts w:ascii="Times New Roman" w:hAnsi="Times New Roman" w:cs="Times New Roman"/>
          <w:sz w:val="24"/>
          <w:szCs w:val="24"/>
        </w:rPr>
      </w:pPr>
    </w:p>
    <w:p w14:paraId="2150A1AD" w14:textId="77777777" w:rsidR="00E7693B" w:rsidRPr="00CF0A23" w:rsidRDefault="00E7693B" w:rsidP="00CF0A23">
      <w:pPr>
        <w:spacing w:after="240" w:line="360" w:lineRule="auto"/>
        <w:ind w:firstLine="720"/>
        <w:jc w:val="both"/>
        <w:rPr>
          <w:rFonts w:ascii="Times New Roman" w:hAnsi="Times New Roman" w:cs="Times New Roman"/>
          <w:sz w:val="24"/>
          <w:szCs w:val="24"/>
        </w:rPr>
      </w:pPr>
      <w:r w:rsidRPr="00CF0A23">
        <w:rPr>
          <w:rFonts w:ascii="Times New Roman" w:hAnsi="Times New Roman" w:cs="Times New Roman"/>
          <w:sz w:val="24"/>
          <w:szCs w:val="24"/>
        </w:rPr>
        <w:t xml:space="preserve">Cauliflower seeds were sown in the soil previously sterilized on 80°C for 72 h, and the pots were covered with a plastic foil. Three days after, germinating seeds were used for inoculation with previously prepared spore suspension of </w:t>
      </w:r>
      <w:r w:rsidRPr="00CF0A23">
        <w:rPr>
          <w:rFonts w:ascii="Times New Roman" w:hAnsi="Times New Roman" w:cs="Times New Roman"/>
          <w:i/>
          <w:sz w:val="24"/>
          <w:szCs w:val="24"/>
        </w:rPr>
        <w:t xml:space="preserve">M. </w:t>
      </w:r>
      <w:proofErr w:type="spellStart"/>
      <w:r w:rsidRPr="00CF0A23">
        <w:rPr>
          <w:rFonts w:ascii="Times New Roman" w:hAnsi="Times New Roman" w:cs="Times New Roman"/>
          <w:i/>
          <w:sz w:val="24"/>
          <w:szCs w:val="24"/>
        </w:rPr>
        <w:t>robertsii</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KVL 12-35 (1 ml of 10</w:t>
      </w:r>
      <w:r w:rsidRPr="00CF0A23">
        <w:rPr>
          <w:rFonts w:ascii="Times New Roman" w:hAnsi="Times New Roman" w:cs="Times New Roman"/>
          <w:sz w:val="24"/>
          <w:szCs w:val="24"/>
          <w:vertAlign w:val="superscript"/>
        </w:rPr>
        <w:t xml:space="preserve">8 </w:t>
      </w:r>
      <w:r w:rsidRPr="00CF0A23">
        <w:rPr>
          <w:rFonts w:ascii="Times New Roman" w:hAnsi="Times New Roman" w:cs="Times New Roman"/>
          <w:sz w:val="24"/>
          <w:szCs w:val="24"/>
        </w:rPr>
        <w:t>spore ml</w:t>
      </w:r>
      <w:r w:rsidRPr="00CF0A23">
        <w:rPr>
          <w:rFonts w:ascii="Times New Roman" w:hAnsi="Times New Roman" w:cs="Times New Roman"/>
          <w:sz w:val="24"/>
          <w:szCs w:val="24"/>
          <w:vertAlign w:val="superscript"/>
        </w:rPr>
        <w:t>-1</w:t>
      </w:r>
      <w:r w:rsidRPr="00CF0A23">
        <w:rPr>
          <w:rFonts w:ascii="Times New Roman" w:hAnsi="Times New Roman" w:cs="Times New Roman"/>
          <w:sz w:val="24"/>
          <w:szCs w:val="24"/>
        </w:rPr>
        <w:t xml:space="preserve">). Distilled water and 0.05 % Triton X were used as controls. Two weeks after </w:t>
      </w:r>
      <w:r w:rsidRPr="00CF0A23">
        <w:rPr>
          <w:rFonts w:ascii="Times New Roman" w:hAnsi="Times New Roman" w:cs="Times New Roman"/>
          <w:i/>
          <w:sz w:val="24"/>
          <w:szCs w:val="24"/>
        </w:rPr>
        <w:t xml:space="preserve">M. </w:t>
      </w:r>
      <w:proofErr w:type="spellStart"/>
      <w:r w:rsidRPr="00CF0A23">
        <w:rPr>
          <w:rFonts w:ascii="Times New Roman" w:hAnsi="Times New Roman" w:cs="Times New Roman"/>
          <w:i/>
          <w:sz w:val="24"/>
          <w:szCs w:val="24"/>
        </w:rPr>
        <w:t>robertsii</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inoculation, cotyledons were inoculated with the spore suspension of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JN3-GFP by syringe infiltration (10</w:t>
      </w:r>
      <w:r w:rsidRPr="00CF0A23">
        <w:rPr>
          <w:rFonts w:ascii="Times New Roman" w:hAnsi="Times New Roman" w:cs="Times New Roman"/>
          <w:sz w:val="24"/>
          <w:szCs w:val="24"/>
          <w:vertAlign w:val="superscript"/>
        </w:rPr>
        <w:t>5</w:t>
      </w:r>
      <w:r w:rsidRPr="00CF0A23">
        <w:rPr>
          <w:rFonts w:ascii="Times New Roman" w:hAnsi="Times New Roman" w:cs="Times New Roman"/>
          <w:sz w:val="24"/>
          <w:szCs w:val="24"/>
        </w:rPr>
        <w:t xml:space="preserve"> spore ml</w:t>
      </w:r>
      <w:r w:rsidRPr="00CF0A23">
        <w:rPr>
          <w:rFonts w:ascii="Times New Roman" w:hAnsi="Times New Roman" w:cs="Times New Roman"/>
          <w:sz w:val="24"/>
          <w:szCs w:val="24"/>
          <w:vertAlign w:val="superscript"/>
        </w:rPr>
        <w:t>-1</w:t>
      </w:r>
      <w:r w:rsidRPr="00CF0A23">
        <w:rPr>
          <w:rFonts w:ascii="Times New Roman" w:hAnsi="Times New Roman" w:cs="Times New Roman"/>
          <w:sz w:val="24"/>
          <w:szCs w:val="24"/>
        </w:rPr>
        <w:t xml:space="preserve">), and roots were harvested for the root colonization test. Cotyledons were infiltrated with distilled water as a respective control. Then, 5, 7 and 11 days after </w:t>
      </w:r>
      <w:r w:rsidRPr="00CF0A23">
        <w:rPr>
          <w:rFonts w:ascii="Times New Roman" w:hAnsi="Times New Roman" w:cs="Times New Roman"/>
          <w:i/>
          <w:sz w:val="24"/>
          <w:szCs w:val="24"/>
        </w:rPr>
        <w:t xml:space="preserve">L. </w:t>
      </w:r>
      <w:proofErr w:type="spellStart"/>
      <w:r w:rsidRPr="00CF0A23">
        <w:rPr>
          <w:rFonts w:ascii="Times New Roman" w:hAnsi="Times New Roman" w:cs="Times New Roman"/>
          <w:i/>
          <w:sz w:val="24"/>
          <w:szCs w:val="24"/>
        </w:rPr>
        <w:t>maculans</w:t>
      </w:r>
      <w:proofErr w:type="spellEnd"/>
      <w:r w:rsidRPr="00CF0A23">
        <w:rPr>
          <w:rFonts w:ascii="Times New Roman" w:hAnsi="Times New Roman" w:cs="Times New Roman"/>
          <w:i/>
          <w:sz w:val="24"/>
          <w:szCs w:val="24"/>
        </w:rPr>
        <w:t xml:space="preserve"> </w:t>
      </w:r>
      <w:r w:rsidRPr="00CF0A23">
        <w:rPr>
          <w:rFonts w:ascii="Times New Roman" w:hAnsi="Times New Roman" w:cs="Times New Roman"/>
          <w:sz w:val="24"/>
          <w:szCs w:val="24"/>
        </w:rPr>
        <w:t xml:space="preserve">inoculation (dpi), whole cotyledons were detached and observed under fluorescent microscope and scanned subsequently. Roots were collected at the same day for analysis of fungal colonization. The hyphal growth was mostly not observed at 5 dpi (data not shown) but it started at 7 and excessively expanded at 11 dpi. Cotyledon discs (6 mm-diameter) were also harvested at 11 dpi for </w:t>
      </w:r>
      <w:proofErr w:type="spellStart"/>
      <w:r w:rsidRPr="00CF0A23">
        <w:rPr>
          <w:rFonts w:ascii="Times New Roman" w:hAnsi="Times New Roman" w:cs="Times New Roman"/>
          <w:sz w:val="24"/>
          <w:szCs w:val="24"/>
        </w:rPr>
        <w:t>qRT</w:t>
      </w:r>
      <w:proofErr w:type="spellEnd"/>
      <w:r w:rsidRPr="00CF0A23">
        <w:rPr>
          <w:rFonts w:ascii="Times New Roman" w:hAnsi="Times New Roman" w:cs="Times New Roman"/>
          <w:sz w:val="24"/>
          <w:szCs w:val="24"/>
        </w:rPr>
        <w:t>-PCR analysis.</w:t>
      </w:r>
    </w:p>
    <w:p w14:paraId="2150A1AE" w14:textId="77777777" w:rsidR="00E7693B" w:rsidRPr="00E7693B" w:rsidRDefault="00E7693B" w:rsidP="00EC70C2">
      <w:pPr>
        <w:pStyle w:val="Heading3"/>
      </w:pPr>
      <w:bookmarkStart w:id="83" w:name="_Toc167977649"/>
      <w:r w:rsidRPr="00E7693B">
        <w:t>Results</w:t>
      </w:r>
      <w:bookmarkEnd w:id="83"/>
    </w:p>
    <w:p w14:paraId="2150A1AF" w14:textId="77777777" w:rsidR="00E7693B" w:rsidRPr="005B6C8D" w:rsidRDefault="00E7693B" w:rsidP="005B6C8D">
      <w:pPr>
        <w:spacing w:after="0" w:line="360" w:lineRule="auto"/>
        <w:jc w:val="both"/>
        <w:rPr>
          <w:rFonts w:ascii="Times New Roman" w:hAnsi="Times New Roman" w:cs="Times New Roman"/>
          <w:sz w:val="24"/>
          <w:szCs w:val="24"/>
        </w:rPr>
      </w:pPr>
    </w:p>
    <w:p w14:paraId="2150A1B0" w14:textId="77777777" w:rsidR="00E7693B" w:rsidRPr="005B6C8D" w:rsidRDefault="00E7693B" w:rsidP="00EC70C2">
      <w:pPr>
        <w:pStyle w:val="Heading4"/>
      </w:pPr>
      <w:bookmarkStart w:id="84" w:name="_Toc167977650"/>
      <w:r w:rsidRPr="005B6C8D">
        <w:rPr>
          <w:i/>
        </w:rPr>
        <w:t xml:space="preserve">Metarhizium </w:t>
      </w:r>
      <w:proofErr w:type="spellStart"/>
      <w:r w:rsidRPr="005B6C8D">
        <w:rPr>
          <w:i/>
        </w:rPr>
        <w:t>robertsii</w:t>
      </w:r>
      <w:proofErr w:type="spellEnd"/>
      <w:r w:rsidRPr="005B6C8D">
        <w:t xml:space="preserve"> successfully colonizes roots of cauliflower plants</w:t>
      </w:r>
      <w:bookmarkEnd w:id="84"/>
    </w:p>
    <w:p w14:paraId="2150A1B1" w14:textId="77777777" w:rsidR="00E7693B" w:rsidRPr="005B6C8D" w:rsidRDefault="00E7693B" w:rsidP="005B6C8D">
      <w:pPr>
        <w:spacing w:after="0" w:line="360" w:lineRule="auto"/>
        <w:jc w:val="both"/>
        <w:rPr>
          <w:rFonts w:ascii="Times New Roman" w:hAnsi="Times New Roman" w:cs="Times New Roman"/>
          <w:sz w:val="24"/>
          <w:szCs w:val="24"/>
        </w:rPr>
      </w:pPr>
    </w:p>
    <w:p w14:paraId="2150A1B2" w14:textId="11BA30D9" w:rsidR="00E7693B" w:rsidRPr="005B6C8D" w:rsidRDefault="00F4164B" w:rsidP="005B6C8D">
      <w:pPr>
        <w:spacing w:line="360" w:lineRule="auto"/>
        <w:ind w:firstLine="576"/>
        <w:jc w:val="both"/>
        <w:rPr>
          <w:rFonts w:ascii="Times New Roman" w:hAnsi="Times New Roman" w:cs="Times New Roman"/>
          <w:sz w:val="24"/>
          <w:szCs w:val="24"/>
        </w:rPr>
      </w:pPr>
      <w:r>
        <w:rPr>
          <w:rFonts w:ascii="Times New Roman" w:hAnsi="Times New Roman" w:cs="Times New Roman"/>
          <w:sz w:val="24"/>
          <w:szCs w:val="24"/>
        </w:rPr>
        <w:t>The r</w:t>
      </w:r>
      <w:r w:rsidR="00E7693B" w:rsidRPr="005B6C8D">
        <w:rPr>
          <w:rFonts w:ascii="Times New Roman" w:hAnsi="Times New Roman" w:cs="Times New Roman"/>
          <w:sz w:val="24"/>
          <w:szCs w:val="24"/>
        </w:rPr>
        <w:t xml:space="preserve">oot colonization test confirmed that </w:t>
      </w:r>
      <w:r w:rsidR="00E7693B" w:rsidRPr="005B6C8D">
        <w:rPr>
          <w:rFonts w:ascii="Times New Roman" w:hAnsi="Times New Roman" w:cs="Times New Roman"/>
          <w:i/>
          <w:sz w:val="24"/>
          <w:szCs w:val="24"/>
        </w:rPr>
        <w:t xml:space="preserve">M. </w:t>
      </w:r>
      <w:proofErr w:type="spellStart"/>
      <w:r w:rsidR="00E7693B" w:rsidRPr="005B6C8D">
        <w:rPr>
          <w:rFonts w:ascii="Times New Roman" w:hAnsi="Times New Roman" w:cs="Times New Roman"/>
          <w:i/>
          <w:sz w:val="24"/>
          <w:szCs w:val="24"/>
        </w:rPr>
        <w:t>robertsii</w:t>
      </w:r>
      <w:proofErr w:type="spellEnd"/>
      <w:r w:rsidR="00E7693B" w:rsidRPr="005B6C8D">
        <w:rPr>
          <w:rFonts w:ascii="Times New Roman" w:hAnsi="Times New Roman" w:cs="Times New Roman"/>
          <w:sz w:val="24"/>
          <w:szCs w:val="24"/>
        </w:rPr>
        <w:t xml:space="preserve"> successfully colonizes cauliflower roots at 0, 5, 7, 11 and 14 dpi with </w:t>
      </w:r>
      <w:r w:rsidR="00E7693B" w:rsidRPr="005B6C8D">
        <w:rPr>
          <w:rFonts w:ascii="Times New Roman" w:hAnsi="Times New Roman" w:cs="Times New Roman"/>
          <w:i/>
          <w:sz w:val="24"/>
          <w:szCs w:val="24"/>
        </w:rPr>
        <w:t xml:space="preserve">L. </w:t>
      </w:r>
      <w:proofErr w:type="spellStart"/>
      <w:r w:rsidR="00E7693B" w:rsidRPr="005B6C8D">
        <w:rPr>
          <w:rFonts w:ascii="Times New Roman" w:hAnsi="Times New Roman" w:cs="Times New Roman"/>
          <w:i/>
          <w:sz w:val="24"/>
          <w:szCs w:val="24"/>
        </w:rPr>
        <w:t>maculans</w:t>
      </w:r>
      <w:proofErr w:type="spellEnd"/>
      <w:r w:rsidR="00E7693B" w:rsidRPr="005B6C8D">
        <w:rPr>
          <w:rFonts w:ascii="Times New Roman" w:hAnsi="Times New Roman" w:cs="Times New Roman"/>
          <w:sz w:val="24"/>
          <w:szCs w:val="24"/>
        </w:rPr>
        <w:t xml:space="preserve">. Root samples of </w:t>
      </w:r>
      <w:r w:rsidR="00E7693B" w:rsidRPr="005B6C8D">
        <w:rPr>
          <w:rFonts w:ascii="Times New Roman" w:hAnsi="Times New Roman" w:cs="Times New Roman"/>
          <w:i/>
          <w:sz w:val="24"/>
          <w:szCs w:val="24"/>
        </w:rPr>
        <w:t xml:space="preserve">M. </w:t>
      </w:r>
      <w:proofErr w:type="spellStart"/>
      <w:r w:rsidR="00E7693B" w:rsidRPr="005B6C8D">
        <w:rPr>
          <w:rFonts w:ascii="Times New Roman" w:hAnsi="Times New Roman" w:cs="Times New Roman"/>
          <w:i/>
          <w:sz w:val="24"/>
          <w:szCs w:val="24"/>
        </w:rPr>
        <w:t>robertsii</w:t>
      </w:r>
      <w:proofErr w:type="spellEnd"/>
      <w:r w:rsidR="00E7693B" w:rsidRPr="005B6C8D">
        <w:rPr>
          <w:rFonts w:ascii="Times New Roman" w:hAnsi="Times New Roman" w:cs="Times New Roman"/>
          <w:i/>
          <w:sz w:val="24"/>
          <w:szCs w:val="24"/>
        </w:rPr>
        <w:t>-</w:t>
      </w:r>
      <w:r w:rsidR="00E7693B" w:rsidRPr="005B6C8D">
        <w:rPr>
          <w:rFonts w:ascii="Times New Roman" w:hAnsi="Times New Roman" w:cs="Times New Roman"/>
          <w:sz w:val="24"/>
          <w:szCs w:val="24"/>
        </w:rPr>
        <w:t>treated plants</w:t>
      </w:r>
      <w:r w:rsidR="00E7693B" w:rsidRPr="005B6C8D">
        <w:rPr>
          <w:rFonts w:ascii="Times New Roman" w:hAnsi="Times New Roman" w:cs="Times New Roman"/>
          <w:i/>
          <w:sz w:val="24"/>
          <w:szCs w:val="24"/>
        </w:rPr>
        <w:t xml:space="preserve"> </w:t>
      </w:r>
      <w:r w:rsidR="00E7693B" w:rsidRPr="005B6C8D">
        <w:rPr>
          <w:rFonts w:ascii="Times New Roman" w:hAnsi="Times New Roman" w:cs="Times New Roman"/>
          <w:sz w:val="24"/>
          <w:szCs w:val="24"/>
        </w:rPr>
        <w:t>showed characteristic dark green colonies and white hyphal growth on selective media, in contrast to control samples (distilled water- and 0.05 % Triton X-treated) which showed no fungal growth (Fig. 33).</w:t>
      </w:r>
    </w:p>
    <w:p w14:paraId="2150A1B3" w14:textId="77777777" w:rsidR="00E7693B" w:rsidRPr="00E7693B" w:rsidRDefault="00E7693B">
      <w:pPr>
        <w:spacing w:after="240"/>
        <w:jc w:val="center"/>
        <w:rPr>
          <w:rFonts w:ascii="Times New Roman" w:hAnsi="Times New Roman" w:cs="Times New Roman"/>
        </w:rPr>
      </w:pPr>
      <w:r w:rsidRPr="00E7693B">
        <w:rPr>
          <w:rFonts w:ascii="Times New Roman" w:hAnsi="Times New Roman" w:cs="Times New Roman"/>
          <w:noProof/>
          <w:lang w:val="en-US"/>
        </w:rPr>
        <w:drawing>
          <wp:inline distT="0" distB="0" distL="0" distR="0" wp14:anchorId="2150A5B0" wp14:editId="2150A5B1">
            <wp:extent cx="3817843" cy="2308130"/>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4"/>
                    <a:srcRect/>
                    <a:stretch>
                      <a:fillRect/>
                    </a:stretch>
                  </pic:blipFill>
                  <pic:spPr>
                    <a:xfrm>
                      <a:off x="0" y="0"/>
                      <a:ext cx="3817843" cy="2308130"/>
                    </a:xfrm>
                    <a:prstGeom prst="rect">
                      <a:avLst/>
                    </a:prstGeom>
                    <a:ln/>
                  </pic:spPr>
                </pic:pic>
              </a:graphicData>
            </a:graphic>
          </wp:inline>
        </w:drawing>
      </w:r>
    </w:p>
    <w:p w14:paraId="2150A1B4" w14:textId="77777777" w:rsidR="00E7693B" w:rsidRPr="00E7693B" w:rsidRDefault="00E7693B" w:rsidP="005B6C8D">
      <w:pPr>
        <w:spacing w:after="0" w:line="360" w:lineRule="auto"/>
        <w:jc w:val="both"/>
        <w:rPr>
          <w:rFonts w:ascii="Times New Roman" w:hAnsi="Times New Roman" w:cs="Times New Roman"/>
        </w:rPr>
      </w:pPr>
      <w:r w:rsidRPr="00E7693B">
        <w:rPr>
          <w:rFonts w:ascii="Times New Roman" w:hAnsi="Times New Roman" w:cs="Times New Roman"/>
          <w:b/>
        </w:rPr>
        <w:t>Figure 33</w:t>
      </w:r>
      <w:r w:rsidRPr="00E7693B">
        <w:rPr>
          <w:rFonts w:ascii="Times New Roman" w:hAnsi="Times New Roman" w:cs="Times New Roman"/>
        </w:rPr>
        <w:t xml:space="preserve">. Root colonization test performed to confirm the presence of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KVL 12-35 on treated roots of cauliflower and to exclude the contamination on the respective controls (distilled water- and 0.05 % Triton X-treated).</w:t>
      </w:r>
    </w:p>
    <w:p w14:paraId="2150A1B5" w14:textId="77777777" w:rsidR="00E7693B" w:rsidRPr="00E7693B" w:rsidRDefault="00E7693B" w:rsidP="005B6C8D">
      <w:pPr>
        <w:spacing w:after="0"/>
        <w:jc w:val="both"/>
        <w:rPr>
          <w:rFonts w:ascii="Times New Roman" w:hAnsi="Times New Roman" w:cs="Times New Roman"/>
        </w:rPr>
      </w:pPr>
    </w:p>
    <w:p w14:paraId="2150A1B6" w14:textId="77777777" w:rsidR="00E7693B" w:rsidRPr="00E7693B" w:rsidRDefault="00E7693B" w:rsidP="00EC70C2">
      <w:pPr>
        <w:pStyle w:val="Heading4"/>
      </w:pPr>
      <w:bookmarkStart w:id="85" w:name="_Toc167977651"/>
      <w:r w:rsidRPr="00E7693B">
        <w:t xml:space="preserve">Successful disease development by </w:t>
      </w:r>
      <w:r w:rsidRPr="00E7693B">
        <w:rPr>
          <w:i/>
        </w:rPr>
        <w:t xml:space="preserve">Leptosphaeria </w:t>
      </w:r>
      <w:proofErr w:type="spellStart"/>
      <w:r w:rsidRPr="00E7693B">
        <w:rPr>
          <w:i/>
        </w:rPr>
        <w:t>maculans</w:t>
      </w:r>
      <w:proofErr w:type="spellEnd"/>
      <w:r w:rsidRPr="00E7693B">
        <w:rPr>
          <w:i/>
        </w:rPr>
        <w:t xml:space="preserve"> </w:t>
      </w:r>
      <w:r w:rsidRPr="00E7693B">
        <w:t>highly dependent on the inoculation method and leaf stage</w:t>
      </w:r>
      <w:bookmarkEnd w:id="85"/>
    </w:p>
    <w:p w14:paraId="2150A1B7" w14:textId="77777777" w:rsidR="00E7693B" w:rsidRPr="00E7693B" w:rsidRDefault="00E7693B">
      <w:pPr>
        <w:rPr>
          <w:rFonts w:ascii="Times New Roman" w:hAnsi="Times New Roman" w:cs="Times New Roman"/>
        </w:rPr>
      </w:pPr>
    </w:p>
    <w:p w14:paraId="2150A1B8" w14:textId="5F88E28F" w:rsidR="00E7693B" w:rsidRDefault="00E7693B" w:rsidP="00EC70C2">
      <w:pPr>
        <w:pStyle w:val="Heading5"/>
      </w:pPr>
      <w:bookmarkStart w:id="86" w:name="_Toc167977652"/>
      <w:r w:rsidRPr="00E7693B">
        <w:rPr>
          <w:i/>
        </w:rPr>
        <w:t xml:space="preserve">Leptosphaeria </w:t>
      </w:r>
      <w:proofErr w:type="spellStart"/>
      <w:r w:rsidRPr="00E7693B">
        <w:rPr>
          <w:i/>
        </w:rPr>
        <w:t>maculans</w:t>
      </w:r>
      <w:proofErr w:type="spellEnd"/>
      <w:r w:rsidRPr="00E7693B">
        <w:t xml:space="preserve"> infection in the true leaves of cauliflower</w:t>
      </w:r>
      <w:bookmarkEnd w:id="86"/>
    </w:p>
    <w:p w14:paraId="5E50D7EC" w14:textId="2204FC10" w:rsidR="005B6C8D" w:rsidRPr="005B6C8D" w:rsidRDefault="005B6C8D" w:rsidP="005B6C8D">
      <w:pPr>
        <w:spacing w:after="0" w:line="360" w:lineRule="auto"/>
        <w:jc w:val="both"/>
        <w:rPr>
          <w:rFonts w:ascii="Times New Roman" w:hAnsi="Times New Roman" w:cs="Times New Roman"/>
          <w:sz w:val="24"/>
          <w:szCs w:val="24"/>
        </w:rPr>
      </w:pPr>
    </w:p>
    <w:p w14:paraId="2150A1B9" w14:textId="77777777" w:rsidR="00E7693B" w:rsidRPr="005B6C8D" w:rsidRDefault="00E7693B" w:rsidP="005B6C8D">
      <w:pPr>
        <w:spacing w:line="360" w:lineRule="auto"/>
        <w:ind w:firstLine="720"/>
        <w:jc w:val="both"/>
        <w:rPr>
          <w:rFonts w:ascii="Times New Roman" w:hAnsi="Times New Roman" w:cs="Times New Roman"/>
          <w:sz w:val="24"/>
          <w:szCs w:val="24"/>
        </w:rPr>
      </w:pPr>
      <w:r w:rsidRPr="005B6C8D">
        <w:rPr>
          <w:rFonts w:ascii="Times New Roman" w:hAnsi="Times New Roman" w:cs="Times New Roman"/>
          <w:sz w:val="24"/>
          <w:szCs w:val="24"/>
        </w:rPr>
        <w:t xml:space="preserve">The symptoms of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infection in the true leaves developed only in the first experimental repetition (Fig. 34A), whereas no symptoms were detected in the second repetition (Fig. 34B). Lesion development in the first repetition was quite weak, and only on several leaves. Nonetheless, the transcript level of </w:t>
      </w:r>
      <w:proofErr w:type="spellStart"/>
      <w:r w:rsidRPr="005B6C8D">
        <w:rPr>
          <w:rFonts w:ascii="Times New Roman" w:hAnsi="Times New Roman" w:cs="Times New Roman"/>
          <w:i/>
          <w:sz w:val="24"/>
          <w:szCs w:val="24"/>
        </w:rPr>
        <w:t>LmITS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gene (Fig. 35A, B; Tab. 6 and 7) and the microscopic imaging of GFP-tagged JN3 isolate (Fig. 36) confirmed that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was present in all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treatments around the puncture site.</w:t>
      </w:r>
    </w:p>
    <w:p w14:paraId="2150A1BA" w14:textId="1A4BF5EC" w:rsidR="00E7693B" w:rsidRPr="00E7693B" w:rsidRDefault="006809BE">
      <w:pPr>
        <w:spacing w:after="240"/>
        <w:jc w:val="center"/>
        <w:rPr>
          <w:rFonts w:ascii="Times New Roman" w:hAnsi="Times New Roman" w:cs="Times New Roman"/>
        </w:rPr>
      </w:pPr>
      <w:r>
        <w:rPr>
          <w:rFonts w:ascii="Times New Roman" w:hAnsi="Times New Roman" w:cs="Times New Roman"/>
          <w:noProof/>
          <w:lang w:val="en-US"/>
        </w:rPr>
        <w:drawing>
          <wp:inline distT="0" distB="0" distL="0" distR="0" wp14:anchorId="6F262EE8" wp14:editId="0EB9A6B2">
            <wp:extent cx="5760085" cy="3178810"/>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rue leaves_for thesi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085" cy="3178810"/>
                    </a:xfrm>
                    <a:prstGeom prst="rect">
                      <a:avLst/>
                    </a:prstGeom>
                  </pic:spPr>
                </pic:pic>
              </a:graphicData>
            </a:graphic>
          </wp:inline>
        </w:drawing>
      </w:r>
    </w:p>
    <w:p w14:paraId="2150A1BB" w14:textId="59551152"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rPr>
        <w:t>Figure 34</w:t>
      </w:r>
      <w:r w:rsidRPr="00E7693B">
        <w:rPr>
          <w:rFonts w:ascii="Times New Roman" w:hAnsi="Times New Roman" w:cs="Times New Roman"/>
        </w:rPr>
        <w:t xml:space="preserve">. Lesion development in the true leaves of cauliflower 14 days post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inoculation by “puncture and drop”. Roots were previously inoculated with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Distilled water (dH2O) was used as control on the leaves, and on the roots together with 0.05 % of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w:t>
      </w:r>
      <w:r w:rsidRPr="006B61C5">
        <w:rPr>
          <w:rFonts w:ascii="Times New Roman" w:hAnsi="Times New Roman" w:cs="Times New Roman"/>
          <w:b/>
          <w:bCs/>
        </w:rPr>
        <w:t>A:</w:t>
      </w:r>
      <w:r w:rsidRPr="00E7693B">
        <w:rPr>
          <w:rFonts w:ascii="Times New Roman" w:hAnsi="Times New Roman" w:cs="Times New Roman"/>
        </w:rPr>
        <w:t xml:space="preserve"> first biological repetition with developed symptoms marked with the red circle; </w:t>
      </w:r>
      <w:r w:rsidRPr="006B61C5">
        <w:rPr>
          <w:rFonts w:ascii="Times New Roman" w:hAnsi="Times New Roman" w:cs="Times New Roman"/>
          <w:b/>
          <w:bCs/>
        </w:rPr>
        <w:t>B:</w:t>
      </w:r>
      <w:r w:rsidRPr="00E7693B">
        <w:rPr>
          <w:rFonts w:ascii="Times New Roman" w:hAnsi="Times New Roman" w:cs="Times New Roman"/>
        </w:rPr>
        <w:t xml:space="preserve"> second biological repetition with no </w:t>
      </w:r>
      <w:r w:rsidR="00F4164B">
        <w:rPr>
          <w:rFonts w:ascii="Times New Roman" w:hAnsi="Times New Roman" w:cs="Times New Roman"/>
        </w:rPr>
        <w:t>visual</w:t>
      </w:r>
      <w:r w:rsidR="00F4164B" w:rsidRPr="00E7693B">
        <w:rPr>
          <w:rFonts w:ascii="Times New Roman" w:hAnsi="Times New Roman" w:cs="Times New Roman"/>
        </w:rPr>
        <w:t xml:space="preserve"> </w:t>
      </w:r>
      <w:r w:rsidRPr="00E7693B">
        <w:rPr>
          <w:rFonts w:ascii="Times New Roman" w:hAnsi="Times New Roman" w:cs="Times New Roman"/>
        </w:rPr>
        <w:t>symptoms.</w:t>
      </w:r>
    </w:p>
    <w:p w14:paraId="2150A1BC" w14:textId="4B99D57D" w:rsidR="00E7693B" w:rsidRPr="00E7693B" w:rsidRDefault="005B6C8D">
      <w:pPr>
        <w:spacing w:before="240" w:after="240" w:line="360" w:lineRule="auto"/>
        <w:jc w:val="center"/>
        <w:rPr>
          <w:rFonts w:ascii="Times New Roman" w:hAnsi="Times New Roman" w:cs="Times New Roman"/>
        </w:rPr>
      </w:pPr>
      <w:r>
        <w:rPr>
          <w:noProof/>
          <w:lang w:val="en-US"/>
        </w:rPr>
        <w:drawing>
          <wp:inline distT="0" distB="0" distL="0" distR="0" wp14:anchorId="679FF68C" wp14:editId="74AC43A4">
            <wp:extent cx="5760085" cy="2259965"/>
            <wp:effectExtent l="0" t="0" r="0" b="6985"/>
            <wp:docPr id="1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6"/>
                    <a:srcRect/>
                    <a:stretch>
                      <a:fillRect/>
                    </a:stretch>
                  </pic:blipFill>
                  <pic:spPr>
                    <a:xfrm>
                      <a:off x="0" y="0"/>
                      <a:ext cx="5760085" cy="2259965"/>
                    </a:xfrm>
                    <a:prstGeom prst="rect">
                      <a:avLst/>
                    </a:prstGeom>
                    <a:ln/>
                  </pic:spPr>
                </pic:pic>
              </a:graphicData>
            </a:graphic>
          </wp:inline>
        </w:drawing>
      </w:r>
    </w:p>
    <w:p w14:paraId="2150A1BD" w14:textId="77777777"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35</w:t>
      </w:r>
      <w:r w:rsidRPr="00E7693B">
        <w:rPr>
          <w:rFonts w:ascii="Times New Roman" w:hAnsi="Times New Roman" w:cs="Times New Roman"/>
        </w:rPr>
        <w:t xml:space="preserve">. Transcription of </w:t>
      </w:r>
      <w:proofErr w:type="spellStart"/>
      <w:r w:rsidRPr="00E7693B">
        <w:rPr>
          <w:rFonts w:ascii="Times New Roman" w:hAnsi="Times New Roman" w:cs="Times New Roman"/>
          <w:i/>
        </w:rPr>
        <w:t>LmITS</w:t>
      </w:r>
      <w:proofErr w:type="spellEnd"/>
      <w:r w:rsidRPr="00E7693B">
        <w:rPr>
          <w:rFonts w:ascii="Times New Roman" w:hAnsi="Times New Roman" w:cs="Times New Roman"/>
          <w:i/>
        </w:rPr>
        <w:t xml:space="preserve"> </w:t>
      </w:r>
      <w:r w:rsidRPr="00E7693B">
        <w:rPr>
          <w:rFonts w:ascii="Times New Roman" w:hAnsi="Times New Roman" w:cs="Times New Roman"/>
        </w:rPr>
        <w:t>(</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internal transcribed spacer</w:t>
      </w:r>
      <w:r w:rsidRPr="00E7693B">
        <w:rPr>
          <w:rFonts w:ascii="Times New Roman" w:hAnsi="Times New Roman" w:cs="Times New Roman"/>
        </w:rPr>
        <w:t>)</w:t>
      </w:r>
      <w:r w:rsidRPr="00E7693B">
        <w:rPr>
          <w:rFonts w:ascii="Times New Roman" w:hAnsi="Times New Roman" w:cs="Times New Roman"/>
          <w:i/>
        </w:rPr>
        <w:t xml:space="preserve"> </w:t>
      </w:r>
      <w:r w:rsidRPr="00E7693B">
        <w:rPr>
          <w:rFonts w:ascii="Times New Roman" w:hAnsi="Times New Roman" w:cs="Times New Roman"/>
        </w:rPr>
        <w:t xml:space="preserve">gene in the true leaves of cauliflower inoculated with </w:t>
      </w:r>
      <w:r w:rsidRPr="00E7693B">
        <w:rPr>
          <w:rFonts w:ascii="Times New Roman" w:hAnsi="Times New Roman" w:cs="Times New Roman"/>
          <w:i/>
        </w:rPr>
        <w:t xml:space="preserve">L.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and previously inoculated with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Distilled water (dH2O) was used as control on the leaves, and on the roots together with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Gene transcriptions were detected 7 and 14 days post </w:t>
      </w:r>
      <w:r w:rsidRPr="00E7693B">
        <w:rPr>
          <w:rFonts w:ascii="Times New Roman" w:hAnsi="Times New Roman" w:cs="Times New Roman"/>
          <w:i/>
        </w:rPr>
        <w:t xml:space="preserve">L. </w:t>
      </w:r>
      <w:proofErr w:type="spellStart"/>
      <w:r w:rsidRPr="00E7693B">
        <w:rPr>
          <w:rFonts w:ascii="Times New Roman" w:hAnsi="Times New Roman" w:cs="Times New Roman"/>
          <w:i/>
        </w:rPr>
        <w:t>maculans</w:t>
      </w:r>
      <w:proofErr w:type="spellEnd"/>
      <w:r w:rsidRPr="00E7693B">
        <w:rPr>
          <w:rFonts w:ascii="Times New Roman" w:hAnsi="Times New Roman" w:cs="Times New Roman"/>
        </w:rPr>
        <w:t xml:space="preserve"> inoculation (dpi). Boxplots show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lowercase letters significant differences (P &lt; 0.05) between treatments for a given time point. </w:t>
      </w:r>
      <w:r w:rsidRPr="006B61C5">
        <w:rPr>
          <w:rFonts w:ascii="Times New Roman" w:hAnsi="Times New Roman" w:cs="Times New Roman"/>
          <w:b/>
          <w:bCs/>
        </w:rPr>
        <w:t>A:</w:t>
      </w:r>
      <w:r w:rsidRPr="00E7693B">
        <w:rPr>
          <w:rFonts w:ascii="Times New Roman" w:hAnsi="Times New Roman" w:cs="Times New Roman"/>
        </w:rPr>
        <w:t xml:space="preserve"> first biological repetition with developed symptoms; </w:t>
      </w:r>
      <w:r w:rsidRPr="006B61C5">
        <w:rPr>
          <w:rFonts w:ascii="Times New Roman" w:hAnsi="Times New Roman" w:cs="Times New Roman"/>
          <w:b/>
          <w:bCs/>
        </w:rPr>
        <w:t>B:</w:t>
      </w:r>
      <w:r w:rsidRPr="00E7693B">
        <w:rPr>
          <w:rFonts w:ascii="Times New Roman" w:hAnsi="Times New Roman" w:cs="Times New Roman"/>
        </w:rPr>
        <w:t xml:space="preserve"> second biological repetition with no recorded symptoms.</w:t>
      </w:r>
    </w:p>
    <w:p w14:paraId="2150A1BE" w14:textId="2B783A04" w:rsidR="00E7693B" w:rsidRPr="00E7693B" w:rsidRDefault="005B6C8D">
      <w:pPr>
        <w:spacing w:before="240" w:after="240" w:line="360" w:lineRule="auto"/>
        <w:jc w:val="center"/>
        <w:rPr>
          <w:rFonts w:ascii="Times New Roman" w:hAnsi="Times New Roman" w:cs="Times New Roman"/>
        </w:rPr>
      </w:pPr>
      <w:r>
        <w:rPr>
          <w:noProof/>
          <w:lang w:val="en-US"/>
        </w:rPr>
        <w:drawing>
          <wp:inline distT="0" distB="0" distL="0" distR="0" wp14:anchorId="3E56830B" wp14:editId="649F10DB">
            <wp:extent cx="5760085" cy="1642745"/>
            <wp:effectExtent l="0" t="0" r="0" b="0"/>
            <wp:docPr id="1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7"/>
                    <a:srcRect/>
                    <a:stretch>
                      <a:fillRect/>
                    </a:stretch>
                  </pic:blipFill>
                  <pic:spPr>
                    <a:xfrm>
                      <a:off x="0" y="0"/>
                      <a:ext cx="5760085" cy="1642745"/>
                    </a:xfrm>
                    <a:prstGeom prst="rect">
                      <a:avLst/>
                    </a:prstGeom>
                    <a:ln/>
                  </pic:spPr>
                </pic:pic>
              </a:graphicData>
            </a:graphic>
          </wp:inline>
        </w:drawing>
      </w:r>
    </w:p>
    <w:p w14:paraId="2150A1BF" w14:textId="77777777"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36</w:t>
      </w:r>
      <w:r w:rsidRPr="00E7693B">
        <w:rPr>
          <w:rFonts w:ascii="Times New Roman" w:hAnsi="Times New Roman" w:cs="Times New Roman"/>
        </w:rPr>
        <w:t xml:space="preserve">. Microscopic imaging of 6 mm leaf discs of cauliflower14 days after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inoculation by “puncture and drop”. Roots were previously inoculated with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Distilled water (dH2O) was used as control on the leaves, and on the roots together with 0.05 % of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Scale bar = 500 µm.</w:t>
      </w:r>
    </w:p>
    <w:p w14:paraId="720C355A" w14:textId="1220344E" w:rsidR="008B6B6B" w:rsidRPr="005B6C8D" w:rsidRDefault="008B6B6B" w:rsidP="005B6C8D">
      <w:pPr>
        <w:spacing w:after="0" w:line="360" w:lineRule="auto"/>
        <w:ind w:firstLine="576"/>
        <w:jc w:val="both"/>
        <w:rPr>
          <w:rFonts w:ascii="Times New Roman" w:hAnsi="Times New Roman" w:cs="Times New Roman"/>
          <w:sz w:val="24"/>
          <w:szCs w:val="24"/>
        </w:rPr>
      </w:pPr>
      <w:r w:rsidRPr="008B6B6B">
        <w:rPr>
          <w:rFonts w:ascii="Times New Roman" w:hAnsi="Times New Roman" w:cs="Times New Roman"/>
          <w:sz w:val="24"/>
          <w:szCs w:val="24"/>
        </w:rPr>
        <w:t xml:space="preserve">The activation of the SA, JA, ET, and combined JA/ET </w:t>
      </w:r>
      <w:proofErr w:type="spellStart"/>
      <w:r w:rsidRPr="008B6B6B">
        <w:rPr>
          <w:rFonts w:ascii="Times New Roman" w:hAnsi="Times New Roman" w:cs="Times New Roman"/>
          <w:sz w:val="24"/>
          <w:szCs w:val="24"/>
        </w:rPr>
        <w:t>signaling</w:t>
      </w:r>
      <w:proofErr w:type="spellEnd"/>
      <w:r w:rsidRPr="008B6B6B">
        <w:rPr>
          <w:rFonts w:ascii="Times New Roman" w:hAnsi="Times New Roman" w:cs="Times New Roman"/>
          <w:sz w:val="24"/>
          <w:szCs w:val="24"/>
        </w:rPr>
        <w:t xml:space="preserve"> pathways in the true leaves of cauliflower was monitored by </w:t>
      </w:r>
      <w:proofErr w:type="spellStart"/>
      <w:r w:rsidRPr="008B6B6B">
        <w:rPr>
          <w:rFonts w:ascii="Times New Roman" w:hAnsi="Times New Roman" w:cs="Times New Roman"/>
          <w:sz w:val="24"/>
          <w:szCs w:val="24"/>
        </w:rPr>
        <w:t>analyzing</w:t>
      </w:r>
      <w:proofErr w:type="spellEnd"/>
      <w:r w:rsidRPr="008B6B6B">
        <w:rPr>
          <w:rFonts w:ascii="Times New Roman" w:hAnsi="Times New Roman" w:cs="Times New Roman"/>
          <w:sz w:val="24"/>
          <w:szCs w:val="24"/>
        </w:rPr>
        <w:t xml:space="preserve"> the transcription of specific marker genes. For SA, the biosynthetic gene </w:t>
      </w:r>
      <w:r w:rsidRPr="006B61C5">
        <w:rPr>
          <w:rFonts w:ascii="Times New Roman" w:hAnsi="Times New Roman" w:cs="Times New Roman"/>
          <w:i/>
          <w:iCs/>
          <w:sz w:val="24"/>
          <w:szCs w:val="24"/>
        </w:rPr>
        <w:t>ICS1</w:t>
      </w:r>
      <w:r w:rsidRPr="008B6B6B">
        <w:rPr>
          <w:rFonts w:ascii="Times New Roman" w:hAnsi="Times New Roman" w:cs="Times New Roman"/>
          <w:sz w:val="24"/>
          <w:szCs w:val="24"/>
        </w:rPr>
        <w:t xml:space="preserve"> and the responsive gene </w:t>
      </w:r>
      <w:r w:rsidRPr="006B61C5">
        <w:rPr>
          <w:rFonts w:ascii="Times New Roman" w:hAnsi="Times New Roman" w:cs="Times New Roman"/>
          <w:i/>
          <w:iCs/>
          <w:sz w:val="24"/>
          <w:szCs w:val="24"/>
        </w:rPr>
        <w:t>WRKY70</w:t>
      </w:r>
      <w:r w:rsidRPr="008B6B6B">
        <w:rPr>
          <w:rFonts w:ascii="Times New Roman" w:hAnsi="Times New Roman" w:cs="Times New Roman"/>
          <w:sz w:val="24"/>
          <w:szCs w:val="24"/>
        </w:rPr>
        <w:t xml:space="preserve"> were assessed. JA </w:t>
      </w:r>
      <w:proofErr w:type="spellStart"/>
      <w:r w:rsidRPr="008B6B6B">
        <w:rPr>
          <w:rFonts w:ascii="Times New Roman" w:hAnsi="Times New Roman" w:cs="Times New Roman"/>
          <w:sz w:val="24"/>
          <w:szCs w:val="24"/>
        </w:rPr>
        <w:t>signaling</w:t>
      </w:r>
      <w:proofErr w:type="spellEnd"/>
      <w:r w:rsidRPr="008B6B6B">
        <w:rPr>
          <w:rFonts w:ascii="Times New Roman" w:hAnsi="Times New Roman" w:cs="Times New Roman"/>
          <w:sz w:val="24"/>
          <w:szCs w:val="24"/>
        </w:rPr>
        <w:t xml:space="preserve"> was evaluated through the biosynthetic genes </w:t>
      </w:r>
      <w:r w:rsidRPr="006B61C5">
        <w:rPr>
          <w:rFonts w:ascii="Times New Roman" w:hAnsi="Times New Roman" w:cs="Times New Roman"/>
          <w:i/>
          <w:iCs/>
          <w:sz w:val="24"/>
          <w:szCs w:val="24"/>
        </w:rPr>
        <w:t>LOX3</w:t>
      </w:r>
      <w:r w:rsidRPr="008B6B6B">
        <w:rPr>
          <w:rFonts w:ascii="Times New Roman" w:hAnsi="Times New Roman" w:cs="Times New Roman"/>
          <w:sz w:val="24"/>
          <w:szCs w:val="24"/>
        </w:rPr>
        <w:t xml:space="preserve"> and </w:t>
      </w:r>
      <w:r w:rsidRPr="006B61C5">
        <w:rPr>
          <w:rFonts w:ascii="Times New Roman" w:hAnsi="Times New Roman" w:cs="Times New Roman"/>
          <w:i/>
          <w:iCs/>
          <w:sz w:val="24"/>
          <w:szCs w:val="24"/>
        </w:rPr>
        <w:t>AOS</w:t>
      </w:r>
      <w:r w:rsidRPr="008B6B6B">
        <w:rPr>
          <w:rFonts w:ascii="Times New Roman" w:hAnsi="Times New Roman" w:cs="Times New Roman"/>
          <w:sz w:val="24"/>
          <w:szCs w:val="24"/>
        </w:rPr>
        <w:t xml:space="preserve">. ET pathway activation was determined by the biosynthetic gene </w:t>
      </w:r>
      <w:r w:rsidRPr="006B61C5">
        <w:rPr>
          <w:rFonts w:ascii="Times New Roman" w:hAnsi="Times New Roman" w:cs="Times New Roman"/>
          <w:i/>
          <w:iCs/>
          <w:sz w:val="24"/>
          <w:szCs w:val="24"/>
        </w:rPr>
        <w:t>ACS2</w:t>
      </w:r>
      <w:r w:rsidRPr="008B6B6B">
        <w:rPr>
          <w:rFonts w:ascii="Times New Roman" w:hAnsi="Times New Roman" w:cs="Times New Roman"/>
          <w:sz w:val="24"/>
          <w:szCs w:val="24"/>
        </w:rPr>
        <w:t xml:space="preserve">. The responsive genes </w:t>
      </w:r>
      <w:r w:rsidRPr="006B61C5">
        <w:rPr>
          <w:rFonts w:ascii="Times New Roman" w:hAnsi="Times New Roman" w:cs="Times New Roman"/>
          <w:i/>
          <w:iCs/>
          <w:sz w:val="24"/>
          <w:szCs w:val="24"/>
        </w:rPr>
        <w:t>PDF3</w:t>
      </w:r>
      <w:r w:rsidRPr="008B6B6B">
        <w:rPr>
          <w:rFonts w:ascii="Times New Roman" w:hAnsi="Times New Roman" w:cs="Times New Roman"/>
          <w:sz w:val="24"/>
          <w:szCs w:val="24"/>
        </w:rPr>
        <w:t xml:space="preserve"> and </w:t>
      </w:r>
      <w:r w:rsidRPr="006B61C5">
        <w:rPr>
          <w:rFonts w:ascii="Times New Roman" w:hAnsi="Times New Roman" w:cs="Times New Roman"/>
          <w:i/>
          <w:iCs/>
          <w:sz w:val="24"/>
          <w:szCs w:val="24"/>
        </w:rPr>
        <w:t>PR4</w:t>
      </w:r>
      <w:r w:rsidRPr="008B6B6B">
        <w:rPr>
          <w:rFonts w:ascii="Times New Roman" w:hAnsi="Times New Roman" w:cs="Times New Roman"/>
          <w:sz w:val="24"/>
          <w:szCs w:val="24"/>
        </w:rPr>
        <w:t xml:space="preserve"> were used to monitor both JA and ET pathways. Additionally, the genes </w:t>
      </w:r>
      <w:proofErr w:type="spellStart"/>
      <w:r w:rsidRPr="006B61C5">
        <w:rPr>
          <w:rFonts w:ascii="Times New Roman" w:hAnsi="Times New Roman" w:cs="Times New Roman"/>
          <w:i/>
          <w:iCs/>
          <w:sz w:val="24"/>
          <w:szCs w:val="24"/>
        </w:rPr>
        <w:t>rbohC</w:t>
      </w:r>
      <w:proofErr w:type="spellEnd"/>
      <w:r w:rsidRPr="008B6B6B">
        <w:rPr>
          <w:rFonts w:ascii="Times New Roman" w:hAnsi="Times New Roman" w:cs="Times New Roman"/>
          <w:sz w:val="24"/>
          <w:szCs w:val="24"/>
        </w:rPr>
        <w:t xml:space="preserve"> and </w:t>
      </w:r>
      <w:proofErr w:type="spellStart"/>
      <w:r w:rsidRPr="006B61C5">
        <w:rPr>
          <w:rFonts w:ascii="Times New Roman" w:hAnsi="Times New Roman" w:cs="Times New Roman"/>
          <w:i/>
          <w:iCs/>
          <w:sz w:val="24"/>
          <w:szCs w:val="24"/>
        </w:rPr>
        <w:t>rbohF</w:t>
      </w:r>
      <w:proofErr w:type="spellEnd"/>
      <w:r w:rsidRPr="008B6B6B">
        <w:rPr>
          <w:rFonts w:ascii="Times New Roman" w:hAnsi="Times New Roman" w:cs="Times New Roman"/>
          <w:sz w:val="24"/>
          <w:szCs w:val="24"/>
        </w:rPr>
        <w:t>, which are involved in the oxidative stress response, were examined.</w:t>
      </w:r>
    </w:p>
    <w:p w14:paraId="2150A1C1" w14:textId="7B2A8370" w:rsidR="00E7693B" w:rsidRPr="005B6C8D" w:rsidRDefault="00E7693B">
      <w:pPr>
        <w:spacing w:line="360" w:lineRule="auto"/>
        <w:ind w:firstLine="576"/>
        <w:jc w:val="both"/>
        <w:rPr>
          <w:rFonts w:ascii="Times New Roman" w:hAnsi="Times New Roman" w:cs="Times New Roman"/>
          <w:sz w:val="24"/>
          <w:szCs w:val="24"/>
        </w:rPr>
      </w:pPr>
      <w:r w:rsidRPr="005B6C8D">
        <w:rPr>
          <w:rFonts w:ascii="Times New Roman" w:hAnsi="Times New Roman" w:cs="Times New Roman"/>
          <w:sz w:val="24"/>
          <w:szCs w:val="24"/>
        </w:rPr>
        <w:t xml:space="preserve">In the first biological repetition, </w:t>
      </w:r>
      <w:r w:rsidR="00F4164B">
        <w:rPr>
          <w:rFonts w:ascii="Times New Roman" w:hAnsi="Times New Roman" w:cs="Times New Roman"/>
          <w:sz w:val="24"/>
          <w:szCs w:val="24"/>
        </w:rPr>
        <w:t xml:space="preserve">the </w:t>
      </w:r>
      <w:r w:rsidRPr="005B6C8D">
        <w:rPr>
          <w:rFonts w:ascii="Times New Roman" w:hAnsi="Times New Roman" w:cs="Times New Roman"/>
          <w:sz w:val="24"/>
          <w:szCs w:val="24"/>
        </w:rPr>
        <w:t xml:space="preserve">SA pathway was activated through </w:t>
      </w:r>
      <w:r w:rsidRPr="005B6C8D">
        <w:rPr>
          <w:rFonts w:ascii="Times New Roman" w:hAnsi="Times New Roman" w:cs="Times New Roman"/>
          <w:i/>
          <w:sz w:val="24"/>
          <w:szCs w:val="24"/>
        </w:rPr>
        <w:t xml:space="preserve">WRKY70 </w:t>
      </w:r>
      <w:r w:rsidRPr="005B6C8D">
        <w:rPr>
          <w:rFonts w:ascii="Times New Roman" w:hAnsi="Times New Roman" w:cs="Times New Roman"/>
          <w:sz w:val="24"/>
          <w:szCs w:val="24"/>
        </w:rPr>
        <w:t xml:space="preserve">and </w:t>
      </w:r>
      <w:r w:rsidR="00F4164B">
        <w:rPr>
          <w:rFonts w:ascii="Times New Roman" w:hAnsi="Times New Roman" w:cs="Times New Roman"/>
          <w:sz w:val="24"/>
          <w:szCs w:val="24"/>
        </w:rPr>
        <w:t xml:space="preserve">the </w:t>
      </w:r>
      <w:r w:rsidRPr="005B6C8D">
        <w:rPr>
          <w:rFonts w:ascii="Times New Roman" w:hAnsi="Times New Roman" w:cs="Times New Roman"/>
          <w:sz w:val="24"/>
          <w:szCs w:val="24"/>
        </w:rPr>
        <w:t xml:space="preserve">JA/ET pathway through </w:t>
      </w:r>
      <w:r w:rsidRPr="005B6C8D">
        <w:rPr>
          <w:rFonts w:ascii="Times New Roman" w:hAnsi="Times New Roman" w:cs="Times New Roman"/>
          <w:i/>
          <w:sz w:val="24"/>
          <w:szCs w:val="24"/>
        </w:rPr>
        <w:t xml:space="preserve">PR4 </w:t>
      </w:r>
      <w:r w:rsidRPr="005B6C8D">
        <w:rPr>
          <w:rFonts w:ascii="Times New Roman" w:hAnsi="Times New Roman" w:cs="Times New Roman"/>
          <w:sz w:val="24"/>
          <w:szCs w:val="24"/>
        </w:rPr>
        <w:t xml:space="preserve">in all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w:t>
      </w:r>
      <w:proofErr w:type="spellStart"/>
      <w:r w:rsidRPr="005B6C8D">
        <w:rPr>
          <w:rFonts w:ascii="Times New Roman" w:hAnsi="Times New Roman" w:cs="Times New Roman"/>
          <w:i/>
          <w:sz w:val="24"/>
          <w:szCs w:val="24"/>
        </w:rPr>
        <w:t>L.m</w:t>
      </w:r>
      <w:proofErr w:type="spellEnd"/>
      <w:r w:rsidRPr="005B6C8D">
        <w:rPr>
          <w:rFonts w:ascii="Times New Roman" w:hAnsi="Times New Roman" w:cs="Times New Roman"/>
          <w:i/>
          <w:sz w:val="24"/>
          <w:szCs w:val="24"/>
        </w:rPr>
        <w:t>.</w:t>
      </w:r>
      <w:r w:rsidRPr="005B6C8D">
        <w:rPr>
          <w:rFonts w:ascii="Times New Roman" w:hAnsi="Times New Roman" w:cs="Times New Roman"/>
          <w:sz w:val="24"/>
          <w:szCs w:val="24"/>
        </w:rPr>
        <w:t xml:space="preserve">) treatments at 14 dpi compared to controls, whereas the rest of the tested genes did not show any significant alteration (Fig. 37; Tab. 6). None of the genes were significantly upregulated or downregulated at all time points in the second biological repetition compared to control treatments; however, </w:t>
      </w:r>
      <w:r w:rsidRPr="005B6C8D">
        <w:rPr>
          <w:rFonts w:ascii="Times New Roman" w:hAnsi="Times New Roman" w:cs="Times New Roman"/>
          <w:i/>
          <w:sz w:val="24"/>
          <w:szCs w:val="24"/>
        </w:rPr>
        <w:t xml:space="preserve">WRKY70 </w:t>
      </w:r>
      <w:r w:rsidRPr="005B6C8D">
        <w:rPr>
          <w:rFonts w:ascii="Times New Roman" w:hAnsi="Times New Roman" w:cs="Times New Roman"/>
          <w:sz w:val="24"/>
          <w:szCs w:val="24"/>
        </w:rPr>
        <w:t xml:space="preserve">and </w:t>
      </w:r>
      <w:r w:rsidRPr="005B6C8D">
        <w:rPr>
          <w:rFonts w:ascii="Times New Roman" w:hAnsi="Times New Roman" w:cs="Times New Roman"/>
          <w:i/>
          <w:sz w:val="24"/>
          <w:szCs w:val="24"/>
        </w:rPr>
        <w:t xml:space="preserve">PR4 </w:t>
      </w:r>
      <w:r w:rsidRPr="005B6C8D">
        <w:rPr>
          <w:rFonts w:ascii="Times New Roman" w:hAnsi="Times New Roman" w:cs="Times New Roman"/>
          <w:sz w:val="24"/>
          <w:szCs w:val="24"/>
        </w:rPr>
        <w:t>followed a similar trend as observed in the first repetition (Fig. 38; Tab. 7).</w:t>
      </w:r>
    </w:p>
    <w:p w14:paraId="2150A1C2" w14:textId="17A5E210" w:rsidR="00E7693B" w:rsidRPr="00E7693B" w:rsidRDefault="005B6C8D">
      <w:pPr>
        <w:jc w:val="center"/>
        <w:rPr>
          <w:rFonts w:ascii="Times New Roman" w:hAnsi="Times New Roman" w:cs="Times New Roman"/>
        </w:rPr>
      </w:pPr>
      <w:r>
        <w:rPr>
          <w:noProof/>
          <w:lang w:val="en-US"/>
        </w:rPr>
        <w:drawing>
          <wp:inline distT="0" distB="0" distL="0" distR="0" wp14:anchorId="51DE3F20" wp14:editId="56289B1F">
            <wp:extent cx="5376455" cy="4030447"/>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8"/>
                    <a:srcRect t="1553" b="4660"/>
                    <a:stretch>
                      <a:fillRect/>
                    </a:stretch>
                  </pic:blipFill>
                  <pic:spPr>
                    <a:xfrm>
                      <a:off x="0" y="0"/>
                      <a:ext cx="5376455" cy="4030447"/>
                    </a:xfrm>
                    <a:prstGeom prst="rect">
                      <a:avLst/>
                    </a:prstGeom>
                    <a:ln/>
                  </pic:spPr>
                </pic:pic>
              </a:graphicData>
            </a:graphic>
          </wp:inline>
        </w:drawing>
      </w:r>
    </w:p>
    <w:p w14:paraId="2150A1C3" w14:textId="0392A3EC"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37</w:t>
      </w:r>
      <w:r w:rsidRPr="00E7693B">
        <w:rPr>
          <w:rFonts w:ascii="Times New Roman" w:hAnsi="Times New Roman" w:cs="Times New Roman"/>
        </w:rPr>
        <w:t xml:space="preserve">. Activation of plant defence pathways detected in the first biological repetition in the true leaves of cauliflower inoculated with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and previously inoculated with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Distilled water (dH2O) was used as control on the leaves, and on the roots together with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Gene transcripts were detected 0, 7 and 14 days post </w:t>
      </w:r>
      <w:r w:rsidRPr="00E7693B">
        <w:rPr>
          <w:rFonts w:ascii="Times New Roman" w:hAnsi="Times New Roman" w:cs="Times New Roman"/>
          <w:i/>
        </w:rPr>
        <w:t xml:space="preserve">L. </w:t>
      </w:r>
      <w:proofErr w:type="spellStart"/>
      <w:r w:rsidRPr="00E7693B">
        <w:rPr>
          <w:rFonts w:ascii="Times New Roman" w:hAnsi="Times New Roman" w:cs="Times New Roman"/>
          <w:i/>
        </w:rPr>
        <w:t>maculans</w:t>
      </w:r>
      <w:proofErr w:type="spellEnd"/>
      <w:r w:rsidRPr="00E7693B">
        <w:rPr>
          <w:rFonts w:ascii="Times New Roman" w:hAnsi="Times New Roman" w:cs="Times New Roman"/>
        </w:rPr>
        <w:t xml:space="preserve"> inoculation (dpi). Boxplots show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lowercase letters significant differences (P &lt; 0.05) between treatments for a given time point. </w:t>
      </w:r>
      <w:r w:rsidRPr="00E7693B">
        <w:rPr>
          <w:rFonts w:ascii="Times New Roman" w:hAnsi="Times New Roman" w:cs="Times New Roman"/>
          <w:i/>
        </w:rPr>
        <w:t xml:space="preserve">ICS1 </w:t>
      </w:r>
      <w:r w:rsidRPr="00E7693B">
        <w:rPr>
          <w:rFonts w:ascii="Times New Roman" w:hAnsi="Times New Roman" w:cs="Times New Roman"/>
        </w:rPr>
        <w:t xml:space="preserve">= </w:t>
      </w:r>
      <w:proofErr w:type="spellStart"/>
      <w:r w:rsidRPr="00E7693B">
        <w:rPr>
          <w:rFonts w:ascii="Times New Roman" w:hAnsi="Times New Roman" w:cs="Times New Roman"/>
          <w:i/>
        </w:rPr>
        <w:t>isochorismate</w:t>
      </w:r>
      <w:proofErr w:type="spellEnd"/>
      <w:r w:rsidRPr="00E7693B">
        <w:rPr>
          <w:rFonts w:ascii="Times New Roman" w:hAnsi="Times New Roman" w:cs="Times New Roman"/>
          <w:i/>
        </w:rPr>
        <w:t xml:space="preserve"> synthase 1</w:t>
      </w:r>
      <w:r w:rsidRPr="00E7693B">
        <w:rPr>
          <w:rFonts w:ascii="Times New Roman" w:hAnsi="Times New Roman" w:cs="Times New Roman"/>
        </w:rPr>
        <w:t xml:space="preserve">; </w:t>
      </w:r>
      <w:r w:rsidRPr="00E7693B">
        <w:rPr>
          <w:rFonts w:ascii="Times New Roman" w:hAnsi="Times New Roman" w:cs="Times New Roman"/>
          <w:i/>
        </w:rPr>
        <w:t xml:space="preserve">WRKY70 = WRKY70 transcription factor; AOS = allene oxide synthase; LOX3 </w:t>
      </w:r>
      <w:r w:rsidRPr="00E7693B">
        <w:rPr>
          <w:rFonts w:ascii="Times New Roman" w:hAnsi="Times New Roman" w:cs="Times New Roman"/>
        </w:rPr>
        <w:t xml:space="preserve">= </w:t>
      </w:r>
      <w:r w:rsidRPr="00E7693B">
        <w:rPr>
          <w:rFonts w:ascii="Times New Roman" w:hAnsi="Times New Roman" w:cs="Times New Roman"/>
          <w:i/>
        </w:rPr>
        <w:t>lipoxygenase 3</w:t>
      </w:r>
      <w:r w:rsidRPr="00E7693B">
        <w:rPr>
          <w:rFonts w:ascii="Times New Roman" w:hAnsi="Times New Roman" w:cs="Times New Roman"/>
        </w:rPr>
        <w:t xml:space="preserve">; </w:t>
      </w:r>
      <w:r w:rsidRPr="00E7693B">
        <w:rPr>
          <w:rFonts w:ascii="Times New Roman" w:hAnsi="Times New Roman" w:cs="Times New Roman"/>
          <w:i/>
        </w:rPr>
        <w:t>ACS2</w:t>
      </w:r>
      <w:r w:rsidRPr="00E7693B">
        <w:rPr>
          <w:rFonts w:ascii="Times New Roman" w:hAnsi="Times New Roman" w:cs="Times New Roman"/>
        </w:rPr>
        <w:t xml:space="preserve"> = </w:t>
      </w:r>
      <w:r w:rsidRPr="00E7693B">
        <w:rPr>
          <w:rFonts w:ascii="Times New Roman" w:hAnsi="Times New Roman" w:cs="Times New Roman"/>
          <w:i/>
        </w:rPr>
        <w:t>ACC synthase 2</w:t>
      </w:r>
      <w:r w:rsidRPr="00E7693B">
        <w:rPr>
          <w:rFonts w:ascii="Times New Roman" w:hAnsi="Times New Roman" w:cs="Times New Roman"/>
        </w:rPr>
        <w:t xml:space="preserve">; </w:t>
      </w:r>
      <w:r w:rsidRPr="00E7693B">
        <w:rPr>
          <w:rFonts w:ascii="Times New Roman" w:hAnsi="Times New Roman" w:cs="Times New Roman"/>
          <w:i/>
        </w:rPr>
        <w:t xml:space="preserve">PDF3 </w:t>
      </w:r>
      <w:r w:rsidRPr="00E7693B">
        <w:rPr>
          <w:rFonts w:ascii="Times New Roman" w:hAnsi="Times New Roman" w:cs="Times New Roman"/>
        </w:rPr>
        <w:t xml:space="preserve">= </w:t>
      </w:r>
      <w:r w:rsidRPr="00E7693B">
        <w:rPr>
          <w:rFonts w:ascii="Times New Roman" w:hAnsi="Times New Roman" w:cs="Times New Roman"/>
          <w:i/>
        </w:rPr>
        <w:t>plant defensin 3</w:t>
      </w:r>
      <w:r w:rsidRPr="00E7693B">
        <w:rPr>
          <w:rFonts w:ascii="Times New Roman" w:hAnsi="Times New Roman" w:cs="Times New Roman"/>
        </w:rPr>
        <w:t xml:space="preserve">; </w:t>
      </w:r>
      <w:r w:rsidRPr="00E7693B">
        <w:rPr>
          <w:rFonts w:ascii="Times New Roman" w:hAnsi="Times New Roman" w:cs="Times New Roman"/>
          <w:i/>
        </w:rPr>
        <w:t xml:space="preserve">PR4 </w:t>
      </w:r>
      <w:r w:rsidRPr="00E7693B">
        <w:rPr>
          <w:rFonts w:ascii="Times New Roman" w:hAnsi="Times New Roman" w:cs="Times New Roman"/>
        </w:rPr>
        <w:t xml:space="preserve">= </w:t>
      </w:r>
      <w:r w:rsidRPr="00E7693B">
        <w:rPr>
          <w:rFonts w:ascii="Times New Roman" w:hAnsi="Times New Roman" w:cs="Times New Roman"/>
          <w:i/>
        </w:rPr>
        <w:t>pathogenesis-related 4</w:t>
      </w:r>
      <w:r w:rsidRPr="00E7693B">
        <w:rPr>
          <w:rFonts w:ascii="Times New Roman" w:hAnsi="Times New Roman" w:cs="Times New Roman"/>
        </w:rPr>
        <w:t xml:space="preserve">; </w:t>
      </w:r>
      <w:proofErr w:type="spellStart"/>
      <w:r w:rsidRPr="00E7693B">
        <w:rPr>
          <w:rFonts w:ascii="Times New Roman" w:hAnsi="Times New Roman" w:cs="Times New Roman"/>
          <w:i/>
        </w:rPr>
        <w:t>rbohC</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 </w:t>
      </w:r>
      <w:r w:rsidRPr="00E7693B">
        <w:rPr>
          <w:rFonts w:ascii="Times New Roman" w:hAnsi="Times New Roman" w:cs="Times New Roman"/>
          <w:i/>
        </w:rPr>
        <w:t>respiratory burst oxidase homolog C</w:t>
      </w:r>
      <w:r w:rsidRPr="00E7693B">
        <w:rPr>
          <w:rFonts w:ascii="Times New Roman" w:hAnsi="Times New Roman" w:cs="Times New Roman"/>
        </w:rPr>
        <w:t xml:space="preserve">; </w:t>
      </w:r>
      <w:proofErr w:type="spellStart"/>
      <w:r w:rsidRPr="00E7693B">
        <w:rPr>
          <w:rFonts w:ascii="Times New Roman" w:hAnsi="Times New Roman" w:cs="Times New Roman"/>
          <w:i/>
        </w:rPr>
        <w:t>rbohF</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 </w:t>
      </w:r>
      <w:r w:rsidRPr="00E7693B">
        <w:rPr>
          <w:rFonts w:ascii="Times New Roman" w:hAnsi="Times New Roman" w:cs="Times New Roman"/>
          <w:i/>
        </w:rPr>
        <w:t>respiratory burst oxidase homolog F</w:t>
      </w:r>
      <w:r w:rsidRPr="00E7693B">
        <w:rPr>
          <w:rFonts w:ascii="Times New Roman" w:hAnsi="Times New Roman" w:cs="Times New Roman"/>
        </w:rPr>
        <w:t>; ns = not significant.</w:t>
      </w:r>
    </w:p>
    <w:p w14:paraId="2150A1C4" w14:textId="77777777" w:rsidR="00E7693B" w:rsidRPr="00E7693B" w:rsidRDefault="00E7693B">
      <w:pPr>
        <w:spacing w:before="240"/>
        <w:rPr>
          <w:rFonts w:ascii="Times New Roman" w:hAnsi="Times New Roman" w:cs="Times New Roman"/>
        </w:rPr>
      </w:pPr>
      <w:r w:rsidRPr="00E7693B">
        <w:rPr>
          <w:rFonts w:ascii="Times New Roman" w:hAnsi="Times New Roman" w:cs="Times New Roman"/>
          <w:b/>
          <w:color w:val="000000"/>
        </w:rPr>
        <w:t>Table 6</w:t>
      </w:r>
      <w:r w:rsidRPr="00E7693B">
        <w:rPr>
          <w:rFonts w:ascii="Times New Roman" w:hAnsi="Times New Roman" w:cs="Times New Roman"/>
          <w:color w:val="000000"/>
        </w:rPr>
        <w:t xml:space="preserve">. Statistical values of defence genes in the first biological repetition. F values, </w:t>
      </w:r>
      <w:proofErr w:type="spellStart"/>
      <w:r w:rsidRPr="00E7693B">
        <w:rPr>
          <w:rFonts w:ascii="Times New Roman" w:hAnsi="Times New Roman" w:cs="Times New Roman"/>
          <w:color w:val="000000"/>
        </w:rPr>
        <w:t>df</w:t>
      </w:r>
      <w:proofErr w:type="spellEnd"/>
      <w:r w:rsidRPr="00E7693B">
        <w:rPr>
          <w:rFonts w:ascii="Times New Roman" w:hAnsi="Times New Roman" w:cs="Times New Roman"/>
          <w:color w:val="000000"/>
        </w:rPr>
        <w:t xml:space="preserve">, P values and residual </w:t>
      </w:r>
      <w:proofErr w:type="spellStart"/>
      <w:r w:rsidRPr="00E7693B">
        <w:rPr>
          <w:rFonts w:ascii="Times New Roman" w:hAnsi="Times New Roman" w:cs="Times New Roman"/>
          <w:color w:val="000000"/>
        </w:rPr>
        <w:t>df</w:t>
      </w:r>
      <w:proofErr w:type="spellEnd"/>
      <w:r w:rsidRPr="00E7693B">
        <w:rPr>
          <w:rFonts w:ascii="Times New Roman" w:hAnsi="Times New Roman" w:cs="Times New Roman"/>
          <w:color w:val="000000"/>
        </w:rPr>
        <w:t xml:space="preserve"> for all the analysed compounds; ".": P &lt; 0.1, *: P &lt; 0.05, **: P &lt; 0.01, ***: P &lt; 0.001.</w:t>
      </w:r>
    </w:p>
    <w:tbl>
      <w:tblPr>
        <w:tblW w:w="9098" w:type="dxa"/>
        <w:tblInd w:w="-10" w:type="dxa"/>
        <w:tblLayout w:type="fixed"/>
        <w:tblCellMar>
          <w:left w:w="10" w:type="dxa"/>
          <w:right w:w="10" w:type="dxa"/>
        </w:tblCellMar>
        <w:tblLook w:val="0400" w:firstRow="0" w:lastRow="0" w:firstColumn="0" w:lastColumn="0" w:noHBand="0" w:noVBand="1"/>
      </w:tblPr>
      <w:tblGrid>
        <w:gridCol w:w="1853"/>
        <w:gridCol w:w="642"/>
        <w:gridCol w:w="460"/>
        <w:gridCol w:w="602"/>
        <w:gridCol w:w="530"/>
        <w:gridCol w:w="682"/>
        <w:gridCol w:w="336"/>
        <w:gridCol w:w="525"/>
        <w:gridCol w:w="470"/>
        <w:gridCol w:w="642"/>
        <w:gridCol w:w="388"/>
        <w:gridCol w:w="525"/>
        <w:gridCol w:w="469"/>
        <w:gridCol w:w="974"/>
      </w:tblGrid>
      <w:tr w:rsidR="00E7693B" w:rsidRPr="00E7693B" w14:paraId="2150A1CA" w14:textId="77777777">
        <w:trPr>
          <w:trHeight w:val="300"/>
        </w:trPr>
        <w:tc>
          <w:tcPr>
            <w:tcW w:w="1853" w:type="dxa"/>
            <w:vMerge w:val="restart"/>
            <w:tcBorders>
              <w:top w:val="single" w:sz="4" w:space="0" w:color="000000"/>
            </w:tcBorders>
            <w:shd w:val="clear" w:color="auto" w:fill="auto"/>
            <w:vAlign w:val="center"/>
          </w:tcPr>
          <w:p w14:paraId="2150A1C5"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Compound</w:t>
            </w:r>
          </w:p>
        </w:tc>
        <w:tc>
          <w:tcPr>
            <w:tcW w:w="2234" w:type="dxa"/>
            <w:gridSpan w:val="4"/>
            <w:tcBorders>
              <w:top w:val="single" w:sz="4" w:space="0" w:color="000000"/>
            </w:tcBorders>
            <w:shd w:val="clear" w:color="auto" w:fill="auto"/>
            <w:vAlign w:val="bottom"/>
          </w:tcPr>
          <w:p w14:paraId="2150A1C6"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Treatment</w:t>
            </w:r>
          </w:p>
        </w:tc>
        <w:tc>
          <w:tcPr>
            <w:tcW w:w="2013" w:type="dxa"/>
            <w:gridSpan w:val="4"/>
            <w:tcBorders>
              <w:top w:val="single" w:sz="4" w:space="0" w:color="000000"/>
            </w:tcBorders>
            <w:shd w:val="clear" w:color="auto" w:fill="auto"/>
            <w:vAlign w:val="bottom"/>
          </w:tcPr>
          <w:p w14:paraId="2150A1C7"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Time</w:t>
            </w:r>
          </w:p>
        </w:tc>
        <w:tc>
          <w:tcPr>
            <w:tcW w:w="2024" w:type="dxa"/>
            <w:gridSpan w:val="4"/>
            <w:tcBorders>
              <w:top w:val="single" w:sz="4" w:space="0" w:color="000000"/>
            </w:tcBorders>
            <w:shd w:val="clear" w:color="auto" w:fill="auto"/>
            <w:vAlign w:val="bottom"/>
          </w:tcPr>
          <w:p w14:paraId="2150A1C8"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Treatment:Time</w:t>
            </w:r>
            <w:proofErr w:type="spellEnd"/>
          </w:p>
        </w:tc>
        <w:tc>
          <w:tcPr>
            <w:tcW w:w="974" w:type="dxa"/>
            <w:tcBorders>
              <w:top w:val="single" w:sz="4" w:space="0" w:color="000000"/>
            </w:tcBorders>
            <w:shd w:val="clear" w:color="auto" w:fill="auto"/>
            <w:vAlign w:val="bottom"/>
          </w:tcPr>
          <w:p w14:paraId="2150A1C9"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w:t>
            </w:r>
          </w:p>
        </w:tc>
      </w:tr>
      <w:tr w:rsidR="00E7693B" w:rsidRPr="00E7693B" w14:paraId="2150A1D7" w14:textId="77777777">
        <w:trPr>
          <w:trHeight w:val="315"/>
        </w:trPr>
        <w:tc>
          <w:tcPr>
            <w:tcW w:w="1853" w:type="dxa"/>
            <w:vMerge/>
            <w:tcBorders>
              <w:top w:val="single" w:sz="4" w:space="0" w:color="000000"/>
            </w:tcBorders>
            <w:shd w:val="clear" w:color="auto" w:fill="auto"/>
            <w:vAlign w:val="center"/>
          </w:tcPr>
          <w:p w14:paraId="2150A1CB" w14:textId="77777777" w:rsidR="00E7693B" w:rsidRPr="00E7693B" w:rsidRDefault="00E7693B">
            <w:pPr>
              <w:widowControl w:val="0"/>
              <w:pBdr>
                <w:top w:val="nil"/>
                <w:left w:val="nil"/>
                <w:bottom w:val="nil"/>
                <w:right w:val="nil"/>
                <w:between w:val="nil"/>
              </w:pBdr>
              <w:spacing w:line="276" w:lineRule="auto"/>
              <w:rPr>
                <w:rFonts w:ascii="Times New Roman" w:hAnsi="Times New Roman" w:cs="Times New Roman"/>
                <w:b/>
                <w:color w:val="000000"/>
              </w:rPr>
            </w:pPr>
          </w:p>
        </w:tc>
        <w:tc>
          <w:tcPr>
            <w:tcW w:w="642" w:type="dxa"/>
            <w:tcBorders>
              <w:bottom w:val="single" w:sz="4" w:space="0" w:color="000000"/>
            </w:tcBorders>
            <w:shd w:val="clear" w:color="auto" w:fill="auto"/>
            <w:vAlign w:val="bottom"/>
          </w:tcPr>
          <w:p w14:paraId="2150A1CC"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w:t>
            </w:r>
          </w:p>
          <w:p w14:paraId="2150A1CD"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value</w:t>
            </w:r>
          </w:p>
        </w:tc>
        <w:tc>
          <w:tcPr>
            <w:tcW w:w="460" w:type="dxa"/>
            <w:tcBorders>
              <w:bottom w:val="single" w:sz="4" w:space="0" w:color="000000"/>
            </w:tcBorders>
            <w:shd w:val="clear" w:color="auto" w:fill="auto"/>
            <w:vAlign w:val="bottom"/>
          </w:tcPr>
          <w:p w14:paraId="2150A1CE"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1132" w:type="dxa"/>
            <w:gridSpan w:val="2"/>
            <w:tcBorders>
              <w:bottom w:val="single" w:sz="4" w:space="0" w:color="000000"/>
            </w:tcBorders>
            <w:shd w:val="clear" w:color="auto" w:fill="auto"/>
            <w:vAlign w:val="bottom"/>
          </w:tcPr>
          <w:p w14:paraId="2150A1CF"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82" w:type="dxa"/>
            <w:tcBorders>
              <w:bottom w:val="single" w:sz="4" w:space="0" w:color="000000"/>
            </w:tcBorders>
            <w:shd w:val="clear" w:color="auto" w:fill="auto"/>
            <w:vAlign w:val="bottom"/>
          </w:tcPr>
          <w:p w14:paraId="2150A1D0"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336" w:type="dxa"/>
            <w:tcBorders>
              <w:bottom w:val="single" w:sz="4" w:space="0" w:color="000000"/>
            </w:tcBorders>
            <w:shd w:val="clear" w:color="auto" w:fill="auto"/>
            <w:vAlign w:val="bottom"/>
          </w:tcPr>
          <w:p w14:paraId="2150A1D1"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995" w:type="dxa"/>
            <w:gridSpan w:val="2"/>
            <w:tcBorders>
              <w:bottom w:val="single" w:sz="4" w:space="0" w:color="000000"/>
            </w:tcBorders>
            <w:shd w:val="clear" w:color="auto" w:fill="auto"/>
            <w:vAlign w:val="bottom"/>
          </w:tcPr>
          <w:p w14:paraId="2150A1D2"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42" w:type="dxa"/>
            <w:tcBorders>
              <w:bottom w:val="single" w:sz="4" w:space="0" w:color="000000"/>
            </w:tcBorders>
            <w:shd w:val="clear" w:color="auto" w:fill="auto"/>
            <w:vAlign w:val="bottom"/>
          </w:tcPr>
          <w:p w14:paraId="2150A1D3"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388" w:type="dxa"/>
            <w:tcBorders>
              <w:bottom w:val="single" w:sz="4" w:space="0" w:color="000000"/>
            </w:tcBorders>
            <w:shd w:val="clear" w:color="auto" w:fill="auto"/>
            <w:vAlign w:val="bottom"/>
          </w:tcPr>
          <w:p w14:paraId="2150A1D4"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994" w:type="dxa"/>
            <w:gridSpan w:val="2"/>
            <w:tcBorders>
              <w:bottom w:val="single" w:sz="4" w:space="0" w:color="000000"/>
            </w:tcBorders>
            <w:shd w:val="clear" w:color="auto" w:fill="auto"/>
            <w:vAlign w:val="bottom"/>
          </w:tcPr>
          <w:p w14:paraId="2150A1D5"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974" w:type="dxa"/>
            <w:tcBorders>
              <w:bottom w:val="single" w:sz="4" w:space="0" w:color="000000"/>
            </w:tcBorders>
            <w:shd w:val="clear" w:color="auto" w:fill="auto"/>
            <w:vAlign w:val="bottom"/>
          </w:tcPr>
          <w:p w14:paraId="2150A1D6"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xml:space="preserve">Residual </w:t>
            </w:r>
            <w:proofErr w:type="spellStart"/>
            <w:r w:rsidRPr="00E7693B">
              <w:rPr>
                <w:rFonts w:ascii="Times New Roman" w:hAnsi="Times New Roman" w:cs="Times New Roman"/>
                <w:b/>
                <w:color w:val="000000"/>
              </w:rPr>
              <w:t>df</w:t>
            </w:r>
            <w:proofErr w:type="spellEnd"/>
          </w:p>
        </w:tc>
      </w:tr>
      <w:tr w:rsidR="00E7693B" w:rsidRPr="00E7693B" w14:paraId="2150A1E6" w14:textId="77777777">
        <w:trPr>
          <w:trHeight w:val="806"/>
        </w:trPr>
        <w:tc>
          <w:tcPr>
            <w:tcW w:w="1853" w:type="dxa"/>
            <w:tcBorders>
              <w:top w:val="single" w:sz="4" w:space="0" w:color="000000"/>
            </w:tcBorders>
            <w:shd w:val="clear" w:color="auto" w:fill="auto"/>
            <w:vAlign w:val="center"/>
          </w:tcPr>
          <w:p w14:paraId="2150A1D8" w14:textId="77777777" w:rsidR="00E7693B" w:rsidRPr="00E7693B" w:rsidRDefault="00E7693B">
            <w:pPr>
              <w:rPr>
                <w:rFonts w:ascii="Times New Roman" w:hAnsi="Times New Roman" w:cs="Times New Roman"/>
                <w:i/>
                <w:color w:val="000000"/>
              </w:rPr>
            </w:pPr>
            <w:proofErr w:type="spellStart"/>
            <w:r w:rsidRPr="00E7693B">
              <w:rPr>
                <w:rFonts w:ascii="Times New Roman" w:hAnsi="Times New Roman" w:cs="Times New Roman"/>
                <w:i/>
                <w:color w:val="000000"/>
              </w:rPr>
              <w:t>isochorismate</w:t>
            </w:r>
            <w:proofErr w:type="spellEnd"/>
            <w:r w:rsidRPr="00E7693B">
              <w:rPr>
                <w:rFonts w:ascii="Times New Roman" w:hAnsi="Times New Roman" w:cs="Times New Roman"/>
                <w:i/>
                <w:color w:val="000000"/>
              </w:rPr>
              <w:t xml:space="preserve"> synthase 1, ICS1</w:t>
            </w:r>
          </w:p>
        </w:tc>
        <w:tc>
          <w:tcPr>
            <w:tcW w:w="642" w:type="dxa"/>
            <w:tcBorders>
              <w:top w:val="single" w:sz="4" w:space="0" w:color="000000"/>
            </w:tcBorders>
            <w:shd w:val="clear" w:color="auto" w:fill="auto"/>
            <w:vAlign w:val="center"/>
          </w:tcPr>
          <w:p w14:paraId="2150A1D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0.83</w:t>
            </w:r>
          </w:p>
        </w:tc>
        <w:tc>
          <w:tcPr>
            <w:tcW w:w="460" w:type="dxa"/>
            <w:tcBorders>
              <w:top w:val="single" w:sz="4" w:space="0" w:color="000000"/>
            </w:tcBorders>
            <w:shd w:val="clear" w:color="auto" w:fill="auto"/>
            <w:vAlign w:val="center"/>
          </w:tcPr>
          <w:p w14:paraId="2150A1D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tcBorders>
              <w:top w:val="single" w:sz="4" w:space="0" w:color="000000"/>
            </w:tcBorders>
            <w:shd w:val="clear" w:color="auto" w:fill="auto"/>
            <w:vAlign w:val="center"/>
          </w:tcPr>
          <w:p w14:paraId="2150A1D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0.64</w:t>
            </w:r>
          </w:p>
        </w:tc>
        <w:tc>
          <w:tcPr>
            <w:tcW w:w="530" w:type="dxa"/>
            <w:tcBorders>
              <w:top w:val="single" w:sz="4" w:space="0" w:color="000000"/>
            </w:tcBorders>
            <w:shd w:val="clear" w:color="auto" w:fill="auto"/>
            <w:vAlign w:val="center"/>
          </w:tcPr>
          <w:p w14:paraId="2150A1DC" w14:textId="77777777" w:rsidR="00E7693B" w:rsidRPr="00E7693B" w:rsidRDefault="00E7693B">
            <w:pPr>
              <w:jc w:val="center"/>
              <w:rPr>
                <w:rFonts w:ascii="Times New Roman" w:hAnsi="Times New Roman" w:cs="Times New Roman"/>
                <w:color w:val="000000"/>
              </w:rPr>
            </w:pPr>
          </w:p>
        </w:tc>
        <w:tc>
          <w:tcPr>
            <w:tcW w:w="682" w:type="dxa"/>
            <w:tcBorders>
              <w:top w:val="single" w:sz="4" w:space="0" w:color="000000"/>
            </w:tcBorders>
            <w:shd w:val="clear" w:color="auto" w:fill="auto"/>
            <w:vAlign w:val="center"/>
          </w:tcPr>
          <w:p w14:paraId="2150A1D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0.56</w:t>
            </w:r>
          </w:p>
        </w:tc>
        <w:tc>
          <w:tcPr>
            <w:tcW w:w="336" w:type="dxa"/>
            <w:tcBorders>
              <w:top w:val="single" w:sz="4" w:space="0" w:color="000000"/>
            </w:tcBorders>
            <w:shd w:val="clear" w:color="auto" w:fill="auto"/>
            <w:vAlign w:val="center"/>
          </w:tcPr>
          <w:p w14:paraId="2150A1D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tcBorders>
              <w:top w:val="single" w:sz="4" w:space="0" w:color="000000"/>
            </w:tcBorders>
            <w:shd w:val="clear" w:color="auto" w:fill="auto"/>
            <w:vAlign w:val="center"/>
          </w:tcPr>
          <w:p w14:paraId="2150A1D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0.59</w:t>
            </w:r>
          </w:p>
        </w:tc>
        <w:tc>
          <w:tcPr>
            <w:tcW w:w="470" w:type="dxa"/>
            <w:tcBorders>
              <w:top w:val="single" w:sz="4" w:space="0" w:color="000000"/>
            </w:tcBorders>
            <w:shd w:val="clear" w:color="auto" w:fill="auto"/>
            <w:vAlign w:val="center"/>
          </w:tcPr>
          <w:p w14:paraId="2150A1E0" w14:textId="77777777" w:rsidR="00E7693B" w:rsidRPr="00E7693B" w:rsidRDefault="00E7693B">
            <w:pPr>
              <w:jc w:val="center"/>
              <w:rPr>
                <w:rFonts w:ascii="Times New Roman" w:hAnsi="Times New Roman" w:cs="Times New Roman"/>
                <w:color w:val="000000"/>
              </w:rPr>
            </w:pPr>
          </w:p>
        </w:tc>
        <w:tc>
          <w:tcPr>
            <w:tcW w:w="642" w:type="dxa"/>
            <w:tcBorders>
              <w:top w:val="single" w:sz="4" w:space="0" w:color="000000"/>
            </w:tcBorders>
            <w:shd w:val="clear" w:color="auto" w:fill="auto"/>
            <w:vAlign w:val="center"/>
          </w:tcPr>
          <w:p w14:paraId="2150A1E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1.04</w:t>
            </w:r>
          </w:p>
        </w:tc>
        <w:tc>
          <w:tcPr>
            <w:tcW w:w="388" w:type="dxa"/>
            <w:tcBorders>
              <w:top w:val="single" w:sz="4" w:space="0" w:color="000000"/>
            </w:tcBorders>
            <w:shd w:val="clear" w:color="auto" w:fill="auto"/>
            <w:vAlign w:val="center"/>
          </w:tcPr>
          <w:p w14:paraId="2150A1E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tcBorders>
              <w:top w:val="single" w:sz="4" w:space="0" w:color="000000"/>
            </w:tcBorders>
            <w:shd w:val="clear" w:color="auto" w:fill="auto"/>
            <w:vAlign w:val="center"/>
          </w:tcPr>
          <w:p w14:paraId="2150A1E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0,54</w:t>
            </w:r>
          </w:p>
        </w:tc>
        <w:tc>
          <w:tcPr>
            <w:tcW w:w="469" w:type="dxa"/>
            <w:tcBorders>
              <w:top w:val="single" w:sz="4" w:space="0" w:color="000000"/>
            </w:tcBorders>
            <w:shd w:val="clear" w:color="auto" w:fill="auto"/>
            <w:vAlign w:val="center"/>
          </w:tcPr>
          <w:p w14:paraId="2150A1E4" w14:textId="77777777" w:rsidR="00E7693B" w:rsidRPr="00E7693B" w:rsidRDefault="00E7693B">
            <w:pPr>
              <w:jc w:val="center"/>
              <w:rPr>
                <w:rFonts w:ascii="Times New Roman" w:hAnsi="Times New Roman" w:cs="Times New Roman"/>
                <w:color w:val="000000"/>
              </w:rPr>
            </w:pPr>
          </w:p>
        </w:tc>
        <w:tc>
          <w:tcPr>
            <w:tcW w:w="974" w:type="dxa"/>
            <w:tcBorders>
              <w:top w:val="single" w:sz="4" w:space="0" w:color="000000"/>
            </w:tcBorders>
            <w:shd w:val="clear" w:color="auto" w:fill="auto"/>
            <w:vAlign w:val="center"/>
          </w:tcPr>
          <w:p w14:paraId="2150A1E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29</w:t>
            </w:r>
          </w:p>
        </w:tc>
      </w:tr>
      <w:tr w:rsidR="00E7693B" w:rsidRPr="00E7693B" w14:paraId="2150A1F5" w14:textId="77777777">
        <w:trPr>
          <w:trHeight w:val="806"/>
        </w:trPr>
        <w:tc>
          <w:tcPr>
            <w:tcW w:w="1853" w:type="dxa"/>
            <w:shd w:val="clear" w:color="auto" w:fill="auto"/>
            <w:vAlign w:val="center"/>
          </w:tcPr>
          <w:p w14:paraId="2150A1E7"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rPr>
              <w:t>WRKY70 transcription factor, WRKY70</w:t>
            </w:r>
          </w:p>
        </w:tc>
        <w:tc>
          <w:tcPr>
            <w:tcW w:w="642" w:type="dxa"/>
            <w:shd w:val="clear" w:color="auto" w:fill="auto"/>
            <w:vAlign w:val="center"/>
          </w:tcPr>
          <w:p w14:paraId="2150A1E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5.55</w:t>
            </w:r>
          </w:p>
        </w:tc>
        <w:tc>
          <w:tcPr>
            <w:tcW w:w="460" w:type="dxa"/>
            <w:shd w:val="clear" w:color="auto" w:fill="auto"/>
            <w:vAlign w:val="center"/>
          </w:tcPr>
          <w:p w14:paraId="2150A1E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1E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30" w:type="dxa"/>
            <w:shd w:val="clear" w:color="auto" w:fill="auto"/>
            <w:vAlign w:val="center"/>
          </w:tcPr>
          <w:p w14:paraId="2150A1E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82" w:type="dxa"/>
            <w:shd w:val="clear" w:color="auto" w:fill="auto"/>
            <w:vAlign w:val="center"/>
          </w:tcPr>
          <w:p w14:paraId="2150A1E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20.71</w:t>
            </w:r>
          </w:p>
        </w:tc>
        <w:tc>
          <w:tcPr>
            <w:tcW w:w="336" w:type="dxa"/>
            <w:shd w:val="clear" w:color="auto" w:fill="auto"/>
            <w:vAlign w:val="center"/>
          </w:tcPr>
          <w:p w14:paraId="2150A1E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1E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470" w:type="dxa"/>
            <w:shd w:val="clear" w:color="auto" w:fill="auto"/>
            <w:vAlign w:val="center"/>
          </w:tcPr>
          <w:p w14:paraId="2150A1E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42" w:type="dxa"/>
            <w:shd w:val="clear" w:color="auto" w:fill="auto"/>
            <w:vAlign w:val="center"/>
          </w:tcPr>
          <w:p w14:paraId="2150A1F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4,82</w:t>
            </w:r>
          </w:p>
        </w:tc>
        <w:tc>
          <w:tcPr>
            <w:tcW w:w="388" w:type="dxa"/>
            <w:shd w:val="clear" w:color="auto" w:fill="auto"/>
            <w:vAlign w:val="center"/>
          </w:tcPr>
          <w:p w14:paraId="2150A1F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1F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469" w:type="dxa"/>
            <w:shd w:val="clear" w:color="auto" w:fill="auto"/>
            <w:vAlign w:val="center"/>
          </w:tcPr>
          <w:p w14:paraId="2150A1F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74" w:type="dxa"/>
            <w:shd w:val="clear" w:color="auto" w:fill="auto"/>
            <w:vAlign w:val="center"/>
          </w:tcPr>
          <w:p w14:paraId="2150A1F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29</w:t>
            </w:r>
          </w:p>
        </w:tc>
      </w:tr>
      <w:tr w:rsidR="00E7693B" w:rsidRPr="00E7693B" w14:paraId="2150A204" w14:textId="77777777">
        <w:trPr>
          <w:trHeight w:val="806"/>
        </w:trPr>
        <w:tc>
          <w:tcPr>
            <w:tcW w:w="1853" w:type="dxa"/>
            <w:shd w:val="clear" w:color="auto" w:fill="auto"/>
            <w:vAlign w:val="center"/>
          </w:tcPr>
          <w:p w14:paraId="2150A1F6"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rPr>
              <w:t>allene oxide synthase, AOS</w:t>
            </w:r>
          </w:p>
        </w:tc>
        <w:tc>
          <w:tcPr>
            <w:tcW w:w="642" w:type="dxa"/>
            <w:shd w:val="clear" w:color="auto" w:fill="auto"/>
            <w:vAlign w:val="center"/>
          </w:tcPr>
          <w:p w14:paraId="2150A1F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1.08</w:t>
            </w:r>
          </w:p>
        </w:tc>
        <w:tc>
          <w:tcPr>
            <w:tcW w:w="460" w:type="dxa"/>
            <w:shd w:val="clear" w:color="auto" w:fill="auto"/>
            <w:vAlign w:val="center"/>
          </w:tcPr>
          <w:p w14:paraId="2150A1F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1F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0.54</w:t>
            </w:r>
          </w:p>
        </w:tc>
        <w:tc>
          <w:tcPr>
            <w:tcW w:w="530" w:type="dxa"/>
            <w:shd w:val="clear" w:color="auto" w:fill="auto"/>
            <w:vAlign w:val="center"/>
          </w:tcPr>
          <w:p w14:paraId="2150A1FA"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1F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10.15</w:t>
            </w:r>
          </w:p>
        </w:tc>
        <w:tc>
          <w:tcPr>
            <w:tcW w:w="336" w:type="dxa"/>
            <w:shd w:val="clear" w:color="auto" w:fill="auto"/>
            <w:vAlign w:val="center"/>
          </w:tcPr>
          <w:p w14:paraId="2150A1F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1F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470" w:type="dxa"/>
            <w:shd w:val="clear" w:color="auto" w:fill="auto"/>
            <w:vAlign w:val="center"/>
          </w:tcPr>
          <w:p w14:paraId="2150A1F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42" w:type="dxa"/>
            <w:shd w:val="clear" w:color="auto" w:fill="auto"/>
            <w:vAlign w:val="center"/>
          </w:tcPr>
          <w:p w14:paraId="2150A1F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1.92</w:t>
            </w:r>
          </w:p>
        </w:tc>
        <w:tc>
          <w:tcPr>
            <w:tcW w:w="388" w:type="dxa"/>
            <w:shd w:val="clear" w:color="auto" w:fill="auto"/>
            <w:vAlign w:val="center"/>
          </w:tcPr>
          <w:p w14:paraId="2150A20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0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0.27</w:t>
            </w:r>
          </w:p>
        </w:tc>
        <w:tc>
          <w:tcPr>
            <w:tcW w:w="469" w:type="dxa"/>
            <w:shd w:val="clear" w:color="auto" w:fill="auto"/>
            <w:vAlign w:val="center"/>
          </w:tcPr>
          <w:p w14:paraId="2150A202"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0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29</w:t>
            </w:r>
          </w:p>
        </w:tc>
      </w:tr>
      <w:tr w:rsidR="00E7693B" w:rsidRPr="00E7693B" w14:paraId="2150A213" w14:textId="77777777">
        <w:trPr>
          <w:trHeight w:val="806"/>
        </w:trPr>
        <w:tc>
          <w:tcPr>
            <w:tcW w:w="1853" w:type="dxa"/>
            <w:shd w:val="clear" w:color="auto" w:fill="auto"/>
            <w:vAlign w:val="center"/>
          </w:tcPr>
          <w:p w14:paraId="2150A205"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color w:val="000000"/>
              </w:rPr>
              <w:t>lipoxygenase 3, LOX3</w:t>
            </w:r>
          </w:p>
        </w:tc>
        <w:tc>
          <w:tcPr>
            <w:tcW w:w="642" w:type="dxa"/>
            <w:shd w:val="clear" w:color="auto" w:fill="auto"/>
            <w:vAlign w:val="center"/>
          </w:tcPr>
          <w:p w14:paraId="2150A20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0.38</w:t>
            </w:r>
          </w:p>
        </w:tc>
        <w:tc>
          <w:tcPr>
            <w:tcW w:w="460" w:type="dxa"/>
            <w:shd w:val="clear" w:color="auto" w:fill="auto"/>
            <w:vAlign w:val="center"/>
          </w:tcPr>
          <w:p w14:paraId="2150A20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0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0.91</w:t>
            </w:r>
          </w:p>
        </w:tc>
        <w:tc>
          <w:tcPr>
            <w:tcW w:w="530" w:type="dxa"/>
            <w:shd w:val="clear" w:color="auto" w:fill="auto"/>
            <w:vAlign w:val="center"/>
          </w:tcPr>
          <w:p w14:paraId="2150A209"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0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24.21</w:t>
            </w:r>
          </w:p>
        </w:tc>
        <w:tc>
          <w:tcPr>
            <w:tcW w:w="336" w:type="dxa"/>
            <w:shd w:val="clear" w:color="auto" w:fill="auto"/>
            <w:vAlign w:val="center"/>
          </w:tcPr>
          <w:p w14:paraId="2150A20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0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470" w:type="dxa"/>
            <w:shd w:val="clear" w:color="auto" w:fill="auto"/>
            <w:vAlign w:val="center"/>
          </w:tcPr>
          <w:p w14:paraId="2150A20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42" w:type="dxa"/>
            <w:shd w:val="clear" w:color="auto" w:fill="auto"/>
            <w:vAlign w:val="center"/>
          </w:tcPr>
          <w:p w14:paraId="2150A20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2.12</w:t>
            </w:r>
          </w:p>
        </w:tc>
        <w:tc>
          <w:tcPr>
            <w:tcW w:w="388" w:type="dxa"/>
            <w:shd w:val="clear" w:color="auto" w:fill="auto"/>
            <w:vAlign w:val="center"/>
          </w:tcPr>
          <w:p w14:paraId="2150A20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1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0.27</w:t>
            </w:r>
          </w:p>
        </w:tc>
        <w:tc>
          <w:tcPr>
            <w:tcW w:w="469" w:type="dxa"/>
            <w:shd w:val="clear" w:color="auto" w:fill="auto"/>
            <w:vAlign w:val="center"/>
          </w:tcPr>
          <w:p w14:paraId="2150A211"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1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29</w:t>
            </w:r>
          </w:p>
        </w:tc>
      </w:tr>
      <w:tr w:rsidR="00E7693B" w:rsidRPr="00E7693B" w14:paraId="2150A222" w14:textId="77777777">
        <w:trPr>
          <w:trHeight w:val="806"/>
        </w:trPr>
        <w:tc>
          <w:tcPr>
            <w:tcW w:w="1853" w:type="dxa"/>
            <w:shd w:val="clear" w:color="auto" w:fill="auto"/>
            <w:vAlign w:val="center"/>
          </w:tcPr>
          <w:p w14:paraId="2150A214"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rPr>
              <w:t>ACC synthase 2, ACS2</w:t>
            </w:r>
          </w:p>
        </w:tc>
        <w:tc>
          <w:tcPr>
            <w:tcW w:w="642" w:type="dxa"/>
            <w:shd w:val="clear" w:color="auto" w:fill="auto"/>
            <w:vAlign w:val="center"/>
          </w:tcPr>
          <w:p w14:paraId="2150A21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1.87</w:t>
            </w:r>
          </w:p>
        </w:tc>
        <w:tc>
          <w:tcPr>
            <w:tcW w:w="460" w:type="dxa"/>
            <w:shd w:val="clear" w:color="auto" w:fill="auto"/>
            <w:vAlign w:val="center"/>
          </w:tcPr>
          <w:p w14:paraId="2150A21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1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0.33</w:t>
            </w:r>
          </w:p>
        </w:tc>
        <w:tc>
          <w:tcPr>
            <w:tcW w:w="530" w:type="dxa"/>
            <w:shd w:val="clear" w:color="auto" w:fill="auto"/>
            <w:vAlign w:val="center"/>
          </w:tcPr>
          <w:p w14:paraId="2150A218"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1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17.85</w:t>
            </w:r>
          </w:p>
        </w:tc>
        <w:tc>
          <w:tcPr>
            <w:tcW w:w="336" w:type="dxa"/>
            <w:shd w:val="clear" w:color="auto" w:fill="auto"/>
            <w:vAlign w:val="center"/>
          </w:tcPr>
          <w:p w14:paraId="2150A21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1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470" w:type="dxa"/>
            <w:shd w:val="clear" w:color="auto" w:fill="auto"/>
            <w:vAlign w:val="center"/>
          </w:tcPr>
          <w:p w14:paraId="2150A21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42" w:type="dxa"/>
            <w:shd w:val="clear" w:color="auto" w:fill="auto"/>
            <w:vAlign w:val="center"/>
          </w:tcPr>
          <w:p w14:paraId="2150A21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1.52</w:t>
            </w:r>
          </w:p>
        </w:tc>
        <w:tc>
          <w:tcPr>
            <w:tcW w:w="388" w:type="dxa"/>
            <w:shd w:val="clear" w:color="auto" w:fill="auto"/>
            <w:vAlign w:val="center"/>
          </w:tcPr>
          <w:p w14:paraId="2150A21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1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0.39</w:t>
            </w:r>
          </w:p>
        </w:tc>
        <w:tc>
          <w:tcPr>
            <w:tcW w:w="469" w:type="dxa"/>
            <w:shd w:val="clear" w:color="auto" w:fill="auto"/>
            <w:vAlign w:val="center"/>
          </w:tcPr>
          <w:p w14:paraId="2150A220"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2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26</w:t>
            </w:r>
          </w:p>
        </w:tc>
      </w:tr>
      <w:tr w:rsidR="00E7693B" w:rsidRPr="00E7693B" w14:paraId="2150A231" w14:textId="77777777">
        <w:trPr>
          <w:trHeight w:val="806"/>
        </w:trPr>
        <w:tc>
          <w:tcPr>
            <w:tcW w:w="1853" w:type="dxa"/>
            <w:shd w:val="clear" w:color="auto" w:fill="auto"/>
            <w:vAlign w:val="center"/>
          </w:tcPr>
          <w:p w14:paraId="2150A223"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rPr>
              <w:t>plant defensin 3, PDF3</w:t>
            </w:r>
          </w:p>
        </w:tc>
        <w:tc>
          <w:tcPr>
            <w:tcW w:w="642" w:type="dxa"/>
            <w:shd w:val="clear" w:color="auto" w:fill="auto"/>
            <w:vAlign w:val="center"/>
          </w:tcPr>
          <w:p w14:paraId="2150A22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1.70</w:t>
            </w:r>
          </w:p>
        </w:tc>
        <w:tc>
          <w:tcPr>
            <w:tcW w:w="460" w:type="dxa"/>
            <w:shd w:val="clear" w:color="auto" w:fill="auto"/>
            <w:vAlign w:val="center"/>
          </w:tcPr>
          <w:p w14:paraId="2150A22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2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0.33</w:t>
            </w:r>
          </w:p>
        </w:tc>
        <w:tc>
          <w:tcPr>
            <w:tcW w:w="530" w:type="dxa"/>
            <w:shd w:val="clear" w:color="auto" w:fill="auto"/>
            <w:vAlign w:val="center"/>
          </w:tcPr>
          <w:p w14:paraId="2150A227"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2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0.09</w:t>
            </w:r>
          </w:p>
        </w:tc>
        <w:tc>
          <w:tcPr>
            <w:tcW w:w="336" w:type="dxa"/>
            <w:shd w:val="clear" w:color="auto" w:fill="auto"/>
            <w:vAlign w:val="center"/>
          </w:tcPr>
          <w:p w14:paraId="2150A22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2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0.76</w:t>
            </w:r>
          </w:p>
        </w:tc>
        <w:tc>
          <w:tcPr>
            <w:tcW w:w="470" w:type="dxa"/>
            <w:shd w:val="clear" w:color="auto" w:fill="auto"/>
            <w:vAlign w:val="center"/>
          </w:tcPr>
          <w:p w14:paraId="2150A22B"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A22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1.03</w:t>
            </w:r>
          </w:p>
        </w:tc>
        <w:tc>
          <w:tcPr>
            <w:tcW w:w="388" w:type="dxa"/>
            <w:shd w:val="clear" w:color="auto" w:fill="auto"/>
            <w:vAlign w:val="center"/>
          </w:tcPr>
          <w:p w14:paraId="2150A22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2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0.54</w:t>
            </w:r>
          </w:p>
        </w:tc>
        <w:tc>
          <w:tcPr>
            <w:tcW w:w="469" w:type="dxa"/>
            <w:shd w:val="clear" w:color="auto" w:fill="auto"/>
            <w:vAlign w:val="center"/>
          </w:tcPr>
          <w:p w14:paraId="2150A22F"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3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29</w:t>
            </w:r>
          </w:p>
        </w:tc>
      </w:tr>
      <w:tr w:rsidR="00E7693B" w:rsidRPr="00E7693B" w14:paraId="2150A240" w14:textId="77777777">
        <w:trPr>
          <w:trHeight w:val="806"/>
        </w:trPr>
        <w:tc>
          <w:tcPr>
            <w:tcW w:w="1853" w:type="dxa"/>
            <w:shd w:val="clear" w:color="auto" w:fill="auto"/>
            <w:vAlign w:val="center"/>
          </w:tcPr>
          <w:p w14:paraId="2150A232" w14:textId="77777777" w:rsidR="00E7693B" w:rsidRPr="00E7693B" w:rsidRDefault="00E7693B">
            <w:pPr>
              <w:spacing w:after="240"/>
              <w:rPr>
                <w:rFonts w:ascii="Times New Roman" w:hAnsi="Times New Roman" w:cs="Times New Roman"/>
                <w:i/>
                <w:color w:val="000000"/>
              </w:rPr>
            </w:pPr>
            <w:r w:rsidRPr="00E7693B">
              <w:rPr>
                <w:rFonts w:ascii="Times New Roman" w:hAnsi="Times New Roman" w:cs="Times New Roman"/>
                <w:i/>
              </w:rPr>
              <w:t>pathogenesis-related 4, PR4</w:t>
            </w:r>
          </w:p>
        </w:tc>
        <w:tc>
          <w:tcPr>
            <w:tcW w:w="642" w:type="dxa"/>
            <w:shd w:val="clear" w:color="auto" w:fill="auto"/>
            <w:vAlign w:val="center"/>
          </w:tcPr>
          <w:p w14:paraId="2150A23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2.46</w:t>
            </w:r>
          </w:p>
        </w:tc>
        <w:tc>
          <w:tcPr>
            <w:tcW w:w="460" w:type="dxa"/>
            <w:shd w:val="clear" w:color="auto" w:fill="auto"/>
            <w:vAlign w:val="center"/>
          </w:tcPr>
          <w:p w14:paraId="2150A23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3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0.19</w:t>
            </w:r>
          </w:p>
        </w:tc>
        <w:tc>
          <w:tcPr>
            <w:tcW w:w="530" w:type="dxa"/>
            <w:shd w:val="clear" w:color="auto" w:fill="auto"/>
            <w:vAlign w:val="center"/>
          </w:tcPr>
          <w:p w14:paraId="2150A236"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3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11.10</w:t>
            </w:r>
          </w:p>
        </w:tc>
        <w:tc>
          <w:tcPr>
            <w:tcW w:w="336" w:type="dxa"/>
            <w:shd w:val="clear" w:color="auto" w:fill="auto"/>
            <w:vAlign w:val="center"/>
          </w:tcPr>
          <w:p w14:paraId="2150A23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3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470" w:type="dxa"/>
            <w:shd w:val="clear" w:color="auto" w:fill="auto"/>
            <w:vAlign w:val="center"/>
          </w:tcPr>
          <w:p w14:paraId="2150A23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42" w:type="dxa"/>
            <w:shd w:val="clear" w:color="auto" w:fill="auto"/>
            <w:vAlign w:val="center"/>
          </w:tcPr>
          <w:p w14:paraId="2150A23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4.26</w:t>
            </w:r>
          </w:p>
        </w:tc>
        <w:tc>
          <w:tcPr>
            <w:tcW w:w="388" w:type="dxa"/>
            <w:shd w:val="clear" w:color="auto" w:fill="auto"/>
            <w:vAlign w:val="center"/>
          </w:tcPr>
          <w:p w14:paraId="2150A23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3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469" w:type="dxa"/>
            <w:shd w:val="clear" w:color="auto" w:fill="auto"/>
            <w:vAlign w:val="center"/>
          </w:tcPr>
          <w:p w14:paraId="2150A23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74" w:type="dxa"/>
            <w:shd w:val="clear" w:color="auto" w:fill="auto"/>
            <w:vAlign w:val="center"/>
          </w:tcPr>
          <w:p w14:paraId="2150A23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28</w:t>
            </w:r>
          </w:p>
        </w:tc>
      </w:tr>
      <w:tr w:rsidR="00E7693B" w:rsidRPr="00E7693B" w14:paraId="2150A24F" w14:textId="77777777">
        <w:trPr>
          <w:trHeight w:val="806"/>
        </w:trPr>
        <w:tc>
          <w:tcPr>
            <w:tcW w:w="1853" w:type="dxa"/>
            <w:shd w:val="clear" w:color="auto" w:fill="auto"/>
            <w:vAlign w:val="center"/>
          </w:tcPr>
          <w:p w14:paraId="2150A241" w14:textId="77777777" w:rsidR="00E7693B" w:rsidRPr="00E7693B" w:rsidRDefault="00E7693B">
            <w:pPr>
              <w:spacing w:after="240"/>
              <w:rPr>
                <w:rFonts w:ascii="Times New Roman" w:hAnsi="Times New Roman" w:cs="Times New Roman"/>
                <w:i/>
              </w:rPr>
            </w:pPr>
            <w:r w:rsidRPr="00E7693B">
              <w:rPr>
                <w:rFonts w:ascii="Times New Roman" w:hAnsi="Times New Roman" w:cs="Times New Roman"/>
                <w:i/>
              </w:rPr>
              <w:t xml:space="preserve">respiratory burst oxidase homolog C, </w:t>
            </w:r>
            <w:proofErr w:type="spellStart"/>
            <w:r w:rsidRPr="00E7693B">
              <w:rPr>
                <w:rFonts w:ascii="Times New Roman" w:hAnsi="Times New Roman" w:cs="Times New Roman"/>
                <w:i/>
              </w:rPr>
              <w:t>rbohC</w:t>
            </w:r>
            <w:proofErr w:type="spellEnd"/>
          </w:p>
        </w:tc>
        <w:tc>
          <w:tcPr>
            <w:tcW w:w="642" w:type="dxa"/>
            <w:shd w:val="clear" w:color="auto" w:fill="auto"/>
            <w:vAlign w:val="center"/>
          </w:tcPr>
          <w:p w14:paraId="2150A24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1.46</w:t>
            </w:r>
          </w:p>
        </w:tc>
        <w:tc>
          <w:tcPr>
            <w:tcW w:w="460" w:type="dxa"/>
            <w:shd w:val="clear" w:color="auto" w:fill="auto"/>
            <w:vAlign w:val="center"/>
          </w:tcPr>
          <w:p w14:paraId="2150A24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4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0.40</w:t>
            </w:r>
          </w:p>
        </w:tc>
        <w:tc>
          <w:tcPr>
            <w:tcW w:w="530" w:type="dxa"/>
            <w:shd w:val="clear" w:color="auto" w:fill="auto"/>
            <w:vAlign w:val="center"/>
          </w:tcPr>
          <w:p w14:paraId="2150A245"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4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1.79</w:t>
            </w:r>
          </w:p>
        </w:tc>
        <w:tc>
          <w:tcPr>
            <w:tcW w:w="336" w:type="dxa"/>
            <w:shd w:val="clear" w:color="auto" w:fill="auto"/>
            <w:vAlign w:val="center"/>
          </w:tcPr>
          <w:p w14:paraId="2150A24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4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0.29</w:t>
            </w:r>
          </w:p>
        </w:tc>
        <w:tc>
          <w:tcPr>
            <w:tcW w:w="470" w:type="dxa"/>
            <w:shd w:val="clear" w:color="auto" w:fill="auto"/>
            <w:vAlign w:val="center"/>
          </w:tcPr>
          <w:p w14:paraId="2150A249"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A24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0.72</w:t>
            </w:r>
          </w:p>
        </w:tc>
        <w:tc>
          <w:tcPr>
            <w:tcW w:w="388" w:type="dxa"/>
            <w:shd w:val="clear" w:color="auto" w:fill="auto"/>
            <w:vAlign w:val="center"/>
          </w:tcPr>
          <w:p w14:paraId="2150A24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4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0.69</w:t>
            </w:r>
          </w:p>
        </w:tc>
        <w:tc>
          <w:tcPr>
            <w:tcW w:w="469" w:type="dxa"/>
            <w:shd w:val="clear" w:color="auto" w:fill="auto"/>
            <w:vAlign w:val="center"/>
          </w:tcPr>
          <w:p w14:paraId="2150A24D"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4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29</w:t>
            </w:r>
          </w:p>
        </w:tc>
      </w:tr>
      <w:tr w:rsidR="00E7693B" w:rsidRPr="00E7693B" w14:paraId="2150A25E" w14:textId="77777777">
        <w:trPr>
          <w:trHeight w:val="806"/>
        </w:trPr>
        <w:tc>
          <w:tcPr>
            <w:tcW w:w="1853" w:type="dxa"/>
            <w:shd w:val="clear" w:color="auto" w:fill="auto"/>
            <w:vAlign w:val="center"/>
          </w:tcPr>
          <w:p w14:paraId="2150A250" w14:textId="77777777" w:rsidR="00E7693B" w:rsidRPr="00E7693B" w:rsidRDefault="00E7693B">
            <w:pPr>
              <w:spacing w:after="240"/>
              <w:rPr>
                <w:rFonts w:ascii="Times New Roman" w:hAnsi="Times New Roman" w:cs="Times New Roman"/>
                <w:i/>
              </w:rPr>
            </w:pPr>
            <w:r w:rsidRPr="00E7693B">
              <w:rPr>
                <w:rFonts w:ascii="Times New Roman" w:hAnsi="Times New Roman" w:cs="Times New Roman"/>
                <w:i/>
              </w:rPr>
              <w:t xml:space="preserve">respiratory burst oxidase homolog F, </w:t>
            </w:r>
            <w:proofErr w:type="spellStart"/>
            <w:r w:rsidRPr="00E7693B">
              <w:rPr>
                <w:rFonts w:ascii="Times New Roman" w:hAnsi="Times New Roman" w:cs="Times New Roman"/>
                <w:i/>
              </w:rPr>
              <w:t>rbohF</w:t>
            </w:r>
            <w:proofErr w:type="spellEnd"/>
          </w:p>
        </w:tc>
        <w:tc>
          <w:tcPr>
            <w:tcW w:w="642" w:type="dxa"/>
            <w:shd w:val="clear" w:color="auto" w:fill="auto"/>
            <w:vAlign w:val="center"/>
          </w:tcPr>
          <w:p w14:paraId="2150A25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1.05</w:t>
            </w:r>
          </w:p>
        </w:tc>
        <w:tc>
          <w:tcPr>
            <w:tcW w:w="460" w:type="dxa"/>
            <w:shd w:val="clear" w:color="auto" w:fill="auto"/>
            <w:vAlign w:val="center"/>
          </w:tcPr>
          <w:p w14:paraId="2150A25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5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0.54</w:t>
            </w:r>
          </w:p>
        </w:tc>
        <w:tc>
          <w:tcPr>
            <w:tcW w:w="530" w:type="dxa"/>
            <w:shd w:val="clear" w:color="auto" w:fill="auto"/>
            <w:vAlign w:val="center"/>
          </w:tcPr>
          <w:p w14:paraId="2150A254"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5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0.18</w:t>
            </w:r>
          </w:p>
        </w:tc>
        <w:tc>
          <w:tcPr>
            <w:tcW w:w="336" w:type="dxa"/>
            <w:shd w:val="clear" w:color="auto" w:fill="auto"/>
            <w:vAlign w:val="center"/>
          </w:tcPr>
          <w:p w14:paraId="2150A25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5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0.76</w:t>
            </w:r>
          </w:p>
        </w:tc>
        <w:tc>
          <w:tcPr>
            <w:tcW w:w="470" w:type="dxa"/>
            <w:shd w:val="clear" w:color="auto" w:fill="auto"/>
            <w:vAlign w:val="center"/>
          </w:tcPr>
          <w:p w14:paraId="2150A258"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A25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0.26</w:t>
            </w:r>
          </w:p>
        </w:tc>
        <w:tc>
          <w:tcPr>
            <w:tcW w:w="388" w:type="dxa"/>
            <w:shd w:val="clear" w:color="auto" w:fill="auto"/>
            <w:vAlign w:val="center"/>
          </w:tcPr>
          <w:p w14:paraId="2150A25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5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469" w:type="dxa"/>
            <w:shd w:val="clear" w:color="auto" w:fill="auto"/>
            <w:vAlign w:val="center"/>
          </w:tcPr>
          <w:p w14:paraId="2150A25C"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5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29</w:t>
            </w:r>
          </w:p>
        </w:tc>
      </w:tr>
      <w:tr w:rsidR="00E7693B" w:rsidRPr="00E7693B" w14:paraId="2150A26D" w14:textId="77777777">
        <w:trPr>
          <w:trHeight w:val="806"/>
        </w:trPr>
        <w:tc>
          <w:tcPr>
            <w:tcW w:w="1853" w:type="dxa"/>
            <w:tcBorders>
              <w:bottom w:val="single" w:sz="4" w:space="0" w:color="000000"/>
            </w:tcBorders>
            <w:shd w:val="clear" w:color="auto" w:fill="auto"/>
            <w:vAlign w:val="center"/>
          </w:tcPr>
          <w:p w14:paraId="2150A25F" w14:textId="77777777" w:rsidR="00E7693B" w:rsidRPr="00E7693B" w:rsidRDefault="00E7693B">
            <w:pPr>
              <w:rPr>
                <w:rFonts w:ascii="Times New Roman" w:hAnsi="Times New Roman" w:cs="Times New Roman"/>
                <w:i/>
              </w:rPr>
            </w:pP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internal transcribed spacer, </w:t>
            </w:r>
            <w:proofErr w:type="spellStart"/>
            <w:r w:rsidRPr="00E7693B">
              <w:rPr>
                <w:rFonts w:ascii="Times New Roman" w:hAnsi="Times New Roman" w:cs="Times New Roman"/>
                <w:i/>
              </w:rPr>
              <w:t>LmITS</w:t>
            </w:r>
            <w:proofErr w:type="spellEnd"/>
          </w:p>
        </w:tc>
        <w:tc>
          <w:tcPr>
            <w:tcW w:w="642" w:type="dxa"/>
            <w:tcBorders>
              <w:bottom w:val="single" w:sz="4" w:space="0" w:color="000000"/>
            </w:tcBorders>
            <w:shd w:val="clear" w:color="auto" w:fill="auto"/>
            <w:vAlign w:val="center"/>
          </w:tcPr>
          <w:p w14:paraId="2150A26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14.28</w:t>
            </w:r>
          </w:p>
        </w:tc>
        <w:tc>
          <w:tcPr>
            <w:tcW w:w="460" w:type="dxa"/>
            <w:tcBorders>
              <w:bottom w:val="single" w:sz="4" w:space="0" w:color="000000"/>
            </w:tcBorders>
            <w:shd w:val="clear" w:color="auto" w:fill="auto"/>
            <w:vAlign w:val="center"/>
          </w:tcPr>
          <w:p w14:paraId="2150A26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602" w:type="dxa"/>
            <w:tcBorders>
              <w:bottom w:val="single" w:sz="4" w:space="0" w:color="000000"/>
            </w:tcBorders>
            <w:shd w:val="clear" w:color="auto" w:fill="auto"/>
            <w:vAlign w:val="center"/>
          </w:tcPr>
          <w:p w14:paraId="2150A26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30" w:type="dxa"/>
            <w:tcBorders>
              <w:bottom w:val="single" w:sz="4" w:space="0" w:color="000000"/>
            </w:tcBorders>
            <w:shd w:val="clear" w:color="auto" w:fill="auto"/>
            <w:vAlign w:val="center"/>
          </w:tcPr>
          <w:p w14:paraId="2150A26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82" w:type="dxa"/>
            <w:tcBorders>
              <w:bottom w:val="single" w:sz="4" w:space="0" w:color="000000"/>
            </w:tcBorders>
            <w:shd w:val="clear" w:color="auto" w:fill="auto"/>
            <w:vAlign w:val="center"/>
          </w:tcPr>
          <w:p w14:paraId="2150A26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0.02</w:t>
            </w:r>
          </w:p>
        </w:tc>
        <w:tc>
          <w:tcPr>
            <w:tcW w:w="336" w:type="dxa"/>
            <w:tcBorders>
              <w:bottom w:val="single" w:sz="4" w:space="0" w:color="000000"/>
            </w:tcBorders>
            <w:shd w:val="clear" w:color="auto" w:fill="auto"/>
            <w:vAlign w:val="center"/>
          </w:tcPr>
          <w:p w14:paraId="2150A26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tcBorders>
              <w:bottom w:val="single" w:sz="4" w:space="0" w:color="000000"/>
            </w:tcBorders>
            <w:shd w:val="clear" w:color="auto" w:fill="auto"/>
            <w:vAlign w:val="center"/>
          </w:tcPr>
          <w:p w14:paraId="2150A26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0.90</w:t>
            </w:r>
          </w:p>
        </w:tc>
        <w:tc>
          <w:tcPr>
            <w:tcW w:w="470" w:type="dxa"/>
            <w:tcBorders>
              <w:bottom w:val="single" w:sz="4" w:space="0" w:color="000000"/>
            </w:tcBorders>
            <w:shd w:val="clear" w:color="auto" w:fill="auto"/>
            <w:vAlign w:val="center"/>
          </w:tcPr>
          <w:p w14:paraId="2150A267" w14:textId="77777777" w:rsidR="00E7693B" w:rsidRPr="00E7693B" w:rsidRDefault="00E7693B">
            <w:pPr>
              <w:jc w:val="center"/>
              <w:rPr>
                <w:rFonts w:ascii="Times New Roman" w:hAnsi="Times New Roman" w:cs="Times New Roman"/>
                <w:color w:val="000000"/>
              </w:rPr>
            </w:pPr>
          </w:p>
        </w:tc>
        <w:tc>
          <w:tcPr>
            <w:tcW w:w="642" w:type="dxa"/>
            <w:tcBorders>
              <w:bottom w:val="single" w:sz="4" w:space="0" w:color="000000"/>
            </w:tcBorders>
            <w:shd w:val="clear" w:color="auto" w:fill="auto"/>
            <w:vAlign w:val="center"/>
          </w:tcPr>
          <w:p w14:paraId="2150A26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0.10</w:t>
            </w:r>
          </w:p>
        </w:tc>
        <w:tc>
          <w:tcPr>
            <w:tcW w:w="388" w:type="dxa"/>
            <w:tcBorders>
              <w:bottom w:val="single" w:sz="4" w:space="0" w:color="000000"/>
            </w:tcBorders>
            <w:shd w:val="clear" w:color="auto" w:fill="auto"/>
            <w:vAlign w:val="center"/>
          </w:tcPr>
          <w:p w14:paraId="2150A26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tcBorders>
              <w:bottom w:val="single" w:sz="4" w:space="0" w:color="000000"/>
            </w:tcBorders>
            <w:shd w:val="clear" w:color="auto" w:fill="auto"/>
            <w:vAlign w:val="center"/>
          </w:tcPr>
          <w:p w14:paraId="2150A26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0.99</w:t>
            </w:r>
          </w:p>
        </w:tc>
        <w:tc>
          <w:tcPr>
            <w:tcW w:w="469" w:type="dxa"/>
            <w:tcBorders>
              <w:bottom w:val="single" w:sz="4" w:space="0" w:color="000000"/>
            </w:tcBorders>
            <w:shd w:val="clear" w:color="auto" w:fill="auto"/>
            <w:vAlign w:val="center"/>
          </w:tcPr>
          <w:p w14:paraId="2150A26B" w14:textId="77777777" w:rsidR="00E7693B" w:rsidRPr="00E7693B" w:rsidRDefault="00E7693B">
            <w:pPr>
              <w:jc w:val="center"/>
              <w:rPr>
                <w:rFonts w:ascii="Times New Roman" w:hAnsi="Times New Roman" w:cs="Times New Roman"/>
                <w:color w:val="000000"/>
              </w:rPr>
            </w:pPr>
          </w:p>
        </w:tc>
        <w:tc>
          <w:tcPr>
            <w:tcW w:w="974" w:type="dxa"/>
            <w:tcBorders>
              <w:bottom w:val="single" w:sz="4" w:space="0" w:color="000000"/>
            </w:tcBorders>
            <w:shd w:val="clear" w:color="auto" w:fill="auto"/>
            <w:vAlign w:val="center"/>
          </w:tcPr>
          <w:p w14:paraId="2150A26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23</w:t>
            </w:r>
          </w:p>
        </w:tc>
      </w:tr>
    </w:tbl>
    <w:p w14:paraId="2150A26E" w14:textId="77777777" w:rsidR="00E7693B" w:rsidRPr="00E7693B" w:rsidRDefault="00E7693B">
      <w:pPr>
        <w:spacing w:before="240" w:after="240" w:line="360" w:lineRule="auto"/>
        <w:jc w:val="both"/>
        <w:rPr>
          <w:rFonts w:ascii="Times New Roman" w:hAnsi="Times New Roman" w:cs="Times New Roman"/>
        </w:rPr>
      </w:pPr>
    </w:p>
    <w:p w14:paraId="2150A26F" w14:textId="3C975910" w:rsidR="00E7693B" w:rsidRPr="00E7693B" w:rsidRDefault="005B6C8D">
      <w:pPr>
        <w:spacing w:before="240" w:after="240" w:line="360" w:lineRule="auto"/>
        <w:jc w:val="center"/>
        <w:rPr>
          <w:rFonts w:ascii="Times New Roman" w:hAnsi="Times New Roman" w:cs="Times New Roman"/>
        </w:rPr>
      </w:pPr>
      <w:r>
        <w:rPr>
          <w:noProof/>
          <w:lang w:val="en-US"/>
        </w:rPr>
        <w:drawing>
          <wp:inline distT="0" distB="0" distL="0" distR="0" wp14:anchorId="15408F69" wp14:editId="68CA6564">
            <wp:extent cx="5378803" cy="3994638"/>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9"/>
                    <a:srcRect b="5410"/>
                    <a:stretch>
                      <a:fillRect/>
                    </a:stretch>
                  </pic:blipFill>
                  <pic:spPr>
                    <a:xfrm>
                      <a:off x="0" y="0"/>
                      <a:ext cx="5378803" cy="3994638"/>
                    </a:xfrm>
                    <a:prstGeom prst="rect">
                      <a:avLst/>
                    </a:prstGeom>
                    <a:ln/>
                  </pic:spPr>
                </pic:pic>
              </a:graphicData>
            </a:graphic>
          </wp:inline>
        </w:drawing>
      </w:r>
    </w:p>
    <w:p w14:paraId="2150A270" w14:textId="3AC74D2B"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38</w:t>
      </w:r>
      <w:r w:rsidRPr="00E7693B">
        <w:rPr>
          <w:rFonts w:ascii="Times New Roman" w:hAnsi="Times New Roman" w:cs="Times New Roman"/>
        </w:rPr>
        <w:t xml:space="preserve">. Activation of plant defence pathways detected in the second biological repetition in the true leaves of cauliflower inoculated with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and previously inoculated with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Distilled water (dH2O) was used as control on the leaves, and on the roots together with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Gene transcripts were detected 0, 7 and 14 days post </w:t>
      </w:r>
      <w:r w:rsidRPr="00E7693B">
        <w:rPr>
          <w:rFonts w:ascii="Times New Roman" w:hAnsi="Times New Roman" w:cs="Times New Roman"/>
          <w:i/>
        </w:rPr>
        <w:t xml:space="preserve">L. </w:t>
      </w:r>
      <w:proofErr w:type="spellStart"/>
      <w:r w:rsidRPr="00E7693B">
        <w:rPr>
          <w:rFonts w:ascii="Times New Roman" w:hAnsi="Times New Roman" w:cs="Times New Roman"/>
          <w:i/>
        </w:rPr>
        <w:t>maculans</w:t>
      </w:r>
      <w:proofErr w:type="spellEnd"/>
      <w:r w:rsidRPr="00E7693B">
        <w:rPr>
          <w:rFonts w:ascii="Times New Roman" w:hAnsi="Times New Roman" w:cs="Times New Roman"/>
        </w:rPr>
        <w:t xml:space="preserve"> inoculation (dpi). Boxplots show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lowercase letters significant differences (P &lt; 0.05) between treatments for a given time point. </w:t>
      </w:r>
      <w:r w:rsidRPr="00E7693B">
        <w:rPr>
          <w:rFonts w:ascii="Times New Roman" w:hAnsi="Times New Roman" w:cs="Times New Roman"/>
          <w:i/>
        </w:rPr>
        <w:t xml:space="preserve">ICS1 </w:t>
      </w:r>
      <w:r w:rsidRPr="00E7693B">
        <w:rPr>
          <w:rFonts w:ascii="Times New Roman" w:hAnsi="Times New Roman" w:cs="Times New Roman"/>
        </w:rPr>
        <w:t xml:space="preserve">= </w:t>
      </w:r>
      <w:proofErr w:type="spellStart"/>
      <w:r w:rsidRPr="00E7693B">
        <w:rPr>
          <w:rFonts w:ascii="Times New Roman" w:hAnsi="Times New Roman" w:cs="Times New Roman"/>
          <w:i/>
        </w:rPr>
        <w:t>isochorismate</w:t>
      </w:r>
      <w:proofErr w:type="spellEnd"/>
      <w:r w:rsidRPr="00E7693B">
        <w:rPr>
          <w:rFonts w:ascii="Times New Roman" w:hAnsi="Times New Roman" w:cs="Times New Roman"/>
          <w:i/>
        </w:rPr>
        <w:t xml:space="preserve"> synthase 1</w:t>
      </w:r>
      <w:r w:rsidRPr="00E7693B">
        <w:rPr>
          <w:rFonts w:ascii="Times New Roman" w:hAnsi="Times New Roman" w:cs="Times New Roman"/>
        </w:rPr>
        <w:t xml:space="preserve">; </w:t>
      </w:r>
      <w:r w:rsidRPr="00E7693B">
        <w:rPr>
          <w:rFonts w:ascii="Times New Roman" w:hAnsi="Times New Roman" w:cs="Times New Roman"/>
          <w:i/>
        </w:rPr>
        <w:t xml:space="preserve">WRKY70 = WRKY70 transcription factor; AOS = allene oxide synthase; LOX3 </w:t>
      </w:r>
      <w:r w:rsidRPr="00E7693B">
        <w:rPr>
          <w:rFonts w:ascii="Times New Roman" w:hAnsi="Times New Roman" w:cs="Times New Roman"/>
        </w:rPr>
        <w:t xml:space="preserve">= </w:t>
      </w:r>
      <w:r w:rsidRPr="00E7693B">
        <w:rPr>
          <w:rFonts w:ascii="Times New Roman" w:hAnsi="Times New Roman" w:cs="Times New Roman"/>
          <w:i/>
        </w:rPr>
        <w:t>lipoxygenase 3</w:t>
      </w:r>
      <w:r w:rsidRPr="00E7693B">
        <w:rPr>
          <w:rFonts w:ascii="Times New Roman" w:hAnsi="Times New Roman" w:cs="Times New Roman"/>
        </w:rPr>
        <w:t xml:space="preserve">; </w:t>
      </w:r>
      <w:r w:rsidRPr="00E7693B">
        <w:rPr>
          <w:rFonts w:ascii="Times New Roman" w:hAnsi="Times New Roman" w:cs="Times New Roman"/>
          <w:i/>
        </w:rPr>
        <w:t>ACS2</w:t>
      </w:r>
      <w:r w:rsidRPr="00E7693B">
        <w:rPr>
          <w:rFonts w:ascii="Times New Roman" w:hAnsi="Times New Roman" w:cs="Times New Roman"/>
        </w:rPr>
        <w:t xml:space="preserve"> = </w:t>
      </w:r>
      <w:r w:rsidRPr="00E7693B">
        <w:rPr>
          <w:rFonts w:ascii="Times New Roman" w:hAnsi="Times New Roman" w:cs="Times New Roman"/>
          <w:i/>
        </w:rPr>
        <w:t>ACC synthase 2</w:t>
      </w:r>
      <w:r w:rsidRPr="00E7693B">
        <w:rPr>
          <w:rFonts w:ascii="Times New Roman" w:hAnsi="Times New Roman" w:cs="Times New Roman"/>
        </w:rPr>
        <w:t xml:space="preserve">; </w:t>
      </w:r>
      <w:r w:rsidRPr="00E7693B">
        <w:rPr>
          <w:rFonts w:ascii="Times New Roman" w:hAnsi="Times New Roman" w:cs="Times New Roman"/>
          <w:i/>
        </w:rPr>
        <w:t xml:space="preserve">PDF3 </w:t>
      </w:r>
      <w:r w:rsidRPr="00E7693B">
        <w:rPr>
          <w:rFonts w:ascii="Times New Roman" w:hAnsi="Times New Roman" w:cs="Times New Roman"/>
        </w:rPr>
        <w:t xml:space="preserve">= </w:t>
      </w:r>
      <w:r w:rsidRPr="00E7693B">
        <w:rPr>
          <w:rFonts w:ascii="Times New Roman" w:hAnsi="Times New Roman" w:cs="Times New Roman"/>
          <w:i/>
        </w:rPr>
        <w:t>plant defensin 3</w:t>
      </w:r>
      <w:r w:rsidRPr="00E7693B">
        <w:rPr>
          <w:rFonts w:ascii="Times New Roman" w:hAnsi="Times New Roman" w:cs="Times New Roman"/>
        </w:rPr>
        <w:t xml:space="preserve">; </w:t>
      </w:r>
      <w:r w:rsidRPr="00E7693B">
        <w:rPr>
          <w:rFonts w:ascii="Times New Roman" w:hAnsi="Times New Roman" w:cs="Times New Roman"/>
          <w:i/>
        </w:rPr>
        <w:t xml:space="preserve">PR4 </w:t>
      </w:r>
      <w:r w:rsidRPr="00E7693B">
        <w:rPr>
          <w:rFonts w:ascii="Times New Roman" w:hAnsi="Times New Roman" w:cs="Times New Roman"/>
        </w:rPr>
        <w:t xml:space="preserve">= </w:t>
      </w:r>
      <w:r w:rsidRPr="00E7693B">
        <w:rPr>
          <w:rFonts w:ascii="Times New Roman" w:hAnsi="Times New Roman" w:cs="Times New Roman"/>
          <w:i/>
        </w:rPr>
        <w:t>pathogenesis-related 4</w:t>
      </w:r>
      <w:r w:rsidRPr="00E7693B">
        <w:rPr>
          <w:rFonts w:ascii="Times New Roman" w:hAnsi="Times New Roman" w:cs="Times New Roman"/>
        </w:rPr>
        <w:t xml:space="preserve">; </w:t>
      </w:r>
      <w:proofErr w:type="spellStart"/>
      <w:r w:rsidRPr="00E7693B">
        <w:rPr>
          <w:rFonts w:ascii="Times New Roman" w:hAnsi="Times New Roman" w:cs="Times New Roman"/>
          <w:i/>
        </w:rPr>
        <w:t>rbohC</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 </w:t>
      </w:r>
      <w:r w:rsidRPr="00E7693B">
        <w:rPr>
          <w:rFonts w:ascii="Times New Roman" w:hAnsi="Times New Roman" w:cs="Times New Roman"/>
          <w:i/>
        </w:rPr>
        <w:t>respiratory burst oxidase homolog C</w:t>
      </w:r>
      <w:r w:rsidRPr="00E7693B">
        <w:rPr>
          <w:rFonts w:ascii="Times New Roman" w:hAnsi="Times New Roman" w:cs="Times New Roman"/>
        </w:rPr>
        <w:t xml:space="preserve">; </w:t>
      </w:r>
      <w:proofErr w:type="spellStart"/>
      <w:r w:rsidRPr="00E7693B">
        <w:rPr>
          <w:rFonts w:ascii="Times New Roman" w:hAnsi="Times New Roman" w:cs="Times New Roman"/>
          <w:i/>
        </w:rPr>
        <w:t>rbohF</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 </w:t>
      </w:r>
      <w:r w:rsidRPr="00E7693B">
        <w:rPr>
          <w:rFonts w:ascii="Times New Roman" w:hAnsi="Times New Roman" w:cs="Times New Roman"/>
          <w:i/>
        </w:rPr>
        <w:t>respiratory burst oxidase homolog F</w:t>
      </w:r>
      <w:r w:rsidRPr="00E7693B">
        <w:rPr>
          <w:rFonts w:ascii="Times New Roman" w:hAnsi="Times New Roman" w:cs="Times New Roman"/>
        </w:rPr>
        <w:t>; ns = not significant.</w:t>
      </w:r>
    </w:p>
    <w:p w14:paraId="2150A271" w14:textId="77777777" w:rsidR="00E7693B" w:rsidRPr="00E7693B" w:rsidRDefault="00E7693B">
      <w:pPr>
        <w:spacing w:before="240"/>
        <w:rPr>
          <w:rFonts w:ascii="Times New Roman" w:hAnsi="Times New Roman" w:cs="Times New Roman"/>
        </w:rPr>
      </w:pPr>
      <w:r w:rsidRPr="00E7693B">
        <w:rPr>
          <w:rFonts w:ascii="Times New Roman" w:hAnsi="Times New Roman" w:cs="Times New Roman"/>
          <w:b/>
          <w:color w:val="000000"/>
        </w:rPr>
        <w:t>Table 7</w:t>
      </w:r>
      <w:r w:rsidRPr="00E7693B">
        <w:rPr>
          <w:rFonts w:ascii="Times New Roman" w:hAnsi="Times New Roman" w:cs="Times New Roman"/>
          <w:color w:val="000000"/>
        </w:rPr>
        <w:t xml:space="preserve">. Statistical values of defence genes in the second biological repetition. F values, </w:t>
      </w:r>
      <w:proofErr w:type="spellStart"/>
      <w:r w:rsidRPr="00E7693B">
        <w:rPr>
          <w:rFonts w:ascii="Times New Roman" w:hAnsi="Times New Roman" w:cs="Times New Roman"/>
          <w:color w:val="000000"/>
        </w:rPr>
        <w:t>df</w:t>
      </w:r>
      <w:proofErr w:type="spellEnd"/>
      <w:r w:rsidRPr="00E7693B">
        <w:rPr>
          <w:rFonts w:ascii="Times New Roman" w:hAnsi="Times New Roman" w:cs="Times New Roman"/>
          <w:color w:val="000000"/>
        </w:rPr>
        <w:t xml:space="preserve">, P values and residual </w:t>
      </w:r>
      <w:proofErr w:type="spellStart"/>
      <w:r w:rsidRPr="00E7693B">
        <w:rPr>
          <w:rFonts w:ascii="Times New Roman" w:hAnsi="Times New Roman" w:cs="Times New Roman"/>
          <w:color w:val="000000"/>
        </w:rPr>
        <w:t>df</w:t>
      </w:r>
      <w:proofErr w:type="spellEnd"/>
      <w:r w:rsidRPr="00E7693B">
        <w:rPr>
          <w:rFonts w:ascii="Times New Roman" w:hAnsi="Times New Roman" w:cs="Times New Roman"/>
          <w:color w:val="000000"/>
        </w:rPr>
        <w:t xml:space="preserve"> for all the analysed compounds; ".": P &lt; 0.1, *: P &lt; 0.05, **: P &lt; 0.01, ***: P &lt; 0.001.</w:t>
      </w:r>
    </w:p>
    <w:tbl>
      <w:tblPr>
        <w:tblW w:w="9199" w:type="dxa"/>
        <w:tblInd w:w="-10" w:type="dxa"/>
        <w:tblLayout w:type="fixed"/>
        <w:tblCellMar>
          <w:left w:w="10" w:type="dxa"/>
          <w:right w:w="10" w:type="dxa"/>
        </w:tblCellMar>
        <w:tblLook w:val="0400" w:firstRow="0" w:lastRow="0" w:firstColumn="0" w:lastColumn="0" w:noHBand="0" w:noVBand="1"/>
      </w:tblPr>
      <w:tblGrid>
        <w:gridCol w:w="1852"/>
        <w:gridCol w:w="745"/>
        <w:gridCol w:w="460"/>
        <w:gridCol w:w="602"/>
        <w:gridCol w:w="530"/>
        <w:gridCol w:w="682"/>
        <w:gridCol w:w="336"/>
        <w:gridCol w:w="525"/>
        <w:gridCol w:w="469"/>
        <w:gridCol w:w="642"/>
        <w:gridCol w:w="388"/>
        <w:gridCol w:w="525"/>
        <w:gridCol w:w="469"/>
        <w:gridCol w:w="974"/>
      </w:tblGrid>
      <w:tr w:rsidR="00E7693B" w:rsidRPr="00E7693B" w14:paraId="2150A277" w14:textId="77777777">
        <w:trPr>
          <w:trHeight w:val="300"/>
        </w:trPr>
        <w:tc>
          <w:tcPr>
            <w:tcW w:w="1853" w:type="dxa"/>
            <w:vMerge w:val="restart"/>
            <w:tcBorders>
              <w:top w:val="single" w:sz="4" w:space="0" w:color="000000"/>
            </w:tcBorders>
            <w:shd w:val="clear" w:color="auto" w:fill="auto"/>
            <w:vAlign w:val="center"/>
          </w:tcPr>
          <w:p w14:paraId="2150A272"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Compound</w:t>
            </w:r>
          </w:p>
        </w:tc>
        <w:tc>
          <w:tcPr>
            <w:tcW w:w="2337" w:type="dxa"/>
            <w:gridSpan w:val="4"/>
            <w:tcBorders>
              <w:top w:val="single" w:sz="4" w:space="0" w:color="000000"/>
            </w:tcBorders>
            <w:shd w:val="clear" w:color="auto" w:fill="auto"/>
            <w:vAlign w:val="bottom"/>
          </w:tcPr>
          <w:p w14:paraId="2150A273"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Treatment</w:t>
            </w:r>
          </w:p>
        </w:tc>
        <w:tc>
          <w:tcPr>
            <w:tcW w:w="2012" w:type="dxa"/>
            <w:gridSpan w:val="4"/>
            <w:tcBorders>
              <w:top w:val="single" w:sz="4" w:space="0" w:color="000000"/>
            </w:tcBorders>
            <w:shd w:val="clear" w:color="auto" w:fill="auto"/>
            <w:vAlign w:val="bottom"/>
          </w:tcPr>
          <w:p w14:paraId="2150A274"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Time</w:t>
            </w:r>
          </w:p>
        </w:tc>
        <w:tc>
          <w:tcPr>
            <w:tcW w:w="2024" w:type="dxa"/>
            <w:gridSpan w:val="4"/>
            <w:tcBorders>
              <w:top w:val="single" w:sz="4" w:space="0" w:color="000000"/>
            </w:tcBorders>
            <w:shd w:val="clear" w:color="auto" w:fill="auto"/>
            <w:vAlign w:val="bottom"/>
          </w:tcPr>
          <w:p w14:paraId="2150A275"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Treatment:Time</w:t>
            </w:r>
            <w:proofErr w:type="spellEnd"/>
          </w:p>
        </w:tc>
        <w:tc>
          <w:tcPr>
            <w:tcW w:w="974" w:type="dxa"/>
            <w:tcBorders>
              <w:top w:val="single" w:sz="4" w:space="0" w:color="000000"/>
            </w:tcBorders>
            <w:shd w:val="clear" w:color="auto" w:fill="auto"/>
            <w:vAlign w:val="bottom"/>
          </w:tcPr>
          <w:p w14:paraId="2150A276"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w:t>
            </w:r>
          </w:p>
        </w:tc>
      </w:tr>
      <w:tr w:rsidR="00E7693B" w:rsidRPr="00E7693B" w14:paraId="2150A284" w14:textId="77777777">
        <w:trPr>
          <w:trHeight w:val="315"/>
        </w:trPr>
        <w:tc>
          <w:tcPr>
            <w:tcW w:w="1853" w:type="dxa"/>
            <w:vMerge/>
            <w:tcBorders>
              <w:top w:val="single" w:sz="4" w:space="0" w:color="000000"/>
            </w:tcBorders>
            <w:shd w:val="clear" w:color="auto" w:fill="auto"/>
            <w:vAlign w:val="center"/>
          </w:tcPr>
          <w:p w14:paraId="2150A278" w14:textId="77777777" w:rsidR="00E7693B" w:rsidRPr="00E7693B" w:rsidRDefault="00E7693B">
            <w:pPr>
              <w:widowControl w:val="0"/>
              <w:pBdr>
                <w:top w:val="nil"/>
                <w:left w:val="nil"/>
                <w:bottom w:val="nil"/>
                <w:right w:val="nil"/>
                <w:between w:val="nil"/>
              </w:pBdr>
              <w:spacing w:line="276" w:lineRule="auto"/>
              <w:rPr>
                <w:rFonts w:ascii="Times New Roman" w:hAnsi="Times New Roman" w:cs="Times New Roman"/>
                <w:b/>
                <w:color w:val="000000"/>
              </w:rPr>
            </w:pPr>
          </w:p>
        </w:tc>
        <w:tc>
          <w:tcPr>
            <w:tcW w:w="745" w:type="dxa"/>
            <w:tcBorders>
              <w:bottom w:val="single" w:sz="4" w:space="0" w:color="000000"/>
            </w:tcBorders>
            <w:shd w:val="clear" w:color="auto" w:fill="auto"/>
            <w:vAlign w:val="bottom"/>
          </w:tcPr>
          <w:p w14:paraId="2150A279"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w:t>
            </w:r>
          </w:p>
          <w:p w14:paraId="2150A27A"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value</w:t>
            </w:r>
          </w:p>
        </w:tc>
        <w:tc>
          <w:tcPr>
            <w:tcW w:w="460" w:type="dxa"/>
            <w:tcBorders>
              <w:bottom w:val="single" w:sz="4" w:space="0" w:color="000000"/>
            </w:tcBorders>
            <w:shd w:val="clear" w:color="auto" w:fill="auto"/>
            <w:vAlign w:val="bottom"/>
          </w:tcPr>
          <w:p w14:paraId="2150A27B"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1132" w:type="dxa"/>
            <w:gridSpan w:val="2"/>
            <w:tcBorders>
              <w:bottom w:val="single" w:sz="4" w:space="0" w:color="000000"/>
            </w:tcBorders>
            <w:shd w:val="clear" w:color="auto" w:fill="auto"/>
            <w:vAlign w:val="bottom"/>
          </w:tcPr>
          <w:p w14:paraId="2150A27C"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82" w:type="dxa"/>
            <w:tcBorders>
              <w:bottom w:val="single" w:sz="4" w:space="0" w:color="000000"/>
            </w:tcBorders>
            <w:shd w:val="clear" w:color="auto" w:fill="auto"/>
            <w:vAlign w:val="bottom"/>
          </w:tcPr>
          <w:p w14:paraId="2150A27D"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336" w:type="dxa"/>
            <w:tcBorders>
              <w:bottom w:val="single" w:sz="4" w:space="0" w:color="000000"/>
            </w:tcBorders>
            <w:shd w:val="clear" w:color="auto" w:fill="auto"/>
            <w:vAlign w:val="bottom"/>
          </w:tcPr>
          <w:p w14:paraId="2150A27E"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994" w:type="dxa"/>
            <w:gridSpan w:val="2"/>
            <w:tcBorders>
              <w:bottom w:val="single" w:sz="4" w:space="0" w:color="000000"/>
            </w:tcBorders>
            <w:shd w:val="clear" w:color="auto" w:fill="auto"/>
            <w:vAlign w:val="bottom"/>
          </w:tcPr>
          <w:p w14:paraId="2150A27F"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42" w:type="dxa"/>
            <w:tcBorders>
              <w:bottom w:val="single" w:sz="4" w:space="0" w:color="000000"/>
            </w:tcBorders>
            <w:shd w:val="clear" w:color="auto" w:fill="auto"/>
            <w:vAlign w:val="bottom"/>
          </w:tcPr>
          <w:p w14:paraId="2150A280"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388" w:type="dxa"/>
            <w:tcBorders>
              <w:bottom w:val="single" w:sz="4" w:space="0" w:color="000000"/>
            </w:tcBorders>
            <w:shd w:val="clear" w:color="auto" w:fill="auto"/>
            <w:vAlign w:val="bottom"/>
          </w:tcPr>
          <w:p w14:paraId="2150A281"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994" w:type="dxa"/>
            <w:gridSpan w:val="2"/>
            <w:tcBorders>
              <w:bottom w:val="single" w:sz="4" w:space="0" w:color="000000"/>
            </w:tcBorders>
            <w:shd w:val="clear" w:color="auto" w:fill="auto"/>
            <w:vAlign w:val="bottom"/>
          </w:tcPr>
          <w:p w14:paraId="2150A282"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974" w:type="dxa"/>
            <w:tcBorders>
              <w:bottom w:val="single" w:sz="4" w:space="0" w:color="000000"/>
            </w:tcBorders>
            <w:shd w:val="clear" w:color="auto" w:fill="auto"/>
            <w:vAlign w:val="bottom"/>
          </w:tcPr>
          <w:p w14:paraId="2150A283"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xml:space="preserve">Residual </w:t>
            </w:r>
            <w:proofErr w:type="spellStart"/>
            <w:r w:rsidRPr="00E7693B">
              <w:rPr>
                <w:rFonts w:ascii="Times New Roman" w:hAnsi="Times New Roman" w:cs="Times New Roman"/>
                <w:b/>
                <w:color w:val="000000"/>
              </w:rPr>
              <w:t>df</w:t>
            </w:r>
            <w:proofErr w:type="spellEnd"/>
          </w:p>
        </w:tc>
      </w:tr>
      <w:tr w:rsidR="00E7693B" w:rsidRPr="00E7693B" w14:paraId="2150A293" w14:textId="77777777">
        <w:trPr>
          <w:trHeight w:val="806"/>
        </w:trPr>
        <w:tc>
          <w:tcPr>
            <w:tcW w:w="1853" w:type="dxa"/>
            <w:tcBorders>
              <w:top w:val="single" w:sz="4" w:space="0" w:color="000000"/>
            </w:tcBorders>
            <w:shd w:val="clear" w:color="auto" w:fill="auto"/>
            <w:vAlign w:val="center"/>
          </w:tcPr>
          <w:p w14:paraId="2150A285" w14:textId="77777777" w:rsidR="00E7693B" w:rsidRPr="00E7693B" w:rsidRDefault="00E7693B">
            <w:pPr>
              <w:rPr>
                <w:rFonts w:ascii="Times New Roman" w:hAnsi="Times New Roman" w:cs="Times New Roman"/>
                <w:i/>
                <w:color w:val="000000"/>
              </w:rPr>
            </w:pPr>
            <w:proofErr w:type="spellStart"/>
            <w:r w:rsidRPr="00E7693B">
              <w:rPr>
                <w:rFonts w:ascii="Times New Roman" w:hAnsi="Times New Roman" w:cs="Times New Roman"/>
                <w:i/>
                <w:color w:val="000000"/>
              </w:rPr>
              <w:t>isochorismate</w:t>
            </w:r>
            <w:proofErr w:type="spellEnd"/>
            <w:r w:rsidRPr="00E7693B">
              <w:rPr>
                <w:rFonts w:ascii="Times New Roman" w:hAnsi="Times New Roman" w:cs="Times New Roman"/>
                <w:i/>
                <w:color w:val="000000"/>
              </w:rPr>
              <w:t xml:space="preserve"> synthase 1, ICS1</w:t>
            </w:r>
          </w:p>
        </w:tc>
        <w:tc>
          <w:tcPr>
            <w:tcW w:w="745" w:type="dxa"/>
            <w:tcBorders>
              <w:top w:val="single" w:sz="4" w:space="0" w:color="000000"/>
            </w:tcBorders>
            <w:shd w:val="clear" w:color="auto" w:fill="auto"/>
            <w:vAlign w:val="center"/>
          </w:tcPr>
          <w:p w14:paraId="2150A28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1.60</w:t>
            </w:r>
          </w:p>
        </w:tc>
        <w:tc>
          <w:tcPr>
            <w:tcW w:w="460" w:type="dxa"/>
            <w:tcBorders>
              <w:top w:val="single" w:sz="4" w:space="0" w:color="000000"/>
            </w:tcBorders>
            <w:shd w:val="clear" w:color="auto" w:fill="auto"/>
            <w:vAlign w:val="center"/>
          </w:tcPr>
          <w:p w14:paraId="2150A28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tcBorders>
              <w:top w:val="single" w:sz="4" w:space="0" w:color="000000"/>
            </w:tcBorders>
            <w:shd w:val="clear" w:color="auto" w:fill="auto"/>
            <w:vAlign w:val="center"/>
          </w:tcPr>
          <w:p w14:paraId="2150A28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0.49</w:t>
            </w:r>
          </w:p>
        </w:tc>
        <w:tc>
          <w:tcPr>
            <w:tcW w:w="530" w:type="dxa"/>
            <w:tcBorders>
              <w:top w:val="single" w:sz="4" w:space="0" w:color="000000"/>
            </w:tcBorders>
            <w:shd w:val="clear" w:color="auto" w:fill="auto"/>
            <w:vAlign w:val="center"/>
          </w:tcPr>
          <w:p w14:paraId="2150A289" w14:textId="77777777" w:rsidR="00E7693B" w:rsidRPr="00E7693B" w:rsidRDefault="00E7693B">
            <w:pPr>
              <w:jc w:val="center"/>
              <w:rPr>
                <w:rFonts w:ascii="Times New Roman" w:hAnsi="Times New Roman" w:cs="Times New Roman"/>
                <w:color w:val="000000"/>
              </w:rPr>
            </w:pPr>
          </w:p>
        </w:tc>
        <w:tc>
          <w:tcPr>
            <w:tcW w:w="682" w:type="dxa"/>
            <w:tcBorders>
              <w:top w:val="single" w:sz="4" w:space="0" w:color="000000"/>
            </w:tcBorders>
            <w:shd w:val="clear" w:color="auto" w:fill="auto"/>
            <w:vAlign w:val="center"/>
          </w:tcPr>
          <w:p w14:paraId="2150A28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0.66</w:t>
            </w:r>
          </w:p>
        </w:tc>
        <w:tc>
          <w:tcPr>
            <w:tcW w:w="336" w:type="dxa"/>
            <w:tcBorders>
              <w:top w:val="single" w:sz="4" w:space="0" w:color="000000"/>
            </w:tcBorders>
            <w:shd w:val="clear" w:color="auto" w:fill="auto"/>
            <w:vAlign w:val="center"/>
          </w:tcPr>
          <w:p w14:paraId="2150A28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tcBorders>
              <w:top w:val="single" w:sz="4" w:space="0" w:color="000000"/>
            </w:tcBorders>
            <w:shd w:val="clear" w:color="auto" w:fill="auto"/>
            <w:vAlign w:val="center"/>
          </w:tcPr>
          <w:p w14:paraId="2150A28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0.42</w:t>
            </w:r>
          </w:p>
        </w:tc>
        <w:tc>
          <w:tcPr>
            <w:tcW w:w="469" w:type="dxa"/>
            <w:tcBorders>
              <w:top w:val="single" w:sz="4" w:space="0" w:color="000000"/>
            </w:tcBorders>
            <w:shd w:val="clear" w:color="auto" w:fill="auto"/>
            <w:vAlign w:val="center"/>
          </w:tcPr>
          <w:p w14:paraId="2150A28D" w14:textId="77777777" w:rsidR="00E7693B" w:rsidRPr="00E7693B" w:rsidRDefault="00E7693B">
            <w:pPr>
              <w:jc w:val="center"/>
              <w:rPr>
                <w:rFonts w:ascii="Times New Roman" w:hAnsi="Times New Roman" w:cs="Times New Roman"/>
                <w:color w:val="000000"/>
              </w:rPr>
            </w:pPr>
          </w:p>
        </w:tc>
        <w:tc>
          <w:tcPr>
            <w:tcW w:w="642" w:type="dxa"/>
            <w:tcBorders>
              <w:top w:val="single" w:sz="4" w:space="0" w:color="000000"/>
            </w:tcBorders>
            <w:shd w:val="clear" w:color="auto" w:fill="auto"/>
            <w:vAlign w:val="center"/>
          </w:tcPr>
          <w:p w14:paraId="2150A28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1.60</w:t>
            </w:r>
          </w:p>
        </w:tc>
        <w:tc>
          <w:tcPr>
            <w:tcW w:w="388" w:type="dxa"/>
            <w:tcBorders>
              <w:top w:val="single" w:sz="4" w:space="0" w:color="000000"/>
            </w:tcBorders>
            <w:shd w:val="clear" w:color="auto" w:fill="auto"/>
            <w:vAlign w:val="center"/>
          </w:tcPr>
          <w:p w14:paraId="2150A28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tcBorders>
              <w:top w:val="single" w:sz="4" w:space="0" w:color="000000"/>
            </w:tcBorders>
            <w:shd w:val="clear" w:color="auto" w:fill="auto"/>
            <w:vAlign w:val="center"/>
          </w:tcPr>
          <w:p w14:paraId="2150A29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0.69</w:t>
            </w:r>
          </w:p>
        </w:tc>
        <w:tc>
          <w:tcPr>
            <w:tcW w:w="469" w:type="dxa"/>
            <w:tcBorders>
              <w:top w:val="single" w:sz="4" w:space="0" w:color="000000"/>
            </w:tcBorders>
            <w:shd w:val="clear" w:color="auto" w:fill="auto"/>
            <w:vAlign w:val="center"/>
          </w:tcPr>
          <w:p w14:paraId="2150A291" w14:textId="77777777" w:rsidR="00E7693B" w:rsidRPr="00E7693B" w:rsidRDefault="00E7693B">
            <w:pPr>
              <w:jc w:val="center"/>
              <w:rPr>
                <w:rFonts w:ascii="Times New Roman" w:hAnsi="Times New Roman" w:cs="Times New Roman"/>
                <w:color w:val="000000"/>
              </w:rPr>
            </w:pPr>
          </w:p>
        </w:tc>
        <w:tc>
          <w:tcPr>
            <w:tcW w:w="974" w:type="dxa"/>
            <w:tcBorders>
              <w:top w:val="single" w:sz="4" w:space="0" w:color="000000"/>
            </w:tcBorders>
            <w:shd w:val="clear" w:color="auto" w:fill="auto"/>
            <w:vAlign w:val="center"/>
          </w:tcPr>
          <w:p w14:paraId="2150A29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2A2" w14:textId="77777777">
        <w:trPr>
          <w:trHeight w:val="806"/>
        </w:trPr>
        <w:tc>
          <w:tcPr>
            <w:tcW w:w="1853" w:type="dxa"/>
            <w:shd w:val="clear" w:color="auto" w:fill="auto"/>
            <w:vAlign w:val="center"/>
          </w:tcPr>
          <w:p w14:paraId="2150A294"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rPr>
              <w:t>WRKY70 transcription factor, WRKY70</w:t>
            </w:r>
          </w:p>
        </w:tc>
        <w:tc>
          <w:tcPr>
            <w:tcW w:w="745" w:type="dxa"/>
            <w:shd w:val="clear" w:color="auto" w:fill="auto"/>
            <w:vAlign w:val="center"/>
          </w:tcPr>
          <w:p w14:paraId="2150A29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1.47</w:t>
            </w:r>
          </w:p>
        </w:tc>
        <w:tc>
          <w:tcPr>
            <w:tcW w:w="460" w:type="dxa"/>
            <w:shd w:val="clear" w:color="auto" w:fill="auto"/>
            <w:vAlign w:val="center"/>
          </w:tcPr>
          <w:p w14:paraId="2150A29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9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0.49</w:t>
            </w:r>
          </w:p>
        </w:tc>
        <w:tc>
          <w:tcPr>
            <w:tcW w:w="530" w:type="dxa"/>
            <w:shd w:val="clear" w:color="auto" w:fill="auto"/>
            <w:vAlign w:val="center"/>
          </w:tcPr>
          <w:p w14:paraId="2150A298"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9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14.38</w:t>
            </w:r>
          </w:p>
        </w:tc>
        <w:tc>
          <w:tcPr>
            <w:tcW w:w="336" w:type="dxa"/>
            <w:shd w:val="clear" w:color="auto" w:fill="auto"/>
            <w:vAlign w:val="center"/>
          </w:tcPr>
          <w:p w14:paraId="2150A29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9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469" w:type="dxa"/>
            <w:shd w:val="clear" w:color="auto" w:fill="auto"/>
            <w:vAlign w:val="center"/>
          </w:tcPr>
          <w:p w14:paraId="2150A29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42" w:type="dxa"/>
            <w:shd w:val="clear" w:color="auto" w:fill="auto"/>
            <w:vAlign w:val="center"/>
          </w:tcPr>
          <w:p w14:paraId="2150A29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1.28</w:t>
            </w:r>
          </w:p>
        </w:tc>
        <w:tc>
          <w:tcPr>
            <w:tcW w:w="388" w:type="dxa"/>
            <w:shd w:val="clear" w:color="auto" w:fill="auto"/>
            <w:vAlign w:val="center"/>
          </w:tcPr>
          <w:p w14:paraId="2150A29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9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0.69</w:t>
            </w:r>
          </w:p>
        </w:tc>
        <w:tc>
          <w:tcPr>
            <w:tcW w:w="469" w:type="dxa"/>
            <w:shd w:val="clear" w:color="auto" w:fill="auto"/>
            <w:vAlign w:val="center"/>
          </w:tcPr>
          <w:p w14:paraId="2150A2A0"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A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2B1" w14:textId="77777777">
        <w:trPr>
          <w:trHeight w:val="806"/>
        </w:trPr>
        <w:tc>
          <w:tcPr>
            <w:tcW w:w="1853" w:type="dxa"/>
            <w:shd w:val="clear" w:color="auto" w:fill="auto"/>
            <w:vAlign w:val="center"/>
          </w:tcPr>
          <w:p w14:paraId="2150A2A3"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rPr>
              <w:t>allene oxide synthase, AOS</w:t>
            </w:r>
          </w:p>
        </w:tc>
        <w:tc>
          <w:tcPr>
            <w:tcW w:w="745" w:type="dxa"/>
            <w:shd w:val="clear" w:color="auto" w:fill="auto"/>
            <w:vAlign w:val="center"/>
          </w:tcPr>
          <w:p w14:paraId="2150A2A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0.24</w:t>
            </w:r>
          </w:p>
        </w:tc>
        <w:tc>
          <w:tcPr>
            <w:tcW w:w="460" w:type="dxa"/>
            <w:shd w:val="clear" w:color="auto" w:fill="auto"/>
            <w:vAlign w:val="center"/>
          </w:tcPr>
          <w:p w14:paraId="2150A2A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A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530" w:type="dxa"/>
            <w:shd w:val="clear" w:color="auto" w:fill="auto"/>
            <w:vAlign w:val="center"/>
          </w:tcPr>
          <w:p w14:paraId="2150A2A7"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A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0.73</w:t>
            </w:r>
          </w:p>
        </w:tc>
        <w:tc>
          <w:tcPr>
            <w:tcW w:w="336" w:type="dxa"/>
            <w:shd w:val="clear" w:color="auto" w:fill="auto"/>
            <w:vAlign w:val="center"/>
          </w:tcPr>
          <w:p w14:paraId="2150A2A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A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0.42</w:t>
            </w:r>
          </w:p>
        </w:tc>
        <w:tc>
          <w:tcPr>
            <w:tcW w:w="469" w:type="dxa"/>
            <w:shd w:val="clear" w:color="auto" w:fill="auto"/>
            <w:vAlign w:val="center"/>
          </w:tcPr>
          <w:p w14:paraId="2150A2AB"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A2A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0.95</w:t>
            </w:r>
          </w:p>
        </w:tc>
        <w:tc>
          <w:tcPr>
            <w:tcW w:w="388" w:type="dxa"/>
            <w:shd w:val="clear" w:color="auto" w:fill="auto"/>
            <w:vAlign w:val="center"/>
          </w:tcPr>
          <w:p w14:paraId="2150A2A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A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0.69</w:t>
            </w:r>
          </w:p>
        </w:tc>
        <w:tc>
          <w:tcPr>
            <w:tcW w:w="469" w:type="dxa"/>
            <w:shd w:val="clear" w:color="auto" w:fill="auto"/>
            <w:vAlign w:val="center"/>
          </w:tcPr>
          <w:p w14:paraId="2150A2AF"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B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2C0" w14:textId="77777777">
        <w:trPr>
          <w:trHeight w:val="806"/>
        </w:trPr>
        <w:tc>
          <w:tcPr>
            <w:tcW w:w="1853" w:type="dxa"/>
            <w:shd w:val="clear" w:color="auto" w:fill="auto"/>
            <w:vAlign w:val="center"/>
          </w:tcPr>
          <w:p w14:paraId="2150A2B2"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color w:val="000000"/>
              </w:rPr>
              <w:t>lipoxygenase 3, LOX3</w:t>
            </w:r>
          </w:p>
        </w:tc>
        <w:tc>
          <w:tcPr>
            <w:tcW w:w="745" w:type="dxa"/>
            <w:shd w:val="clear" w:color="auto" w:fill="auto"/>
            <w:vAlign w:val="center"/>
          </w:tcPr>
          <w:p w14:paraId="2150A2B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0.50</w:t>
            </w:r>
          </w:p>
        </w:tc>
        <w:tc>
          <w:tcPr>
            <w:tcW w:w="460" w:type="dxa"/>
            <w:shd w:val="clear" w:color="auto" w:fill="auto"/>
            <w:vAlign w:val="center"/>
          </w:tcPr>
          <w:p w14:paraId="2150A2B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B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0.98</w:t>
            </w:r>
          </w:p>
        </w:tc>
        <w:tc>
          <w:tcPr>
            <w:tcW w:w="530" w:type="dxa"/>
            <w:shd w:val="clear" w:color="auto" w:fill="auto"/>
            <w:vAlign w:val="center"/>
          </w:tcPr>
          <w:p w14:paraId="2150A2B6"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B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1.34</w:t>
            </w:r>
          </w:p>
        </w:tc>
        <w:tc>
          <w:tcPr>
            <w:tcW w:w="336" w:type="dxa"/>
            <w:shd w:val="clear" w:color="auto" w:fill="auto"/>
            <w:vAlign w:val="center"/>
          </w:tcPr>
          <w:p w14:paraId="2150A2B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B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0.33</w:t>
            </w:r>
          </w:p>
        </w:tc>
        <w:tc>
          <w:tcPr>
            <w:tcW w:w="469" w:type="dxa"/>
            <w:shd w:val="clear" w:color="auto" w:fill="auto"/>
            <w:vAlign w:val="center"/>
          </w:tcPr>
          <w:p w14:paraId="2150A2BA"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A2B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0.45</w:t>
            </w:r>
          </w:p>
        </w:tc>
        <w:tc>
          <w:tcPr>
            <w:tcW w:w="388" w:type="dxa"/>
            <w:shd w:val="clear" w:color="auto" w:fill="auto"/>
            <w:vAlign w:val="center"/>
          </w:tcPr>
          <w:p w14:paraId="2150A2B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B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0.81</w:t>
            </w:r>
          </w:p>
        </w:tc>
        <w:tc>
          <w:tcPr>
            <w:tcW w:w="469" w:type="dxa"/>
            <w:shd w:val="clear" w:color="auto" w:fill="auto"/>
            <w:vAlign w:val="center"/>
          </w:tcPr>
          <w:p w14:paraId="2150A2BE"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B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2CF" w14:textId="77777777">
        <w:trPr>
          <w:trHeight w:val="806"/>
        </w:trPr>
        <w:tc>
          <w:tcPr>
            <w:tcW w:w="1853" w:type="dxa"/>
            <w:shd w:val="clear" w:color="auto" w:fill="auto"/>
            <w:vAlign w:val="center"/>
          </w:tcPr>
          <w:p w14:paraId="2150A2C1"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rPr>
              <w:t>ACC synthase 2, ACS2</w:t>
            </w:r>
          </w:p>
        </w:tc>
        <w:tc>
          <w:tcPr>
            <w:tcW w:w="745" w:type="dxa"/>
            <w:shd w:val="clear" w:color="auto" w:fill="auto"/>
            <w:vAlign w:val="center"/>
          </w:tcPr>
          <w:p w14:paraId="2150A2C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2.37</w:t>
            </w:r>
          </w:p>
        </w:tc>
        <w:tc>
          <w:tcPr>
            <w:tcW w:w="460" w:type="dxa"/>
            <w:shd w:val="clear" w:color="auto" w:fill="auto"/>
            <w:vAlign w:val="center"/>
          </w:tcPr>
          <w:p w14:paraId="2150A2C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C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0.23</w:t>
            </w:r>
          </w:p>
        </w:tc>
        <w:tc>
          <w:tcPr>
            <w:tcW w:w="530" w:type="dxa"/>
            <w:shd w:val="clear" w:color="auto" w:fill="auto"/>
            <w:vAlign w:val="center"/>
          </w:tcPr>
          <w:p w14:paraId="2150A2C5"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C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3.90</w:t>
            </w:r>
          </w:p>
        </w:tc>
        <w:tc>
          <w:tcPr>
            <w:tcW w:w="336" w:type="dxa"/>
            <w:shd w:val="clear" w:color="auto" w:fill="auto"/>
            <w:vAlign w:val="center"/>
          </w:tcPr>
          <w:p w14:paraId="2150A2C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C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0.10</w:t>
            </w:r>
          </w:p>
        </w:tc>
        <w:tc>
          <w:tcPr>
            <w:tcW w:w="469" w:type="dxa"/>
            <w:shd w:val="clear" w:color="auto" w:fill="auto"/>
            <w:vAlign w:val="center"/>
          </w:tcPr>
          <w:p w14:paraId="2150A2C9"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A2C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0.48</w:t>
            </w:r>
          </w:p>
        </w:tc>
        <w:tc>
          <w:tcPr>
            <w:tcW w:w="388" w:type="dxa"/>
            <w:shd w:val="clear" w:color="auto" w:fill="auto"/>
            <w:vAlign w:val="center"/>
          </w:tcPr>
          <w:p w14:paraId="2150A2C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C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0.81</w:t>
            </w:r>
          </w:p>
        </w:tc>
        <w:tc>
          <w:tcPr>
            <w:tcW w:w="469" w:type="dxa"/>
            <w:shd w:val="clear" w:color="auto" w:fill="auto"/>
            <w:vAlign w:val="center"/>
          </w:tcPr>
          <w:p w14:paraId="2150A2CD"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C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2DE" w14:textId="77777777">
        <w:trPr>
          <w:trHeight w:val="806"/>
        </w:trPr>
        <w:tc>
          <w:tcPr>
            <w:tcW w:w="1853" w:type="dxa"/>
            <w:shd w:val="clear" w:color="auto" w:fill="auto"/>
            <w:vAlign w:val="center"/>
          </w:tcPr>
          <w:p w14:paraId="2150A2D0" w14:textId="77777777" w:rsidR="00E7693B" w:rsidRPr="00E7693B" w:rsidRDefault="00E7693B">
            <w:pPr>
              <w:rPr>
                <w:rFonts w:ascii="Times New Roman" w:hAnsi="Times New Roman" w:cs="Times New Roman"/>
                <w:i/>
                <w:color w:val="000000"/>
              </w:rPr>
            </w:pPr>
            <w:r w:rsidRPr="00E7693B">
              <w:rPr>
                <w:rFonts w:ascii="Times New Roman" w:hAnsi="Times New Roman" w:cs="Times New Roman"/>
                <w:i/>
              </w:rPr>
              <w:t>plant defensin 3, PDF3</w:t>
            </w:r>
          </w:p>
        </w:tc>
        <w:tc>
          <w:tcPr>
            <w:tcW w:w="745" w:type="dxa"/>
            <w:shd w:val="clear" w:color="auto" w:fill="auto"/>
            <w:vAlign w:val="center"/>
          </w:tcPr>
          <w:p w14:paraId="2150A2D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2.34</w:t>
            </w:r>
          </w:p>
        </w:tc>
        <w:tc>
          <w:tcPr>
            <w:tcW w:w="460" w:type="dxa"/>
            <w:shd w:val="clear" w:color="auto" w:fill="auto"/>
            <w:vAlign w:val="center"/>
          </w:tcPr>
          <w:p w14:paraId="2150A2D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D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0.23</w:t>
            </w:r>
          </w:p>
        </w:tc>
        <w:tc>
          <w:tcPr>
            <w:tcW w:w="530" w:type="dxa"/>
            <w:shd w:val="clear" w:color="auto" w:fill="auto"/>
            <w:vAlign w:val="center"/>
          </w:tcPr>
          <w:p w14:paraId="2150A2D4"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D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7.15</w:t>
            </w:r>
          </w:p>
        </w:tc>
        <w:tc>
          <w:tcPr>
            <w:tcW w:w="336" w:type="dxa"/>
            <w:shd w:val="clear" w:color="auto" w:fill="auto"/>
            <w:vAlign w:val="center"/>
          </w:tcPr>
          <w:p w14:paraId="2150A2D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D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0.04</w:t>
            </w:r>
          </w:p>
        </w:tc>
        <w:tc>
          <w:tcPr>
            <w:tcW w:w="469" w:type="dxa"/>
            <w:shd w:val="clear" w:color="auto" w:fill="auto"/>
            <w:vAlign w:val="center"/>
          </w:tcPr>
          <w:p w14:paraId="2150A2D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42" w:type="dxa"/>
            <w:shd w:val="clear" w:color="auto" w:fill="auto"/>
            <w:vAlign w:val="center"/>
          </w:tcPr>
          <w:p w14:paraId="2150A2D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1.84</w:t>
            </w:r>
          </w:p>
        </w:tc>
        <w:tc>
          <w:tcPr>
            <w:tcW w:w="388" w:type="dxa"/>
            <w:shd w:val="clear" w:color="auto" w:fill="auto"/>
            <w:vAlign w:val="center"/>
          </w:tcPr>
          <w:p w14:paraId="2150A2D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D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0.69</w:t>
            </w:r>
          </w:p>
        </w:tc>
        <w:tc>
          <w:tcPr>
            <w:tcW w:w="469" w:type="dxa"/>
            <w:shd w:val="clear" w:color="auto" w:fill="auto"/>
            <w:vAlign w:val="center"/>
          </w:tcPr>
          <w:p w14:paraId="2150A2DC"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D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2ED" w14:textId="77777777">
        <w:trPr>
          <w:trHeight w:val="806"/>
        </w:trPr>
        <w:tc>
          <w:tcPr>
            <w:tcW w:w="1853" w:type="dxa"/>
            <w:shd w:val="clear" w:color="auto" w:fill="auto"/>
            <w:vAlign w:val="center"/>
          </w:tcPr>
          <w:p w14:paraId="2150A2DF" w14:textId="77777777" w:rsidR="00E7693B" w:rsidRPr="00E7693B" w:rsidRDefault="00E7693B">
            <w:pPr>
              <w:spacing w:after="240"/>
              <w:rPr>
                <w:rFonts w:ascii="Times New Roman" w:hAnsi="Times New Roman" w:cs="Times New Roman"/>
                <w:i/>
                <w:color w:val="000000"/>
              </w:rPr>
            </w:pPr>
            <w:r w:rsidRPr="00E7693B">
              <w:rPr>
                <w:rFonts w:ascii="Times New Roman" w:hAnsi="Times New Roman" w:cs="Times New Roman"/>
                <w:i/>
              </w:rPr>
              <w:t>pathogenesis-related 4, PR4</w:t>
            </w:r>
          </w:p>
        </w:tc>
        <w:tc>
          <w:tcPr>
            <w:tcW w:w="745" w:type="dxa"/>
            <w:shd w:val="clear" w:color="auto" w:fill="auto"/>
            <w:vAlign w:val="center"/>
          </w:tcPr>
          <w:p w14:paraId="2150A2E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1.06</w:t>
            </w:r>
          </w:p>
        </w:tc>
        <w:tc>
          <w:tcPr>
            <w:tcW w:w="460" w:type="dxa"/>
            <w:shd w:val="clear" w:color="auto" w:fill="auto"/>
            <w:vAlign w:val="center"/>
          </w:tcPr>
          <w:p w14:paraId="2150A2E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E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0.63</w:t>
            </w:r>
          </w:p>
        </w:tc>
        <w:tc>
          <w:tcPr>
            <w:tcW w:w="530" w:type="dxa"/>
            <w:shd w:val="clear" w:color="auto" w:fill="auto"/>
            <w:vAlign w:val="center"/>
          </w:tcPr>
          <w:p w14:paraId="2150A2E3"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E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7.95</w:t>
            </w:r>
          </w:p>
        </w:tc>
        <w:tc>
          <w:tcPr>
            <w:tcW w:w="336" w:type="dxa"/>
            <w:shd w:val="clear" w:color="auto" w:fill="auto"/>
            <w:vAlign w:val="center"/>
          </w:tcPr>
          <w:p w14:paraId="2150A2E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E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0.04</w:t>
            </w:r>
          </w:p>
        </w:tc>
        <w:tc>
          <w:tcPr>
            <w:tcW w:w="469" w:type="dxa"/>
            <w:shd w:val="clear" w:color="auto" w:fill="auto"/>
            <w:vAlign w:val="center"/>
          </w:tcPr>
          <w:p w14:paraId="2150A2E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42" w:type="dxa"/>
            <w:shd w:val="clear" w:color="auto" w:fill="auto"/>
            <w:vAlign w:val="center"/>
          </w:tcPr>
          <w:p w14:paraId="2150A2E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1.14</w:t>
            </w:r>
          </w:p>
        </w:tc>
        <w:tc>
          <w:tcPr>
            <w:tcW w:w="388" w:type="dxa"/>
            <w:shd w:val="clear" w:color="auto" w:fill="auto"/>
            <w:vAlign w:val="center"/>
          </w:tcPr>
          <w:p w14:paraId="2150A2E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E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0.69</w:t>
            </w:r>
          </w:p>
        </w:tc>
        <w:tc>
          <w:tcPr>
            <w:tcW w:w="469" w:type="dxa"/>
            <w:shd w:val="clear" w:color="auto" w:fill="auto"/>
            <w:vAlign w:val="center"/>
          </w:tcPr>
          <w:p w14:paraId="2150A2EB"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E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2FC" w14:textId="77777777">
        <w:trPr>
          <w:trHeight w:val="806"/>
        </w:trPr>
        <w:tc>
          <w:tcPr>
            <w:tcW w:w="1853" w:type="dxa"/>
            <w:shd w:val="clear" w:color="auto" w:fill="auto"/>
            <w:vAlign w:val="center"/>
          </w:tcPr>
          <w:p w14:paraId="2150A2EE" w14:textId="77777777" w:rsidR="00E7693B" w:rsidRPr="00E7693B" w:rsidRDefault="00E7693B">
            <w:pPr>
              <w:spacing w:after="240"/>
              <w:rPr>
                <w:rFonts w:ascii="Times New Roman" w:hAnsi="Times New Roman" w:cs="Times New Roman"/>
                <w:i/>
              </w:rPr>
            </w:pPr>
            <w:r w:rsidRPr="00E7693B">
              <w:rPr>
                <w:rFonts w:ascii="Times New Roman" w:hAnsi="Times New Roman" w:cs="Times New Roman"/>
                <w:i/>
              </w:rPr>
              <w:t xml:space="preserve">respiratory burst oxidase homolog C, </w:t>
            </w:r>
            <w:proofErr w:type="spellStart"/>
            <w:r w:rsidRPr="00E7693B">
              <w:rPr>
                <w:rFonts w:ascii="Times New Roman" w:hAnsi="Times New Roman" w:cs="Times New Roman"/>
                <w:i/>
              </w:rPr>
              <w:t>rbohC</w:t>
            </w:r>
            <w:proofErr w:type="spellEnd"/>
          </w:p>
        </w:tc>
        <w:tc>
          <w:tcPr>
            <w:tcW w:w="745" w:type="dxa"/>
            <w:shd w:val="clear" w:color="auto" w:fill="auto"/>
            <w:vAlign w:val="center"/>
          </w:tcPr>
          <w:p w14:paraId="2150A2E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0.29</w:t>
            </w:r>
          </w:p>
        </w:tc>
        <w:tc>
          <w:tcPr>
            <w:tcW w:w="460" w:type="dxa"/>
            <w:shd w:val="clear" w:color="auto" w:fill="auto"/>
            <w:vAlign w:val="center"/>
          </w:tcPr>
          <w:p w14:paraId="2150A2F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2F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0.97</w:t>
            </w:r>
          </w:p>
        </w:tc>
        <w:tc>
          <w:tcPr>
            <w:tcW w:w="530" w:type="dxa"/>
            <w:shd w:val="clear" w:color="auto" w:fill="auto"/>
            <w:vAlign w:val="center"/>
          </w:tcPr>
          <w:p w14:paraId="2150A2F2"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2F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6.48</w:t>
            </w:r>
          </w:p>
        </w:tc>
        <w:tc>
          <w:tcPr>
            <w:tcW w:w="336" w:type="dxa"/>
            <w:shd w:val="clear" w:color="auto" w:fill="auto"/>
            <w:vAlign w:val="center"/>
          </w:tcPr>
          <w:p w14:paraId="2150A2F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2F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0.04</w:t>
            </w:r>
          </w:p>
        </w:tc>
        <w:tc>
          <w:tcPr>
            <w:tcW w:w="469" w:type="dxa"/>
            <w:shd w:val="clear" w:color="auto" w:fill="auto"/>
            <w:vAlign w:val="center"/>
          </w:tcPr>
          <w:p w14:paraId="2150A2F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42" w:type="dxa"/>
            <w:shd w:val="clear" w:color="auto" w:fill="auto"/>
            <w:vAlign w:val="center"/>
          </w:tcPr>
          <w:p w14:paraId="2150A2F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1.04</w:t>
            </w:r>
          </w:p>
        </w:tc>
        <w:tc>
          <w:tcPr>
            <w:tcW w:w="388" w:type="dxa"/>
            <w:shd w:val="clear" w:color="auto" w:fill="auto"/>
            <w:vAlign w:val="center"/>
          </w:tcPr>
          <w:p w14:paraId="2150A2F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2F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0.69</w:t>
            </w:r>
          </w:p>
        </w:tc>
        <w:tc>
          <w:tcPr>
            <w:tcW w:w="469" w:type="dxa"/>
            <w:shd w:val="clear" w:color="auto" w:fill="auto"/>
            <w:vAlign w:val="center"/>
          </w:tcPr>
          <w:p w14:paraId="2150A2FA"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2F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0B" w14:textId="77777777">
        <w:trPr>
          <w:trHeight w:val="806"/>
        </w:trPr>
        <w:tc>
          <w:tcPr>
            <w:tcW w:w="1853" w:type="dxa"/>
            <w:shd w:val="clear" w:color="auto" w:fill="auto"/>
            <w:vAlign w:val="center"/>
          </w:tcPr>
          <w:p w14:paraId="2150A2FD" w14:textId="77777777" w:rsidR="00E7693B" w:rsidRPr="00E7693B" w:rsidRDefault="00E7693B">
            <w:pPr>
              <w:spacing w:after="240"/>
              <w:rPr>
                <w:rFonts w:ascii="Times New Roman" w:hAnsi="Times New Roman" w:cs="Times New Roman"/>
                <w:i/>
              </w:rPr>
            </w:pPr>
            <w:r w:rsidRPr="00E7693B">
              <w:rPr>
                <w:rFonts w:ascii="Times New Roman" w:hAnsi="Times New Roman" w:cs="Times New Roman"/>
                <w:i/>
              </w:rPr>
              <w:t xml:space="preserve">respiratory burst oxidase homolog F, </w:t>
            </w:r>
            <w:proofErr w:type="spellStart"/>
            <w:r w:rsidRPr="00E7693B">
              <w:rPr>
                <w:rFonts w:ascii="Times New Roman" w:hAnsi="Times New Roman" w:cs="Times New Roman"/>
                <w:i/>
              </w:rPr>
              <w:t>rbohF</w:t>
            </w:r>
            <w:proofErr w:type="spellEnd"/>
          </w:p>
        </w:tc>
        <w:tc>
          <w:tcPr>
            <w:tcW w:w="745" w:type="dxa"/>
            <w:shd w:val="clear" w:color="auto" w:fill="auto"/>
            <w:vAlign w:val="center"/>
          </w:tcPr>
          <w:p w14:paraId="2150A2F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1.05</w:t>
            </w:r>
          </w:p>
        </w:tc>
        <w:tc>
          <w:tcPr>
            <w:tcW w:w="460" w:type="dxa"/>
            <w:shd w:val="clear" w:color="auto" w:fill="auto"/>
            <w:vAlign w:val="center"/>
          </w:tcPr>
          <w:p w14:paraId="2150A2F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602" w:type="dxa"/>
            <w:shd w:val="clear" w:color="auto" w:fill="auto"/>
            <w:vAlign w:val="center"/>
          </w:tcPr>
          <w:p w14:paraId="2150A30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0.63</w:t>
            </w:r>
          </w:p>
        </w:tc>
        <w:tc>
          <w:tcPr>
            <w:tcW w:w="530" w:type="dxa"/>
            <w:shd w:val="clear" w:color="auto" w:fill="auto"/>
            <w:vAlign w:val="center"/>
          </w:tcPr>
          <w:p w14:paraId="2150A301" w14:textId="77777777" w:rsidR="00E7693B" w:rsidRPr="00E7693B" w:rsidRDefault="00E7693B">
            <w:pPr>
              <w:jc w:val="center"/>
              <w:rPr>
                <w:rFonts w:ascii="Times New Roman" w:hAnsi="Times New Roman" w:cs="Times New Roman"/>
                <w:color w:val="000000"/>
              </w:rPr>
            </w:pPr>
          </w:p>
        </w:tc>
        <w:tc>
          <w:tcPr>
            <w:tcW w:w="682" w:type="dxa"/>
            <w:shd w:val="clear" w:color="auto" w:fill="auto"/>
            <w:vAlign w:val="center"/>
          </w:tcPr>
          <w:p w14:paraId="2150A30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3.30</w:t>
            </w:r>
          </w:p>
        </w:tc>
        <w:tc>
          <w:tcPr>
            <w:tcW w:w="336" w:type="dxa"/>
            <w:shd w:val="clear" w:color="auto" w:fill="auto"/>
            <w:vAlign w:val="center"/>
          </w:tcPr>
          <w:p w14:paraId="2150A30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shd w:val="clear" w:color="auto" w:fill="auto"/>
            <w:vAlign w:val="center"/>
          </w:tcPr>
          <w:p w14:paraId="2150A30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0.12</w:t>
            </w:r>
          </w:p>
        </w:tc>
        <w:tc>
          <w:tcPr>
            <w:tcW w:w="469" w:type="dxa"/>
            <w:shd w:val="clear" w:color="auto" w:fill="auto"/>
            <w:vAlign w:val="center"/>
          </w:tcPr>
          <w:p w14:paraId="2150A305" w14:textId="77777777" w:rsidR="00E7693B" w:rsidRPr="00E7693B" w:rsidRDefault="00E7693B">
            <w:pPr>
              <w:jc w:val="center"/>
              <w:rPr>
                <w:rFonts w:ascii="Times New Roman" w:hAnsi="Times New Roman" w:cs="Times New Roman"/>
                <w:color w:val="000000"/>
              </w:rPr>
            </w:pPr>
          </w:p>
        </w:tc>
        <w:tc>
          <w:tcPr>
            <w:tcW w:w="642" w:type="dxa"/>
            <w:shd w:val="clear" w:color="auto" w:fill="auto"/>
            <w:vAlign w:val="center"/>
          </w:tcPr>
          <w:p w14:paraId="2150A30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0.84</w:t>
            </w:r>
          </w:p>
        </w:tc>
        <w:tc>
          <w:tcPr>
            <w:tcW w:w="388" w:type="dxa"/>
            <w:shd w:val="clear" w:color="auto" w:fill="auto"/>
            <w:vAlign w:val="center"/>
          </w:tcPr>
          <w:p w14:paraId="2150A30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shd w:val="clear" w:color="auto" w:fill="auto"/>
            <w:vAlign w:val="center"/>
          </w:tcPr>
          <w:p w14:paraId="2150A30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0.69</w:t>
            </w:r>
          </w:p>
        </w:tc>
        <w:tc>
          <w:tcPr>
            <w:tcW w:w="469" w:type="dxa"/>
            <w:shd w:val="clear" w:color="auto" w:fill="auto"/>
            <w:vAlign w:val="center"/>
          </w:tcPr>
          <w:p w14:paraId="2150A309" w14:textId="77777777" w:rsidR="00E7693B" w:rsidRPr="00E7693B" w:rsidRDefault="00E7693B">
            <w:pPr>
              <w:jc w:val="center"/>
              <w:rPr>
                <w:rFonts w:ascii="Times New Roman" w:hAnsi="Times New Roman" w:cs="Times New Roman"/>
                <w:color w:val="000000"/>
              </w:rPr>
            </w:pPr>
          </w:p>
        </w:tc>
        <w:tc>
          <w:tcPr>
            <w:tcW w:w="974" w:type="dxa"/>
            <w:shd w:val="clear" w:color="auto" w:fill="auto"/>
            <w:vAlign w:val="center"/>
          </w:tcPr>
          <w:p w14:paraId="2150A30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1A" w14:textId="77777777">
        <w:trPr>
          <w:trHeight w:val="806"/>
        </w:trPr>
        <w:tc>
          <w:tcPr>
            <w:tcW w:w="1853" w:type="dxa"/>
            <w:tcBorders>
              <w:bottom w:val="single" w:sz="4" w:space="0" w:color="000000"/>
            </w:tcBorders>
            <w:shd w:val="clear" w:color="auto" w:fill="auto"/>
            <w:vAlign w:val="center"/>
          </w:tcPr>
          <w:p w14:paraId="2150A30C" w14:textId="77777777" w:rsidR="00E7693B" w:rsidRPr="00E7693B" w:rsidRDefault="00E7693B">
            <w:pPr>
              <w:rPr>
                <w:rFonts w:ascii="Times New Roman" w:hAnsi="Times New Roman" w:cs="Times New Roman"/>
                <w:i/>
              </w:rPr>
            </w:pP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internal transcribed spacer, </w:t>
            </w:r>
            <w:proofErr w:type="spellStart"/>
            <w:r w:rsidRPr="00E7693B">
              <w:rPr>
                <w:rFonts w:ascii="Times New Roman" w:hAnsi="Times New Roman" w:cs="Times New Roman"/>
                <w:i/>
              </w:rPr>
              <w:t>LmITS</w:t>
            </w:r>
            <w:proofErr w:type="spellEnd"/>
          </w:p>
        </w:tc>
        <w:tc>
          <w:tcPr>
            <w:tcW w:w="745" w:type="dxa"/>
            <w:tcBorders>
              <w:bottom w:val="single" w:sz="4" w:space="0" w:color="000000"/>
            </w:tcBorders>
            <w:shd w:val="clear" w:color="auto" w:fill="auto"/>
            <w:vAlign w:val="center"/>
          </w:tcPr>
          <w:p w14:paraId="2150A30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117.45</w:t>
            </w:r>
          </w:p>
        </w:tc>
        <w:tc>
          <w:tcPr>
            <w:tcW w:w="460" w:type="dxa"/>
            <w:tcBorders>
              <w:bottom w:val="single" w:sz="4" w:space="0" w:color="000000"/>
            </w:tcBorders>
            <w:shd w:val="clear" w:color="auto" w:fill="auto"/>
            <w:vAlign w:val="center"/>
          </w:tcPr>
          <w:p w14:paraId="2150A30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602" w:type="dxa"/>
            <w:tcBorders>
              <w:bottom w:val="single" w:sz="4" w:space="0" w:color="000000"/>
            </w:tcBorders>
            <w:shd w:val="clear" w:color="auto" w:fill="auto"/>
            <w:vAlign w:val="center"/>
          </w:tcPr>
          <w:p w14:paraId="2150A30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530" w:type="dxa"/>
            <w:tcBorders>
              <w:bottom w:val="single" w:sz="4" w:space="0" w:color="000000"/>
            </w:tcBorders>
            <w:shd w:val="clear" w:color="auto" w:fill="auto"/>
            <w:vAlign w:val="center"/>
          </w:tcPr>
          <w:p w14:paraId="2150A31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82" w:type="dxa"/>
            <w:tcBorders>
              <w:bottom w:val="single" w:sz="4" w:space="0" w:color="000000"/>
            </w:tcBorders>
            <w:shd w:val="clear" w:color="auto" w:fill="auto"/>
            <w:vAlign w:val="center"/>
          </w:tcPr>
          <w:p w14:paraId="2150A31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3.13</w:t>
            </w:r>
          </w:p>
        </w:tc>
        <w:tc>
          <w:tcPr>
            <w:tcW w:w="336" w:type="dxa"/>
            <w:tcBorders>
              <w:bottom w:val="single" w:sz="4" w:space="0" w:color="000000"/>
            </w:tcBorders>
            <w:shd w:val="clear" w:color="auto" w:fill="auto"/>
            <w:vAlign w:val="center"/>
          </w:tcPr>
          <w:p w14:paraId="2150A31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25" w:type="dxa"/>
            <w:tcBorders>
              <w:bottom w:val="single" w:sz="4" w:space="0" w:color="000000"/>
            </w:tcBorders>
            <w:shd w:val="clear" w:color="auto" w:fill="auto"/>
            <w:vAlign w:val="center"/>
          </w:tcPr>
          <w:p w14:paraId="2150A31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0.18</w:t>
            </w:r>
          </w:p>
        </w:tc>
        <w:tc>
          <w:tcPr>
            <w:tcW w:w="469" w:type="dxa"/>
            <w:tcBorders>
              <w:bottom w:val="single" w:sz="4" w:space="0" w:color="000000"/>
            </w:tcBorders>
            <w:shd w:val="clear" w:color="auto" w:fill="auto"/>
            <w:vAlign w:val="center"/>
          </w:tcPr>
          <w:p w14:paraId="2150A314" w14:textId="77777777" w:rsidR="00E7693B" w:rsidRPr="00E7693B" w:rsidRDefault="00E7693B">
            <w:pPr>
              <w:jc w:val="center"/>
              <w:rPr>
                <w:rFonts w:ascii="Times New Roman" w:hAnsi="Times New Roman" w:cs="Times New Roman"/>
                <w:color w:val="000000"/>
              </w:rPr>
            </w:pPr>
          </w:p>
        </w:tc>
        <w:tc>
          <w:tcPr>
            <w:tcW w:w="642" w:type="dxa"/>
            <w:tcBorders>
              <w:bottom w:val="single" w:sz="4" w:space="0" w:color="000000"/>
            </w:tcBorders>
            <w:shd w:val="clear" w:color="auto" w:fill="auto"/>
            <w:vAlign w:val="center"/>
          </w:tcPr>
          <w:p w14:paraId="2150A31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2.49</w:t>
            </w:r>
          </w:p>
        </w:tc>
        <w:tc>
          <w:tcPr>
            <w:tcW w:w="388" w:type="dxa"/>
            <w:tcBorders>
              <w:bottom w:val="single" w:sz="4" w:space="0" w:color="000000"/>
            </w:tcBorders>
            <w:shd w:val="clear" w:color="auto" w:fill="auto"/>
            <w:vAlign w:val="center"/>
          </w:tcPr>
          <w:p w14:paraId="2150A31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25" w:type="dxa"/>
            <w:tcBorders>
              <w:bottom w:val="single" w:sz="4" w:space="0" w:color="000000"/>
            </w:tcBorders>
            <w:shd w:val="clear" w:color="auto" w:fill="auto"/>
            <w:vAlign w:val="center"/>
          </w:tcPr>
          <w:p w14:paraId="2150A31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0.12</w:t>
            </w:r>
          </w:p>
        </w:tc>
        <w:tc>
          <w:tcPr>
            <w:tcW w:w="469" w:type="dxa"/>
            <w:tcBorders>
              <w:bottom w:val="single" w:sz="4" w:space="0" w:color="000000"/>
            </w:tcBorders>
            <w:shd w:val="clear" w:color="auto" w:fill="auto"/>
            <w:vAlign w:val="center"/>
          </w:tcPr>
          <w:p w14:paraId="2150A318" w14:textId="77777777" w:rsidR="00E7693B" w:rsidRPr="00E7693B" w:rsidRDefault="00E7693B">
            <w:pPr>
              <w:jc w:val="center"/>
              <w:rPr>
                <w:rFonts w:ascii="Times New Roman" w:hAnsi="Times New Roman" w:cs="Times New Roman"/>
                <w:color w:val="000000"/>
              </w:rPr>
            </w:pPr>
          </w:p>
        </w:tc>
        <w:tc>
          <w:tcPr>
            <w:tcW w:w="974" w:type="dxa"/>
            <w:tcBorders>
              <w:bottom w:val="single" w:sz="4" w:space="0" w:color="000000"/>
            </w:tcBorders>
            <w:shd w:val="clear" w:color="auto" w:fill="auto"/>
            <w:vAlign w:val="center"/>
          </w:tcPr>
          <w:p w14:paraId="2150A31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w:t>
            </w:r>
          </w:p>
        </w:tc>
      </w:tr>
    </w:tbl>
    <w:p w14:paraId="2150A31B" w14:textId="77777777" w:rsidR="00E7693B" w:rsidRPr="00E7693B" w:rsidRDefault="00E7693B">
      <w:pPr>
        <w:spacing w:line="360" w:lineRule="auto"/>
        <w:ind w:firstLine="576"/>
        <w:jc w:val="both"/>
        <w:rPr>
          <w:rFonts w:ascii="Times New Roman" w:hAnsi="Times New Roman" w:cs="Times New Roman"/>
        </w:rPr>
      </w:pPr>
    </w:p>
    <w:p w14:paraId="2150A31C" w14:textId="77777777" w:rsidR="00E7693B" w:rsidRPr="005B6C8D" w:rsidRDefault="00E7693B" w:rsidP="005B6C8D">
      <w:pPr>
        <w:spacing w:after="0" w:line="360" w:lineRule="auto"/>
        <w:ind w:firstLine="576"/>
        <w:jc w:val="both"/>
        <w:rPr>
          <w:rFonts w:ascii="Times New Roman" w:hAnsi="Times New Roman" w:cs="Times New Roman"/>
          <w:sz w:val="24"/>
          <w:szCs w:val="24"/>
        </w:rPr>
      </w:pPr>
      <w:r w:rsidRPr="005B6C8D">
        <w:rPr>
          <w:rFonts w:ascii="Times New Roman" w:hAnsi="Times New Roman" w:cs="Times New Roman"/>
          <w:sz w:val="24"/>
          <w:szCs w:val="24"/>
        </w:rPr>
        <w:t xml:space="preserve">Three individual GLSs from the group of aliphatic-derived GLSs, </w:t>
      </w:r>
      <w:r w:rsidRPr="005B6C8D">
        <w:rPr>
          <w:rFonts w:ascii="Times New Roman" w:hAnsi="Times New Roman" w:cs="Times New Roman"/>
          <w:i/>
          <w:sz w:val="24"/>
          <w:szCs w:val="24"/>
        </w:rPr>
        <w:t>i.e.</w:t>
      </w:r>
      <w:r w:rsidRPr="005B6C8D">
        <w:rPr>
          <w:rFonts w:ascii="Times New Roman" w:hAnsi="Times New Roman" w:cs="Times New Roman"/>
          <w:sz w:val="24"/>
          <w:szCs w:val="24"/>
        </w:rPr>
        <w:t xml:space="preserve"> </w:t>
      </w:r>
      <w:proofErr w:type="spellStart"/>
      <w:r w:rsidRPr="005B6C8D">
        <w:rPr>
          <w:rFonts w:ascii="Times New Roman" w:hAnsi="Times New Roman" w:cs="Times New Roman"/>
          <w:sz w:val="24"/>
          <w:szCs w:val="24"/>
        </w:rPr>
        <w:t>glucoiberin</w:t>
      </w:r>
      <w:proofErr w:type="spellEnd"/>
      <w:r w:rsidRPr="005B6C8D">
        <w:rPr>
          <w:rFonts w:ascii="Times New Roman" w:hAnsi="Times New Roman" w:cs="Times New Roman"/>
          <w:sz w:val="24"/>
          <w:szCs w:val="24"/>
        </w:rPr>
        <w:t xml:space="preserve">, sinigrin and </w:t>
      </w:r>
      <w:proofErr w:type="spellStart"/>
      <w:r w:rsidRPr="005B6C8D">
        <w:rPr>
          <w:rFonts w:ascii="Times New Roman" w:hAnsi="Times New Roman" w:cs="Times New Roman"/>
          <w:sz w:val="24"/>
          <w:szCs w:val="24"/>
        </w:rPr>
        <w:t>glucoibarin</w:t>
      </w:r>
      <w:proofErr w:type="spellEnd"/>
      <w:r w:rsidRPr="005B6C8D">
        <w:rPr>
          <w:rFonts w:ascii="Times New Roman" w:hAnsi="Times New Roman" w:cs="Times New Roman"/>
          <w:sz w:val="24"/>
          <w:szCs w:val="24"/>
        </w:rPr>
        <w:t xml:space="preserve">, and three indole-derived GLS compounds, </w:t>
      </w:r>
      <w:r w:rsidRPr="005B6C8D">
        <w:rPr>
          <w:rFonts w:ascii="Times New Roman" w:hAnsi="Times New Roman" w:cs="Times New Roman"/>
          <w:i/>
          <w:sz w:val="24"/>
          <w:szCs w:val="24"/>
        </w:rPr>
        <w:t>i.e.</w:t>
      </w:r>
      <w:r w:rsidRPr="005B6C8D">
        <w:rPr>
          <w:rFonts w:ascii="Times New Roman" w:hAnsi="Times New Roman" w:cs="Times New Roman"/>
          <w:sz w:val="24"/>
          <w:szCs w:val="24"/>
        </w:rPr>
        <w:t xml:space="preserve"> </w:t>
      </w:r>
      <w:proofErr w:type="spellStart"/>
      <w:r w:rsidRPr="005B6C8D">
        <w:rPr>
          <w:rFonts w:ascii="Times New Roman" w:hAnsi="Times New Roman" w:cs="Times New Roman"/>
          <w:sz w:val="24"/>
          <w:szCs w:val="24"/>
        </w:rPr>
        <w:t>glucobrassicin</w:t>
      </w:r>
      <w:proofErr w:type="spellEnd"/>
      <w:r w:rsidRPr="005B6C8D">
        <w:rPr>
          <w:rFonts w:ascii="Times New Roman" w:hAnsi="Times New Roman" w:cs="Times New Roman"/>
          <w:sz w:val="24"/>
          <w:szCs w:val="24"/>
        </w:rPr>
        <w:t xml:space="preserve">, 4-methoxyglucobrassicin and </w:t>
      </w:r>
      <w:proofErr w:type="spellStart"/>
      <w:r w:rsidRPr="005B6C8D">
        <w:rPr>
          <w:rFonts w:ascii="Times New Roman" w:hAnsi="Times New Roman" w:cs="Times New Roman"/>
          <w:sz w:val="24"/>
          <w:szCs w:val="24"/>
        </w:rPr>
        <w:t>neoglucobrassicin</w:t>
      </w:r>
      <w:proofErr w:type="spellEnd"/>
      <w:r w:rsidRPr="005B6C8D">
        <w:rPr>
          <w:rFonts w:ascii="Times New Roman" w:hAnsi="Times New Roman" w:cs="Times New Roman"/>
          <w:sz w:val="24"/>
          <w:szCs w:val="24"/>
        </w:rPr>
        <w:t xml:space="preserve"> were analysed. The chemical names of all the compounds are listed in Tab. 8 and 9.</w:t>
      </w:r>
    </w:p>
    <w:p w14:paraId="2150A31D" w14:textId="77777777" w:rsidR="00E7693B" w:rsidRPr="005B6C8D" w:rsidRDefault="00E7693B" w:rsidP="005B6C8D">
      <w:pPr>
        <w:spacing w:after="0" w:line="360" w:lineRule="auto"/>
        <w:ind w:firstLine="720"/>
        <w:jc w:val="both"/>
        <w:rPr>
          <w:rFonts w:ascii="Times New Roman" w:hAnsi="Times New Roman" w:cs="Times New Roman"/>
          <w:sz w:val="24"/>
          <w:szCs w:val="24"/>
        </w:rPr>
      </w:pPr>
      <w:r w:rsidRPr="005B6C8D">
        <w:rPr>
          <w:rFonts w:ascii="Times New Roman" w:hAnsi="Times New Roman" w:cs="Times New Roman"/>
          <w:sz w:val="24"/>
          <w:szCs w:val="24"/>
        </w:rPr>
        <w:t xml:space="preserve">Total GLS, AG and IG level was not significantly altered by the treatment and the interaction between time and treatment in the first biological repetition (Fig. 39; Tab. 8). The content of the aliphatic </w:t>
      </w:r>
      <w:proofErr w:type="spellStart"/>
      <w:r w:rsidRPr="005B6C8D">
        <w:rPr>
          <w:rFonts w:ascii="Times New Roman" w:hAnsi="Times New Roman" w:cs="Times New Roman"/>
          <w:sz w:val="24"/>
          <w:szCs w:val="24"/>
        </w:rPr>
        <w:t>glucoiberin</w:t>
      </w:r>
      <w:proofErr w:type="spellEnd"/>
      <w:r w:rsidRPr="005B6C8D">
        <w:rPr>
          <w:rFonts w:ascii="Times New Roman" w:hAnsi="Times New Roman" w:cs="Times New Roman"/>
          <w:sz w:val="24"/>
          <w:szCs w:val="24"/>
        </w:rPr>
        <w:t xml:space="preserve"> was significantly higher in 0.05 % Triton X-treated plants at 0 dpi than in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sz w:val="24"/>
          <w:szCs w:val="24"/>
        </w:rPr>
        <w:t xml:space="preserve">-inoculated and distilled water-treated plants (Fig. 39; Tab. 8). The content of </w:t>
      </w:r>
      <w:proofErr w:type="spellStart"/>
      <w:r w:rsidRPr="005B6C8D">
        <w:rPr>
          <w:rFonts w:ascii="Times New Roman" w:hAnsi="Times New Roman" w:cs="Times New Roman"/>
          <w:sz w:val="24"/>
          <w:szCs w:val="24"/>
        </w:rPr>
        <w:t>glucoibarin</w:t>
      </w:r>
      <w:proofErr w:type="spellEnd"/>
      <w:r w:rsidRPr="005B6C8D">
        <w:rPr>
          <w:rFonts w:ascii="Times New Roman" w:hAnsi="Times New Roman" w:cs="Times New Roman"/>
          <w:sz w:val="24"/>
          <w:szCs w:val="24"/>
        </w:rPr>
        <w:t xml:space="preserve"> differed significantly between treatments only at 14 dpi: higher content was detected in 0.05 % Triton X-treated plants (0.05% TrX_dH2O, 0.05% </w:t>
      </w:r>
      <w:proofErr w:type="spellStart"/>
      <w:r w:rsidRPr="005B6C8D">
        <w:rPr>
          <w:rFonts w:ascii="Times New Roman" w:hAnsi="Times New Roman" w:cs="Times New Roman"/>
          <w:sz w:val="24"/>
          <w:szCs w:val="24"/>
        </w:rPr>
        <w:t>TrX_</w:t>
      </w:r>
      <w:r w:rsidRPr="005B6C8D">
        <w:rPr>
          <w:rFonts w:ascii="Times New Roman" w:hAnsi="Times New Roman" w:cs="Times New Roman"/>
          <w:i/>
          <w:sz w:val="24"/>
          <w:szCs w:val="24"/>
        </w:rPr>
        <w:t>L.m</w:t>
      </w:r>
      <w:proofErr w:type="spellEnd"/>
      <w:r w:rsidRPr="005B6C8D">
        <w:rPr>
          <w:rFonts w:ascii="Times New Roman" w:hAnsi="Times New Roman" w:cs="Times New Roman"/>
          <w:i/>
          <w:sz w:val="24"/>
          <w:szCs w:val="24"/>
        </w:rPr>
        <w:t>.</w:t>
      </w:r>
      <w:r w:rsidRPr="005B6C8D">
        <w:rPr>
          <w:rFonts w:ascii="Times New Roman" w:hAnsi="Times New Roman" w:cs="Times New Roman"/>
          <w:sz w:val="24"/>
          <w:szCs w:val="24"/>
        </w:rPr>
        <w:t xml:space="preserve">) compared to other treatments (Fig. 39; Tab. 8). From all the tested indole GLSs, only 4-methoxyglucobrassicin showed a significant alteration, and only at 14 dpi: the level was higher in 0.05 % Triton X and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(0.05% </w:t>
      </w:r>
      <w:proofErr w:type="spellStart"/>
      <w:r w:rsidRPr="005B6C8D">
        <w:rPr>
          <w:rFonts w:ascii="Times New Roman" w:hAnsi="Times New Roman" w:cs="Times New Roman"/>
          <w:sz w:val="24"/>
          <w:szCs w:val="24"/>
        </w:rPr>
        <w:t>TrX_</w:t>
      </w:r>
      <w:r w:rsidRPr="005B6C8D">
        <w:rPr>
          <w:rFonts w:ascii="Times New Roman" w:hAnsi="Times New Roman" w:cs="Times New Roman"/>
          <w:i/>
          <w:sz w:val="24"/>
          <w:szCs w:val="24"/>
        </w:rPr>
        <w:t>L.m</w:t>
      </w:r>
      <w:proofErr w:type="spellEnd"/>
      <w:r w:rsidRPr="005B6C8D">
        <w:rPr>
          <w:rFonts w:ascii="Times New Roman" w:hAnsi="Times New Roman" w:cs="Times New Roman"/>
          <w:i/>
          <w:sz w:val="24"/>
          <w:szCs w:val="24"/>
        </w:rPr>
        <w:t>.</w:t>
      </w:r>
      <w:r w:rsidRPr="005B6C8D">
        <w:rPr>
          <w:rFonts w:ascii="Times New Roman" w:hAnsi="Times New Roman" w:cs="Times New Roman"/>
          <w:sz w:val="24"/>
          <w:szCs w:val="24"/>
        </w:rPr>
        <w:t xml:space="preserve">) samples compared to distilled water and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(0.05% dH2O_</w:t>
      </w:r>
      <w:r w:rsidRPr="005B6C8D">
        <w:rPr>
          <w:rFonts w:ascii="Times New Roman" w:hAnsi="Times New Roman" w:cs="Times New Roman"/>
          <w:i/>
          <w:sz w:val="24"/>
          <w:szCs w:val="24"/>
        </w:rPr>
        <w:t>L.m.</w:t>
      </w:r>
      <w:r w:rsidRPr="005B6C8D">
        <w:rPr>
          <w:rFonts w:ascii="Times New Roman" w:hAnsi="Times New Roman" w:cs="Times New Roman"/>
          <w:sz w:val="24"/>
          <w:szCs w:val="24"/>
        </w:rPr>
        <w:t>) (Fig. 39; Tab. 8).</w:t>
      </w:r>
    </w:p>
    <w:p w14:paraId="2150A31E" w14:textId="77777777" w:rsidR="00E7693B" w:rsidRPr="005B6C8D" w:rsidRDefault="00E7693B">
      <w:pPr>
        <w:spacing w:after="240" w:line="360" w:lineRule="auto"/>
        <w:ind w:firstLine="720"/>
        <w:jc w:val="both"/>
        <w:rPr>
          <w:rFonts w:ascii="Times New Roman" w:hAnsi="Times New Roman" w:cs="Times New Roman"/>
          <w:color w:val="000000"/>
          <w:sz w:val="24"/>
          <w:szCs w:val="24"/>
          <w:highlight w:val="white"/>
        </w:rPr>
      </w:pPr>
      <w:r w:rsidRPr="005B6C8D">
        <w:rPr>
          <w:rFonts w:ascii="Times New Roman" w:hAnsi="Times New Roman" w:cs="Times New Roman"/>
          <w:color w:val="000000"/>
          <w:sz w:val="24"/>
          <w:szCs w:val="24"/>
          <w:highlight w:val="white"/>
        </w:rPr>
        <w:t xml:space="preserve">Total GLS and IG level was not altered in the second biological repetition; however, the total AG level showed significant differences at 14 dpi, specifically sinigrin: the level of the compound was significantly higher in </w:t>
      </w:r>
      <w:r w:rsidRPr="005B6C8D">
        <w:rPr>
          <w:rFonts w:ascii="Times New Roman" w:hAnsi="Times New Roman" w:cs="Times New Roman"/>
          <w:sz w:val="24"/>
          <w:szCs w:val="24"/>
        </w:rPr>
        <w:t>0.05 % Triton X and distilled water-treated (0.05% TrX_dH2O) plants compared to other treatments. The level of the other analysed individual compounds was not changed (Fig. 40, Tab. 9).</w:t>
      </w:r>
    </w:p>
    <w:p w14:paraId="2150A31F" w14:textId="79982C48" w:rsidR="00E7693B" w:rsidRPr="00E7693B" w:rsidRDefault="005B6C8D">
      <w:pPr>
        <w:spacing w:after="240" w:line="360" w:lineRule="auto"/>
        <w:jc w:val="center"/>
        <w:rPr>
          <w:rFonts w:ascii="Times New Roman" w:hAnsi="Times New Roman" w:cs="Times New Roman"/>
        </w:rPr>
      </w:pPr>
      <w:r>
        <w:rPr>
          <w:noProof/>
          <w:lang w:val="en-US"/>
        </w:rPr>
        <w:drawing>
          <wp:inline distT="0" distB="0" distL="0" distR="0" wp14:anchorId="5DE7BBF1" wp14:editId="1E21FB13">
            <wp:extent cx="5589109" cy="4225734"/>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0"/>
                    <a:srcRect l="2070" t="6228"/>
                    <a:stretch>
                      <a:fillRect/>
                    </a:stretch>
                  </pic:blipFill>
                  <pic:spPr>
                    <a:xfrm>
                      <a:off x="0" y="0"/>
                      <a:ext cx="5589109" cy="4225734"/>
                    </a:xfrm>
                    <a:prstGeom prst="rect">
                      <a:avLst/>
                    </a:prstGeom>
                    <a:ln/>
                  </pic:spPr>
                </pic:pic>
              </a:graphicData>
            </a:graphic>
          </wp:inline>
        </w:drawing>
      </w:r>
    </w:p>
    <w:p w14:paraId="2150A320" w14:textId="0E8AF0DB" w:rsidR="00E7693B" w:rsidRPr="00E7693B" w:rsidRDefault="00E7693B">
      <w:pPr>
        <w:spacing w:before="240" w:after="240" w:line="360" w:lineRule="auto"/>
        <w:jc w:val="both"/>
        <w:rPr>
          <w:rFonts w:ascii="Times New Roman" w:hAnsi="Times New Roman" w:cs="Times New Roman"/>
          <w:highlight w:val="white"/>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39</w:t>
      </w:r>
      <w:r w:rsidRPr="00E7693B">
        <w:rPr>
          <w:rFonts w:ascii="Times New Roman" w:hAnsi="Times New Roman" w:cs="Times New Roman"/>
        </w:rPr>
        <w:t xml:space="preserve">. </w:t>
      </w:r>
      <w:r w:rsidRPr="00E7693B">
        <w:rPr>
          <w:rFonts w:ascii="Times New Roman" w:hAnsi="Times New Roman" w:cs="Times New Roman"/>
          <w:color w:val="000000"/>
        </w:rPr>
        <w:t xml:space="preserve">Total glucosinolate (GLS) content in </w:t>
      </w:r>
      <w:r w:rsidRPr="00E7693B">
        <w:rPr>
          <w:rFonts w:ascii="Times New Roman" w:hAnsi="Times New Roman" w:cs="Times New Roman"/>
        </w:rPr>
        <w:t xml:space="preserve">the first biological repetition in the true leaves of cauliflower inoculated with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and previously inoculated with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Distilled water (dH2O) was used as a control on the leaves, and on the roots together with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w:t>
      </w:r>
      <w:r w:rsidR="00B150F8">
        <w:rPr>
          <w:rFonts w:ascii="Times New Roman" w:hAnsi="Times New Roman" w:cs="Times New Roman"/>
        </w:rPr>
        <w:t>GLSs were analysed</w:t>
      </w:r>
      <w:r w:rsidRPr="00E7693B">
        <w:rPr>
          <w:rFonts w:ascii="Times New Roman" w:hAnsi="Times New Roman" w:cs="Times New Roman"/>
        </w:rPr>
        <w:t xml:space="preserve"> 0, 7 and 14 days post </w:t>
      </w:r>
      <w:r w:rsidRPr="00E7693B">
        <w:rPr>
          <w:rFonts w:ascii="Times New Roman" w:hAnsi="Times New Roman" w:cs="Times New Roman"/>
          <w:i/>
        </w:rPr>
        <w:t xml:space="preserve">L. </w:t>
      </w:r>
      <w:proofErr w:type="spellStart"/>
      <w:r w:rsidRPr="00E7693B">
        <w:rPr>
          <w:rFonts w:ascii="Times New Roman" w:hAnsi="Times New Roman" w:cs="Times New Roman"/>
          <w:i/>
        </w:rPr>
        <w:t>maculans</w:t>
      </w:r>
      <w:proofErr w:type="spellEnd"/>
      <w:r w:rsidRPr="00E7693B">
        <w:rPr>
          <w:rFonts w:ascii="Times New Roman" w:hAnsi="Times New Roman" w:cs="Times New Roman"/>
        </w:rPr>
        <w:t xml:space="preserve"> inoculation (dpi). Boxplots show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lowercase letters significant differences (P &lt; 0.05) between treatments for a given time point. </w:t>
      </w:r>
      <w:r w:rsidRPr="00E7693B">
        <w:rPr>
          <w:rFonts w:ascii="Times New Roman" w:hAnsi="Times New Roman" w:cs="Times New Roman"/>
          <w:u w:val="single"/>
        </w:rPr>
        <w:t>Aliphatic compounds</w:t>
      </w:r>
      <w:r w:rsidRPr="00E7693B">
        <w:rPr>
          <w:rFonts w:ascii="Times New Roman" w:hAnsi="Times New Roman" w:cs="Times New Roman"/>
        </w:rPr>
        <w:t xml:space="preserve">: </w:t>
      </w:r>
      <w:proofErr w:type="spellStart"/>
      <w:r w:rsidRPr="00E7693B">
        <w:rPr>
          <w:rFonts w:ascii="Times New Roman" w:hAnsi="Times New Roman" w:cs="Times New Roman"/>
        </w:rPr>
        <w:t>glucoiberin</w:t>
      </w:r>
      <w:proofErr w:type="spellEnd"/>
      <w:r w:rsidRPr="00E7693B">
        <w:rPr>
          <w:rFonts w:ascii="Times New Roman" w:hAnsi="Times New Roman" w:cs="Times New Roman"/>
        </w:rPr>
        <w:t xml:space="preserve">, sinigrin, </w:t>
      </w:r>
      <w:proofErr w:type="spellStart"/>
      <w:r w:rsidRPr="00E7693B">
        <w:rPr>
          <w:rFonts w:ascii="Times New Roman" w:hAnsi="Times New Roman" w:cs="Times New Roman"/>
        </w:rPr>
        <w:t>glucoibarin</w:t>
      </w:r>
      <w:proofErr w:type="spellEnd"/>
      <w:r w:rsidRPr="00E7693B">
        <w:rPr>
          <w:rFonts w:ascii="Times New Roman" w:hAnsi="Times New Roman" w:cs="Times New Roman"/>
        </w:rPr>
        <w:t xml:space="preserve">; </w:t>
      </w:r>
      <w:r w:rsidRPr="00E7693B">
        <w:rPr>
          <w:rFonts w:ascii="Times New Roman" w:hAnsi="Times New Roman" w:cs="Times New Roman"/>
          <w:u w:val="single"/>
        </w:rPr>
        <w:t>aromatic/indole compounds</w:t>
      </w:r>
      <w:r w:rsidRPr="00E7693B">
        <w:rPr>
          <w:rFonts w:ascii="Times New Roman" w:hAnsi="Times New Roman" w:cs="Times New Roman"/>
        </w:rPr>
        <w:t xml:space="preserve">: </w:t>
      </w:r>
      <w:proofErr w:type="spellStart"/>
      <w:r w:rsidRPr="00E7693B">
        <w:rPr>
          <w:rFonts w:ascii="Times New Roman" w:hAnsi="Times New Roman" w:cs="Times New Roman"/>
        </w:rPr>
        <w:t>glucobrassicin</w:t>
      </w:r>
      <w:proofErr w:type="spellEnd"/>
      <w:r w:rsidRPr="00E7693B">
        <w:rPr>
          <w:rFonts w:ascii="Times New Roman" w:hAnsi="Times New Roman" w:cs="Times New Roman"/>
        </w:rPr>
        <w:t xml:space="preserve">, 4-methoxyglucobrassicin, </w:t>
      </w:r>
      <w:proofErr w:type="spellStart"/>
      <w:r w:rsidRPr="00E7693B">
        <w:rPr>
          <w:rFonts w:ascii="Times New Roman" w:hAnsi="Times New Roman" w:cs="Times New Roman"/>
        </w:rPr>
        <w:t>neoglucobrassicin</w:t>
      </w:r>
      <w:proofErr w:type="spellEnd"/>
      <w:r w:rsidRPr="00E7693B">
        <w:rPr>
          <w:rFonts w:ascii="Times New Roman" w:hAnsi="Times New Roman" w:cs="Times New Roman"/>
        </w:rPr>
        <w:t xml:space="preserve">. </w:t>
      </w:r>
      <w:r w:rsidRPr="00E7693B">
        <w:rPr>
          <w:rFonts w:ascii="Times New Roman" w:hAnsi="Times New Roman" w:cs="Times New Roman"/>
          <w:highlight w:val="white"/>
        </w:rPr>
        <w:t>Abbreviations: AG = aliphatic glucosinolate; IG = indole glucosinolate; ns = not significant.</w:t>
      </w:r>
    </w:p>
    <w:p w14:paraId="2150A321" w14:textId="77777777" w:rsidR="00E7693B" w:rsidRPr="00E7693B" w:rsidRDefault="00E7693B">
      <w:pPr>
        <w:spacing w:before="240"/>
        <w:rPr>
          <w:rFonts w:ascii="Times New Roman" w:hAnsi="Times New Roman" w:cs="Times New Roman"/>
        </w:rPr>
      </w:pPr>
      <w:r w:rsidRPr="00E7693B">
        <w:rPr>
          <w:rFonts w:ascii="Times New Roman" w:hAnsi="Times New Roman" w:cs="Times New Roman"/>
          <w:b/>
          <w:color w:val="000000"/>
        </w:rPr>
        <w:t xml:space="preserve">Table 8. </w:t>
      </w:r>
      <w:r w:rsidRPr="00E7693B">
        <w:rPr>
          <w:rFonts w:ascii="Times New Roman" w:hAnsi="Times New Roman" w:cs="Times New Roman"/>
          <w:color w:val="000000"/>
        </w:rPr>
        <w:t xml:space="preserve">Statistical values of glucosinolates (GLSs) in the first biological repetition. F values, </w:t>
      </w:r>
      <w:proofErr w:type="spellStart"/>
      <w:r w:rsidRPr="00E7693B">
        <w:rPr>
          <w:rFonts w:ascii="Times New Roman" w:hAnsi="Times New Roman" w:cs="Times New Roman"/>
          <w:color w:val="000000"/>
        </w:rPr>
        <w:t>df</w:t>
      </w:r>
      <w:proofErr w:type="spellEnd"/>
      <w:r w:rsidRPr="00E7693B">
        <w:rPr>
          <w:rFonts w:ascii="Times New Roman" w:hAnsi="Times New Roman" w:cs="Times New Roman"/>
          <w:color w:val="000000"/>
        </w:rPr>
        <w:t xml:space="preserve">, P values and residual </w:t>
      </w:r>
      <w:proofErr w:type="spellStart"/>
      <w:r w:rsidRPr="00E7693B">
        <w:rPr>
          <w:rFonts w:ascii="Times New Roman" w:hAnsi="Times New Roman" w:cs="Times New Roman"/>
          <w:color w:val="000000"/>
        </w:rPr>
        <w:t>df</w:t>
      </w:r>
      <w:proofErr w:type="spellEnd"/>
      <w:r w:rsidRPr="00E7693B">
        <w:rPr>
          <w:rFonts w:ascii="Times New Roman" w:hAnsi="Times New Roman" w:cs="Times New Roman"/>
          <w:color w:val="000000"/>
        </w:rPr>
        <w:t xml:space="preserve"> for all the analysed compounds; ".": P &lt; 0.1, *: P &lt; 0.05, **: P &lt; 0.01, ***: P &lt; 0.001.</w:t>
      </w:r>
    </w:p>
    <w:tbl>
      <w:tblPr>
        <w:tblW w:w="9081" w:type="dxa"/>
        <w:tblInd w:w="-10" w:type="dxa"/>
        <w:tblBorders>
          <w:top w:val="single" w:sz="4" w:space="0" w:color="000000"/>
          <w:bottom w:val="single" w:sz="4" w:space="0" w:color="000000"/>
        </w:tblBorders>
        <w:tblLayout w:type="fixed"/>
        <w:tblCellMar>
          <w:left w:w="10" w:type="dxa"/>
          <w:right w:w="10" w:type="dxa"/>
        </w:tblCellMar>
        <w:tblLook w:val="0400" w:firstRow="0" w:lastRow="0" w:firstColumn="0" w:lastColumn="0" w:noHBand="0" w:noVBand="1"/>
      </w:tblPr>
      <w:tblGrid>
        <w:gridCol w:w="2290"/>
        <w:gridCol w:w="642"/>
        <w:gridCol w:w="540"/>
        <w:gridCol w:w="536"/>
        <w:gridCol w:w="271"/>
        <w:gridCol w:w="673"/>
        <w:gridCol w:w="406"/>
        <w:gridCol w:w="538"/>
        <w:gridCol w:w="360"/>
        <w:gridCol w:w="670"/>
        <w:gridCol w:w="407"/>
        <w:gridCol w:w="538"/>
        <w:gridCol w:w="250"/>
        <w:gridCol w:w="960"/>
      </w:tblGrid>
      <w:tr w:rsidR="00E7693B" w:rsidRPr="00E7693B" w14:paraId="2150A327" w14:textId="77777777">
        <w:trPr>
          <w:trHeight w:val="300"/>
        </w:trPr>
        <w:tc>
          <w:tcPr>
            <w:tcW w:w="2290" w:type="dxa"/>
            <w:vMerge w:val="restart"/>
            <w:tcBorders>
              <w:top w:val="single" w:sz="4" w:space="0" w:color="000000"/>
              <w:bottom w:val="nil"/>
            </w:tcBorders>
            <w:shd w:val="clear" w:color="auto" w:fill="auto"/>
            <w:vAlign w:val="center"/>
          </w:tcPr>
          <w:p w14:paraId="2150A322"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Compound</w:t>
            </w:r>
          </w:p>
        </w:tc>
        <w:tc>
          <w:tcPr>
            <w:tcW w:w="1989" w:type="dxa"/>
            <w:gridSpan w:val="4"/>
            <w:tcBorders>
              <w:top w:val="single" w:sz="4" w:space="0" w:color="000000"/>
              <w:bottom w:val="nil"/>
            </w:tcBorders>
            <w:shd w:val="clear" w:color="auto" w:fill="auto"/>
            <w:vAlign w:val="bottom"/>
          </w:tcPr>
          <w:p w14:paraId="2150A323"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Treatment</w:t>
            </w:r>
          </w:p>
        </w:tc>
        <w:tc>
          <w:tcPr>
            <w:tcW w:w="1977" w:type="dxa"/>
            <w:gridSpan w:val="4"/>
            <w:tcBorders>
              <w:top w:val="single" w:sz="4" w:space="0" w:color="000000"/>
              <w:bottom w:val="nil"/>
            </w:tcBorders>
            <w:shd w:val="clear" w:color="auto" w:fill="auto"/>
            <w:vAlign w:val="bottom"/>
          </w:tcPr>
          <w:p w14:paraId="2150A324"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Time</w:t>
            </w:r>
          </w:p>
        </w:tc>
        <w:tc>
          <w:tcPr>
            <w:tcW w:w="1865" w:type="dxa"/>
            <w:gridSpan w:val="4"/>
            <w:tcBorders>
              <w:top w:val="single" w:sz="4" w:space="0" w:color="000000"/>
              <w:bottom w:val="nil"/>
            </w:tcBorders>
            <w:shd w:val="clear" w:color="auto" w:fill="auto"/>
            <w:vAlign w:val="bottom"/>
          </w:tcPr>
          <w:p w14:paraId="2150A325"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Treatment:Time</w:t>
            </w:r>
            <w:proofErr w:type="spellEnd"/>
          </w:p>
        </w:tc>
        <w:tc>
          <w:tcPr>
            <w:tcW w:w="960" w:type="dxa"/>
            <w:tcBorders>
              <w:top w:val="single" w:sz="4" w:space="0" w:color="000000"/>
              <w:bottom w:val="nil"/>
            </w:tcBorders>
            <w:shd w:val="clear" w:color="auto" w:fill="auto"/>
            <w:vAlign w:val="bottom"/>
          </w:tcPr>
          <w:p w14:paraId="2150A326"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w:t>
            </w:r>
          </w:p>
        </w:tc>
      </w:tr>
      <w:tr w:rsidR="00E7693B" w:rsidRPr="00E7693B" w14:paraId="2150A333" w14:textId="77777777">
        <w:trPr>
          <w:trHeight w:val="315"/>
        </w:trPr>
        <w:tc>
          <w:tcPr>
            <w:tcW w:w="2290" w:type="dxa"/>
            <w:vMerge/>
            <w:tcBorders>
              <w:top w:val="single" w:sz="4" w:space="0" w:color="000000"/>
              <w:bottom w:val="nil"/>
            </w:tcBorders>
            <w:shd w:val="clear" w:color="auto" w:fill="auto"/>
            <w:vAlign w:val="center"/>
          </w:tcPr>
          <w:p w14:paraId="2150A328" w14:textId="77777777" w:rsidR="00E7693B" w:rsidRPr="00E7693B" w:rsidRDefault="00E7693B">
            <w:pPr>
              <w:widowControl w:val="0"/>
              <w:pBdr>
                <w:top w:val="nil"/>
                <w:left w:val="nil"/>
                <w:bottom w:val="nil"/>
                <w:right w:val="nil"/>
                <w:between w:val="nil"/>
              </w:pBdr>
              <w:spacing w:line="276" w:lineRule="auto"/>
              <w:rPr>
                <w:rFonts w:ascii="Times New Roman" w:hAnsi="Times New Roman" w:cs="Times New Roman"/>
                <w:b/>
                <w:color w:val="000000"/>
              </w:rPr>
            </w:pPr>
          </w:p>
        </w:tc>
        <w:tc>
          <w:tcPr>
            <w:tcW w:w="642" w:type="dxa"/>
            <w:tcBorders>
              <w:top w:val="nil"/>
              <w:bottom w:val="single" w:sz="4" w:space="0" w:color="000000"/>
            </w:tcBorders>
            <w:shd w:val="clear" w:color="auto" w:fill="auto"/>
            <w:vAlign w:val="bottom"/>
          </w:tcPr>
          <w:p w14:paraId="2150A329"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540" w:type="dxa"/>
            <w:tcBorders>
              <w:top w:val="nil"/>
              <w:bottom w:val="single" w:sz="4" w:space="0" w:color="000000"/>
            </w:tcBorders>
            <w:shd w:val="clear" w:color="auto" w:fill="auto"/>
            <w:vAlign w:val="bottom"/>
          </w:tcPr>
          <w:p w14:paraId="2150A32A"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807" w:type="dxa"/>
            <w:gridSpan w:val="2"/>
            <w:tcBorders>
              <w:top w:val="nil"/>
              <w:bottom w:val="single" w:sz="4" w:space="0" w:color="000000"/>
            </w:tcBorders>
            <w:shd w:val="clear" w:color="auto" w:fill="auto"/>
            <w:vAlign w:val="bottom"/>
          </w:tcPr>
          <w:p w14:paraId="2150A32B"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73" w:type="dxa"/>
            <w:tcBorders>
              <w:top w:val="nil"/>
              <w:bottom w:val="single" w:sz="4" w:space="0" w:color="000000"/>
            </w:tcBorders>
            <w:shd w:val="clear" w:color="auto" w:fill="auto"/>
            <w:vAlign w:val="bottom"/>
          </w:tcPr>
          <w:p w14:paraId="2150A32C"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406" w:type="dxa"/>
            <w:tcBorders>
              <w:top w:val="nil"/>
              <w:bottom w:val="single" w:sz="4" w:space="0" w:color="000000"/>
            </w:tcBorders>
            <w:shd w:val="clear" w:color="auto" w:fill="auto"/>
            <w:vAlign w:val="bottom"/>
          </w:tcPr>
          <w:p w14:paraId="2150A32D"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898" w:type="dxa"/>
            <w:gridSpan w:val="2"/>
            <w:tcBorders>
              <w:top w:val="nil"/>
              <w:bottom w:val="single" w:sz="4" w:space="0" w:color="000000"/>
            </w:tcBorders>
            <w:shd w:val="clear" w:color="auto" w:fill="auto"/>
            <w:vAlign w:val="bottom"/>
          </w:tcPr>
          <w:p w14:paraId="2150A32E"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70" w:type="dxa"/>
            <w:tcBorders>
              <w:top w:val="nil"/>
              <w:bottom w:val="single" w:sz="4" w:space="0" w:color="000000"/>
            </w:tcBorders>
            <w:shd w:val="clear" w:color="auto" w:fill="auto"/>
            <w:vAlign w:val="bottom"/>
          </w:tcPr>
          <w:p w14:paraId="2150A32F"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407" w:type="dxa"/>
            <w:tcBorders>
              <w:top w:val="nil"/>
              <w:bottom w:val="single" w:sz="4" w:space="0" w:color="000000"/>
            </w:tcBorders>
            <w:shd w:val="clear" w:color="auto" w:fill="auto"/>
            <w:vAlign w:val="bottom"/>
          </w:tcPr>
          <w:p w14:paraId="2150A330"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788" w:type="dxa"/>
            <w:gridSpan w:val="2"/>
            <w:tcBorders>
              <w:top w:val="nil"/>
              <w:bottom w:val="single" w:sz="4" w:space="0" w:color="000000"/>
            </w:tcBorders>
            <w:shd w:val="clear" w:color="auto" w:fill="auto"/>
            <w:vAlign w:val="bottom"/>
          </w:tcPr>
          <w:p w14:paraId="2150A331"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960" w:type="dxa"/>
            <w:tcBorders>
              <w:top w:val="nil"/>
              <w:bottom w:val="single" w:sz="4" w:space="0" w:color="000000"/>
            </w:tcBorders>
            <w:shd w:val="clear" w:color="auto" w:fill="auto"/>
            <w:vAlign w:val="bottom"/>
          </w:tcPr>
          <w:p w14:paraId="2150A332"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xml:space="preserve">Residual </w:t>
            </w:r>
            <w:proofErr w:type="spellStart"/>
            <w:r w:rsidRPr="00E7693B">
              <w:rPr>
                <w:rFonts w:ascii="Times New Roman" w:hAnsi="Times New Roman" w:cs="Times New Roman"/>
                <w:b/>
                <w:color w:val="000000"/>
              </w:rPr>
              <w:t>df</w:t>
            </w:r>
            <w:proofErr w:type="spellEnd"/>
          </w:p>
        </w:tc>
      </w:tr>
      <w:tr w:rsidR="00E7693B" w:rsidRPr="00E7693B" w14:paraId="2150A342" w14:textId="77777777">
        <w:trPr>
          <w:trHeight w:val="868"/>
        </w:trPr>
        <w:tc>
          <w:tcPr>
            <w:tcW w:w="2290" w:type="dxa"/>
            <w:tcBorders>
              <w:top w:val="single" w:sz="4" w:space="0" w:color="000000"/>
            </w:tcBorders>
            <w:shd w:val="clear" w:color="auto" w:fill="auto"/>
            <w:vAlign w:val="center"/>
          </w:tcPr>
          <w:p w14:paraId="2150A334"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Glucoiberin</w:t>
            </w:r>
            <w:proofErr w:type="spellEnd"/>
            <w:r w:rsidRPr="00E7693B">
              <w:rPr>
                <w:rFonts w:ascii="Times New Roman" w:hAnsi="Times New Roman" w:cs="Times New Roman"/>
                <w:color w:val="000000"/>
              </w:rPr>
              <w:t xml:space="preserve"> (3-methylsulfinylpropyl, 3-msp)</w:t>
            </w:r>
          </w:p>
        </w:tc>
        <w:tc>
          <w:tcPr>
            <w:tcW w:w="642" w:type="dxa"/>
            <w:tcBorders>
              <w:top w:val="single" w:sz="4" w:space="0" w:color="000000"/>
            </w:tcBorders>
            <w:shd w:val="clear" w:color="auto" w:fill="auto"/>
            <w:vAlign w:val="center"/>
          </w:tcPr>
          <w:p w14:paraId="2150A33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3.18</w:t>
            </w:r>
          </w:p>
        </w:tc>
        <w:tc>
          <w:tcPr>
            <w:tcW w:w="540" w:type="dxa"/>
            <w:tcBorders>
              <w:top w:val="single" w:sz="4" w:space="0" w:color="000000"/>
            </w:tcBorders>
            <w:shd w:val="clear" w:color="auto" w:fill="auto"/>
            <w:vAlign w:val="center"/>
          </w:tcPr>
          <w:p w14:paraId="2150A33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36" w:type="dxa"/>
            <w:tcBorders>
              <w:top w:val="single" w:sz="4" w:space="0" w:color="000000"/>
            </w:tcBorders>
            <w:shd w:val="clear" w:color="auto" w:fill="auto"/>
            <w:vAlign w:val="center"/>
          </w:tcPr>
          <w:p w14:paraId="2150A33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0.05</w:t>
            </w:r>
          </w:p>
        </w:tc>
        <w:tc>
          <w:tcPr>
            <w:tcW w:w="271" w:type="dxa"/>
            <w:tcBorders>
              <w:top w:val="single" w:sz="4" w:space="0" w:color="000000"/>
            </w:tcBorders>
            <w:shd w:val="clear" w:color="auto" w:fill="auto"/>
            <w:vAlign w:val="center"/>
          </w:tcPr>
          <w:p w14:paraId="2150A33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3" w:type="dxa"/>
            <w:tcBorders>
              <w:top w:val="single" w:sz="4" w:space="0" w:color="000000"/>
            </w:tcBorders>
            <w:shd w:val="clear" w:color="auto" w:fill="auto"/>
            <w:vAlign w:val="center"/>
          </w:tcPr>
          <w:p w14:paraId="2150A33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406" w:type="dxa"/>
            <w:tcBorders>
              <w:top w:val="single" w:sz="4" w:space="0" w:color="000000"/>
            </w:tcBorders>
            <w:shd w:val="clear" w:color="auto" w:fill="auto"/>
            <w:vAlign w:val="center"/>
          </w:tcPr>
          <w:p w14:paraId="2150A33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tcBorders>
              <w:top w:val="single" w:sz="4" w:space="0" w:color="000000"/>
            </w:tcBorders>
            <w:shd w:val="clear" w:color="auto" w:fill="auto"/>
            <w:vAlign w:val="center"/>
          </w:tcPr>
          <w:p w14:paraId="2150A33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0.93</w:t>
            </w:r>
          </w:p>
        </w:tc>
        <w:tc>
          <w:tcPr>
            <w:tcW w:w="360" w:type="dxa"/>
            <w:tcBorders>
              <w:top w:val="single" w:sz="4" w:space="0" w:color="000000"/>
            </w:tcBorders>
            <w:shd w:val="clear" w:color="auto" w:fill="auto"/>
            <w:vAlign w:val="center"/>
          </w:tcPr>
          <w:p w14:paraId="2150A33C" w14:textId="77777777" w:rsidR="00E7693B" w:rsidRPr="00E7693B" w:rsidRDefault="00E7693B">
            <w:pPr>
              <w:jc w:val="center"/>
              <w:rPr>
                <w:rFonts w:ascii="Times New Roman" w:hAnsi="Times New Roman" w:cs="Times New Roman"/>
                <w:color w:val="000000"/>
              </w:rPr>
            </w:pPr>
          </w:p>
        </w:tc>
        <w:tc>
          <w:tcPr>
            <w:tcW w:w="670" w:type="dxa"/>
            <w:tcBorders>
              <w:top w:val="single" w:sz="4" w:space="0" w:color="000000"/>
            </w:tcBorders>
            <w:shd w:val="clear" w:color="auto" w:fill="auto"/>
            <w:vAlign w:val="center"/>
          </w:tcPr>
          <w:p w14:paraId="2150A33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0.59</w:t>
            </w:r>
          </w:p>
        </w:tc>
        <w:tc>
          <w:tcPr>
            <w:tcW w:w="407" w:type="dxa"/>
            <w:tcBorders>
              <w:top w:val="single" w:sz="4" w:space="0" w:color="000000"/>
            </w:tcBorders>
            <w:shd w:val="clear" w:color="auto" w:fill="auto"/>
            <w:vAlign w:val="center"/>
          </w:tcPr>
          <w:p w14:paraId="2150A33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8" w:type="dxa"/>
            <w:tcBorders>
              <w:top w:val="single" w:sz="4" w:space="0" w:color="000000"/>
            </w:tcBorders>
            <w:shd w:val="clear" w:color="auto" w:fill="auto"/>
            <w:vAlign w:val="center"/>
          </w:tcPr>
          <w:p w14:paraId="2150A33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0.79</w:t>
            </w:r>
          </w:p>
        </w:tc>
        <w:tc>
          <w:tcPr>
            <w:tcW w:w="250" w:type="dxa"/>
            <w:tcBorders>
              <w:top w:val="single" w:sz="4" w:space="0" w:color="000000"/>
            </w:tcBorders>
            <w:shd w:val="clear" w:color="auto" w:fill="auto"/>
            <w:vAlign w:val="center"/>
          </w:tcPr>
          <w:p w14:paraId="2150A340" w14:textId="77777777" w:rsidR="00E7693B" w:rsidRPr="00E7693B" w:rsidRDefault="00E7693B">
            <w:pPr>
              <w:jc w:val="center"/>
              <w:rPr>
                <w:rFonts w:ascii="Times New Roman" w:hAnsi="Times New Roman" w:cs="Times New Roman"/>
                <w:color w:val="000000"/>
              </w:rPr>
            </w:pPr>
          </w:p>
        </w:tc>
        <w:tc>
          <w:tcPr>
            <w:tcW w:w="960" w:type="dxa"/>
            <w:tcBorders>
              <w:top w:val="single" w:sz="4" w:space="0" w:color="000000"/>
            </w:tcBorders>
            <w:shd w:val="clear" w:color="auto" w:fill="auto"/>
            <w:vAlign w:val="center"/>
          </w:tcPr>
          <w:p w14:paraId="2150A34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51" w14:textId="77777777">
        <w:trPr>
          <w:trHeight w:val="868"/>
        </w:trPr>
        <w:tc>
          <w:tcPr>
            <w:tcW w:w="2290" w:type="dxa"/>
            <w:shd w:val="clear" w:color="auto" w:fill="auto"/>
            <w:vAlign w:val="center"/>
          </w:tcPr>
          <w:p w14:paraId="2150A343"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Sinigrin (2-propenyl)</w:t>
            </w:r>
          </w:p>
        </w:tc>
        <w:tc>
          <w:tcPr>
            <w:tcW w:w="642" w:type="dxa"/>
            <w:shd w:val="clear" w:color="auto" w:fill="auto"/>
            <w:vAlign w:val="center"/>
          </w:tcPr>
          <w:p w14:paraId="2150A34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2.44</w:t>
            </w:r>
          </w:p>
        </w:tc>
        <w:tc>
          <w:tcPr>
            <w:tcW w:w="540" w:type="dxa"/>
            <w:shd w:val="clear" w:color="auto" w:fill="auto"/>
            <w:vAlign w:val="center"/>
          </w:tcPr>
          <w:p w14:paraId="2150A34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36" w:type="dxa"/>
            <w:shd w:val="clear" w:color="auto" w:fill="auto"/>
            <w:vAlign w:val="center"/>
          </w:tcPr>
          <w:p w14:paraId="2150A34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0.08</w:t>
            </w:r>
          </w:p>
        </w:tc>
        <w:tc>
          <w:tcPr>
            <w:tcW w:w="271" w:type="dxa"/>
            <w:shd w:val="clear" w:color="auto" w:fill="auto"/>
            <w:vAlign w:val="center"/>
          </w:tcPr>
          <w:p w14:paraId="2150A347"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A34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5.12</w:t>
            </w:r>
          </w:p>
        </w:tc>
        <w:tc>
          <w:tcPr>
            <w:tcW w:w="406" w:type="dxa"/>
            <w:shd w:val="clear" w:color="auto" w:fill="auto"/>
            <w:vAlign w:val="center"/>
          </w:tcPr>
          <w:p w14:paraId="2150A34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A34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0.08</w:t>
            </w:r>
          </w:p>
        </w:tc>
        <w:tc>
          <w:tcPr>
            <w:tcW w:w="360" w:type="dxa"/>
            <w:shd w:val="clear" w:color="auto" w:fill="auto"/>
            <w:vAlign w:val="center"/>
          </w:tcPr>
          <w:p w14:paraId="2150A34B" w14:textId="77777777" w:rsidR="00E7693B" w:rsidRPr="00E7693B" w:rsidRDefault="00E7693B">
            <w:pPr>
              <w:jc w:val="center"/>
              <w:rPr>
                <w:rFonts w:ascii="Times New Roman" w:hAnsi="Times New Roman" w:cs="Times New Roman"/>
                <w:color w:val="000000"/>
              </w:rPr>
            </w:pPr>
          </w:p>
        </w:tc>
        <w:tc>
          <w:tcPr>
            <w:tcW w:w="670" w:type="dxa"/>
            <w:shd w:val="clear" w:color="auto" w:fill="auto"/>
            <w:vAlign w:val="center"/>
          </w:tcPr>
          <w:p w14:paraId="2150A34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0.86</w:t>
            </w:r>
          </w:p>
        </w:tc>
        <w:tc>
          <w:tcPr>
            <w:tcW w:w="407" w:type="dxa"/>
            <w:shd w:val="clear" w:color="auto" w:fill="auto"/>
            <w:vAlign w:val="center"/>
          </w:tcPr>
          <w:p w14:paraId="2150A34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8" w:type="dxa"/>
            <w:shd w:val="clear" w:color="auto" w:fill="auto"/>
            <w:vAlign w:val="center"/>
          </w:tcPr>
          <w:p w14:paraId="2150A34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0.67</w:t>
            </w:r>
          </w:p>
        </w:tc>
        <w:tc>
          <w:tcPr>
            <w:tcW w:w="250" w:type="dxa"/>
            <w:shd w:val="clear" w:color="auto" w:fill="auto"/>
            <w:vAlign w:val="center"/>
          </w:tcPr>
          <w:p w14:paraId="2150A34F"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35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60" w14:textId="77777777">
        <w:trPr>
          <w:trHeight w:val="868"/>
        </w:trPr>
        <w:tc>
          <w:tcPr>
            <w:tcW w:w="2290" w:type="dxa"/>
            <w:shd w:val="clear" w:color="auto" w:fill="auto"/>
            <w:vAlign w:val="center"/>
          </w:tcPr>
          <w:p w14:paraId="2150A352"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Glucoibarin</w:t>
            </w:r>
            <w:proofErr w:type="spellEnd"/>
            <w:r w:rsidRPr="00E7693B">
              <w:rPr>
                <w:rFonts w:ascii="Times New Roman" w:hAnsi="Times New Roman" w:cs="Times New Roman"/>
                <w:color w:val="000000"/>
              </w:rPr>
              <w:t xml:space="preserve"> (7-methylsulfinylheptyl, 7-msh)</w:t>
            </w:r>
          </w:p>
        </w:tc>
        <w:tc>
          <w:tcPr>
            <w:tcW w:w="642" w:type="dxa"/>
            <w:shd w:val="clear" w:color="auto" w:fill="auto"/>
            <w:vAlign w:val="center"/>
          </w:tcPr>
          <w:p w14:paraId="2150A35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3.04</w:t>
            </w:r>
          </w:p>
        </w:tc>
        <w:tc>
          <w:tcPr>
            <w:tcW w:w="540" w:type="dxa"/>
            <w:shd w:val="clear" w:color="auto" w:fill="auto"/>
            <w:vAlign w:val="center"/>
          </w:tcPr>
          <w:p w14:paraId="2150A35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36" w:type="dxa"/>
            <w:shd w:val="clear" w:color="auto" w:fill="auto"/>
            <w:vAlign w:val="center"/>
          </w:tcPr>
          <w:p w14:paraId="2150A35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0.05</w:t>
            </w:r>
          </w:p>
        </w:tc>
        <w:tc>
          <w:tcPr>
            <w:tcW w:w="271" w:type="dxa"/>
            <w:shd w:val="clear" w:color="auto" w:fill="auto"/>
            <w:vAlign w:val="center"/>
          </w:tcPr>
          <w:p w14:paraId="2150A35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3" w:type="dxa"/>
            <w:shd w:val="clear" w:color="auto" w:fill="auto"/>
            <w:vAlign w:val="center"/>
          </w:tcPr>
          <w:p w14:paraId="2150A35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12.94</w:t>
            </w:r>
          </w:p>
        </w:tc>
        <w:tc>
          <w:tcPr>
            <w:tcW w:w="406" w:type="dxa"/>
            <w:shd w:val="clear" w:color="auto" w:fill="auto"/>
            <w:vAlign w:val="center"/>
          </w:tcPr>
          <w:p w14:paraId="2150A35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A35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0.01</w:t>
            </w:r>
          </w:p>
        </w:tc>
        <w:tc>
          <w:tcPr>
            <w:tcW w:w="360" w:type="dxa"/>
            <w:shd w:val="clear" w:color="auto" w:fill="auto"/>
            <w:vAlign w:val="center"/>
          </w:tcPr>
          <w:p w14:paraId="2150A35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70" w:type="dxa"/>
            <w:shd w:val="clear" w:color="auto" w:fill="auto"/>
            <w:vAlign w:val="center"/>
          </w:tcPr>
          <w:p w14:paraId="2150A35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3.75</w:t>
            </w:r>
          </w:p>
        </w:tc>
        <w:tc>
          <w:tcPr>
            <w:tcW w:w="407" w:type="dxa"/>
            <w:shd w:val="clear" w:color="auto" w:fill="auto"/>
            <w:vAlign w:val="center"/>
          </w:tcPr>
          <w:p w14:paraId="2150A35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8" w:type="dxa"/>
            <w:shd w:val="clear" w:color="auto" w:fill="auto"/>
            <w:vAlign w:val="center"/>
          </w:tcPr>
          <w:p w14:paraId="2150A35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0.05</w:t>
            </w:r>
          </w:p>
        </w:tc>
        <w:tc>
          <w:tcPr>
            <w:tcW w:w="250" w:type="dxa"/>
            <w:shd w:val="clear" w:color="auto" w:fill="auto"/>
            <w:vAlign w:val="center"/>
          </w:tcPr>
          <w:p w14:paraId="2150A35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60" w:type="dxa"/>
            <w:shd w:val="clear" w:color="auto" w:fill="auto"/>
            <w:vAlign w:val="center"/>
          </w:tcPr>
          <w:p w14:paraId="2150A35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6F" w14:textId="77777777">
        <w:trPr>
          <w:trHeight w:val="868"/>
        </w:trPr>
        <w:tc>
          <w:tcPr>
            <w:tcW w:w="2290" w:type="dxa"/>
            <w:shd w:val="clear" w:color="auto" w:fill="auto"/>
            <w:vAlign w:val="center"/>
          </w:tcPr>
          <w:p w14:paraId="2150A361"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aliphatic (AG)</w:t>
            </w:r>
          </w:p>
        </w:tc>
        <w:tc>
          <w:tcPr>
            <w:tcW w:w="642" w:type="dxa"/>
            <w:shd w:val="clear" w:color="auto" w:fill="auto"/>
            <w:vAlign w:val="center"/>
          </w:tcPr>
          <w:p w14:paraId="2150A36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2.47</w:t>
            </w:r>
          </w:p>
        </w:tc>
        <w:tc>
          <w:tcPr>
            <w:tcW w:w="540" w:type="dxa"/>
            <w:shd w:val="clear" w:color="auto" w:fill="auto"/>
            <w:vAlign w:val="center"/>
          </w:tcPr>
          <w:p w14:paraId="2150A36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36" w:type="dxa"/>
            <w:shd w:val="clear" w:color="auto" w:fill="auto"/>
            <w:vAlign w:val="center"/>
          </w:tcPr>
          <w:p w14:paraId="2150A36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0.08</w:t>
            </w:r>
          </w:p>
        </w:tc>
        <w:tc>
          <w:tcPr>
            <w:tcW w:w="271" w:type="dxa"/>
            <w:shd w:val="clear" w:color="auto" w:fill="auto"/>
            <w:vAlign w:val="center"/>
          </w:tcPr>
          <w:p w14:paraId="2150A365"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A36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4.14</w:t>
            </w:r>
          </w:p>
        </w:tc>
        <w:tc>
          <w:tcPr>
            <w:tcW w:w="406" w:type="dxa"/>
            <w:shd w:val="clear" w:color="auto" w:fill="auto"/>
            <w:vAlign w:val="center"/>
          </w:tcPr>
          <w:p w14:paraId="2150A36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A36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0.09</w:t>
            </w:r>
          </w:p>
        </w:tc>
        <w:tc>
          <w:tcPr>
            <w:tcW w:w="360" w:type="dxa"/>
            <w:shd w:val="clear" w:color="auto" w:fill="auto"/>
            <w:vAlign w:val="center"/>
          </w:tcPr>
          <w:p w14:paraId="2150A369" w14:textId="77777777" w:rsidR="00E7693B" w:rsidRPr="00E7693B" w:rsidRDefault="00E7693B">
            <w:pPr>
              <w:jc w:val="center"/>
              <w:rPr>
                <w:rFonts w:ascii="Times New Roman" w:hAnsi="Times New Roman" w:cs="Times New Roman"/>
                <w:color w:val="000000"/>
              </w:rPr>
            </w:pPr>
          </w:p>
        </w:tc>
        <w:tc>
          <w:tcPr>
            <w:tcW w:w="670" w:type="dxa"/>
            <w:shd w:val="clear" w:color="auto" w:fill="auto"/>
            <w:vAlign w:val="center"/>
          </w:tcPr>
          <w:p w14:paraId="2150A36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0.92</w:t>
            </w:r>
          </w:p>
        </w:tc>
        <w:tc>
          <w:tcPr>
            <w:tcW w:w="407" w:type="dxa"/>
            <w:shd w:val="clear" w:color="auto" w:fill="auto"/>
            <w:vAlign w:val="center"/>
          </w:tcPr>
          <w:p w14:paraId="2150A36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8" w:type="dxa"/>
            <w:shd w:val="clear" w:color="auto" w:fill="auto"/>
            <w:vAlign w:val="center"/>
          </w:tcPr>
          <w:p w14:paraId="2150A36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0.67</w:t>
            </w:r>
          </w:p>
        </w:tc>
        <w:tc>
          <w:tcPr>
            <w:tcW w:w="250" w:type="dxa"/>
            <w:shd w:val="clear" w:color="auto" w:fill="auto"/>
            <w:vAlign w:val="center"/>
          </w:tcPr>
          <w:p w14:paraId="2150A36D"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36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7E" w14:textId="77777777">
        <w:trPr>
          <w:trHeight w:val="1091"/>
        </w:trPr>
        <w:tc>
          <w:tcPr>
            <w:tcW w:w="2290" w:type="dxa"/>
            <w:shd w:val="clear" w:color="auto" w:fill="auto"/>
            <w:vAlign w:val="center"/>
          </w:tcPr>
          <w:p w14:paraId="2150A370"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Glucobrassicin</w:t>
            </w:r>
            <w:proofErr w:type="spellEnd"/>
            <w:r w:rsidRPr="00E7693B">
              <w:rPr>
                <w:rFonts w:ascii="Times New Roman" w:hAnsi="Times New Roman" w:cs="Times New Roman"/>
                <w:color w:val="000000"/>
              </w:rPr>
              <w:t xml:space="preserve"> (indol-3-ylmethyl, I3M)</w:t>
            </w:r>
          </w:p>
        </w:tc>
        <w:tc>
          <w:tcPr>
            <w:tcW w:w="642" w:type="dxa"/>
            <w:shd w:val="clear" w:color="auto" w:fill="auto"/>
            <w:vAlign w:val="center"/>
          </w:tcPr>
          <w:p w14:paraId="2150A37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1.22</w:t>
            </w:r>
          </w:p>
        </w:tc>
        <w:tc>
          <w:tcPr>
            <w:tcW w:w="540" w:type="dxa"/>
            <w:shd w:val="clear" w:color="auto" w:fill="auto"/>
            <w:vAlign w:val="center"/>
          </w:tcPr>
          <w:p w14:paraId="2150A37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36" w:type="dxa"/>
            <w:shd w:val="clear" w:color="auto" w:fill="auto"/>
            <w:vAlign w:val="center"/>
          </w:tcPr>
          <w:p w14:paraId="2150A37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0.42</w:t>
            </w:r>
          </w:p>
        </w:tc>
        <w:tc>
          <w:tcPr>
            <w:tcW w:w="271" w:type="dxa"/>
            <w:shd w:val="clear" w:color="auto" w:fill="auto"/>
            <w:vAlign w:val="center"/>
          </w:tcPr>
          <w:p w14:paraId="2150A374"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A37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1.24</w:t>
            </w:r>
          </w:p>
        </w:tc>
        <w:tc>
          <w:tcPr>
            <w:tcW w:w="406" w:type="dxa"/>
            <w:shd w:val="clear" w:color="auto" w:fill="auto"/>
            <w:vAlign w:val="center"/>
          </w:tcPr>
          <w:p w14:paraId="2150A37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A37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0.41</w:t>
            </w:r>
          </w:p>
        </w:tc>
        <w:tc>
          <w:tcPr>
            <w:tcW w:w="360" w:type="dxa"/>
            <w:shd w:val="clear" w:color="auto" w:fill="auto"/>
            <w:vAlign w:val="center"/>
          </w:tcPr>
          <w:p w14:paraId="2150A378" w14:textId="77777777" w:rsidR="00E7693B" w:rsidRPr="00E7693B" w:rsidRDefault="00E7693B">
            <w:pPr>
              <w:jc w:val="center"/>
              <w:rPr>
                <w:rFonts w:ascii="Times New Roman" w:hAnsi="Times New Roman" w:cs="Times New Roman"/>
                <w:color w:val="000000"/>
              </w:rPr>
            </w:pPr>
          </w:p>
        </w:tc>
        <w:tc>
          <w:tcPr>
            <w:tcW w:w="670" w:type="dxa"/>
            <w:shd w:val="clear" w:color="auto" w:fill="auto"/>
            <w:vAlign w:val="center"/>
          </w:tcPr>
          <w:p w14:paraId="2150A37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0.46</w:t>
            </w:r>
          </w:p>
        </w:tc>
        <w:tc>
          <w:tcPr>
            <w:tcW w:w="407" w:type="dxa"/>
            <w:shd w:val="clear" w:color="auto" w:fill="auto"/>
            <w:vAlign w:val="center"/>
          </w:tcPr>
          <w:p w14:paraId="2150A37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8" w:type="dxa"/>
            <w:shd w:val="clear" w:color="auto" w:fill="auto"/>
            <w:vAlign w:val="center"/>
          </w:tcPr>
          <w:p w14:paraId="2150A37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0.80</w:t>
            </w:r>
          </w:p>
        </w:tc>
        <w:tc>
          <w:tcPr>
            <w:tcW w:w="250" w:type="dxa"/>
            <w:shd w:val="clear" w:color="auto" w:fill="auto"/>
            <w:vAlign w:val="center"/>
          </w:tcPr>
          <w:p w14:paraId="2150A37C"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37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8E" w14:textId="77777777">
        <w:trPr>
          <w:trHeight w:val="1091"/>
        </w:trPr>
        <w:tc>
          <w:tcPr>
            <w:tcW w:w="2290" w:type="dxa"/>
            <w:shd w:val="clear" w:color="auto" w:fill="auto"/>
            <w:vAlign w:val="center"/>
          </w:tcPr>
          <w:p w14:paraId="2150A37F"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4-methoxygluco</w:t>
            </w:r>
          </w:p>
          <w:p w14:paraId="2150A380"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brassicin</w:t>
            </w:r>
            <w:proofErr w:type="spellEnd"/>
            <w:r w:rsidRPr="00E7693B">
              <w:rPr>
                <w:rFonts w:ascii="Times New Roman" w:hAnsi="Times New Roman" w:cs="Times New Roman"/>
                <w:color w:val="000000"/>
              </w:rPr>
              <w:t xml:space="preserve"> (4-methoxyindol-3-ylmethyl, 4MOI3M)</w:t>
            </w:r>
          </w:p>
        </w:tc>
        <w:tc>
          <w:tcPr>
            <w:tcW w:w="642" w:type="dxa"/>
            <w:shd w:val="clear" w:color="auto" w:fill="auto"/>
            <w:vAlign w:val="center"/>
          </w:tcPr>
          <w:p w14:paraId="2150A38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3.95</w:t>
            </w:r>
          </w:p>
        </w:tc>
        <w:tc>
          <w:tcPr>
            <w:tcW w:w="540" w:type="dxa"/>
            <w:shd w:val="clear" w:color="auto" w:fill="auto"/>
            <w:vAlign w:val="center"/>
          </w:tcPr>
          <w:p w14:paraId="2150A38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36" w:type="dxa"/>
            <w:shd w:val="clear" w:color="auto" w:fill="auto"/>
            <w:vAlign w:val="center"/>
          </w:tcPr>
          <w:p w14:paraId="2150A38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0.04</w:t>
            </w:r>
          </w:p>
        </w:tc>
        <w:tc>
          <w:tcPr>
            <w:tcW w:w="271" w:type="dxa"/>
            <w:shd w:val="clear" w:color="auto" w:fill="auto"/>
            <w:vAlign w:val="center"/>
          </w:tcPr>
          <w:p w14:paraId="2150A384"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A38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7.05</w:t>
            </w:r>
          </w:p>
        </w:tc>
        <w:tc>
          <w:tcPr>
            <w:tcW w:w="406" w:type="dxa"/>
            <w:shd w:val="clear" w:color="auto" w:fill="auto"/>
            <w:vAlign w:val="center"/>
          </w:tcPr>
          <w:p w14:paraId="2150A38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A38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0.06</w:t>
            </w:r>
          </w:p>
        </w:tc>
        <w:tc>
          <w:tcPr>
            <w:tcW w:w="360" w:type="dxa"/>
            <w:shd w:val="clear" w:color="auto" w:fill="auto"/>
            <w:vAlign w:val="center"/>
          </w:tcPr>
          <w:p w14:paraId="2150A388" w14:textId="77777777" w:rsidR="00E7693B" w:rsidRPr="00E7693B" w:rsidRDefault="00E7693B">
            <w:pPr>
              <w:jc w:val="center"/>
              <w:rPr>
                <w:rFonts w:ascii="Times New Roman" w:hAnsi="Times New Roman" w:cs="Times New Roman"/>
                <w:color w:val="000000"/>
              </w:rPr>
            </w:pPr>
          </w:p>
        </w:tc>
        <w:tc>
          <w:tcPr>
            <w:tcW w:w="670" w:type="dxa"/>
            <w:shd w:val="clear" w:color="auto" w:fill="auto"/>
            <w:vAlign w:val="center"/>
          </w:tcPr>
          <w:p w14:paraId="2150A38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3.27</w:t>
            </w:r>
          </w:p>
        </w:tc>
        <w:tc>
          <w:tcPr>
            <w:tcW w:w="407" w:type="dxa"/>
            <w:shd w:val="clear" w:color="auto" w:fill="auto"/>
            <w:vAlign w:val="center"/>
          </w:tcPr>
          <w:p w14:paraId="2150A38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8" w:type="dxa"/>
            <w:shd w:val="clear" w:color="auto" w:fill="auto"/>
            <w:vAlign w:val="center"/>
          </w:tcPr>
          <w:p w14:paraId="2150A38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0.05</w:t>
            </w:r>
          </w:p>
        </w:tc>
        <w:tc>
          <w:tcPr>
            <w:tcW w:w="250" w:type="dxa"/>
            <w:shd w:val="clear" w:color="auto" w:fill="auto"/>
            <w:vAlign w:val="center"/>
          </w:tcPr>
          <w:p w14:paraId="2150A38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60" w:type="dxa"/>
            <w:shd w:val="clear" w:color="auto" w:fill="auto"/>
            <w:vAlign w:val="center"/>
          </w:tcPr>
          <w:p w14:paraId="2150A38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9D" w14:textId="77777777">
        <w:trPr>
          <w:trHeight w:val="1091"/>
        </w:trPr>
        <w:tc>
          <w:tcPr>
            <w:tcW w:w="2290" w:type="dxa"/>
            <w:shd w:val="clear" w:color="auto" w:fill="auto"/>
            <w:vAlign w:val="center"/>
          </w:tcPr>
          <w:p w14:paraId="2150A38F"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Neoglucobrassicin</w:t>
            </w:r>
            <w:proofErr w:type="spellEnd"/>
            <w:r w:rsidRPr="00E7693B">
              <w:rPr>
                <w:rFonts w:ascii="Times New Roman" w:hAnsi="Times New Roman" w:cs="Times New Roman"/>
                <w:color w:val="000000"/>
              </w:rPr>
              <w:t xml:space="preserve"> (N-methoxyindol-3-ylmethyl, NMOI3M)</w:t>
            </w:r>
          </w:p>
        </w:tc>
        <w:tc>
          <w:tcPr>
            <w:tcW w:w="642" w:type="dxa"/>
            <w:shd w:val="clear" w:color="auto" w:fill="auto"/>
            <w:vAlign w:val="center"/>
          </w:tcPr>
          <w:p w14:paraId="2150A39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0.59</w:t>
            </w:r>
          </w:p>
        </w:tc>
        <w:tc>
          <w:tcPr>
            <w:tcW w:w="540" w:type="dxa"/>
            <w:shd w:val="clear" w:color="auto" w:fill="auto"/>
            <w:vAlign w:val="center"/>
          </w:tcPr>
          <w:p w14:paraId="2150A39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36" w:type="dxa"/>
            <w:shd w:val="clear" w:color="auto" w:fill="auto"/>
            <w:vAlign w:val="center"/>
          </w:tcPr>
          <w:p w14:paraId="2150A39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0.76</w:t>
            </w:r>
          </w:p>
        </w:tc>
        <w:tc>
          <w:tcPr>
            <w:tcW w:w="271" w:type="dxa"/>
            <w:shd w:val="clear" w:color="auto" w:fill="auto"/>
            <w:vAlign w:val="center"/>
          </w:tcPr>
          <w:p w14:paraId="2150A393"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A39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4.90</w:t>
            </w:r>
          </w:p>
        </w:tc>
        <w:tc>
          <w:tcPr>
            <w:tcW w:w="406" w:type="dxa"/>
            <w:shd w:val="clear" w:color="auto" w:fill="auto"/>
            <w:vAlign w:val="center"/>
          </w:tcPr>
          <w:p w14:paraId="2150A39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A39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0.08</w:t>
            </w:r>
          </w:p>
        </w:tc>
        <w:tc>
          <w:tcPr>
            <w:tcW w:w="360" w:type="dxa"/>
            <w:shd w:val="clear" w:color="auto" w:fill="auto"/>
            <w:vAlign w:val="center"/>
          </w:tcPr>
          <w:p w14:paraId="2150A397" w14:textId="77777777" w:rsidR="00E7693B" w:rsidRPr="00E7693B" w:rsidRDefault="00E7693B">
            <w:pPr>
              <w:jc w:val="center"/>
              <w:rPr>
                <w:rFonts w:ascii="Times New Roman" w:hAnsi="Times New Roman" w:cs="Times New Roman"/>
                <w:color w:val="000000"/>
              </w:rPr>
            </w:pPr>
          </w:p>
        </w:tc>
        <w:tc>
          <w:tcPr>
            <w:tcW w:w="670" w:type="dxa"/>
            <w:shd w:val="clear" w:color="auto" w:fill="auto"/>
            <w:vAlign w:val="center"/>
          </w:tcPr>
          <w:p w14:paraId="2150A39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3.33</w:t>
            </w:r>
          </w:p>
        </w:tc>
        <w:tc>
          <w:tcPr>
            <w:tcW w:w="407" w:type="dxa"/>
            <w:shd w:val="clear" w:color="auto" w:fill="auto"/>
            <w:vAlign w:val="center"/>
          </w:tcPr>
          <w:p w14:paraId="2150A39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8" w:type="dxa"/>
            <w:shd w:val="clear" w:color="auto" w:fill="auto"/>
            <w:vAlign w:val="center"/>
          </w:tcPr>
          <w:p w14:paraId="2150A39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0.05</w:t>
            </w:r>
          </w:p>
        </w:tc>
        <w:tc>
          <w:tcPr>
            <w:tcW w:w="250" w:type="dxa"/>
            <w:shd w:val="clear" w:color="auto" w:fill="auto"/>
            <w:vAlign w:val="center"/>
          </w:tcPr>
          <w:p w14:paraId="2150A39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960" w:type="dxa"/>
            <w:shd w:val="clear" w:color="auto" w:fill="auto"/>
            <w:vAlign w:val="center"/>
          </w:tcPr>
          <w:p w14:paraId="2150A39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AC" w14:textId="77777777">
        <w:trPr>
          <w:trHeight w:val="811"/>
        </w:trPr>
        <w:tc>
          <w:tcPr>
            <w:tcW w:w="2290" w:type="dxa"/>
            <w:shd w:val="clear" w:color="auto" w:fill="auto"/>
            <w:vAlign w:val="center"/>
          </w:tcPr>
          <w:p w14:paraId="2150A39E"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indole (IG)</w:t>
            </w:r>
          </w:p>
        </w:tc>
        <w:tc>
          <w:tcPr>
            <w:tcW w:w="642" w:type="dxa"/>
            <w:shd w:val="clear" w:color="auto" w:fill="auto"/>
            <w:vAlign w:val="center"/>
          </w:tcPr>
          <w:p w14:paraId="2150A39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0.99</w:t>
            </w:r>
          </w:p>
        </w:tc>
        <w:tc>
          <w:tcPr>
            <w:tcW w:w="540" w:type="dxa"/>
            <w:shd w:val="clear" w:color="auto" w:fill="auto"/>
            <w:vAlign w:val="center"/>
          </w:tcPr>
          <w:p w14:paraId="2150A3A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36" w:type="dxa"/>
            <w:shd w:val="clear" w:color="auto" w:fill="auto"/>
            <w:vAlign w:val="center"/>
          </w:tcPr>
          <w:p w14:paraId="2150A3A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0.51</w:t>
            </w:r>
          </w:p>
        </w:tc>
        <w:tc>
          <w:tcPr>
            <w:tcW w:w="271" w:type="dxa"/>
            <w:shd w:val="clear" w:color="auto" w:fill="auto"/>
            <w:vAlign w:val="center"/>
          </w:tcPr>
          <w:p w14:paraId="2150A3A2"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A3A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0.07</w:t>
            </w:r>
          </w:p>
        </w:tc>
        <w:tc>
          <w:tcPr>
            <w:tcW w:w="406" w:type="dxa"/>
            <w:shd w:val="clear" w:color="auto" w:fill="auto"/>
            <w:vAlign w:val="center"/>
          </w:tcPr>
          <w:p w14:paraId="2150A3A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A3A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0.89</w:t>
            </w:r>
          </w:p>
        </w:tc>
        <w:tc>
          <w:tcPr>
            <w:tcW w:w="360" w:type="dxa"/>
            <w:shd w:val="clear" w:color="auto" w:fill="auto"/>
            <w:vAlign w:val="center"/>
          </w:tcPr>
          <w:p w14:paraId="2150A3A6" w14:textId="77777777" w:rsidR="00E7693B" w:rsidRPr="00E7693B" w:rsidRDefault="00E7693B">
            <w:pPr>
              <w:jc w:val="center"/>
              <w:rPr>
                <w:rFonts w:ascii="Times New Roman" w:hAnsi="Times New Roman" w:cs="Times New Roman"/>
                <w:color w:val="000000"/>
              </w:rPr>
            </w:pPr>
          </w:p>
        </w:tc>
        <w:tc>
          <w:tcPr>
            <w:tcW w:w="670" w:type="dxa"/>
            <w:shd w:val="clear" w:color="auto" w:fill="auto"/>
            <w:vAlign w:val="center"/>
          </w:tcPr>
          <w:p w14:paraId="2150A3A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1.38</w:t>
            </w:r>
          </w:p>
        </w:tc>
        <w:tc>
          <w:tcPr>
            <w:tcW w:w="407" w:type="dxa"/>
            <w:shd w:val="clear" w:color="auto" w:fill="auto"/>
            <w:vAlign w:val="center"/>
          </w:tcPr>
          <w:p w14:paraId="2150A3A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8" w:type="dxa"/>
            <w:shd w:val="clear" w:color="auto" w:fill="auto"/>
            <w:vAlign w:val="center"/>
          </w:tcPr>
          <w:p w14:paraId="2150A3A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0.59</w:t>
            </w:r>
          </w:p>
        </w:tc>
        <w:tc>
          <w:tcPr>
            <w:tcW w:w="250" w:type="dxa"/>
            <w:shd w:val="clear" w:color="auto" w:fill="auto"/>
            <w:vAlign w:val="center"/>
          </w:tcPr>
          <w:p w14:paraId="2150A3AA"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3A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BB" w14:textId="77777777">
        <w:trPr>
          <w:trHeight w:val="811"/>
        </w:trPr>
        <w:tc>
          <w:tcPr>
            <w:tcW w:w="2290" w:type="dxa"/>
            <w:shd w:val="clear" w:color="auto" w:fill="auto"/>
            <w:vAlign w:val="center"/>
          </w:tcPr>
          <w:p w14:paraId="2150A3AD"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GLS</w:t>
            </w:r>
          </w:p>
        </w:tc>
        <w:tc>
          <w:tcPr>
            <w:tcW w:w="642" w:type="dxa"/>
            <w:shd w:val="clear" w:color="auto" w:fill="auto"/>
            <w:vAlign w:val="center"/>
          </w:tcPr>
          <w:p w14:paraId="2150A3A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1.26</w:t>
            </w:r>
          </w:p>
        </w:tc>
        <w:tc>
          <w:tcPr>
            <w:tcW w:w="540" w:type="dxa"/>
            <w:shd w:val="clear" w:color="auto" w:fill="auto"/>
            <w:vAlign w:val="center"/>
          </w:tcPr>
          <w:p w14:paraId="2150A3A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36" w:type="dxa"/>
            <w:shd w:val="clear" w:color="auto" w:fill="auto"/>
            <w:vAlign w:val="center"/>
          </w:tcPr>
          <w:p w14:paraId="2150A3B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0.42</w:t>
            </w:r>
          </w:p>
        </w:tc>
        <w:tc>
          <w:tcPr>
            <w:tcW w:w="271" w:type="dxa"/>
            <w:shd w:val="clear" w:color="auto" w:fill="auto"/>
            <w:vAlign w:val="center"/>
          </w:tcPr>
          <w:p w14:paraId="2150A3B1" w14:textId="77777777" w:rsidR="00E7693B" w:rsidRPr="00E7693B" w:rsidRDefault="00E7693B">
            <w:pPr>
              <w:jc w:val="center"/>
              <w:rPr>
                <w:rFonts w:ascii="Times New Roman" w:hAnsi="Times New Roman" w:cs="Times New Roman"/>
                <w:color w:val="000000"/>
              </w:rPr>
            </w:pPr>
          </w:p>
        </w:tc>
        <w:tc>
          <w:tcPr>
            <w:tcW w:w="673" w:type="dxa"/>
            <w:shd w:val="clear" w:color="auto" w:fill="auto"/>
            <w:vAlign w:val="center"/>
          </w:tcPr>
          <w:p w14:paraId="2150A3B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0.17</w:t>
            </w:r>
          </w:p>
        </w:tc>
        <w:tc>
          <w:tcPr>
            <w:tcW w:w="406" w:type="dxa"/>
            <w:shd w:val="clear" w:color="auto" w:fill="auto"/>
            <w:vAlign w:val="center"/>
          </w:tcPr>
          <w:p w14:paraId="2150A3B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8" w:type="dxa"/>
            <w:shd w:val="clear" w:color="auto" w:fill="auto"/>
            <w:vAlign w:val="center"/>
          </w:tcPr>
          <w:p w14:paraId="2150A3B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0.88</w:t>
            </w:r>
          </w:p>
        </w:tc>
        <w:tc>
          <w:tcPr>
            <w:tcW w:w="360" w:type="dxa"/>
            <w:shd w:val="clear" w:color="auto" w:fill="auto"/>
            <w:vAlign w:val="center"/>
          </w:tcPr>
          <w:p w14:paraId="2150A3B5" w14:textId="77777777" w:rsidR="00E7693B" w:rsidRPr="00E7693B" w:rsidRDefault="00E7693B">
            <w:pPr>
              <w:jc w:val="center"/>
              <w:rPr>
                <w:rFonts w:ascii="Times New Roman" w:hAnsi="Times New Roman" w:cs="Times New Roman"/>
                <w:color w:val="000000"/>
              </w:rPr>
            </w:pPr>
          </w:p>
        </w:tc>
        <w:tc>
          <w:tcPr>
            <w:tcW w:w="670" w:type="dxa"/>
            <w:shd w:val="clear" w:color="auto" w:fill="auto"/>
            <w:vAlign w:val="center"/>
          </w:tcPr>
          <w:p w14:paraId="2150A3B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1.06</w:t>
            </w:r>
          </w:p>
        </w:tc>
        <w:tc>
          <w:tcPr>
            <w:tcW w:w="407" w:type="dxa"/>
            <w:shd w:val="clear" w:color="auto" w:fill="auto"/>
            <w:vAlign w:val="center"/>
          </w:tcPr>
          <w:p w14:paraId="2150A3B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8" w:type="dxa"/>
            <w:shd w:val="clear" w:color="auto" w:fill="auto"/>
            <w:vAlign w:val="center"/>
          </w:tcPr>
          <w:p w14:paraId="2150A3B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0.67</w:t>
            </w:r>
          </w:p>
        </w:tc>
        <w:tc>
          <w:tcPr>
            <w:tcW w:w="250" w:type="dxa"/>
            <w:shd w:val="clear" w:color="auto" w:fill="auto"/>
            <w:vAlign w:val="center"/>
          </w:tcPr>
          <w:p w14:paraId="2150A3B9"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3B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bl>
    <w:p w14:paraId="2150A3BC" w14:textId="77777777" w:rsidR="00E7693B" w:rsidRPr="00E7693B" w:rsidRDefault="00E7693B">
      <w:pPr>
        <w:spacing w:after="240" w:line="360" w:lineRule="auto"/>
        <w:jc w:val="both"/>
        <w:rPr>
          <w:rFonts w:ascii="Times New Roman" w:hAnsi="Times New Roman" w:cs="Times New Roman"/>
        </w:rPr>
      </w:pPr>
    </w:p>
    <w:p w14:paraId="2150A3BD" w14:textId="62A5C0F4" w:rsidR="00E7693B" w:rsidRPr="00E7693B" w:rsidRDefault="005B6C8D">
      <w:pPr>
        <w:spacing w:after="240" w:line="360" w:lineRule="auto"/>
        <w:jc w:val="center"/>
        <w:rPr>
          <w:rFonts w:ascii="Times New Roman" w:hAnsi="Times New Roman" w:cs="Times New Roman"/>
        </w:rPr>
      </w:pPr>
      <w:r>
        <w:rPr>
          <w:noProof/>
          <w:lang w:val="en-US"/>
        </w:rPr>
        <w:drawing>
          <wp:inline distT="0" distB="0" distL="0" distR="0" wp14:anchorId="0BE83965" wp14:editId="66EE889E">
            <wp:extent cx="5583961" cy="4315361"/>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1"/>
                    <a:srcRect l="829" t="6720"/>
                    <a:stretch>
                      <a:fillRect/>
                    </a:stretch>
                  </pic:blipFill>
                  <pic:spPr>
                    <a:xfrm>
                      <a:off x="0" y="0"/>
                      <a:ext cx="5583961" cy="4315361"/>
                    </a:xfrm>
                    <a:prstGeom prst="rect">
                      <a:avLst/>
                    </a:prstGeom>
                    <a:ln/>
                  </pic:spPr>
                </pic:pic>
              </a:graphicData>
            </a:graphic>
          </wp:inline>
        </w:drawing>
      </w:r>
    </w:p>
    <w:p w14:paraId="2150A3BE" w14:textId="12E0A6A7" w:rsidR="00E7693B" w:rsidRPr="00E7693B" w:rsidRDefault="00E7693B">
      <w:pPr>
        <w:spacing w:before="240" w:after="240" w:line="360" w:lineRule="auto"/>
        <w:jc w:val="both"/>
        <w:rPr>
          <w:rFonts w:ascii="Times New Roman" w:hAnsi="Times New Roman" w:cs="Times New Roman"/>
          <w:highlight w:val="white"/>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40</w:t>
      </w:r>
      <w:r w:rsidRPr="00E7693B">
        <w:rPr>
          <w:rFonts w:ascii="Times New Roman" w:hAnsi="Times New Roman" w:cs="Times New Roman"/>
        </w:rPr>
        <w:t xml:space="preserve">. </w:t>
      </w:r>
      <w:r w:rsidRPr="00E7693B">
        <w:rPr>
          <w:rFonts w:ascii="Times New Roman" w:hAnsi="Times New Roman" w:cs="Times New Roman"/>
          <w:color w:val="000000"/>
        </w:rPr>
        <w:t xml:space="preserve">Total glucosinolate (GLS) content in </w:t>
      </w:r>
      <w:r w:rsidRPr="00E7693B">
        <w:rPr>
          <w:rFonts w:ascii="Times New Roman" w:hAnsi="Times New Roman" w:cs="Times New Roman"/>
        </w:rPr>
        <w:t xml:space="preserve">the second biological repetition in the true leaves of cauliflower inoculated with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and previously inoculated with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Distilled water (dH2O) was used as control on the leaves, and on the roots together with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w:t>
      </w:r>
      <w:r w:rsidR="00B150F8">
        <w:rPr>
          <w:rFonts w:ascii="Times New Roman" w:hAnsi="Times New Roman" w:cs="Times New Roman"/>
        </w:rPr>
        <w:t>GLSs were analysed</w:t>
      </w:r>
      <w:r w:rsidR="00B150F8" w:rsidRPr="00E7693B" w:rsidDel="00B150F8">
        <w:rPr>
          <w:rFonts w:ascii="Times New Roman" w:hAnsi="Times New Roman" w:cs="Times New Roman"/>
        </w:rPr>
        <w:t xml:space="preserve"> </w:t>
      </w:r>
      <w:r w:rsidRPr="00E7693B">
        <w:rPr>
          <w:rFonts w:ascii="Times New Roman" w:hAnsi="Times New Roman" w:cs="Times New Roman"/>
        </w:rPr>
        <w:t xml:space="preserve">0, 7 and 14 days post </w:t>
      </w:r>
      <w:r w:rsidRPr="00E7693B">
        <w:rPr>
          <w:rFonts w:ascii="Times New Roman" w:hAnsi="Times New Roman" w:cs="Times New Roman"/>
          <w:i/>
        </w:rPr>
        <w:t xml:space="preserve">L. </w:t>
      </w:r>
      <w:proofErr w:type="spellStart"/>
      <w:r w:rsidRPr="00E7693B">
        <w:rPr>
          <w:rFonts w:ascii="Times New Roman" w:hAnsi="Times New Roman" w:cs="Times New Roman"/>
          <w:i/>
        </w:rPr>
        <w:t>maculans</w:t>
      </w:r>
      <w:proofErr w:type="spellEnd"/>
      <w:r w:rsidRPr="00E7693B">
        <w:rPr>
          <w:rFonts w:ascii="Times New Roman" w:hAnsi="Times New Roman" w:cs="Times New Roman"/>
        </w:rPr>
        <w:t xml:space="preserve"> inoculation (dpi). Boxplots show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w:t>
      </w:r>
      <w:r w:rsidRPr="00E7693B">
        <w:rPr>
          <w:rFonts w:ascii="Times New Roman" w:hAnsi="Times New Roman" w:cs="Times New Roman"/>
          <w:u w:val="single"/>
        </w:rPr>
        <w:t>Aliphatic compounds</w:t>
      </w:r>
      <w:r w:rsidRPr="00E7693B">
        <w:rPr>
          <w:rFonts w:ascii="Times New Roman" w:hAnsi="Times New Roman" w:cs="Times New Roman"/>
        </w:rPr>
        <w:t xml:space="preserve">: </w:t>
      </w:r>
      <w:proofErr w:type="spellStart"/>
      <w:r w:rsidRPr="00E7693B">
        <w:rPr>
          <w:rFonts w:ascii="Times New Roman" w:hAnsi="Times New Roman" w:cs="Times New Roman"/>
        </w:rPr>
        <w:t>glucoiberin</w:t>
      </w:r>
      <w:proofErr w:type="spellEnd"/>
      <w:r w:rsidRPr="00E7693B">
        <w:rPr>
          <w:rFonts w:ascii="Times New Roman" w:hAnsi="Times New Roman" w:cs="Times New Roman"/>
        </w:rPr>
        <w:t xml:space="preserve">, sinigrin, </w:t>
      </w:r>
      <w:proofErr w:type="spellStart"/>
      <w:r w:rsidRPr="00E7693B">
        <w:rPr>
          <w:rFonts w:ascii="Times New Roman" w:hAnsi="Times New Roman" w:cs="Times New Roman"/>
        </w:rPr>
        <w:t>glucoibarin</w:t>
      </w:r>
      <w:proofErr w:type="spellEnd"/>
      <w:r w:rsidRPr="00E7693B">
        <w:rPr>
          <w:rFonts w:ascii="Times New Roman" w:hAnsi="Times New Roman" w:cs="Times New Roman"/>
        </w:rPr>
        <w:t xml:space="preserve">; </w:t>
      </w:r>
      <w:r w:rsidRPr="00E7693B">
        <w:rPr>
          <w:rFonts w:ascii="Times New Roman" w:hAnsi="Times New Roman" w:cs="Times New Roman"/>
          <w:u w:val="single"/>
        </w:rPr>
        <w:t>aromatic/indole compounds</w:t>
      </w:r>
      <w:r w:rsidRPr="00E7693B">
        <w:rPr>
          <w:rFonts w:ascii="Times New Roman" w:hAnsi="Times New Roman" w:cs="Times New Roman"/>
        </w:rPr>
        <w:t xml:space="preserve">: </w:t>
      </w:r>
      <w:proofErr w:type="spellStart"/>
      <w:r w:rsidRPr="00E7693B">
        <w:rPr>
          <w:rFonts w:ascii="Times New Roman" w:hAnsi="Times New Roman" w:cs="Times New Roman"/>
        </w:rPr>
        <w:t>glucobrassicin</w:t>
      </w:r>
      <w:proofErr w:type="spellEnd"/>
      <w:r w:rsidRPr="00E7693B">
        <w:rPr>
          <w:rFonts w:ascii="Times New Roman" w:hAnsi="Times New Roman" w:cs="Times New Roman"/>
        </w:rPr>
        <w:t xml:space="preserve">, 4-methoxyglucobrassicin, </w:t>
      </w:r>
      <w:proofErr w:type="spellStart"/>
      <w:r w:rsidRPr="00E7693B">
        <w:rPr>
          <w:rFonts w:ascii="Times New Roman" w:hAnsi="Times New Roman" w:cs="Times New Roman"/>
        </w:rPr>
        <w:t>neoglucobrassicin</w:t>
      </w:r>
      <w:proofErr w:type="spellEnd"/>
      <w:r w:rsidRPr="00E7693B">
        <w:rPr>
          <w:rFonts w:ascii="Times New Roman" w:hAnsi="Times New Roman" w:cs="Times New Roman"/>
        </w:rPr>
        <w:t xml:space="preserve">. </w:t>
      </w:r>
      <w:r w:rsidRPr="00E7693B">
        <w:rPr>
          <w:rFonts w:ascii="Times New Roman" w:hAnsi="Times New Roman" w:cs="Times New Roman"/>
          <w:highlight w:val="white"/>
        </w:rPr>
        <w:t>Abbreviations: AG = aliphatic glucosinolate; IG = indole glucosinolate; ns = not significant.</w:t>
      </w:r>
    </w:p>
    <w:p w14:paraId="2150A3BF" w14:textId="77777777" w:rsidR="00E7693B" w:rsidRPr="00E7693B" w:rsidRDefault="00E7693B">
      <w:pPr>
        <w:spacing w:before="240"/>
        <w:rPr>
          <w:rFonts w:ascii="Times New Roman" w:hAnsi="Times New Roman" w:cs="Times New Roman"/>
        </w:rPr>
      </w:pPr>
      <w:r w:rsidRPr="00E7693B">
        <w:rPr>
          <w:rFonts w:ascii="Times New Roman" w:hAnsi="Times New Roman" w:cs="Times New Roman"/>
          <w:b/>
          <w:color w:val="000000"/>
        </w:rPr>
        <w:t xml:space="preserve">Table 9. </w:t>
      </w:r>
      <w:r w:rsidRPr="00E7693B">
        <w:rPr>
          <w:rFonts w:ascii="Times New Roman" w:hAnsi="Times New Roman" w:cs="Times New Roman"/>
          <w:color w:val="000000"/>
        </w:rPr>
        <w:t xml:space="preserve">Statistical values of glucosinolates (GLSs) in the second biological repetition. F values, </w:t>
      </w:r>
      <w:proofErr w:type="spellStart"/>
      <w:r w:rsidRPr="00E7693B">
        <w:rPr>
          <w:rFonts w:ascii="Times New Roman" w:hAnsi="Times New Roman" w:cs="Times New Roman"/>
          <w:color w:val="000000"/>
        </w:rPr>
        <w:t>df</w:t>
      </w:r>
      <w:proofErr w:type="spellEnd"/>
      <w:r w:rsidRPr="00E7693B">
        <w:rPr>
          <w:rFonts w:ascii="Times New Roman" w:hAnsi="Times New Roman" w:cs="Times New Roman"/>
          <w:color w:val="000000"/>
        </w:rPr>
        <w:t xml:space="preserve">, P values and residual </w:t>
      </w:r>
      <w:proofErr w:type="spellStart"/>
      <w:r w:rsidRPr="00E7693B">
        <w:rPr>
          <w:rFonts w:ascii="Times New Roman" w:hAnsi="Times New Roman" w:cs="Times New Roman"/>
          <w:color w:val="000000"/>
        </w:rPr>
        <w:t>df</w:t>
      </w:r>
      <w:proofErr w:type="spellEnd"/>
      <w:r w:rsidRPr="00E7693B">
        <w:rPr>
          <w:rFonts w:ascii="Times New Roman" w:hAnsi="Times New Roman" w:cs="Times New Roman"/>
          <w:color w:val="000000"/>
        </w:rPr>
        <w:t xml:space="preserve"> for all the analysed compounds; ".": P &lt; 0.1, *: P &lt; 0.05, **: P &lt; 0.01, ***: P &lt; 0.001.</w:t>
      </w:r>
    </w:p>
    <w:tbl>
      <w:tblPr>
        <w:tblW w:w="9081" w:type="dxa"/>
        <w:tblInd w:w="-10" w:type="dxa"/>
        <w:tblBorders>
          <w:top w:val="single" w:sz="4" w:space="0" w:color="000000"/>
          <w:bottom w:val="single" w:sz="4" w:space="0" w:color="000000"/>
        </w:tblBorders>
        <w:tblLayout w:type="fixed"/>
        <w:tblCellMar>
          <w:left w:w="10" w:type="dxa"/>
          <w:right w:w="10" w:type="dxa"/>
        </w:tblCellMar>
        <w:tblLook w:val="0400" w:firstRow="0" w:lastRow="0" w:firstColumn="0" w:lastColumn="0" w:noHBand="0" w:noVBand="1"/>
      </w:tblPr>
      <w:tblGrid>
        <w:gridCol w:w="2244"/>
        <w:gridCol w:w="642"/>
        <w:gridCol w:w="533"/>
        <w:gridCol w:w="529"/>
        <w:gridCol w:w="269"/>
        <w:gridCol w:w="662"/>
        <w:gridCol w:w="401"/>
        <w:gridCol w:w="531"/>
        <w:gridCol w:w="470"/>
        <w:gridCol w:w="659"/>
        <w:gridCol w:w="402"/>
        <w:gridCol w:w="531"/>
        <w:gridCol w:w="248"/>
        <w:gridCol w:w="960"/>
      </w:tblGrid>
      <w:tr w:rsidR="00E7693B" w:rsidRPr="00E7693B" w14:paraId="2150A3C5" w14:textId="77777777">
        <w:trPr>
          <w:trHeight w:val="300"/>
        </w:trPr>
        <w:tc>
          <w:tcPr>
            <w:tcW w:w="2244" w:type="dxa"/>
            <w:vMerge w:val="restart"/>
            <w:tcBorders>
              <w:top w:val="single" w:sz="4" w:space="0" w:color="000000"/>
              <w:bottom w:val="nil"/>
            </w:tcBorders>
            <w:shd w:val="clear" w:color="auto" w:fill="auto"/>
            <w:vAlign w:val="center"/>
          </w:tcPr>
          <w:p w14:paraId="2150A3C0"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Compound</w:t>
            </w:r>
          </w:p>
        </w:tc>
        <w:tc>
          <w:tcPr>
            <w:tcW w:w="1973" w:type="dxa"/>
            <w:gridSpan w:val="4"/>
            <w:tcBorders>
              <w:top w:val="single" w:sz="4" w:space="0" w:color="000000"/>
              <w:bottom w:val="nil"/>
            </w:tcBorders>
            <w:shd w:val="clear" w:color="auto" w:fill="auto"/>
            <w:vAlign w:val="bottom"/>
          </w:tcPr>
          <w:p w14:paraId="2150A3C1"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Treatment</w:t>
            </w:r>
          </w:p>
        </w:tc>
        <w:tc>
          <w:tcPr>
            <w:tcW w:w="2064" w:type="dxa"/>
            <w:gridSpan w:val="4"/>
            <w:tcBorders>
              <w:top w:val="single" w:sz="4" w:space="0" w:color="000000"/>
              <w:bottom w:val="nil"/>
            </w:tcBorders>
            <w:shd w:val="clear" w:color="auto" w:fill="auto"/>
            <w:vAlign w:val="bottom"/>
          </w:tcPr>
          <w:p w14:paraId="2150A3C2"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Time</w:t>
            </w:r>
          </w:p>
        </w:tc>
        <w:tc>
          <w:tcPr>
            <w:tcW w:w="1840" w:type="dxa"/>
            <w:gridSpan w:val="4"/>
            <w:tcBorders>
              <w:top w:val="single" w:sz="4" w:space="0" w:color="000000"/>
              <w:bottom w:val="nil"/>
            </w:tcBorders>
            <w:shd w:val="clear" w:color="auto" w:fill="auto"/>
            <w:vAlign w:val="bottom"/>
          </w:tcPr>
          <w:p w14:paraId="2150A3C3"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Treatment:Time</w:t>
            </w:r>
            <w:proofErr w:type="spellEnd"/>
          </w:p>
        </w:tc>
        <w:tc>
          <w:tcPr>
            <w:tcW w:w="960" w:type="dxa"/>
            <w:tcBorders>
              <w:top w:val="single" w:sz="4" w:space="0" w:color="000000"/>
              <w:bottom w:val="nil"/>
            </w:tcBorders>
            <w:shd w:val="clear" w:color="auto" w:fill="auto"/>
            <w:vAlign w:val="bottom"/>
          </w:tcPr>
          <w:p w14:paraId="2150A3C4"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w:t>
            </w:r>
          </w:p>
        </w:tc>
      </w:tr>
      <w:tr w:rsidR="00E7693B" w:rsidRPr="00E7693B" w14:paraId="2150A3D1" w14:textId="77777777">
        <w:trPr>
          <w:trHeight w:val="315"/>
        </w:trPr>
        <w:tc>
          <w:tcPr>
            <w:tcW w:w="2244" w:type="dxa"/>
            <w:vMerge/>
            <w:tcBorders>
              <w:top w:val="single" w:sz="4" w:space="0" w:color="000000"/>
              <w:bottom w:val="nil"/>
            </w:tcBorders>
            <w:shd w:val="clear" w:color="auto" w:fill="auto"/>
            <w:vAlign w:val="center"/>
          </w:tcPr>
          <w:p w14:paraId="2150A3C6" w14:textId="77777777" w:rsidR="00E7693B" w:rsidRPr="00E7693B" w:rsidRDefault="00E7693B">
            <w:pPr>
              <w:widowControl w:val="0"/>
              <w:pBdr>
                <w:top w:val="nil"/>
                <w:left w:val="nil"/>
                <w:bottom w:val="nil"/>
                <w:right w:val="nil"/>
                <w:between w:val="nil"/>
              </w:pBdr>
              <w:spacing w:line="276" w:lineRule="auto"/>
              <w:rPr>
                <w:rFonts w:ascii="Times New Roman" w:hAnsi="Times New Roman" w:cs="Times New Roman"/>
                <w:b/>
                <w:color w:val="000000"/>
              </w:rPr>
            </w:pPr>
          </w:p>
        </w:tc>
        <w:tc>
          <w:tcPr>
            <w:tcW w:w="642" w:type="dxa"/>
            <w:tcBorders>
              <w:top w:val="nil"/>
              <w:bottom w:val="single" w:sz="4" w:space="0" w:color="000000"/>
            </w:tcBorders>
            <w:shd w:val="clear" w:color="auto" w:fill="auto"/>
            <w:vAlign w:val="bottom"/>
          </w:tcPr>
          <w:p w14:paraId="2150A3C7"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533" w:type="dxa"/>
            <w:tcBorders>
              <w:top w:val="nil"/>
              <w:bottom w:val="single" w:sz="4" w:space="0" w:color="000000"/>
            </w:tcBorders>
            <w:shd w:val="clear" w:color="auto" w:fill="auto"/>
            <w:vAlign w:val="bottom"/>
          </w:tcPr>
          <w:p w14:paraId="2150A3C8"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798" w:type="dxa"/>
            <w:gridSpan w:val="2"/>
            <w:tcBorders>
              <w:top w:val="nil"/>
              <w:bottom w:val="single" w:sz="4" w:space="0" w:color="000000"/>
            </w:tcBorders>
            <w:shd w:val="clear" w:color="auto" w:fill="auto"/>
            <w:vAlign w:val="bottom"/>
          </w:tcPr>
          <w:p w14:paraId="2150A3C9"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62" w:type="dxa"/>
            <w:tcBorders>
              <w:top w:val="nil"/>
              <w:bottom w:val="single" w:sz="4" w:space="0" w:color="000000"/>
            </w:tcBorders>
            <w:shd w:val="clear" w:color="auto" w:fill="auto"/>
            <w:vAlign w:val="bottom"/>
          </w:tcPr>
          <w:p w14:paraId="2150A3CA"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401" w:type="dxa"/>
            <w:tcBorders>
              <w:top w:val="nil"/>
              <w:bottom w:val="single" w:sz="4" w:space="0" w:color="000000"/>
            </w:tcBorders>
            <w:shd w:val="clear" w:color="auto" w:fill="auto"/>
            <w:vAlign w:val="bottom"/>
          </w:tcPr>
          <w:p w14:paraId="2150A3CB"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1001" w:type="dxa"/>
            <w:gridSpan w:val="2"/>
            <w:tcBorders>
              <w:top w:val="nil"/>
              <w:bottom w:val="single" w:sz="4" w:space="0" w:color="000000"/>
            </w:tcBorders>
            <w:shd w:val="clear" w:color="auto" w:fill="auto"/>
            <w:vAlign w:val="bottom"/>
          </w:tcPr>
          <w:p w14:paraId="2150A3CC"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659" w:type="dxa"/>
            <w:tcBorders>
              <w:top w:val="nil"/>
              <w:bottom w:val="single" w:sz="4" w:space="0" w:color="000000"/>
            </w:tcBorders>
            <w:shd w:val="clear" w:color="auto" w:fill="auto"/>
            <w:vAlign w:val="bottom"/>
          </w:tcPr>
          <w:p w14:paraId="2150A3CD"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F value</w:t>
            </w:r>
          </w:p>
        </w:tc>
        <w:tc>
          <w:tcPr>
            <w:tcW w:w="402" w:type="dxa"/>
            <w:tcBorders>
              <w:top w:val="nil"/>
              <w:bottom w:val="single" w:sz="4" w:space="0" w:color="000000"/>
            </w:tcBorders>
            <w:shd w:val="clear" w:color="auto" w:fill="auto"/>
            <w:vAlign w:val="bottom"/>
          </w:tcPr>
          <w:p w14:paraId="2150A3CE" w14:textId="77777777" w:rsidR="00E7693B" w:rsidRPr="00E7693B" w:rsidRDefault="00E7693B">
            <w:pPr>
              <w:jc w:val="center"/>
              <w:rPr>
                <w:rFonts w:ascii="Times New Roman" w:hAnsi="Times New Roman" w:cs="Times New Roman"/>
                <w:b/>
                <w:color w:val="000000"/>
              </w:rPr>
            </w:pPr>
            <w:proofErr w:type="spellStart"/>
            <w:r w:rsidRPr="00E7693B">
              <w:rPr>
                <w:rFonts w:ascii="Times New Roman" w:hAnsi="Times New Roman" w:cs="Times New Roman"/>
                <w:b/>
                <w:color w:val="000000"/>
              </w:rPr>
              <w:t>df</w:t>
            </w:r>
            <w:proofErr w:type="spellEnd"/>
          </w:p>
        </w:tc>
        <w:tc>
          <w:tcPr>
            <w:tcW w:w="779" w:type="dxa"/>
            <w:gridSpan w:val="2"/>
            <w:tcBorders>
              <w:top w:val="nil"/>
              <w:bottom w:val="single" w:sz="4" w:space="0" w:color="000000"/>
            </w:tcBorders>
            <w:shd w:val="clear" w:color="auto" w:fill="auto"/>
            <w:vAlign w:val="bottom"/>
          </w:tcPr>
          <w:p w14:paraId="2150A3CF"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P value</w:t>
            </w:r>
          </w:p>
        </w:tc>
        <w:tc>
          <w:tcPr>
            <w:tcW w:w="960" w:type="dxa"/>
            <w:tcBorders>
              <w:top w:val="nil"/>
              <w:bottom w:val="single" w:sz="4" w:space="0" w:color="000000"/>
            </w:tcBorders>
            <w:shd w:val="clear" w:color="auto" w:fill="auto"/>
            <w:vAlign w:val="bottom"/>
          </w:tcPr>
          <w:p w14:paraId="2150A3D0" w14:textId="77777777" w:rsidR="00E7693B" w:rsidRPr="00E7693B" w:rsidRDefault="00E7693B">
            <w:pPr>
              <w:jc w:val="center"/>
              <w:rPr>
                <w:rFonts w:ascii="Times New Roman" w:hAnsi="Times New Roman" w:cs="Times New Roman"/>
                <w:b/>
                <w:color w:val="000000"/>
              </w:rPr>
            </w:pPr>
            <w:r w:rsidRPr="00E7693B">
              <w:rPr>
                <w:rFonts w:ascii="Times New Roman" w:hAnsi="Times New Roman" w:cs="Times New Roman"/>
                <w:b/>
                <w:color w:val="000000"/>
              </w:rPr>
              <w:t xml:space="preserve">Residual </w:t>
            </w:r>
            <w:proofErr w:type="spellStart"/>
            <w:r w:rsidRPr="00E7693B">
              <w:rPr>
                <w:rFonts w:ascii="Times New Roman" w:hAnsi="Times New Roman" w:cs="Times New Roman"/>
                <w:b/>
                <w:color w:val="000000"/>
              </w:rPr>
              <w:t>df</w:t>
            </w:r>
            <w:proofErr w:type="spellEnd"/>
          </w:p>
        </w:tc>
      </w:tr>
      <w:tr w:rsidR="00E7693B" w:rsidRPr="00E7693B" w14:paraId="2150A3E0" w14:textId="77777777">
        <w:trPr>
          <w:trHeight w:val="868"/>
        </w:trPr>
        <w:tc>
          <w:tcPr>
            <w:tcW w:w="2244" w:type="dxa"/>
            <w:tcBorders>
              <w:top w:val="single" w:sz="4" w:space="0" w:color="000000"/>
            </w:tcBorders>
            <w:shd w:val="clear" w:color="auto" w:fill="auto"/>
            <w:vAlign w:val="center"/>
          </w:tcPr>
          <w:p w14:paraId="2150A3D2"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Glucoiberin</w:t>
            </w:r>
            <w:proofErr w:type="spellEnd"/>
            <w:r w:rsidRPr="00E7693B">
              <w:rPr>
                <w:rFonts w:ascii="Times New Roman" w:hAnsi="Times New Roman" w:cs="Times New Roman"/>
                <w:color w:val="000000"/>
              </w:rPr>
              <w:t xml:space="preserve"> (3-methylsulfinylpropyl, 3-msp)</w:t>
            </w:r>
          </w:p>
        </w:tc>
        <w:tc>
          <w:tcPr>
            <w:tcW w:w="642" w:type="dxa"/>
            <w:tcBorders>
              <w:top w:val="single" w:sz="4" w:space="0" w:color="000000"/>
            </w:tcBorders>
            <w:shd w:val="clear" w:color="auto" w:fill="auto"/>
            <w:vAlign w:val="center"/>
          </w:tcPr>
          <w:p w14:paraId="2150A3D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0.80</w:t>
            </w:r>
          </w:p>
        </w:tc>
        <w:tc>
          <w:tcPr>
            <w:tcW w:w="533" w:type="dxa"/>
            <w:tcBorders>
              <w:top w:val="single" w:sz="4" w:space="0" w:color="000000"/>
            </w:tcBorders>
            <w:shd w:val="clear" w:color="auto" w:fill="auto"/>
            <w:vAlign w:val="center"/>
          </w:tcPr>
          <w:p w14:paraId="2150A3D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29" w:type="dxa"/>
            <w:tcBorders>
              <w:top w:val="single" w:sz="4" w:space="0" w:color="000000"/>
            </w:tcBorders>
            <w:shd w:val="clear" w:color="auto" w:fill="auto"/>
            <w:vAlign w:val="center"/>
          </w:tcPr>
          <w:p w14:paraId="2150A3D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0.59</w:t>
            </w:r>
          </w:p>
        </w:tc>
        <w:tc>
          <w:tcPr>
            <w:tcW w:w="269" w:type="dxa"/>
            <w:tcBorders>
              <w:top w:val="single" w:sz="4" w:space="0" w:color="000000"/>
            </w:tcBorders>
            <w:shd w:val="clear" w:color="auto" w:fill="auto"/>
            <w:vAlign w:val="center"/>
          </w:tcPr>
          <w:p w14:paraId="2150A3D6" w14:textId="77777777" w:rsidR="00E7693B" w:rsidRPr="00E7693B" w:rsidRDefault="00E7693B">
            <w:pPr>
              <w:jc w:val="center"/>
              <w:rPr>
                <w:rFonts w:ascii="Times New Roman" w:hAnsi="Times New Roman" w:cs="Times New Roman"/>
                <w:color w:val="000000"/>
              </w:rPr>
            </w:pPr>
          </w:p>
        </w:tc>
        <w:tc>
          <w:tcPr>
            <w:tcW w:w="662" w:type="dxa"/>
            <w:tcBorders>
              <w:top w:val="single" w:sz="4" w:space="0" w:color="000000"/>
            </w:tcBorders>
            <w:shd w:val="clear" w:color="auto" w:fill="auto"/>
            <w:vAlign w:val="center"/>
          </w:tcPr>
          <w:p w14:paraId="2150A3D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401" w:type="dxa"/>
            <w:tcBorders>
              <w:top w:val="single" w:sz="4" w:space="0" w:color="000000"/>
            </w:tcBorders>
            <w:shd w:val="clear" w:color="auto" w:fill="auto"/>
            <w:vAlign w:val="center"/>
          </w:tcPr>
          <w:p w14:paraId="2150A3D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1" w:type="dxa"/>
            <w:tcBorders>
              <w:top w:val="single" w:sz="4" w:space="0" w:color="000000"/>
            </w:tcBorders>
            <w:shd w:val="clear" w:color="auto" w:fill="auto"/>
            <w:vAlign w:val="center"/>
          </w:tcPr>
          <w:p w14:paraId="2150A3D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1.00</w:t>
            </w:r>
          </w:p>
        </w:tc>
        <w:tc>
          <w:tcPr>
            <w:tcW w:w="470" w:type="dxa"/>
            <w:tcBorders>
              <w:top w:val="single" w:sz="4" w:space="0" w:color="000000"/>
            </w:tcBorders>
            <w:shd w:val="clear" w:color="auto" w:fill="auto"/>
            <w:vAlign w:val="center"/>
          </w:tcPr>
          <w:p w14:paraId="2150A3DA" w14:textId="77777777" w:rsidR="00E7693B" w:rsidRPr="00E7693B" w:rsidRDefault="00E7693B">
            <w:pPr>
              <w:jc w:val="center"/>
              <w:rPr>
                <w:rFonts w:ascii="Times New Roman" w:hAnsi="Times New Roman" w:cs="Times New Roman"/>
                <w:color w:val="000000"/>
              </w:rPr>
            </w:pPr>
          </w:p>
        </w:tc>
        <w:tc>
          <w:tcPr>
            <w:tcW w:w="659" w:type="dxa"/>
            <w:tcBorders>
              <w:top w:val="single" w:sz="4" w:space="0" w:color="000000"/>
            </w:tcBorders>
            <w:shd w:val="clear" w:color="auto" w:fill="auto"/>
            <w:vAlign w:val="center"/>
          </w:tcPr>
          <w:p w14:paraId="2150A3D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402" w:type="dxa"/>
            <w:tcBorders>
              <w:top w:val="single" w:sz="4" w:space="0" w:color="000000"/>
            </w:tcBorders>
            <w:shd w:val="clear" w:color="auto" w:fill="auto"/>
            <w:vAlign w:val="center"/>
          </w:tcPr>
          <w:p w14:paraId="2150A3D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1" w:type="dxa"/>
            <w:tcBorders>
              <w:top w:val="single" w:sz="4" w:space="0" w:color="000000"/>
            </w:tcBorders>
            <w:shd w:val="clear" w:color="auto" w:fill="auto"/>
            <w:vAlign w:val="center"/>
          </w:tcPr>
          <w:p w14:paraId="2150A3D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1.00</w:t>
            </w:r>
          </w:p>
        </w:tc>
        <w:tc>
          <w:tcPr>
            <w:tcW w:w="248" w:type="dxa"/>
            <w:tcBorders>
              <w:top w:val="single" w:sz="4" w:space="0" w:color="000000"/>
            </w:tcBorders>
            <w:shd w:val="clear" w:color="auto" w:fill="auto"/>
            <w:vAlign w:val="center"/>
          </w:tcPr>
          <w:p w14:paraId="2150A3DE" w14:textId="77777777" w:rsidR="00E7693B" w:rsidRPr="00E7693B" w:rsidRDefault="00E7693B">
            <w:pPr>
              <w:jc w:val="center"/>
              <w:rPr>
                <w:rFonts w:ascii="Times New Roman" w:hAnsi="Times New Roman" w:cs="Times New Roman"/>
                <w:color w:val="000000"/>
              </w:rPr>
            </w:pPr>
          </w:p>
        </w:tc>
        <w:tc>
          <w:tcPr>
            <w:tcW w:w="960" w:type="dxa"/>
            <w:tcBorders>
              <w:top w:val="single" w:sz="4" w:space="0" w:color="000000"/>
            </w:tcBorders>
            <w:shd w:val="clear" w:color="auto" w:fill="auto"/>
            <w:vAlign w:val="center"/>
          </w:tcPr>
          <w:p w14:paraId="2150A3D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EF" w14:textId="77777777">
        <w:trPr>
          <w:trHeight w:val="868"/>
        </w:trPr>
        <w:tc>
          <w:tcPr>
            <w:tcW w:w="2244" w:type="dxa"/>
            <w:shd w:val="clear" w:color="auto" w:fill="auto"/>
            <w:vAlign w:val="center"/>
          </w:tcPr>
          <w:p w14:paraId="2150A3E1"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Sinigrin (2-propenyl)</w:t>
            </w:r>
          </w:p>
        </w:tc>
        <w:tc>
          <w:tcPr>
            <w:tcW w:w="642" w:type="dxa"/>
            <w:shd w:val="clear" w:color="auto" w:fill="auto"/>
            <w:vAlign w:val="center"/>
          </w:tcPr>
          <w:p w14:paraId="2150A3E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2.74</w:t>
            </w:r>
          </w:p>
        </w:tc>
        <w:tc>
          <w:tcPr>
            <w:tcW w:w="533" w:type="dxa"/>
            <w:shd w:val="clear" w:color="auto" w:fill="auto"/>
            <w:vAlign w:val="center"/>
          </w:tcPr>
          <w:p w14:paraId="2150A3E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29" w:type="dxa"/>
            <w:shd w:val="clear" w:color="auto" w:fill="auto"/>
            <w:vAlign w:val="center"/>
          </w:tcPr>
          <w:p w14:paraId="2150A3E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0.08</w:t>
            </w:r>
          </w:p>
        </w:tc>
        <w:tc>
          <w:tcPr>
            <w:tcW w:w="269" w:type="dxa"/>
            <w:shd w:val="clear" w:color="auto" w:fill="auto"/>
            <w:vAlign w:val="center"/>
          </w:tcPr>
          <w:p w14:paraId="2150A3E5" w14:textId="77777777" w:rsidR="00E7693B" w:rsidRPr="00E7693B" w:rsidRDefault="00E7693B">
            <w:pPr>
              <w:jc w:val="center"/>
              <w:rPr>
                <w:rFonts w:ascii="Times New Roman" w:hAnsi="Times New Roman" w:cs="Times New Roman"/>
                <w:color w:val="000000"/>
              </w:rPr>
            </w:pPr>
          </w:p>
        </w:tc>
        <w:tc>
          <w:tcPr>
            <w:tcW w:w="662" w:type="dxa"/>
            <w:shd w:val="clear" w:color="auto" w:fill="auto"/>
            <w:vAlign w:val="center"/>
          </w:tcPr>
          <w:p w14:paraId="2150A3E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27.07</w:t>
            </w:r>
          </w:p>
        </w:tc>
        <w:tc>
          <w:tcPr>
            <w:tcW w:w="401" w:type="dxa"/>
            <w:shd w:val="clear" w:color="auto" w:fill="auto"/>
            <w:vAlign w:val="center"/>
          </w:tcPr>
          <w:p w14:paraId="2150A3E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1" w:type="dxa"/>
            <w:shd w:val="clear" w:color="auto" w:fill="auto"/>
            <w:vAlign w:val="center"/>
          </w:tcPr>
          <w:p w14:paraId="2150A3E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470" w:type="dxa"/>
            <w:shd w:val="clear" w:color="auto" w:fill="auto"/>
            <w:vAlign w:val="center"/>
          </w:tcPr>
          <w:p w14:paraId="2150A3E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59" w:type="dxa"/>
            <w:shd w:val="clear" w:color="auto" w:fill="auto"/>
            <w:vAlign w:val="center"/>
          </w:tcPr>
          <w:p w14:paraId="2150A3E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1.74</w:t>
            </w:r>
          </w:p>
        </w:tc>
        <w:tc>
          <w:tcPr>
            <w:tcW w:w="402" w:type="dxa"/>
            <w:shd w:val="clear" w:color="auto" w:fill="auto"/>
            <w:vAlign w:val="center"/>
          </w:tcPr>
          <w:p w14:paraId="2150A3E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1" w:type="dxa"/>
            <w:shd w:val="clear" w:color="auto" w:fill="auto"/>
            <w:vAlign w:val="center"/>
          </w:tcPr>
          <w:p w14:paraId="2150A3E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0.20</w:t>
            </w:r>
          </w:p>
        </w:tc>
        <w:tc>
          <w:tcPr>
            <w:tcW w:w="248" w:type="dxa"/>
            <w:shd w:val="clear" w:color="auto" w:fill="auto"/>
            <w:vAlign w:val="center"/>
          </w:tcPr>
          <w:p w14:paraId="2150A3ED"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3E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3FE" w14:textId="77777777">
        <w:trPr>
          <w:trHeight w:val="868"/>
        </w:trPr>
        <w:tc>
          <w:tcPr>
            <w:tcW w:w="2244" w:type="dxa"/>
            <w:shd w:val="clear" w:color="auto" w:fill="auto"/>
            <w:vAlign w:val="center"/>
          </w:tcPr>
          <w:p w14:paraId="2150A3F0"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Glucoibarin</w:t>
            </w:r>
            <w:proofErr w:type="spellEnd"/>
            <w:r w:rsidRPr="00E7693B">
              <w:rPr>
                <w:rFonts w:ascii="Times New Roman" w:hAnsi="Times New Roman" w:cs="Times New Roman"/>
                <w:color w:val="000000"/>
              </w:rPr>
              <w:t xml:space="preserve"> (7-methylsulfinylheptyl, 7-msh)</w:t>
            </w:r>
          </w:p>
        </w:tc>
        <w:tc>
          <w:tcPr>
            <w:tcW w:w="642" w:type="dxa"/>
            <w:shd w:val="clear" w:color="auto" w:fill="auto"/>
            <w:vAlign w:val="center"/>
          </w:tcPr>
          <w:p w14:paraId="2150A3F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2.35</w:t>
            </w:r>
          </w:p>
        </w:tc>
        <w:tc>
          <w:tcPr>
            <w:tcW w:w="533" w:type="dxa"/>
            <w:shd w:val="clear" w:color="auto" w:fill="auto"/>
            <w:vAlign w:val="center"/>
          </w:tcPr>
          <w:p w14:paraId="2150A3F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29" w:type="dxa"/>
            <w:shd w:val="clear" w:color="auto" w:fill="auto"/>
            <w:vAlign w:val="center"/>
          </w:tcPr>
          <w:p w14:paraId="2150A3F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0.11</w:t>
            </w:r>
          </w:p>
        </w:tc>
        <w:tc>
          <w:tcPr>
            <w:tcW w:w="269" w:type="dxa"/>
            <w:shd w:val="clear" w:color="auto" w:fill="auto"/>
            <w:vAlign w:val="center"/>
          </w:tcPr>
          <w:p w14:paraId="2150A3F4" w14:textId="77777777" w:rsidR="00E7693B" w:rsidRPr="00E7693B" w:rsidRDefault="00E7693B">
            <w:pPr>
              <w:jc w:val="center"/>
              <w:rPr>
                <w:rFonts w:ascii="Times New Roman" w:hAnsi="Times New Roman" w:cs="Times New Roman"/>
                <w:color w:val="000000"/>
              </w:rPr>
            </w:pPr>
          </w:p>
        </w:tc>
        <w:tc>
          <w:tcPr>
            <w:tcW w:w="662" w:type="dxa"/>
            <w:shd w:val="clear" w:color="auto" w:fill="auto"/>
            <w:vAlign w:val="center"/>
          </w:tcPr>
          <w:p w14:paraId="2150A3F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2.23</w:t>
            </w:r>
          </w:p>
        </w:tc>
        <w:tc>
          <w:tcPr>
            <w:tcW w:w="401" w:type="dxa"/>
            <w:shd w:val="clear" w:color="auto" w:fill="auto"/>
            <w:vAlign w:val="center"/>
          </w:tcPr>
          <w:p w14:paraId="2150A3F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1" w:type="dxa"/>
            <w:shd w:val="clear" w:color="auto" w:fill="auto"/>
            <w:vAlign w:val="center"/>
          </w:tcPr>
          <w:p w14:paraId="2150A3F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0.26</w:t>
            </w:r>
          </w:p>
        </w:tc>
        <w:tc>
          <w:tcPr>
            <w:tcW w:w="470" w:type="dxa"/>
            <w:shd w:val="clear" w:color="auto" w:fill="auto"/>
            <w:vAlign w:val="center"/>
          </w:tcPr>
          <w:p w14:paraId="2150A3F8" w14:textId="77777777" w:rsidR="00E7693B" w:rsidRPr="00E7693B" w:rsidRDefault="00E7693B">
            <w:pPr>
              <w:jc w:val="center"/>
              <w:rPr>
                <w:rFonts w:ascii="Times New Roman" w:hAnsi="Times New Roman" w:cs="Times New Roman"/>
                <w:color w:val="000000"/>
              </w:rPr>
            </w:pPr>
          </w:p>
        </w:tc>
        <w:tc>
          <w:tcPr>
            <w:tcW w:w="659" w:type="dxa"/>
            <w:shd w:val="clear" w:color="auto" w:fill="auto"/>
            <w:vAlign w:val="center"/>
          </w:tcPr>
          <w:p w14:paraId="2150A3F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3.57</w:t>
            </w:r>
          </w:p>
        </w:tc>
        <w:tc>
          <w:tcPr>
            <w:tcW w:w="402" w:type="dxa"/>
            <w:shd w:val="clear" w:color="auto" w:fill="auto"/>
            <w:vAlign w:val="center"/>
          </w:tcPr>
          <w:p w14:paraId="2150A3F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1" w:type="dxa"/>
            <w:shd w:val="clear" w:color="auto" w:fill="auto"/>
            <w:vAlign w:val="center"/>
          </w:tcPr>
          <w:p w14:paraId="2150A3F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0.09</w:t>
            </w:r>
          </w:p>
        </w:tc>
        <w:tc>
          <w:tcPr>
            <w:tcW w:w="248" w:type="dxa"/>
            <w:shd w:val="clear" w:color="auto" w:fill="auto"/>
            <w:vAlign w:val="center"/>
          </w:tcPr>
          <w:p w14:paraId="2150A3FC"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3F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40D" w14:textId="77777777">
        <w:trPr>
          <w:trHeight w:val="868"/>
        </w:trPr>
        <w:tc>
          <w:tcPr>
            <w:tcW w:w="2244" w:type="dxa"/>
            <w:shd w:val="clear" w:color="auto" w:fill="auto"/>
            <w:vAlign w:val="center"/>
          </w:tcPr>
          <w:p w14:paraId="2150A3FF"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aliphatic (AG)</w:t>
            </w:r>
          </w:p>
        </w:tc>
        <w:tc>
          <w:tcPr>
            <w:tcW w:w="642" w:type="dxa"/>
            <w:shd w:val="clear" w:color="auto" w:fill="auto"/>
            <w:vAlign w:val="center"/>
          </w:tcPr>
          <w:p w14:paraId="2150A40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3.30</w:t>
            </w:r>
          </w:p>
        </w:tc>
        <w:tc>
          <w:tcPr>
            <w:tcW w:w="533" w:type="dxa"/>
            <w:shd w:val="clear" w:color="auto" w:fill="auto"/>
            <w:vAlign w:val="center"/>
          </w:tcPr>
          <w:p w14:paraId="2150A40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29" w:type="dxa"/>
            <w:shd w:val="clear" w:color="auto" w:fill="auto"/>
            <w:vAlign w:val="center"/>
          </w:tcPr>
          <w:p w14:paraId="2150A40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0.07</w:t>
            </w:r>
          </w:p>
        </w:tc>
        <w:tc>
          <w:tcPr>
            <w:tcW w:w="269" w:type="dxa"/>
            <w:shd w:val="clear" w:color="auto" w:fill="auto"/>
            <w:vAlign w:val="center"/>
          </w:tcPr>
          <w:p w14:paraId="2150A403" w14:textId="77777777" w:rsidR="00E7693B" w:rsidRPr="00E7693B" w:rsidRDefault="00E7693B">
            <w:pPr>
              <w:jc w:val="center"/>
              <w:rPr>
                <w:rFonts w:ascii="Times New Roman" w:hAnsi="Times New Roman" w:cs="Times New Roman"/>
                <w:color w:val="000000"/>
              </w:rPr>
            </w:pPr>
          </w:p>
        </w:tc>
        <w:tc>
          <w:tcPr>
            <w:tcW w:w="662" w:type="dxa"/>
            <w:shd w:val="clear" w:color="auto" w:fill="auto"/>
            <w:vAlign w:val="center"/>
          </w:tcPr>
          <w:p w14:paraId="2150A40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29.10</w:t>
            </w:r>
          </w:p>
        </w:tc>
        <w:tc>
          <w:tcPr>
            <w:tcW w:w="401" w:type="dxa"/>
            <w:shd w:val="clear" w:color="auto" w:fill="auto"/>
            <w:vAlign w:val="center"/>
          </w:tcPr>
          <w:p w14:paraId="2150A40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1" w:type="dxa"/>
            <w:shd w:val="clear" w:color="auto" w:fill="auto"/>
            <w:vAlign w:val="center"/>
          </w:tcPr>
          <w:p w14:paraId="2150A40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0.00</w:t>
            </w:r>
          </w:p>
        </w:tc>
        <w:tc>
          <w:tcPr>
            <w:tcW w:w="470" w:type="dxa"/>
            <w:shd w:val="clear" w:color="auto" w:fill="auto"/>
            <w:vAlign w:val="center"/>
          </w:tcPr>
          <w:p w14:paraId="2150A40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w:t>
            </w:r>
          </w:p>
        </w:tc>
        <w:tc>
          <w:tcPr>
            <w:tcW w:w="659" w:type="dxa"/>
            <w:shd w:val="clear" w:color="auto" w:fill="auto"/>
            <w:vAlign w:val="center"/>
          </w:tcPr>
          <w:p w14:paraId="2150A40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2.33</w:t>
            </w:r>
          </w:p>
        </w:tc>
        <w:tc>
          <w:tcPr>
            <w:tcW w:w="402" w:type="dxa"/>
            <w:shd w:val="clear" w:color="auto" w:fill="auto"/>
            <w:vAlign w:val="center"/>
          </w:tcPr>
          <w:p w14:paraId="2150A40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1" w:type="dxa"/>
            <w:shd w:val="clear" w:color="auto" w:fill="auto"/>
            <w:vAlign w:val="center"/>
          </w:tcPr>
          <w:p w14:paraId="2150A40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0.10</w:t>
            </w:r>
          </w:p>
        </w:tc>
        <w:tc>
          <w:tcPr>
            <w:tcW w:w="248" w:type="dxa"/>
            <w:shd w:val="clear" w:color="auto" w:fill="auto"/>
            <w:vAlign w:val="center"/>
          </w:tcPr>
          <w:p w14:paraId="2150A40B"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40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41C" w14:textId="77777777">
        <w:trPr>
          <w:trHeight w:val="1091"/>
        </w:trPr>
        <w:tc>
          <w:tcPr>
            <w:tcW w:w="2244" w:type="dxa"/>
            <w:shd w:val="clear" w:color="auto" w:fill="auto"/>
            <w:vAlign w:val="center"/>
          </w:tcPr>
          <w:p w14:paraId="2150A40E"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Glucobrassicin</w:t>
            </w:r>
            <w:proofErr w:type="spellEnd"/>
            <w:r w:rsidRPr="00E7693B">
              <w:rPr>
                <w:rFonts w:ascii="Times New Roman" w:hAnsi="Times New Roman" w:cs="Times New Roman"/>
                <w:color w:val="000000"/>
              </w:rPr>
              <w:t xml:space="preserve"> (indol-3-ylmethyl, I3M)</w:t>
            </w:r>
          </w:p>
        </w:tc>
        <w:tc>
          <w:tcPr>
            <w:tcW w:w="642" w:type="dxa"/>
            <w:shd w:val="clear" w:color="auto" w:fill="auto"/>
            <w:vAlign w:val="center"/>
          </w:tcPr>
          <w:p w14:paraId="2150A40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3.02</w:t>
            </w:r>
          </w:p>
        </w:tc>
        <w:tc>
          <w:tcPr>
            <w:tcW w:w="533" w:type="dxa"/>
            <w:shd w:val="clear" w:color="auto" w:fill="auto"/>
            <w:vAlign w:val="center"/>
          </w:tcPr>
          <w:p w14:paraId="2150A41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29" w:type="dxa"/>
            <w:shd w:val="clear" w:color="auto" w:fill="auto"/>
            <w:vAlign w:val="center"/>
          </w:tcPr>
          <w:p w14:paraId="2150A41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0.07</w:t>
            </w:r>
          </w:p>
        </w:tc>
        <w:tc>
          <w:tcPr>
            <w:tcW w:w="269" w:type="dxa"/>
            <w:shd w:val="clear" w:color="auto" w:fill="auto"/>
            <w:vAlign w:val="center"/>
          </w:tcPr>
          <w:p w14:paraId="2150A412" w14:textId="77777777" w:rsidR="00E7693B" w:rsidRPr="00E7693B" w:rsidRDefault="00E7693B">
            <w:pPr>
              <w:jc w:val="center"/>
              <w:rPr>
                <w:rFonts w:ascii="Times New Roman" w:hAnsi="Times New Roman" w:cs="Times New Roman"/>
                <w:color w:val="000000"/>
              </w:rPr>
            </w:pPr>
          </w:p>
        </w:tc>
        <w:tc>
          <w:tcPr>
            <w:tcW w:w="662" w:type="dxa"/>
            <w:shd w:val="clear" w:color="auto" w:fill="auto"/>
            <w:vAlign w:val="center"/>
          </w:tcPr>
          <w:p w14:paraId="2150A41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4.45</w:t>
            </w:r>
          </w:p>
        </w:tc>
        <w:tc>
          <w:tcPr>
            <w:tcW w:w="401" w:type="dxa"/>
            <w:shd w:val="clear" w:color="auto" w:fill="auto"/>
            <w:vAlign w:val="center"/>
          </w:tcPr>
          <w:p w14:paraId="2150A41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1" w:type="dxa"/>
            <w:shd w:val="clear" w:color="auto" w:fill="auto"/>
            <w:vAlign w:val="center"/>
          </w:tcPr>
          <w:p w14:paraId="2150A41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0.10</w:t>
            </w:r>
          </w:p>
        </w:tc>
        <w:tc>
          <w:tcPr>
            <w:tcW w:w="470" w:type="dxa"/>
            <w:shd w:val="clear" w:color="auto" w:fill="auto"/>
            <w:vAlign w:val="center"/>
          </w:tcPr>
          <w:p w14:paraId="2150A416" w14:textId="77777777" w:rsidR="00E7693B" w:rsidRPr="00E7693B" w:rsidRDefault="00E7693B">
            <w:pPr>
              <w:jc w:val="center"/>
              <w:rPr>
                <w:rFonts w:ascii="Times New Roman" w:hAnsi="Times New Roman" w:cs="Times New Roman"/>
                <w:color w:val="000000"/>
              </w:rPr>
            </w:pPr>
          </w:p>
        </w:tc>
        <w:tc>
          <w:tcPr>
            <w:tcW w:w="659" w:type="dxa"/>
            <w:shd w:val="clear" w:color="auto" w:fill="auto"/>
            <w:vAlign w:val="center"/>
          </w:tcPr>
          <w:p w14:paraId="2150A41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2.54</w:t>
            </w:r>
          </w:p>
        </w:tc>
        <w:tc>
          <w:tcPr>
            <w:tcW w:w="402" w:type="dxa"/>
            <w:shd w:val="clear" w:color="auto" w:fill="auto"/>
            <w:vAlign w:val="center"/>
          </w:tcPr>
          <w:p w14:paraId="2150A41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1" w:type="dxa"/>
            <w:shd w:val="clear" w:color="auto" w:fill="auto"/>
            <w:vAlign w:val="center"/>
          </w:tcPr>
          <w:p w14:paraId="2150A41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0.09</w:t>
            </w:r>
          </w:p>
        </w:tc>
        <w:tc>
          <w:tcPr>
            <w:tcW w:w="248" w:type="dxa"/>
            <w:shd w:val="clear" w:color="auto" w:fill="auto"/>
            <w:vAlign w:val="center"/>
          </w:tcPr>
          <w:p w14:paraId="2150A41A"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41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42C" w14:textId="77777777">
        <w:trPr>
          <w:trHeight w:val="1091"/>
        </w:trPr>
        <w:tc>
          <w:tcPr>
            <w:tcW w:w="2244" w:type="dxa"/>
            <w:shd w:val="clear" w:color="auto" w:fill="auto"/>
            <w:vAlign w:val="center"/>
          </w:tcPr>
          <w:p w14:paraId="2150A41D" w14:textId="77777777" w:rsidR="00E7693B" w:rsidRPr="00E7693B" w:rsidRDefault="00E7693B">
            <w:pPr>
              <w:rPr>
                <w:rFonts w:ascii="Times New Roman" w:hAnsi="Times New Roman" w:cs="Times New Roman"/>
                <w:color w:val="000000"/>
              </w:rPr>
            </w:pPr>
            <w:r w:rsidRPr="00E7693B">
              <w:rPr>
                <w:rFonts w:ascii="Times New Roman" w:hAnsi="Times New Roman" w:cs="Times New Roman"/>
                <w:color w:val="000000"/>
              </w:rPr>
              <w:t>4-methoxygluco</w:t>
            </w:r>
          </w:p>
          <w:p w14:paraId="2150A41E"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brassicin</w:t>
            </w:r>
            <w:proofErr w:type="spellEnd"/>
            <w:r w:rsidRPr="00E7693B">
              <w:rPr>
                <w:rFonts w:ascii="Times New Roman" w:hAnsi="Times New Roman" w:cs="Times New Roman"/>
                <w:color w:val="000000"/>
              </w:rPr>
              <w:t xml:space="preserve"> (4-methoxyindol-3-ylmethyl, 4MOI3M)</w:t>
            </w:r>
          </w:p>
        </w:tc>
        <w:tc>
          <w:tcPr>
            <w:tcW w:w="642" w:type="dxa"/>
            <w:shd w:val="clear" w:color="auto" w:fill="auto"/>
            <w:vAlign w:val="center"/>
          </w:tcPr>
          <w:p w14:paraId="2150A41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1.54</w:t>
            </w:r>
          </w:p>
        </w:tc>
        <w:tc>
          <w:tcPr>
            <w:tcW w:w="533" w:type="dxa"/>
            <w:shd w:val="clear" w:color="auto" w:fill="auto"/>
            <w:vAlign w:val="center"/>
          </w:tcPr>
          <w:p w14:paraId="2150A42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29" w:type="dxa"/>
            <w:shd w:val="clear" w:color="auto" w:fill="auto"/>
            <w:vAlign w:val="center"/>
          </w:tcPr>
          <w:p w14:paraId="2150A42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0.25</w:t>
            </w:r>
          </w:p>
        </w:tc>
        <w:tc>
          <w:tcPr>
            <w:tcW w:w="269" w:type="dxa"/>
            <w:shd w:val="clear" w:color="auto" w:fill="auto"/>
            <w:vAlign w:val="center"/>
          </w:tcPr>
          <w:p w14:paraId="2150A422" w14:textId="77777777" w:rsidR="00E7693B" w:rsidRPr="00E7693B" w:rsidRDefault="00E7693B">
            <w:pPr>
              <w:jc w:val="center"/>
              <w:rPr>
                <w:rFonts w:ascii="Times New Roman" w:hAnsi="Times New Roman" w:cs="Times New Roman"/>
                <w:color w:val="000000"/>
              </w:rPr>
            </w:pPr>
          </w:p>
        </w:tc>
        <w:tc>
          <w:tcPr>
            <w:tcW w:w="662" w:type="dxa"/>
            <w:shd w:val="clear" w:color="auto" w:fill="auto"/>
            <w:vAlign w:val="center"/>
          </w:tcPr>
          <w:p w14:paraId="2150A42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1.54</w:t>
            </w:r>
          </w:p>
        </w:tc>
        <w:tc>
          <w:tcPr>
            <w:tcW w:w="401" w:type="dxa"/>
            <w:shd w:val="clear" w:color="auto" w:fill="auto"/>
            <w:vAlign w:val="center"/>
          </w:tcPr>
          <w:p w14:paraId="2150A42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1" w:type="dxa"/>
            <w:shd w:val="clear" w:color="auto" w:fill="auto"/>
            <w:vAlign w:val="center"/>
          </w:tcPr>
          <w:p w14:paraId="2150A42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0.34</w:t>
            </w:r>
          </w:p>
        </w:tc>
        <w:tc>
          <w:tcPr>
            <w:tcW w:w="470" w:type="dxa"/>
            <w:shd w:val="clear" w:color="auto" w:fill="auto"/>
            <w:vAlign w:val="center"/>
          </w:tcPr>
          <w:p w14:paraId="2150A426" w14:textId="77777777" w:rsidR="00E7693B" w:rsidRPr="00E7693B" w:rsidRDefault="00E7693B">
            <w:pPr>
              <w:jc w:val="center"/>
              <w:rPr>
                <w:rFonts w:ascii="Times New Roman" w:hAnsi="Times New Roman" w:cs="Times New Roman"/>
                <w:color w:val="000000"/>
              </w:rPr>
            </w:pPr>
          </w:p>
        </w:tc>
        <w:tc>
          <w:tcPr>
            <w:tcW w:w="659" w:type="dxa"/>
            <w:shd w:val="clear" w:color="auto" w:fill="auto"/>
            <w:vAlign w:val="center"/>
          </w:tcPr>
          <w:p w14:paraId="2150A42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2.65</w:t>
            </w:r>
          </w:p>
        </w:tc>
        <w:tc>
          <w:tcPr>
            <w:tcW w:w="402" w:type="dxa"/>
            <w:shd w:val="clear" w:color="auto" w:fill="auto"/>
            <w:vAlign w:val="center"/>
          </w:tcPr>
          <w:p w14:paraId="2150A42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1" w:type="dxa"/>
            <w:shd w:val="clear" w:color="auto" w:fill="auto"/>
            <w:vAlign w:val="center"/>
          </w:tcPr>
          <w:p w14:paraId="2150A42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0.09</w:t>
            </w:r>
          </w:p>
        </w:tc>
        <w:tc>
          <w:tcPr>
            <w:tcW w:w="248" w:type="dxa"/>
            <w:shd w:val="clear" w:color="auto" w:fill="auto"/>
            <w:vAlign w:val="center"/>
          </w:tcPr>
          <w:p w14:paraId="2150A42A"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42B"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43B" w14:textId="77777777">
        <w:trPr>
          <w:trHeight w:val="1091"/>
        </w:trPr>
        <w:tc>
          <w:tcPr>
            <w:tcW w:w="2244" w:type="dxa"/>
            <w:shd w:val="clear" w:color="auto" w:fill="auto"/>
            <w:vAlign w:val="center"/>
          </w:tcPr>
          <w:p w14:paraId="2150A42D" w14:textId="77777777" w:rsidR="00E7693B" w:rsidRPr="00E7693B" w:rsidRDefault="00E7693B">
            <w:pPr>
              <w:rPr>
                <w:rFonts w:ascii="Times New Roman" w:hAnsi="Times New Roman" w:cs="Times New Roman"/>
                <w:color w:val="000000"/>
              </w:rPr>
            </w:pPr>
            <w:proofErr w:type="spellStart"/>
            <w:r w:rsidRPr="00E7693B">
              <w:rPr>
                <w:rFonts w:ascii="Times New Roman" w:hAnsi="Times New Roman" w:cs="Times New Roman"/>
                <w:color w:val="000000"/>
              </w:rPr>
              <w:t>Neoglucobrassicin</w:t>
            </w:r>
            <w:proofErr w:type="spellEnd"/>
            <w:r w:rsidRPr="00E7693B">
              <w:rPr>
                <w:rFonts w:ascii="Times New Roman" w:hAnsi="Times New Roman" w:cs="Times New Roman"/>
                <w:color w:val="000000"/>
              </w:rPr>
              <w:t xml:space="preserve"> (N-methoxyindol-3-ylmethyl, NMOI3M)</w:t>
            </w:r>
          </w:p>
        </w:tc>
        <w:tc>
          <w:tcPr>
            <w:tcW w:w="642" w:type="dxa"/>
            <w:shd w:val="clear" w:color="auto" w:fill="auto"/>
            <w:vAlign w:val="center"/>
          </w:tcPr>
          <w:p w14:paraId="2150A42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1.63</w:t>
            </w:r>
          </w:p>
        </w:tc>
        <w:tc>
          <w:tcPr>
            <w:tcW w:w="533" w:type="dxa"/>
            <w:shd w:val="clear" w:color="auto" w:fill="auto"/>
            <w:vAlign w:val="center"/>
          </w:tcPr>
          <w:p w14:paraId="2150A42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29" w:type="dxa"/>
            <w:shd w:val="clear" w:color="auto" w:fill="auto"/>
            <w:vAlign w:val="center"/>
          </w:tcPr>
          <w:p w14:paraId="2150A43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0.25</w:t>
            </w:r>
          </w:p>
        </w:tc>
        <w:tc>
          <w:tcPr>
            <w:tcW w:w="269" w:type="dxa"/>
            <w:shd w:val="clear" w:color="auto" w:fill="auto"/>
            <w:vAlign w:val="center"/>
          </w:tcPr>
          <w:p w14:paraId="2150A431" w14:textId="77777777" w:rsidR="00E7693B" w:rsidRPr="00E7693B" w:rsidRDefault="00E7693B">
            <w:pPr>
              <w:jc w:val="center"/>
              <w:rPr>
                <w:rFonts w:ascii="Times New Roman" w:hAnsi="Times New Roman" w:cs="Times New Roman"/>
                <w:color w:val="000000"/>
              </w:rPr>
            </w:pPr>
          </w:p>
        </w:tc>
        <w:tc>
          <w:tcPr>
            <w:tcW w:w="662" w:type="dxa"/>
            <w:shd w:val="clear" w:color="auto" w:fill="auto"/>
            <w:vAlign w:val="center"/>
          </w:tcPr>
          <w:p w14:paraId="2150A43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0.82</w:t>
            </w:r>
          </w:p>
        </w:tc>
        <w:tc>
          <w:tcPr>
            <w:tcW w:w="401" w:type="dxa"/>
            <w:shd w:val="clear" w:color="auto" w:fill="auto"/>
            <w:vAlign w:val="center"/>
          </w:tcPr>
          <w:p w14:paraId="2150A43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1" w:type="dxa"/>
            <w:shd w:val="clear" w:color="auto" w:fill="auto"/>
            <w:vAlign w:val="center"/>
          </w:tcPr>
          <w:p w14:paraId="2150A43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0.48</w:t>
            </w:r>
          </w:p>
        </w:tc>
        <w:tc>
          <w:tcPr>
            <w:tcW w:w="470" w:type="dxa"/>
            <w:shd w:val="clear" w:color="auto" w:fill="auto"/>
            <w:vAlign w:val="center"/>
          </w:tcPr>
          <w:p w14:paraId="2150A435" w14:textId="77777777" w:rsidR="00E7693B" w:rsidRPr="00E7693B" w:rsidRDefault="00E7693B">
            <w:pPr>
              <w:jc w:val="center"/>
              <w:rPr>
                <w:rFonts w:ascii="Times New Roman" w:hAnsi="Times New Roman" w:cs="Times New Roman"/>
                <w:color w:val="000000"/>
              </w:rPr>
            </w:pPr>
          </w:p>
        </w:tc>
        <w:tc>
          <w:tcPr>
            <w:tcW w:w="659" w:type="dxa"/>
            <w:shd w:val="clear" w:color="auto" w:fill="auto"/>
            <w:vAlign w:val="center"/>
          </w:tcPr>
          <w:p w14:paraId="2150A43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1.20</w:t>
            </w:r>
          </w:p>
        </w:tc>
        <w:tc>
          <w:tcPr>
            <w:tcW w:w="402" w:type="dxa"/>
            <w:shd w:val="clear" w:color="auto" w:fill="auto"/>
            <w:vAlign w:val="center"/>
          </w:tcPr>
          <w:p w14:paraId="2150A43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1" w:type="dxa"/>
            <w:shd w:val="clear" w:color="auto" w:fill="auto"/>
            <w:vAlign w:val="center"/>
          </w:tcPr>
          <w:p w14:paraId="2150A43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0.38</w:t>
            </w:r>
          </w:p>
        </w:tc>
        <w:tc>
          <w:tcPr>
            <w:tcW w:w="248" w:type="dxa"/>
            <w:shd w:val="clear" w:color="auto" w:fill="auto"/>
            <w:vAlign w:val="center"/>
          </w:tcPr>
          <w:p w14:paraId="2150A439"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43A"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44A" w14:textId="77777777">
        <w:trPr>
          <w:trHeight w:val="811"/>
        </w:trPr>
        <w:tc>
          <w:tcPr>
            <w:tcW w:w="2244" w:type="dxa"/>
            <w:shd w:val="clear" w:color="auto" w:fill="auto"/>
            <w:vAlign w:val="center"/>
          </w:tcPr>
          <w:p w14:paraId="2150A43C"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indole (IG)</w:t>
            </w:r>
          </w:p>
        </w:tc>
        <w:tc>
          <w:tcPr>
            <w:tcW w:w="642" w:type="dxa"/>
            <w:shd w:val="clear" w:color="auto" w:fill="auto"/>
            <w:vAlign w:val="center"/>
          </w:tcPr>
          <w:p w14:paraId="2150A43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1.39</w:t>
            </w:r>
          </w:p>
        </w:tc>
        <w:tc>
          <w:tcPr>
            <w:tcW w:w="533" w:type="dxa"/>
            <w:shd w:val="clear" w:color="auto" w:fill="auto"/>
            <w:vAlign w:val="center"/>
          </w:tcPr>
          <w:p w14:paraId="2150A43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29" w:type="dxa"/>
            <w:shd w:val="clear" w:color="auto" w:fill="auto"/>
            <w:vAlign w:val="center"/>
          </w:tcPr>
          <w:p w14:paraId="2150A43F"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0.28</w:t>
            </w:r>
          </w:p>
        </w:tc>
        <w:tc>
          <w:tcPr>
            <w:tcW w:w="269" w:type="dxa"/>
            <w:shd w:val="clear" w:color="auto" w:fill="auto"/>
            <w:vAlign w:val="center"/>
          </w:tcPr>
          <w:p w14:paraId="2150A440" w14:textId="77777777" w:rsidR="00E7693B" w:rsidRPr="00E7693B" w:rsidRDefault="00E7693B">
            <w:pPr>
              <w:jc w:val="center"/>
              <w:rPr>
                <w:rFonts w:ascii="Times New Roman" w:hAnsi="Times New Roman" w:cs="Times New Roman"/>
                <w:color w:val="000000"/>
              </w:rPr>
            </w:pPr>
          </w:p>
        </w:tc>
        <w:tc>
          <w:tcPr>
            <w:tcW w:w="662" w:type="dxa"/>
            <w:shd w:val="clear" w:color="auto" w:fill="auto"/>
            <w:vAlign w:val="center"/>
          </w:tcPr>
          <w:p w14:paraId="2150A44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0.23</w:t>
            </w:r>
          </w:p>
        </w:tc>
        <w:tc>
          <w:tcPr>
            <w:tcW w:w="401" w:type="dxa"/>
            <w:shd w:val="clear" w:color="auto" w:fill="auto"/>
            <w:vAlign w:val="center"/>
          </w:tcPr>
          <w:p w14:paraId="2150A44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1" w:type="dxa"/>
            <w:shd w:val="clear" w:color="auto" w:fill="auto"/>
            <w:vAlign w:val="center"/>
          </w:tcPr>
          <w:p w14:paraId="2150A443"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0.72</w:t>
            </w:r>
          </w:p>
        </w:tc>
        <w:tc>
          <w:tcPr>
            <w:tcW w:w="470" w:type="dxa"/>
            <w:shd w:val="clear" w:color="auto" w:fill="auto"/>
            <w:vAlign w:val="center"/>
          </w:tcPr>
          <w:p w14:paraId="2150A444" w14:textId="77777777" w:rsidR="00E7693B" w:rsidRPr="00E7693B" w:rsidRDefault="00E7693B">
            <w:pPr>
              <w:jc w:val="center"/>
              <w:rPr>
                <w:rFonts w:ascii="Times New Roman" w:hAnsi="Times New Roman" w:cs="Times New Roman"/>
                <w:color w:val="000000"/>
              </w:rPr>
            </w:pPr>
          </w:p>
        </w:tc>
        <w:tc>
          <w:tcPr>
            <w:tcW w:w="659" w:type="dxa"/>
            <w:shd w:val="clear" w:color="auto" w:fill="auto"/>
            <w:vAlign w:val="center"/>
          </w:tcPr>
          <w:p w14:paraId="2150A44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2.72</w:t>
            </w:r>
          </w:p>
        </w:tc>
        <w:tc>
          <w:tcPr>
            <w:tcW w:w="402" w:type="dxa"/>
            <w:shd w:val="clear" w:color="auto" w:fill="auto"/>
            <w:vAlign w:val="center"/>
          </w:tcPr>
          <w:p w14:paraId="2150A44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1" w:type="dxa"/>
            <w:shd w:val="clear" w:color="auto" w:fill="auto"/>
            <w:vAlign w:val="center"/>
          </w:tcPr>
          <w:p w14:paraId="2150A447"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0.09</w:t>
            </w:r>
          </w:p>
        </w:tc>
        <w:tc>
          <w:tcPr>
            <w:tcW w:w="248" w:type="dxa"/>
            <w:shd w:val="clear" w:color="auto" w:fill="auto"/>
            <w:vAlign w:val="center"/>
          </w:tcPr>
          <w:p w14:paraId="2150A448"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449"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r w:rsidR="00E7693B" w:rsidRPr="00E7693B" w14:paraId="2150A459" w14:textId="77777777">
        <w:trPr>
          <w:trHeight w:val="811"/>
        </w:trPr>
        <w:tc>
          <w:tcPr>
            <w:tcW w:w="2244" w:type="dxa"/>
            <w:shd w:val="clear" w:color="auto" w:fill="auto"/>
            <w:vAlign w:val="center"/>
          </w:tcPr>
          <w:p w14:paraId="2150A44B" w14:textId="77777777" w:rsidR="00E7693B" w:rsidRPr="00E7693B" w:rsidRDefault="00E7693B">
            <w:pPr>
              <w:rPr>
                <w:rFonts w:ascii="Times New Roman" w:hAnsi="Times New Roman" w:cs="Times New Roman"/>
                <w:b/>
                <w:color w:val="000000"/>
              </w:rPr>
            </w:pPr>
            <w:r w:rsidRPr="00E7693B">
              <w:rPr>
                <w:rFonts w:ascii="Times New Roman" w:hAnsi="Times New Roman" w:cs="Times New Roman"/>
                <w:b/>
                <w:color w:val="000000"/>
              </w:rPr>
              <w:t>Total GLS</w:t>
            </w:r>
          </w:p>
        </w:tc>
        <w:tc>
          <w:tcPr>
            <w:tcW w:w="642" w:type="dxa"/>
            <w:shd w:val="clear" w:color="auto" w:fill="auto"/>
            <w:vAlign w:val="center"/>
          </w:tcPr>
          <w:p w14:paraId="2150A44C"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2.03</w:t>
            </w:r>
          </w:p>
        </w:tc>
        <w:tc>
          <w:tcPr>
            <w:tcW w:w="533" w:type="dxa"/>
            <w:shd w:val="clear" w:color="auto" w:fill="auto"/>
            <w:vAlign w:val="center"/>
          </w:tcPr>
          <w:p w14:paraId="2150A44D"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7</w:t>
            </w:r>
          </w:p>
        </w:tc>
        <w:tc>
          <w:tcPr>
            <w:tcW w:w="529" w:type="dxa"/>
            <w:shd w:val="clear" w:color="auto" w:fill="auto"/>
            <w:vAlign w:val="center"/>
          </w:tcPr>
          <w:p w14:paraId="2150A44E"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0.15</w:t>
            </w:r>
          </w:p>
        </w:tc>
        <w:tc>
          <w:tcPr>
            <w:tcW w:w="269" w:type="dxa"/>
            <w:shd w:val="clear" w:color="auto" w:fill="auto"/>
            <w:vAlign w:val="center"/>
          </w:tcPr>
          <w:p w14:paraId="2150A44F" w14:textId="77777777" w:rsidR="00E7693B" w:rsidRPr="00E7693B" w:rsidRDefault="00E7693B">
            <w:pPr>
              <w:jc w:val="center"/>
              <w:rPr>
                <w:rFonts w:ascii="Times New Roman" w:hAnsi="Times New Roman" w:cs="Times New Roman"/>
                <w:color w:val="000000"/>
              </w:rPr>
            </w:pPr>
          </w:p>
        </w:tc>
        <w:tc>
          <w:tcPr>
            <w:tcW w:w="662" w:type="dxa"/>
            <w:shd w:val="clear" w:color="auto" w:fill="auto"/>
            <w:vAlign w:val="center"/>
          </w:tcPr>
          <w:p w14:paraId="2150A450"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4.37</w:t>
            </w:r>
          </w:p>
        </w:tc>
        <w:tc>
          <w:tcPr>
            <w:tcW w:w="401" w:type="dxa"/>
            <w:shd w:val="clear" w:color="auto" w:fill="auto"/>
            <w:vAlign w:val="center"/>
          </w:tcPr>
          <w:p w14:paraId="2150A451"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1</w:t>
            </w:r>
          </w:p>
        </w:tc>
        <w:tc>
          <w:tcPr>
            <w:tcW w:w="531" w:type="dxa"/>
            <w:shd w:val="clear" w:color="auto" w:fill="auto"/>
            <w:vAlign w:val="center"/>
          </w:tcPr>
          <w:p w14:paraId="2150A452"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0.10</w:t>
            </w:r>
          </w:p>
        </w:tc>
        <w:tc>
          <w:tcPr>
            <w:tcW w:w="470" w:type="dxa"/>
            <w:shd w:val="clear" w:color="auto" w:fill="auto"/>
            <w:vAlign w:val="center"/>
          </w:tcPr>
          <w:p w14:paraId="2150A453" w14:textId="77777777" w:rsidR="00E7693B" w:rsidRPr="00E7693B" w:rsidRDefault="00E7693B">
            <w:pPr>
              <w:jc w:val="center"/>
              <w:rPr>
                <w:rFonts w:ascii="Times New Roman" w:hAnsi="Times New Roman" w:cs="Times New Roman"/>
                <w:color w:val="000000"/>
              </w:rPr>
            </w:pPr>
          </w:p>
        </w:tc>
        <w:tc>
          <w:tcPr>
            <w:tcW w:w="659" w:type="dxa"/>
            <w:shd w:val="clear" w:color="auto" w:fill="auto"/>
            <w:vAlign w:val="center"/>
          </w:tcPr>
          <w:p w14:paraId="2150A454"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3.12</w:t>
            </w:r>
          </w:p>
        </w:tc>
        <w:tc>
          <w:tcPr>
            <w:tcW w:w="402" w:type="dxa"/>
            <w:shd w:val="clear" w:color="auto" w:fill="auto"/>
            <w:vAlign w:val="center"/>
          </w:tcPr>
          <w:p w14:paraId="2150A455"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5</w:t>
            </w:r>
          </w:p>
        </w:tc>
        <w:tc>
          <w:tcPr>
            <w:tcW w:w="531" w:type="dxa"/>
            <w:shd w:val="clear" w:color="auto" w:fill="auto"/>
            <w:vAlign w:val="center"/>
          </w:tcPr>
          <w:p w14:paraId="2150A456"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0.09</w:t>
            </w:r>
          </w:p>
        </w:tc>
        <w:tc>
          <w:tcPr>
            <w:tcW w:w="248" w:type="dxa"/>
            <w:shd w:val="clear" w:color="auto" w:fill="auto"/>
            <w:vAlign w:val="center"/>
          </w:tcPr>
          <w:p w14:paraId="2150A457" w14:textId="77777777" w:rsidR="00E7693B" w:rsidRPr="00E7693B" w:rsidRDefault="00E7693B">
            <w:pPr>
              <w:jc w:val="center"/>
              <w:rPr>
                <w:rFonts w:ascii="Times New Roman" w:hAnsi="Times New Roman" w:cs="Times New Roman"/>
                <w:color w:val="000000"/>
              </w:rPr>
            </w:pPr>
          </w:p>
        </w:tc>
        <w:tc>
          <w:tcPr>
            <w:tcW w:w="960" w:type="dxa"/>
            <w:shd w:val="clear" w:color="auto" w:fill="auto"/>
            <w:vAlign w:val="center"/>
          </w:tcPr>
          <w:p w14:paraId="2150A458" w14:textId="77777777" w:rsidR="00E7693B" w:rsidRPr="00E7693B" w:rsidRDefault="00E7693B">
            <w:pPr>
              <w:jc w:val="center"/>
              <w:rPr>
                <w:rFonts w:ascii="Times New Roman" w:hAnsi="Times New Roman" w:cs="Times New Roman"/>
                <w:color w:val="000000"/>
              </w:rPr>
            </w:pPr>
            <w:r w:rsidRPr="00E7693B">
              <w:rPr>
                <w:rFonts w:ascii="Times New Roman" w:hAnsi="Times New Roman" w:cs="Times New Roman"/>
                <w:color w:val="000000"/>
              </w:rPr>
              <w:t>30</w:t>
            </w:r>
          </w:p>
        </w:tc>
      </w:tr>
    </w:tbl>
    <w:p w14:paraId="2150A45A" w14:textId="77777777" w:rsidR="00E7693B" w:rsidRPr="00E7693B" w:rsidRDefault="00E7693B">
      <w:pPr>
        <w:spacing w:after="240" w:line="360" w:lineRule="auto"/>
        <w:ind w:firstLine="720"/>
        <w:jc w:val="both"/>
        <w:rPr>
          <w:rFonts w:ascii="Times New Roman" w:hAnsi="Times New Roman" w:cs="Times New Roman"/>
        </w:rPr>
      </w:pPr>
    </w:p>
    <w:p w14:paraId="2150A45B" w14:textId="77777777" w:rsidR="00E7693B" w:rsidRPr="005B6C8D" w:rsidRDefault="00E7693B">
      <w:pPr>
        <w:spacing w:after="240" w:line="360" w:lineRule="auto"/>
        <w:ind w:firstLine="720"/>
        <w:jc w:val="both"/>
        <w:rPr>
          <w:rFonts w:ascii="Times New Roman" w:hAnsi="Times New Roman" w:cs="Times New Roman"/>
          <w:sz w:val="24"/>
          <w:szCs w:val="24"/>
        </w:rPr>
      </w:pPr>
      <w:r w:rsidRPr="005B6C8D">
        <w:rPr>
          <w:rFonts w:ascii="Times New Roman" w:hAnsi="Times New Roman" w:cs="Times New Roman"/>
          <w:sz w:val="24"/>
          <w:szCs w:val="24"/>
        </w:rPr>
        <w:t>The redundancy analysis (RDA) of 0 dpi showed that the experimental design explained 36 % of the total variance in the first biological repetition (Fig. 41A), and 21 % of the total variance in the second biological repetition (Fig. 41B). The axes 1 and 2 explained 57 % and 42 % of the constrained variance (Fig. 41A), and 89 % and 10 % of the constrained variance (Fig. 41B), respectively. The GLS composition profile was not significantly influenced by the treatment in the first biological repetition (F</w:t>
      </w:r>
      <w:r w:rsidRPr="005B6C8D">
        <w:rPr>
          <w:rFonts w:ascii="Times New Roman" w:hAnsi="Times New Roman" w:cs="Times New Roman"/>
          <w:sz w:val="24"/>
          <w:szCs w:val="24"/>
          <w:vertAlign w:val="subscript"/>
        </w:rPr>
        <w:t>2,3</w:t>
      </w:r>
      <w:r w:rsidRPr="005B6C8D">
        <w:rPr>
          <w:rFonts w:ascii="Times New Roman" w:hAnsi="Times New Roman" w:cs="Times New Roman"/>
          <w:sz w:val="24"/>
          <w:szCs w:val="24"/>
        </w:rPr>
        <w:t xml:space="preserve"> = 1.71; P = 0.15), nor in the second biological repetition (F</w:t>
      </w:r>
      <w:r w:rsidRPr="005B6C8D">
        <w:rPr>
          <w:rFonts w:ascii="Times New Roman" w:hAnsi="Times New Roman" w:cs="Times New Roman"/>
          <w:sz w:val="24"/>
          <w:szCs w:val="24"/>
          <w:vertAlign w:val="subscript"/>
        </w:rPr>
        <w:t>2,3</w:t>
      </w:r>
      <w:r w:rsidRPr="005B6C8D">
        <w:rPr>
          <w:rFonts w:ascii="Times New Roman" w:hAnsi="Times New Roman" w:cs="Times New Roman"/>
          <w:sz w:val="24"/>
          <w:szCs w:val="24"/>
        </w:rPr>
        <w:t xml:space="preserve"> = 0.81; P = 0.62). Nonetheless, </w:t>
      </w:r>
      <w:r w:rsidRPr="005B6C8D">
        <w:rPr>
          <w:rFonts w:ascii="Times New Roman" w:hAnsi="Times New Roman" w:cs="Times New Roman"/>
          <w:sz w:val="24"/>
          <w:szCs w:val="24"/>
          <w:highlight w:val="white"/>
        </w:rPr>
        <w:t xml:space="preserve">RDA points that </w:t>
      </w:r>
      <w:proofErr w:type="spellStart"/>
      <w:r w:rsidRPr="005B6C8D">
        <w:rPr>
          <w:rFonts w:ascii="Times New Roman" w:hAnsi="Times New Roman" w:cs="Times New Roman"/>
          <w:sz w:val="24"/>
          <w:szCs w:val="24"/>
          <w:highlight w:val="white"/>
        </w:rPr>
        <w:t>glucoiberin</w:t>
      </w:r>
      <w:proofErr w:type="spellEnd"/>
      <w:r w:rsidRPr="005B6C8D">
        <w:rPr>
          <w:rFonts w:ascii="Times New Roman" w:hAnsi="Times New Roman" w:cs="Times New Roman"/>
          <w:sz w:val="24"/>
          <w:szCs w:val="24"/>
          <w:highlight w:val="white"/>
        </w:rPr>
        <w:t xml:space="preserve">, sinigrin and </w:t>
      </w:r>
      <w:proofErr w:type="spellStart"/>
      <w:r w:rsidRPr="005B6C8D">
        <w:rPr>
          <w:rFonts w:ascii="Times New Roman" w:hAnsi="Times New Roman" w:cs="Times New Roman"/>
          <w:sz w:val="24"/>
          <w:szCs w:val="24"/>
          <w:highlight w:val="white"/>
        </w:rPr>
        <w:t>glucobrassicin</w:t>
      </w:r>
      <w:proofErr w:type="spellEnd"/>
      <w:r w:rsidRPr="005B6C8D">
        <w:rPr>
          <w:rFonts w:ascii="Times New Roman" w:hAnsi="Times New Roman" w:cs="Times New Roman"/>
          <w:sz w:val="24"/>
          <w:szCs w:val="24"/>
          <w:highlight w:val="white"/>
        </w:rPr>
        <w:t xml:space="preserve"> were higher in </w:t>
      </w:r>
      <w:r w:rsidRPr="005B6C8D">
        <w:rPr>
          <w:rFonts w:ascii="Times New Roman" w:hAnsi="Times New Roman" w:cs="Times New Roman"/>
          <w:sz w:val="24"/>
          <w:szCs w:val="24"/>
        </w:rPr>
        <w:t>0.05 % Triton X</w:t>
      </w:r>
      <w:r w:rsidRPr="005B6C8D">
        <w:rPr>
          <w:rFonts w:ascii="Times New Roman" w:hAnsi="Times New Roman" w:cs="Times New Roman"/>
          <w:sz w:val="24"/>
          <w:szCs w:val="24"/>
          <w:highlight w:val="white"/>
        </w:rPr>
        <w:t>-treated plants in both biological repetitions (Fig. 41A, B).</w:t>
      </w:r>
    </w:p>
    <w:p w14:paraId="2150A45C" w14:textId="2D37C407" w:rsidR="00E7693B" w:rsidRPr="00E7693B" w:rsidRDefault="005B6C8D">
      <w:pPr>
        <w:spacing w:line="360" w:lineRule="auto"/>
        <w:jc w:val="center"/>
        <w:rPr>
          <w:rFonts w:ascii="Times New Roman" w:hAnsi="Times New Roman" w:cs="Times New Roman"/>
        </w:rPr>
      </w:pPr>
      <w:r>
        <w:rPr>
          <w:noProof/>
          <w:lang w:val="en-US"/>
        </w:rPr>
        <w:drawing>
          <wp:inline distT="0" distB="0" distL="0" distR="0" wp14:anchorId="4F6817AF" wp14:editId="7656F119">
            <wp:extent cx="5760085" cy="2263775"/>
            <wp:effectExtent l="0" t="0" r="0" b="3175"/>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2"/>
                    <a:srcRect/>
                    <a:stretch>
                      <a:fillRect/>
                    </a:stretch>
                  </pic:blipFill>
                  <pic:spPr>
                    <a:xfrm>
                      <a:off x="0" y="0"/>
                      <a:ext cx="5760085" cy="2263775"/>
                    </a:xfrm>
                    <a:prstGeom prst="rect">
                      <a:avLst/>
                    </a:prstGeom>
                    <a:ln/>
                  </pic:spPr>
                </pic:pic>
              </a:graphicData>
            </a:graphic>
          </wp:inline>
        </w:drawing>
      </w:r>
    </w:p>
    <w:p w14:paraId="2150A45D" w14:textId="77777777" w:rsidR="00E7693B" w:rsidRPr="00E7693B" w:rsidRDefault="00E7693B">
      <w:pPr>
        <w:spacing w:after="240" w:line="360" w:lineRule="auto"/>
        <w:jc w:val="both"/>
        <w:rPr>
          <w:rFonts w:ascii="Times New Roman" w:hAnsi="Times New Roman" w:cs="Times New Roman"/>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41</w:t>
      </w:r>
      <w:r w:rsidRPr="00E7693B">
        <w:rPr>
          <w:rFonts w:ascii="Times New Roman" w:hAnsi="Times New Roman" w:cs="Times New Roman"/>
        </w:rPr>
        <w:t xml:space="preserve">. Redundancy analysis (RDA) of glucosinolate (GLS) content in the true leaves of cauliflower before inoculation with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(0 dpi), and previously inoculated with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Distilled water (dH2O) was used as control on the leaves, and on the roots together with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Score plot is shown on the left, with variances explained by the synthetic axes written in parentheses, and the correlation circle on the right. </w:t>
      </w:r>
      <w:r w:rsidRPr="006B61C5">
        <w:rPr>
          <w:rFonts w:ascii="Times New Roman" w:hAnsi="Times New Roman" w:cs="Times New Roman"/>
          <w:b/>
          <w:bCs/>
        </w:rPr>
        <w:t>A:</w:t>
      </w:r>
      <w:r w:rsidRPr="00E7693B">
        <w:rPr>
          <w:rFonts w:ascii="Times New Roman" w:hAnsi="Times New Roman" w:cs="Times New Roman"/>
        </w:rPr>
        <w:t xml:space="preserve"> first biological repetition; </w:t>
      </w:r>
      <w:r w:rsidRPr="006B61C5">
        <w:rPr>
          <w:rFonts w:ascii="Times New Roman" w:hAnsi="Times New Roman" w:cs="Times New Roman"/>
          <w:b/>
          <w:bCs/>
        </w:rPr>
        <w:t>B:</w:t>
      </w:r>
      <w:r w:rsidRPr="00E7693B">
        <w:rPr>
          <w:rFonts w:ascii="Times New Roman" w:hAnsi="Times New Roman" w:cs="Times New Roman"/>
        </w:rPr>
        <w:t xml:space="preserve"> second biological repetition.</w:t>
      </w:r>
    </w:p>
    <w:p w14:paraId="2150A45E" w14:textId="63381C43" w:rsidR="00E7693B" w:rsidRPr="005B6C8D" w:rsidRDefault="00E7693B">
      <w:pPr>
        <w:spacing w:after="240" w:line="360" w:lineRule="auto"/>
        <w:ind w:firstLine="720"/>
        <w:jc w:val="both"/>
        <w:rPr>
          <w:rFonts w:ascii="Times New Roman" w:hAnsi="Times New Roman" w:cs="Times New Roman"/>
          <w:sz w:val="24"/>
          <w:szCs w:val="24"/>
        </w:rPr>
      </w:pPr>
      <w:r w:rsidRPr="005B6C8D">
        <w:rPr>
          <w:rFonts w:ascii="Times New Roman" w:hAnsi="Times New Roman" w:cs="Times New Roman"/>
          <w:sz w:val="24"/>
          <w:szCs w:val="24"/>
        </w:rPr>
        <w:t>The RDA of 7 dpi showed that the experimental design explained 38 % of the total variance in the first biological repetition (Fig. 42A), and 47 % of the total variance in the second biological repetition (Fig. 42B). The axes 1 and 2 explained 51 % and 34 % of the constrained variance (Fig. 42A), and 55 % and 37 % of the constrained variance (Fig. 42B), respectively. The GLS composition profile was not significantly influenced by the treatment (F</w:t>
      </w:r>
      <w:r w:rsidRPr="005B6C8D">
        <w:rPr>
          <w:rFonts w:ascii="Times New Roman" w:hAnsi="Times New Roman" w:cs="Times New Roman"/>
          <w:sz w:val="24"/>
          <w:szCs w:val="24"/>
          <w:vertAlign w:val="subscript"/>
        </w:rPr>
        <w:t>5,3</w:t>
      </w:r>
      <w:r w:rsidRPr="005B6C8D">
        <w:rPr>
          <w:rFonts w:ascii="Times New Roman" w:hAnsi="Times New Roman" w:cs="Times New Roman"/>
          <w:sz w:val="24"/>
          <w:szCs w:val="24"/>
        </w:rPr>
        <w:t xml:space="preserve"> = 1.47; P = 0.06) in the first biological repetition, contrary to the second biological repetition (F</w:t>
      </w:r>
      <w:r w:rsidRPr="005B6C8D">
        <w:rPr>
          <w:rFonts w:ascii="Times New Roman" w:hAnsi="Times New Roman" w:cs="Times New Roman"/>
          <w:sz w:val="24"/>
          <w:szCs w:val="24"/>
          <w:vertAlign w:val="subscript"/>
        </w:rPr>
        <w:t>5,3</w:t>
      </w:r>
      <w:r w:rsidRPr="005B6C8D">
        <w:rPr>
          <w:rFonts w:ascii="Times New Roman" w:hAnsi="Times New Roman" w:cs="Times New Roman"/>
          <w:sz w:val="24"/>
          <w:szCs w:val="24"/>
        </w:rPr>
        <w:t xml:space="preserve"> = 2.20, P = 0.01). </w:t>
      </w:r>
      <w:proofErr w:type="spellStart"/>
      <w:r w:rsidRPr="005B6C8D">
        <w:rPr>
          <w:rFonts w:ascii="Times New Roman" w:hAnsi="Times New Roman" w:cs="Times New Roman"/>
          <w:sz w:val="24"/>
          <w:szCs w:val="24"/>
        </w:rPr>
        <w:t>Glucobrassicin</w:t>
      </w:r>
      <w:proofErr w:type="spellEnd"/>
      <w:r w:rsidRPr="005B6C8D">
        <w:rPr>
          <w:rFonts w:ascii="Times New Roman" w:hAnsi="Times New Roman" w:cs="Times New Roman"/>
          <w:sz w:val="24"/>
          <w:szCs w:val="24"/>
        </w:rPr>
        <w:t xml:space="preserve"> and sinigrin were higher in samples treated with 0.05 % Triton X and distilled water (0.05% TrX_dH2O) and distilled water and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sz w:val="24"/>
          <w:szCs w:val="24"/>
        </w:rPr>
        <w:t xml:space="preserve"> samples (dH2O_</w:t>
      </w:r>
      <w:r w:rsidRPr="005B6C8D">
        <w:rPr>
          <w:rFonts w:ascii="Times New Roman" w:hAnsi="Times New Roman" w:cs="Times New Roman"/>
          <w:i/>
          <w:sz w:val="24"/>
          <w:szCs w:val="24"/>
        </w:rPr>
        <w:t>L.m.</w:t>
      </w:r>
      <w:r w:rsidRPr="005B6C8D">
        <w:rPr>
          <w:rFonts w:ascii="Times New Roman" w:hAnsi="Times New Roman" w:cs="Times New Roman"/>
          <w:sz w:val="24"/>
          <w:szCs w:val="24"/>
        </w:rPr>
        <w:t>) in both biological repetitions (Fig. 42A, B).</w:t>
      </w:r>
    </w:p>
    <w:p w14:paraId="2150A45F" w14:textId="7905172E" w:rsidR="00E7693B" w:rsidRPr="00E7693B" w:rsidRDefault="005B6C8D">
      <w:pPr>
        <w:spacing w:after="240" w:line="360" w:lineRule="auto"/>
        <w:jc w:val="center"/>
        <w:rPr>
          <w:rFonts w:ascii="Times New Roman" w:hAnsi="Times New Roman" w:cs="Times New Roman"/>
        </w:rPr>
      </w:pPr>
      <w:r>
        <w:rPr>
          <w:noProof/>
          <w:lang w:val="en-US"/>
        </w:rPr>
        <w:drawing>
          <wp:inline distT="0" distB="0" distL="0" distR="0" wp14:anchorId="53572730" wp14:editId="25EC9108">
            <wp:extent cx="5760085" cy="2429510"/>
            <wp:effectExtent l="0" t="0" r="0" b="889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3"/>
                    <a:srcRect/>
                    <a:stretch>
                      <a:fillRect/>
                    </a:stretch>
                  </pic:blipFill>
                  <pic:spPr>
                    <a:xfrm>
                      <a:off x="0" y="0"/>
                      <a:ext cx="5760085" cy="2429510"/>
                    </a:xfrm>
                    <a:prstGeom prst="rect">
                      <a:avLst/>
                    </a:prstGeom>
                    <a:ln/>
                  </pic:spPr>
                </pic:pic>
              </a:graphicData>
            </a:graphic>
          </wp:inline>
        </w:drawing>
      </w:r>
    </w:p>
    <w:p w14:paraId="2150A460" w14:textId="77777777" w:rsidR="00E7693B" w:rsidRPr="00E7693B" w:rsidRDefault="00E7693B">
      <w:pPr>
        <w:spacing w:after="240" w:line="360" w:lineRule="auto"/>
        <w:jc w:val="both"/>
        <w:rPr>
          <w:rFonts w:ascii="Times New Roman" w:hAnsi="Times New Roman" w:cs="Times New Roman"/>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42</w:t>
      </w:r>
      <w:r w:rsidRPr="00E7693B">
        <w:rPr>
          <w:rFonts w:ascii="Times New Roman" w:hAnsi="Times New Roman" w:cs="Times New Roman"/>
        </w:rPr>
        <w:t xml:space="preserve">. Redundancy analysis (RDA) of glucosinolate (GLS) content in the true leaves of cauliflower 7 days after inoculation with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previously inoculated with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Distilled water (dH2O) was used as control on the leaves, and on the roots together with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Score plot is shown on the left, with variances explained by the synthetic axes written in parentheses, and the correlation circle on the right. </w:t>
      </w:r>
      <w:r w:rsidRPr="006B61C5">
        <w:rPr>
          <w:rFonts w:ascii="Times New Roman" w:hAnsi="Times New Roman" w:cs="Times New Roman"/>
          <w:b/>
          <w:bCs/>
        </w:rPr>
        <w:t>A:</w:t>
      </w:r>
      <w:r w:rsidRPr="00E7693B">
        <w:rPr>
          <w:rFonts w:ascii="Times New Roman" w:hAnsi="Times New Roman" w:cs="Times New Roman"/>
        </w:rPr>
        <w:t xml:space="preserve"> first biological repetition; </w:t>
      </w:r>
      <w:r w:rsidRPr="006B61C5">
        <w:rPr>
          <w:rFonts w:ascii="Times New Roman" w:hAnsi="Times New Roman" w:cs="Times New Roman"/>
          <w:b/>
          <w:bCs/>
        </w:rPr>
        <w:t>B:</w:t>
      </w:r>
      <w:r w:rsidRPr="00E7693B">
        <w:rPr>
          <w:rFonts w:ascii="Times New Roman" w:hAnsi="Times New Roman" w:cs="Times New Roman"/>
        </w:rPr>
        <w:t xml:space="preserve"> second biological repetition.</w:t>
      </w:r>
    </w:p>
    <w:p w14:paraId="2150A461" w14:textId="12A86759" w:rsidR="00E7693B" w:rsidRPr="005B6C8D" w:rsidRDefault="00E7693B">
      <w:pPr>
        <w:spacing w:after="240" w:line="360" w:lineRule="auto"/>
        <w:ind w:firstLine="720"/>
        <w:jc w:val="both"/>
        <w:rPr>
          <w:rFonts w:ascii="Times New Roman" w:hAnsi="Times New Roman" w:cs="Times New Roman"/>
          <w:sz w:val="24"/>
          <w:szCs w:val="24"/>
        </w:rPr>
      </w:pPr>
      <w:r w:rsidRPr="005B6C8D">
        <w:rPr>
          <w:rFonts w:ascii="Times New Roman" w:hAnsi="Times New Roman" w:cs="Times New Roman"/>
          <w:sz w:val="24"/>
          <w:szCs w:val="24"/>
        </w:rPr>
        <w:t>The RDA of 14 dpi showed that the experimental design explained 47 % of the total variance in the first biological repetition (Fig. 43A), and 56 % of the total variance in the second biological repetition (Fig. 43B). The axes 1 and 2 explained 58 % and 30 % of the constrained variance (Fig. 43A), and 75 % and 20 % of the constrained variance (Fig. 43B), respectively. The GLS composition profile was significantly influenced by the treatment in the first biological repetition (F</w:t>
      </w:r>
      <w:r w:rsidRPr="005B6C8D">
        <w:rPr>
          <w:rFonts w:ascii="Times New Roman" w:hAnsi="Times New Roman" w:cs="Times New Roman"/>
          <w:sz w:val="24"/>
          <w:szCs w:val="24"/>
          <w:vertAlign w:val="subscript"/>
        </w:rPr>
        <w:t>5,3</w:t>
      </w:r>
      <w:r w:rsidRPr="005B6C8D">
        <w:rPr>
          <w:rFonts w:ascii="Times New Roman" w:hAnsi="Times New Roman" w:cs="Times New Roman"/>
          <w:sz w:val="24"/>
          <w:szCs w:val="24"/>
        </w:rPr>
        <w:t xml:space="preserve"> = 2.18; P = 0.01) and in the second biological repetition (F</w:t>
      </w:r>
      <w:r w:rsidRPr="005B6C8D">
        <w:rPr>
          <w:rFonts w:ascii="Times New Roman" w:hAnsi="Times New Roman" w:cs="Times New Roman"/>
          <w:sz w:val="24"/>
          <w:szCs w:val="24"/>
          <w:vertAlign w:val="subscript"/>
        </w:rPr>
        <w:t>5,3</w:t>
      </w:r>
      <w:r w:rsidRPr="005B6C8D">
        <w:rPr>
          <w:rFonts w:ascii="Times New Roman" w:hAnsi="Times New Roman" w:cs="Times New Roman"/>
          <w:sz w:val="24"/>
          <w:szCs w:val="24"/>
        </w:rPr>
        <w:t xml:space="preserve"> = 3.16; P = 0.00). For instance, </w:t>
      </w:r>
      <w:proofErr w:type="spellStart"/>
      <w:r w:rsidRPr="005B6C8D">
        <w:rPr>
          <w:rFonts w:ascii="Times New Roman" w:hAnsi="Times New Roman" w:cs="Times New Roman"/>
          <w:sz w:val="24"/>
          <w:szCs w:val="24"/>
        </w:rPr>
        <w:t>glucoibarin</w:t>
      </w:r>
      <w:proofErr w:type="spellEnd"/>
      <w:r w:rsidRPr="005B6C8D">
        <w:rPr>
          <w:rFonts w:ascii="Times New Roman" w:hAnsi="Times New Roman" w:cs="Times New Roman"/>
          <w:sz w:val="24"/>
          <w:szCs w:val="24"/>
        </w:rPr>
        <w:t xml:space="preserve">, 4-methoxyglucobrassicin and </w:t>
      </w:r>
      <w:proofErr w:type="spellStart"/>
      <w:r w:rsidRPr="005B6C8D">
        <w:rPr>
          <w:rFonts w:ascii="Times New Roman" w:hAnsi="Times New Roman" w:cs="Times New Roman"/>
          <w:sz w:val="24"/>
          <w:szCs w:val="24"/>
        </w:rPr>
        <w:t>neoglucobrassicin</w:t>
      </w:r>
      <w:proofErr w:type="spellEnd"/>
      <w:r w:rsidRPr="005B6C8D">
        <w:rPr>
          <w:rFonts w:ascii="Times New Roman" w:hAnsi="Times New Roman" w:cs="Times New Roman"/>
          <w:sz w:val="24"/>
          <w:szCs w:val="24"/>
        </w:rPr>
        <w:t xml:space="preserve"> were highly elevated in 0.05 % Triton X (0.05% TrX_dH2O, 0.05% </w:t>
      </w:r>
      <w:proofErr w:type="spellStart"/>
      <w:r w:rsidRPr="005B6C8D">
        <w:rPr>
          <w:rFonts w:ascii="Times New Roman" w:hAnsi="Times New Roman" w:cs="Times New Roman"/>
          <w:sz w:val="24"/>
          <w:szCs w:val="24"/>
        </w:rPr>
        <w:t>TrX_</w:t>
      </w:r>
      <w:r w:rsidRPr="005B6C8D">
        <w:rPr>
          <w:rFonts w:ascii="Times New Roman" w:hAnsi="Times New Roman" w:cs="Times New Roman"/>
          <w:i/>
          <w:sz w:val="24"/>
          <w:szCs w:val="24"/>
        </w:rPr>
        <w:t>L.m</w:t>
      </w:r>
      <w:proofErr w:type="spellEnd"/>
      <w:r w:rsidRPr="005B6C8D">
        <w:rPr>
          <w:rFonts w:ascii="Times New Roman" w:hAnsi="Times New Roman" w:cs="Times New Roman"/>
          <w:i/>
          <w:sz w:val="24"/>
          <w:szCs w:val="24"/>
        </w:rPr>
        <w:t>.</w:t>
      </w:r>
      <w:r w:rsidRPr="005B6C8D">
        <w:rPr>
          <w:rFonts w:ascii="Times New Roman" w:hAnsi="Times New Roman" w:cs="Times New Roman"/>
          <w:sz w:val="24"/>
          <w:szCs w:val="24"/>
        </w:rPr>
        <w:t xml:space="preserve">) samples in the first biological repetition (Fig. 43A), whereas the higher content of the same compounds was observed in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w:t>
      </w:r>
      <w:r w:rsidRPr="005B6C8D">
        <w:rPr>
          <w:rFonts w:ascii="Times New Roman" w:hAnsi="Times New Roman" w:cs="Times New Roman"/>
          <w:i/>
          <w:sz w:val="24"/>
          <w:szCs w:val="24"/>
        </w:rPr>
        <w:t>M.r.</w:t>
      </w:r>
      <w:r w:rsidRPr="005B6C8D">
        <w:rPr>
          <w:rFonts w:ascii="Times New Roman" w:hAnsi="Times New Roman" w:cs="Times New Roman"/>
          <w:sz w:val="24"/>
          <w:szCs w:val="24"/>
        </w:rPr>
        <w:t xml:space="preserve">_dH2O, </w:t>
      </w:r>
      <w:r w:rsidRPr="005B6C8D">
        <w:rPr>
          <w:rFonts w:ascii="Times New Roman" w:hAnsi="Times New Roman" w:cs="Times New Roman"/>
          <w:i/>
          <w:sz w:val="24"/>
          <w:szCs w:val="24"/>
        </w:rPr>
        <w:t>M.r.</w:t>
      </w:r>
      <w:r w:rsidRPr="005B6C8D">
        <w:rPr>
          <w:rFonts w:ascii="Times New Roman" w:hAnsi="Times New Roman" w:cs="Times New Roman"/>
          <w:sz w:val="24"/>
          <w:szCs w:val="24"/>
        </w:rPr>
        <w:t>_</w:t>
      </w:r>
      <w:proofErr w:type="spellStart"/>
      <w:r w:rsidRPr="005B6C8D">
        <w:rPr>
          <w:rFonts w:ascii="Times New Roman" w:hAnsi="Times New Roman" w:cs="Times New Roman"/>
          <w:i/>
          <w:sz w:val="24"/>
          <w:szCs w:val="24"/>
        </w:rPr>
        <w:t>L.m</w:t>
      </w:r>
      <w:proofErr w:type="spellEnd"/>
      <w:r w:rsidRPr="005B6C8D">
        <w:rPr>
          <w:rFonts w:ascii="Times New Roman" w:hAnsi="Times New Roman" w:cs="Times New Roman"/>
          <w:i/>
          <w:sz w:val="24"/>
          <w:szCs w:val="24"/>
        </w:rPr>
        <w:t>.</w:t>
      </w:r>
      <w:r w:rsidRPr="005B6C8D">
        <w:rPr>
          <w:rFonts w:ascii="Times New Roman" w:hAnsi="Times New Roman" w:cs="Times New Roman"/>
          <w:sz w:val="24"/>
          <w:szCs w:val="24"/>
        </w:rPr>
        <w:t>) samples in the second biological repetition (Fig. 43B).</w:t>
      </w:r>
    </w:p>
    <w:p w14:paraId="2150A462" w14:textId="20FBE0C4" w:rsidR="00E7693B" w:rsidRPr="00E7693B" w:rsidRDefault="005B6C8D">
      <w:pPr>
        <w:spacing w:after="240" w:line="360" w:lineRule="auto"/>
        <w:jc w:val="center"/>
        <w:rPr>
          <w:rFonts w:ascii="Times New Roman" w:hAnsi="Times New Roman" w:cs="Times New Roman"/>
        </w:rPr>
      </w:pPr>
      <w:r>
        <w:rPr>
          <w:noProof/>
          <w:lang w:val="en-US"/>
        </w:rPr>
        <w:drawing>
          <wp:inline distT="0" distB="0" distL="0" distR="0" wp14:anchorId="79EA7BAB" wp14:editId="7191B8D0">
            <wp:extent cx="5760085" cy="246253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4"/>
                    <a:srcRect/>
                    <a:stretch>
                      <a:fillRect/>
                    </a:stretch>
                  </pic:blipFill>
                  <pic:spPr>
                    <a:xfrm>
                      <a:off x="0" y="0"/>
                      <a:ext cx="5760085" cy="2462530"/>
                    </a:xfrm>
                    <a:prstGeom prst="rect">
                      <a:avLst/>
                    </a:prstGeom>
                    <a:ln/>
                  </pic:spPr>
                </pic:pic>
              </a:graphicData>
            </a:graphic>
          </wp:inline>
        </w:drawing>
      </w:r>
    </w:p>
    <w:p w14:paraId="2150A463" w14:textId="77777777" w:rsidR="00E7693B" w:rsidRPr="00E7693B" w:rsidRDefault="00E7693B">
      <w:pPr>
        <w:spacing w:after="240" w:line="360" w:lineRule="auto"/>
        <w:jc w:val="both"/>
        <w:rPr>
          <w:rFonts w:ascii="Times New Roman" w:hAnsi="Times New Roman" w:cs="Times New Roman"/>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43</w:t>
      </w:r>
      <w:r w:rsidRPr="00E7693B">
        <w:rPr>
          <w:rFonts w:ascii="Times New Roman" w:hAnsi="Times New Roman" w:cs="Times New Roman"/>
        </w:rPr>
        <w:t xml:space="preserve">. Redundancy analysis (RDA) of glucosinolate (GLS) content in the true leaves of cauliflower 14 days post inoculation with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previously inoculated with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Distilled water (dH2O) was used as control on the leaves, and on the roots together with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Score plot is shown on the left, with variances explained by the synthetic axes written in parentheses, and the correlation circle on the right. </w:t>
      </w:r>
      <w:r w:rsidRPr="006B61C5">
        <w:rPr>
          <w:rFonts w:ascii="Times New Roman" w:hAnsi="Times New Roman" w:cs="Times New Roman"/>
          <w:b/>
          <w:bCs/>
        </w:rPr>
        <w:t>A:</w:t>
      </w:r>
      <w:r w:rsidRPr="00E7693B">
        <w:rPr>
          <w:rFonts w:ascii="Times New Roman" w:hAnsi="Times New Roman" w:cs="Times New Roman"/>
        </w:rPr>
        <w:t xml:space="preserve"> first biological repetition; </w:t>
      </w:r>
      <w:r w:rsidRPr="006B61C5">
        <w:rPr>
          <w:rFonts w:ascii="Times New Roman" w:hAnsi="Times New Roman" w:cs="Times New Roman"/>
          <w:b/>
          <w:bCs/>
        </w:rPr>
        <w:t>B:</w:t>
      </w:r>
      <w:r w:rsidRPr="00E7693B">
        <w:rPr>
          <w:rFonts w:ascii="Times New Roman" w:hAnsi="Times New Roman" w:cs="Times New Roman"/>
        </w:rPr>
        <w:t xml:space="preserve"> second biological repetition.</w:t>
      </w:r>
    </w:p>
    <w:p w14:paraId="2150A464" w14:textId="77777777" w:rsidR="00E7693B" w:rsidRPr="00E7693B" w:rsidRDefault="00E7693B" w:rsidP="00EC70C2">
      <w:pPr>
        <w:pStyle w:val="Heading5"/>
      </w:pPr>
      <w:bookmarkStart w:id="87" w:name="_Toc167977653"/>
      <w:r w:rsidRPr="00E7693B">
        <w:rPr>
          <w:i/>
        </w:rPr>
        <w:t xml:space="preserve">Leptosphaeria </w:t>
      </w:r>
      <w:proofErr w:type="spellStart"/>
      <w:r w:rsidRPr="00E7693B">
        <w:rPr>
          <w:i/>
        </w:rPr>
        <w:t>maculans</w:t>
      </w:r>
      <w:proofErr w:type="spellEnd"/>
      <w:r w:rsidRPr="00E7693B">
        <w:t xml:space="preserve"> infection in the cotyledons of cauliflower</w:t>
      </w:r>
      <w:bookmarkEnd w:id="87"/>
    </w:p>
    <w:p w14:paraId="7A121F42" w14:textId="77777777" w:rsidR="005B6C8D" w:rsidRPr="005B6C8D" w:rsidRDefault="005B6C8D" w:rsidP="005B6C8D">
      <w:pPr>
        <w:spacing w:after="0" w:line="360" w:lineRule="auto"/>
        <w:ind w:firstLine="720"/>
        <w:jc w:val="both"/>
        <w:rPr>
          <w:rFonts w:ascii="Times New Roman" w:hAnsi="Times New Roman" w:cs="Times New Roman"/>
          <w:sz w:val="24"/>
          <w:szCs w:val="24"/>
        </w:rPr>
      </w:pPr>
    </w:p>
    <w:p w14:paraId="2150A465" w14:textId="47A4A64C" w:rsidR="00E7693B" w:rsidRPr="005B6C8D" w:rsidRDefault="00E7693B">
      <w:pPr>
        <w:spacing w:after="240" w:line="360" w:lineRule="auto"/>
        <w:ind w:firstLine="720"/>
        <w:jc w:val="both"/>
        <w:rPr>
          <w:rFonts w:ascii="Times New Roman" w:hAnsi="Times New Roman" w:cs="Times New Roman"/>
          <w:sz w:val="24"/>
          <w:szCs w:val="24"/>
        </w:rPr>
      </w:pPr>
      <w:r w:rsidRPr="005B6C8D">
        <w:rPr>
          <w:rFonts w:ascii="Times New Roman" w:hAnsi="Times New Roman" w:cs="Times New Roman"/>
          <w:sz w:val="24"/>
          <w:szCs w:val="24"/>
        </w:rPr>
        <w:t xml:space="preserve">Microscopic imaging of GFP-tagged JN3 isolate of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in the cotyledons of cauliflower confirmed the mycelium growth start</w:t>
      </w:r>
      <w:r w:rsidR="00B150F8">
        <w:rPr>
          <w:rFonts w:ascii="Times New Roman" w:hAnsi="Times New Roman" w:cs="Times New Roman"/>
          <w:sz w:val="24"/>
          <w:szCs w:val="24"/>
        </w:rPr>
        <w:t>ed</w:t>
      </w:r>
      <w:r w:rsidRPr="005B6C8D">
        <w:rPr>
          <w:rFonts w:ascii="Times New Roman" w:hAnsi="Times New Roman" w:cs="Times New Roman"/>
          <w:sz w:val="24"/>
          <w:szCs w:val="24"/>
        </w:rPr>
        <w:t xml:space="preserve"> to be visible 7 days post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inoculation (dpi) and </w:t>
      </w:r>
      <w:r w:rsidR="00B150F8">
        <w:rPr>
          <w:rFonts w:ascii="Times New Roman" w:hAnsi="Times New Roman" w:cs="Times New Roman"/>
          <w:sz w:val="24"/>
          <w:szCs w:val="24"/>
        </w:rPr>
        <w:t>was</w:t>
      </w:r>
      <w:r w:rsidR="00B150F8" w:rsidRPr="005B6C8D">
        <w:rPr>
          <w:rFonts w:ascii="Times New Roman" w:hAnsi="Times New Roman" w:cs="Times New Roman"/>
          <w:sz w:val="24"/>
          <w:szCs w:val="24"/>
        </w:rPr>
        <w:t xml:space="preserve"> </w:t>
      </w:r>
      <w:r w:rsidRPr="005B6C8D">
        <w:rPr>
          <w:rFonts w:ascii="Times New Roman" w:hAnsi="Times New Roman" w:cs="Times New Roman"/>
          <w:sz w:val="24"/>
          <w:szCs w:val="24"/>
        </w:rPr>
        <w:t xml:space="preserve">strongly expanded at 11 dpi (Fig. 44B). The fluorescence area of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mycelium was significantly higher in plants previously treated with 0.05 % Triton X (0.05% </w:t>
      </w:r>
      <w:proofErr w:type="spellStart"/>
      <w:r w:rsidRPr="005B6C8D">
        <w:rPr>
          <w:rFonts w:ascii="Times New Roman" w:hAnsi="Times New Roman" w:cs="Times New Roman"/>
          <w:sz w:val="24"/>
          <w:szCs w:val="24"/>
        </w:rPr>
        <w:t>TrX</w:t>
      </w:r>
      <w:proofErr w:type="spellEnd"/>
      <w:r w:rsidRPr="005B6C8D">
        <w:rPr>
          <w:rFonts w:ascii="Times New Roman" w:hAnsi="Times New Roman" w:cs="Times New Roman"/>
          <w:sz w:val="24"/>
          <w:szCs w:val="24"/>
        </w:rPr>
        <w:t xml:space="preserve">) and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w:t>
      </w:r>
      <w:proofErr w:type="spellStart"/>
      <w:r w:rsidRPr="005B6C8D">
        <w:rPr>
          <w:rFonts w:ascii="Times New Roman" w:hAnsi="Times New Roman" w:cs="Times New Roman"/>
          <w:i/>
          <w:sz w:val="24"/>
          <w:szCs w:val="24"/>
        </w:rPr>
        <w:t>M.r.</w:t>
      </w:r>
      <w:proofErr w:type="spellEnd"/>
      <w:r w:rsidRPr="005B6C8D">
        <w:rPr>
          <w:rFonts w:ascii="Times New Roman" w:hAnsi="Times New Roman" w:cs="Times New Roman"/>
          <w:sz w:val="24"/>
          <w:szCs w:val="24"/>
        </w:rPr>
        <w:t>) compared to plants treated only with distilled water (dH2O)</w:t>
      </w:r>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and even higher in </w:t>
      </w:r>
      <w:proofErr w:type="spellStart"/>
      <w:r w:rsidRPr="005B6C8D">
        <w:rPr>
          <w:rFonts w:ascii="Times New Roman" w:hAnsi="Times New Roman" w:cs="Times New Roman"/>
          <w:i/>
          <w:sz w:val="24"/>
          <w:szCs w:val="24"/>
        </w:rPr>
        <w:t>M.r.</w:t>
      </w:r>
      <w:proofErr w:type="spellEnd"/>
      <w:r w:rsidRPr="005B6C8D">
        <w:rPr>
          <w:rFonts w:ascii="Times New Roman" w:hAnsi="Times New Roman" w:cs="Times New Roman"/>
          <w:sz w:val="24"/>
          <w:szCs w:val="24"/>
        </w:rPr>
        <w:t xml:space="preserve">-inoculated plants compared to 0.05% </w:t>
      </w:r>
      <w:proofErr w:type="spellStart"/>
      <w:r w:rsidRPr="005B6C8D">
        <w:rPr>
          <w:rFonts w:ascii="Times New Roman" w:hAnsi="Times New Roman" w:cs="Times New Roman"/>
          <w:sz w:val="24"/>
          <w:szCs w:val="24"/>
        </w:rPr>
        <w:t>TrX</w:t>
      </w:r>
      <w:proofErr w:type="spellEnd"/>
      <w:r w:rsidRPr="005B6C8D">
        <w:rPr>
          <w:rFonts w:ascii="Times New Roman" w:hAnsi="Times New Roman" w:cs="Times New Roman"/>
          <w:sz w:val="24"/>
          <w:szCs w:val="24"/>
        </w:rPr>
        <w:t xml:space="preserve">-treated plants (Fig. 44A). Moreover, mycelium caused lesion development (Fig. 45B), and the transcript level of </w:t>
      </w:r>
      <w:proofErr w:type="spellStart"/>
      <w:r w:rsidRPr="005B6C8D">
        <w:rPr>
          <w:rFonts w:ascii="Times New Roman" w:hAnsi="Times New Roman" w:cs="Times New Roman"/>
          <w:i/>
          <w:sz w:val="24"/>
          <w:szCs w:val="24"/>
        </w:rPr>
        <w:t>LmITS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gene confirmed that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was present in higher amounts in plants previously treated with 0.05% </w:t>
      </w:r>
      <w:proofErr w:type="spellStart"/>
      <w:r w:rsidRPr="005B6C8D">
        <w:rPr>
          <w:rFonts w:ascii="Times New Roman" w:hAnsi="Times New Roman" w:cs="Times New Roman"/>
          <w:sz w:val="24"/>
          <w:szCs w:val="24"/>
        </w:rPr>
        <w:t>TrX</w:t>
      </w:r>
      <w:proofErr w:type="spellEnd"/>
      <w:r w:rsidRPr="005B6C8D">
        <w:rPr>
          <w:rFonts w:ascii="Times New Roman" w:hAnsi="Times New Roman" w:cs="Times New Roman"/>
          <w:sz w:val="24"/>
          <w:szCs w:val="24"/>
        </w:rPr>
        <w:t xml:space="preserve"> and </w:t>
      </w:r>
      <w:proofErr w:type="spellStart"/>
      <w:r w:rsidRPr="005B6C8D">
        <w:rPr>
          <w:rFonts w:ascii="Times New Roman" w:hAnsi="Times New Roman" w:cs="Times New Roman"/>
          <w:i/>
          <w:sz w:val="24"/>
          <w:szCs w:val="24"/>
        </w:rPr>
        <w:t>M.r.</w:t>
      </w:r>
      <w:proofErr w:type="spellEnd"/>
      <w:r w:rsidRPr="005B6C8D">
        <w:rPr>
          <w:rFonts w:ascii="Times New Roman" w:hAnsi="Times New Roman" w:cs="Times New Roman"/>
          <w:sz w:val="24"/>
          <w:szCs w:val="24"/>
        </w:rPr>
        <w:t>, compared to plants treated only with dH2O (Fig. 45A).</w:t>
      </w:r>
    </w:p>
    <w:p w14:paraId="2150A466" w14:textId="64943E6C" w:rsidR="00E7693B" w:rsidRPr="00E7693B" w:rsidRDefault="005B6C8D">
      <w:pPr>
        <w:spacing w:after="240" w:line="360" w:lineRule="auto"/>
        <w:jc w:val="center"/>
        <w:rPr>
          <w:rFonts w:ascii="Times New Roman" w:hAnsi="Times New Roman" w:cs="Times New Roman"/>
        </w:rPr>
      </w:pPr>
      <w:r>
        <w:rPr>
          <w:noProof/>
          <w:lang w:val="en-US"/>
        </w:rPr>
        <w:drawing>
          <wp:inline distT="0" distB="0" distL="0" distR="0" wp14:anchorId="262B997E" wp14:editId="12349177">
            <wp:extent cx="5760085" cy="2033270"/>
            <wp:effectExtent l="0" t="0" r="0" b="5080"/>
            <wp:docPr id="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5"/>
                    <a:srcRect/>
                    <a:stretch>
                      <a:fillRect/>
                    </a:stretch>
                  </pic:blipFill>
                  <pic:spPr>
                    <a:xfrm>
                      <a:off x="0" y="0"/>
                      <a:ext cx="5760085" cy="2033270"/>
                    </a:xfrm>
                    <a:prstGeom prst="rect">
                      <a:avLst/>
                    </a:prstGeom>
                    <a:ln/>
                  </pic:spPr>
                </pic:pic>
              </a:graphicData>
            </a:graphic>
          </wp:inline>
        </w:drawing>
      </w:r>
    </w:p>
    <w:p w14:paraId="2150A467" w14:textId="77777777" w:rsidR="00E7693B" w:rsidRPr="00E7693B" w:rsidRDefault="00E7693B">
      <w:pPr>
        <w:spacing w:after="240" w:line="360" w:lineRule="auto"/>
        <w:jc w:val="both"/>
        <w:rPr>
          <w:rFonts w:ascii="Times New Roman" w:hAnsi="Times New Roman" w:cs="Times New Roman"/>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44</w:t>
      </w:r>
      <w:r w:rsidRPr="00E7693B">
        <w:rPr>
          <w:rFonts w:ascii="Times New Roman" w:hAnsi="Times New Roman" w:cs="Times New Roman"/>
        </w:rPr>
        <w:t xml:space="preserve">. Fluorescence area of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mycelium formation 7 and 11 days post inoculation (dpi) by syringe infiltration in the cotyledons of cauliflower, previously treated with distilled water (dH2O),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or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w:t>
      </w:r>
      <w:r w:rsidRPr="006B61C5">
        <w:rPr>
          <w:rFonts w:ascii="Times New Roman" w:hAnsi="Times New Roman" w:cs="Times New Roman"/>
          <w:b/>
          <w:bCs/>
        </w:rPr>
        <w:t>A:</w:t>
      </w:r>
      <w:r w:rsidRPr="00E7693B">
        <w:rPr>
          <w:rFonts w:ascii="Times New Roman" w:hAnsi="Times New Roman" w:cs="Times New Roman"/>
        </w:rPr>
        <w:t xml:space="preserve"> percentage of fluorescence area of mycelium in cotyledons; </w:t>
      </w:r>
      <w:r w:rsidRPr="006B61C5">
        <w:rPr>
          <w:rFonts w:ascii="Times New Roman" w:hAnsi="Times New Roman" w:cs="Times New Roman"/>
          <w:b/>
          <w:bCs/>
        </w:rPr>
        <w:t>B:</w:t>
      </w:r>
      <w:r w:rsidRPr="00E7693B">
        <w:rPr>
          <w:rFonts w:ascii="Times New Roman" w:hAnsi="Times New Roman" w:cs="Times New Roman"/>
        </w:rPr>
        <w:t xml:space="preserve"> representative images of mycelium development in cotyledons of cauliflower.</w:t>
      </w:r>
    </w:p>
    <w:p w14:paraId="2150A468" w14:textId="0244BD35" w:rsidR="00E7693B" w:rsidRPr="00E7693B" w:rsidRDefault="005B6C8D">
      <w:pPr>
        <w:spacing w:after="240" w:line="360" w:lineRule="auto"/>
        <w:jc w:val="center"/>
        <w:rPr>
          <w:rFonts w:ascii="Times New Roman" w:hAnsi="Times New Roman" w:cs="Times New Roman"/>
        </w:rPr>
      </w:pPr>
      <w:r>
        <w:rPr>
          <w:noProof/>
          <w:lang w:val="en-US"/>
        </w:rPr>
        <w:drawing>
          <wp:inline distT="0" distB="0" distL="0" distR="0" wp14:anchorId="221B45A4" wp14:editId="045B21F4">
            <wp:extent cx="5760085" cy="2270125"/>
            <wp:effectExtent l="0" t="0" r="0" b="0"/>
            <wp:docPr id="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6"/>
                    <a:srcRect/>
                    <a:stretch>
                      <a:fillRect/>
                    </a:stretch>
                  </pic:blipFill>
                  <pic:spPr>
                    <a:xfrm>
                      <a:off x="0" y="0"/>
                      <a:ext cx="5760085" cy="2270125"/>
                    </a:xfrm>
                    <a:prstGeom prst="rect">
                      <a:avLst/>
                    </a:prstGeom>
                    <a:ln/>
                  </pic:spPr>
                </pic:pic>
              </a:graphicData>
            </a:graphic>
          </wp:inline>
        </w:drawing>
      </w:r>
    </w:p>
    <w:p w14:paraId="2150A469" w14:textId="5EFD0EBC" w:rsidR="00E7693B" w:rsidRPr="00E7693B" w:rsidRDefault="00E7693B">
      <w:pPr>
        <w:spacing w:after="240" w:line="360" w:lineRule="auto"/>
        <w:jc w:val="both"/>
        <w:rPr>
          <w:rFonts w:ascii="Times New Roman" w:hAnsi="Times New Roman" w:cs="Times New Roman"/>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45</w:t>
      </w:r>
      <w:r w:rsidRPr="00E7693B">
        <w:rPr>
          <w:rFonts w:ascii="Times New Roman" w:hAnsi="Times New Roman" w:cs="Times New Roman"/>
        </w:rPr>
        <w:t xml:space="preserve">.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rPr>
        <w:t xml:space="preserve"> (</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development in the cotyledons of cauliflower 11 days post inoculation (dpi), previously treated with distilled water (dH2O),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or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w:t>
      </w:r>
      <w:r w:rsidRPr="006B61C5">
        <w:rPr>
          <w:rFonts w:ascii="Times New Roman" w:hAnsi="Times New Roman" w:cs="Times New Roman"/>
          <w:b/>
          <w:bCs/>
        </w:rPr>
        <w:t>A:</w:t>
      </w:r>
      <w:r w:rsidRPr="00E7693B">
        <w:rPr>
          <w:rFonts w:ascii="Times New Roman" w:hAnsi="Times New Roman" w:cs="Times New Roman"/>
        </w:rPr>
        <w:t xml:space="preserve"> </w:t>
      </w:r>
      <w:proofErr w:type="spellStart"/>
      <w:r w:rsidRPr="00E7693B">
        <w:rPr>
          <w:rFonts w:ascii="Times New Roman" w:hAnsi="Times New Roman" w:cs="Times New Roman"/>
          <w:i/>
        </w:rPr>
        <w:t>LmITS</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transcription confirming the significantly higher presence of </w:t>
      </w:r>
      <w:r w:rsidRPr="00E7693B">
        <w:rPr>
          <w:rFonts w:ascii="Times New Roman" w:hAnsi="Times New Roman" w:cs="Times New Roman"/>
          <w:i/>
        </w:rPr>
        <w:t xml:space="preserve">L.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in the samples treated with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and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compared to the samples with distilled water treatment (dH2O); </w:t>
      </w:r>
      <w:r w:rsidRPr="006B61C5">
        <w:rPr>
          <w:rFonts w:ascii="Times New Roman" w:hAnsi="Times New Roman" w:cs="Times New Roman"/>
          <w:b/>
          <w:bCs/>
        </w:rPr>
        <w:t>B:</w:t>
      </w:r>
      <w:r w:rsidRPr="00E7693B">
        <w:rPr>
          <w:rFonts w:ascii="Times New Roman" w:hAnsi="Times New Roman" w:cs="Times New Roman"/>
        </w:rPr>
        <w:t xml:space="preserve"> </w:t>
      </w:r>
      <w:r w:rsidRPr="00E7693B">
        <w:rPr>
          <w:rFonts w:ascii="Times New Roman" w:hAnsi="Times New Roman" w:cs="Times New Roman"/>
          <w:i/>
        </w:rPr>
        <w:t>L.</w:t>
      </w:r>
      <w:r w:rsidR="002C2479">
        <w:rPr>
          <w:rFonts w:ascii="Times New Roman" w:hAnsi="Times New Roman" w:cs="Times New Roman"/>
          <w:i/>
        </w:rPr>
        <w:t>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lesion development and mycelium formation in the cotyledons of cauliflower.</w:t>
      </w:r>
    </w:p>
    <w:p w14:paraId="2150A46A" w14:textId="559DBA33" w:rsidR="00E7693B" w:rsidRPr="005B6C8D" w:rsidRDefault="00E7693B" w:rsidP="00E7693B">
      <w:pPr>
        <w:spacing w:after="240" w:line="360" w:lineRule="auto"/>
        <w:ind w:firstLine="720"/>
        <w:jc w:val="both"/>
        <w:rPr>
          <w:rFonts w:ascii="Times New Roman" w:hAnsi="Times New Roman" w:cs="Times New Roman"/>
          <w:sz w:val="24"/>
          <w:szCs w:val="24"/>
        </w:rPr>
      </w:pPr>
      <w:r w:rsidRPr="005B6C8D">
        <w:rPr>
          <w:rFonts w:ascii="Times New Roman" w:hAnsi="Times New Roman" w:cs="Times New Roman"/>
          <w:sz w:val="24"/>
          <w:szCs w:val="24"/>
        </w:rPr>
        <w:t xml:space="preserve">Infection caused by </w:t>
      </w:r>
      <w:r w:rsidRPr="005B6C8D">
        <w:rPr>
          <w:rFonts w:ascii="Times New Roman" w:hAnsi="Times New Roman" w:cs="Times New Roman"/>
          <w:i/>
          <w:iCs/>
          <w:sz w:val="24"/>
          <w:szCs w:val="24"/>
        </w:rPr>
        <w:t xml:space="preserve">L. </w:t>
      </w:r>
      <w:proofErr w:type="spellStart"/>
      <w:r w:rsidRPr="005B6C8D">
        <w:rPr>
          <w:rFonts w:ascii="Times New Roman" w:hAnsi="Times New Roman" w:cs="Times New Roman"/>
          <w:i/>
          <w:iCs/>
          <w:sz w:val="24"/>
          <w:szCs w:val="24"/>
        </w:rPr>
        <w:t>maculans</w:t>
      </w:r>
      <w:proofErr w:type="spellEnd"/>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at 11 dpi</w:t>
      </w:r>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 xml:space="preserve">caused an upregulation of genes involved in SA </w:t>
      </w:r>
      <w:proofErr w:type="spellStart"/>
      <w:r w:rsidRPr="005B6C8D">
        <w:rPr>
          <w:rFonts w:ascii="Times New Roman" w:hAnsi="Times New Roman" w:cs="Times New Roman"/>
          <w:sz w:val="24"/>
          <w:szCs w:val="24"/>
        </w:rPr>
        <w:t>signaling</w:t>
      </w:r>
      <w:proofErr w:type="spellEnd"/>
      <w:r w:rsidRPr="005B6C8D">
        <w:rPr>
          <w:rFonts w:ascii="Times New Roman" w:hAnsi="Times New Roman" w:cs="Times New Roman"/>
          <w:sz w:val="24"/>
          <w:szCs w:val="24"/>
        </w:rPr>
        <w:t xml:space="preserve"> (Fig. 46), </w:t>
      </w:r>
      <w:r w:rsidRPr="005B6C8D">
        <w:rPr>
          <w:rFonts w:ascii="Times New Roman" w:hAnsi="Times New Roman" w:cs="Times New Roman"/>
          <w:i/>
          <w:iCs/>
          <w:sz w:val="24"/>
          <w:szCs w:val="24"/>
        </w:rPr>
        <w:t xml:space="preserve">i.e. </w:t>
      </w:r>
      <w:r w:rsidRPr="005B6C8D">
        <w:rPr>
          <w:rFonts w:ascii="Times New Roman" w:hAnsi="Times New Roman" w:cs="Times New Roman"/>
          <w:sz w:val="24"/>
          <w:szCs w:val="24"/>
        </w:rPr>
        <w:t xml:space="preserve">biosynthetic </w:t>
      </w:r>
      <w:r w:rsidRPr="005B6C8D">
        <w:rPr>
          <w:rFonts w:ascii="Times New Roman" w:hAnsi="Times New Roman" w:cs="Times New Roman"/>
          <w:i/>
          <w:iCs/>
          <w:sz w:val="24"/>
          <w:szCs w:val="24"/>
        </w:rPr>
        <w:t>ICS1</w:t>
      </w:r>
      <w:r w:rsidRPr="005B6C8D">
        <w:rPr>
          <w:rFonts w:ascii="Times New Roman" w:hAnsi="Times New Roman" w:cs="Times New Roman"/>
          <w:sz w:val="24"/>
          <w:szCs w:val="24"/>
        </w:rPr>
        <w:t xml:space="preserve"> and responsive</w:t>
      </w:r>
      <w:r w:rsidRPr="005B6C8D">
        <w:rPr>
          <w:rFonts w:ascii="Times New Roman" w:hAnsi="Times New Roman" w:cs="Times New Roman"/>
          <w:i/>
          <w:iCs/>
          <w:sz w:val="24"/>
          <w:szCs w:val="24"/>
        </w:rPr>
        <w:t xml:space="preserve"> WRKY70</w:t>
      </w:r>
      <w:r w:rsidRPr="005B6C8D">
        <w:rPr>
          <w:rFonts w:ascii="Times New Roman" w:hAnsi="Times New Roman" w:cs="Times New Roman"/>
          <w:sz w:val="24"/>
          <w:szCs w:val="24"/>
        </w:rPr>
        <w:t xml:space="preserve">; however, previous root treatment with 0.05 % Triton X (0.05% </w:t>
      </w:r>
      <w:proofErr w:type="spellStart"/>
      <w:r w:rsidRPr="005B6C8D">
        <w:rPr>
          <w:rFonts w:ascii="Times New Roman" w:hAnsi="Times New Roman" w:cs="Times New Roman"/>
          <w:sz w:val="24"/>
          <w:szCs w:val="24"/>
        </w:rPr>
        <w:t>TrX_</w:t>
      </w:r>
      <w:r w:rsidRPr="005B6C8D">
        <w:rPr>
          <w:rFonts w:ascii="Times New Roman" w:hAnsi="Times New Roman" w:cs="Times New Roman"/>
          <w:i/>
          <w:iCs/>
          <w:sz w:val="24"/>
          <w:szCs w:val="24"/>
        </w:rPr>
        <w:t>L.m</w:t>
      </w:r>
      <w:proofErr w:type="spellEnd"/>
      <w:r w:rsidRPr="005B6C8D">
        <w:rPr>
          <w:rFonts w:ascii="Times New Roman" w:hAnsi="Times New Roman" w:cs="Times New Roman"/>
          <w:i/>
          <w:iCs/>
          <w:sz w:val="24"/>
          <w:szCs w:val="24"/>
        </w:rPr>
        <w:t>.</w:t>
      </w:r>
      <w:r w:rsidRPr="005B6C8D">
        <w:rPr>
          <w:rFonts w:ascii="Times New Roman" w:hAnsi="Times New Roman" w:cs="Times New Roman"/>
          <w:sz w:val="24"/>
          <w:szCs w:val="24"/>
        </w:rPr>
        <w:t>) caused downregulation of both genes compared to root treatment with water (dH2O_</w:t>
      </w:r>
      <w:r w:rsidRPr="005B6C8D">
        <w:rPr>
          <w:rFonts w:ascii="Times New Roman" w:hAnsi="Times New Roman" w:cs="Times New Roman"/>
          <w:i/>
          <w:iCs/>
          <w:sz w:val="24"/>
          <w:szCs w:val="24"/>
        </w:rPr>
        <w:t>L.m.</w:t>
      </w:r>
      <w:r w:rsidRPr="005B6C8D">
        <w:rPr>
          <w:rFonts w:ascii="Times New Roman" w:hAnsi="Times New Roman" w:cs="Times New Roman"/>
          <w:sz w:val="24"/>
          <w:szCs w:val="24"/>
        </w:rPr>
        <w:t xml:space="preserve">), and did not differ compared to root treatment with </w:t>
      </w:r>
      <w:r w:rsidRPr="005B6C8D">
        <w:rPr>
          <w:rFonts w:ascii="Times New Roman" w:hAnsi="Times New Roman" w:cs="Times New Roman"/>
          <w:i/>
          <w:iCs/>
          <w:sz w:val="24"/>
          <w:szCs w:val="24"/>
        </w:rPr>
        <w:t xml:space="preserve">M. </w:t>
      </w:r>
      <w:proofErr w:type="spellStart"/>
      <w:r w:rsidRPr="005B6C8D">
        <w:rPr>
          <w:rFonts w:ascii="Times New Roman" w:hAnsi="Times New Roman" w:cs="Times New Roman"/>
          <w:i/>
          <w:iCs/>
          <w:sz w:val="24"/>
          <w:szCs w:val="24"/>
        </w:rPr>
        <w:t>robertsii</w:t>
      </w:r>
      <w:proofErr w:type="spellEnd"/>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w:t>
      </w:r>
      <w:r w:rsidRPr="005B6C8D">
        <w:rPr>
          <w:rFonts w:ascii="Times New Roman" w:hAnsi="Times New Roman" w:cs="Times New Roman"/>
          <w:i/>
          <w:iCs/>
          <w:sz w:val="24"/>
          <w:szCs w:val="24"/>
        </w:rPr>
        <w:t>M.r._</w:t>
      </w:r>
      <w:proofErr w:type="spellStart"/>
      <w:r w:rsidRPr="005B6C8D">
        <w:rPr>
          <w:rFonts w:ascii="Times New Roman" w:hAnsi="Times New Roman" w:cs="Times New Roman"/>
          <w:i/>
          <w:iCs/>
          <w:sz w:val="24"/>
          <w:szCs w:val="24"/>
        </w:rPr>
        <w:t>L.m</w:t>
      </w:r>
      <w:proofErr w:type="spellEnd"/>
      <w:r w:rsidRPr="005B6C8D">
        <w:rPr>
          <w:rFonts w:ascii="Times New Roman" w:hAnsi="Times New Roman" w:cs="Times New Roman"/>
          <w:i/>
          <w:iCs/>
          <w:sz w:val="24"/>
          <w:szCs w:val="24"/>
        </w:rPr>
        <w:t>.</w:t>
      </w:r>
      <w:r w:rsidRPr="005B6C8D">
        <w:rPr>
          <w:rFonts w:ascii="Times New Roman" w:hAnsi="Times New Roman" w:cs="Times New Roman"/>
          <w:sz w:val="24"/>
          <w:szCs w:val="24"/>
        </w:rPr>
        <w:t>)</w:t>
      </w:r>
      <w:r w:rsidRPr="005B6C8D">
        <w:rPr>
          <w:rFonts w:ascii="Times New Roman" w:hAnsi="Times New Roman" w:cs="Times New Roman"/>
          <w:i/>
          <w:iCs/>
          <w:sz w:val="24"/>
          <w:szCs w:val="24"/>
        </w:rPr>
        <w:t xml:space="preserve">. </w:t>
      </w:r>
      <w:r w:rsidR="002C2479">
        <w:rPr>
          <w:rFonts w:ascii="Times New Roman" w:hAnsi="Times New Roman" w:cs="Times New Roman"/>
          <w:sz w:val="24"/>
          <w:szCs w:val="24"/>
        </w:rPr>
        <w:t>The g</w:t>
      </w:r>
      <w:r w:rsidRPr="005B6C8D">
        <w:rPr>
          <w:rFonts w:ascii="Times New Roman" w:hAnsi="Times New Roman" w:cs="Times New Roman"/>
          <w:sz w:val="24"/>
          <w:szCs w:val="24"/>
        </w:rPr>
        <w:t xml:space="preserve">ene involved in biosynthesis of JA, </w:t>
      </w:r>
      <w:r w:rsidRPr="005B6C8D">
        <w:rPr>
          <w:rFonts w:ascii="Times New Roman" w:hAnsi="Times New Roman" w:cs="Times New Roman"/>
          <w:i/>
          <w:iCs/>
          <w:sz w:val="24"/>
          <w:szCs w:val="24"/>
        </w:rPr>
        <w:t>AOS</w:t>
      </w:r>
      <w:r w:rsidRPr="005B6C8D">
        <w:rPr>
          <w:rFonts w:ascii="Times New Roman" w:hAnsi="Times New Roman" w:cs="Times New Roman"/>
          <w:sz w:val="24"/>
          <w:szCs w:val="24"/>
        </w:rPr>
        <w:t xml:space="preserve">, was significantly upregulated by </w:t>
      </w:r>
      <w:r w:rsidRPr="005B6C8D">
        <w:rPr>
          <w:rFonts w:ascii="Times New Roman" w:hAnsi="Times New Roman" w:cs="Times New Roman"/>
          <w:i/>
          <w:iCs/>
          <w:sz w:val="24"/>
          <w:szCs w:val="24"/>
        </w:rPr>
        <w:t xml:space="preserve">L. </w:t>
      </w:r>
      <w:proofErr w:type="spellStart"/>
      <w:r w:rsidRPr="005B6C8D">
        <w:rPr>
          <w:rFonts w:ascii="Times New Roman" w:hAnsi="Times New Roman" w:cs="Times New Roman"/>
          <w:i/>
          <w:iCs/>
          <w:sz w:val="24"/>
          <w:szCs w:val="24"/>
        </w:rPr>
        <w:t>maculans</w:t>
      </w:r>
      <w:proofErr w:type="spellEnd"/>
      <w:r w:rsidRPr="005B6C8D">
        <w:rPr>
          <w:rFonts w:ascii="Times New Roman" w:hAnsi="Times New Roman" w:cs="Times New Roman"/>
          <w:sz w:val="24"/>
          <w:szCs w:val="24"/>
        </w:rPr>
        <w:t xml:space="preserve">, but only in the combination with 0.05 % Triton X (0.05% </w:t>
      </w:r>
      <w:proofErr w:type="spellStart"/>
      <w:r w:rsidRPr="005B6C8D">
        <w:rPr>
          <w:rFonts w:ascii="Times New Roman" w:hAnsi="Times New Roman" w:cs="Times New Roman"/>
          <w:sz w:val="24"/>
          <w:szCs w:val="24"/>
        </w:rPr>
        <w:t>TrX_</w:t>
      </w:r>
      <w:r w:rsidRPr="005B6C8D">
        <w:rPr>
          <w:rFonts w:ascii="Times New Roman" w:hAnsi="Times New Roman" w:cs="Times New Roman"/>
          <w:i/>
          <w:iCs/>
          <w:sz w:val="24"/>
          <w:szCs w:val="24"/>
        </w:rPr>
        <w:t>L.m</w:t>
      </w:r>
      <w:proofErr w:type="spellEnd"/>
      <w:r w:rsidRPr="005B6C8D">
        <w:rPr>
          <w:rFonts w:ascii="Times New Roman" w:hAnsi="Times New Roman" w:cs="Times New Roman"/>
          <w:i/>
          <w:iCs/>
          <w:sz w:val="24"/>
          <w:szCs w:val="24"/>
        </w:rPr>
        <w:t>.</w:t>
      </w:r>
      <w:r w:rsidRPr="005B6C8D">
        <w:rPr>
          <w:rFonts w:ascii="Times New Roman" w:hAnsi="Times New Roman" w:cs="Times New Roman"/>
          <w:sz w:val="24"/>
          <w:szCs w:val="24"/>
        </w:rPr>
        <w:t xml:space="preserve">) or </w:t>
      </w:r>
      <w:r w:rsidRPr="005B6C8D">
        <w:rPr>
          <w:rFonts w:ascii="Times New Roman" w:hAnsi="Times New Roman" w:cs="Times New Roman"/>
          <w:i/>
          <w:iCs/>
          <w:sz w:val="24"/>
          <w:szCs w:val="24"/>
        </w:rPr>
        <w:t xml:space="preserve">M. </w:t>
      </w:r>
      <w:proofErr w:type="spellStart"/>
      <w:r w:rsidRPr="005B6C8D">
        <w:rPr>
          <w:rFonts w:ascii="Times New Roman" w:hAnsi="Times New Roman" w:cs="Times New Roman"/>
          <w:i/>
          <w:iCs/>
          <w:sz w:val="24"/>
          <w:szCs w:val="24"/>
        </w:rPr>
        <w:t>robertsii</w:t>
      </w:r>
      <w:proofErr w:type="spellEnd"/>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w:t>
      </w:r>
      <w:r w:rsidRPr="005B6C8D">
        <w:rPr>
          <w:rFonts w:ascii="Times New Roman" w:hAnsi="Times New Roman" w:cs="Times New Roman"/>
          <w:i/>
          <w:iCs/>
          <w:sz w:val="24"/>
          <w:szCs w:val="24"/>
        </w:rPr>
        <w:t>M.r._</w:t>
      </w:r>
      <w:proofErr w:type="spellStart"/>
      <w:r w:rsidRPr="005B6C8D">
        <w:rPr>
          <w:rFonts w:ascii="Times New Roman" w:hAnsi="Times New Roman" w:cs="Times New Roman"/>
          <w:i/>
          <w:iCs/>
          <w:sz w:val="24"/>
          <w:szCs w:val="24"/>
        </w:rPr>
        <w:t>L.m</w:t>
      </w:r>
      <w:proofErr w:type="spellEnd"/>
      <w:r w:rsidRPr="005B6C8D">
        <w:rPr>
          <w:rFonts w:ascii="Times New Roman" w:hAnsi="Times New Roman" w:cs="Times New Roman"/>
          <w:i/>
          <w:iCs/>
          <w:sz w:val="24"/>
          <w:szCs w:val="24"/>
        </w:rPr>
        <w:t>.</w:t>
      </w:r>
      <w:r w:rsidRPr="005B6C8D">
        <w:rPr>
          <w:rFonts w:ascii="Times New Roman" w:hAnsi="Times New Roman" w:cs="Times New Roman"/>
          <w:sz w:val="24"/>
          <w:szCs w:val="24"/>
        </w:rPr>
        <w:t xml:space="preserve">; Fig. 46). The combination of </w:t>
      </w:r>
      <w:r w:rsidRPr="005B6C8D">
        <w:rPr>
          <w:rFonts w:ascii="Times New Roman" w:hAnsi="Times New Roman" w:cs="Times New Roman"/>
          <w:i/>
          <w:iCs/>
          <w:sz w:val="24"/>
          <w:szCs w:val="24"/>
        </w:rPr>
        <w:t xml:space="preserve">M. </w:t>
      </w:r>
      <w:proofErr w:type="spellStart"/>
      <w:r w:rsidRPr="005B6C8D">
        <w:rPr>
          <w:rFonts w:ascii="Times New Roman" w:hAnsi="Times New Roman" w:cs="Times New Roman"/>
          <w:i/>
          <w:iCs/>
          <w:sz w:val="24"/>
          <w:szCs w:val="24"/>
        </w:rPr>
        <w:t>robertsii</w:t>
      </w:r>
      <w:proofErr w:type="spellEnd"/>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 xml:space="preserve">and </w:t>
      </w:r>
      <w:r w:rsidRPr="005B6C8D">
        <w:rPr>
          <w:rFonts w:ascii="Times New Roman" w:hAnsi="Times New Roman" w:cs="Times New Roman"/>
          <w:i/>
          <w:iCs/>
          <w:sz w:val="24"/>
          <w:szCs w:val="24"/>
        </w:rPr>
        <w:t xml:space="preserve">L. </w:t>
      </w:r>
      <w:proofErr w:type="spellStart"/>
      <w:r w:rsidRPr="005B6C8D">
        <w:rPr>
          <w:rFonts w:ascii="Times New Roman" w:hAnsi="Times New Roman" w:cs="Times New Roman"/>
          <w:i/>
          <w:iCs/>
          <w:sz w:val="24"/>
          <w:szCs w:val="24"/>
        </w:rPr>
        <w:t>maculans</w:t>
      </w:r>
      <w:proofErr w:type="spellEnd"/>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w:t>
      </w:r>
      <w:r w:rsidRPr="005B6C8D">
        <w:rPr>
          <w:rFonts w:ascii="Times New Roman" w:hAnsi="Times New Roman" w:cs="Times New Roman"/>
          <w:i/>
          <w:iCs/>
          <w:sz w:val="24"/>
          <w:szCs w:val="24"/>
        </w:rPr>
        <w:t>M.r._</w:t>
      </w:r>
      <w:proofErr w:type="spellStart"/>
      <w:r w:rsidRPr="005B6C8D">
        <w:rPr>
          <w:rFonts w:ascii="Times New Roman" w:hAnsi="Times New Roman" w:cs="Times New Roman"/>
          <w:i/>
          <w:iCs/>
          <w:sz w:val="24"/>
          <w:szCs w:val="24"/>
        </w:rPr>
        <w:t>L.m</w:t>
      </w:r>
      <w:proofErr w:type="spellEnd"/>
      <w:r w:rsidRPr="005B6C8D">
        <w:rPr>
          <w:rFonts w:ascii="Times New Roman" w:hAnsi="Times New Roman" w:cs="Times New Roman"/>
          <w:i/>
          <w:iCs/>
          <w:sz w:val="24"/>
          <w:szCs w:val="24"/>
        </w:rPr>
        <w:t>.</w:t>
      </w:r>
      <w:r w:rsidRPr="005B6C8D">
        <w:rPr>
          <w:rFonts w:ascii="Times New Roman" w:hAnsi="Times New Roman" w:cs="Times New Roman"/>
          <w:sz w:val="24"/>
          <w:szCs w:val="24"/>
        </w:rPr>
        <w:t xml:space="preserve">) caused the induction of gene involved in ET </w:t>
      </w:r>
      <w:proofErr w:type="spellStart"/>
      <w:r w:rsidRPr="005B6C8D">
        <w:rPr>
          <w:rFonts w:ascii="Times New Roman" w:hAnsi="Times New Roman" w:cs="Times New Roman"/>
          <w:sz w:val="24"/>
          <w:szCs w:val="24"/>
        </w:rPr>
        <w:t>signaling</w:t>
      </w:r>
      <w:proofErr w:type="spellEnd"/>
      <w:r w:rsidRPr="005B6C8D">
        <w:rPr>
          <w:rFonts w:ascii="Times New Roman" w:hAnsi="Times New Roman" w:cs="Times New Roman"/>
          <w:sz w:val="24"/>
          <w:szCs w:val="24"/>
        </w:rPr>
        <w:t xml:space="preserve">, </w:t>
      </w:r>
      <w:r w:rsidRPr="005B6C8D">
        <w:rPr>
          <w:rFonts w:ascii="Times New Roman" w:hAnsi="Times New Roman" w:cs="Times New Roman"/>
          <w:i/>
          <w:iCs/>
          <w:sz w:val="24"/>
          <w:szCs w:val="24"/>
        </w:rPr>
        <w:t>ACS2</w:t>
      </w:r>
      <w:r w:rsidRPr="005B6C8D">
        <w:rPr>
          <w:rFonts w:ascii="Times New Roman" w:hAnsi="Times New Roman" w:cs="Times New Roman"/>
          <w:sz w:val="24"/>
          <w:szCs w:val="24"/>
        </w:rPr>
        <w:t>, compared to dH2O_</w:t>
      </w:r>
      <w:r w:rsidRPr="005B6C8D">
        <w:rPr>
          <w:rFonts w:ascii="Times New Roman" w:hAnsi="Times New Roman" w:cs="Times New Roman"/>
          <w:i/>
          <w:iCs/>
          <w:sz w:val="24"/>
          <w:szCs w:val="24"/>
        </w:rPr>
        <w:t xml:space="preserve">L.m. </w:t>
      </w:r>
      <w:r w:rsidRPr="005B6C8D">
        <w:rPr>
          <w:rFonts w:ascii="Times New Roman" w:hAnsi="Times New Roman" w:cs="Times New Roman"/>
          <w:sz w:val="24"/>
          <w:szCs w:val="24"/>
        </w:rPr>
        <w:t xml:space="preserve">treatment (Fig. 46). Genes involved in JA/ET pathway, </w:t>
      </w:r>
      <w:r w:rsidRPr="005B6C8D">
        <w:rPr>
          <w:rFonts w:ascii="Times New Roman" w:hAnsi="Times New Roman" w:cs="Times New Roman"/>
          <w:i/>
          <w:iCs/>
          <w:sz w:val="24"/>
          <w:szCs w:val="24"/>
        </w:rPr>
        <w:t xml:space="preserve">i.e. PDF3 </w:t>
      </w:r>
      <w:r w:rsidRPr="005B6C8D">
        <w:rPr>
          <w:rFonts w:ascii="Times New Roman" w:hAnsi="Times New Roman" w:cs="Times New Roman"/>
          <w:sz w:val="24"/>
          <w:szCs w:val="24"/>
        </w:rPr>
        <w:t xml:space="preserve">and </w:t>
      </w:r>
      <w:r w:rsidRPr="005B6C8D">
        <w:rPr>
          <w:rFonts w:ascii="Times New Roman" w:hAnsi="Times New Roman" w:cs="Times New Roman"/>
          <w:i/>
          <w:iCs/>
          <w:sz w:val="24"/>
          <w:szCs w:val="24"/>
        </w:rPr>
        <w:t>PR4</w:t>
      </w:r>
      <w:r w:rsidRPr="005B6C8D">
        <w:rPr>
          <w:rFonts w:ascii="Times New Roman" w:hAnsi="Times New Roman" w:cs="Times New Roman"/>
          <w:sz w:val="24"/>
          <w:szCs w:val="24"/>
        </w:rPr>
        <w:t>,</w:t>
      </w:r>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 xml:space="preserve">and genes involved in oxidative stress responses, </w:t>
      </w:r>
      <w:r w:rsidRPr="005B6C8D">
        <w:rPr>
          <w:rFonts w:ascii="Times New Roman" w:hAnsi="Times New Roman" w:cs="Times New Roman"/>
          <w:i/>
          <w:iCs/>
          <w:sz w:val="24"/>
          <w:szCs w:val="24"/>
        </w:rPr>
        <w:t xml:space="preserve">i.e. </w:t>
      </w:r>
      <w:proofErr w:type="spellStart"/>
      <w:r w:rsidRPr="005B6C8D">
        <w:rPr>
          <w:rFonts w:ascii="Times New Roman" w:hAnsi="Times New Roman" w:cs="Times New Roman"/>
          <w:i/>
          <w:iCs/>
          <w:sz w:val="24"/>
          <w:szCs w:val="24"/>
        </w:rPr>
        <w:t>rbohF</w:t>
      </w:r>
      <w:proofErr w:type="spellEnd"/>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 xml:space="preserve">were significantly downregulated by 0.05% </w:t>
      </w:r>
      <w:proofErr w:type="spellStart"/>
      <w:r w:rsidRPr="005B6C8D">
        <w:rPr>
          <w:rFonts w:ascii="Times New Roman" w:hAnsi="Times New Roman" w:cs="Times New Roman"/>
          <w:sz w:val="24"/>
          <w:szCs w:val="24"/>
        </w:rPr>
        <w:t>TrX_</w:t>
      </w:r>
      <w:r w:rsidRPr="005B6C8D">
        <w:rPr>
          <w:rFonts w:ascii="Times New Roman" w:hAnsi="Times New Roman" w:cs="Times New Roman"/>
          <w:i/>
          <w:iCs/>
          <w:sz w:val="24"/>
          <w:szCs w:val="24"/>
        </w:rPr>
        <w:t>L.m</w:t>
      </w:r>
      <w:proofErr w:type="spellEnd"/>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 xml:space="preserve">and </w:t>
      </w:r>
      <w:r w:rsidRPr="005B6C8D">
        <w:rPr>
          <w:rFonts w:ascii="Times New Roman" w:hAnsi="Times New Roman" w:cs="Times New Roman"/>
          <w:i/>
          <w:iCs/>
          <w:sz w:val="24"/>
          <w:szCs w:val="24"/>
        </w:rPr>
        <w:t>M.r._</w:t>
      </w:r>
      <w:proofErr w:type="spellStart"/>
      <w:r w:rsidRPr="005B6C8D">
        <w:rPr>
          <w:rFonts w:ascii="Times New Roman" w:hAnsi="Times New Roman" w:cs="Times New Roman"/>
          <w:i/>
          <w:iCs/>
          <w:sz w:val="24"/>
          <w:szCs w:val="24"/>
        </w:rPr>
        <w:t>L.m</w:t>
      </w:r>
      <w:proofErr w:type="spellEnd"/>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compared to dH2O_</w:t>
      </w:r>
      <w:r w:rsidRPr="005B6C8D">
        <w:rPr>
          <w:rFonts w:ascii="Times New Roman" w:hAnsi="Times New Roman" w:cs="Times New Roman"/>
          <w:i/>
          <w:iCs/>
          <w:sz w:val="24"/>
          <w:szCs w:val="24"/>
        </w:rPr>
        <w:t>L.m.</w:t>
      </w:r>
      <w:r w:rsidRPr="005B6C8D">
        <w:rPr>
          <w:rFonts w:ascii="Times New Roman" w:hAnsi="Times New Roman" w:cs="Times New Roman"/>
          <w:sz w:val="24"/>
          <w:szCs w:val="24"/>
        </w:rPr>
        <w:t xml:space="preserve">, whereas </w:t>
      </w:r>
      <w:proofErr w:type="spellStart"/>
      <w:r w:rsidRPr="005B6C8D">
        <w:rPr>
          <w:rFonts w:ascii="Times New Roman" w:hAnsi="Times New Roman" w:cs="Times New Roman"/>
          <w:i/>
          <w:iCs/>
          <w:sz w:val="24"/>
          <w:szCs w:val="24"/>
        </w:rPr>
        <w:t>rbohC</w:t>
      </w:r>
      <w:proofErr w:type="spellEnd"/>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 xml:space="preserve">only by </w:t>
      </w:r>
      <w:r w:rsidRPr="005B6C8D">
        <w:rPr>
          <w:rFonts w:ascii="Times New Roman" w:hAnsi="Times New Roman" w:cs="Times New Roman"/>
          <w:i/>
          <w:iCs/>
          <w:sz w:val="24"/>
          <w:szCs w:val="24"/>
        </w:rPr>
        <w:t>M.r._</w:t>
      </w:r>
      <w:proofErr w:type="spellStart"/>
      <w:r w:rsidRPr="005B6C8D">
        <w:rPr>
          <w:rFonts w:ascii="Times New Roman" w:hAnsi="Times New Roman" w:cs="Times New Roman"/>
          <w:i/>
          <w:iCs/>
          <w:sz w:val="24"/>
          <w:szCs w:val="24"/>
        </w:rPr>
        <w:t>L.m</w:t>
      </w:r>
      <w:proofErr w:type="spellEnd"/>
      <w:r w:rsidRPr="005B6C8D">
        <w:rPr>
          <w:rFonts w:ascii="Times New Roman" w:hAnsi="Times New Roman" w:cs="Times New Roman"/>
          <w:i/>
          <w:iCs/>
          <w:sz w:val="24"/>
          <w:szCs w:val="24"/>
        </w:rPr>
        <w:t>.</w:t>
      </w:r>
      <w:r w:rsidRPr="005B6C8D">
        <w:rPr>
          <w:rFonts w:ascii="Times New Roman" w:hAnsi="Times New Roman" w:cs="Times New Roman"/>
          <w:sz w:val="24"/>
          <w:szCs w:val="24"/>
        </w:rPr>
        <w:t xml:space="preserve"> compared to dH2O_</w:t>
      </w:r>
      <w:r w:rsidRPr="005B6C8D">
        <w:rPr>
          <w:rFonts w:ascii="Times New Roman" w:hAnsi="Times New Roman" w:cs="Times New Roman"/>
          <w:i/>
          <w:iCs/>
          <w:sz w:val="24"/>
          <w:szCs w:val="24"/>
        </w:rPr>
        <w:t xml:space="preserve">L.m. </w:t>
      </w:r>
      <w:r w:rsidRPr="005B6C8D">
        <w:rPr>
          <w:rFonts w:ascii="Times New Roman" w:hAnsi="Times New Roman" w:cs="Times New Roman"/>
          <w:sz w:val="24"/>
          <w:szCs w:val="24"/>
        </w:rPr>
        <w:t>treatment (Fig. 46).</w:t>
      </w:r>
    </w:p>
    <w:p w14:paraId="2150A46B" w14:textId="737236BD" w:rsidR="00E7693B" w:rsidRPr="00E7693B" w:rsidRDefault="005B6C8D">
      <w:pPr>
        <w:spacing w:after="240" w:line="360" w:lineRule="auto"/>
        <w:jc w:val="center"/>
        <w:rPr>
          <w:rFonts w:ascii="Times New Roman" w:hAnsi="Times New Roman" w:cs="Times New Roman"/>
        </w:rPr>
      </w:pPr>
      <w:r>
        <w:rPr>
          <w:noProof/>
          <w:lang w:val="en-US"/>
        </w:rPr>
        <w:drawing>
          <wp:inline distT="0" distB="0" distL="0" distR="0" wp14:anchorId="7FAAF8E0" wp14:editId="5D1AB244">
            <wp:extent cx="5270500" cy="4117355"/>
            <wp:effectExtent l="0" t="0" r="635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rotWithShape="1">
                    <a:blip r:embed="rId67"/>
                    <a:srcRect b="6845"/>
                    <a:stretch/>
                  </pic:blipFill>
                  <pic:spPr bwMode="auto">
                    <a:xfrm>
                      <a:off x="0" y="0"/>
                      <a:ext cx="5271065" cy="4117796"/>
                    </a:xfrm>
                    <a:prstGeom prst="rect">
                      <a:avLst/>
                    </a:prstGeom>
                    <a:ln>
                      <a:noFill/>
                    </a:ln>
                    <a:extLst>
                      <a:ext uri="{53640926-AAD7-44D8-BBD7-CCE9431645EC}">
                        <a14:shadowObscured xmlns:a14="http://schemas.microsoft.com/office/drawing/2010/main"/>
                      </a:ext>
                    </a:extLst>
                  </pic:spPr>
                </pic:pic>
              </a:graphicData>
            </a:graphic>
          </wp:inline>
        </w:drawing>
      </w:r>
    </w:p>
    <w:p w14:paraId="2150A46C" w14:textId="2F35D4C7" w:rsidR="00E7693B" w:rsidRPr="00E7693B" w:rsidRDefault="00E7693B">
      <w:pPr>
        <w:spacing w:before="240" w:after="240" w:line="360" w:lineRule="auto"/>
        <w:jc w:val="both"/>
        <w:rPr>
          <w:rFonts w:ascii="Times New Roman" w:hAnsi="Times New Roman" w:cs="Times New Roman"/>
        </w:rPr>
      </w:pPr>
      <w:r w:rsidRPr="00E7693B">
        <w:rPr>
          <w:rFonts w:ascii="Times New Roman" w:hAnsi="Times New Roman" w:cs="Times New Roman"/>
          <w:b/>
        </w:rPr>
        <w:t>Figure</w:t>
      </w:r>
      <w:r w:rsidRPr="00E7693B">
        <w:rPr>
          <w:rFonts w:ascii="Times New Roman" w:hAnsi="Times New Roman" w:cs="Times New Roman"/>
        </w:rPr>
        <w:t xml:space="preserve"> </w:t>
      </w:r>
      <w:r w:rsidRPr="00E7693B">
        <w:rPr>
          <w:rFonts w:ascii="Times New Roman" w:hAnsi="Times New Roman" w:cs="Times New Roman"/>
          <w:b/>
        </w:rPr>
        <w:t>46</w:t>
      </w:r>
      <w:r w:rsidRPr="00E7693B">
        <w:rPr>
          <w:rFonts w:ascii="Times New Roman" w:hAnsi="Times New Roman" w:cs="Times New Roman"/>
        </w:rPr>
        <w:t xml:space="preserve">. Activation of plant defence pathways detected in the cotyledons of cauliflower inoculated with </w:t>
      </w:r>
      <w:r w:rsidRPr="00E7693B">
        <w:rPr>
          <w:rFonts w:ascii="Times New Roman" w:hAnsi="Times New Roman" w:cs="Times New Roman"/>
          <w:i/>
        </w:rPr>
        <w:t xml:space="preserve">Leptosphaeria </w:t>
      </w:r>
      <w:proofErr w:type="spellStart"/>
      <w:r w:rsidRPr="00E7693B">
        <w:rPr>
          <w:rFonts w:ascii="Times New Roman" w:hAnsi="Times New Roman" w:cs="Times New Roman"/>
          <w:i/>
        </w:rPr>
        <w:t>maculans</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L.m</w:t>
      </w:r>
      <w:proofErr w:type="spellEnd"/>
      <w:r w:rsidRPr="00E7693B">
        <w:rPr>
          <w:rFonts w:ascii="Times New Roman" w:hAnsi="Times New Roman" w:cs="Times New Roman"/>
          <w:i/>
        </w:rPr>
        <w:t>.</w:t>
      </w:r>
      <w:r w:rsidRPr="00E7693B">
        <w:rPr>
          <w:rFonts w:ascii="Times New Roman" w:hAnsi="Times New Roman" w:cs="Times New Roman"/>
        </w:rPr>
        <w:t xml:space="preserve">), and previously inoculated with </w:t>
      </w:r>
      <w:r w:rsidRPr="00E7693B">
        <w:rPr>
          <w:rFonts w:ascii="Times New Roman" w:hAnsi="Times New Roman" w:cs="Times New Roman"/>
          <w:i/>
        </w:rPr>
        <w:t xml:space="preserve">Metarhizium </w:t>
      </w:r>
      <w:proofErr w:type="spellStart"/>
      <w:r w:rsidRPr="00E7693B">
        <w:rPr>
          <w:rFonts w:ascii="Times New Roman" w:hAnsi="Times New Roman" w:cs="Times New Roman"/>
          <w:i/>
        </w:rPr>
        <w:t>robertsii</w:t>
      </w:r>
      <w:proofErr w:type="spellEnd"/>
      <w:r w:rsidRPr="00E7693B">
        <w:rPr>
          <w:rFonts w:ascii="Times New Roman" w:hAnsi="Times New Roman" w:cs="Times New Roman"/>
          <w:i/>
        </w:rPr>
        <w:t xml:space="preserve"> </w:t>
      </w:r>
      <w:r w:rsidRPr="00E7693B">
        <w:rPr>
          <w:rFonts w:ascii="Times New Roman" w:hAnsi="Times New Roman" w:cs="Times New Roman"/>
        </w:rPr>
        <w:t>(</w:t>
      </w:r>
      <w:proofErr w:type="spellStart"/>
      <w:r w:rsidRPr="00E7693B">
        <w:rPr>
          <w:rFonts w:ascii="Times New Roman" w:hAnsi="Times New Roman" w:cs="Times New Roman"/>
          <w:i/>
        </w:rPr>
        <w:t>M.r.</w:t>
      </w:r>
      <w:proofErr w:type="spellEnd"/>
      <w:r w:rsidRPr="00E7693B">
        <w:rPr>
          <w:rFonts w:ascii="Times New Roman" w:hAnsi="Times New Roman" w:cs="Times New Roman"/>
        </w:rPr>
        <w:t xml:space="preserve">) on the roots. Distilled water (dH2O) was used as a control on the leaves, and on the roots together with 0.05 % Triton X (0.05% </w:t>
      </w:r>
      <w:proofErr w:type="spellStart"/>
      <w:r w:rsidRPr="00E7693B">
        <w:rPr>
          <w:rFonts w:ascii="Times New Roman" w:hAnsi="Times New Roman" w:cs="Times New Roman"/>
        </w:rPr>
        <w:t>TrX</w:t>
      </w:r>
      <w:proofErr w:type="spellEnd"/>
      <w:r w:rsidRPr="00E7693B">
        <w:rPr>
          <w:rFonts w:ascii="Times New Roman" w:hAnsi="Times New Roman" w:cs="Times New Roman"/>
        </w:rPr>
        <w:t xml:space="preserve">). Gene transcripts were detected 11 days post </w:t>
      </w:r>
      <w:r w:rsidRPr="00E7693B">
        <w:rPr>
          <w:rFonts w:ascii="Times New Roman" w:hAnsi="Times New Roman" w:cs="Times New Roman"/>
          <w:i/>
        </w:rPr>
        <w:t xml:space="preserve">L. </w:t>
      </w:r>
      <w:proofErr w:type="spellStart"/>
      <w:r w:rsidRPr="00E7693B">
        <w:rPr>
          <w:rFonts w:ascii="Times New Roman" w:hAnsi="Times New Roman" w:cs="Times New Roman"/>
          <w:i/>
        </w:rPr>
        <w:t>maculans</w:t>
      </w:r>
      <w:proofErr w:type="spellEnd"/>
      <w:r w:rsidRPr="00E7693B">
        <w:rPr>
          <w:rFonts w:ascii="Times New Roman" w:hAnsi="Times New Roman" w:cs="Times New Roman"/>
        </w:rPr>
        <w:t xml:space="preserve"> inoculation (dpi). Boxplots show mean (´x´), median, 25</w:t>
      </w:r>
      <w:r w:rsidRPr="00E7693B">
        <w:rPr>
          <w:rFonts w:ascii="Times New Roman" w:hAnsi="Times New Roman" w:cs="Times New Roman"/>
          <w:vertAlign w:val="superscript"/>
        </w:rPr>
        <w:t>th</w:t>
      </w:r>
      <w:r w:rsidRPr="00E7693B">
        <w:rPr>
          <w:rFonts w:ascii="Times New Roman" w:hAnsi="Times New Roman" w:cs="Times New Roman"/>
        </w:rPr>
        <w:t xml:space="preserve"> and 75</w:t>
      </w:r>
      <w:r w:rsidRPr="00E7693B">
        <w:rPr>
          <w:rFonts w:ascii="Times New Roman" w:hAnsi="Times New Roman" w:cs="Times New Roman"/>
          <w:vertAlign w:val="superscript"/>
        </w:rPr>
        <w:t>th</w:t>
      </w:r>
      <w:r w:rsidRPr="00E7693B">
        <w:rPr>
          <w:rFonts w:ascii="Times New Roman" w:hAnsi="Times New Roman" w:cs="Times New Roman"/>
        </w:rPr>
        <w:t xml:space="preserve"> percentiles, and lowercase letters significant differences (P &lt; 0.05) between treatments for a given time point. </w:t>
      </w:r>
      <w:r w:rsidRPr="00E7693B">
        <w:rPr>
          <w:rFonts w:ascii="Times New Roman" w:hAnsi="Times New Roman" w:cs="Times New Roman"/>
          <w:i/>
        </w:rPr>
        <w:t xml:space="preserve">ICS1 </w:t>
      </w:r>
      <w:r w:rsidRPr="00E7693B">
        <w:rPr>
          <w:rFonts w:ascii="Times New Roman" w:hAnsi="Times New Roman" w:cs="Times New Roman"/>
        </w:rPr>
        <w:t xml:space="preserve">= </w:t>
      </w:r>
      <w:proofErr w:type="spellStart"/>
      <w:r w:rsidRPr="00E7693B">
        <w:rPr>
          <w:rFonts w:ascii="Times New Roman" w:hAnsi="Times New Roman" w:cs="Times New Roman"/>
          <w:i/>
        </w:rPr>
        <w:t>isochorismate</w:t>
      </w:r>
      <w:proofErr w:type="spellEnd"/>
      <w:r w:rsidRPr="00E7693B">
        <w:rPr>
          <w:rFonts w:ascii="Times New Roman" w:hAnsi="Times New Roman" w:cs="Times New Roman"/>
          <w:i/>
        </w:rPr>
        <w:t xml:space="preserve"> synthase 1</w:t>
      </w:r>
      <w:r w:rsidRPr="00E7693B">
        <w:rPr>
          <w:rFonts w:ascii="Times New Roman" w:hAnsi="Times New Roman" w:cs="Times New Roman"/>
        </w:rPr>
        <w:t xml:space="preserve">; </w:t>
      </w:r>
      <w:r w:rsidRPr="00E7693B">
        <w:rPr>
          <w:rFonts w:ascii="Times New Roman" w:hAnsi="Times New Roman" w:cs="Times New Roman"/>
          <w:i/>
        </w:rPr>
        <w:t xml:space="preserve">WRKY70 = WRKY70 transcription factor; AOS = allene oxide synthase; LOX3 </w:t>
      </w:r>
      <w:r w:rsidRPr="00E7693B">
        <w:rPr>
          <w:rFonts w:ascii="Times New Roman" w:hAnsi="Times New Roman" w:cs="Times New Roman"/>
        </w:rPr>
        <w:t xml:space="preserve">= </w:t>
      </w:r>
      <w:r w:rsidRPr="00E7693B">
        <w:rPr>
          <w:rFonts w:ascii="Times New Roman" w:hAnsi="Times New Roman" w:cs="Times New Roman"/>
          <w:i/>
        </w:rPr>
        <w:t>lipoxygenase 3</w:t>
      </w:r>
      <w:r w:rsidRPr="00E7693B">
        <w:rPr>
          <w:rFonts w:ascii="Times New Roman" w:hAnsi="Times New Roman" w:cs="Times New Roman"/>
        </w:rPr>
        <w:t xml:space="preserve">; </w:t>
      </w:r>
      <w:r w:rsidRPr="00E7693B">
        <w:rPr>
          <w:rFonts w:ascii="Times New Roman" w:hAnsi="Times New Roman" w:cs="Times New Roman"/>
          <w:i/>
        </w:rPr>
        <w:t>ACS2</w:t>
      </w:r>
      <w:r w:rsidRPr="00E7693B">
        <w:rPr>
          <w:rFonts w:ascii="Times New Roman" w:hAnsi="Times New Roman" w:cs="Times New Roman"/>
        </w:rPr>
        <w:t xml:space="preserve"> = </w:t>
      </w:r>
      <w:r w:rsidRPr="00E7693B">
        <w:rPr>
          <w:rFonts w:ascii="Times New Roman" w:hAnsi="Times New Roman" w:cs="Times New Roman"/>
          <w:i/>
        </w:rPr>
        <w:t>ACC synthase 2</w:t>
      </w:r>
      <w:r w:rsidRPr="00E7693B">
        <w:rPr>
          <w:rFonts w:ascii="Times New Roman" w:hAnsi="Times New Roman" w:cs="Times New Roman"/>
        </w:rPr>
        <w:t xml:space="preserve">; </w:t>
      </w:r>
      <w:r w:rsidRPr="00E7693B">
        <w:rPr>
          <w:rFonts w:ascii="Times New Roman" w:hAnsi="Times New Roman" w:cs="Times New Roman"/>
          <w:i/>
        </w:rPr>
        <w:t xml:space="preserve">PDF3 </w:t>
      </w:r>
      <w:r w:rsidRPr="00E7693B">
        <w:rPr>
          <w:rFonts w:ascii="Times New Roman" w:hAnsi="Times New Roman" w:cs="Times New Roman"/>
        </w:rPr>
        <w:t xml:space="preserve">= </w:t>
      </w:r>
      <w:r w:rsidRPr="00E7693B">
        <w:rPr>
          <w:rFonts w:ascii="Times New Roman" w:hAnsi="Times New Roman" w:cs="Times New Roman"/>
          <w:i/>
        </w:rPr>
        <w:t>plant defensin 3</w:t>
      </w:r>
      <w:r w:rsidRPr="00E7693B">
        <w:rPr>
          <w:rFonts w:ascii="Times New Roman" w:hAnsi="Times New Roman" w:cs="Times New Roman"/>
        </w:rPr>
        <w:t xml:space="preserve">; </w:t>
      </w:r>
      <w:r w:rsidRPr="00E7693B">
        <w:rPr>
          <w:rFonts w:ascii="Times New Roman" w:hAnsi="Times New Roman" w:cs="Times New Roman"/>
          <w:i/>
        </w:rPr>
        <w:t xml:space="preserve">PR4 </w:t>
      </w:r>
      <w:r w:rsidRPr="00E7693B">
        <w:rPr>
          <w:rFonts w:ascii="Times New Roman" w:hAnsi="Times New Roman" w:cs="Times New Roman"/>
        </w:rPr>
        <w:t xml:space="preserve">= </w:t>
      </w:r>
      <w:r w:rsidRPr="00E7693B">
        <w:rPr>
          <w:rFonts w:ascii="Times New Roman" w:hAnsi="Times New Roman" w:cs="Times New Roman"/>
          <w:i/>
        </w:rPr>
        <w:t>pathogenesis-related 4</w:t>
      </w:r>
      <w:r w:rsidRPr="00E7693B">
        <w:rPr>
          <w:rFonts w:ascii="Times New Roman" w:hAnsi="Times New Roman" w:cs="Times New Roman"/>
        </w:rPr>
        <w:t xml:space="preserve">; </w:t>
      </w:r>
      <w:proofErr w:type="spellStart"/>
      <w:r w:rsidRPr="00E7693B">
        <w:rPr>
          <w:rFonts w:ascii="Times New Roman" w:hAnsi="Times New Roman" w:cs="Times New Roman"/>
          <w:i/>
        </w:rPr>
        <w:t>rbohC</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 </w:t>
      </w:r>
      <w:r w:rsidRPr="00E7693B">
        <w:rPr>
          <w:rFonts w:ascii="Times New Roman" w:hAnsi="Times New Roman" w:cs="Times New Roman"/>
          <w:i/>
        </w:rPr>
        <w:t>respiratory burst oxidase homolog C</w:t>
      </w:r>
      <w:r w:rsidRPr="00E7693B">
        <w:rPr>
          <w:rFonts w:ascii="Times New Roman" w:hAnsi="Times New Roman" w:cs="Times New Roman"/>
        </w:rPr>
        <w:t xml:space="preserve">; </w:t>
      </w:r>
      <w:proofErr w:type="spellStart"/>
      <w:r w:rsidRPr="00E7693B">
        <w:rPr>
          <w:rFonts w:ascii="Times New Roman" w:hAnsi="Times New Roman" w:cs="Times New Roman"/>
          <w:i/>
        </w:rPr>
        <w:t>rbohF</w:t>
      </w:r>
      <w:proofErr w:type="spellEnd"/>
      <w:r w:rsidRPr="00E7693B">
        <w:rPr>
          <w:rFonts w:ascii="Times New Roman" w:hAnsi="Times New Roman" w:cs="Times New Roman"/>
          <w:i/>
        </w:rPr>
        <w:t xml:space="preserve"> </w:t>
      </w:r>
      <w:r w:rsidRPr="00E7693B">
        <w:rPr>
          <w:rFonts w:ascii="Times New Roman" w:hAnsi="Times New Roman" w:cs="Times New Roman"/>
        </w:rPr>
        <w:t xml:space="preserve">= </w:t>
      </w:r>
      <w:r w:rsidRPr="00E7693B">
        <w:rPr>
          <w:rFonts w:ascii="Times New Roman" w:hAnsi="Times New Roman" w:cs="Times New Roman"/>
          <w:i/>
        </w:rPr>
        <w:t>respiratory burst oxidase homolog F</w:t>
      </w:r>
      <w:r w:rsidRPr="00E7693B">
        <w:rPr>
          <w:rFonts w:ascii="Times New Roman" w:hAnsi="Times New Roman" w:cs="Times New Roman"/>
        </w:rPr>
        <w:t>; ns = not significant.</w:t>
      </w:r>
    </w:p>
    <w:p w14:paraId="2150A46D" w14:textId="77777777" w:rsidR="00E7693B" w:rsidRPr="00E7693B" w:rsidRDefault="00E7693B" w:rsidP="00EC70C2">
      <w:pPr>
        <w:pStyle w:val="Heading3"/>
      </w:pPr>
      <w:bookmarkStart w:id="88" w:name="_Toc167977654"/>
      <w:r w:rsidRPr="00E7693B">
        <w:t>Discussion</w:t>
      </w:r>
      <w:bookmarkEnd w:id="88"/>
    </w:p>
    <w:p w14:paraId="2150A46E" w14:textId="77777777" w:rsidR="00E7693B" w:rsidRPr="005B6C8D" w:rsidRDefault="00E7693B">
      <w:pPr>
        <w:rPr>
          <w:rFonts w:ascii="Times New Roman" w:hAnsi="Times New Roman" w:cs="Times New Roman"/>
          <w:sz w:val="24"/>
          <w:szCs w:val="24"/>
        </w:rPr>
      </w:pPr>
    </w:p>
    <w:p w14:paraId="2150A46F" w14:textId="5C0B48BA" w:rsidR="00E7693B" w:rsidRPr="005B6C8D" w:rsidRDefault="00E7693B" w:rsidP="00E7693B">
      <w:pPr>
        <w:spacing w:line="360" w:lineRule="auto"/>
        <w:ind w:firstLine="432"/>
        <w:jc w:val="both"/>
        <w:rPr>
          <w:rFonts w:ascii="Times New Roman" w:hAnsi="Times New Roman" w:cs="Times New Roman"/>
          <w:iCs/>
          <w:sz w:val="24"/>
          <w:szCs w:val="24"/>
        </w:rPr>
      </w:pPr>
      <w:r w:rsidRPr="005B6C8D">
        <w:rPr>
          <w:rFonts w:ascii="Times New Roman" w:hAnsi="Times New Roman" w:cs="Times New Roman"/>
          <w:sz w:val="24"/>
          <w:szCs w:val="24"/>
        </w:rPr>
        <w:t xml:space="preserve">Entomopathogenic fungi have long been studied for their direct effect on insects as a sustainable approach in suppressing them; however, their role in plant associations drew favourable attention only recently. </w:t>
      </w:r>
      <w:r w:rsidR="00755BFE">
        <w:rPr>
          <w:rFonts w:ascii="Times New Roman" w:hAnsi="Times New Roman" w:cs="Times New Roman"/>
          <w:sz w:val="24"/>
          <w:szCs w:val="24"/>
        </w:rPr>
        <w:t>I</w:t>
      </w:r>
      <w:r w:rsidRPr="005B6C8D">
        <w:rPr>
          <w:rFonts w:ascii="Times New Roman" w:hAnsi="Times New Roman" w:cs="Times New Roman"/>
          <w:sz w:val="24"/>
          <w:szCs w:val="24"/>
        </w:rPr>
        <w:t xml:space="preserve"> have confirmed that </w:t>
      </w:r>
      <w:r w:rsidRPr="005B6C8D">
        <w:rPr>
          <w:rFonts w:ascii="Times New Roman" w:hAnsi="Times New Roman" w:cs="Times New Roman"/>
          <w:i/>
          <w:iCs/>
          <w:sz w:val="24"/>
          <w:szCs w:val="24"/>
        </w:rPr>
        <w:t xml:space="preserve">M. </w:t>
      </w:r>
      <w:proofErr w:type="spellStart"/>
      <w:r w:rsidRPr="005B6C8D">
        <w:rPr>
          <w:rFonts w:ascii="Times New Roman" w:hAnsi="Times New Roman" w:cs="Times New Roman"/>
          <w:i/>
          <w:iCs/>
          <w:sz w:val="24"/>
          <w:szCs w:val="24"/>
        </w:rPr>
        <w:t>robertsii</w:t>
      </w:r>
      <w:proofErr w:type="spellEnd"/>
      <w:r w:rsidRPr="005B6C8D">
        <w:rPr>
          <w:rFonts w:ascii="Times New Roman" w:hAnsi="Times New Roman" w:cs="Times New Roman"/>
          <w:i/>
          <w:iCs/>
          <w:sz w:val="24"/>
          <w:szCs w:val="24"/>
        </w:rPr>
        <w:t xml:space="preserve"> </w:t>
      </w:r>
      <w:r w:rsidRPr="005B6C8D">
        <w:rPr>
          <w:rFonts w:ascii="Times New Roman" w:hAnsi="Times New Roman" w:cs="Times New Roman"/>
          <w:sz w:val="24"/>
          <w:szCs w:val="24"/>
        </w:rPr>
        <w:t xml:space="preserve">successfully colonizes cauliflower roots, which is in line with the study by </w:t>
      </w:r>
      <w:r w:rsidRPr="005B6C8D">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{"citationID":"OuJn3JPG","properties":{"formattedCitation":"(Qing et al., 2023)","plainCitation":"(Qing et al., 2023)","dontUpdate":true,"noteIndex":0},"citationItems":[{"id":566,"uris":["http://zotero.org/users/10895598/items/5W4IA6TC"],"itemData":{"id":566,"type":"article-journal","container-title":"Arthropod-Plant Interactions","DOI":"10.1007/s11829-023-09956-x","ISSN":"1872-8855, 1872-8847","issue":"3","journalAbbreviation":"Arthropod-Plant Interactions","language":"en","page":"275-287","source":"DOI.org (Crossref)","title":"Defense priming in cabbage (&lt;i&gt;Brassica oleracea&lt;/i&gt;) by insect-pathogenic fungi","volume":"17","author":[{"family":"Qing","given":"Yulan"},{"family":"Ourry","given":"Morgane"},{"family":"Burow","given":"Meike"},{"family":"Meyling","given":"Nicolai Vitt"},{"family":"Hauser","given":"Thure Pavlo"}],"issued":{"date-parts":[["2023",6]]}}}],"schema":"https://github.com/citation-style-language/schema/raw/master/csl-citation.json"} </w:instrText>
      </w:r>
      <w:r w:rsidRPr="005B6C8D">
        <w:rPr>
          <w:rFonts w:ascii="Times New Roman" w:hAnsi="Times New Roman" w:cs="Times New Roman"/>
          <w:sz w:val="24"/>
          <w:szCs w:val="24"/>
        </w:rPr>
        <w:fldChar w:fldCharType="separate"/>
      </w:r>
      <w:r w:rsidRPr="005B6C8D">
        <w:rPr>
          <w:rFonts w:ascii="Times New Roman" w:hAnsi="Times New Roman" w:cs="Times New Roman"/>
          <w:sz w:val="24"/>
          <w:szCs w:val="24"/>
        </w:rPr>
        <w:t>Qing et al. (2023)</w:t>
      </w:r>
      <w:r w:rsidRPr="005B6C8D">
        <w:rPr>
          <w:rFonts w:ascii="Times New Roman" w:hAnsi="Times New Roman" w:cs="Times New Roman"/>
          <w:sz w:val="24"/>
          <w:szCs w:val="24"/>
        </w:rPr>
        <w:fldChar w:fldCharType="end"/>
      </w:r>
      <w:r w:rsidRPr="005B6C8D">
        <w:rPr>
          <w:rFonts w:ascii="Times New Roman" w:hAnsi="Times New Roman" w:cs="Times New Roman"/>
          <w:sz w:val="24"/>
          <w:szCs w:val="24"/>
        </w:rPr>
        <w:t xml:space="preserve">. Plant-beneficial fungus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mostly resides in the rhizosphere, but it can also act as an endophyte of roots only </w:t>
      </w:r>
      <w:r w:rsidRPr="005B6C8D">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{"citationID":"pyOALAQ1","properties":{"formattedCitation":"(Behie et al., 2015)","plainCitation":"(Behie et al., 2015)","noteIndex":0},"citationItems":[{"id":334,"uris":["http://zotero.org/users/10895598/items/4D8JTM2M"],"itemData":{"id":334,"type":"article-journal","container-title":"Fungal Ecology","DOI":"10.1016/j.funeco.2014.08.001","ISSN":"17545048","journalAbbreviation":"Fungal Ecology","language":"en","page":"112-119","source":"DOI.org (Crossref)","title":"Plant tissue localization of the endophytic insect pathogenic fungi &lt;i&gt;Metarhizium&lt;/i&gt; and &lt;i&gt;Beauveria&lt;/i&gt;","volume":"13","author":[{"family":"Behie","given":"Scott W."},{"family":"Jones","given":"Samantha J."},{"family":"Bidochka","given":"Michael J."}],"issued":{"date-parts":[["2015",2]]}}}],"schema":"https://github.com/citation-style-language/schema/raw/master/csl-citation.json"} </w:instrText>
      </w:r>
      <w:r w:rsidRPr="005B6C8D">
        <w:rPr>
          <w:rFonts w:ascii="Times New Roman" w:hAnsi="Times New Roman" w:cs="Times New Roman"/>
          <w:sz w:val="24"/>
          <w:szCs w:val="24"/>
        </w:rPr>
        <w:fldChar w:fldCharType="separate"/>
      </w:r>
      <w:r w:rsidRPr="005B6C8D">
        <w:rPr>
          <w:rFonts w:ascii="Times New Roman" w:hAnsi="Times New Roman" w:cs="Times New Roman"/>
          <w:sz w:val="24"/>
          <w:szCs w:val="24"/>
        </w:rPr>
        <w:t>(Behie et al., 2015)</w:t>
      </w:r>
      <w:r w:rsidRPr="005B6C8D">
        <w:rPr>
          <w:rFonts w:ascii="Times New Roman" w:hAnsi="Times New Roman" w:cs="Times New Roman"/>
          <w:sz w:val="24"/>
          <w:szCs w:val="24"/>
        </w:rPr>
        <w:fldChar w:fldCharType="end"/>
      </w:r>
      <w:r w:rsidRPr="005B6C8D">
        <w:rPr>
          <w:rFonts w:ascii="Times New Roman" w:hAnsi="Times New Roman" w:cs="Times New Roman"/>
          <w:sz w:val="24"/>
          <w:szCs w:val="24"/>
        </w:rPr>
        <w:t xml:space="preserve">, or roots and leaves </w:t>
      </w:r>
      <w:r w:rsidRPr="005B6C8D">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{"citationID":"SFRGswJQ","properties":{"formattedCitation":"(Ahmad et al., 2020b, 2020a; Sasan and Bidochka, 2012)","plainCitation":"(Ahmad et al., 2020b, 2020a; Sasan and Bidochka, 2012)","noteIndex":0},"citationItems":[{"id":684,"uris":["http://zotero.org/users/10895598/items/DHQSQWT5"],"itemData":{"id":684,"type":"article-journal","container-title":"Biological Control","DOI":"10.1016/j.biocontrol.2019.104167","ISSN":"10499644","journalAbbreviation":"Biological Control","language":"en","page":"104167","source":"DOI.org (Crossref)","title":"Endophytic &lt;i&gt;Metarhizium robertsii&lt;/i&gt; promotes maize growth, suppresses insect growth, and alters plant defense gene expression","volume":"144","author":[{"family":"Ahmad","given":"Imtiaz"},{"family":"Jiménez-Gasco","given":"María del Mar"},{"family":"Luthe","given":"Dawn S."},{"family":"Shakeel","given":"Samina N."},{"family":"Barbercheck","given":"Mary E."}],"issued":{"date-parts":[["2020",5]]}}},{"id":148,"uris":["http://zotero.org/users/10895598/items/R496A9GM"],"itemData":{"id":148,"type":"article-journal","abstract":"Fungi in the genus Metarhizium (Hypocreales: Clavicipitaceae) are insect pathogens that can establish as endophytes and can benefit their host plant. In field experiments, we observed a positive correlation between the prevalence of M. robertsii and legume cover crops, and a negative relationship with brassicaceous cover crops and with increasing proportion of cereal rye in mixtures. Here, we report the effects of endophytic M. robertsii on three cover crop species under greenhouse conditions. We inoculated seeds of Austrian winter pea (Pisum sativum L., AWP), cereal rye (Secale cereale L.), and winter canola (Brassica napus L.) with conidia of M. robertsii to assess the effects of endophytic colonization on cover crop growth. We recovered M. robertsii from 59%, 46%, and 39% of seed-inoculated AWP, cereal rye, and canola plants, respectively. Endophytic M. robertsii significantly increased height and above-ground biomass of AWP and cereal rye but did not affect chlorophyll content of any of the cover crop species. Among inoculated plants from which we recovered M. robertsii, above-ground biomass of AWP was positively correlated with the proportion of colonized root but not leaf tissue sections. Our results suggest that winter cover crops may help to conserve Metarhizium spp. in annual cropping systems.","container-title":"Journal of Fungi","DOI":"10.3390/jof6020064","ISSN":"2309-608X","issue":"2","journalAbbreviation":"JoF","language":"en","page":"64","source":"DOI.org (Crossref)","title":"Systemic colonization by &lt;i&gt;Metarhizium robertsii&lt;/i&gt; enhances cover crop growth","volume":"6","author":[{"family":"Ahmad","given":"Imtiaz"},{"family":"Jiménez-Gasco","given":"María del Mar"},{"family":"Luthe","given":"Dawn S."},{"family":"Barbercheck","given":"Mary E."}],"issued":{"date-parts":[["2020",5,17]]}}},{"id":683,"uris":["http://zotero.org/users/10895598/items/X2WQEUQS"],"itemData":{"id":683,"type":"article-journal","abstract":"•\n              Premise of the study:\n              The soil\n              ‐\n              inhabiting insect‐pathogenic fungus\n              Metarhizium robertsii\n              also colonizes plant roots endophytically, thus showing potential as a plant symbiont.\n              Metarhizium robertsii\n              is not randomly distributed in soils but preferentially associates with the plant rhizosphere when applied in agricultural settings. Root surface and endophytic colonization of switchgrass (\n              Panicum virgatum)\n              and haricot beans (\n              Phaseolus vulgaris)\n              by\n              M. robertsii\n              were examined after inoculation with fungal conidia.\n            \n            \n              •\n              Methods:\n              We used light and confocal microscopy to ascertain the plant endophytic association with GFP‐expressing\n              M. robertsii\n              . Root lengths, root hair density, and lateral roots emerged were also observed.\n            \n            \n              •\n              Key results:\n              Initially,\n              M. robertsii\n              conidia adhered to, germinated on, and colonized roots. Furthermore, plant roots treated with\n              Metarhizium\n              grew faster and the density of plant root hairs increased when compared with control plants. The onset of plant root hair proliferation was initiated before germination of\n              M. robertsii\n              on the root (within 1–2 d). Plants inoculated with\n              M. robertsii\n              Δ\n              MAD2\n              (plant adhesin gene) took significantly longer to show root hair proliferation than the wild type. Cell free extracts of\n              M. robertsii\n              did not stimulate root hair proliferation. Longer‐term (60 d) associations showed that\n              M. robertsii\n              endophytically colonized cortical cells within bean roots.\n              Metarhizium\n              appeared as a mycelial aggregate within root cortical cells as well as between the intercellular spaces with no apparent damage to the plant.\n            \n            \n              •\n              Conclusions:\n              These results suggest that\n              M. robertsii\n              is not only rhizosphere competent but also displays a beneficial endophytic association with plant roots that results in the proliferation of root hairs.","container-title":"American Journal of Botany","DOI":"10.3732/ajb.1100136","ISSN":"0002-9122, 1537-2197","issue":"1","journalAbbreviation":"American J of Botany","language":"en","page":"101-107","source":"DOI.org (Crossref)","title":"The insect‐pathogenic fungus &lt;i&gt;Metarhizium robertsii&lt;/i&gt; (Clavicipitaceae) is also an endophyte that stimulates plant root development","volume":"99","author":[{"family":"Sasan","given":"Ramanpreet K."},{"family":"Bidochka","given":"Michael J."}],"issued":{"date-parts":[["2012",1]]}}}],"schema":"https://github.com/citation-style-language/schema/raw/master/csl-citation.json"} </w:instrText>
      </w:r>
      <w:r w:rsidRPr="005B6C8D">
        <w:rPr>
          <w:rFonts w:ascii="Times New Roman" w:hAnsi="Times New Roman" w:cs="Times New Roman"/>
          <w:sz w:val="24"/>
          <w:szCs w:val="24"/>
        </w:rPr>
        <w:fldChar w:fldCharType="separate"/>
      </w:r>
      <w:r w:rsidRPr="005B6C8D">
        <w:rPr>
          <w:rFonts w:ascii="Times New Roman" w:hAnsi="Times New Roman" w:cs="Times New Roman"/>
          <w:sz w:val="24"/>
          <w:szCs w:val="24"/>
        </w:rPr>
        <w:t>(Ahmad et al., 2020b, 2020a; Sasan and Bidochka, 2012)</w:t>
      </w:r>
      <w:r w:rsidRPr="005B6C8D">
        <w:rPr>
          <w:rFonts w:ascii="Times New Roman" w:hAnsi="Times New Roman" w:cs="Times New Roman"/>
          <w:sz w:val="24"/>
          <w:szCs w:val="24"/>
        </w:rPr>
        <w:fldChar w:fldCharType="end"/>
      </w:r>
      <w:r w:rsidRPr="005B6C8D">
        <w:rPr>
          <w:rFonts w:ascii="Times New Roman" w:hAnsi="Times New Roman" w:cs="Times New Roman"/>
          <w:sz w:val="24"/>
          <w:szCs w:val="24"/>
        </w:rPr>
        <w:t>. Here</w:t>
      </w:r>
      <w:r w:rsidR="002C2479">
        <w:rPr>
          <w:rFonts w:ascii="Times New Roman" w:hAnsi="Times New Roman" w:cs="Times New Roman"/>
          <w:sz w:val="24"/>
          <w:szCs w:val="24"/>
        </w:rPr>
        <w:t>,</w:t>
      </w:r>
      <w:r w:rsidRPr="005B6C8D">
        <w:rPr>
          <w:rFonts w:ascii="Times New Roman" w:hAnsi="Times New Roman" w:cs="Times New Roman"/>
          <w:sz w:val="24"/>
          <w:szCs w:val="24"/>
        </w:rPr>
        <w:t xml:space="preserve"> </w:t>
      </w:r>
      <w:r w:rsidR="00755BFE">
        <w:rPr>
          <w:rFonts w:ascii="Times New Roman" w:hAnsi="Times New Roman" w:cs="Times New Roman"/>
          <w:sz w:val="24"/>
          <w:szCs w:val="24"/>
        </w:rPr>
        <w:t>I</w:t>
      </w:r>
      <w:r w:rsidRPr="005B6C8D">
        <w:rPr>
          <w:rFonts w:ascii="Times New Roman" w:hAnsi="Times New Roman" w:cs="Times New Roman"/>
          <w:sz w:val="24"/>
          <w:szCs w:val="24"/>
        </w:rPr>
        <w:t xml:space="preserve"> analysed its priming effect on subsequent infection by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Unfortunately, the lesions of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did not develop well in the true leaves of cauliflower; but the opposite was observed in the cotyledons. Surprisingly,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supported the infection by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sz w:val="24"/>
          <w:szCs w:val="24"/>
        </w:rPr>
        <w:t xml:space="preserve">, </w:t>
      </w:r>
      <w:r w:rsidRPr="005B6C8D">
        <w:rPr>
          <w:rFonts w:ascii="Times New Roman" w:hAnsi="Times New Roman" w:cs="Times New Roman"/>
          <w:i/>
          <w:sz w:val="24"/>
          <w:szCs w:val="24"/>
        </w:rPr>
        <w:t xml:space="preserve">i.e. </w:t>
      </w:r>
      <w:r w:rsidRPr="005B6C8D">
        <w:rPr>
          <w:rFonts w:ascii="Times New Roman" w:hAnsi="Times New Roman" w:cs="Times New Roman"/>
          <w:sz w:val="24"/>
          <w:szCs w:val="24"/>
        </w:rPr>
        <w:t xml:space="preserve">the mycelium and lesion development in cotyledons was much stronger compared to controls. Moreover, 0.05 % Triton X also supported the infection by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compared to water-treated plants. </w:t>
      </w:r>
      <w:r w:rsidR="002C2479">
        <w:rPr>
          <w:rFonts w:ascii="Times New Roman" w:hAnsi="Times New Roman" w:cs="Times New Roman"/>
          <w:sz w:val="24"/>
          <w:szCs w:val="24"/>
        </w:rPr>
        <w:t>M</w:t>
      </w:r>
      <w:r w:rsidRPr="005B6C8D">
        <w:rPr>
          <w:rFonts w:ascii="Times New Roman" w:hAnsi="Times New Roman" w:cs="Times New Roman"/>
          <w:sz w:val="24"/>
          <w:szCs w:val="24"/>
        </w:rPr>
        <w:t xml:space="preserve">any studies </w:t>
      </w:r>
      <w:r w:rsidR="002C2479">
        <w:rPr>
          <w:rFonts w:ascii="Times New Roman" w:hAnsi="Times New Roman" w:cs="Times New Roman"/>
          <w:sz w:val="24"/>
          <w:szCs w:val="24"/>
        </w:rPr>
        <w:t xml:space="preserve">exist that </w:t>
      </w:r>
      <w:r w:rsidRPr="005B6C8D">
        <w:rPr>
          <w:rFonts w:ascii="Times New Roman" w:hAnsi="Times New Roman" w:cs="Times New Roman"/>
          <w:sz w:val="24"/>
          <w:szCs w:val="24"/>
        </w:rPr>
        <w:t>focus</w:t>
      </w:r>
      <w:r w:rsidR="002C2479">
        <w:rPr>
          <w:rFonts w:ascii="Times New Roman" w:hAnsi="Times New Roman" w:cs="Times New Roman"/>
          <w:sz w:val="24"/>
          <w:szCs w:val="24"/>
        </w:rPr>
        <w:t>ed</w:t>
      </w:r>
      <w:r w:rsidRPr="005B6C8D">
        <w:rPr>
          <w:rFonts w:ascii="Times New Roman" w:hAnsi="Times New Roman" w:cs="Times New Roman"/>
          <w:sz w:val="24"/>
          <w:szCs w:val="24"/>
        </w:rPr>
        <w:t xml:space="preserve"> on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priming effect on insect herbivore infestation, with the results of insect growth or feeding suppression </w:t>
      </w:r>
      <w:r w:rsidRPr="005B6C8D">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{"citationID":"BlzNHaQC","properties":{"formattedCitation":"(Qing et al., 2023; Rasool et al., 2021b, 2021a)","plainCitation":"(Qing et al., 2023; Rasool et al., 2021b, 2021a)","noteIndex":0},"citationItems":[{"id":566,"uris":["http://zotero.org/users/10895598/items/5W4IA6TC"],"itemData":{"id":566,"type":"article-journal","container-title":"Arthropod-Plant Interactions","DOI":"10.1007/s11829-023-09956-x","ISSN":"1872-8855, 1872-8847","issue":"3","journalAbbreviation":"Arthropod-Plant Interactions","language":"en","page":"275-287","source":"DOI.org (Crossref)","title":"Defense priming in cabbage (&lt;i&gt;Brassica oleracea&lt;/i&gt;) by insect-pathogenic fungi","volume":"17","author":[{"family":"Qing","given":"Yulan"},{"family":"Ourry","given":"Morgane"},{"family":"Burow","given":"Meike"},{"family":"Meyling","given":"Nicolai Vitt"},{"family":"Hauser","given":"Thure Pavlo"}],"issued":{"date-parts":[["2023",6]]}}},{"id":156,"uris":["http://zotero.org/users/10895598/items/3FTQT3KG"],"itemData":{"id":156,"type":"article-journal","container-title":"New Phytologist","DOI":"10.1111/nph.16979","ISSN":"0028-646X, 1469-8137","issue":"3","journalAbbreviation":"New Phytol","language":"en","page":"1715-1727","source":"DOI.org (Crossref)","title":"Seed inoculations with entomopathogenic fungi affect aphid populations coinciding with modulation of plant secondary metabolite profiles across plant families","volume":"229","author":[{"family":"Rasool","given":"Shumaila"},{"family":"Vidkjær","given":"Nanna H."},{"family":"Hooshmand","given":"Kourosh"},{"family":"Jensen","given":"Birgit"},{"family":"Fomsgaard","given":"Inge S."},{"family":"Meyling","given":"Nicolai V."}],"issued":{"date-parts":[["2021",2]]}}},{"id":681,"uris":["http://zotero.org/users/10895598/items/KIX75AM2"],"itemData":{"id":681,"type":"article-journal","container-title":"Journal of Chemical Ecology","DOI":"10.1007/s10886-021-01265-y","ISSN":"0098-0331, 1573-1561","issue":"4-5","journalAbbreviation":"J Chem Ecol","language":"en","page":"476-488","source":"DOI.org (Crossref)","title":"Isolate-specific effect of entomopathogenic endophytic fungi on population growth of two-spotted spider mite (&lt;i&gt;Tetranychus urticae&lt;/i&gt; Koch) and levels of steroidal glycoalkaloids in tomato","volume":"47","author":[{"family":"Rasool","given":"Shumaila"},{"family":"Cárdenas","given":"Pablo D."},{"family":"Pattison","given":"David I."},{"family":"Jensen","given":"Birgit"},{"family":"Meyling","given":"Nicolai V."}],"issued":{"date-parts":[["2021",5]]}}}],"schema":"https://github.com/citation-style-language/schema/raw/master/csl-citation.json"} </w:instrText>
      </w:r>
      <w:r w:rsidRPr="005B6C8D">
        <w:rPr>
          <w:rFonts w:ascii="Times New Roman" w:hAnsi="Times New Roman" w:cs="Times New Roman"/>
          <w:sz w:val="24"/>
          <w:szCs w:val="24"/>
        </w:rPr>
        <w:fldChar w:fldCharType="separate"/>
      </w:r>
      <w:r w:rsidRPr="005B6C8D">
        <w:rPr>
          <w:rFonts w:ascii="Times New Roman" w:hAnsi="Times New Roman" w:cs="Times New Roman"/>
          <w:sz w:val="24"/>
          <w:szCs w:val="24"/>
        </w:rPr>
        <w:t>(Qing et al., 2023; Rasool et al., 2021b, 2021a)</w:t>
      </w:r>
      <w:r w:rsidRPr="005B6C8D">
        <w:rPr>
          <w:rFonts w:ascii="Times New Roman" w:hAnsi="Times New Roman" w:cs="Times New Roman"/>
          <w:sz w:val="24"/>
          <w:szCs w:val="24"/>
        </w:rPr>
        <w:fldChar w:fldCharType="end"/>
      </w:r>
      <w:r w:rsidRPr="005B6C8D">
        <w:rPr>
          <w:rFonts w:ascii="Times New Roman" w:hAnsi="Times New Roman" w:cs="Times New Roman"/>
          <w:sz w:val="24"/>
          <w:szCs w:val="24"/>
        </w:rPr>
        <w:t xml:space="preserve">. Several studies investigated the effect of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on fungal disease development in the rhizosphere, showing the antagonism of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towards pathogenic fungi and therefore reduced disease development </w:t>
      </w:r>
      <w:r w:rsidRPr="005B6C8D">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{"citationID":"Qg6PZx4b","properties":{"formattedCitation":"(Ashmarina et al., 2022; Lozano-Tovar et al., 2017; Sasan and Bidochka, 2013)","plainCitation":"(Ashmarina et al., 2022; Lozano-Tovar et al., 2017; Sasan and Bidochka, 2013)","noteIndex":0},"citationItems":[{"id":677,"uris":["http://zotero.org/users/10895598/items/KEJ5RSQ5"],"itemData":{"id":677,"type":"report","abstract":"Abstract\n          \n            Faba beans (\n            Vicia faba\n            L.) are affected by a large number of pathogens. Studies carried out in western Siberia revealed the influence of the entomopathogenic fungus\n            Metarhizium robertsii\n            on reducing the development and prevalence of a complex of diseases in faba bean in the field. There was a decreasing tendency of the level of phytopathogen infection of seed material and fragments of underground organs during presowing treatment of the bean seeds with\n            M. robertsii\n            . Treatment with\n            M. robertsii\n            significantly reduced the development of root rot by 2.9 and 9.5 times in 2019 and 2020, respectively, and the prevalence of the disease decreased by 2.9-3.0 times. It also resulted in reduction of the severity of diseases of aerial organs during the growing season on average for the plant: the disease development index (DDI) of powdery mildew by 3.8 times and chocolate spot by 3.5 times. There was a significant increase in the number of active nodules on the roots of plants during the treatment with\n            M. robertsii\n            . The results obtained indicate that the treatment of bean seeds with the entomopathogenic fungus\n            M. robertsii\n            improved the phytosanitary situation of the sowing of the crop, and in the future, this technique can be used in agricultural practice.","genre":"preprint","language":"en","note":"DOI: 10.1101/2022.06.11.495633","publisher":"Plant Biology","source":"DOI.org (Crossref)","title":"Effect of entomopathogenic fungus &lt;i&gt;Metarhizium robertsii&lt;/i&gt; on disease incidence of Faba beans (&lt;i&gt;Vicia faba&lt;/i&gt; L.) in field conditions","URL":"http://biorxiv.org/lookup/doi/10.1101/2022.06.11.495633","author":[{"family":"Ashmarina","given":"Lyudmila F."},{"family":"Sadokhina","given":"Tatiana A."},{"family":"Tyurin","given":"Maxim"},{"family":"Danilovb","given":"Victor P."},{"family":"Glupov","given":"Victor"}],"accessed":{"date-parts":[["2023",12,11]]},"issued":{"date-parts":[["2022",6,13]]}}},{"id":678,"uris":["http://zotero.org/users/10895598/items/ZZKQBUQC"],"itemDat</w:instrText>
      </w:r>
      <w:r w:rsidR="00D5193C" w:rsidRPr="006B61C5">
        <w:rPr>
          <w:rFonts w:ascii="Times New Roman" w:hAnsi="Times New Roman" w:cs="Times New Roman"/>
          <w:sz w:val="24"/>
          <w:szCs w:val="24"/>
          <w:lang w:val="es-VE"/>
        </w:rPr>
        <w:instrText xml:space="preserve">a":{"id":678,"type":"article-journal","container-title":"Crop Protection","DOI":"10.1016/j.cropro.2017.06.026","ISSN":"02612194","journalAbbreviation":"Crop Protection","language":"en","page":"186-195","source":"DOI.org (Crossref)","title":"&lt;i&gt;Metarhizium brunneum&lt;/i&gt; and &lt;i&gt;Beauveria bassiana&lt;/i&gt; release secondary metabolites with antagonistic activity against &lt;i&gt;Verticillium dahliae&lt;/i&gt; and &lt;i&gt;Phytophthora megasperma&lt;/i&gt; olive pathogens","volume":"100","author":[{"family":"Lozano-Tovar","given":"M.D."},{"family":"Garrido-Jurado","given":"I."},{"family":"Quesada-Moraga","given":"E."},{"family":"Raya-Ortega","given":"M.C."},{"family":"Trapero-Casas","given":"A."}],"issued":{"date-parts":[["2017",10]]}}},{"id":679,"uris":["http://zotero.org/users/10895598/items/UNL9I3NG"],"itemData":{"id":679,"type":"article-journal","container-title":"Canadian Journal of Plant Pathology","DOI":"10.1080/07060661.2013.823114","ISSN":"0706-0661, 1715-2992","issue":"3","journalAbbreviation":"Canadian Journal of Plant Pathology","language":"en","page":"288-293","source":"DOI.org (Crossref)","title":"Antagonism of the endophytic insect pathogenic fungus &lt;i&gt;Metarhizium robertsii&lt;/i&gt; against the bean plant pathogen &lt;i&gt;Fusarium solani&lt;/i&gt; f. sp. &lt;i&gt;phaseoli&lt;/i&gt;","volume":"35","author":[{"family":"Sasan","given":"Ramanpreet K."},{"family":"Bidochka","given":"Michael J."}],"issued":{"date-parts":[["2013",7]]}}}],"schema":"https://github.com/citation-style-language/schema/raw/master/csl-citation.json"} </w:instrText>
      </w:r>
      <w:r w:rsidRPr="005B6C8D">
        <w:rPr>
          <w:rFonts w:ascii="Times New Roman" w:hAnsi="Times New Roman" w:cs="Times New Roman"/>
          <w:sz w:val="24"/>
          <w:szCs w:val="24"/>
        </w:rPr>
        <w:fldChar w:fldCharType="separate"/>
      </w:r>
      <w:r w:rsidRPr="005E5AB8">
        <w:rPr>
          <w:rFonts w:ascii="Times New Roman" w:hAnsi="Times New Roman" w:cs="Times New Roman"/>
          <w:sz w:val="24"/>
          <w:szCs w:val="24"/>
          <w:lang w:val="es-VE"/>
        </w:rPr>
        <w:t>(Ashmarina et al., 2022; Lozano-Tovar et al., 2017; Sasan and Bidochka, 2013)</w:t>
      </w:r>
      <w:r w:rsidRPr="005B6C8D">
        <w:rPr>
          <w:rFonts w:ascii="Times New Roman" w:hAnsi="Times New Roman" w:cs="Times New Roman"/>
          <w:sz w:val="24"/>
          <w:szCs w:val="24"/>
        </w:rPr>
        <w:fldChar w:fldCharType="end"/>
      </w:r>
      <w:r w:rsidRPr="005E5AB8">
        <w:rPr>
          <w:rFonts w:ascii="Times New Roman" w:hAnsi="Times New Roman" w:cs="Times New Roman"/>
          <w:sz w:val="24"/>
          <w:szCs w:val="24"/>
          <w:lang w:val="es-VE"/>
        </w:rPr>
        <w:t xml:space="preserve">. </w:t>
      </w:r>
      <w:r w:rsidR="002C2479" w:rsidRPr="006B61C5">
        <w:rPr>
          <w:rFonts w:ascii="Times New Roman" w:hAnsi="Times New Roman" w:cs="Times New Roman"/>
          <w:sz w:val="24"/>
          <w:szCs w:val="24"/>
        </w:rPr>
        <w:t>In contrast, only a l</w:t>
      </w:r>
      <w:r w:rsidRPr="005B6C8D">
        <w:rPr>
          <w:rFonts w:ascii="Times New Roman" w:hAnsi="Times New Roman" w:cs="Times New Roman"/>
          <w:sz w:val="24"/>
          <w:szCs w:val="24"/>
        </w:rPr>
        <w:t xml:space="preserve">imited number of studies analysed the effect of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belowground effect on fungal disease development in aboveground level: for instance, </w:t>
      </w:r>
      <w:r w:rsidRPr="005B6C8D">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{"citationID":"ur8hD3pV","properties":{"formattedCitation":"(Ahmad et al., 2022)","plainCitation":"(Ahmad et al., 2022)","dontUpdate":true,"noteIndex":0},"citationItems":[{"id":676,"uris":["http://zotero.org/users/10895598/items/B8C9WKDZ"],"itemData":{"id":676,"type":"article-journal","abstract":"Fungi in the genus\n              Metarhizium\n              (Hypocreales: Clavicipitaceae) are insect-pathogens and endophytes that can benefit their host plant through growth promotion and protection against stresses.\n              Cochliobolus heterostrophus\n              (Drechsler) Drechsler (Pleosporales: Pleosporaceae) is an economically-significant phytopathogenic fungus that causes Southern Corn Leaf Blight (SCLB) in maize. We conducted greenhouse and lab-based experiments to determine the effects of endophytic\n              M\n              .\n              robertsii\n              J.F. Bisch., Rehner &amp; Humber on growth and defense in maize (\n              Zea mays\n              L.) infected with\n              C\n              .\n              heterostrophus\n              . We inoculated maize seeds with spores of\n              M\n              .\n              robertsii\n              and, at the 3 to 4-leaf stage, the youngest true leaf of\n              M\n              .\n              robertsii\n              -treated and untreated control plants with spores of\n              C\n              .\n              heterostrophus\n              . After 96 h, we measured maize height, above-ground biomass, endophytic colonization by\n              M\n              .\n              robertsii\n              , severity of SCLB, and expression of plant defense genes and phytohormone content. We recovered\n              M\n              .\n              robertsii\n              from 74% of plants grown from treated seed. The severity of SCLB in\n              M\n              .\n              robertsii\n              -treated maize plants was lower than in plants inoculated only with\n              C\n              .\n              heterostrophus\n              .\n              M\n              .\n              robertsii-\n              treated maize inoculated or not inoculated with\n              C\n              .\n              heterostrophus\n              showed greater height and above-ground biomass compared with untreated control plants. Height and above-ground biomass of maize co-inoculated with\n              M\n              .\n              robertsii\n              and\n              C\n              .\n              heterostrophus\n              were not different from\n              M\n              .\n              robertsii\n              -treated maize.\n              M\n              .\n              robertsii\n              modulated the expression of defense genes and the phytohormone content in maize inoculated with\n              C\n              .\n              heterostrophus\n              compared with plants not inoculated with\n              C\n              .\n              heterostrophus\n              and control plants. These results suggest that endophytic\n              M\n              .\n              robertsii\n              can promote maize growth and reduce development of SCLB, possibly by induced systemic resistance mediated by modulation of phytohormones and expression of defense and growth-related genes in maize.","container-title":"PLOS ONE","DOI":"10.1371/journal.pone.0272944","ISSN":"1932-6203","issue":"9","journalAbbreviation":"PLoS ONE","language":"en","page":"e0272944","source":"DOI.org (Crossref)","title":"Endophytic &lt;i&gt;Metarhizium robertsii&lt;/i&gt; suppresses the phytopathogen, &lt;i&gt;Cochliobolus heterostrophus&lt;/i&gt; and modulates maize defenses","volume":"17","author":[{"family":"Ahmad","given":"Imtiaz"},{"family":"Jiménez-Gasco","given":"María del Mar"},{"family":"Luthe","given":"Dawn S."},{"family":"Barbercheck","given":"Mary E."}],"editor":[{"family":"Tariq","given":"Mohsin"}],"issued":{"date-parts":[["2022",9,22]]}}}],"schema":"https://github.com/citation-style-language/schema/raw/master/csl-citation.json"} </w:instrText>
      </w:r>
      <w:r w:rsidRPr="005B6C8D">
        <w:rPr>
          <w:rFonts w:ascii="Times New Roman" w:hAnsi="Times New Roman" w:cs="Times New Roman"/>
          <w:sz w:val="24"/>
          <w:szCs w:val="24"/>
        </w:rPr>
        <w:fldChar w:fldCharType="separate"/>
      </w:r>
      <w:r w:rsidRPr="005B6C8D">
        <w:rPr>
          <w:rFonts w:ascii="Times New Roman" w:hAnsi="Times New Roman" w:cs="Times New Roman"/>
          <w:sz w:val="24"/>
          <w:szCs w:val="24"/>
        </w:rPr>
        <w:t>Ahmad et al. (2022)</w:t>
      </w:r>
      <w:r w:rsidRPr="005B6C8D">
        <w:rPr>
          <w:rFonts w:ascii="Times New Roman" w:hAnsi="Times New Roman" w:cs="Times New Roman"/>
          <w:sz w:val="24"/>
          <w:szCs w:val="24"/>
        </w:rPr>
        <w:fldChar w:fldCharType="end"/>
      </w:r>
      <w:r w:rsidRPr="005B6C8D">
        <w:rPr>
          <w:rFonts w:ascii="Times New Roman" w:hAnsi="Times New Roman" w:cs="Times New Roman"/>
          <w:sz w:val="24"/>
          <w:szCs w:val="24"/>
        </w:rPr>
        <w:t xml:space="preserve"> showed that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root colonization suppressed the disease development by </w:t>
      </w:r>
      <w:proofErr w:type="spellStart"/>
      <w:r w:rsidRPr="005B6C8D">
        <w:rPr>
          <w:rFonts w:ascii="Times New Roman" w:hAnsi="Times New Roman" w:cs="Times New Roman"/>
          <w:i/>
          <w:sz w:val="24"/>
          <w:szCs w:val="24"/>
        </w:rPr>
        <w:t>Cochliobolus</w:t>
      </w:r>
      <w:proofErr w:type="spellEnd"/>
      <w:r w:rsidRPr="005B6C8D">
        <w:rPr>
          <w:rFonts w:ascii="Times New Roman" w:hAnsi="Times New Roman" w:cs="Times New Roman"/>
          <w:i/>
          <w:sz w:val="24"/>
          <w:szCs w:val="24"/>
        </w:rPr>
        <w:t xml:space="preserve"> </w:t>
      </w:r>
      <w:proofErr w:type="spellStart"/>
      <w:r w:rsidRPr="005B6C8D">
        <w:rPr>
          <w:rFonts w:ascii="Times New Roman" w:hAnsi="Times New Roman" w:cs="Times New Roman"/>
          <w:i/>
          <w:sz w:val="24"/>
          <w:szCs w:val="24"/>
        </w:rPr>
        <w:t>heterostrophus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in maize leaves. The reason could be different lifestyles of pathogens, as </w:t>
      </w:r>
      <w:r w:rsidRPr="005B6C8D">
        <w:rPr>
          <w:rFonts w:ascii="Times New Roman" w:hAnsi="Times New Roman" w:cs="Times New Roman"/>
          <w:i/>
          <w:sz w:val="24"/>
          <w:szCs w:val="24"/>
        </w:rPr>
        <w:t>C.</w:t>
      </w:r>
      <w:r w:rsidR="002A47AC">
        <w:rPr>
          <w:rFonts w:ascii="Times New Roman" w:hAnsi="Times New Roman" w:cs="Times New Roman"/>
          <w:i/>
          <w:sz w:val="24"/>
          <w:szCs w:val="24"/>
        </w:rPr>
        <w:t> </w:t>
      </w:r>
      <w:proofErr w:type="spellStart"/>
      <w:r w:rsidRPr="005B6C8D">
        <w:rPr>
          <w:rFonts w:ascii="Times New Roman" w:hAnsi="Times New Roman" w:cs="Times New Roman"/>
          <w:i/>
          <w:sz w:val="24"/>
          <w:szCs w:val="24"/>
        </w:rPr>
        <w:t>heterostrophus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sz w:val="24"/>
          <w:szCs w:val="24"/>
        </w:rPr>
        <w:t xml:space="preserve">is a </w:t>
      </w:r>
      <w:proofErr w:type="spellStart"/>
      <w:r w:rsidRPr="005B6C8D">
        <w:rPr>
          <w:rFonts w:ascii="Times New Roman" w:hAnsi="Times New Roman" w:cs="Times New Roman"/>
          <w:sz w:val="24"/>
          <w:szCs w:val="24"/>
        </w:rPr>
        <w:t>necrotroph</w:t>
      </w:r>
      <w:proofErr w:type="spellEnd"/>
      <w:r w:rsidRPr="005B6C8D">
        <w:rPr>
          <w:rFonts w:ascii="Times New Roman" w:hAnsi="Times New Roman" w:cs="Times New Roman"/>
          <w:sz w:val="24"/>
          <w:szCs w:val="24"/>
        </w:rPr>
        <w:t xml:space="preserve">, and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proofErr w:type="spellStart"/>
      <w:r w:rsidRPr="005B6C8D">
        <w:rPr>
          <w:rFonts w:ascii="Times New Roman" w:hAnsi="Times New Roman" w:cs="Times New Roman"/>
          <w:sz w:val="24"/>
          <w:szCs w:val="24"/>
        </w:rPr>
        <w:t>hemibiotroph</w:t>
      </w:r>
      <w:proofErr w:type="spellEnd"/>
      <w:r w:rsidRPr="005B6C8D">
        <w:rPr>
          <w:rFonts w:ascii="Times New Roman" w:hAnsi="Times New Roman" w:cs="Times New Roman"/>
          <w:sz w:val="24"/>
          <w:szCs w:val="24"/>
        </w:rPr>
        <w:t xml:space="preserve">; therefore, different defence pathways are induced in the host plant during the infection. Hence, </w:t>
      </w:r>
      <w:r w:rsidRPr="005B6C8D">
        <w:rPr>
          <w:rFonts w:ascii="Times New Roman" w:hAnsi="Times New Roman" w:cs="Times New Roman"/>
          <w:i/>
          <w:sz w:val="24"/>
          <w:szCs w:val="24"/>
        </w:rPr>
        <w:t xml:space="preserve">C. </w:t>
      </w:r>
      <w:proofErr w:type="spellStart"/>
      <w:r w:rsidRPr="005B6C8D">
        <w:rPr>
          <w:rFonts w:ascii="Times New Roman" w:hAnsi="Times New Roman" w:cs="Times New Roman"/>
          <w:i/>
          <w:sz w:val="24"/>
          <w:szCs w:val="24"/>
        </w:rPr>
        <w:t>heterostrophus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induced genes involved in SA and JA </w:t>
      </w:r>
      <w:proofErr w:type="spellStart"/>
      <w:r w:rsidRPr="005B6C8D">
        <w:rPr>
          <w:rFonts w:ascii="Times New Roman" w:hAnsi="Times New Roman" w:cs="Times New Roman"/>
          <w:iCs/>
          <w:sz w:val="24"/>
          <w:szCs w:val="24"/>
        </w:rPr>
        <w:t>signaling</w:t>
      </w:r>
      <w:proofErr w:type="spellEnd"/>
      <w:r w:rsidRPr="005B6C8D">
        <w:rPr>
          <w:rFonts w:ascii="Times New Roman" w:hAnsi="Times New Roman" w:cs="Times New Roman"/>
          <w:iCs/>
          <w:sz w:val="24"/>
          <w:szCs w:val="24"/>
        </w:rPr>
        <w:t xml:space="preserve"> (</w:t>
      </w:r>
      <w:r w:rsidRPr="005B6C8D">
        <w:rPr>
          <w:rFonts w:ascii="Times New Roman" w:hAnsi="Times New Roman" w:cs="Times New Roman"/>
          <w:sz w:val="24"/>
          <w:szCs w:val="24"/>
        </w:rPr>
        <w:fldChar w:fldCharType="begin"/>
      </w:r>
      <w:r w:rsidR="00D5193C">
        <w:rPr>
          <w:rFonts w:ascii="Times New Roman" w:hAnsi="Times New Roman" w:cs="Times New Roman"/>
          <w:sz w:val="24"/>
          <w:szCs w:val="24"/>
        </w:rPr>
        <w:instrText xml:space="preserve"> ADDIN ZOTERO_ITEM CSL_CITATION {"citationID":"53r7lSXX","properties":{"formattedCitation":"(Ahmad et al., 2022)","plainCitation":"(Ahmad et al., 2022)","dontUpdate":true,"noteIndex":0},"citationItems":[{"id":676,"uris":["http://zotero.org/users/10895598/items/B8C9WKDZ"],"itemData":{"id":676,"type":"article-journal","abstract":"Fungi in the genus\n              Metarhizium\n              (Hypocreales: Clavicipitaceae) are insect-pathogens and endophytes that can benefit their host plant through growth promotion and protection against stresses.\n              Cochliobolus heterostrophus\n              (Drechsler) Drechsler (Pleosporales: Pleosporaceae) is an economically-significant phytopathogenic fungus that causes Southern Corn Leaf Blight (SCLB) in maize. We conducted greenhouse and lab-based experiments to determine the effects of endophytic\n              M\n              .\n              robertsii\n              J.F. Bisch., Rehner &amp; Humber on growth and defense in maize (\n              Zea mays\n              L.) infected with\n              C\n              .\n              heterostrophus\n              . We inoculated maize seeds with spores of\n              M\n              .\n              robertsii\n              and, at the 3 to 4-leaf stage, the youngest true leaf of\n              M\n              .\n              robertsii\n              -treated and untreated control plants with spores of\n              C\n              .\n              heterostrophus\n              . After 96 h, we measured maize height, above-ground biomass, endophytic colonization by\n              M\n              .\n              robertsii\n              , severity of SCLB, and expression of plant defense genes and phytohormone content. We recovered\n              M\n              .\n              robertsii\n              from 74% of plants grown from treated seed. The severity of SCLB in\n              M\n              .\n              robertsii\n              -treated maize plants was lower than in plants inoculated only with\n              C\n              .\n              heterostrophus\n              .\n              M\n              .\n              robertsii-\n              treated maize inoculated or not inoculated with\n              C\n              .\n              heterostrophus\n              showed greater height and above-ground biomass compared with untreated control plants. Height and above-ground biomass of maize co-inoculated with\n              M\n              .\n              robertsii\n              and\n              C\n              .\n              heterostrophus\n              were not different from\n              M\n              .\n              robertsii\n              -treated maize.\n              M\n              .\n              robertsii\n              modulated the expression of defense genes and the phytohormone content in maize inoculated with\n              C\n              .\n              heterostrophus\n              compared with plants not inoculated with\n              C\n              .\n              heterostrophus\n              and control plants. These results suggest that endophytic\n              M\n              .\n              robertsii\n              can promote maize growth and reduce development of SCLB, possibly by induced systemic resistance mediated by modulation of phytohormones and expression of defense and growth-related genes in maize.","container-title":"PLOS ONE","DOI":"10.1371/journal.pone.0272944","ISSN":"1932-6203","issue":"9","journalAbbreviation":"PLoS ONE","language":"en","page":"e0272944","source":"DOI.org (Crossref)","title":"Endophytic &lt;i&gt;Metarhizium robertsii&lt;/i&gt; suppresses the phytopathogen, &lt;i&gt;Cochliobolus heterostrophus&lt;/i&gt; and modulates maize defenses","volume":"17","author":[{"family":"Ahmad","given":"Imtiaz"},{"family":"Jiménez-Gasco","given":"María del Mar"},{"family":"Luthe","given":"Dawn S."},{"family":"Barbercheck","given":"Mary E."}],"editor":[{"family":"Tariq","given":"Mohsin"}],"issued":{"date-parts":[["2022",9,22]]}}}],"schema":"https://github.com/citation-style-language/schema/raw/master/csl-citation.json"} </w:instrText>
      </w:r>
      <w:r w:rsidRPr="005B6C8D">
        <w:rPr>
          <w:rFonts w:ascii="Times New Roman" w:hAnsi="Times New Roman" w:cs="Times New Roman"/>
          <w:sz w:val="24"/>
          <w:szCs w:val="24"/>
        </w:rPr>
        <w:fldChar w:fldCharType="separate"/>
      </w:r>
      <w:r w:rsidRPr="005B6C8D">
        <w:rPr>
          <w:rFonts w:ascii="Times New Roman" w:hAnsi="Times New Roman" w:cs="Times New Roman"/>
          <w:sz w:val="24"/>
          <w:szCs w:val="24"/>
        </w:rPr>
        <w:t>Ahmad et al., 2022)</w:t>
      </w:r>
      <w:r w:rsidRPr="005B6C8D">
        <w:rPr>
          <w:rFonts w:ascii="Times New Roman" w:hAnsi="Times New Roman" w:cs="Times New Roman"/>
          <w:sz w:val="24"/>
          <w:szCs w:val="24"/>
        </w:rPr>
        <w:fldChar w:fldCharType="end"/>
      </w:r>
      <w:r w:rsidR="00755BFE">
        <w:rPr>
          <w:rFonts w:ascii="Times New Roman" w:hAnsi="Times New Roman" w:cs="Times New Roman"/>
          <w:iCs/>
          <w:sz w:val="24"/>
          <w:szCs w:val="24"/>
        </w:rPr>
        <w:t xml:space="preserve">, whereas I found </w:t>
      </w:r>
      <w:r w:rsidRPr="005B6C8D">
        <w:rPr>
          <w:rFonts w:ascii="Times New Roman" w:hAnsi="Times New Roman" w:cs="Times New Roman"/>
          <w:iCs/>
          <w:sz w:val="24"/>
          <w:szCs w:val="24"/>
        </w:rPr>
        <w:t xml:space="preserve">no induction of JA-related genes by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alone. It was previously shown that plants exploit SA- and ET-dependent responses as well as oxidative stress responses against </w:t>
      </w:r>
      <w:proofErr w:type="spellStart"/>
      <w:r w:rsidRPr="005B6C8D">
        <w:rPr>
          <w:rFonts w:ascii="Times New Roman" w:hAnsi="Times New Roman" w:cs="Times New Roman"/>
          <w:iCs/>
          <w:sz w:val="24"/>
          <w:szCs w:val="24"/>
        </w:rPr>
        <w:t>hemibiotrophic</w:t>
      </w:r>
      <w:proofErr w:type="spellEnd"/>
      <w:r w:rsidRPr="005B6C8D">
        <w:rPr>
          <w:rFonts w:ascii="Times New Roman" w:hAnsi="Times New Roman" w:cs="Times New Roman"/>
          <w:iCs/>
          <w:sz w:val="24"/>
          <w:szCs w:val="24"/>
        </w:rPr>
        <w:t xml:space="preserve">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Cs/>
          <w:sz w:val="24"/>
          <w:szCs w:val="24"/>
        </w:rPr>
        <w:t xml:space="preserve"> in the cotyledons of oilseed rape </w:t>
      </w:r>
      <w:r w:rsidRPr="005B6C8D">
        <w:rPr>
          <w:rFonts w:ascii="Times New Roman" w:hAnsi="Times New Roman" w:cs="Times New Roman"/>
          <w:iCs/>
          <w:sz w:val="24"/>
          <w:szCs w:val="24"/>
        </w:rPr>
        <w:fldChar w:fldCharType="begin"/>
      </w:r>
      <w:r w:rsidR="00D5193C">
        <w:rPr>
          <w:rFonts w:ascii="Times New Roman" w:hAnsi="Times New Roman" w:cs="Times New Roman"/>
          <w:iCs/>
          <w:sz w:val="24"/>
          <w:szCs w:val="24"/>
        </w:rPr>
        <w:instrText xml:space="preserve"> ADDIN ZOTERO_ITEM CSL_CITATION {"citationID":"kqmPe8J1","properties":{"formattedCitation":"(\\uc0\\u352{}a\\uc0\\u353{}ek et al., 2012b)","plainCitation":"(Šašek et al., 2012b)","noteIndex":0},"citationItems":[{"id":411,"uris":["http://zotero.org/users/10895598/items/SABULKU5"],"itemData":{"id":411,"type":"article-journal","abstract":"Interaction of a plant with a fungal pathogen is an encounter with hundreds of molecules. In contrast to this, a single molecule often decides between the disease and resistance. In the present article, we describe the defense responses triggered by AvrLm1, an avirulence gene from a hemibiotrophic ascomycete, Leptosphaeria maculans, responsible for an incompatible interaction with Brassica napus. Using multiple hormone quantification and expression analysis of defense-related genes, we investigated signaling events in Rlm1 plants infected with two sister isolates of L. maculans differentiated by the presence or absence of AvrLm1. Infection with the isolate carrying AvrLm1 increased the biosynthesis of salicylic acid (SA) and induced expression of the SA-associated genes ICS1, WRKY70, and PR-1, a feature characteristic of responses to biotrophic pathogens and resistance gene–mediated resistance. In addition to SA-signaling elements, we also observed the induction of ASC2a, HEL, and CHI genes associated with ethylene (ET) signaling. Pharmacological experiments confirmed the positive roles of SA and ET in mediating resistance to L. maculans. The unusual cooperation of SA and ET signaling might be a response to the hemibiotrophic nature of L. maculans. Our results also demonstrate the profound difference between the natural host B. napus and the model plant Arabidopsis in their response to L. maculans infection.","container-title":"Molecular Plant-Microbe Interactions®","DOI":"10.1094/MPMI-02-12-0033-R","ISSN":"0894-0282, 1943-7706","issue":"9","journalAbbreviation":"MPMI","language":"en","page":"1238-1250","source":"DOI.org (Crossref)","title":"Recognition of avirulence gene &lt;i&gt;AvrLm1&lt;/i&gt; from hemibiotrophic ascomycete &lt;i&gt;Leptosphaeria maculans&lt;/i&gt; triggers salicylic acid and ethylene signaling in &lt;i&gt;Brassica napus&lt;/i&gt;","volume":"25","author":[{"family":"Šašek","given":"Vladimír"},{"family":"Nováková","given":"Miroslava"},{"family":"Jindřichová","given":"Barbora"},{"family":"Bóka","given":"Károly"},{"family":"Valentová","given":"Olga"},{"family":"Burketová","given":"Lenka"}],"issued":{"date-parts":[["2012",9]]}}}],"schema":"https://github.com/citation-style-language/schema/raw/master/csl-citation.json"} </w:instrText>
      </w:r>
      <w:r w:rsidRPr="005B6C8D">
        <w:rPr>
          <w:rFonts w:ascii="Times New Roman" w:hAnsi="Times New Roman" w:cs="Times New Roman"/>
          <w:iCs/>
          <w:sz w:val="24"/>
          <w:szCs w:val="24"/>
        </w:rPr>
        <w:fldChar w:fldCharType="separate"/>
      </w:r>
      <w:r w:rsidR="002E4058" w:rsidRPr="002E4058">
        <w:rPr>
          <w:rFonts w:ascii="Times New Roman" w:hAnsi="Times New Roman" w:cs="Times New Roman"/>
          <w:sz w:val="24"/>
          <w:szCs w:val="24"/>
        </w:rPr>
        <w:t>(Šašek et al., 2012b)</w:t>
      </w:r>
      <w:r w:rsidRPr="005B6C8D">
        <w:rPr>
          <w:rFonts w:ascii="Times New Roman" w:hAnsi="Times New Roman" w:cs="Times New Roman"/>
          <w:iCs/>
          <w:sz w:val="24"/>
          <w:szCs w:val="24"/>
        </w:rPr>
        <w:fldChar w:fldCharType="end"/>
      </w:r>
      <w:r w:rsidRPr="005B6C8D">
        <w:rPr>
          <w:rFonts w:ascii="Times New Roman" w:hAnsi="Times New Roman" w:cs="Times New Roman"/>
          <w:iCs/>
          <w:sz w:val="24"/>
          <w:szCs w:val="24"/>
        </w:rPr>
        <w:t>, and in the current study</w:t>
      </w:r>
      <w:r w:rsidR="002A47AC">
        <w:rPr>
          <w:rFonts w:ascii="Times New Roman" w:hAnsi="Times New Roman" w:cs="Times New Roman"/>
          <w:iCs/>
          <w:sz w:val="24"/>
          <w:szCs w:val="24"/>
        </w:rPr>
        <w:t>,</w:t>
      </w:r>
      <w:r w:rsidRPr="005B6C8D">
        <w:rPr>
          <w:rFonts w:ascii="Times New Roman" w:hAnsi="Times New Roman" w:cs="Times New Roman"/>
          <w:iCs/>
          <w:sz w:val="24"/>
          <w:szCs w:val="24"/>
        </w:rPr>
        <w:t xml:space="preserve"> the same effect </w:t>
      </w:r>
      <w:r w:rsidR="00755BFE">
        <w:rPr>
          <w:rFonts w:ascii="Times New Roman" w:hAnsi="Times New Roman" w:cs="Times New Roman"/>
          <w:iCs/>
          <w:sz w:val="24"/>
          <w:szCs w:val="24"/>
        </w:rPr>
        <w:t xml:space="preserve">was observed </w:t>
      </w:r>
      <w:r w:rsidRPr="005B6C8D">
        <w:rPr>
          <w:rFonts w:ascii="Times New Roman" w:hAnsi="Times New Roman" w:cs="Times New Roman"/>
          <w:iCs/>
          <w:sz w:val="24"/>
          <w:szCs w:val="24"/>
        </w:rPr>
        <w:t>in the true leaves (first repetition) and cotyledons of cauliflower. Defence genes involved in SA (</w:t>
      </w:r>
      <w:r w:rsidRPr="005B6C8D">
        <w:rPr>
          <w:rFonts w:ascii="Times New Roman" w:hAnsi="Times New Roman" w:cs="Times New Roman"/>
          <w:i/>
          <w:sz w:val="24"/>
          <w:szCs w:val="24"/>
        </w:rPr>
        <w:t>i.e. WRKY70</w:t>
      </w:r>
      <w:r w:rsidRPr="005B6C8D">
        <w:rPr>
          <w:rFonts w:ascii="Times New Roman" w:hAnsi="Times New Roman" w:cs="Times New Roman"/>
          <w:iCs/>
          <w:sz w:val="24"/>
          <w:szCs w:val="24"/>
        </w:rPr>
        <w:t>)</w:t>
      </w:r>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and ET (</w:t>
      </w:r>
      <w:r w:rsidRPr="005B6C8D">
        <w:rPr>
          <w:rFonts w:ascii="Times New Roman" w:hAnsi="Times New Roman" w:cs="Times New Roman"/>
          <w:i/>
          <w:sz w:val="24"/>
          <w:szCs w:val="24"/>
        </w:rPr>
        <w:t>i.e.</w:t>
      </w:r>
      <w:r w:rsidRPr="005B6C8D">
        <w:rPr>
          <w:rFonts w:ascii="Times New Roman" w:hAnsi="Times New Roman" w:cs="Times New Roman"/>
          <w:iCs/>
          <w:sz w:val="24"/>
          <w:szCs w:val="24"/>
        </w:rPr>
        <w:t xml:space="preserve"> </w:t>
      </w:r>
      <w:r w:rsidRPr="005B6C8D">
        <w:rPr>
          <w:rFonts w:ascii="Times New Roman" w:hAnsi="Times New Roman" w:cs="Times New Roman"/>
          <w:i/>
          <w:sz w:val="24"/>
          <w:szCs w:val="24"/>
        </w:rPr>
        <w:t>PR4</w:t>
      </w:r>
      <w:r w:rsidRPr="005B6C8D">
        <w:rPr>
          <w:rFonts w:ascii="Times New Roman" w:hAnsi="Times New Roman" w:cs="Times New Roman"/>
          <w:iCs/>
          <w:sz w:val="24"/>
          <w:szCs w:val="24"/>
        </w:rPr>
        <w:t>)</w:t>
      </w:r>
      <w:r w:rsidRPr="005B6C8D">
        <w:rPr>
          <w:rFonts w:ascii="Times New Roman" w:hAnsi="Times New Roman" w:cs="Times New Roman"/>
          <w:i/>
          <w:sz w:val="24"/>
          <w:szCs w:val="24"/>
        </w:rPr>
        <w:t xml:space="preserve"> </w:t>
      </w:r>
      <w:proofErr w:type="spellStart"/>
      <w:r w:rsidRPr="005B6C8D">
        <w:rPr>
          <w:rFonts w:ascii="Times New Roman" w:hAnsi="Times New Roman" w:cs="Times New Roman"/>
          <w:iCs/>
          <w:sz w:val="24"/>
          <w:szCs w:val="24"/>
        </w:rPr>
        <w:t>signaling</w:t>
      </w:r>
      <w:proofErr w:type="spellEnd"/>
      <w:r w:rsidRPr="005B6C8D">
        <w:rPr>
          <w:rFonts w:ascii="Times New Roman" w:hAnsi="Times New Roman" w:cs="Times New Roman"/>
          <w:iCs/>
          <w:sz w:val="24"/>
          <w:szCs w:val="24"/>
        </w:rPr>
        <w:t xml:space="preserve"> were upregulated by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in the true leaves regardless of the previous root treatment. Defence genes involved in SA (</w:t>
      </w:r>
      <w:r w:rsidRPr="005B6C8D">
        <w:rPr>
          <w:rFonts w:ascii="Times New Roman" w:hAnsi="Times New Roman" w:cs="Times New Roman"/>
          <w:i/>
          <w:sz w:val="24"/>
          <w:szCs w:val="24"/>
        </w:rPr>
        <w:t xml:space="preserve">i.e. ICS1 </w:t>
      </w:r>
      <w:r w:rsidRPr="005B6C8D">
        <w:rPr>
          <w:rFonts w:ascii="Times New Roman" w:hAnsi="Times New Roman" w:cs="Times New Roman"/>
          <w:iCs/>
          <w:sz w:val="24"/>
          <w:szCs w:val="24"/>
        </w:rPr>
        <w:t>and</w:t>
      </w:r>
      <w:r w:rsidRPr="005B6C8D">
        <w:rPr>
          <w:rFonts w:ascii="Times New Roman" w:hAnsi="Times New Roman" w:cs="Times New Roman"/>
          <w:i/>
          <w:sz w:val="24"/>
          <w:szCs w:val="24"/>
        </w:rPr>
        <w:t xml:space="preserve"> WRKY70</w:t>
      </w:r>
      <w:r w:rsidRPr="005B6C8D">
        <w:rPr>
          <w:rFonts w:ascii="Times New Roman" w:hAnsi="Times New Roman" w:cs="Times New Roman"/>
          <w:iCs/>
          <w:sz w:val="24"/>
          <w:szCs w:val="24"/>
        </w:rPr>
        <w:t>)</w:t>
      </w:r>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and ET (</w:t>
      </w:r>
      <w:r w:rsidRPr="005B6C8D">
        <w:rPr>
          <w:rFonts w:ascii="Times New Roman" w:hAnsi="Times New Roman" w:cs="Times New Roman"/>
          <w:i/>
          <w:sz w:val="24"/>
          <w:szCs w:val="24"/>
        </w:rPr>
        <w:t xml:space="preserve">i.e. PDF3 </w:t>
      </w:r>
      <w:r w:rsidRPr="005B6C8D">
        <w:rPr>
          <w:rFonts w:ascii="Times New Roman" w:hAnsi="Times New Roman" w:cs="Times New Roman"/>
          <w:iCs/>
          <w:sz w:val="24"/>
          <w:szCs w:val="24"/>
        </w:rPr>
        <w:t xml:space="preserve">and </w:t>
      </w:r>
      <w:r w:rsidRPr="005B6C8D">
        <w:rPr>
          <w:rFonts w:ascii="Times New Roman" w:hAnsi="Times New Roman" w:cs="Times New Roman"/>
          <w:i/>
          <w:sz w:val="24"/>
          <w:szCs w:val="24"/>
        </w:rPr>
        <w:t>PR4</w:t>
      </w:r>
      <w:r w:rsidRPr="005B6C8D">
        <w:rPr>
          <w:rFonts w:ascii="Times New Roman" w:hAnsi="Times New Roman" w:cs="Times New Roman"/>
          <w:iCs/>
          <w:sz w:val="24"/>
          <w:szCs w:val="24"/>
        </w:rPr>
        <w:t>)</w:t>
      </w:r>
      <w:r w:rsidRPr="005B6C8D">
        <w:rPr>
          <w:rFonts w:ascii="Times New Roman" w:hAnsi="Times New Roman" w:cs="Times New Roman"/>
          <w:i/>
          <w:sz w:val="24"/>
          <w:szCs w:val="24"/>
        </w:rPr>
        <w:t xml:space="preserve"> </w:t>
      </w:r>
      <w:proofErr w:type="spellStart"/>
      <w:r w:rsidRPr="005B6C8D">
        <w:rPr>
          <w:rFonts w:ascii="Times New Roman" w:hAnsi="Times New Roman" w:cs="Times New Roman"/>
          <w:iCs/>
          <w:sz w:val="24"/>
          <w:szCs w:val="24"/>
        </w:rPr>
        <w:t>signaling</w:t>
      </w:r>
      <w:proofErr w:type="spellEnd"/>
      <w:r w:rsidRPr="005B6C8D">
        <w:rPr>
          <w:rFonts w:ascii="Times New Roman" w:hAnsi="Times New Roman" w:cs="Times New Roman"/>
          <w:iCs/>
          <w:sz w:val="24"/>
          <w:szCs w:val="24"/>
        </w:rPr>
        <w:t>, and genes involved in oxidative stress (</w:t>
      </w:r>
      <w:r w:rsidRPr="005B6C8D">
        <w:rPr>
          <w:rFonts w:ascii="Times New Roman" w:hAnsi="Times New Roman" w:cs="Times New Roman"/>
          <w:i/>
          <w:sz w:val="24"/>
          <w:szCs w:val="24"/>
        </w:rPr>
        <w:t xml:space="preserve">i.e. </w:t>
      </w:r>
      <w:proofErr w:type="spellStart"/>
      <w:r w:rsidRPr="005B6C8D">
        <w:rPr>
          <w:rFonts w:ascii="Times New Roman" w:hAnsi="Times New Roman" w:cs="Times New Roman"/>
          <w:i/>
          <w:sz w:val="24"/>
          <w:szCs w:val="24"/>
        </w:rPr>
        <w:t>rbohC</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and </w:t>
      </w:r>
      <w:proofErr w:type="spellStart"/>
      <w:r w:rsidRPr="005B6C8D">
        <w:rPr>
          <w:rFonts w:ascii="Times New Roman" w:hAnsi="Times New Roman" w:cs="Times New Roman"/>
          <w:i/>
          <w:sz w:val="24"/>
          <w:szCs w:val="24"/>
        </w:rPr>
        <w:t>rbohF</w:t>
      </w:r>
      <w:proofErr w:type="spellEnd"/>
      <w:r w:rsidRPr="005B6C8D">
        <w:rPr>
          <w:rFonts w:ascii="Times New Roman" w:hAnsi="Times New Roman" w:cs="Times New Roman"/>
          <w:iCs/>
          <w:sz w:val="24"/>
          <w:szCs w:val="24"/>
        </w:rPr>
        <w:t>)</w:t>
      </w:r>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were upregulated by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infection in the cotyledons</w:t>
      </w:r>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However, the combination of 0.05 % Triton X and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downregulated genes involved in SA </w:t>
      </w:r>
      <w:proofErr w:type="spellStart"/>
      <w:r w:rsidRPr="005B6C8D">
        <w:rPr>
          <w:rFonts w:ascii="Times New Roman" w:hAnsi="Times New Roman" w:cs="Times New Roman"/>
          <w:iCs/>
          <w:sz w:val="24"/>
          <w:szCs w:val="24"/>
        </w:rPr>
        <w:t>signaling</w:t>
      </w:r>
      <w:proofErr w:type="spellEnd"/>
      <w:r w:rsidRPr="005B6C8D">
        <w:rPr>
          <w:rFonts w:ascii="Times New Roman" w:hAnsi="Times New Roman" w:cs="Times New Roman"/>
          <w:iCs/>
          <w:sz w:val="24"/>
          <w:szCs w:val="24"/>
        </w:rPr>
        <w:t xml:space="preserve"> relative to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alone. Moreover, 0.05 % Triton X or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in the combination with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upregulated the tested biosynthetic gene of JA (</w:t>
      </w:r>
      <w:r w:rsidRPr="005B6C8D">
        <w:rPr>
          <w:rFonts w:ascii="Times New Roman" w:hAnsi="Times New Roman" w:cs="Times New Roman"/>
          <w:i/>
          <w:sz w:val="24"/>
          <w:szCs w:val="24"/>
        </w:rPr>
        <w:t>i.e. AOS</w:t>
      </w:r>
      <w:r w:rsidRPr="005B6C8D">
        <w:rPr>
          <w:rFonts w:ascii="Times New Roman" w:hAnsi="Times New Roman" w:cs="Times New Roman"/>
          <w:iCs/>
          <w:sz w:val="24"/>
          <w:szCs w:val="24"/>
        </w:rPr>
        <w:t xml:space="preserve">) and downregulated </w:t>
      </w:r>
      <w:r w:rsidRPr="005B6C8D">
        <w:rPr>
          <w:rFonts w:ascii="Times New Roman" w:hAnsi="Times New Roman" w:cs="Times New Roman"/>
          <w:i/>
          <w:sz w:val="24"/>
          <w:szCs w:val="24"/>
        </w:rPr>
        <w:t>PDF3</w:t>
      </w:r>
      <w:r w:rsidRPr="005B6C8D">
        <w:rPr>
          <w:rFonts w:ascii="Times New Roman" w:hAnsi="Times New Roman" w:cs="Times New Roman"/>
          <w:iCs/>
          <w:sz w:val="24"/>
          <w:szCs w:val="24"/>
        </w:rPr>
        <w:t xml:space="preserve">, </w:t>
      </w:r>
      <w:r w:rsidRPr="005B6C8D">
        <w:rPr>
          <w:rFonts w:ascii="Times New Roman" w:hAnsi="Times New Roman" w:cs="Times New Roman"/>
          <w:i/>
          <w:sz w:val="24"/>
          <w:szCs w:val="24"/>
        </w:rPr>
        <w:t xml:space="preserve">PR4 </w:t>
      </w:r>
      <w:r w:rsidRPr="005B6C8D">
        <w:rPr>
          <w:rFonts w:ascii="Times New Roman" w:hAnsi="Times New Roman" w:cs="Times New Roman"/>
          <w:iCs/>
          <w:sz w:val="24"/>
          <w:szCs w:val="24"/>
        </w:rPr>
        <w:t xml:space="preserve">and </w:t>
      </w:r>
      <w:proofErr w:type="spellStart"/>
      <w:r w:rsidRPr="005B6C8D">
        <w:rPr>
          <w:rFonts w:ascii="Times New Roman" w:hAnsi="Times New Roman" w:cs="Times New Roman"/>
          <w:i/>
          <w:sz w:val="24"/>
          <w:szCs w:val="24"/>
        </w:rPr>
        <w:t>rbohF</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relative to the treatment with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Cs/>
          <w:sz w:val="24"/>
          <w:szCs w:val="24"/>
        </w:rPr>
        <w:t xml:space="preserve">; additionally, </w:t>
      </w:r>
      <w:r w:rsidRPr="005B6C8D">
        <w:rPr>
          <w:rFonts w:ascii="Times New Roman" w:hAnsi="Times New Roman" w:cs="Times New Roman"/>
          <w:i/>
          <w:sz w:val="24"/>
          <w:szCs w:val="24"/>
        </w:rPr>
        <w:t xml:space="preserve">M.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and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also downregulated </w:t>
      </w:r>
      <w:proofErr w:type="spellStart"/>
      <w:r w:rsidRPr="005B6C8D">
        <w:rPr>
          <w:rFonts w:ascii="Times New Roman" w:hAnsi="Times New Roman" w:cs="Times New Roman"/>
          <w:i/>
          <w:sz w:val="24"/>
          <w:szCs w:val="24"/>
        </w:rPr>
        <w:t>rbohC</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These changes might play a role in plant susceptibility to </w:t>
      </w:r>
      <w:r w:rsidRPr="005B6C8D">
        <w:rPr>
          <w:rFonts w:ascii="Times New Roman" w:hAnsi="Times New Roman" w:cs="Times New Roman"/>
          <w:i/>
          <w:sz w:val="24"/>
          <w:szCs w:val="24"/>
        </w:rPr>
        <w:t xml:space="preserve">L. </w:t>
      </w:r>
      <w:proofErr w:type="spellStart"/>
      <w:r w:rsidRPr="005B6C8D">
        <w:rPr>
          <w:rFonts w:ascii="Times New Roman" w:hAnsi="Times New Roman" w:cs="Times New Roman"/>
          <w:i/>
          <w:sz w:val="24"/>
          <w:szCs w:val="24"/>
        </w:rPr>
        <w:t>maculans</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infection in the cotyledons of cauliflower. </w:t>
      </w:r>
      <w:r w:rsidRPr="005B6C8D">
        <w:rPr>
          <w:rFonts w:ascii="Times New Roman" w:hAnsi="Times New Roman" w:cs="Times New Roman"/>
          <w:iCs/>
          <w:sz w:val="24"/>
          <w:szCs w:val="24"/>
        </w:rPr>
        <w:fldChar w:fldCharType="begin"/>
      </w:r>
      <w:r w:rsidR="00D5193C">
        <w:rPr>
          <w:rFonts w:ascii="Times New Roman" w:hAnsi="Times New Roman" w:cs="Times New Roman"/>
          <w:iCs/>
          <w:sz w:val="24"/>
          <w:szCs w:val="24"/>
        </w:rPr>
        <w:instrText xml:space="preserve"> ADDIN ZOTERO_ITEM CSL_CITATION {"citationID":"1zIvfgpm","properties":{"formattedCitation":"(Cachapa et al., 2021)","plainCitation":"(Cachapa et al., 2021)","dontUpdate":true,"noteIndex":0},"citationItems":[{"id":155,"uris":["http://zotero.org/users/10895598/items/BML6IUQL"],"itemData":{"id":155,"type":"article-journal","container-title":"Journal of Chemical Ecology","DOI":"10.1007/s10886-020-01234-x","ISSN":"0098-0331, 1573-1561","issue":"1","journalAbbreviation":"J Chem Ecol","language":"en","page":"112-122","source":"DOI.org (Crossref)","title":"Induction and priming of plant defense by root-associated insect-pathogenic fungi","volume":"47","author":[{"family":"Cachapa","given":"Joana Carvalho"},{"family":"Meyling","given":"Nicolai Vitt"},{"family":"Burow","given":"Meike"},{"family":"Hauser","given":"Thure Pavlo"}],"issued":{"date-parts":[["2021",1]]}}}],"schema":"https://github.com/citation-style-language/schema/raw/master/csl-citation.json"} </w:instrText>
      </w:r>
      <w:r w:rsidRPr="005B6C8D">
        <w:rPr>
          <w:rFonts w:ascii="Times New Roman" w:hAnsi="Times New Roman" w:cs="Times New Roman"/>
          <w:iCs/>
          <w:sz w:val="24"/>
          <w:szCs w:val="24"/>
        </w:rPr>
        <w:fldChar w:fldCharType="separate"/>
      </w:r>
      <w:r w:rsidRPr="005B6C8D">
        <w:rPr>
          <w:rFonts w:ascii="Times New Roman" w:hAnsi="Times New Roman" w:cs="Times New Roman"/>
          <w:sz w:val="24"/>
          <w:szCs w:val="24"/>
        </w:rPr>
        <w:t>Cachapa et al. (2021)</w:t>
      </w:r>
      <w:r w:rsidRPr="005B6C8D">
        <w:rPr>
          <w:rFonts w:ascii="Times New Roman" w:hAnsi="Times New Roman" w:cs="Times New Roman"/>
          <w:iCs/>
          <w:sz w:val="24"/>
          <w:szCs w:val="24"/>
        </w:rPr>
        <w:fldChar w:fldCharType="end"/>
      </w:r>
      <w:r w:rsidRPr="005B6C8D">
        <w:rPr>
          <w:rFonts w:ascii="Times New Roman" w:hAnsi="Times New Roman" w:cs="Times New Roman"/>
          <w:iCs/>
          <w:sz w:val="24"/>
          <w:szCs w:val="24"/>
        </w:rPr>
        <w:t xml:space="preserve"> and </w:t>
      </w:r>
      <w:r w:rsidRPr="005B6C8D">
        <w:rPr>
          <w:rFonts w:ascii="Times New Roman" w:hAnsi="Times New Roman" w:cs="Times New Roman"/>
          <w:iCs/>
          <w:sz w:val="24"/>
          <w:szCs w:val="24"/>
        </w:rPr>
        <w:fldChar w:fldCharType="begin"/>
      </w:r>
      <w:r w:rsidR="00D5193C">
        <w:rPr>
          <w:rFonts w:ascii="Times New Roman" w:hAnsi="Times New Roman" w:cs="Times New Roman"/>
          <w:iCs/>
          <w:sz w:val="24"/>
          <w:szCs w:val="24"/>
        </w:rPr>
        <w:instrText xml:space="preserve"> ADDIN ZOTERO_ITEM CSL_CITATION {"citationID":"Wk7XkDR7","properties":{"formattedCitation":"(Qing et al., 2023)","plainCitation":"(Qing et al., 2023)","dontUpdate":true,"noteIndex":0},"citationItems":[{"id":566,"uris":["http://zotero.org/users/10895598/items/5W4IA6TC"],"itemData":{"id":566,"type":"article-journal","container-title":"Arthropod-Plant Interactions","DOI":"10.1007/s11829-023-09956-x","ISSN":"1872-8855, 1872-8847","issue":"3","journalAbbreviation":"Arthropod-Plant Interactions","language":"en","page":"275-287","source":"DOI.org (Crossref)","title":"Defense priming in cabbage (&lt;i&gt;Brassica oleracea&lt;/i&gt;) by insect-pathogenic fungi","volume":"17","author":[{"family":"Qing","given":"Yulan"},{"family":"Ourry","given":"Morgane"},{"family":"Burow","given":"Meike"},{"family":"Meyling","given":"Nicolai Vitt"},{"family":"Hauser","given":"Thure Pavlo"}],"issued":{"date-parts":[["2023",6]]}}}],"schema":"https://github.com/citation-style-language/schema/raw/master/csl-citation.json"} </w:instrText>
      </w:r>
      <w:r w:rsidRPr="005B6C8D">
        <w:rPr>
          <w:rFonts w:ascii="Times New Roman" w:hAnsi="Times New Roman" w:cs="Times New Roman"/>
          <w:iCs/>
          <w:sz w:val="24"/>
          <w:szCs w:val="24"/>
        </w:rPr>
        <w:fldChar w:fldCharType="separate"/>
      </w:r>
      <w:r w:rsidRPr="005B6C8D">
        <w:rPr>
          <w:rFonts w:ascii="Times New Roman" w:hAnsi="Times New Roman" w:cs="Times New Roman"/>
          <w:sz w:val="24"/>
          <w:szCs w:val="24"/>
        </w:rPr>
        <w:t>Qing et al. (2023)</w:t>
      </w:r>
      <w:r w:rsidRPr="005B6C8D">
        <w:rPr>
          <w:rFonts w:ascii="Times New Roman" w:hAnsi="Times New Roman" w:cs="Times New Roman"/>
          <w:iCs/>
          <w:sz w:val="24"/>
          <w:szCs w:val="24"/>
        </w:rPr>
        <w:fldChar w:fldCharType="end"/>
      </w:r>
      <w:r w:rsidRPr="005B6C8D">
        <w:rPr>
          <w:rFonts w:ascii="Times New Roman" w:hAnsi="Times New Roman" w:cs="Times New Roman"/>
          <w:iCs/>
          <w:sz w:val="24"/>
          <w:szCs w:val="24"/>
        </w:rPr>
        <w:t xml:space="preserve"> also observed that root treatment by 0.05</w:t>
      </w:r>
      <w:r w:rsidR="002A47AC">
        <w:rPr>
          <w:rFonts w:ascii="Times New Roman" w:hAnsi="Times New Roman" w:cs="Times New Roman"/>
          <w:iCs/>
          <w:sz w:val="24"/>
          <w:szCs w:val="24"/>
        </w:rPr>
        <w:t> </w:t>
      </w:r>
      <w:r w:rsidRPr="005B6C8D">
        <w:rPr>
          <w:rFonts w:ascii="Times New Roman" w:hAnsi="Times New Roman" w:cs="Times New Roman"/>
          <w:iCs/>
          <w:sz w:val="24"/>
          <w:szCs w:val="24"/>
        </w:rPr>
        <w:t>% Triton</w:t>
      </w:r>
      <w:r w:rsidR="002A47AC">
        <w:rPr>
          <w:rFonts w:ascii="Times New Roman" w:hAnsi="Times New Roman" w:cs="Times New Roman"/>
          <w:iCs/>
          <w:sz w:val="24"/>
          <w:szCs w:val="24"/>
        </w:rPr>
        <w:t> </w:t>
      </w:r>
      <w:r w:rsidRPr="005B6C8D">
        <w:rPr>
          <w:rFonts w:ascii="Times New Roman" w:hAnsi="Times New Roman" w:cs="Times New Roman"/>
          <w:iCs/>
          <w:sz w:val="24"/>
          <w:szCs w:val="24"/>
        </w:rPr>
        <w:t xml:space="preserve">X causes changes in the plant compared to water and </w:t>
      </w:r>
      <w:r w:rsidRPr="005B6C8D">
        <w:rPr>
          <w:rFonts w:ascii="Times New Roman" w:hAnsi="Times New Roman" w:cs="Times New Roman"/>
          <w:i/>
          <w:sz w:val="24"/>
          <w:szCs w:val="24"/>
        </w:rPr>
        <w:t xml:space="preserve">Metarhizium </w:t>
      </w:r>
      <w:r w:rsidRPr="005B6C8D">
        <w:rPr>
          <w:rFonts w:ascii="Times New Roman" w:hAnsi="Times New Roman" w:cs="Times New Roman"/>
          <w:iCs/>
          <w:sz w:val="24"/>
          <w:szCs w:val="24"/>
        </w:rPr>
        <w:t xml:space="preserve">spp. treatment; however, defence genes involved in phytohormonal pathways were not tested before in such system. For instance, </w:t>
      </w:r>
      <w:r w:rsidRPr="005B6C8D">
        <w:rPr>
          <w:rFonts w:ascii="Times New Roman" w:hAnsi="Times New Roman" w:cs="Times New Roman"/>
          <w:iCs/>
          <w:sz w:val="24"/>
          <w:szCs w:val="24"/>
        </w:rPr>
        <w:fldChar w:fldCharType="begin"/>
      </w:r>
      <w:r w:rsidR="00D5193C">
        <w:rPr>
          <w:rFonts w:ascii="Times New Roman" w:hAnsi="Times New Roman" w:cs="Times New Roman"/>
          <w:iCs/>
          <w:sz w:val="24"/>
          <w:szCs w:val="24"/>
        </w:rPr>
        <w:instrText xml:space="preserve"> ADDIN ZOTERO_ITEM CSL_CITATION {"citationID":"yl59bwoU","properties":{"formattedCitation":"(Qing et al., 2023)","plainCitation":"(Qing et al., 2023)","dontUpdate":true,"noteIndex":0},"citationItems":[{"id":566,"uris":["http://zotero.org/users/10895598/items/5W4IA6TC"],"itemData":{"id":566,"type":"article-journal","container-title":"Arthropod-Plant Interactions","DOI":"10.1007/s11829-023-09956-x","ISSN":"1872-8855, 1872-8847","issue":"3","journalAbbreviation":"Arthropod-Plant Interactions","language":"en","page":"275-287","source":"DOI.org (Crossref)","title":"Defense priming in cabbage (&lt;i&gt;Brassica oleracea&lt;/i&gt;) by insect-pathogenic fungi","volume":"17","author":[{"family":"Qing","given":"Yulan"},{"family":"Ourry","given":"Morgane"},{"family":"Burow","given":"Meike"},{"family":"Meyling","given":"Nicolai Vitt"},{"family":"Hauser","given":"Thure Pavlo"}],"issued":{"date-parts":[["2023",6]]}}}],"schema":"https://github.com/citation-style-language/schema/raw/master/csl-citation.json"} </w:instrText>
      </w:r>
      <w:r w:rsidRPr="005B6C8D">
        <w:rPr>
          <w:rFonts w:ascii="Times New Roman" w:hAnsi="Times New Roman" w:cs="Times New Roman"/>
          <w:iCs/>
          <w:sz w:val="24"/>
          <w:szCs w:val="24"/>
        </w:rPr>
        <w:fldChar w:fldCharType="separate"/>
      </w:r>
      <w:r w:rsidRPr="005B6C8D">
        <w:rPr>
          <w:rFonts w:ascii="Times New Roman" w:hAnsi="Times New Roman" w:cs="Times New Roman"/>
          <w:sz w:val="24"/>
          <w:szCs w:val="24"/>
        </w:rPr>
        <w:t>Qing et al. (2023)</w:t>
      </w:r>
      <w:r w:rsidRPr="005B6C8D">
        <w:rPr>
          <w:rFonts w:ascii="Times New Roman" w:hAnsi="Times New Roman" w:cs="Times New Roman"/>
          <w:iCs/>
          <w:sz w:val="24"/>
          <w:szCs w:val="24"/>
        </w:rPr>
        <w:fldChar w:fldCharType="end"/>
      </w:r>
      <w:r w:rsidRPr="005B6C8D">
        <w:rPr>
          <w:rFonts w:ascii="Times New Roman" w:hAnsi="Times New Roman" w:cs="Times New Roman"/>
          <w:iCs/>
          <w:sz w:val="24"/>
          <w:szCs w:val="24"/>
        </w:rPr>
        <w:t xml:space="preserve"> detected less herbivory caused by </w:t>
      </w:r>
      <w:r w:rsidRPr="005B6C8D">
        <w:rPr>
          <w:rFonts w:ascii="Times New Roman" w:hAnsi="Times New Roman" w:cs="Times New Roman"/>
          <w:i/>
          <w:sz w:val="24"/>
          <w:szCs w:val="24"/>
        </w:rPr>
        <w:t xml:space="preserve">P. </w:t>
      </w:r>
      <w:proofErr w:type="spellStart"/>
      <w:r w:rsidRPr="005B6C8D">
        <w:rPr>
          <w:rFonts w:ascii="Times New Roman" w:hAnsi="Times New Roman" w:cs="Times New Roman"/>
          <w:i/>
          <w:sz w:val="24"/>
          <w:szCs w:val="24"/>
        </w:rPr>
        <w:t>xylostella</w:t>
      </w:r>
      <w:proofErr w:type="spellEnd"/>
      <w:r w:rsidRPr="005B6C8D">
        <w:rPr>
          <w:rFonts w:ascii="Times New Roman" w:hAnsi="Times New Roman" w:cs="Times New Roman"/>
          <w:i/>
          <w:sz w:val="24"/>
          <w:szCs w:val="24"/>
        </w:rPr>
        <w:t xml:space="preserve"> </w:t>
      </w:r>
      <w:r w:rsidRPr="005B6C8D">
        <w:rPr>
          <w:rFonts w:ascii="Times New Roman" w:hAnsi="Times New Roman" w:cs="Times New Roman"/>
          <w:iCs/>
          <w:sz w:val="24"/>
          <w:szCs w:val="24"/>
        </w:rPr>
        <w:t xml:space="preserve">larvae in </w:t>
      </w:r>
      <w:r w:rsidRPr="005B6C8D">
        <w:rPr>
          <w:rFonts w:ascii="Times New Roman" w:hAnsi="Times New Roman" w:cs="Times New Roman"/>
          <w:i/>
          <w:sz w:val="24"/>
          <w:szCs w:val="24"/>
        </w:rPr>
        <w:t>M.</w:t>
      </w:r>
      <w:r w:rsidR="002A47AC">
        <w:rPr>
          <w:rFonts w:ascii="Times New Roman" w:hAnsi="Times New Roman" w:cs="Times New Roman"/>
          <w:i/>
          <w:sz w:val="24"/>
          <w:szCs w:val="24"/>
        </w:rPr>
        <w:t> </w:t>
      </w:r>
      <w:proofErr w:type="spellStart"/>
      <w:r w:rsidRPr="005B6C8D">
        <w:rPr>
          <w:rFonts w:ascii="Times New Roman" w:hAnsi="Times New Roman" w:cs="Times New Roman"/>
          <w:i/>
          <w:sz w:val="24"/>
          <w:szCs w:val="24"/>
        </w:rPr>
        <w:t>robertsii</w:t>
      </w:r>
      <w:proofErr w:type="spellEnd"/>
      <w:r w:rsidRPr="005B6C8D">
        <w:rPr>
          <w:rFonts w:ascii="Times New Roman" w:hAnsi="Times New Roman" w:cs="Times New Roman"/>
          <w:iCs/>
          <w:sz w:val="24"/>
          <w:szCs w:val="24"/>
        </w:rPr>
        <w:t xml:space="preserve">-treated cauliflower compared to the control group; in addition, less consumption was observed in plants treated with 0.05 % Triton X compared to plants treated with water. The cause of this effect is still unclear, and </w:t>
      </w:r>
      <w:r w:rsidR="00755BFE">
        <w:rPr>
          <w:rFonts w:ascii="Times New Roman" w:hAnsi="Times New Roman" w:cs="Times New Roman"/>
          <w:iCs/>
          <w:sz w:val="24"/>
          <w:szCs w:val="24"/>
        </w:rPr>
        <w:t xml:space="preserve">it can </w:t>
      </w:r>
      <w:r w:rsidRPr="005B6C8D">
        <w:rPr>
          <w:rFonts w:ascii="Times New Roman" w:hAnsi="Times New Roman" w:cs="Times New Roman"/>
          <w:iCs/>
          <w:sz w:val="24"/>
          <w:szCs w:val="24"/>
        </w:rPr>
        <w:t xml:space="preserve">only </w:t>
      </w:r>
      <w:r w:rsidR="00755BFE">
        <w:rPr>
          <w:rFonts w:ascii="Times New Roman" w:hAnsi="Times New Roman" w:cs="Times New Roman"/>
          <w:iCs/>
          <w:sz w:val="24"/>
          <w:szCs w:val="24"/>
        </w:rPr>
        <w:t xml:space="preserve">be </w:t>
      </w:r>
      <w:r w:rsidRPr="005B6C8D">
        <w:rPr>
          <w:rFonts w:ascii="Times New Roman" w:hAnsi="Times New Roman" w:cs="Times New Roman"/>
          <w:iCs/>
          <w:sz w:val="24"/>
          <w:szCs w:val="24"/>
        </w:rPr>
        <w:t>speculate</w:t>
      </w:r>
      <w:r w:rsidR="00755BFE">
        <w:rPr>
          <w:rFonts w:ascii="Times New Roman" w:hAnsi="Times New Roman" w:cs="Times New Roman"/>
          <w:iCs/>
          <w:sz w:val="24"/>
          <w:szCs w:val="24"/>
        </w:rPr>
        <w:t>d</w:t>
      </w:r>
      <w:r w:rsidRPr="005B6C8D">
        <w:rPr>
          <w:rFonts w:ascii="Times New Roman" w:hAnsi="Times New Roman" w:cs="Times New Roman"/>
          <w:iCs/>
          <w:sz w:val="24"/>
          <w:szCs w:val="24"/>
        </w:rPr>
        <w:t xml:space="preserve"> that it is due to differences in phytohormonal </w:t>
      </w:r>
      <w:proofErr w:type="spellStart"/>
      <w:r w:rsidRPr="005B6C8D">
        <w:rPr>
          <w:rFonts w:ascii="Times New Roman" w:hAnsi="Times New Roman" w:cs="Times New Roman"/>
          <w:iCs/>
          <w:sz w:val="24"/>
          <w:szCs w:val="24"/>
        </w:rPr>
        <w:t>signaling</w:t>
      </w:r>
      <w:proofErr w:type="spellEnd"/>
      <w:r w:rsidRPr="005B6C8D">
        <w:rPr>
          <w:rFonts w:ascii="Times New Roman" w:hAnsi="Times New Roman" w:cs="Times New Roman"/>
          <w:iCs/>
          <w:sz w:val="24"/>
          <w:szCs w:val="24"/>
        </w:rPr>
        <w:t xml:space="preserve"> responses or GLS production, as </w:t>
      </w:r>
      <w:r w:rsidR="00755BFE">
        <w:rPr>
          <w:rFonts w:ascii="Times New Roman" w:hAnsi="Times New Roman" w:cs="Times New Roman"/>
          <w:iCs/>
          <w:sz w:val="24"/>
          <w:szCs w:val="24"/>
        </w:rPr>
        <w:t>the</w:t>
      </w:r>
      <w:r w:rsidRPr="005B6C8D">
        <w:rPr>
          <w:rFonts w:ascii="Times New Roman" w:hAnsi="Times New Roman" w:cs="Times New Roman"/>
          <w:iCs/>
          <w:sz w:val="24"/>
          <w:szCs w:val="24"/>
        </w:rPr>
        <w:t xml:space="preserve"> changes in GLS profile patterns </w:t>
      </w:r>
      <w:r w:rsidR="00755BFE">
        <w:rPr>
          <w:rFonts w:ascii="Times New Roman" w:hAnsi="Times New Roman" w:cs="Times New Roman"/>
          <w:iCs/>
          <w:sz w:val="24"/>
          <w:szCs w:val="24"/>
        </w:rPr>
        <w:t xml:space="preserve">were also observed </w:t>
      </w:r>
      <w:r w:rsidRPr="005B6C8D">
        <w:rPr>
          <w:rFonts w:ascii="Times New Roman" w:hAnsi="Times New Roman" w:cs="Times New Roman"/>
          <w:iCs/>
          <w:sz w:val="24"/>
          <w:szCs w:val="24"/>
        </w:rPr>
        <w:t xml:space="preserve">in </w:t>
      </w:r>
      <w:r w:rsidR="00755BFE">
        <w:rPr>
          <w:rFonts w:ascii="Times New Roman" w:hAnsi="Times New Roman" w:cs="Times New Roman"/>
          <w:iCs/>
          <w:sz w:val="24"/>
          <w:szCs w:val="24"/>
        </w:rPr>
        <w:t xml:space="preserve">the </w:t>
      </w:r>
      <w:r w:rsidRPr="005B6C8D">
        <w:rPr>
          <w:rFonts w:ascii="Times New Roman" w:hAnsi="Times New Roman" w:cs="Times New Roman"/>
          <w:iCs/>
          <w:sz w:val="24"/>
          <w:szCs w:val="24"/>
        </w:rPr>
        <w:t>true leaves of cauliflower after 0.05 % Triton X treatment. Nonetheless, priming effect</w:t>
      </w:r>
      <w:r w:rsidR="002A47AC">
        <w:rPr>
          <w:rFonts w:ascii="Times New Roman" w:hAnsi="Times New Roman" w:cs="Times New Roman"/>
          <w:iCs/>
          <w:sz w:val="24"/>
          <w:szCs w:val="24"/>
        </w:rPr>
        <w:t>s are</w:t>
      </w:r>
      <w:r w:rsidRPr="005B6C8D">
        <w:rPr>
          <w:rFonts w:ascii="Times New Roman" w:hAnsi="Times New Roman" w:cs="Times New Roman"/>
          <w:iCs/>
          <w:sz w:val="24"/>
          <w:szCs w:val="24"/>
        </w:rPr>
        <w:t xml:space="preserve"> highly context-dependent, and much is still to be learnt regarding such plant–fungus symbioses, </w:t>
      </w:r>
      <w:r w:rsidRPr="005B6C8D">
        <w:rPr>
          <w:rFonts w:ascii="Times New Roman" w:hAnsi="Times New Roman" w:cs="Times New Roman"/>
          <w:i/>
          <w:sz w:val="24"/>
          <w:szCs w:val="24"/>
        </w:rPr>
        <w:t xml:space="preserve">e.g. </w:t>
      </w:r>
      <w:r w:rsidRPr="005B6C8D">
        <w:rPr>
          <w:rFonts w:ascii="Times New Roman" w:hAnsi="Times New Roman" w:cs="Times New Roman"/>
          <w:iCs/>
          <w:sz w:val="24"/>
          <w:szCs w:val="24"/>
        </w:rPr>
        <w:t>the time course of priming effect</w:t>
      </w:r>
      <w:r w:rsidR="000531F9">
        <w:rPr>
          <w:rFonts w:ascii="Times New Roman" w:hAnsi="Times New Roman" w:cs="Times New Roman"/>
          <w:iCs/>
          <w:sz w:val="24"/>
          <w:szCs w:val="24"/>
        </w:rPr>
        <w:t xml:space="preserve"> and the range of antagonists</w:t>
      </w:r>
      <w:r w:rsidRPr="005B6C8D">
        <w:rPr>
          <w:rFonts w:ascii="Times New Roman" w:hAnsi="Times New Roman" w:cs="Times New Roman"/>
          <w:iCs/>
          <w:sz w:val="24"/>
          <w:szCs w:val="24"/>
        </w:rPr>
        <w:t xml:space="preserve">, which </w:t>
      </w:r>
      <w:r w:rsidRPr="005B6C8D">
        <w:rPr>
          <w:rFonts w:ascii="Times New Roman" w:hAnsi="Times New Roman" w:cs="Times New Roman"/>
          <w:sz w:val="24"/>
          <w:szCs w:val="24"/>
        </w:rPr>
        <w:t xml:space="preserve">highlights the importance of such </w:t>
      </w:r>
      <w:proofErr w:type="spellStart"/>
      <w:r w:rsidRPr="005B6C8D">
        <w:rPr>
          <w:rFonts w:ascii="Times New Roman" w:hAnsi="Times New Roman" w:cs="Times New Roman"/>
          <w:sz w:val="24"/>
          <w:szCs w:val="24"/>
        </w:rPr>
        <w:t>phytopathological</w:t>
      </w:r>
      <w:proofErr w:type="spellEnd"/>
      <w:r w:rsidRPr="005B6C8D">
        <w:rPr>
          <w:rFonts w:ascii="Times New Roman" w:hAnsi="Times New Roman" w:cs="Times New Roman"/>
          <w:sz w:val="24"/>
          <w:szCs w:val="24"/>
        </w:rPr>
        <w:t xml:space="preserve"> studies.</w:t>
      </w:r>
    </w:p>
    <w:p w14:paraId="2150A470" w14:textId="77777777" w:rsidR="00E7693B" w:rsidRPr="005B6C8D" w:rsidRDefault="00E7693B" w:rsidP="00E7693B">
      <w:pPr>
        <w:spacing w:line="360" w:lineRule="auto"/>
        <w:ind w:firstLine="432"/>
        <w:jc w:val="both"/>
        <w:rPr>
          <w:rFonts w:ascii="Times New Roman" w:hAnsi="Times New Roman" w:cs="Times New Roman"/>
          <w:b/>
          <w:sz w:val="24"/>
          <w:szCs w:val="24"/>
        </w:rPr>
      </w:pPr>
      <w:r w:rsidRPr="005B6C8D">
        <w:rPr>
          <w:rFonts w:ascii="Times New Roman" w:hAnsi="Times New Roman" w:cs="Times New Roman"/>
          <w:sz w:val="24"/>
          <w:szCs w:val="24"/>
        </w:rPr>
        <w:br w:type="page"/>
      </w:r>
    </w:p>
    <w:p w14:paraId="2150A471" w14:textId="10B0F625" w:rsidR="00E7693B" w:rsidRPr="00E7693B" w:rsidRDefault="00E7693B" w:rsidP="005B6C8D">
      <w:pPr>
        <w:pStyle w:val="Heading1"/>
      </w:pPr>
      <w:bookmarkStart w:id="89" w:name="_Toc167977655"/>
      <w:r w:rsidRPr="00E7693B">
        <w:t xml:space="preserve">Conclusions and </w:t>
      </w:r>
      <w:r w:rsidR="00B91720">
        <w:t>r</w:t>
      </w:r>
      <w:r w:rsidRPr="00E7693B">
        <w:t xml:space="preserve">ecommendation for </w:t>
      </w:r>
      <w:r w:rsidR="00B91720">
        <w:t>s</w:t>
      </w:r>
      <w:r w:rsidRPr="00E7693B">
        <w:t xml:space="preserve">cientific and </w:t>
      </w:r>
      <w:r w:rsidR="00B91720">
        <w:t>t</w:t>
      </w:r>
      <w:r w:rsidRPr="00E7693B">
        <w:t xml:space="preserve">echnical </w:t>
      </w:r>
      <w:r w:rsidR="00B91720">
        <w:t>d</w:t>
      </w:r>
      <w:r w:rsidRPr="00E7693B">
        <w:t>evelopment</w:t>
      </w:r>
      <w:bookmarkEnd w:id="89"/>
    </w:p>
    <w:p w14:paraId="2150A472" w14:textId="77777777" w:rsidR="00E7693B" w:rsidRPr="005B6C8D" w:rsidRDefault="00E7693B" w:rsidP="005B6C8D">
      <w:pPr>
        <w:spacing w:after="0" w:line="360" w:lineRule="auto"/>
        <w:rPr>
          <w:rFonts w:ascii="Times New Roman" w:hAnsi="Times New Roman" w:cs="Times New Roman"/>
          <w:sz w:val="24"/>
          <w:szCs w:val="24"/>
        </w:rPr>
      </w:pPr>
    </w:p>
    <w:p w14:paraId="2150A473" w14:textId="77777777" w:rsidR="00E7693B" w:rsidRPr="005B6C8D" w:rsidRDefault="00E7693B">
      <w:pPr>
        <w:spacing w:line="360" w:lineRule="auto"/>
        <w:jc w:val="both"/>
        <w:rPr>
          <w:rFonts w:ascii="Times New Roman" w:hAnsi="Times New Roman" w:cs="Times New Roman"/>
          <w:sz w:val="24"/>
          <w:szCs w:val="24"/>
        </w:rPr>
      </w:pPr>
      <w:r w:rsidRPr="005B6C8D">
        <w:rPr>
          <w:rFonts w:ascii="Times New Roman" w:hAnsi="Times New Roman" w:cs="Times New Roman"/>
          <w:sz w:val="24"/>
          <w:szCs w:val="24"/>
        </w:rPr>
        <w:tab/>
        <w:t>Plants evolved a highly complex immune system to survive in a hostile world. The research presented in this thesis will advance the current knowledge on plant immunity during exposure to biotic stresses, with the following conclusions:</w:t>
      </w:r>
    </w:p>
    <w:p w14:paraId="2150A474" w14:textId="77777777" w:rsidR="00E7693B" w:rsidRPr="001D47AD" w:rsidRDefault="00E7693B">
      <w:pPr>
        <w:numPr>
          <w:ilvl w:val="0"/>
          <w:numId w:val="4"/>
        </w:numPr>
        <w:spacing w:line="360" w:lineRule="auto"/>
        <w:jc w:val="both"/>
        <w:rPr>
          <w:rFonts w:ascii="Times New Roman" w:hAnsi="Times New Roman" w:cs="Times New Roman"/>
          <w:sz w:val="24"/>
          <w:szCs w:val="24"/>
        </w:rPr>
      </w:pPr>
      <w:r w:rsidRPr="001D47AD">
        <w:rPr>
          <w:rFonts w:ascii="Times New Roman" w:hAnsi="Times New Roman" w:cs="Times New Roman"/>
          <w:iCs/>
          <w:sz w:val="24"/>
          <w:szCs w:val="24"/>
        </w:rPr>
        <w:t>Inoculation of oilseed rape</w:t>
      </w:r>
      <w:r w:rsidRPr="001D47AD">
        <w:rPr>
          <w:rFonts w:ascii="Times New Roman" w:hAnsi="Times New Roman" w:cs="Times New Roman"/>
          <w:sz w:val="24"/>
          <w:szCs w:val="24"/>
        </w:rPr>
        <w:t xml:space="preserve"> leaves by </w:t>
      </w:r>
      <w:proofErr w:type="spellStart"/>
      <w:r w:rsidRPr="001D47AD">
        <w:rPr>
          <w:rFonts w:ascii="Times New Roman" w:hAnsi="Times New Roman" w:cs="Times New Roman"/>
          <w:sz w:val="24"/>
          <w:szCs w:val="24"/>
        </w:rPr>
        <w:t>hemibiotrophic</w:t>
      </w:r>
      <w:proofErr w:type="spellEnd"/>
      <w:r w:rsidRPr="001D47AD">
        <w:rPr>
          <w:rFonts w:ascii="Times New Roman" w:hAnsi="Times New Roman" w:cs="Times New Roman"/>
          <w:sz w:val="24"/>
          <w:szCs w:val="24"/>
        </w:rPr>
        <w:t xml:space="preserve"> fungal pathogen </w:t>
      </w:r>
      <w:r w:rsidRPr="00BB4573">
        <w:rPr>
          <w:rFonts w:ascii="Times New Roman" w:hAnsi="Times New Roman" w:cs="Times New Roman"/>
          <w:i/>
          <w:iCs/>
          <w:color w:val="000000"/>
          <w:sz w:val="24"/>
          <w:szCs w:val="24"/>
        </w:rPr>
        <w:t xml:space="preserve">L. </w:t>
      </w:r>
      <w:proofErr w:type="spellStart"/>
      <w:r w:rsidRPr="00BB4573">
        <w:rPr>
          <w:rFonts w:ascii="Times New Roman" w:hAnsi="Times New Roman" w:cs="Times New Roman"/>
          <w:i/>
          <w:iCs/>
          <w:color w:val="000000"/>
          <w:sz w:val="24"/>
          <w:szCs w:val="24"/>
        </w:rPr>
        <w:t>maculans</w:t>
      </w:r>
      <w:proofErr w:type="spellEnd"/>
      <w:r w:rsidRPr="001D47AD">
        <w:rPr>
          <w:rFonts w:ascii="Times New Roman" w:hAnsi="Times New Roman" w:cs="Times New Roman"/>
          <w:color w:val="000000"/>
          <w:sz w:val="24"/>
          <w:szCs w:val="24"/>
        </w:rPr>
        <w:t xml:space="preserve"> </w:t>
      </w:r>
      <w:r w:rsidRPr="001D47AD">
        <w:rPr>
          <w:rFonts w:ascii="Times New Roman" w:hAnsi="Times New Roman" w:cs="Times New Roman"/>
          <w:sz w:val="24"/>
          <w:szCs w:val="24"/>
        </w:rPr>
        <w:t xml:space="preserve">rendered plants more palatable for </w:t>
      </w:r>
      <w:r w:rsidRPr="00BB4573">
        <w:rPr>
          <w:rFonts w:ascii="Times New Roman" w:hAnsi="Times New Roman" w:cs="Times New Roman"/>
          <w:i/>
          <w:iCs/>
          <w:sz w:val="24"/>
          <w:szCs w:val="24"/>
        </w:rPr>
        <w:t xml:space="preserve">P. </w:t>
      </w:r>
      <w:proofErr w:type="spellStart"/>
      <w:r w:rsidRPr="00BB4573">
        <w:rPr>
          <w:rFonts w:ascii="Times New Roman" w:hAnsi="Times New Roman" w:cs="Times New Roman"/>
          <w:i/>
          <w:iCs/>
          <w:sz w:val="24"/>
          <w:szCs w:val="24"/>
        </w:rPr>
        <w:t>xylostella</w:t>
      </w:r>
      <w:proofErr w:type="spellEnd"/>
      <w:r w:rsidRPr="001D47AD">
        <w:rPr>
          <w:rFonts w:ascii="Times New Roman" w:hAnsi="Times New Roman" w:cs="Times New Roman"/>
          <w:sz w:val="24"/>
          <w:szCs w:val="24"/>
        </w:rPr>
        <w:t xml:space="preserve"> caterpillars in the early stage of infection (3 days post inoculation) compared to control plants. In the later stage (7 days post inoculation) the preference of caterpillars to infected leaves was no longer observed.</w:t>
      </w:r>
    </w:p>
    <w:p w14:paraId="2150A475" w14:textId="77777777" w:rsidR="00E7693B" w:rsidRPr="001D47AD" w:rsidRDefault="00E7693B" w:rsidP="00E7693B">
      <w:pPr>
        <w:numPr>
          <w:ilvl w:val="0"/>
          <w:numId w:val="4"/>
        </w:numPr>
        <w:spacing w:line="360" w:lineRule="auto"/>
        <w:jc w:val="both"/>
        <w:rPr>
          <w:rFonts w:ascii="Times New Roman" w:hAnsi="Times New Roman" w:cs="Times New Roman"/>
          <w:sz w:val="24"/>
          <w:szCs w:val="24"/>
        </w:rPr>
      </w:pPr>
      <w:r w:rsidRPr="001D47AD">
        <w:rPr>
          <w:rFonts w:ascii="Times New Roman" w:hAnsi="Times New Roman" w:cs="Times New Roman"/>
          <w:iCs/>
          <w:sz w:val="24"/>
          <w:szCs w:val="24"/>
        </w:rPr>
        <w:t>Inoculation of oilseed rape</w:t>
      </w:r>
      <w:r w:rsidRPr="001D47AD">
        <w:rPr>
          <w:rFonts w:ascii="Times New Roman" w:hAnsi="Times New Roman" w:cs="Times New Roman"/>
          <w:sz w:val="24"/>
          <w:szCs w:val="24"/>
        </w:rPr>
        <w:t xml:space="preserve"> leaves by </w:t>
      </w:r>
      <w:proofErr w:type="spellStart"/>
      <w:r w:rsidRPr="001D47AD">
        <w:rPr>
          <w:rFonts w:ascii="Times New Roman" w:hAnsi="Times New Roman" w:cs="Times New Roman"/>
          <w:sz w:val="24"/>
          <w:szCs w:val="24"/>
        </w:rPr>
        <w:t>hemibiotrophic</w:t>
      </w:r>
      <w:proofErr w:type="spellEnd"/>
      <w:r w:rsidRPr="001D47AD">
        <w:rPr>
          <w:rFonts w:ascii="Times New Roman" w:hAnsi="Times New Roman" w:cs="Times New Roman"/>
          <w:sz w:val="24"/>
          <w:szCs w:val="24"/>
        </w:rPr>
        <w:t xml:space="preserve"> fungal pathogen </w:t>
      </w:r>
      <w:r w:rsidRPr="00BB4573">
        <w:rPr>
          <w:rFonts w:ascii="Times New Roman" w:hAnsi="Times New Roman" w:cs="Times New Roman"/>
          <w:i/>
          <w:iCs/>
          <w:color w:val="000000"/>
          <w:sz w:val="24"/>
          <w:szCs w:val="24"/>
        </w:rPr>
        <w:t xml:space="preserve">L. </w:t>
      </w:r>
      <w:proofErr w:type="spellStart"/>
      <w:r w:rsidRPr="00BB4573">
        <w:rPr>
          <w:rFonts w:ascii="Times New Roman" w:hAnsi="Times New Roman" w:cs="Times New Roman"/>
          <w:i/>
          <w:iCs/>
          <w:color w:val="000000"/>
          <w:sz w:val="24"/>
          <w:szCs w:val="24"/>
        </w:rPr>
        <w:t>maculans</w:t>
      </w:r>
      <w:proofErr w:type="spellEnd"/>
      <w:r w:rsidRPr="001D47AD">
        <w:rPr>
          <w:rFonts w:ascii="Times New Roman" w:hAnsi="Times New Roman" w:cs="Times New Roman"/>
          <w:color w:val="000000"/>
          <w:sz w:val="24"/>
          <w:szCs w:val="24"/>
        </w:rPr>
        <w:t xml:space="preserve"> did not change the preference of </w:t>
      </w:r>
      <w:r w:rsidRPr="00BB4573">
        <w:rPr>
          <w:rFonts w:ascii="Times New Roman" w:hAnsi="Times New Roman" w:cs="Times New Roman"/>
          <w:i/>
          <w:iCs/>
          <w:sz w:val="24"/>
          <w:szCs w:val="24"/>
        </w:rPr>
        <w:t xml:space="preserve">B. </w:t>
      </w:r>
      <w:proofErr w:type="spellStart"/>
      <w:r w:rsidRPr="00BB4573">
        <w:rPr>
          <w:rFonts w:ascii="Times New Roman" w:hAnsi="Times New Roman" w:cs="Times New Roman"/>
          <w:i/>
          <w:iCs/>
          <w:sz w:val="24"/>
          <w:szCs w:val="24"/>
        </w:rPr>
        <w:t>brassicae</w:t>
      </w:r>
      <w:proofErr w:type="spellEnd"/>
      <w:r w:rsidRPr="001D47AD">
        <w:rPr>
          <w:rFonts w:ascii="Times New Roman" w:hAnsi="Times New Roman" w:cs="Times New Roman"/>
          <w:sz w:val="24"/>
          <w:szCs w:val="24"/>
        </w:rPr>
        <w:t xml:space="preserve"> aphids in the early stage of infection (3 days post inoculation), but made plants less palatable for aphids in the later stage of infection (7 days post inoculation) compared to control plants.</w:t>
      </w:r>
    </w:p>
    <w:p w14:paraId="2150A476" w14:textId="77777777" w:rsidR="00E7693B" w:rsidRPr="001D47AD" w:rsidRDefault="00E7693B">
      <w:pPr>
        <w:numPr>
          <w:ilvl w:val="0"/>
          <w:numId w:val="4"/>
        </w:numPr>
        <w:spacing w:line="360" w:lineRule="auto"/>
        <w:jc w:val="both"/>
        <w:rPr>
          <w:rFonts w:ascii="Times New Roman" w:hAnsi="Times New Roman" w:cs="Times New Roman"/>
          <w:sz w:val="24"/>
          <w:szCs w:val="24"/>
        </w:rPr>
      </w:pPr>
      <w:r w:rsidRPr="001D47AD">
        <w:rPr>
          <w:rFonts w:ascii="Times New Roman" w:hAnsi="Times New Roman" w:cs="Times New Roman"/>
          <w:iCs/>
          <w:sz w:val="24"/>
          <w:szCs w:val="24"/>
        </w:rPr>
        <w:t xml:space="preserve">Plant inoculation by </w:t>
      </w:r>
      <w:r w:rsidRPr="00BB4573">
        <w:rPr>
          <w:rFonts w:ascii="Times New Roman" w:hAnsi="Times New Roman" w:cs="Times New Roman"/>
          <w:i/>
          <w:iCs/>
          <w:sz w:val="24"/>
          <w:szCs w:val="24"/>
        </w:rPr>
        <w:t xml:space="preserve">L. </w:t>
      </w:r>
      <w:proofErr w:type="spellStart"/>
      <w:r w:rsidRPr="00BB4573">
        <w:rPr>
          <w:rFonts w:ascii="Times New Roman" w:hAnsi="Times New Roman" w:cs="Times New Roman"/>
          <w:i/>
          <w:iCs/>
          <w:sz w:val="24"/>
          <w:szCs w:val="24"/>
        </w:rPr>
        <w:t>maculans</w:t>
      </w:r>
      <w:proofErr w:type="spellEnd"/>
      <w:r w:rsidRPr="001D47AD">
        <w:rPr>
          <w:rFonts w:ascii="Times New Roman" w:hAnsi="Times New Roman" w:cs="Times New Roman"/>
          <w:sz w:val="24"/>
          <w:szCs w:val="24"/>
        </w:rPr>
        <w:t xml:space="preserve"> </w:t>
      </w:r>
      <w:r w:rsidRPr="001D47AD">
        <w:rPr>
          <w:rFonts w:ascii="Times New Roman" w:hAnsi="Times New Roman" w:cs="Times New Roman"/>
          <w:iCs/>
          <w:sz w:val="24"/>
          <w:szCs w:val="24"/>
        </w:rPr>
        <w:t>activated SA and ET phytohormonal pathways in oilseed rape leaves.</w:t>
      </w:r>
    </w:p>
    <w:p w14:paraId="2150A477" w14:textId="77777777" w:rsidR="00E7693B" w:rsidRPr="001D47AD" w:rsidRDefault="00E7693B">
      <w:pPr>
        <w:numPr>
          <w:ilvl w:val="0"/>
          <w:numId w:val="4"/>
        </w:numPr>
        <w:spacing w:line="360" w:lineRule="auto"/>
        <w:jc w:val="both"/>
        <w:rPr>
          <w:rFonts w:ascii="Times New Roman" w:hAnsi="Times New Roman" w:cs="Times New Roman"/>
          <w:sz w:val="24"/>
          <w:szCs w:val="24"/>
        </w:rPr>
      </w:pPr>
      <w:r w:rsidRPr="001D47AD">
        <w:rPr>
          <w:rFonts w:ascii="Times New Roman" w:hAnsi="Times New Roman" w:cs="Times New Roman"/>
          <w:iCs/>
          <w:color w:val="000000"/>
          <w:sz w:val="24"/>
          <w:szCs w:val="24"/>
        </w:rPr>
        <w:t xml:space="preserve">Plant inoculation by </w:t>
      </w:r>
      <w:r w:rsidRPr="00BB4573">
        <w:rPr>
          <w:rFonts w:ascii="Times New Roman" w:hAnsi="Times New Roman" w:cs="Times New Roman"/>
          <w:i/>
          <w:iCs/>
          <w:color w:val="000000"/>
          <w:sz w:val="24"/>
          <w:szCs w:val="24"/>
        </w:rPr>
        <w:t xml:space="preserve">L. </w:t>
      </w:r>
      <w:proofErr w:type="spellStart"/>
      <w:r w:rsidRPr="00BB4573">
        <w:rPr>
          <w:rFonts w:ascii="Times New Roman" w:hAnsi="Times New Roman" w:cs="Times New Roman"/>
          <w:i/>
          <w:iCs/>
          <w:color w:val="000000"/>
          <w:sz w:val="24"/>
          <w:szCs w:val="24"/>
        </w:rPr>
        <w:t>maculans</w:t>
      </w:r>
      <w:proofErr w:type="spellEnd"/>
      <w:r w:rsidRPr="001D47AD">
        <w:rPr>
          <w:rFonts w:ascii="Times New Roman" w:hAnsi="Times New Roman" w:cs="Times New Roman"/>
          <w:color w:val="000000"/>
          <w:sz w:val="24"/>
          <w:szCs w:val="24"/>
        </w:rPr>
        <w:t xml:space="preserve"> </w:t>
      </w:r>
      <w:r w:rsidRPr="001D47AD">
        <w:rPr>
          <w:rFonts w:ascii="Times New Roman" w:hAnsi="Times New Roman" w:cs="Times New Roman"/>
          <w:sz w:val="24"/>
          <w:szCs w:val="24"/>
        </w:rPr>
        <w:t>significantly upregulated the production of aliphatic glucosinolates (AGs) in leaves of oilseed rape 3 days post inoculation compared to non-inoculated leaves, and changed the spectrum of VOCs.</w:t>
      </w:r>
    </w:p>
    <w:p w14:paraId="2150A478" w14:textId="61917CE6" w:rsidR="00E7693B" w:rsidRPr="001D47AD" w:rsidRDefault="00E7693B">
      <w:pPr>
        <w:numPr>
          <w:ilvl w:val="0"/>
          <w:numId w:val="4"/>
        </w:numPr>
        <w:spacing w:line="360" w:lineRule="auto"/>
        <w:jc w:val="both"/>
        <w:rPr>
          <w:rFonts w:ascii="Times New Roman" w:hAnsi="Times New Roman" w:cs="Times New Roman"/>
          <w:sz w:val="24"/>
          <w:szCs w:val="24"/>
        </w:rPr>
      </w:pPr>
      <w:r w:rsidRPr="001D47AD">
        <w:rPr>
          <w:rFonts w:ascii="Times New Roman" w:hAnsi="Times New Roman" w:cs="Times New Roman"/>
          <w:sz w:val="24"/>
          <w:szCs w:val="24"/>
        </w:rPr>
        <w:t xml:space="preserve">The infestation by </w:t>
      </w:r>
      <w:r w:rsidRPr="00BB4573">
        <w:rPr>
          <w:rFonts w:ascii="Times New Roman" w:hAnsi="Times New Roman" w:cs="Times New Roman"/>
          <w:i/>
          <w:iCs/>
          <w:sz w:val="24"/>
          <w:szCs w:val="24"/>
        </w:rPr>
        <w:t xml:space="preserve">P. </w:t>
      </w:r>
      <w:proofErr w:type="spellStart"/>
      <w:r w:rsidRPr="00BB4573">
        <w:rPr>
          <w:rFonts w:ascii="Times New Roman" w:hAnsi="Times New Roman" w:cs="Times New Roman"/>
          <w:i/>
          <w:iCs/>
          <w:sz w:val="24"/>
          <w:szCs w:val="24"/>
        </w:rPr>
        <w:t>xylostella</w:t>
      </w:r>
      <w:proofErr w:type="spellEnd"/>
      <w:r w:rsidRPr="001D47AD">
        <w:rPr>
          <w:rFonts w:ascii="Times New Roman" w:hAnsi="Times New Roman" w:cs="Times New Roman"/>
          <w:sz w:val="24"/>
          <w:szCs w:val="24"/>
        </w:rPr>
        <w:t xml:space="preserve"> caterpillars and a combination of infection and infestation significantly increased the production of indol</w:t>
      </w:r>
      <w:r w:rsidR="00F0718E">
        <w:rPr>
          <w:rFonts w:ascii="Times New Roman" w:hAnsi="Times New Roman" w:cs="Times New Roman"/>
          <w:sz w:val="24"/>
          <w:szCs w:val="24"/>
        </w:rPr>
        <w:t>e</w:t>
      </w:r>
      <w:r w:rsidRPr="001D47AD">
        <w:rPr>
          <w:rFonts w:ascii="Times New Roman" w:hAnsi="Times New Roman" w:cs="Times New Roman"/>
          <w:sz w:val="24"/>
          <w:szCs w:val="24"/>
        </w:rPr>
        <w:t xml:space="preserve"> glucosinolates (IGs) 4 and 8 days post </w:t>
      </w:r>
      <w:r w:rsidRPr="00BB4573">
        <w:rPr>
          <w:rFonts w:ascii="Times New Roman" w:hAnsi="Times New Roman" w:cs="Times New Roman"/>
          <w:i/>
          <w:sz w:val="24"/>
          <w:szCs w:val="24"/>
        </w:rPr>
        <w:t xml:space="preserve">L. </w:t>
      </w:r>
      <w:proofErr w:type="spellStart"/>
      <w:r w:rsidRPr="00BB4573">
        <w:rPr>
          <w:rFonts w:ascii="Times New Roman" w:hAnsi="Times New Roman" w:cs="Times New Roman"/>
          <w:i/>
          <w:sz w:val="24"/>
          <w:szCs w:val="24"/>
        </w:rPr>
        <w:t>maculans</w:t>
      </w:r>
      <w:proofErr w:type="spellEnd"/>
      <w:r w:rsidRPr="001D47AD">
        <w:rPr>
          <w:rFonts w:ascii="Times New Roman" w:hAnsi="Times New Roman" w:cs="Times New Roman"/>
          <w:iCs/>
          <w:sz w:val="24"/>
          <w:szCs w:val="24"/>
        </w:rPr>
        <w:t xml:space="preserve"> </w:t>
      </w:r>
      <w:r w:rsidRPr="001D47AD">
        <w:rPr>
          <w:rFonts w:ascii="Times New Roman" w:hAnsi="Times New Roman" w:cs="Times New Roman"/>
          <w:sz w:val="24"/>
          <w:szCs w:val="24"/>
        </w:rPr>
        <w:t>inoculation compared to control plants.</w:t>
      </w:r>
    </w:p>
    <w:p w14:paraId="2150A479" w14:textId="25716CE8" w:rsidR="00E7693B" w:rsidRPr="001D47AD" w:rsidRDefault="00E7693B" w:rsidP="00E7693B">
      <w:pPr>
        <w:numPr>
          <w:ilvl w:val="0"/>
          <w:numId w:val="4"/>
        </w:numPr>
        <w:spacing w:line="360" w:lineRule="auto"/>
        <w:jc w:val="both"/>
        <w:rPr>
          <w:rFonts w:ascii="Times New Roman" w:hAnsi="Times New Roman" w:cs="Times New Roman"/>
          <w:sz w:val="24"/>
          <w:szCs w:val="24"/>
        </w:rPr>
      </w:pPr>
      <w:r w:rsidRPr="001D47AD">
        <w:rPr>
          <w:rFonts w:ascii="Times New Roman" w:hAnsi="Times New Roman" w:cs="Times New Roman"/>
          <w:sz w:val="24"/>
          <w:szCs w:val="24"/>
        </w:rPr>
        <w:t xml:space="preserve">The application of </w:t>
      </w:r>
      <w:r w:rsidR="00F0718E">
        <w:rPr>
          <w:rFonts w:ascii="Times New Roman" w:hAnsi="Times New Roman" w:cs="Times New Roman"/>
          <w:sz w:val="24"/>
          <w:szCs w:val="24"/>
        </w:rPr>
        <w:t xml:space="preserve">the </w:t>
      </w:r>
      <w:r w:rsidRPr="001D47AD">
        <w:rPr>
          <w:rFonts w:ascii="Times New Roman" w:hAnsi="Times New Roman" w:cs="Times New Roman"/>
          <w:sz w:val="24"/>
          <w:szCs w:val="24"/>
        </w:rPr>
        <w:t xml:space="preserve">elicitor benzothiadiazole (BTH) and </w:t>
      </w:r>
      <w:proofErr w:type="spellStart"/>
      <w:r w:rsidRPr="001D47AD">
        <w:rPr>
          <w:rFonts w:ascii="Times New Roman" w:hAnsi="Times New Roman" w:cs="Times New Roman"/>
          <w:sz w:val="24"/>
          <w:szCs w:val="24"/>
        </w:rPr>
        <w:t>ulvan</w:t>
      </w:r>
      <w:proofErr w:type="spellEnd"/>
      <w:r w:rsidRPr="001D47AD">
        <w:rPr>
          <w:rFonts w:ascii="Times New Roman" w:hAnsi="Times New Roman" w:cs="Times New Roman"/>
          <w:sz w:val="24"/>
          <w:szCs w:val="24"/>
        </w:rPr>
        <w:t xml:space="preserve"> to oilseed rape leaves resulted in a reduction of leaf consumption by </w:t>
      </w:r>
      <w:r w:rsidRPr="00BB4573">
        <w:rPr>
          <w:rFonts w:ascii="Times New Roman" w:hAnsi="Times New Roman" w:cs="Times New Roman"/>
          <w:i/>
          <w:sz w:val="24"/>
          <w:szCs w:val="24"/>
        </w:rPr>
        <w:t xml:space="preserve">P. </w:t>
      </w:r>
      <w:proofErr w:type="spellStart"/>
      <w:r w:rsidRPr="00BB4573">
        <w:rPr>
          <w:rFonts w:ascii="Times New Roman" w:hAnsi="Times New Roman" w:cs="Times New Roman"/>
          <w:i/>
          <w:sz w:val="24"/>
          <w:szCs w:val="24"/>
        </w:rPr>
        <w:t>xylostella</w:t>
      </w:r>
      <w:proofErr w:type="spellEnd"/>
      <w:r w:rsidRPr="001D47AD">
        <w:rPr>
          <w:rFonts w:ascii="Times New Roman" w:hAnsi="Times New Roman" w:cs="Times New Roman"/>
          <w:sz w:val="24"/>
          <w:szCs w:val="24"/>
        </w:rPr>
        <w:t xml:space="preserve"> larvae.</w:t>
      </w:r>
    </w:p>
    <w:p w14:paraId="2150A47A" w14:textId="77777777" w:rsidR="00E7693B" w:rsidRPr="001D47AD" w:rsidRDefault="00E7693B" w:rsidP="00E7693B">
      <w:pPr>
        <w:numPr>
          <w:ilvl w:val="0"/>
          <w:numId w:val="4"/>
        </w:numPr>
        <w:spacing w:line="360" w:lineRule="auto"/>
        <w:jc w:val="both"/>
        <w:rPr>
          <w:rFonts w:ascii="Times New Roman" w:hAnsi="Times New Roman" w:cs="Times New Roman"/>
          <w:sz w:val="24"/>
          <w:szCs w:val="24"/>
        </w:rPr>
      </w:pPr>
      <w:r w:rsidRPr="00BB4573">
        <w:rPr>
          <w:rFonts w:ascii="Times New Roman" w:hAnsi="Times New Roman" w:cs="Times New Roman"/>
          <w:i/>
          <w:iCs/>
          <w:sz w:val="24"/>
          <w:szCs w:val="24"/>
        </w:rPr>
        <w:t xml:space="preserve">B. </w:t>
      </w:r>
      <w:proofErr w:type="spellStart"/>
      <w:r w:rsidRPr="00BB4573">
        <w:rPr>
          <w:rFonts w:ascii="Times New Roman" w:hAnsi="Times New Roman" w:cs="Times New Roman"/>
          <w:i/>
          <w:iCs/>
          <w:sz w:val="24"/>
          <w:szCs w:val="24"/>
        </w:rPr>
        <w:t>brassicae</w:t>
      </w:r>
      <w:proofErr w:type="spellEnd"/>
      <w:r w:rsidRPr="001D47AD">
        <w:rPr>
          <w:rFonts w:ascii="Times New Roman" w:hAnsi="Times New Roman" w:cs="Times New Roman"/>
          <w:sz w:val="24"/>
          <w:szCs w:val="24"/>
        </w:rPr>
        <w:t xml:space="preserve"> significantly upregulated the genes involved in SA, JA, ET and JA/ET </w:t>
      </w:r>
      <w:proofErr w:type="spellStart"/>
      <w:r w:rsidRPr="001D47AD">
        <w:rPr>
          <w:rFonts w:ascii="Times New Roman" w:hAnsi="Times New Roman" w:cs="Times New Roman"/>
          <w:sz w:val="24"/>
          <w:szCs w:val="24"/>
        </w:rPr>
        <w:t>signaling</w:t>
      </w:r>
      <w:proofErr w:type="spellEnd"/>
      <w:r w:rsidRPr="001D47AD">
        <w:rPr>
          <w:rFonts w:ascii="Times New Roman" w:hAnsi="Times New Roman" w:cs="Times New Roman"/>
          <w:sz w:val="24"/>
          <w:szCs w:val="24"/>
        </w:rPr>
        <w:t xml:space="preserve"> around the aphid feeding zones in </w:t>
      </w:r>
      <w:r w:rsidRPr="00BB4573">
        <w:rPr>
          <w:rFonts w:ascii="Times New Roman" w:hAnsi="Times New Roman" w:cs="Times New Roman"/>
          <w:i/>
          <w:sz w:val="24"/>
          <w:szCs w:val="24"/>
        </w:rPr>
        <w:t>Arabidopsis</w:t>
      </w:r>
      <w:r w:rsidRPr="001D47AD">
        <w:rPr>
          <w:rFonts w:ascii="Times New Roman" w:hAnsi="Times New Roman" w:cs="Times New Roman"/>
          <w:sz w:val="24"/>
          <w:szCs w:val="24"/>
        </w:rPr>
        <w:t xml:space="preserve">; interestingly, the transcription of </w:t>
      </w:r>
      <w:r w:rsidRPr="006B61C5">
        <w:rPr>
          <w:rFonts w:ascii="Times New Roman" w:hAnsi="Times New Roman" w:cs="Times New Roman"/>
          <w:i/>
          <w:iCs/>
          <w:sz w:val="24"/>
          <w:szCs w:val="24"/>
        </w:rPr>
        <w:t>PR1</w:t>
      </w:r>
      <w:r w:rsidRPr="001D47AD">
        <w:rPr>
          <w:rFonts w:ascii="Times New Roman" w:hAnsi="Times New Roman" w:cs="Times New Roman"/>
          <w:sz w:val="24"/>
          <w:szCs w:val="24"/>
        </w:rPr>
        <w:t xml:space="preserve"> was over 100 fold higher in aphid-infested leaves at 24 </w:t>
      </w:r>
      <w:proofErr w:type="spellStart"/>
      <w:r w:rsidRPr="001D47AD">
        <w:rPr>
          <w:rFonts w:ascii="Times New Roman" w:hAnsi="Times New Roman" w:cs="Times New Roman"/>
          <w:sz w:val="24"/>
          <w:szCs w:val="24"/>
        </w:rPr>
        <w:t>hpi</w:t>
      </w:r>
      <w:proofErr w:type="spellEnd"/>
      <w:r w:rsidRPr="001D47AD">
        <w:rPr>
          <w:rFonts w:ascii="Times New Roman" w:hAnsi="Times New Roman" w:cs="Times New Roman"/>
          <w:sz w:val="24"/>
          <w:szCs w:val="24"/>
        </w:rPr>
        <w:t xml:space="preserve">, and 1000 fold higher at 48 and 72 </w:t>
      </w:r>
      <w:proofErr w:type="spellStart"/>
      <w:r w:rsidRPr="001D47AD">
        <w:rPr>
          <w:rFonts w:ascii="Times New Roman" w:hAnsi="Times New Roman" w:cs="Times New Roman"/>
          <w:sz w:val="24"/>
          <w:szCs w:val="24"/>
        </w:rPr>
        <w:t>hpi</w:t>
      </w:r>
      <w:proofErr w:type="spellEnd"/>
      <w:r w:rsidRPr="001D47AD">
        <w:rPr>
          <w:rFonts w:ascii="Times New Roman" w:hAnsi="Times New Roman" w:cs="Times New Roman"/>
          <w:sz w:val="24"/>
          <w:szCs w:val="24"/>
        </w:rPr>
        <w:t xml:space="preserve"> compared to its respective control. Additionally, </w:t>
      </w:r>
      <w:r w:rsidRPr="006B61C5">
        <w:rPr>
          <w:rFonts w:ascii="Times New Roman" w:hAnsi="Times New Roman" w:cs="Times New Roman"/>
          <w:i/>
          <w:iCs/>
          <w:sz w:val="24"/>
          <w:szCs w:val="24"/>
        </w:rPr>
        <w:t>PR1</w:t>
      </w:r>
      <w:r w:rsidRPr="001D47AD">
        <w:rPr>
          <w:rFonts w:ascii="Times New Roman" w:hAnsi="Times New Roman" w:cs="Times New Roman"/>
          <w:sz w:val="24"/>
          <w:szCs w:val="24"/>
        </w:rPr>
        <w:t xml:space="preserve"> induction by aphid feeding was confirmed on mutant lines of </w:t>
      </w:r>
      <w:r w:rsidRPr="00BB4573">
        <w:rPr>
          <w:rFonts w:ascii="Times New Roman" w:hAnsi="Times New Roman" w:cs="Times New Roman"/>
          <w:i/>
          <w:iCs/>
          <w:sz w:val="24"/>
          <w:szCs w:val="24"/>
        </w:rPr>
        <w:t>A. thaliana</w:t>
      </w:r>
      <w:r w:rsidRPr="001D47AD">
        <w:rPr>
          <w:rFonts w:ascii="Times New Roman" w:hAnsi="Times New Roman" w:cs="Times New Roman"/>
          <w:sz w:val="24"/>
          <w:szCs w:val="24"/>
        </w:rPr>
        <w:t xml:space="preserve">. Moreover, significant induction of </w:t>
      </w:r>
      <w:r w:rsidRPr="006B61C5">
        <w:rPr>
          <w:rFonts w:ascii="Times New Roman" w:hAnsi="Times New Roman" w:cs="Times New Roman"/>
          <w:i/>
          <w:iCs/>
          <w:sz w:val="24"/>
          <w:szCs w:val="24"/>
        </w:rPr>
        <w:t>JAZ10</w:t>
      </w:r>
      <w:r w:rsidRPr="001D47AD">
        <w:rPr>
          <w:rFonts w:ascii="Times New Roman" w:hAnsi="Times New Roman" w:cs="Times New Roman"/>
          <w:sz w:val="24"/>
          <w:szCs w:val="24"/>
        </w:rPr>
        <w:t xml:space="preserve"> during aphid infestation was observed at all time points (24, 48 and 72 </w:t>
      </w:r>
      <w:proofErr w:type="spellStart"/>
      <w:r w:rsidRPr="001D47AD">
        <w:rPr>
          <w:rFonts w:ascii="Times New Roman" w:hAnsi="Times New Roman" w:cs="Times New Roman"/>
          <w:sz w:val="24"/>
          <w:szCs w:val="24"/>
        </w:rPr>
        <w:t>hpi</w:t>
      </w:r>
      <w:proofErr w:type="spellEnd"/>
      <w:r w:rsidRPr="001D47AD">
        <w:rPr>
          <w:rFonts w:ascii="Times New Roman" w:hAnsi="Times New Roman" w:cs="Times New Roman"/>
          <w:sz w:val="24"/>
          <w:szCs w:val="24"/>
        </w:rPr>
        <w:t xml:space="preserve">) using a fluorescent promoter-reporter line of </w:t>
      </w:r>
      <w:r w:rsidRPr="00BB4573">
        <w:rPr>
          <w:rFonts w:ascii="Times New Roman" w:hAnsi="Times New Roman" w:cs="Times New Roman"/>
          <w:i/>
          <w:iCs/>
          <w:sz w:val="24"/>
          <w:szCs w:val="24"/>
        </w:rPr>
        <w:t>A. thaliana</w:t>
      </w:r>
      <w:r w:rsidRPr="001D47AD">
        <w:rPr>
          <w:rFonts w:ascii="Times New Roman" w:hAnsi="Times New Roman" w:cs="Times New Roman"/>
          <w:sz w:val="24"/>
          <w:szCs w:val="24"/>
        </w:rPr>
        <w:t>.</w:t>
      </w:r>
    </w:p>
    <w:p w14:paraId="2150A47B" w14:textId="77777777" w:rsidR="00E7693B" w:rsidRPr="001D47AD" w:rsidRDefault="00E7693B" w:rsidP="00E7693B">
      <w:pPr>
        <w:numPr>
          <w:ilvl w:val="0"/>
          <w:numId w:val="4"/>
        </w:numPr>
        <w:spacing w:line="360" w:lineRule="auto"/>
        <w:jc w:val="both"/>
        <w:rPr>
          <w:rFonts w:ascii="Times New Roman" w:hAnsi="Times New Roman" w:cs="Times New Roman"/>
          <w:sz w:val="24"/>
          <w:szCs w:val="24"/>
        </w:rPr>
      </w:pPr>
      <w:r w:rsidRPr="001D47AD">
        <w:rPr>
          <w:rFonts w:ascii="Times New Roman" w:hAnsi="Times New Roman" w:cs="Times New Roman"/>
          <w:sz w:val="24"/>
          <w:szCs w:val="24"/>
        </w:rPr>
        <w:t xml:space="preserve">Callose deposition was detected at all timepoints around </w:t>
      </w:r>
      <w:r w:rsidRPr="00BB4573">
        <w:rPr>
          <w:rFonts w:ascii="Times New Roman" w:hAnsi="Times New Roman" w:cs="Times New Roman"/>
          <w:i/>
          <w:sz w:val="24"/>
          <w:szCs w:val="24"/>
        </w:rPr>
        <w:t xml:space="preserve">B. </w:t>
      </w:r>
      <w:proofErr w:type="spellStart"/>
      <w:r w:rsidRPr="00BB4573">
        <w:rPr>
          <w:rFonts w:ascii="Times New Roman" w:hAnsi="Times New Roman" w:cs="Times New Roman"/>
          <w:i/>
          <w:sz w:val="24"/>
          <w:szCs w:val="24"/>
        </w:rPr>
        <w:t>brassicae</w:t>
      </w:r>
      <w:proofErr w:type="spellEnd"/>
      <w:r w:rsidRPr="001D47AD">
        <w:rPr>
          <w:rFonts w:ascii="Times New Roman" w:hAnsi="Times New Roman" w:cs="Times New Roman"/>
          <w:sz w:val="24"/>
          <w:szCs w:val="24"/>
        </w:rPr>
        <w:t xml:space="preserve"> stylet insertions, and it co-localized with </w:t>
      </w:r>
      <w:r w:rsidRPr="006B61C5">
        <w:rPr>
          <w:rFonts w:ascii="Times New Roman" w:hAnsi="Times New Roman" w:cs="Times New Roman"/>
          <w:i/>
          <w:iCs/>
          <w:sz w:val="24"/>
          <w:szCs w:val="24"/>
        </w:rPr>
        <w:t>PR1</w:t>
      </w:r>
      <w:r w:rsidRPr="001D47AD">
        <w:rPr>
          <w:rFonts w:ascii="Times New Roman" w:hAnsi="Times New Roman" w:cs="Times New Roman"/>
          <w:sz w:val="24"/>
          <w:szCs w:val="24"/>
        </w:rPr>
        <w:t xml:space="preserve"> gene activation.</w:t>
      </w:r>
    </w:p>
    <w:p w14:paraId="2150A47C" w14:textId="0B6BC299" w:rsidR="00E7693B" w:rsidRPr="001D47AD" w:rsidRDefault="00E7693B" w:rsidP="00E7693B">
      <w:pPr>
        <w:numPr>
          <w:ilvl w:val="0"/>
          <w:numId w:val="4"/>
        </w:numPr>
        <w:spacing w:line="360" w:lineRule="auto"/>
        <w:jc w:val="both"/>
        <w:rPr>
          <w:rFonts w:ascii="Times New Roman" w:hAnsi="Times New Roman" w:cs="Times New Roman"/>
          <w:sz w:val="24"/>
          <w:szCs w:val="24"/>
        </w:rPr>
      </w:pPr>
      <w:r w:rsidRPr="001D47AD">
        <w:rPr>
          <w:rFonts w:ascii="Times New Roman" w:hAnsi="Times New Roman" w:cs="Times New Roman"/>
          <w:sz w:val="24"/>
          <w:szCs w:val="24"/>
        </w:rPr>
        <w:t xml:space="preserve">Cauliflower root inoculation by </w:t>
      </w:r>
      <w:r w:rsidRPr="00BB4573">
        <w:rPr>
          <w:rFonts w:ascii="Times New Roman" w:hAnsi="Times New Roman" w:cs="Times New Roman"/>
          <w:i/>
          <w:sz w:val="24"/>
          <w:szCs w:val="24"/>
        </w:rPr>
        <w:t xml:space="preserve">M. </w:t>
      </w:r>
      <w:proofErr w:type="spellStart"/>
      <w:r w:rsidRPr="00BB4573">
        <w:rPr>
          <w:rFonts w:ascii="Times New Roman" w:hAnsi="Times New Roman" w:cs="Times New Roman"/>
          <w:i/>
          <w:sz w:val="24"/>
          <w:szCs w:val="24"/>
        </w:rPr>
        <w:t>robertsii</w:t>
      </w:r>
      <w:proofErr w:type="spellEnd"/>
      <w:r w:rsidRPr="001D47AD">
        <w:rPr>
          <w:rFonts w:ascii="Times New Roman" w:hAnsi="Times New Roman" w:cs="Times New Roman"/>
          <w:iCs/>
          <w:sz w:val="24"/>
          <w:szCs w:val="24"/>
        </w:rPr>
        <w:t xml:space="preserve"> </w:t>
      </w:r>
      <w:r w:rsidRPr="001D47AD">
        <w:rPr>
          <w:rFonts w:ascii="Times New Roman" w:hAnsi="Times New Roman" w:cs="Times New Roman"/>
          <w:sz w:val="24"/>
          <w:szCs w:val="24"/>
        </w:rPr>
        <w:t xml:space="preserve">supported the infection by </w:t>
      </w:r>
      <w:r w:rsidRPr="00BB4573">
        <w:rPr>
          <w:rFonts w:ascii="Times New Roman" w:hAnsi="Times New Roman" w:cs="Times New Roman"/>
          <w:i/>
          <w:sz w:val="24"/>
          <w:szCs w:val="24"/>
        </w:rPr>
        <w:t xml:space="preserve">L. </w:t>
      </w:r>
      <w:proofErr w:type="spellStart"/>
      <w:r w:rsidRPr="00BB4573">
        <w:rPr>
          <w:rFonts w:ascii="Times New Roman" w:hAnsi="Times New Roman" w:cs="Times New Roman"/>
          <w:i/>
          <w:sz w:val="24"/>
          <w:szCs w:val="24"/>
        </w:rPr>
        <w:t>maculans</w:t>
      </w:r>
      <w:proofErr w:type="spellEnd"/>
      <w:r w:rsidRPr="001D47AD">
        <w:rPr>
          <w:rFonts w:ascii="Times New Roman" w:hAnsi="Times New Roman" w:cs="Times New Roman"/>
          <w:iCs/>
          <w:sz w:val="24"/>
          <w:szCs w:val="24"/>
        </w:rPr>
        <w:t xml:space="preserve"> </w:t>
      </w:r>
      <w:r w:rsidRPr="001D47AD">
        <w:rPr>
          <w:rFonts w:ascii="Times New Roman" w:hAnsi="Times New Roman" w:cs="Times New Roman"/>
          <w:sz w:val="24"/>
          <w:szCs w:val="24"/>
        </w:rPr>
        <w:t>on the cotyledons of cauliflower compared to the control group; moreover, the infection was stronger in the plants previously treated with 0.05 % Triton X compared to water treatment.</w:t>
      </w:r>
    </w:p>
    <w:p w14:paraId="2150A47D" w14:textId="59708DBB" w:rsidR="00E7693B" w:rsidRDefault="00E7693B" w:rsidP="00BB4573">
      <w:pPr>
        <w:numPr>
          <w:ilvl w:val="0"/>
          <w:numId w:val="4"/>
        </w:numPr>
        <w:spacing w:after="0" w:line="360" w:lineRule="auto"/>
        <w:jc w:val="both"/>
        <w:rPr>
          <w:rFonts w:ascii="Times New Roman" w:hAnsi="Times New Roman" w:cs="Times New Roman"/>
          <w:sz w:val="24"/>
          <w:szCs w:val="24"/>
        </w:rPr>
      </w:pPr>
      <w:r w:rsidRPr="001D47AD">
        <w:rPr>
          <w:rFonts w:ascii="Times New Roman" w:hAnsi="Times New Roman" w:cs="Times New Roman"/>
          <w:sz w:val="24"/>
          <w:szCs w:val="24"/>
        </w:rPr>
        <w:t xml:space="preserve">The infection by </w:t>
      </w:r>
      <w:r w:rsidRPr="00BB4573">
        <w:rPr>
          <w:rFonts w:ascii="Times New Roman" w:hAnsi="Times New Roman" w:cs="Times New Roman"/>
          <w:i/>
          <w:sz w:val="24"/>
          <w:szCs w:val="24"/>
        </w:rPr>
        <w:t xml:space="preserve">L. </w:t>
      </w:r>
      <w:proofErr w:type="spellStart"/>
      <w:r w:rsidRPr="00BB4573">
        <w:rPr>
          <w:rFonts w:ascii="Times New Roman" w:hAnsi="Times New Roman" w:cs="Times New Roman"/>
          <w:i/>
          <w:sz w:val="24"/>
          <w:szCs w:val="24"/>
        </w:rPr>
        <w:t>maculans</w:t>
      </w:r>
      <w:proofErr w:type="spellEnd"/>
      <w:r w:rsidRPr="001D47AD">
        <w:rPr>
          <w:rFonts w:ascii="Times New Roman" w:hAnsi="Times New Roman" w:cs="Times New Roman"/>
          <w:iCs/>
          <w:sz w:val="24"/>
          <w:szCs w:val="24"/>
        </w:rPr>
        <w:t xml:space="preserve"> </w:t>
      </w:r>
      <w:r w:rsidRPr="001D47AD">
        <w:rPr>
          <w:rFonts w:ascii="Times New Roman" w:hAnsi="Times New Roman" w:cs="Times New Roman"/>
          <w:sz w:val="24"/>
          <w:szCs w:val="24"/>
        </w:rPr>
        <w:t xml:space="preserve">activated SA </w:t>
      </w:r>
      <w:proofErr w:type="spellStart"/>
      <w:r w:rsidRPr="001D47AD">
        <w:rPr>
          <w:rFonts w:ascii="Times New Roman" w:hAnsi="Times New Roman" w:cs="Times New Roman"/>
          <w:sz w:val="24"/>
          <w:szCs w:val="24"/>
        </w:rPr>
        <w:t>signaling</w:t>
      </w:r>
      <w:proofErr w:type="spellEnd"/>
      <w:r w:rsidRPr="001D47AD">
        <w:rPr>
          <w:rFonts w:ascii="Times New Roman" w:hAnsi="Times New Roman" w:cs="Times New Roman"/>
          <w:sz w:val="24"/>
          <w:szCs w:val="24"/>
        </w:rPr>
        <w:t xml:space="preserve"> regardless of the root treatment</w:t>
      </w:r>
      <w:r w:rsidR="0098094F">
        <w:rPr>
          <w:rFonts w:ascii="Times New Roman" w:hAnsi="Times New Roman" w:cs="Times New Roman"/>
          <w:sz w:val="24"/>
          <w:szCs w:val="24"/>
        </w:rPr>
        <w:t xml:space="preserve"> (water, </w:t>
      </w:r>
      <w:r w:rsidR="0098094F" w:rsidRPr="001D47AD">
        <w:rPr>
          <w:rFonts w:ascii="Times New Roman" w:hAnsi="Times New Roman" w:cs="Times New Roman"/>
          <w:sz w:val="24"/>
          <w:szCs w:val="24"/>
        </w:rPr>
        <w:t>0.05 % Triton X</w:t>
      </w:r>
      <w:r w:rsidR="0098094F">
        <w:rPr>
          <w:rFonts w:ascii="Times New Roman" w:hAnsi="Times New Roman" w:cs="Times New Roman"/>
          <w:sz w:val="24"/>
          <w:szCs w:val="24"/>
        </w:rPr>
        <w:t xml:space="preserve">, </w:t>
      </w:r>
      <w:r w:rsidR="0098094F">
        <w:rPr>
          <w:rFonts w:ascii="Times New Roman" w:hAnsi="Times New Roman" w:cs="Times New Roman"/>
          <w:i/>
          <w:iCs/>
          <w:sz w:val="24"/>
          <w:szCs w:val="24"/>
        </w:rPr>
        <w:t>M .</w:t>
      </w:r>
      <w:proofErr w:type="spellStart"/>
      <w:r w:rsidR="0098094F">
        <w:rPr>
          <w:rFonts w:ascii="Times New Roman" w:hAnsi="Times New Roman" w:cs="Times New Roman"/>
          <w:i/>
          <w:iCs/>
          <w:sz w:val="24"/>
          <w:szCs w:val="24"/>
        </w:rPr>
        <w:t>robertsii</w:t>
      </w:r>
      <w:proofErr w:type="spellEnd"/>
      <w:r w:rsidR="0098094F">
        <w:rPr>
          <w:rFonts w:ascii="Times New Roman" w:hAnsi="Times New Roman" w:cs="Times New Roman"/>
          <w:sz w:val="24"/>
          <w:szCs w:val="24"/>
        </w:rPr>
        <w:t>)</w:t>
      </w:r>
      <w:r w:rsidRPr="001D47AD">
        <w:rPr>
          <w:rFonts w:ascii="Times New Roman" w:hAnsi="Times New Roman" w:cs="Times New Roman"/>
          <w:sz w:val="24"/>
          <w:szCs w:val="24"/>
        </w:rPr>
        <w:t xml:space="preserve">, and genes involved in ET </w:t>
      </w:r>
      <w:proofErr w:type="spellStart"/>
      <w:r w:rsidRPr="001D47AD">
        <w:rPr>
          <w:rFonts w:ascii="Times New Roman" w:hAnsi="Times New Roman" w:cs="Times New Roman"/>
          <w:sz w:val="24"/>
          <w:szCs w:val="24"/>
        </w:rPr>
        <w:t>signaling</w:t>
      </w:r>
      <w:proofErr w:type="spellEnd"/>
      <w:r w:rsidRPr="001D47AD">
        <w:rPr>
          <w:rFonts w:ascii="Times New Roman" w:hAnsi="Times New Roman" w:cs="Times New Roman"/>
          <w:sz w:val="24"/>
          <w:szCs w:val="24"/>
        </w:rPr>
        <w:t xml:space="preserve"> and oxidative stress responses were upregulated only with water treatment on the roots. However, the combination of </w:t>
      </w:r>
      <w:r w:rsidRPr="00BB4573">
        <w:rPr>
          <w:rFonts w:ascii="Times New Roman" w:hAnsi="Times New Roman" w:cs="Times New Roman"/>
          <w:i/>
          <w:sz w:val="24"/>
          <w:szCs w:val="24"/>
        </w:rPr>
        <w:t xml:space="preserve">M. </w:t>
      </w:r>
      <w:proofErr w:type="spellStart"/>
      <w:r w:rsidRPr="00BB4573">
        <w:rPr>
          <w:rFonts w:ascii="Times New Roman" w:hAnsi="Times New Roman" w:cs="Times New Roman"/>
          <w:i/>
          <w:sz w:val="24"/>
          <w:szCs w:val="24"/>
        </w:rPr>
        <w:t>robertsii</w:t>
      </w:r>
      <w:proofErr w:type="spellEnd"/>
      <w:r w:rsidRPr="001D47AD">
        <w:rPr>
          <w:rFonts w:ascii="Times New Roman" w:hAnsi="Times New Roman" w:cs="Times New Roman"/>
          <w:iCs/>
          <w:sz w:val="24"/>
          <w:szCs w:val="24"/>
        </w:rPr>
        <w:t xml:space="preserve"> </w:t>
      </w:r>
      <w:r w:rsidRPr="001D47AD">
        <w:rPr>
          <w:rFonts w:ascii="Times New Roman" w:hAnsi="Times New Roman" w:cs="Times New Roman"/>
          <w:sz w:val="24"/>
          <w:szCs w:val="24"/>
        </w:rPr>
        <w:t xml:space="preserve">or 0.05 % Triton X with </w:t>
      </w:r>
      <w:r w:rsidRPr="00BB4573">
        <w:rPr>
          <w:rFonts w:ascii="Times New Roman" w:hAnsi="Times New Roman" w:cs="Times New Roman"/>
          <w:i/>
          <w:sz w:val="24"/>
          <w:szCs w:val="24"/>
        </w:rPr>
        <w:t xml:space="preserve">L. </w:t>
      </w:r>
      <w:proofErr w:type="spellStart"/>
      <w:r w:rsidRPr="00BB4573">
        <w:rPr>
          <w:rFonts w:ascii="Times New Roman" w:hAnsi="Times New Roman" w:cs="Times New Roman"/>
          <w:i/>
          <w:sz w:val="24"/>
          <w:szCs w:val="24"/>
        </w:rPr>
        <w:t>maculans</w:t>
      </w:r>
      <w:proofErr w:type="spellEnd"/>
      <w:r w:rsidRPr="001D47AD">
        <w:rPr>
          <w:rFonts w:ascii="Times New Roman" w:hAnsi="Times New Roman" w:cs="Times New Roman"/>
          <w:iCs/>
          <w:sz w:val="24"/>
          <w:szCs w:val="24"/>
        </w:rPr>
        <w:t xml:space="preserve"> </w:t>
      </w:r>
      <w:r w:rsidRPr="001D47AD">
        <w:rPr>
          <w:rFonts w:ascii="Times New Roman" w:hAnsi="Times New Roman" w:cs="Times New Roman"/>
          <w:sz w:val="24"/>
          <w:szCs w:val="24"/>
        </w:rPr>
        <w:t xml:space="preserve">activated JA </w:t>
      </w:r>
      <w:proofErr w:type="spellStart"/>
      <w:r w:rsidRPr="001D47AD">
        <w:rPr>
          <w:rFonts w:ascii="Times New Roman" w:hAnsi="Times New Roman" w:cs="Times New Roman"/>
          <w:sz w:val="24"/>
          <w:szCs w:val="24"/>
        </w:rPr>
        <w:t>signaling</w:t>
      </w:r>
      <w:proofErr w:type="spellEnd"/>
      <w:r w:rsidRPr="001D47AD">
        <w:rPr>
          <w:rFonts w:ascii="Times New Roman" w:hAnsi="Times New Roman" w:cs="Times New Roman"/>
          <w:sz w:val="24"/>
          <w:szCs w:val="24"/>
        </w:rPr>
        <w:t xml:space="preserve"> and downregulated genes involved in ET </w:t>
      </w:r>
      <w:proofErr w:type="spellStart"/>
      <w:r w:rsidRPr="001D47AD">
        <w:rPr>
          <w:rFonts w:ascii="Times New Roman" w:hAnsi="Times New Roman" w:cs="Times New Roman"/>
          <w:sz w:val="24"/>
          <w:szCs w:val="24"/>
        </w:rPr>
        <w:t>signaling</w:t>
      </w:r>
      <w:proofErr w:type="spellEnd"/>
      <w:r w:rsidRPr="001D47AD">
        <w:rPr>
          <w:rFonts w:ascii="Times New Roman" w:hAnsi="Times New Roman" w:cs="Times New Roman"/>
          <w:sz w:val="24"/>
          <w:szCs w:val="24"/>
        </w:rPr>
        <w:t xml:space="preserve"> and oxidative stress, which might play a role in plant susceptibility to </w:t>
      </w:r>
      <w:r w:rsidRPr="00BB4573">
        <w:rPr>
          <w:rFonts w:ascii="Times New Roman" w:hAnsi="Times New Roman" w:cs="Times New Roman"/>
          <w:i/>
          <w:sz w:val="24"/>
          <w:szCs w:val="24"/>
        </w:rPr>
        <w:t xml:space="preserve">L. </w:t>
      </w:r>
      <w:proofErr w:type="spellStart"/>
      <w:r w:rsidRPr="00BB4573">
        <w:rPr>
          <w:rFonts w:ascii="Times New Roman" w:hAnsi="Times New Roman" w:cs="Times New Roman"/>
          <w:i/>
          <w:sz w:val="24"/>
          <w:szCs w:val="24"/>
        </w:rPr>
        <w:t>maculans</w:t>
      </w:r>
      <w:proofErr w:type="spellEnd"/>
      <w:r w:rsidRPr="001D47AD">
        <w:rPr>
          <w:rFonts w:ascii="Times New Roman" w:hAnsi="Times New Roman" w:cs="Times New Roman"/>
          <w:iCs/>
          <w:sz w:val="24"/>
          <w:szCs w:val="24"/>
        </w:rPr>
        <w:t xml:space="preserve"> </w:t>
      </w:r>
      <w:r w:rsidRPr="001D47AD">
        <w:rPr>
          <w:rFonts w:ascii="Times New Roman" w:hAnsi="Times New Roman" w:cs="Times New Roman"/>
          <w:sz w:val="24"/>
          <w:szCs w:val="24"/>
        </w:rPr>
        <w:t>infection.</w:t>
      </w:r>
    </w:p>
    <w:p w14:paraId="57198EA6" w14:textId="77777777" w:rsidR="00BB4573" w:rsidRDefault="00BB4573" w:rsidP="00BB4573">
      <w:pPr>
        <w:spacing w:after="0" w:line="360" w:lineRule="auto"/>
        <w:jc w:val="both"/>
        <w:rPr>
          <w:rFonts w:ascii="Times New Roman" w:hAnsi="Times New Roman" w:cs="Times New Roman"/>
          <w:sz w:val="24"/>
          <w:szCs w:val="24"/>
        </w:rPr>
      </w:pPr>
    </w:p>
    <w:p w14:paraId="462F3742" w14:textId="4015118B" w:rsidR="00BB4573" w:rsidRPr="0064516A" w:rsidRDefault="00BB4573" w:rsidP="0064516A">
      <w:pPr>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T</w:t>
      </w:r>
      <w:r w:rsidRPr="00BB4573">
        <w:rPr>
          <w:rFonts w:ascii="Times New Roman" w:hAnsi="Times New Roman" w:cs="Times New Roman"/>
          <w:color w:val="000000"/>
          <w:sz w:val="24"/>
          <w:szCs w:val="24"/>
        </w:rPr>
        <w:t xml:space="preserve">he insights gained from this research hold the potential to inform the development of innovative agricultural practices that optimize plant interactions with both antagonists and mutualists, </w:t>
      </w:r>
      <w:r w:rsidR="0064516A">
        <w:rPr>
          <w:rFonts w:ascii="Times New Roman" w:hAnsi="Times New Roman" w:cs="Times New Roman"/>
          <w:color w:val="000000"/>
          <w:sz w:val="24"/>
          <w:szCs w:val="24"/>
        </w:rPr>
        <w:t xml:space="preserve">as well as potential resistance inducers, </w:t>
      </w:r>
      <w:r w:rsidRPr="00BB4573">
        <w:rPr>
          <w:rFonts w:ascii="Times New Roman" w:hAnsi="Times New Roman" w:cs="Times New Roman"/>
          <w:color w:val="000000"/>
          <w:sz w:val="24"/>
          <w:szCs w:val="24"/>
        </w:rPr>
        <w:t>fostering resilient and sustainable agricultural systems. By advancing our understanding of these dynamic relationships, we can strive towards a future where agriculture coexists harmoniously with nature, ensuring food security, environmental sustainability, and ecosystem resilience.</w:t>
      </w:r>
      <w:r w:rsidR="002D70AD">
        <w:rPr>
          <w:rFonts w:ascii="Times New Roman" w:hAnsi="Times New Roman" w:cs="Times New Roman"/>
          <w:color w:val="000000"/>
          <w:sz w:val="24"/>
          <w:szCs w:val="24"/>
        </w:rPr>
        <w:t xml:space="preserve"> However, one has to keep in mind that the biological complexity of such plant interactions makes achieving these goals highly challenging.</w:t>
      </w:r>
    </w:p>
    <w:p w14:paraId="2150A47E" w14:textId="77777777" w:rsidR="00E7693B" w:rsidRPr="005B6C8D" w:rsidRDefault="00E7693B">
      <w:pPr>
        <w:rPr>
          <w:rFonts w:ascii="Times New Roman" w:hAnsi="Times New Roman" w:cs="Times New Roman"/>
          <w:sz w:val="24"/>
          <w:szCs w:val="24"/>
        </w:rPr>
      </w:pPr>
      <w:r w:rsidRPr="005B6C8D">
        <w:rPr>
          <w:rFonts w:ascii="Times New Roman" w:hAnsi="Times New Roman" w:cs="Times New Roman"/>
          <w:sz w:val="24"/>
          <w:szCs w:val="24"/>
        </w:rPr>
        <w:br w:type="page"/>
      </w:r>
    </w:p>
    <w:p w14:paraId="2150A47F" w14:textId="77777777" w:rsidR="00E7693B" w:rsidRPr="00E7693B" w:rsidRDefault="00E7693B" w:rsidP="001D47AD">
      <w:pPr>
        <w:pStyle w:val="Heading1"/>
      </w:pPr>
      <w:bookmarkStart w:id="90" w:name="_Toc167977656"/>
      <w:r w:rsidRPr="00E7693B">
        <w:t>References</w:t>
      </w:r>
      <w:bookmarkEnd w:id="90"/>
    </w:p>
    <w:p w14:paraId="2150A480" w14:textId="77777777" w:rsidR="00E7693B" w:rsidRPr="001D47AD" w:rsidRDefault="00E7693B" w:rsidP="001D47AD">
      <w:pPr>
        <w:spacing w:after="0" w:line="360" w:lineRule="auto"/>
        <w:jc w:val="both"/>
        <w:rPr>
          <w:rFonts w:ascii="Times New Roman" w:hAnsi="Times New Roman" w:cs="Times New Roman"/>
          <w:sz w:val="24"/>
          <w:szCs w:val="24"/>
        </w:rPr>
      </w:pPr>
    </w:p>
    <w:p w14:paraId="72C035EC" w14:textId="77777777" w:rsidR="00C46636" w:rsidRPr="00D6094E" w:rsidRDefault="00E7693B"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419"/>
        </w:rPr>
        <w:fldChar w:fldCharType="begin"/>
      </w:r>
      <w:r w:rsidR="00323FAE" w:rsidRPr="00D6094E">
        <w:rPr>
          <w:rFonts w:ascii="Times New Roman" w:hAnsi="Times New Roman" w:cs="Times New Roman"/>
          <w:sz w:val="24"/>
          <w:szCs w:val="24"/>
        </w:rPr>
        <w:instrText xml:space="preserve"> ADDIN ZOTERO_BIBL {"uncited":[],"omitted":[],"custom":[]} CSL_BIBLIOGRAPHY </w:instrText>
      </w:r>
      <w:r w:rsidRPr="00D6094E">
        <w:rPr>
          <w:rFonts w:ascii="Times New Roman" w:hAnsi="Times New Roman" w:cs="Times New Roman"/>
          <w:sz w:val="24"/>
          <w:szCs w:val="24"/>
          <w:lang w:val="es-419"/>
        </w:rPr>
        <w:fldChar w:fldCharType="separate"/>
      </w:r>
      <w:r w:rsidR="00C46636" w:rsidRPr="00D6094E">
        <w:rPr>
          <w:rFonts w:ascii="Times New Roman" w:hAnsi="Times New Roman" w:cs="Times New Roman"/>
          <w:sz w:val="24"/>
          <w:szCs w:val="24"/>
        </w:rPr>
        <w:t>Agarwal, P.K., Dangariya, M., Agarwal, P., 2021. Seaweed extracts: Potential biodegradable, environmentally friendly resources for regulating plant defence. Algal Research 58, 102363. https://doi.org/10.1016/j.algal.2021.102363</w:t>
      </w:r>
    </w:p>
    <w:p w14:paraId="52E189C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Agrios, G.N., 2005. Plant Pathology. Elsevier.</w:t>
      </w:r>
    </w:p>
    <w:p w14:paraId="3170936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Ahmad, I., Jiménez-Gasco, M. del M., Luthe, D.S., Barbercheck, M.E., 2022. Endophytic </w:t>
      </w:r>
      <w:r w:rsidRPr="00D6094E">
        <w:rPr>
          <w:rFonts w:ascii="Times New Roman" w:hAnsi="Times New Roman" w:cs="Times New Roman"/>
          <w:i/>
          <w:iCs/>
          <w:sz w:val="24"/>
          <w:szCs w:val="24"/>
        </w:rPr>
        <w:t>Metarhizium robertsii</w:t>
      </w:r>
      <w:r w:rsidRPr="00D6094E">
        <w:rPr>
          <w:rFonts w:ascii="Times New Roman" w:hAnsi="Times New Roman" w:cs="Times New Roman"/>
          <w:sz w:val="24"/>
          <w:szCs w:val="24"/>
        </w:rPr>
        <w:t xml:space="preserve"> suppresses the phytopathogen, </w:t>
      </w:r>
      <w:r w:rsidRPr="00D6094E">
        <w:rPr>
          <w:rFonts w:ascii="Times New Roman" w:hAnsi="Times New Roman" w:cs="Times New Roman"/>
          <w:i/>
          <w:iCs/>
          <w:sz w:val="24"/>
          <w:szCs w:val="24"/>
        </w:rPr>
        <w:t>Cochliobolus heterostrophus</w:t>
      </w:r>
      <w:r w:rsidRPr="00D6094E">
        <w:rPr>
          <w:rFonts w:ascii="Times New Roman" w:hAnsi="Times New Roman" w:cs="Times New Roman"/>
          <w:sz w:val="24"/>
          <w:szCs w:val="24"/>
        </w:rPr>
        <w:t xml:space="preserve"> and modulates maize defenses. PLoS ONE 17, e0272944. https://doi.org/10.1371/journal.pone.0272944</w:t>
      </w:r>
    </w:p>
    <w:p w14:paraId="46D3C204"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Ahmad, I., Jiménez-Gasco, M. del M., Luthe, D.S., Barbercheck, M.E., 2020a. Systemic colonization by </w:t>
      </w:r>
      <w:r w:rsidRPr="00D6094E">
        <w:rPr>
          <w:rFonts w:ascii="Times New Roman" w:hAnsi="Times New Roman" w:cs="Times New Roman"/>
          <w:i/>
          <w:iCs/>
          <w:sz w:val="24"/>
          <w:szCs w:val="24"/>
        </w:rPr>
        <w:t>Metarhizium robertsii</w:t>
      </w:r>
      <w:r w:rsidRPr="00D6094E">
        <w:rPr>
          <w:rFonts w:ascii="Times New Roman" w:hAnsi="Times New Roman" w:cs="Times New Roman"/>
          <w:sz w:val="24"/>
          <w:szCs w:val="24"/>
        </w:rPr>
        <w:t xml:space="preserve"> enhances cover crop growth. JoF 6, 64. https://doi.org/10.3390/jof6020064</w:t>
      </w:r>
    </w:p>
    <w:p w14:paraId="44C6E70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Ahmad, I., Jiménez-Gasco, M. del M., Luthe, D.S., Shakeel, S.N., Barbercheck, M.E., 2020b. Endophytic </w:t>
      </w:r>
      <w:r w:rsidRPr="00D6094E">
        <w:rPr>
          <w:rFonts w:ascii="Times New Roman" w:hAnsi="Times New Roman" w:cs="Times New Roman"/>
          <w:i/>
          <w:iCs/>
          <w:sz w:val="24"/>
          <w:szCs w:val="24"/>
        </w:rPr>
        <w:t>Metarhizium robertsii</w:t>
      </w:r>
      <w:r w:rsidRPr="00D6094E">
        <w:rPr>
          <w:rFonts w:ascii="Times New Roman" w:hAnsi="Times New Roman" w:cs="Times New Roman"/>
          <w:sz w:val="24"/>
          <w:szCs w:val="24"/>
        </w:rPr>
        <w:t xml:space="preserve"> promotes maize growth, suppresses insect growth, and alters plant defense gene expression. Biological Control 144, 104167. https://doi.org/10.1016/j.biocontrol.2019.104167</w:t>
      </w:r>
    </w:p>
    <w:p w14:paraId="1D98B2C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Akandeh, M., Kocheili, F., Soufbaf, M., Rasekh, A., Mozafari, K., 2016. Effect of canola physical mutation on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xml:space="preserve"> (L.) life table. Journal of Agricultural Science and Technology 18, 985–998.</w:t>
      </w:r>
    </w:p>
    <w:p w14:paraId="060F7CF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Andréasson, E., Jørgensen, L.B., Höglund, A.-S., Rask, L., Meijer, J., 2001. Different myrosinase and idioblast distribution in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and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Plant Physiology 127, 1750–1763. https://doi.org/10.1104/pp.010334</w:t>
      </w:r>
    </w:p>
    <w:p w14:paraId="1B39250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Ansan-Melayah, D., Balesdent, M.H., Buée, M., Rouxel, T., 1995. Genetic characterization of </w:t>
      </w:r>
      <w:r w:rsidRPr="00D6094E">
        <w:rPr>
          <w:rFonts w:ascii="Times New Roman" w:hAnsi="Times New Roman" w:cs="Times New Roman"/>
          <w:i/>
          <w:iCs/>
          <w:sz w:val="24"/>
          <w:szCs w:val="24"/>
        </w:rPr>
        <w:t>AvrLm1,</w:t>
      </w:r>
      <w:r w:rsidRPr="00D6094E">
        <w:rPr>
          <w:rFonts w:ascii="Times New Roman" w:hAnsi="Times New Roman" w:cs="Times New Roman"/>
          <w:sz w:val="24"/>
          <w:szCs w:val="24"/>
        </w:rPr>
        <w:t xml:space="preserve"> the first avirulence gene of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Phytopathology 85, 1525. https://doi.org/10.1094/Phyto-85-1525</w:t>
      </w:r>
    </w:p>
    <w:p w14:paraId="7A4E8AE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Ashmarina, L.F., Sadokhina, T.A., Tyurin, M., Danilovb, V.P., Glupov, V., 2022. Effect of entomopathogenic fungus </w:t>
      </w:r>
      <w:r w:rsidRPr="00D6094E">
        <w:rPr>
          <w:rFonts w:ascii="Times New Roman" w:hAnsi="Times New Roman" w:cs="Times New Roman"/>
          <w:i/>
          <w:iCs/>
          <w:sz w:val="24"/>
          <w:szCs w:val="24"/>
        </w:rPr>
        <w:t>Metarhizium robertsii</w:t>
      </w:r>
      <w:r w:rsidRPr="00D6094E">
        <w:rPr>
          <w:rFonts w:ascii="Times New Roman" w:hAnsi="Times New Roman" w:cs="Times New Roman"/>
          <w:sz w:val="24"/>
          <w:szCs w:val="24"/>
        </w:rPr>
        <w:t xml:space="preserve"> on disease incidence of Faba beans (</w:t>
      </w:r>
      <w:r w:rsidRPr="00D6094E">
        <w:rPr>
          <w:rFonts w:ascii="Times New Roman" w:hAnsi="Times New Roman" w:cs="Times New Roman"/>
          <w:i/>
          <w:iCs/>
          <w:sz w:val="24"/>
          <w:szCs w:val="24"/>
        </w:rPr>
        <w:t>Vicia faba</w:t>
      </w:r>
      <w:r w:rsidRPr="00D6094E">
        <w:rPr>
          <w:rFonts w:ascii="Times New Roman" w:hAnsi="Times New Roman" w:cs="Times New Roman"/>
          <w:sz w:val="24"/>
          <w:szCs w:val="24"/>
        </w:rPr>
        <w:t xml:space="preserve"> L.) in field conditions (preprint). Plant Biology. https://doi.org/10.1101/2022.06.11.495633</w:t>
      </w:r>
    </w:p>
    <w:p w14:paraId="3234C34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Augustine, R., Bisht, N.C., 2015. Biofortification of oilseed </w:t>
      </w:r>
      <w:r w:rsidRPr="00D6094E">
        <w:rPr>
          <w:rFonts w:ascii="Times New Roman" w:hAnsi="Times New Roman" w:cs="Times New Roman"/>
          <w:i/>
          <w:iCs/>
          <w:sz w:val="24"/>
          <w:szCs w:val="24"/>
        </w:rPr>
        <w:t>Brassica juncea</w:t>
      </w:r>
      <w:r w:rsidRPr="00D6094E">
        <w:rPr>
          <w:rFonts w:ascii="Times New Roman" w:hAnsi="Times New Roman" w:cs="Times New Roman"/>
          <w:sz w:val="24"/>
          <w:szCs w:val="24"/>
        </w:rPr>
        <w:t xml:space="preserve"> with the anti-cancer compound glucoraphanin by suppressing </w:t>
      </w:r>
      <w:r w:rsidRPr="00D6094E">
        <w:rPr>
          <w:rFonts w:ascii="Times New Roman" w:hAnsi="Times New Roman" w:cs="Times New Roman"/>
          <w:i/>
          <w:iCs/>
          <w:sz w:val="24"/>
          <w:szCs w:val="24"/>
        </w:rPr>
        <w:t>GSL-ALK</w:t>
      </w:r>
      <w:r w:rsidRPr="00D6094E">
        <w:rPr>
          <w:rFonts w:ascii="Times New Roman" w:hAnsi="Times New Roman" w:cs="Times New Roman"/>
          <w:sz w:val="24"/>
          <w:szCs w:val="24"/>
        </w:rPr>
        <w:t xml:space="preserve"> gene family. Sci Rep 5, 18005. https://doi.org/10.1038/srep18005</w:t>
      </w:r>
    </w:p>
    <w:p w14:paraId="2D3517BF"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Babic, B., Poisson, A., Darwish, S., Lacasse, J., Merkx-Jacques, M., Despland, E., Bede, J.C., 2008. Influence of dietary nutritional composition on caterpillar salivary enzyme activity. Journal of Insect Physiology 54, 286–296. https://doi.org/10.1016/j.jinsphys.2007.09.010</w:t>
      </w:r>
    </w:p>
    <w:p w14:paraId="68DCCBC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Badenes-Perez, F.R., Gershenzon, J., Heckel, D.G., 2014. Insect attraction versus plant defense: young leaves high in glucosinolates stimulate oviposition by a specialist herbivore despite poor larval survival due to high saponin content. PLoS ONE 9, e95766. https://doi.org/10.1371/journal.pone.0095766</w:t>
      </w:r>
    </w:p>
    <w:p w14:paraId="7981B55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Balesdent, M.H., Attard, A., Kühn, M.L., Rouxel, T., 2002. New avirulence genes in the phytopathogenic fungus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Phytopathology® 92, 1122–1133. https://doi.org/10.1094/PHYTO.2002.92.10.1122</w:t>
      </w:r>
    </w:p>
    <w:p w14:paraId="001742C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Bamisile, B.S., Dash, C.K., Akutse, K.S., Keppanan, R., Afolabi, O.G., Hussain, M., Qasim, M., Wang, L., 2018. Prospects of endophytic fungal entomopathogens as biocontrol and plant growth promoting agents: An insight on how artificial inoculation methods affect endophytic colonization of host plants. Microbiological Research 217, 34–50. https://doi.org/10.1016/j.micres.2018.08.016</w:t>
      </w:r>
    </w:p>
    <w:p w14:paraId="176949D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Barelli, L., Moonjely, S., Behie, S.W., Bidochka, M.J., 2016. Fungi with multifunctional lifestyles: endophytic insect pathogenic fungi. Plant Mol Biol 90, 657–664. https://doi.org/10.1007/s11103-015-0413-z</w:t>
      </w:r>
    </w:p>
    <w:p w14:paraId="3D41D75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Barelli, L., Moreira, C.C., Bidochka, M.J., 2018. Initial stages of endophytic colonization by </w:t>
      </w:r>
      <w:r w:rsidRPr="00D6094E">
        <w:rPr>
          <w:rFonts w:ascii="Times New Roman" w:hAnsi="Times New Roman" w:cs="Times New Roman"/>
          <w:i/>
          <w:iCs/>
          <w:sz w:val="24"/>
          <w:szCs w:val="24"/>
        </w:rPr>
        <w:t>Metarhizium</w:t>
      </w:r>
      <w:r w:rsidRPr="00D6094E">
        <w:rPr>
          <w:rFonts w:ascii="Times New Roman" w:hAnsi="Times New Roman" w:cs="Times New Roman"/>
          <w:sz w:val="24"/>
          <w:szCs w:val="24"/>
        </w:rPr>
        <w:t xml:space="preserve"> involves rhizoplane colonization. Microbiology 164, 1531–1540. https://doi.org/10.1099/mic.0.000729</w:t>
      </w:r>
    </w:p>
    <w:p w14:paraId="21EF8BE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Bates, D., Mächler, M., Bolker, B., Walker, S., 2015. Fitting linear mixed-effects models using </w:t>
      </w:r>
      <w:r w:rsidRPr="00D6094E">
        <w:rPr>
          <w:rFonts w:ascii="Times New Roman" w:hAnsi="Times New Roman" w:cs="Times New Roman"/>
          <w:b/>
          <w:bCs/>
          <w:sz w:val="24"/>
          <w:szCs w:val="24"/>
        </w:rPr>
        <w:t>lme4</w:t>
      </w:r>
      <w:r w:rsidRPr="00D6094E">
        <w:rPr>
          <w:rFonts w:ascii="Times New Roman" w:hAnsi="Times New Roman" w:cs="Times New Roman"/>
          <w:sz w:val="24"/>
          <w:szCs w:val="24"/>
        </w:rPr>
        <w:t>. J. Stat. Soft. 67. https://doi.org/10.18637/jss.v067.i01</w:t>
      </w:r>
    </w:p>
    <w:p w14:paraId="7DD7F0D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Batta, Y.A., 2013. Efficacy of endophytic and applied </w:t>
      </w:r>
      <w:r w:rsidRPr="00D6094E">
        <w:rPr>
          <w:rFonts w:ascii="Times New Roman" w:hAnsi="Times New Roman" w:cs="Times New Roman"/>
          <w:i/>
          <w:iCs/>
          <w:sz w:val="24"/>
          <w:szCs w:val="24"/>
        </w:rPr>
        <w:t>Metarhizium anisopliae</w:t>
      </w:r>
      <w:r w:rsidRPr="00D6094E">
        <w:rPr>
          <w:rFonts w:ascii="Times New Roman" w:hAnsi="Times New Roman" w:cs="Times New Roman"/>
          <w:sz w:val="24"/>
          <w:szCs w:val="24"/>
        </w:rPr>
        <w:t xml:space="preserve"> (Metch.) Sorokin (Ascomycota: Hypocreales) against larvae of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xml:space="preserve"> L. (Yponomeutidae: Lepidoptera) infesting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xml:space="preserve"> plants. Crop Protection 44, 128–134. https://doi.org/10.1016/j.cropro.2012.11.001</w:t>
      </w:r>
    </w:p>
    <w:p w14:paraId="6040527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Baur, R., Haribal, M., Renwick, J.A.A., Städler, E., 1998. Contact chemoreception related to host selection and oviposition behaviour in the monarch butterfly, </w:t>
      </w:r>
      <w:r w:rsidRPr="00D6094E">
        <w:rPr>
          <w:rFonts w:ascii="Times New Roman" w:hAnsi="Times New Roman" w:cs="Times New Roman"/>
          <w:i/>
          <w:iCs/>
          <w:sz w:val="24"/>
          <w:szCs w:val="24"/>
        </w:rPr>
        <w:t>Danaus plexippus</w:t>
      </w:r>
      <w:r w:rsidRPr="00D6094E">
        <w:rPr>
          <w:rFonts w:ascii="Times New Roman" w:hAnsi="Times New Roman" w:cs="Times New Roman"/>
          <w:sz w:val="24"/>
          <w:szCs w:val="24"/>
        </w:rPr>
        <w:t>. Physiological Entomology 23, 7–19. https://doi.org/10.1046/j.1365-3032.1998.2310007.x</w:t>
      </w:r>
    </w:p>
    <w:p w14:paraId="1EA83C3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Beckers, G.J.M., Jaskiewicz, M., Liu, Y., Underwood, W.R., He, S.Y., Zhang, S., Conrath, U., 2009. Mitogen-activated protein kinases 3 and 6 are required for full priming of stress responses in </w:t>
      </w:r>
      <w:r w:rsidRPr="00D6094E">
        <w:rPr>
          <w:rFonts w:ascii="Times New Roman" w:hAnsi="Times New Roman" w:cs="Times New Roman"/>
          <w:i/>
          <w:iCs/>
          <w:sz w:val="24"/>
          <w:szCs w:val="24"/>
        </w:rPr>
        <w:t>Arabidopsis thaliana</w:t>
      </w:r>
      <w:r w:rsidRPr="00D6094E">
        <w:rPr>
          <w:rFonts w:ascii="Times New Roman" w:hAnsi="Times New Roman" w:cs="Times New Roman"/>
          <w:sz w:val="24"/>
          <w:szCs w:val="24"/>
        </w:rPr>
        <w:t>. The Plant Cell 21, 944–953. https://doi.org/10.1105/tpc.108.062158</w:t>
      </w:r>
    </w:p>
    <w:p w14:paraId="371B623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Behie, S.W., Jones, S.J., Bidochka, M.J., 2015. Plant tissue localization of the endophytic insect pathogenic fungi </w:t>
      </w:r>
      <w:r w:rsidRPr="00D6094E">
        <w:rPr>
          <w:rFonts w:ascii="Times New Roman" w:hAnsi="Times New Roman" w:cs="Times New Roman"/>
          <w:i/>
          <w:iCs/>
          <w:sz w:val="24"/>
          <w:szCs w:val="24"/>
        </w:rPr>
        <w:t>Metarhizium</w:t>
      </w:r>
      <w:r w:rsidRPr="00D6094E">
        <w:rPr>
          <w:rFonts w:ascii="Times New Roman" w:hAnsi="Times New Roman" w:cs="Times New Roman"/>
          <w:sz w:val="24"/>
          <w:szCs w:val="24"/>
        </w:rPr>
        <w:t xml:space="preserve"> and </w:t>
      </w:r>
      <w:r w:rsidRPr="00D6094E">
        <w:rPr>
          <w:rFonts w:ascii="Times New Roman" w:hAnsi="Times New Roman" w:cs="Times New Roman"/>
          <w:i/>
          <w:iCs/>
          <w:sz w:val="24"/>
          <w:szCs w:val="24"/>
        </w:rPr>
        <w:t>Beauveria</w:t>
      </w:r>
      <w:r w:rsidRPr="00D6094E">
        <w:rPr>
          <w:rFonts w:ascii="Times New Roman" w:hAnsi="Times New Roman" w:cs="Times New Roman"/>
          <w:sz w:val="24"/>
          <w:szCs w:val="24"/>
        </w:rPr>
        <w:t>. Fungal Ecology 13, 112–119. https://doi.org/10.1016/j.funeco.2014.08.001</w:t>
      </w:r>
    </w:p>
    <w:p w14:paraId="309406C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Behie, S.W., Moreira, C.C., Sementchoukova, I., Barelli, L., Zelisko, P.M., Bidochka, M.J., 2017. Carbon translocation from a plant to an insect-pathogenic endophytic fungus. Nat Commun 8, 14245. https://doi.org/10.1038/ncomms14245</w:t>
      </w:r>
    </w:p>
    <w:p w14:paraId="39D5444E"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 xml:space="preserve">Behie, S.W., Zelisko, P.M., Bidochka, M.J., 2012. Endophytic insect-parasitic fungi translocate nitrogen directly from insects to plants. </w:t>
      </w:r>
      <w:r w:rsidRPr="00D6094E">
        <w:rPr>
          <w:rFonts w:ascii="Times New Roman" w:hAnsi="Times New Roman" w:cs="Times New Roman"/>
          <w:sz w:val="24"/>
          <w:szCs w:val="24"/>
          <w:lang w:val="es-VE"/>
        </w:rPr>
        <w:t>Science 336, 1576–1577. https://doi.org/10.1126/science.1222289</w:t>
      </w:r>
    </w:p>
    <w:p w14:paraId="45AA44C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Blanco, F., Salinas, P., Cecchini, N.M., Jordana, X., Van Hummelen, P., Alvarez, M.E., Holuigue, L., 2009. </w:t>
      </w:r>
      <w:r w:rsidRPr="00D6094E">
        <w:rPr>
          <w:rFonts w:ascii="Times New Roman" w:hAnsi="Times New Roman" w:cs="Times New Roman"/>
          <w:sz w:val="24"/>
          <w:szCs w:val="24"/>
        </w:rPr>
        <w:t>Early genomic responses to salicylic acid in Arabidopsis. Plant Mol Biol 70, 79–102. https://doi.org/10.1007/s11103-009-9458-1</w:t>
      </w:r>
    </w:p>
    <w:p w14:paraId="301D0AA4"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Blažević, I., Montaut, S., Burčul, F., Olsen, C.E., Burow, M., Rollin, P., Agerbirk, N., 2020. Glucosinolate structural diversity, identification, chemical synthesis and metabolism in plants. Phytochemistry 169, 112100. https://doi.org/10.1016/j.phytochem.2019.112100</w:t>
      </w:r>
    </w:p>
    <w:p w14:paraId="652DFD9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Borhan, M.H., Van de Wouw, A.P., Larkan, N.J., 2022. Molecular interactions between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xml:space="preserve"> and </w:t>
      </w:r>
      <w:r w:rsidRPr="00D6094E">
        <w:rPr>
          <w:rFonts w:ascii="Times New Roman" w:hAnsi="Times New Roman" w:cs="Times New Roman"/>
          <w:i/>
          <w:iCs/>
          <w:sz w:val="24"/>
          <w:szCs w:val="24"/>
        </w:rPr>
        <w:t>Brassica</w:t>
      </w:r>
      <w:r w:rsidRPr="00D6094E">
        <w:rPr>
          <w:rFonts w:ascii="Times New Roman" w:hAnsi="Times New Roman" w:cs="Times New Roman"/>
          <w:sz w:val="24"/>
          <w:szCs w:val="24"/>
        </w:rPr>
        <w:t xml:space="preserve"> species. Annu. Rev. Phytopathol. 60, 237–257. https://doi.org/10.1146/annurev-phyto-021621-120602</w:t>
      </w:r>
    </w:p>
    <w:p w14:paraId="30662C53"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 xml:space="preserve">Bos, J.I.B., Prince, D., Pitino, M., Maffei, M.E., Win, J., Hogenhout, S.A., 2010. A functional genomics approach identifies candidate effectors from the aphid species </w:t>
      </w:r>
      <w:r w:rsidRPr="00D6094E">
        <w:rPr>
          <w:rFonts w:ascii="Times New Roman" w:hAnsi="Times New Roman" w:cs="Times New Roman"/>
          <w:i/>
          <w:iCs/>
          <w:sz w:val="24"/>
          <w:szCs w:val="24"/>
        </w:rPr>
        <w:t>Myzus persicae</w:t>
      </w:r>
      <w:r w:rsidRPr="00D6094E">
        <w:rPr>
          <w:rFonts w:ascii="Times New Roman" w:hAnsi="Times New Roman" w:cs="Times New Roman"/>
          <w:sz w:val="24"/>
          <w:szCs w:val="24"/>
        </w:rPr>
        <w:t xml:space="preserve"> (green peach aphid). </w:t>
      </w:r>
      <w:r w:rsidRPr="00D6094E">
        <w:rPr>
          <w:rFonts w:ascii="Times New Roman" w:hAnsi="Times New Roman" w:cs="Times New Roman"/>
          <w:sz w:val="24"/>
          <w:szCs w:val="24"/>
          <w:lang w:val="es-VE"/>
        </w:rPr>
        <w:t>PLoS Genet 6, e1001216. https://doi.org/10.1371/journal.pgen.1001216</w:t>
      </w:r>
    </w:p>
    <w:p w14:paraId="5ABF34E8"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lang w:val="es-VE"/>
        </w:rPr>
        <w:t xml:space="preserve">Boter, M., Ruíz-Rivero, O., Abdeen, A., Prat, S., 2004. </w:t>
      </w:r>
      <w:r w:rsidRPr="00D6094E">
        <w:rPr>
          <w:rFonts w:ascii="Times New Roman" w:hAnsi="Times New Roman" w:cs="Times New Roman"/>
          <w:sz w:val="24"/>
          <w:szCs w:val="24"/>
        </w:rPr>
        <w:t xml:space="preserve">Conserved MYC transcription factors play a key role in jasmonate signaling both in tomato and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w:t>
      </w:r>
      <w:r w:rsidRPr="00D6094E">
        <w:rPr>
          <w:rFonts w:ascii="Times New Roman" w:hAnsi="Times New Roman" w:cs="Times New Roman"/>
          <w:sz w:val="24"/>
          <w:szCs w:val="24"/>
          <w:lang w:val="es-VE"/>
        </w:rPr>
        <w:t>Genes Dev. 18, 1577–1591. https://doi.org/10.1101/gad.297704</w:t>
      </w:r>
    </w:p>
    <w:p w14:paraId="745D906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Bousset, L., Ermel, M., Lebreton, L., 2018. </w:t>
      </w:r>
      <w:r w:rsidRPr="00D6094E">
        <w:rPr>
          <w:rFonts w:ascii="Times New Roman" w:hAnsi="Times New Roman" w:cs="Times New Roman"/>
          <w:sz w:val="24"/>
          <w:szCs w:val="24"/>
        </w:rPr>
        <w:t xml:space="preserve">The full life cycle of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xml:space="preserve"> completed on inoculated oilseed rape incubated under controlled conditions. Plant Pathol 67, 1321–1328. https://doi.org/10.1111/ppa.12853</w:t>
      </w:r>
    </w:p>
    <w:p w14:paraId="447AB83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Brilli, F., Luchi, N., Michelozzi, M., Calamai, L., Cencetti, G., Pecori, F., Nigrone, E., Santini, A., 2020. Volatile organic compounds (VOC) as biomarkers for detection of </w:t>
      </w:r>
      <w:r w:rsidRPr="00D6094E">
        <w:rPr>
          <w:rFonts w:ascii="Times New Roman" w:hAnsi="Times New Roman" w:cs="Times New Roman"/>
          <w:i/>
          <w:iCs/>
          <w:sz w:val="24"/>
          <w:szCs w:val="24"/>
        </w:rPr>
        <w:t>Ceratocystis platani</w:t>
      </w:r>
      <w:r w:rsidRPr="00D6094E">
        <w:rPr>
          <w:rFonts w:ascii="Times New Roman" w:hAnsi="Times New Roman" w:cs="Times New Roman"/>
          <w:sz w:val="24"/>
          <w:szCs w:val="24"/>
        </w:rPr>
        <w:t>. For. Path. e12618. https://doi.org/10.1111/efp.12618</w:t>
      </w:r>
    </w:p>
    <w:p w14:paraId="32FA9B6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Burketova, L., Trda, L., Ott, P.G., Valentova, O., 2015. Bio-based resistance inducers for sustainable plant protection against pathogens. Biotechnology Advances 33, 994–1004. https://doi.org/10.1016/j.biotechadv.2015.01.004</w:t>
      </w:r>
    </w:p>
    <w:p w14:paraId="5328B4C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Burow, M., Müller, R., Gershenzon, J., Wittstock, U., 2006. Altered glucosinolate hydrolysis in genetically engineered </w:t>
      </w:r>
      <w:r w:rsidRPr="00D6094E">
        <w:rPr>
          <w:rFonts w:ascii="Times New Roman" w:hAnsi="Times New Roman" w:cs="Times New Roman"/>
          <w:i/>
          <w:iCs/>
          <w:sz w:val="24"/>
          <w:szCs w:val="24"/>
        </w:rPr>
        <w:t>Arabidopsis thaliana</w:t>
      </w:r>
      <w:r w:rsidRPr="00D6094E">
        <w:rPr>
          <w:rFonts w:ascii="Times New Roman" w:hAnsi="Times New Roman" w:cs="Times New Roman"/>
          <w:sz w:val="24"/>
          <w:szCs w:val="24"/>
        </w:rPr>
        <w:t xml:space="preserve"> and its influence on the larval development of </w:t>
      </w:r>
      <w:r w:rsidRPr="00D6094E">
        <w:rPr>
          <w:rFonts w:ascii="Times New Roman" w:hAnsi="Times New Roman" w:cs="Times New Roman"/>
          <w:i/>
          <w:iCs/>
          <w:sz w:val="24"/>
          <w:szCs w:val="24"/>
        </w:rPr>
        <w:t>Spodoptera littoralis</w:t>
      </w:r>
      <w:r w:rsidRPr="00D6094E">
        <w:rPr>
          <w:rFonts w:ascii="Times New Roman" w:hAnsi="Times New Roman" w:cs="Times New Roman"/>
          <w:sz w:val="24"/>
          <w:szCs w:val="24"/>
        </w:rPr>
        <w:t>. J Chem Ecol 32, 2333–2349. https://doi.org/10.1007/s10886-006-9149-1</w:t>
      </w:r>
    </w:p>
    <w:p w14:paraId="5BAD1C6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Buxdorf, K., Yaffe, H., Barda, O., Levy, M., 2013. The effects of glucosinolates and their breakdown products on necrotrophic fungi. PLoS ONE 8, e70771. https://doi.org/10.1371/journal.pone.0070771</w:t>
      </w:r>
    </w:p>
    <w:p w14:paraId="1B266B0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Cachapa, J.C., Meyling, N.V., Burow, M., Hauser, T.P., 2021. Induction and priming of plant defense by root-associated insect-pathogenic fungi. J Chem Ecol 47, 112–122. https://doi.org/10.1007/s10886-020-01234-x</w:t>
      </w:r>
    </w:p>
    <w:p w14:paraId="2BE5222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Chen, C., Chen, H., Huang, S., Jiang, T., Wang, C., Tao, Z., He, C., Tang, Q., Li, P., 2021. Volatile DMNT directly protects plants against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xml:space="preserve"> by disrupting the peritrophic matrix barrier in insect midgut. eLife 10, e63938. https://doi.org/10.7554/eLife.63938</w:t>
      </w:r>
    </w:p>
    <w:p w14:paraId="105BB22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Chen, C.-Y., Howlett, B.J., 1996. Rapid necrosis of guard cells is associated with the arrest of fungal growth in leaves of Indian mustard (</w:t>
      </w:r>
      <w:r w:rsidRPr="00D6094E">
        <w:rPr>
          <w:rFonts w:ascii="Times New Roman" w:hAnsi="Times New Roman" w:cs="Times New Roman"/>
          <w:i/>
          <w:iCs/>
          <w:sz w:val="24"/>
          <w:szCs w:val="24"/>
        </w:rPr>
        <w:t>Brassica juncea</w:t>
      </w:r>
      <w:r w:rsidRPr="00D6094E">
        <w:rPr>
          <w:rFonts w:ascii="Times New Roman" w:hAnsi="Times New Roman" w:cs="Times New Roman"/>
          <w:sz w:val="24"/>
          <w:szCs w:val="24"/>
        </w:rPr>
        <w:t xml:space="preserve">) inoculated with avirulent isolates of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Physiological and Molecular Plant Pathology 48, 73–81. https://doi.org/10.1006/pmpp.1996.0007</w:t>
      </w:r>
    </w:p>
    <w:p w14:paraId="28CEF57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Chen, W., Dong, Y., Saqib, H.S.A., Vasseur, L., Zhou, W., Zheng, L., Lai, Y., Ma, X., Lin, L., Xu, X., Bai, J., He, W., You, M., 2020. Functions of duplicated glucosinolate sulfatases in the development and host adaptation of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Insect Biochemistry and Molecular Biology 119, 103316. https://doi.org/10.1016/j.ibmb.2020.103316</w:t>
      </w:r>
    </w:p>
    <w:p w14:paraId="26AB818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Chen, Z.J., Tian, L., 2007. Roles of dynamic and reversible histone acetylation in plant development and polyploidy. Biochimica et Biophysica Acta (BBA) - Gene Structure and Expression 1769, 295–307. https://doi.org/10.1016/j.bbaexp.2007.04.007</w:t>
      </w:r>
    </w:p>
    <w:p w14:paraId="1C956486"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 xml:space="preserve">Chhajed, S., Mostafa, I., He, Y., Abou-Hashem, M., El-Domiaty, M., Chen, S., 2020. Glucosinolate biosynthesis and the glucosinolate–myrosinase system in plant defense. </w:t>
      </w:r>
      <w:r w:rsidRPr="00D6094E">
        <w:rPr>
          <w:rFonts w:ascii="Times New Roman" w:hAnsi="Times New Roman" w:cs="Times New Roman"/>
          <w:sz w:val="24"/>
          <w:szCs w:val="24"/>
          <w:lang w:val="es-VE"/>
        </w:rPr>
        <w:t>Agronomy 10, 1786. https://doi.org/10.3390/agronomy10111786</w:t>
      </w:r>
    </w:p>
    <w:p w14:paraId="2A3E36E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Chini, A., Fonseca, S., Fernández, G., Adie, B., Chico, J.M., Lorenzo, O., García-Casado, G., López-Vidriero, I., Lozano, F.M., Ponce, M.R., Micol, J.L., Solano, R., 2007. </w:t>
      </w:r>
      <w:r w:rsidRPr="00D6094E">
        <w:rPr>
          <w:rFonts w:ascii="Times New Roman" w:hAnsi="Times New Roman" w:cs="Times New Roman"/>
          <w:sz w:val="24"/>
          <w:szCs w:val="24"/>
        </w:rPr>
        <w:t>The JAZ family of repressors is the missing link in jasmonate signalling. Nature 448, 666–671. https://doi.org/10.1038/nature06006</w:t>
      </w:r>
    </w:p>
    <w:p w14:paraId="2FCD2E09"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 xml:space="preserve">Cole, R.A., 1997. The relative importance of glucosinolates and amino acids to the development of two aphid pests </w:t>
      </w:r>
      <w:r w:rsidRPr="00D6094E">
        <w:rPr>
          <w:rFonts w:ascii="Times New Roman" w:hAnsi="Times New Roman" w:cs="Times New Roman"/>
          <w:i/>
          <w:iCs/>
          <w:sz w:val="24"/>
          <w:szCs w:val="24"/>
        </w:rPr>
        <w:t>Brevicoryne brassicae</w:t>
      </w:r>
      <w:r w:rsidRPr="00D6094E">
        <w:rPr>
          <w:rFonts w:ascii="Times New Roman" w:hAnsi="Times New Roman" w:cs="Times New Roman"/>
          <w:sz w:val="24"/>
          <w:szCs w:val="24"/>
        </w:rPr>
        <w:t xml:space="preserve"> and </w:t>
      </w:r>
      <w:r w:rsidRPr="00D6094E">
        <w:rPr>
          <w:rFonts w:ascii="Times New Roman" w:hAnsi="Times New Roman" w:cs="Times New Roman"/>
          <w:i/>
          <w:iCs/>
          <w:sz w:val="24"/>
          <w:szCs w:val="24"/>
        </w:rPr>
        <w:t>Myzus persicae</w:t>
      </w:r>
      <w:r w:rsidRPr="00D6094E">
        <w:rPr>
          <w:rFonts w:ascii="Times New Roman" w:hAnsi="Times New Roman" w:cs="Times New Roman"/>
          <w:sz w:val="24"/>
          <w:szCs w:val="24"/>
        </w:rPr>
        <w:t xml:space="preserve"> on wild and cultivated brassica species. </w:t>
      </w:r>
      <w:r w:rsidRPr="00D6094E">
        <w:rPr>
          <w:rFonts w:ascii="Times New Roman" w:hAnsi="Times New Roman" w:cs="Times New Roman"/>
          <w:sz w:val="24"/>
          <w:szCs w:val="24"/>
          <w:lang w:val="es-VE"/>
        </w:rPr>
        <w:t>Entomologia Experimentalis et Applicata 85, 121–133. https://doi.org/10.1046/j.1570-7458.1997.00242.x</w:t>
      </w:r>
    </w:p>
    <w:p w14:paraId="6D6BDB3F"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Conrath, U., 2011. </w:t>
      </w:r>
      <w:r w:rsidRPr="00D6094E">
        <w:rPr>
          <w:rFonts w:ascii="Times New Roman" w:hAnsi="Times New Roman" w:cs="Times New Roman"/>
          <w:sz w:val="24"/>
          <w:szCs w:val="24"/>
        </w:rPr>
        <w:t>Molecular aspects of defence priming. Trends in Plant Science 16, 524–531. https://doi.org/10.1016/j.tplants.2011.06.004</w:t>
      </w:r>
    </w:p>
    <w:p w14:paraId="5DC6E0C4"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Conrath, U., Beckers, G.J.M., Langenbach, C.J.G., Jaskiewicz, M.R., 2015. Priming for enhanced defense. Annu. Rev. Phytopathol. 53, 97–119. https://doi.org/10.1146/annurev-phyto-080614-120132</w:t>
      </w:r>
    </w:p>
    <w:p w14:paraId="31A9BA2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Crocoll, C., Halkier, B.A., Burow, M., 2016. Analysis and quantification of glucosinolates. Current Protocols in Plant Biology 1, 385–409. https://doi.org/10.1002/cppb.20027</w:t>
      </w:r>
    </w:p>
    <w:p w14:paraId="5757938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De Borba, M.C., Velho, A.C., Maia-Grondard, A., Baltenweck, R., Magnin-Robert, M., Randoux, B., Holvoet, M., Hilbert, J.-L., Flahaut, C., Reignault, P., Hugueney, P., Stadnik, M.J., Siah, A., 2021. The algal polysaccharide ulvan induces resistance in wheat against </w:t>
      </w:r>
      <w:r w:rsidRPr="00D6094E">
        <w:rPr>
          <w:rFonts w:ascii="Times New Roman" w:hAnsi="Times New Roman" w:cs="Times New Roman"/>
          <w:i/>
          <w:iCs/>
          <w:sz w:val="24"/>
          <w:szCs w:val="24"/>
        </w:rPr>
        <w:t>Zymoseptoria tritici</w:t>
      </w:r>
      <w:r w:rsidRPr="00D6094E">
        <w:rPr>
          <w:rFonts w:ascii="Times New Roman" w:hAnsi="Times New Roman" w:cs="Times New Roman"/>
          <w:sz w:val="24"/>
          <w:szCs w:val="24"/>
        </w:rPr>
        <w:t xml:space="preserve"> without major alteration of leaf metabolome. Front. Plant Sci. 12, 703712. https://doi.org/10.3389/fpls.2021.703712</w:t>
      </w:r>
    </w:p>
    <w:p w14:paraId="55C2A92F"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de Gruyter, J., Woudenberg, J.H.C., Aveskamp, M.M., Verkley, G.J.M., Groenewald, J.Z., Crous, P.W., 2013. Redisposition of phoma-like anamorphs in Pleosporales. Studies in Mycology 75, 1–36. https://doi.org/10.3114/sim0004</w:t>
      </w:r>
    </w:p>
    <w:p w14:paraId="27E14A7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De Vos, M., Van Oosten, V.R., Van Poecke, R.M.P., Van Pelt, J.A., Pozo, M.J., Mueller, M.J., Buchala, A.J., Métraux, J.-P., Van Loon, L.C., Dicke, M., Pieterse, C.M.J., 2005. </w:t>
      </w:r>
      <w:r w:rsidRPr="00D6094E">
        <w:rPr>
          <w:rFonts w:ascii="Times New Roman" w:hAnsi="Times New Roman" w:cs="Times New Roman"/>
          <w:sz w:val="24"/>
          <w:szCs w:val="24"/>
        </w:rPr>
        <w:t xml:space="preserve">Signal signature and transcriptome changes of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during pathogen and insect attack. MPMI 18, 923–937. https://doi.org/10.1094/MPMI-18-0923</w:t>
      </w:r>
    </w:p>
    <w:p w14:paraId="08F186C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Dehghan, A., Rounagh-Ardakani, H., Mohammadzadeh, A., Mohammadzadeh, Mohammad, Mohammadzadeh, Mozhgan, Borzoui, E., 2023. Induction of resistance, enzyme activity, and phytochemicals in canola plants treated with abscisic acid elevated based on nutrient availability: a case study on </w:t>
      </w:r>
      <w:r w:rsidRPr="00D6094E">
        <w:rPr>
          <w:rFonts w:ascii="Times New Roman" w:hAnsi="Times New Roman" w:cs="Times New Roman"/>
          <w:i/>
          <w:iCs/>
          <w:sz w:val="24"/>
          <w:szCs w:val="24"/>
        </w:rPr>
        <w:t>Brevicoryne brassicae</w:t>
      </w:r>
      <w:r w:rsidRPr="00D6094E">
        <w:rPr>
          <w:rFonts w:ascii="Times New Roman" w:hAnsi="Times New Roman" w:cs="Times New Roman"/>
          <w:sz w:val="24"/>
          <w:szCs w:val="24"/>
        </w:rPr>
        <w:t xml:space="preserve"> L. (Hemiptera: Aphididae). Journal of Insect Science 23, 17. https://doi.org/10.1093/jisesa/iead037</w:t>
      </w:r>
    </w:p>
    <w:p w14:paraId="34CC3CD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Delaunois, B., Jeandet, P., Clément, C., Baillieul, F., Dorey, S., Cordelier, S., 2014. Uncovering plant-pathogen crosstalk through apoplastic proteomic studies. Front. Plant Sci. 5. https://doi.org/10.3389/fpls.2014.00249</w:t>
      </w:r>
    </w:p>
    <w:p w14:paraId="1A46AE9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Dempsey, D.A., Vlot, A.C., Wildermuth, M.C., Klessig, D.F., 2011. Salicylic acid biosynthesis and metabolism. The Arabidopsis Book 9, e0156. https://doi.org/10.1199/tab.0156</w:t>
      </w:r>
    </w:p>
    <w:p w14:paraId="24A4B05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Desurmont, G.A., Xu, H., Turlings, T.C.J., 2016. Powdery mildew suppresses herbivore-induced plant volatiles and interferes with parasitoid attraction in </w:t>
      </w:r>
      <w:r w:rsidRPr="00D6094E">
        <w:rPr>
          <w:rFonts w:ascii="Times New Roman" w:hAnsi="Times New Roman" w:cs="Times New Roman"/>
          <w:i/>
          <w:iCs/>
          <w:sz w:val="24"/>
          <w:szCs w:val="24"/>
        </w:rPr>
        <w:t>Brassica rapa</w:t>
      </w:r>
      <w:r w:rsidRPr="00D6094E">
        <w:rPr>
          <w:rFonts w:ascii="Times New Roman" w:hAnsi="Times New Roman" w:cs="Times New Roman"/>
          <w:sz w:val="24"/>
          <w:szCs w:val="24"/>
        </w:rPr>
        <w:t>: a plant pathogen affects infochemical networks. Plant, Cell &amp; Environment 39, 1920–1927. https://doi.org/10.1111/pce.12752</w:t>
      </w:r>
    </w:p>
    <w:p w14:paraId="5D0D0EF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Ding, P., Ding, Y., 2020. Stories of salicylic acid: a plant defense hormone. Trends in Plant Science 25, 549–565. https://doi.org/10.1016/j.tplants.2020.01.004</w:t>
      </w:r>
    </w:p>
    <w:p w14:paraId="5904A12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Dodds, P.N., Rathjen, J.P., 2010. Plant immunity: towards an integrated view of plant–pathogen interactions. Nat Rev Genet 11, 539–548. https://doi.org/10.1038/nrg2812</w:t>
      </w:r>
    </w:p>
    <w:p w14:paraId="21A82E1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Döring, T.F., 2014. How aphids find their host plants, and how they don’t: Aphid host finding. Ann Appl Biol 165, 3–26. https://doi.org/10.1111/aab.12142</w:t>
      </w:r>
    </w:p>
    <w:p w14:paraId="4BFBF92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Durrant, W.E., Dong, X., 2004. Systemic acquired resistance. Annu. Rev. Phytopathol. 42, 185–209. https://doi.org/10.1146/annurev.phyto.42.040803.140421</w:t>
      </w:r>
    </w:p>
    <w:p w14:paraId="1C92F344"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Eigenbrode, S.D., Espelie, K.E., Shelton, A.M., 1991. Behavior of neonate diamondback moth larvae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xml:space="preserve"> (L.)] on leaves and on extracted leaf waxes of resistant and susceptible cabbages. </w:t>
      </w:r>
      <w:r w:rsidRPr="00D6094E">
        <w:rPr>
          <w:rFonts w:ascii="Times New Roman" w:hAnsi="Times New Roman" w:cs="Times New Roman"/>
          <w:sz w:val="24"/>
          <w:szCs w:val="24"/>
          <w:lang w:val="es-VE"/>
        </w:rPr>
        <w:t>J Chem Ecol 17, 1691–1704. https://doi.org/10.1007/BF00984697</w:t>
      </w:r>
    </w:p>
    <w:p w14:paraId="4C8B28D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El Oirdi, M., El Rahman, T.A., Rigano, L., El Hadrami, A., Rodriguez, M.C., Daayf, F., Vojnov, A., Bouarab, K., 2011. </w:t>
      </w:r>
      <w:r w:rsidRPr="00D6094E">
        <w:rPr>
          <w:rFonts w:ascii="Times New Roman" w:hAnsi="Times New Roman" w:cs="Times New Roman"/>
          <w:i/>
          <w:iCs/>
          <w:sz w:val="24"/>
          <w:szCs w:val="24"/>
        </w:rPr>
        <w:t>Botrytis cinerea</w:t>
      </w:r>
      <w:r w:rsidRPr="00D6094E">
        <w:rPr>
          <w:rFonts w:ascii="Times New Roman" w:hAnsi="Times New Roman" w:cs="Times New Roman"/>
          <w:sz w:val="24"/>
          <w:szCs w:val="24"/>
        </w:rPr>
        <w:t xml:space="preserve"> manipulates the antagonistic effects between immune pathways to promote disease development in tomato. The Plant Cell 23, 2405–2421. https://doi.org/10.1105/tpc.111.083394</w:t>
      </w:r>
    </w:p>
    <w:p w14:paraId="11AB396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Erb, M., Reymond, P., 2019. Molecular interactions between plants and insect herbivores. Annu. Rev. Plant Biol. 70, 527–557. https://doi.org/10.1146/annurev-arplant-050718-095910</w:t>
      </w:r>
    </w:p>
    <w:p w14:paraId="70C5976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Fernandez-Conradi, P., Jactel, H., Robin, C., Tack, A.J.M., Castagneyrol, B., 2018. Fungi reduce preference and performance of insect herbivores on challenged plants. Ecology 99, 300–311. https://doi.org/10.1002/ecy.2044</w:t>
      </w:r>
    </w:p>
    <w:p w14:paraId="674D4D3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Ferreira, R.B., Monteiro, S., Freitas, R., Santos, C.N., Chen, Z., Batista, L.M., Duarte, J., Borges, A., Teixeira, A.R., 2007. The role of plant defence proteins in fungal pathogenesis. Mol Plant Pathol 8, 677–700. https://doi.org/10.1111/j.1364-3703.2007.00419.x</w:t>
      </w:r>
    </w:p>
    <w:p w14:paraId="1B97FCE4"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Fox, J., Weisberg, S., 2011. Multivariate linear models in R. An R Companion to Applied Regression. Los Angeles: Thousand Oaks.</w:t>
      </w:r>
    </w:p>
    <w:p w14:paraId="30CD7C5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Francis, F., Lognay, G., Wathelet, J.-P., Haubruge, E., 2002. Characterisation of aphid myrosinase and degradation studies of glucosinolates. Arch. Insect Biochem. Physiol. 50, 173–182. https://doi.org/10.1002/arch.10042</w:t>
      </w:r>
    </w:p>
    <w:p w14:paraId="5628C4D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Franco, F.P., Moura, D.S., Vivanco, J.M., Silva-Filho, M.C., 2017. Plant–insect–pathogen interactions: a naturally complex ménage à trois. Current Opinion in Microbiology 37, 54–60. https://doi.org/10.1016/j.mib.2017.04.007</w:t>
      </w:r>
    </w:p>
    <w:p w14:paraId="751449C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Gabryś, B., Pawluk, M., 1999. Acceptability of different species of Brassicaceae as hosts for the cabbage aphid, in: Simpson, S.J., Mordue, A.J., Hardie, J. (Eds.), Proceedings of the 10th International Symposium on Insect-Plant Relationships. Springer Netherlands, Dordrecht, pp. 105–109. https://doi.org/10.1007/978-94-017-1890-5_12</w:t>
      </w:r>
    </w:p>
    <w:p w14:paraId="265EBFF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Gadjev, I., Vanderauwera, S., Gechev, T.S., Laloi, C., Minkov, I.N., Shulaev, V., Apel, K., Inzé, D., Mittler, R., Van Breusegem, F., 2006. Transcriptomic footprints disclose specificity of reactive oxygen species signaling in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Plant Physiology 141, 436–445. https://doi.org/10.1104/pp.106.078717</w:t>
      </w:r>
    </w:p>
    <w:p w14:paraId="1BF83A6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Gange, A.C., Koricheva, J., Currie, A.F., Jaber, L.R., Vidal, S., 2019. Meta‐analysis of the role of entomopathogenic and unspecialized fungal endophytes as plant bodyguards. New Phytol 223, 2002–2010. https://doi.org/10.1111/nph.15859</w:t>
      </w:r>
    </w:p>
    <w:p w14:paraId="1CE4838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Gao, Q., Jin, K., Ying, S.-H., Zhang, Y., Xiao, G., Shang, Y., Duan, Z., Hu, X., Xie, X.-Q., Zhou, G., Peng, G., Luo, Z., Huang, W., Wang, B., Fang, W., Wang, S., Zhong, Y., Ma, L.-J., St. Leger, R.J., Zhao, G.-P., Pei, Y., Feng, M.-G., Xia, Y., Wang, C., 2011. Genome sequencing and comparative transcriptomics of the model entomopathogenic fungi </w:t>
      </w:r>
      <w:r w:rsidRPr="00D6094E">
        <w:rPr>
          <w:rFonts w:ascii="Times New Roman" w:hAnsi="Times New Roman" w:cs="Times New Roman"/>
          <w:i/>
          <w:iCs/>
          <w:sz w:val="24"/>
          <w:szCs w:val="24"/>
        </w:rPr>
        <w:t>Metarhizium anisopliae</w:t>
      </w:r>
      <w:r w:rsidRPr="00D6094E">
        <w:rPr>
          <w:rFonts w:ascii="Times New Roman" w:hAnsi="Times New Roman" w:cs="Times New Roman"/>
          <w:sz w:val="24"/>
          <w:szCs w:val="24"/>
        </w:rPr>
        <w:t xml:space="preserve"> and </w:t>
      </w:r>
      <w:r w:rsidRPr="00D6094E">
        <w:rPr>
          <w:rFonts w:ascii="Times New Roman" w:hAnsi="Times New Roman" w:cs="Times New Roman"/>
          <w:i/>
          <w:iCs/>
          <w:sz w:val="24"/>
          <w:szCs w:val="24"/>
        </w:rPr>
        <w:t>M. acridum</w:t>
      </w:r>
      <w:r w:rsidRPr="00D6094E">
        <w:rPr>
          <w:rFonts w:ascii="Times New Roman" w:hAnsi="Times New Roman" w:cs="Times New Roman"/>
          <w:sz w:val="24"/>
          <w:szCs w:val="24"/>
        </w:rPr>
        <w:t>. PLoS Genet 7, e1001264. https://doi.org/10.1371/journal.pgen.1001264</w:t>
      </w:r>
    </w:p>
    <w:p w14:paraId="059718F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Gay, E.J., Soyer, J.L., Lapalu, N., Linglin, J., Fudal, I., Da Silva, C., Wincker, P., Aury, J.-M., Cruaud, C., Levrel, A., Lemoine, J., Delourme, R., Rouxel, T., Balesdent, M.-H., 2021. Large-scale transcriptomics to dissect 2 years of the life of a fungal phytopathogen interacting with its host plant. BMC Biol 19, 55. https://doi.org/10.1186/s12915-021-00989-3</w:t>
      </w:r>
    </w:p>
    <w:p w14:paraId="10A6127A"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 xml:space="preserve">Genç, H., 2021. Determination of biological properties of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xml:space="preserve"> (Linnaeus, 1758) (Lepidoptera: Plutellidae). </w:t>
      </w:r>
      <w:r w:rsidRPr="00D6094E">
        <w:rPr>
          <w:rFonts w:ascii="Times New Roman" w:hAnsi="Times New Roman" w:cs="Times New Roman"/>
          <w:sz w:val="24"/>
          <w:szCs w:val="24"/>
          <w:lang w:val="es-VE"/>
        </w:rPr>
        <w:t>ÇOMÜ Ziraat Fakültesi Dergisi 9, 21–30. https://doi.org/10.33202/comuagri.899370</w:t>
      </w:r>
    </w:p>
    <w:p w14:paraId="4E1F9C2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Ghorbel, M., Brini, F., Sharma, A., Landi, M., 2021. </w:t>
      </w:r>
      <w:r w:rsidRPr="00D6094E">
        <w:rPr>
          <w:rFonts w:ascii="Times New Roman" w:hAnsi="Times New Roman" w:cs="Times New Roman"/>
          <w:sz w:val="24"/>
          <w:szCs w:val="24"/>
        </w:rPr>
        <w:t>Role of jasmonic acid in plants: the molecular point of view. Plant Cell Rep 40, 1471–1494. https://doi.org/10.1007/s00299-021-02687-4</w:t>
      </w:r>
    </w:p>
    <w:p w14:paraId="2DB54E3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Glazebrook, J., 2005. Contrasting mechanisms of defense against biotrophic and necrotrophic pathogens. Annu. Rev. Phytopathol. 43, 205–227. https://doi.org/10.1146/annurev.phyto.43.040204.135923</w:t>
      </w:r>
    </w:p>
    <w:p w14:paraId="1F87797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Gordy, J.W., Leonard, B.R., Blouin, D., Davis, J.A., Stout, M.J., 2015. Comparative effectiveness of potential elicitors of plant resistance against </w:t>
      </w:r>
      <w:r w:rsidRPr="00D6094E">
        <w:rPr>
          <w:rFonts w:ascii="Times New Roman" w:hAnsi="Times New Roman" w:cs="Times New Roman"/>
          <w:i/>
          <w:iCs/>
          <w:sz w:val="24"/>
          <w:szCs w:val="24"/>
        </w:rPr>
        <w:t>Spodoptera frugiperda</w:t>
      </w:r>
      <w:r w:rsidRPr="00D6094E">
        <w:rPr>
          <w:rFonts w:ascii="Times New Roman" w:hAnsi="Times New Roman" w:cs="Times New Roman"/>
          <w:sz w:val="24"/>
          <w:szCs w:val="24"/>
        </w:rPr>
        <w:t xml:space="preserve"> (J. E. Smith) (Lepidoptera: Noctuidae) in four crop plants. PLoS ONE 10, e0136689. https://doi.org/10.1371/journal.pone.0136689</w:t>
      </w:r>
    </w:p>
    <w:p w14:paraId="2B4B950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Gruber, M., Alahakoon, U., Taheri, A., Nagubushana, N., Zhou, R., Aung, B., Sharpe, A., Hannoufa, A., Bonham-Smith, P., Hegedus D, D.D., 2018. The biochemical composition and transcriptome of cotyledons from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xml:space="preserve"> lines expressing the AtGL3 transcription factor and exhibiting reduced flea beetle feeding. BMC Plant Biol 18, 64. https://doi.org/10.1186/s12870-018-1277-6</w:t>
      </w:r>
    </w:p>
    <w:p w14:paraId="0DA0523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Guan, L., Denkert, N., Eisa, A., Lehmann, M., Sjuts, I., Weiberg, A., Soll, J., Meinecke, M., Schwenkert, S., 2019. JASSY, a chloroplast outer membrane protein required for jasmonate biosynthesis. Proc. Natl. Acad. Sci. U.S.A. 116, 10568–10575. https://doi.org/10.1073/pnas.1900482116</w:t>
      </w:r>
    </w:p>
    <w:p w14:paraId="5A7E84F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Guo, R., Qian, H., Shen, W., Liu, L., Zhang, M., Cai, C., Zhao, Y., Qiao, J., Wang, Q., 2013. BZR1 and BES1 participate in regulation of glucosinolate biosynthesis by brassinosteroids in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Journal of Experimental Botany 64, 2401–2412. https://doi.org/10.1093/jxb/ert094</w:t>
      </w:r>
    </w:p>
    <w:p w14:paraId="42C0873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Hammond, K.E., Lewis, B.G., 1987. Differential responses of oilseed rape leaves to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Transactions of the British Mycological Society 88, 329–333. https://doi.org/10.1016/S0007-1536(87)80006-2</w:t>
      </w:r>
    </w:p>
    <w:p w14:paraId="6F0F663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Han, X., Kahmann, R., 2019. Manipulation of phytohormone pathways by effectors of filamentous plant pathogens. Front. Plant Sci. 10, 822. https://doi.org/10.3389/fpls.2019.00822</w:t>
      </w:r>
    </w:p>
    <w:p w14:paraId="3CD1897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Hao, Z.-P., Zhan, H.-X., Gao, L.-L., Huang, F., Zhu, L.-N., Hou, S.-M., 2020. Possible effects of leaf tissue characteristics of oilseed rape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xml:space="preserve"> on probing and feeding behaviors of cabbage aphids </w:t>
      </w:r>
      <w:r w:rsidRPr="00D6094E">
        <w:rPr>
          <w:rFonts w:ascii="Times New Roman" w:hAnsi="Times New Roman" w:cs="Times New Roman"/>
          <w:i/>
          <w:iCs/>
          <w:sz w:val="24"/>
          <w:szCs w:val="24"/>
        </w:rPr>
        <w:t>Brevicoryne brassicae</w:t>
      </w:r>
      <w:r w:rsidRPr="00D6094E">
        <w:rPr>
          <w:rFonts w:ascii="Times New Roman" w:hAnsi="Times New Roman" w:cs="Times New Roman"/>
          <w:sz w:val="24"/>
          <w:szCs w:val="24"/>
        </w:rPr>
        <w:t>. Arthropod-Plant Interactions 14, 733–744. https://doi.org/10.1007/s11829-020-09782-5</w:t>
      </w:r>
    </w:p>
    <w:p w14:paraId="4D93CF0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Hauser, T.P., Christensen, S., Heimes, C., Kiær, L.P., 2013. Combined effects of arthropod herbivores and phytopathogens on plant performance. Funct Ecol 27, 623–632. https://doi.org/10.1111/1365-2435.12053</w:t>
      </w:r>
    </w:p>
    <w:p w14:paraId="3A7A4B3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Heil, M., 2008. Indirect defence via tritrophic interactions. New Phytol 178, 41–61. https://doi.org/10.1111/j.1469-8137.2007.02330.x</w:t>
      </w:r>
    </w:p>
    <w:p w14:paraId="00A4204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Heimes, C., Thiele, J., van Mölken, T., Hauser, T.P., 2015. Interactive impacts of a herbivore and a pathogen on two resistance types of </w:t>
      </w:r>
      <w:r w:rsidRPr="00D6094E">
        <w:rPr>
          <w:rFonts w:ascii="Times New Roman" w:hAnsi="Times New Roman" w:cs="Times New Roman"/>
          <w:i/>
          <w:iCs/>
          <w:sz w:val="24"/>
          <w:szCs w:val="24"/>
        </w:rPr>
        <w:t>Barbarea vulgaris</w:t>
      </w:r>
      <w:r w:rsidRPr="00D6094E">
        <w:rPr>
          <w:rFonts w:ascii="Times New Roman" w:hAnsi="Times New Roman" w:cs="Times New Roman"/>
          <w:sz w:val="24"/>
          <w:szCs w:val="24"/>
        </w:rPr>
        <w:t xml:space="preserve"> (Brassicaceae). Oecologia 177, 441–452. https://doi.org/10.1007/s00442-014-3113-5</w:t>
      </w:r>
    </w:p>
    <w:p w14:paraId="3376E61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Hervé, M., 2015. RVAideMemoire: diverse basic statistical and graphical functions. R package version 0.9-50.</w:t>
      </w:r>
    </w:p>
    <w:p w14:paraId="7366A15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Hiruma, K., Fukunaga, S., Bednarek, P., Piślewska-Bednarek, M., Watanabe, S., Narusaka, Y., Shirasu, K., Takano, Y., 2013. Glutathione and tryptophan metabolism are required for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immunity during the hypersensitive response to hemibiotrophs. Proc. Natl. Acad. Sci. U.S.A. 110, 9589–9594. https://doi.org/10.1073/pnas.1305745110</w:t>
      </w:r>
    </w:p>
    <w:p w14:paraId="4348F59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Hodge, S., Bennett, M., Mansfield, J.W., Powell, G., 2019. Aphid-induction of defence-related metabolites in </w:t>
      </w:r>
      <w:r w:rsidRPr="00D6094E">
        <w:rPr>
          <w:rFonts w:ascii="Times New Roman" w:hAnsi="Times New Roman" w:cs="Times New Roman"/>
          <w:i/>
          <w:iCs/>
          <w:sz w:val="24"/>
          <w:szCs w:val="24"/>
        </w:rPr>
        <w:t>Arabidopsis thaliana</w:t>
      </w:r>
      <w:r w:rsidRPr="00D6094E">
        <w:rPr>
          <w:rFonts w:ascii="Times New Roman" w:hAnsi="Times New Roman" w:cs="Times New Roman"/>
          <w:sz w:val="24"/>
          <w:szCs w:val="24"/>
        </w:rPr>
        <w:t xml:space="preserve"> is dependent upon density, aphid species and duration of infestation. Arthropod-Plant Interactions 13, 387–399. https://doi.org/10.1007/s11829-018-9667-0</w:t>
      </w:r>
    </w:p>
    <w:p w14:paraId="610275B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Hopkins, R.J., van Dam, N.M., van Loon, J.J.A., 2009. Role of glucosinolates in insect-plant relationships and multitrophic interactions. Annu. Rev. Entomol. 54, 57–83. https://doi.org/10.1146/annurev.ento.54.110807.090623</w:t>
      </w:r>
    </w:p>
    <w:p w14:paraId="366A37AF"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Hothorn, T., Bretz, F., Westfall, P., 2008. Simultaneous inference in general parametric models. Biom. J. 50, 346–363. https://doi.org/10.1002/bimj.200810425</w:t>
      </w:r>
    </w:p>
    <w:p w14:paraId="23E6FE6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Howlett, B.J., Idnurm, A., Pedras, M.S.C., 2001.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the causal agent of blackleg disease of brassicas. Fungal Genetics and Biology 33, 1–14. https://doi.org/10.1006/fgbi.2001.1274</w:t>
      </w:r>
    </w:p>
    <w:p w14:paraId="6FB9A5D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Hruz, T., Laule, O., Szabo, G., Wessendorp, F., Bleuler, S., Oertle, L., Widmayer, P., Gruissem, W., Zimmermann, P., 2008. Genevestigator V3: a reference expression database for the meta-analysis of transcriptomes. Advances in Bioinformatics 2008, 1–5. https://doi.org/10.1155/2008/420747</w:t>
      </w:r>
    </w:p>
    <w:p w14:paraId="401C9B8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Hu, S., Bidochka, M.J., 2021a. Root colonization by endophytic insect‐pathogenic fungi. J Appl Microbiol 130, 570–581. https://doi.org/10.1111/jam.14503</w:t>
      </w:r>
    </w:p>
    <w:p w14:paraId="2486485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Hu, S., Bidochka, M.J., 2021b. Abscisic acid implicated in differential plant responses of </w:t>
      </w:r>
      <w:r w:rsidRPr="00D6094E">
        <w:rPr>
          <w:rFonts w:ascii="Times New Roman" w:hAnsi="Times New Roman" w:cs="Times New Roman"/>
          <w:i/>
          <w:iCs/>
          <w:sz w:val="24"/>
          <w:szCs w:val="24"/>
        </w:rPr>
        <w:t>Phaseolus vulgaris</w:t>
      </w:r>
      <w:r w:rsidRPr="00D6094E">
        <w:rPr>
          <w:rFonts w:ascii="Times New Roman" w:hAnsi="Times New Roman" w:cs="Times New Roman"/>
          <w:sz w:val="24"/>
          <w:szCs w:val="24"/>
        </w:rPr>
        <w:t xml:space="preserve"> during endophytic colonization by </w:t>
      </w:r>
      <w:r w:rsidRPr="00D6094E">
        <w:rPr>
          <w:rFonts w:ascii="Times New Roman" w:hAnsi="Times New Roman" w:cs="Times New Roman"/>
          <w:i/>
          <w:iCs/>
          <w:sz w:val="24"/>
          <w:szCs w:val="24"/>
        </w:rPr>
        <w:t>Metarhizium</w:t>
      </w:r>
      <w:r w:rsidRPr="00D6094E">
        <w:rPr>
          <w:rFonts w:ascii="Times New Roman" w:hAnsi="Times New Roman" w:cs="Times New Roman"/>
          <w:sz w:val="24"/>
          <w:szCs w:val="24"/>
        </w:rPr>
        <w:t xml:space="preserve"> and pathogenic colonization by </w:t>
      </w:r>
      <w:r w:rsidRPr="00D6094E">
        <w:rPr>
          <w:rFonts w:ascii="Times New Roman" w:hAnsi="Times New Roman" w:cs="Times New Roman"/>
          <w:i/>
          <w:iCs/>
          <w:sz w:val="24"/>
          <w:szCs w:val="24"/>
        </w:rPr>
        <w:t>Fusarium</w:t>
      </w:r>
      <w:r w:rsidRPr="00D6094E">
        <w:rPr>
          <w:rFonts w:ascii="Times New Roman" w:hAnsi="Times New Roman" w:cs="Times New Roman"/>
          <w:sz w:val="24"/>
          <w:szCs w:val="24"/>
        </w:rPr>
        <w:t>. Sci Rep 11, 11327. https://doi.org/10.1038/s41598-021-90232-4</w:t>
      </w:r>
    </w:p>
    <w:p w14:paraId="4E929024"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Huang, J., Gu, M., Lai, Z., Fan, B., Shi, K., Zhou, Y.-H., Yu, J.-Q., Chen, Z., 2010. Functional analysis of the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w:t>
      </w:r>
      <w:r w:rsidRPr="00D6094E">
        <w:rPr>
          <w:rFonts w:ascii="Times New Roman" w:hAnsi="Times New Roman" w:cs="Times New Roman"/>
          <w:i/>
          <w:iCs/>
          <w:sz w:val="24"/>
          <w:szCs w:val="24"/>
        </w:rPr>
        <w:t>PAL</w:t>
      </w:r>
      <w:r w:rsidRPr="00D6094E">
        <w:rPr>
          <w:rFonts w:ascii="Times New Roman" w:hAnsi="Times New Roman" w:cs="Times New Roman"/>
          <w:sz w:val="24"/>
          <w:szCs w:val="24"/>
        </w:rPr>
        <w:t xml:space="preserve"> gene family in plant growth, development, and response to environmental stress. Plant Physiology 153, 1526–1538. https://doi.org/10.1104/pp.110.157370</w:t>
      </w:r>
    </w:p>
    <w:p w14:paraId="67B0A10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Hussain, M., Gao, J., Bano, S., Wang, L., Lin, Y., Arthurs, S., Qasim, M., Mao, R., 2020. Diamondback moth larvae trigger host plant volatiles that lure its adult females for oviposition. Insects 11, 725. https://doi.org/10.3390/insects11110725</w:t>
      </w:r>
    </w:p>
    <w:p w14:paraId="7E1F3FB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Jagodzik, P., Tajdel-Zielinska, M., Ciesla, A., Marczak, M., Ludwikow, A., 2018. Mitogen-activated protein kinase cascades in plant hormone signaling. Front. Plant Sci. 9, 1387. https://doi.org/10.3389/fpls.2018.01387</w:t>
      </w:r>
    </w:p>
    <w:p w14:paraId="0FDD5BE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Jahan, F., Abbasipour, H., Askarianzade, A., Hasanshahi, G., Saeedizadeh, A., 2013. Effect of eight cauliflower cultivars on biological parameters of the cabbage aphid, </w:t>
      </w:r>
      <w:r w:rsidRPr="00D6094E">
        <w:rPr>
          <w:rFonts w:ascii="Times New Roman" w:hAnsi="Times New Roman" w:cs="Times New Roman"/>
          <w:i/>
          <w:iCs/>
          <w:sz w:val="24"/>
          <w:szCs w:val="24"/>
        </w:rPr>
        <w:t>Brevicoryne brassicae</w:t>
      </w:r>
      <w:r w:rsidRPr="00D6094E">
        <w:rPr>
          <w:rFonts w:ascii="Times New Roman" w:hAnsi="Times New Roman" w:cs="Times New Roman"/>
          <w:sz w:val="24"/>
          <w:szCs w:val="24"/>
        </w:rPr>
        <w:t xml:space="preserve"> (L.) (Hem: Aphididae) in laboratory conditions. Archives Of Phytopathology And Plant Protection 46, 636–642. https://doi.org/10.1080/03235408.2012.749697</w:t>
      </w:r>
    </w:p>
    <w:p w14:paraId="3A1C6F5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Janda, M., Ruelland, E., 2015. Magical mystery tour: Salicylic acid signalling. Environmental and Experimental Botany 114, 117–128. https://doi.org/10.1016/j.envexpbot.2014.07.003</w:t>
      </w:r>
    </w:p>
    <w:p w14:paraId="6FE800B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Jaulneau, V., Lafitte, C., Jacquet, C., Fournier, S., Salamagne, S., Briand, X., Esquerré-Tugayé, M.-T., Dumas, B., 2010. Ulvan, a sulfated polysaccharide from green algae, activates plant immunity through the jasmonic acid signaling pathway. Journal of Biomedicine and Biotechnology 2010, 1–11. https://doi.org/10.1155/2010/525291</w:t>
      </w:r>
    </w:p>
    <w:p w14:paraId="327081D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Jefferson, R.A., Kavanagh, T.A., Bevan, M.W., 1987. GUS fusions: beta-glucuronidase as a sensitive and versatile gene fusion marker in higher plants. The EMBO Journal 6, 3901–3907. https://doi.org/10.1002/j.1460-2075.1987.tb02730.x</w:t>
      </w:r>
    </w:p>
    <w:p w14:paraId="2130E2D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Jensen, R.E., Enkegaard, A., Steenberg, T., 2019. Increased fecundity of </w:t>
      </w:r>
      <w:r w:rsidRPr="00D6094E">
        <w:rPr>
          <w:rFonts w:ascii="Times New Roman" w:hAnsi="Times New Roman" w:cs="Times New Roman"/>
          <w:i/>
          <w:iCs/>
          <w:sz w:val="24"/>
          <w:szCs w:val="24"/>
        </w:rPr>
        <w:t>Aphis fabae</w:t>
      </w:r>
      <w:r w:rsidRPr="00D6094E">
        <w:rPr>
          <w:rFonts w:ascii="Times New Roman" w:hAnsi="Times New Roman" w:cs="Times New Roman"/>
          <w:sz w:val="24"/>
          <w:szCs w:val="24"/>
        </w:rPr>
        <w:t xml:space="preserve"> on </w:t>
      </w:r>
      <w:r w:rsidRPr="00D6094E">
        <w:rPr>
          <w:rFonts w:ascii="Times New Roman" w:hAnsi="Times New Roman" w:cs="Times New Roman"/>
          <w:i/>
          <w:iCs/>
          <w:sz w:val="24"/>
          <w:szCs w:val="24"/>
        </w:rPr>
        <w:t>Vicia faba</w:t>
      </w:r>
      <w:r w:rsidRPr="00D6094E">
        <w:rPr>
          <w:rFonts w:ascii="Times New Roman" w:hAnsi="Times New Roman" w:cs="Times New Roman"/>
          <w:sz w:val="24"/>
          <w:szCs w:val="24"/>
        </w:rPr>
        <w:t xml:space="preserve"> plants following seed or leaf inoculation with the entomopathogenic fungus </w:t>
      </w:r>
      <w:r w:rsidRPr="00D6094E">
        <w:rPr>
          <w:rFonts w:ascii="Times New Roman" w:hAnsi="Times New Roman" w:cs="Times New Roman"/>
          <w:i/>
          <w:iCs/>
          <w:sz w:val="24"/>
          <w:szCs w:val="24"/>
        </w:rPr>
        <w:t>Beauveria bassiana</w:t>
      </w:r>
      <w:r w:rsidRPr="00D6094E">
        <w:rPr>
          <w:rFonts w:ascii="Times New Roman" w:hAnsi="Times New Roman" w:cs="Times New Roman"/>
          <w:sz w:val="24"/>
          <w:szCs w:val="24"/>
        </w:rPr>
        <w:t>. PLoS ONE 14, e0223616. https://doi.org/10.1371/journal.pone.0223616</w:t>
      </w:r>
    </w:p>
    <w:p w14:paraId="6B7B9A5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Jones, A.C., Felton, G.W., Tumlinson, J.H., 2021. The dual function of elicitors and effectors from insects: reviewing the ‘arms race’ against plant defenses. Plant Mol Biol. https://doi.org/10.1007/s11103-021-01203-2</w:t>
      </w:r>
    </w:p>
    <w:p w14:paraId="7FDBD61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Jones, J.D.G., Dangl, J.L., 2006. The plant immune system. Nature 444, 323–329. https://doi.org/10.1038/nature05286</w:t>
      </w:r>
    </w:p>
    <w:p w14:paraId="2FB100E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Kaczmarek, J., Jędryczka, M., 2012. Characterization of two coexisting pathogen populations of </w:t>
      </w:r>
      <w:r w:rsidRPr="00D6094E">
        <w:rPr>
          <w:rFonts w:ascii="Times New Roman" w:hAnsi="Times New Roman" w:cs="Times New Roman"/>
          <w:i/>
          <w:iCs/>
          <w:sz w:val="24"/>
          <w:szCs w:val="24"/>
        </w:rPr>
        <w:t>Leptosphaeria</w:t>
      </w:r>
      <w:r w:rsidRPr="00D6094E">
        <w:rPr>
          <w:rFonts w:ascii="Times New Roman" w:hAnsi="Times New Roman" w:cs="Times New Roman"/>
          <w:sz w:val="24"/>
          <w:szCs w:val="24"/>
        </w:rPr>
        <w:t xml:space="preserve"> spp., the cause of stem canker of brassicas. Acta Agrobot 64, 3–14. https://doi.org/10.5586/aa.2011.012</w:t>
      </w:r>
    </w:p>
    <w:p w14:paraId="347C81F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Kalachova, T., Janda, M., Šašek, V., Ortmannová, J., Nováková, P., Dobrev, I.P., Kravets, V., Guivarc’h, A., Moura, D., Burketová, L., Valentová, O., Ruelland, E., 2020. Identification of salicylic acid-independent responses in an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phosphatidylinositol 4-kinase beta double mutant. Annals of Botany 125, 775–784. https://doi.org/10.1093/aob/mcz112</w:t>
      </w:r>
    </w:p>
    <w:p w14:paraId="27920D9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Khoshfarman-Borji, H., Pahlavan Yali, M., Bozorg-Amirkalaee, M., 2020. Induction of resistance against </w:t>
      </w:r>
      <w:r w:rsidRPr="00D6094E">
        <w:rPr>
          <w:rFonts w:ascii="Times New Roman" w:hAnsi="Times New Roman" w:cs="Times New Roman"/>
          <w:i/>
          <w:iCs/>
          <w:sz w:val="24"/>
          <w:szCs w:val="24"/>
        </w:rPr>
        <w:t>Brevicoryne brassicae</w:t>
      </w:r>
      <w:r w:rsidRPr="00D6094E">
        <w:rPr>
          <w:rFonts w:ascii="Times New Roman" w:hAnsi="Times New Roman" w:cs="Times New Roman"/>
          <w:sz w:val="24"/>
          <w:szCs w:val="24"/>
        </w:rPr>
        <w:t xml:space="preserve"> by </w:t>
      </w:r>
      <w:r w:rsidRPr="00D6094E">
        <w:rPr>
          <w:rFonts w:ascii="Times New Roman" w:hAnsi="Times New Roman" w:cs="Times New Roman"/>
          <w:i/>
          <w:iCs/>
          <w:sz w:val="24"/>
          <w:szCs w:val="24"/>
        </w:rPr>
        <w:t>Pseudomonas putida</w:t>
      </w:r>
      <w:r w:rsidRPr="00D6094E">
        <w:rPr>
          <w:rFonts w:ascii="Times New Roman" w:hAnsi="Times New Roman" w:cs="Times New Roman"/>
          <w:sz w:val="24"/>
          <w:szCs w:val="24"/>
        </w:rPr>
        <w:t xml:space="preserve"> and salicylic acid in canola. Bull. Entomol. Res. 110, 597–610. https://doi.org/10.1017/S0007485320000097</w:t>
      </w:r>
    </w:p>
    <w:p w14:paraId="291F0F5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Kim, J.H., Jander, G., 2007. </w:t>
      </w:r>
      <w:r w:rsidRPr="00D6094E">
        <w:rPr>
          <w:rFonts w:ascii="Times New Roman" w:hAnsi="Times New Roman" w:cs="Times New Roman"/>
          <w:i/>
          <w:iCs/>
          <w:sz w:val="24"/>
          <w:szCs w:val="24"/>
        </w:rPr>
        <w:t>Myzus persicae</w:t>
      </w:r>
      <w:r w:rsidRPr="00D6094E">
        <w:rPr>
          <w:rFonts w:ascii="Times New Roman" w:hAnsi="Times New Roman" w:cs="Times New Roman"/>
          <w:sz w:val="24"/>
          <w:szCs w:val="24"/>
        </w:rPr>
        <w:t xml:space="preserve"> (green peach aphid) feeding on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induces the formation of a deterrent indole glucosinolate: Aphid-induced glucosinolate changes. The Plant Journal 49, 1008–1019. https://doi.org/10.1111/j.1365-313X.2006.03019.x</w:t>
      </w:r>
    </w:p>
    <w:p w14:paraId="279BBDF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Kim, P.D., Šašek, V., Burketová, L., Čopíková, J., Synytsya, A., Jindřichová, B., Valentová, O., 2013. Cell wall components of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xml:space="preserve"> enhance resistance of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J. Agric. Food Chem. 61, 5207–5214. https://doi.org/10.1021/jf401221v</w:t>
      </w:r>
    </w:p>
    <w:p w14:paraId="1CD38C44"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Kissen, R., Rossiter, J.T., Bones, A.M., 2009. The ‘mustard oil bomb’: not so easy to assemble?! Localization, expression and distribution of the components of the myrosinase enzyme system. Phytochem Rev 8, 69–86. https://doi.org/10.1007/s11101-008-9109-1</w:t>
      </w:r>
    </w:p>
    <w:p w14:paraId="7AB8D6E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Kittipol, V., He, Z., Wang, L., Doheny-Adams, T., Langer, S., Bancroft, I., 2019. Genetic architecture of glucosinolate variation in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Journal of Plant Physiology 240, 152988. https://doi.org/10.1016/j.jplph.2019.06.001</w:t>
      </w:r>
    </w:p>
    <w:p w14:paraId="20186F3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Klopsch, R., Witzel, K., Artemyeva, A., Ruppel, S., Hanschen, F.S., 2018. Genotypic variation of glucosinolates and their breakdown products in leaves of </w:t>
      </w:r>
      <w:r w:rsidRPr="00D6094E">
        <w:rPr>
          <w:rFonts w:ascii="Times New Roman" w:hAnsi="Times New Roman" w:cs="Times New Roman"/>
          <w:i/>
          <w:iCs/>
          <w:sz w:val="24"/>
          <w:szCs w:val="24"/>
        </w:rPr>
        <w:t>Brassica rapa</w:t>
      </w:r>
      <w:r w:rsidRPr="00D6094E">
        <w:rPr>
          <w:rFonts w:ascii="Times New Roman" w:hAnsi="Times New Roman" w:cs="Times New Roman"/>
          <w:sz w:val="24"/>
          <w:szCs w:val="24"/>
        </w:rPr>
        <w:t>. J. Agric. Food Chem. 66, 5481–5490. https://doi.org/10.1021/acs.jafc.8b01038</w:t>
      </w:r>
    </w:p>
    <w:p w14:paraId="646EBBEF"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Knoblauch, M., van Bel, A.J.E., 1998. Sieve tubes in action. Plant Cell 10, 35–50. https://doi.org/10.1105/tpc.10.1.35</w:t>
      </w:r>
    </w:p>
    <w:p w14:paraId="072CB9D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Koroleva, O.A., Davies, A., Deeken, R., Thorpe, M.R., Tomos, A.D., Hedrich, R., 2000. Identification of a new glucosinolate-rich cell type in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flower stalk. Plant Physiology 124, 599–608. https://doi.org/10.1104/pp.124.2.599</w:t>
      </w:r>
    </w:p>
    <w:p w14:paraId="59E108F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Kouzai, Y., Noutoshi, Y., Inoue, K., Shimizu, M., Onda, Y., Mochida, K., 2018. Benzothiadiazole, a plant defense inducer, negatively regulates sheath blight resistance in </w:t>
      </w:r>
      <w:r w:rsidRPr="00D6094E">
        <w:rPr>
          <w:rFonts w:ascii="Times New Roman" w:hAnsi="Times New Roman" w:cs="Times New Roman"/>
          <w:i/>
          <w:iCs/>
          <w:sz w:val="24"/>
          <w:szCs w:val="24"/>
        </w:rPr>
        <w:t>Brachypodium distachyon</w:t>
      </w:r>
      <w:r w:rsidRPr="00D6094E">
        <w:rPr>
          <w:rFonts w:ascii="Times New Roman" w:hAnsi="Times New Roman" w:cs="Times New Roman"/>
          <w:sz w:val="24"/>
          <w:szCs w:val="24"/>
        </w:rPr>
        <w:t>. Sci Rep 8, 17358. https://doi.org/10.1038/s41598-018-35790-w</w:t>
      </w:r>
    </w:p>
    <w:p w14:paraId="2921287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Krčková, Z., Kocourková, D., Daněk, M., Brouzdová, J., Pejchar, P., Janda, M., Pokotylo, I., Ott, P.G., Valentová, O., Martinec, J., 2018. The </w:t>
      </w:r>
      <w:r w:rsidRPr="00D6094E">
        <w:rPr>
          <w:rFonts w:ascii="Times New Roman" w:hAnsi="Times New Roman" w:cs="Times New Roman"/>
          <w:i/>
          <w:iCs/>
          <w:sz w:val="24"/>
          <w:szCs w:val="24"/>
        </w:rPr>
        <w:t>Arabidopsis thaliana</w:t>
      </w:r>
      <w:r w:rsidRPr="00D6094E">
        <w:rPr>
          <w:rFonts w:ascii="Times New Roman" w:hAnsi="Times New Roman" w:cs="Times New Roman"/>
          <w:sz w:val="24"/>
          <w:szCs w:val="24"/>
        </w:rPr>
        <w:t xml:space="preserve"> non-specific phospholipase C2 is involved in the response to </w:t>
      </w:r>
      <w:r w:rsidRPr="00D6094E">
        <w:rPr>
          <w:rFonts w:ascii="Times New Roman" w:hAnsi="Times New Roman" w:cs="Times New Roman"/>
          <w:i/>
          <w:iCs/>
          <w:sz w:val="24"/>
          <w:szCs w:val="24"/>
        </w:rPr>
        <w:t>Pseudomonas syringae</w:t>
      </w:r>
      <w:r w:rsidRPr="00D6094E">
        <w:rPr>
          <w:rFonts w:ascii="Times New Roman" w:hAnsi="Times New Roman" w:cs="Times New Roman"/>
          <w:sz w:val="24"/>
          <w:szCs w:val="24"/>
        </w:rPr>
        <w:t xml:space="preserve"> attack. Annals of Botany 121, 297–310. https://doi.org/10.1093/aob/mcx160</w:t>
      </w:r>
    </w:p>
    <w:p w14:paraId="781972E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Kroes, A., Broekgaarden, C., Castellanos Uribe, M., May, S., van Loon, J.J.A., Dicke, M., 2017a. </w:t>
      </w:r>
      <w:r w:rsidRPr="00D6094E">
        <w:rPr>
          <w:rFonts w:ascii="Times New Roman" w:hAnsi="Times New Roman" w:cs="Times New Roman"/>
          <w:i/>
          <w:iCs/>
          <w:sz w:val="24"/>
          <w:szCs w:val="24"/>
        </w:rPr>
        <w:t>Brevicoryne brassicae</w:t>
      </w:r>
      <w:r w:rsidRPr="00D6094E">
        <w:rPr>
          <w:rFonts w:ascii="Times New Roman" w:hAnsi="Times New Roman" w:cs="Times New Roman"/>
          <w:sz w:val="24"/>
          <w:szCs w:val="24"/>
        </w:rPr>
        <w:t xml:space="preserve"> aphids interfere with transcriptome responses of </w:t>
      </w:r>
      <w:r w:rsidRPr="00D6094E">
        <w:rPr>
          <w:rFonts w:ascii="Times New Roman" w:hAnsi="Times New Roman" w:cs="Times New Roman"/>
          <w:i/>
          <w:iCs/>
          <w:sz w:val="24"/>
          <w:szCs w:val="24"/>
        </w:rPr>
        <w:t>Arabidopsis thaliana</w:t>
      </w:r>
      <w:r w:rsidRPr="00D6094E">
        <w:rPr>
          <w:rFonts w:ascii="Times New Roman" w:hAnsi="Times New Roman" w:cs="Times New Roman"/>
          <w:sz w:val="24"/>
          <w:szCs w:val="24"/>
        </w:rPr>
        <w:t xml:space="preserve"> to feeding by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xml:space="preserve"> caterpillars in a density-dependent manner. Oecologia 183, 107–120. https://doi.org/10.1007/s00442-016-3758-3</w:t>
      </w:r>
    </w:p>
    <w:p w14:paraId="035A11CA"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 xml:space="preserve">Kroes, A., Weldegergis, B.T., Cappai, F., Dicke, M., van Loon, J.J.A., 2017b. Terpenoid biosynthesis in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attacked by caterpillars and aphids: effects of aphid density on the attraction of a caterpillar parasitoid. </w:t>
      </w:r>
      <w:r w:rsidRPr="00D6094E">
        <w:rPr>
          <w:rFonts w:ascii="Times New Roman" w:hAnsi="Times New Roman" w:cs="Times New Roman"/>
          <w:sz w:val="24"/>
          <w:szCs w:val="24"/>
          <w:lang w:val="es-VE"/>
        </w:rPr>
        <w:t>Oecologia 185, 699–712. https://doi.org/10.1007/s00442-017-3985-2</w:t>
      </w:r>
    </w:p>
    <w:p w14:paraId="31692E4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Kugimiya, S., Shimoda, T., Tabata, J., Takabayashi, J., 2010. </w:t>
      </w:r>
      <w:r w:rsidRPr="00D6094E">
        <w:rPr>
          <w:rFonts w:ascii="Times New Roman" w:hAnsi="Times New Roman" w:cs="Times New Roman"/>
          <w:sz w:val="24"/>
          <w:szCs w:val="24"/>
        </w:rPr>
        <w:t xml:space="preserve">Present or past herbivory: a screening of volatiles released from </w:t>
      </w:r>
      <w:r w:rsidRPr="00D6094E">
        <w:rPr>
          <w:rFonts w:ascii="Times New Roman" w:hAnsi="Times New Roman" w:cs="Times New Roman"/>
          <w:i/>
          <w:iCs/>
          <w:sz w:val="24"/>
          <w:szCs w:val="24"/>
        </w:rPr>
        <w:t>Brassica rapa</w:t>
      </w:r>
      <w:r w:rsidRPr="00D6094E">
        <w:rPr>
          <w:rFonts w:ascii="Times New Roman" w:hAnsi="Times New Roman" w:cs="Times New Roman"/>
          <w:sz w:val="24"/>
          <w:szCs w:val="24"/>
        </w:rPr>
        <w:t xml:space="preserve"> under caterpillar attacks as attractants for the solitary parasitoid, </w:t>
      </w:r>
      <w:r w:rsidRPr="00D6094E">
        <w:rPr>
          <w:rFonts w:ascii="Times New Roman" w:hAnsi="Times New Roman" w:cs="Times New Roman"/>
          <w:i/>
          <w:iCs/>
          <w:sz w:val="24"/>
          <w:szCs w:val="24"/>
        </w:rPr>
        <w:t>Cotesia vestalis</w:t>
      </w:r>
      <w:r w:rsidRPr="00D6094E">
        <w:rPr>
          <w:rFonts w:ascii="Times New Roman" w:hAnsi="Times New Roman" w:cs="Times New Roman"/>
          <w:sz w:val="24"/>
          <w:szCs w:val="24"/>
        </w:rPr>
        <w:t>. J Chem Ecol 36, 620–628. https://doi.org/10.1007/s10886-010-9802-6</w:t>
      </w:r>
    </w:p>
    <w:p w14:paraId="2B202C1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Kumar, S., 2017. Plant secondary metabolites (PSMs) of Brassicaceae and their role in plant defense against insect herbivores – A review. JANS 9, 508–519. https://doi.org/10.31018/jans.v9i1.1222</w:t>
      </w:r>
    </w:p>
    <w:p w14:paraId="0C49065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Kuśnierczyk, A., Tran, D.H., Winge, P., Jørstad, T.S., Reese, J.C., Troczyńska, J., Bones, A.M., 2011. Testing the importance of jasmonate signalling in induction of plant defences upon cabbage aphid (</w:t>
      </w:r>
      <w:r w:rsidRPr="00D6094E">
        <w:rPr>
          <w:rFonts w:ascii="Times New Roman" w:hAnsi="Times New Roman" w:cs="Times New Roman"/>
          <w:i/>
          <w:iCs/>
          <w:sz w:val="24"/>
          <w:szCs w:val="24"/>
        </w:rPr>
        <w:t>Brevicoryne brassicae</w:t>
      </w:r>
      <w:r w:rsidRPr="00D6094E">
        <w:rPr>
          <w:rFonts w:ascii="Times New Roman" w:hAnsi="Times New Roman" w:cs="Times New Roman"/>
          <w:sz w:val="24"/>
          <w:szCs w:val="24"/>
        </w:rPr>
        <w:t>) attack. BMC Genomics 12, 423. https://doi.org/10.1186/1471-2164-12-423</w:t>
      </w:r>
    </w:p>
    <w:p w14:paraId="6885EF9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Kuśnierczyk, A., Winge, P., Jrstad, T.S., Troczyska, J., Rossiter, J.T., Bones, A.M., 2008. Towards global understanding of plant defence against aphids timing and dynamics of early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defence responses to cabbage aphid (</w:t>
      </w:r>
      <w:r w:rsidRPr="00D6094E">
        <w:rPr>
          <w:rFonts w:ascii="Times New Roman" w:hAnsi="Times New Roman" w:cs="Times New Roman"/>
          <w:i/>
          <w:iCs/>
          <w:sz w:val="24"/>
          <w:szCs w:val="24"/>
        </w:rPr>
        <w:t>Brevicoryne brassicae</w:t>
      </w:r>
      <w:r w:rsidRPr="00D6094E">
        <w:rPr>
          <w:rFonts w:ascii="Times New Roman" w:hAnsi="Times New Roman" w:cs="Times New Roman"/>
          <w:sz w:val="24"/>
          <w:szCs w:val="24"/>
        </w:rPr>
        <w:t>) attack. Plant, Cell &amp; Environment 31, 1097–1115. https://doi.org/10.1111/j.1365-3040.2008.01823.x</w:t>
      </w:r>
    </w:p>
    <w:p w14:paraId="7545F4A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Kuśnierczyk, A., Winge, P., Midelfart, H., Armbruster, W.S., Rossiter, J.T., Bones, A.M., 2007. Transcriptional responses of </w:t>
      </w:r>
      <w:r w:rsidRPr="00D6094E">
        <w:rPr>
          <w:rFonts w:ascii="Times New Roman" w:hAnsi="Times New Roman" w:cs="Times New Roman"/>
          <w:i/>
          <w:iCs/>
          <w:sz w:val="24"/>
          <w:szCs w:val="24"/>
        </w:rPr>
        <w:t>Arabidopsis thaliana</w:t>
      </w:r>
      <w:r w:rsidRPr="00D6094E">
        <w:rPr>
          <w:rFonts w:ascii="Times New Roman" w:hAnsi="Times New Roman" w:cs="Times New Roman"/>
          <w:sz w:val="24"/>
          <w:szCs w:val="24"/>
        </w:rPr>
        <w:t xml:space="preserve"> ecotypes with different glucosinolate profiles after attack by polyphagous </w:t>
      </w:r>
      <w:r w:rsidRPr="00D6094E">
        <w:rPr>
          <w:rFonts w:ascii="Times New Roman" w:hAnsi="Times New Roman" w:cs="Times New Roman"/>
          <w:i/>
          <w:iCs/>
          <w:sz w:val="24"/>
          <w:szCs w:val="24"/>
        </w:rPr>
        <w:t>Myzus persicae</w:t>
      </w:r>
      <w:r w:rsidRPr="00D6094E">
        <w:rPr>
          <w:rFonts w:ascii="Times New Roman" w:hAnsi="Times New Roman" w:cs="Times New Roman"/>
          <w:sz w:val="24"/>
          <w:szCs w:val="24"/>
        </w:rPr>
        <w:t xml:space="preserve"> and oligophagous </w:t>
      </w:r>
      <w:r w:rsidRPr="00D6094E">
        <w:rPr>
          <w:rFonts w:ascii="Times New Roman" w:hAnsi="Times New Roman" w:cs="Times New Roman"/>
          <w:i/>
          <w:iCs/>
          <w:sz w:val="24"/>
          <w:szCs w:val="24"/>
        </w:rPr>
        <w:t>Brevicoryne brassicae</w:t>
      </w:r>
      <w:r w:rsidRPr="00D6094E">
        <w:rPr>
          <w:rFonts w:ascii="Times New Roman" w:hAnsi="Times New Roman" w:cs="Times New Roman"/>
          <w:sz w:val="24"/>
          <w:szCs w:val="24"/>
        </w:rPr>
        <w:t>. Journal of Experimental Botany 58, 2537–2552. https://doi.org/10.1093/jxb/erm043</w:t>
      </w:r>
    </w:p>
    <w:p w14:paraId="17C6D73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Lancashire, P.D., Bleiholder, H., Boom, T.V.D., Langelüddeke, P., Stauss, R., Weber, E., Witzenberger, A., 1991. A uniform decimal code for growth stages of crops and weeds. Annals of Applied Biology 119, 561–601. https://doi.org/10.1111/j.1744-7348.1991.tb04895.x</w:t>
      </w:r>
    </w:p>
    <w:p w14:paraId="423A8C2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Lawton, K.A., Friedrich, L., Hunt, M., Weymann, K., Delaney, T., Kessmann, H., Staub, T., Ryals, J., 1996. Benzothiadiazole induces disease resistance in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by activation of the systemic acquired resistance signal transduction pathway. Plant J 10, 71–82. https://doi.org/10.1046/j.1365-313X.1996.10010071.x</w:t>
      </w:r>
    </w:p>
    <w:p w14:paraId="5B20939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Lefevere, H., Bauters, L., Gheysen, G., 2020. Salicylic acid biosynthesis in plants. Front. Plant Sci. 11, 338. https://doi.org/10.3389/fpls.2020.00338</w:t>
      </w:r>
    </w:p>
    <w:p w14:paraId="0BCA90E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Lenth, R., Singmann, H., Love, J., Buerkner, P., Herve, M., 2019. Package </w:t>
      </w:r>
      <w:r w:rsidRPr="00D6094E">
        <w:rPr>
          <w:rFonts w:ascii="Times New Roman" w:hAnsi="Times New Roman" w:cs="Times New Roman"/>
          <w:i/>
          <w:iCs/>
          <w:sz w:val="24"/>
          <w:szCs w:val="24"/>
        </w:rPr>
        <w:t>“emmeans.”</w:t>
      </w:r>
    </w:p>
    <w:p w14:paraId="752686BF"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Leontovyčová, H., Trdá, L., Dobrev, P.I., Šašek, V., Gay, E., Balesdent, M.-H., Burketová, L., 2020. Auxin biosynthesis in the phytopathogenic fungus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xml:space="preserve"> is associated with enhanced transcription of indole-3-pyruvate decarboxylase LmIPDC2 and tryptophan aminotransferase LmTAM1. Research in Microbiology 171, 174–184. https://doi.org/10.1016/j.resmic.2020.05.001</w:t>
      </w:r>
    </w:p>
    <w:p w14:paraId="620C457F"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 xml:space="preserve">Li, H., Yu, Y., Li, Z., Arkorful, E., Yang, Y., Liu, X., Li, X., Li, R., 2018. Benzothiadiazole and B-aminobutyric acid induce resistance to </w:t>
      </w:r>
      <w:r w:rsidRPr="00D6094E">
        <w:rPr>
          <w:rFonts w:ascii="Times New Roman" w:hAnsi="Times New Roman" w:cs="Times New Roman"/>
          <w:i/>
          <w:iCs/>
          <w:sz w:val="24"/>
          <w:szCs w:val="24"/>
        </w:rPr>
        <w:t>Ectropis Obliqua</w:t>
      </w:r>
      <w:r w:rsidRPr="00D6094E">
        <w:rPr>
          <w:rFonts w:ascii="Times New Roman" w:hAnsi="Times New Roman" w:cs="Times New Roman"/>
          <w:sz w:val="24"/>
          <w:szCs w:val="24"/>
        </w:rPr>
        <w:t xml:space="preserve"> in tea plants (</w:t>
      </w:r>
      <w:r w:rsidRPr="00D6094E">
        <w:rPr>
          <w:rFonts w:ascii="Times New Roman" w:hAnsi="Times New Roman" w:cs="Times New Roman"/>
          <w:i/>
          <w:iCs/>
          <w:sz w:val="24"/>
          <w:szCs w:val="24"/>
        </w:rPr>
        <w:t>Camellia Sinensis</w:t>
      </w:r>
      <w:r w:rsidRPr="00D6094E">
        <w:rPr>
          <w:rFonts w:ascii="Times New Roman" w:hAnsi="Times New Roman" w:cs="Times New Roman"/>
          <w:sz w:val="24"/>
          <w:szCs w:val="24"/>
        </w:rPr>
        <w:t xml:space="preserve"> (L.) O. Kuntz). </w:t>
      </w:r>
      <w:r w:rsidRPr="00D6094E">
        <w:rPr>
          <w:rFonts w:ascii="Times New Roman" w:hAnsi="Times New Roman" w:cs="Times New Roman"/>
          <w:sz w:val="24"/>
          <w:szCs w:val="24"/>
          <w:lang w:val="es-VE"/>
        </w:rPr>
        <w:t>Molecules 23, 1290. https://doi.org/10.3390/molecules23061290</w:t>
      </w:r>
    </w:p>
    <w:p w14:paraId="0BD2F99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Li, J., Brader, G., Kariola, T., Tapio Palva, E., 2006. </w:t>
      </w:r>
      <w:r w:rsidRPr="00D6094E">
        <w:rPr>
          <w:rFonts w:ascii="Times New Roman" w:hAnsi="Times New Roman" w:cs="Times New Roman"/>
          <w:sz w:val="24"/>
          <w:szCs w:val="24"/>
        </w:rPr>
        <w:t>WRKY70 modulates the selection of signaling pathways in plant defense. The Plant Journal 46, 477–491. https://doi.org/10.1111/j.1365-313X.2006.02712.x</w:t>
      </w:r>
    </w:p>
    <w:p w14:paraId="37BD271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Li, J., Brader, G., Palva, E.T., 2004. The WRKY70 transcription factor: A node of convergence for jasmonate-mediated and salicylate-mediated signals in plant defense. The Plant Cell 16, 319–331. https://doi.org/10.1105/tpc.016980</w:t>
      </w:r>
    </w:p>
    <w:p w14:paraId="6E924B8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Li, N., Han, X., Feng, D., Yuan, D., Huang, L.-J., 2019. Signaling crosstalk between salicylic acid and ethylene/jasmonate in plant defense: Do we understand what they are whispering? IJMS 20, 671. https://doi.org/10.3390/ijms20030671</w:t>
      </w:r>
    </w:p>
    <w:p w14:paraId="7D68DC5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Li, Q., Eigenbrode, S.D., Stringam, G., Thiagarajah, M., 2000. Feeding and growth of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xml:space="preserve"> and </w:t>
      </w:r>
      <w:r w:rsidRPr="00D6094E">
        <w:rPr>
          <w:rFonts w:ascii="Times New Roman" w:hAnsi="Times New Roman" w:cs="Times New Roman"/>
          <w:i/>
          <w:iCs/>
          <w:sz w:val="24"/>
          <w:szCs w:val="24"/>
        </w:rPr>
        <w:t>Spodoptera eridania</w:t>
      </w:r>
      <w:r w:rsidRPr="00D6094E">
        <w:rPr>
          <w:rFonts w:ascii="Times New Roman" w:hAnsi="Times New Roman" w:cs="Times New Roman"/>
          <w:sz w:val="24"/>
          <w:szCs w:val="24"/>
        </w:rPr>
        <w:t xml:space="preserve"> on </w:t>
      </w:r>
      <w:r w:rsidRPr="00D6094E">
        <w:rPr>
          <w:rFonts w:ascii="Times New Roman" w:hAnsi="Times New Roman" w:cs="Times New Roman"/>
          <w:i/>
          <w:iCs/>
          <w:sz w:val="24"/>
          <w:szCs w:val="24"/>
        </w:rPr>
        <w:t>Brassica juncea</w:t>
      </w:r>
      <w:r w:rsidRPr="00D6094E">
        <w:rPr>
          <w:rFonts w:ascii="Times New Roman" w:hAnsi="Times New Roman" w:cs="Times New Roman"/>
          <w:sz w:val="24"/>
          <w:szCs w:val="24"/>
        </w:rPr>
        <w:t xml:space="preserve"> with varying glucosinolate concentrations and myrosinase activities. Journal of chemical ecology 26, 2401–2419.</w:t>
      </w:r>
    </w:p>
    <w:p w14:paraId="3AD94B4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Li, R., Hu, Y., Yang, Y., Wang, W., Shen, J., 2016. Changes of insect-resistance relative physiology indexes induced by low molecular compounds in tea plant. Southwest China Journal of Agricultural Sciences 29, 1600–1606.</w:t>
      </w:r>
    </w:p>
    <w:p w14:paraId="3D297E4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Liao, X., Lovett, B., Fang, W., St Leger, R.J., 2017. </w:t>
      </w:r>
      <w:r w:rsidRPr="00D6094E">
        <w:rPr>
          <w:rFonts w:ascii="Times New Roman" w:hAnsi="Times New Roman" w:cs="Times New Roman"/>
          <w:i/>
          <w:iCs/>
          <w:sz w:val="24"/>
          <w:szCs w:val="24"/>
        </w:rPr>
        <w:t>Metarhizium robertsii</w:t>
      </w:r>
      <w:r w:rsidRPr="00D6094E">
        <w:rPr>
          <w:rFonts w:ascii="Times New Roman" w:hAnsi="Times New Roman" w:cs="Times New Roman"/>
          <w:sz w:val="24"/>
          <w:szCs w:val="24"/>
        </w:rPr>
        <w:t xml:space="preserve"> produces indole-3-acetic acid, which promotes root growth in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and enhances virulence to insects. Microbiology 163, 980–991. https://doi.org/10.1099/mic.0.000494</w:t>
      </w:r>
    </w:p>
    <w:p w14:paraId="7BDED01F"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Liu, S.-S., Chen, F.-Z., Zalucki, M.P., 2002. Development and survival of the diamondback moth (Lepidoptera: Plutellidae) at constant and alternating temperatures. Environ Entomol 31, 221–231. https://doi.org/10.1603/0046-225X-31.2.221</w:t>
      </w:r>
    </w:p>
    <w:p w14:paraId="2DE31D0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Liu, X.-L., Zhang, J., Yan, Q., Miao, C.-L., Han, W.-K., Hou, W., Yang, K., Hansson, B.S., Peng, Y.-C., Guo, J.-M., Xu, H., Wang, C.-Z., Dong, S.-L., Knaden, M., 2020. The molecular basis of host selection in a crucifer-specialized moth. Current Biology 30, 4476-4482.e5. https://doi.org/10.1016/j.cub.2020.08.047</w:t>
      </w:r>
    </w:p>
    <w:p w14:paraId="7CDDD22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López Sánchez, A., Stassen, J.H.M., Furci, L., Smith, L.M., Ton, J., 2016. The role of DNA (de)methylation in immune responsiveness of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Plant J 88, 361–374. https://doi.org/10.1111/tpj.13252</w:t>
      </w:r>
    </w:p>
    <w:p w14:paraId="64D369D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Lotze, M.T., Zeh, H.J., Rubartelli, A., Sparvero, L.J., Amoscato, A.A., Washburn, N.R., DeVera, M.E., Liang, X., Tör, M., Billiar, T., 2007. The grateful dead: damage-associated molecular pattern molecules and reduction/oxidation regulate immunity. Immunol Rev 220, 60–81. https://doi.org/10.1111/j.1600-065X.2007.00579.x</w:t>
      </w:r>
    </w:p>
    <w:p w14:paraId="1D8F86B7"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Lowe, R.G.T., Cassin, A., Grandaubert, J., Clark, B.L., Van de Wouw, A.P., Rouxel, T., Howlett, B.J., 2014. Genomes and transcriptomes of partners in plant-fungal interactions between canola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xml:space="preserve">) and two </w:t>
      </w:r>
      <w:r w:rsidRPr="00D6094E">
        <w:rPr>
          <w:rFonts w:ascii="Times New Roman" w:hAnsi="Times New Roman" w:cs="Times New Roman"/>
          <w:i/>
          <w:iCs/>
          <w:sz w:val="24"/>
          <w:szCs w:val="24"/>
        </w:rPr>
        <w:t>Leptosphaeria</w:t>
      </w:r>
      <w:r w:rsidRPr="00D6094E">
        <w:rPr>
          <w:rFonts w:ascii="Times New Roman" w:hAnsi="Times New Roman" w:cs="Times New Roman"/>
          <w:sz w:val="24"/>
          <w:szCs w:val="24"/>
        </w:rPr>
        <w:t xml:space="preserve"> species. </w:t>
      </w:r>
      <w:r w:rsidRPr="00D6094E">
        <w:rPr>
          <w:rFonts w:ascii="Times New Roman" w:hAnsi="Times New Roman" w:cs="Times New Roman"/>
          <w:sz w:val="24"/>
          <w:szCs w:val="24"/>
          <w:lang w:val="es-VE"/>
        </w:rPr>
        <w:t>PLoS ONE 9, e103098. https://doi.org/10.1371/journal.pone.0103098</w:t>
      </w:r>
    </w:p>
    <w:p w14:paraId="262FE3C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Lozano-Tovar, M.D., Garrido-Jurado, I., Quesada-Moraga, E., Raya-Ortega, M.C., Trapero-Casas, A., 2017. </w:t>
      </w:r>
      <w:r w:rsidRPr="00D6094E">
        <w:rPr>
          <w:rFonts w:ascii="Times New Roman" w:hAnsi="Times New Roman" w:cs="Times New Roman"/>
          <w:i/>
          <w:iCs/>
          <w:sz w:val="24"/>
          <w:szCs w:val="24"/>
        </w:rPr>
        <w:t>Metarhizium brunneum</w:t>
      </w:r>
      <w:r w:rsidRPr="00D6094E">
        <w:rPr>
          <w:rFonts w:ascii="Times New Roman" w:hAnsi="Times New Roman" w:cs="Times New Roman"/>
          <w:sz w:val="24"/>
          <w:szCs w:val="24"/>
        </w:rPr>
        <w:t xml:space="preserve"> and </w:t>
      </w:r>
      <w:r w:rsidRPr="00D6094E">
        <w:rPr>
          <w:rFonts w:ascii="Times New Roman" w:hAnsi="Times New Roman" w:cs="Times New Roman"/>
          <w:i/>
          <w:iCs/>
          <w:sz w:val="24"/>
          <w:szCs w:val="24"/>
        </w:rPr>
        <w:t>Beauveria bassiana</w:t>
      </w:r>
      <w:r w:rsidRPr="00D6094E">
        <w:rPr>
          <w:rFonts w:ascii="Times New Roman" w:hAnsi="Times New Roman" w:cs="Times New Roman"/>
          <w:sz w:val="24"/>
          <w:szCs w:val="24"/>
        </w:rPr>
        <w:t xml:space="preserve"> release secondary metabolites with antagonistic activity against </w:t>
      </w:r>
      <w:r w:rsidRPr="00D6094E">
        <w:rPr>
          <w:rFonts w:ascii="Times New Roman" w:hAnsi="Times New Roman" w:cs="Times New Roman"/>
          <w:i/>
          <w:iCs/>
          <w:sz w:val="24"/>
          <w:szCs w:val="24"/>
        </w:rPr>
        <w:t>Verticillium dahliae</w:t>
      </w:r>
      <w:r w:rsidRPr="00D6094E">
        <w:rPr>
          <w:rFonts w:ascii="Times New Roman" w:hAnsi="Times New Roman" w:cs="Times New Roman"/>
          <w:sz w:val="24"/>
          <w:szCs w:val="24"/>
        </w:rPr>
        <w:t xml:space="preserve"> and </w:t>
      </w:r>
      <w:r w:rsidRPr="00D6094E">
        <w:rPr>
          <w:rFonts w:ascii="Times New Roman" w:hAnsi="Times New Roman" w:cs="Times New Roman"/>
          <w:i/>
          <w:iCs/>
          <w:sz w:val="24"/>
          <w:szCs w:val="24"/>
        </w:rPr>
        <w:t>Phytophthora megasperma</w:t>
      </w:r>
      <w:r w:rsidRPr="00D6094E">
        <w:rPr>
          <w:rFonts w:ascii="Times New Roman" w:hAnsi="Times New Roman" w:cs="Times New Roman"/>
          <w:sz w:val="24"/>
          <w:szCs w:val="24"/>
        </w:rPr>
        <w:t xml:space="preserve"> olive pathogens. Crop Protection 100, 186–195. https://doi.org/10.1016/j.cropro.2017.06.026</w:t>
      </w:r>
    </w:p>
    <w:p w14:paraId="16417C0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Lugtenberg, B.J.J., Caradus, J.R., Johnson, L.J., 2016. Fungal endophytes for sustainable crop production. FEMS Microbiology Ecology 92, fiw194. https://doi.org/10.1093/femsec/fiw194</w:t>
      </w:r>
    </w:p>
    <w:p w14:paraId="6940816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Macaulay, K.M., Heath, G.A., Ciulli, A., Murphy, A.M., Abell, C., Carr, J.P., Smith, A.G., 2017. The biochemical properties of the two </w:t>
      </w:r>
      <w:r w:rsidRPr="00D6094E">
        <w:rPr>
          <w:rFonts w:ascii="Times New Roman" w:hAnsi="Times New Roman" w:cs="Times New Roman"/>
          <w:i/>
          <w:iCs/>
          <w:sz w:val="24"/>
          <w:szCs w:val="24"/>
        </w:rPr>
        <w:t>Arabidopsis thaliana</w:t>
      </w:r>
      <w:r w:rsidRPr="00D6094E">
        <w:rPr>
          <w:rFonts w:ascii="Times New Roman" w:hAnsi="Times New Roman" w:cs="Times New Roman"/>
          <w:sz w:val="24"/>
          <w:szCs w:val="24"/>
        </w:rPr>
        <w:t xml:space="preserve"> isochorismate synthases. Biochemical Journal 474, 1579–1590. https://doi.org/10.1042/BCJ20161069</w:t>
      </w:r>
    </w:p>
    <w:p w14:paraId="6AB1D46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Machado, B.B., Orue, J.P.M., Arruda, M.S., Santos, C.V., Sarath, D.S., Goncalves, W.N., Silva, G.G., Pistori, H., Roel, A.R., Rodrigues-Jr, J.F., 2016. BioLeaf: a professional mobile application to measure foliar damage caused by insect herbivory. Computers and Electronics in Agriculture 129, 44–55. https://doi.org/10.1016/j.compag.2016.09.007</w:t>
      </w:r>
    </w:p>
    <w:p w14:paraId="432DD718"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 xml:space="preserve">Marhavý, P., Kurenda, A., Siddique, S., Dénervaud Tendon, V., Zhou, F., Holbein, J., Hasan, M.S., Grundler, F.M., Farmer, E.E., Geldner, N., 2019. Single‐cell damage elicits regional, nematode‐restricting ethylene responses in roots. </w:t>
      </w:r>
      <w:r w:rsidRPr="00D6094E">
        <w:rPr>
          <w:rFonts w:ascii="Times New Roman" w:hAnsi="Times New Roman" w:cs="Times New Roman"/>
          <w:sz w:val="24"/>
          <w:szCs w:val="24"/>
          <w:lang w:val="es-VE"/>
        </w:rPr>
        <w:t>EMBO J 38. https://doi.org/10.15252/embj.2018100972</w:t>
      </w:r>
    </w:p>
    <w:p w14:paraId="50A19A9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Merkx-Jacques, M., Bede, J.C., 2005. </w:t>
      </w:r>
      <w:r w:rsidRPr="00D6094E">
        <w:rPr>
          <w:rFonts w:ascii="Times New Roman" w:hAnsi="Times New Roman" w:cs="Times New Roman"/>
          <w:sz w:val="24"/>
          <w:szCs w:val="24"/>
        </w:rPr>
        <w:t xml:space="preserve">Influence of diet on the larval beet armyworm, </w:t>
      </w:r>
      <w:r w:rsidRPr="00D6094E">
        <w:rPr>
          <w:rFonts w:ascii="Times New Roman" w:hAnsi="Times New Roman" w:cs="Times New Roman"/>
          <w:i/>
          <w:iCs/>
          <w:sz w:val="24"/>
          <w:szCs w:val="24"/>
        </w:rPr>
        <w:t>Spodoptera exigua</w:t>
      </w:r>
      <w:r w:rsidRPr="00D6094E">
        <w:rPr>
          <w:rFonts w:ascii="Times New Roman" w:hAnsi="Times New Roman" w:cs="Times New Roman"/>
          <w:sz w:val="24"/>
          <w:szCs w:val="24"/>
        </w:rPr>
        <w:t>, glucose oxidase activity. Journal of Insect Science 5. https://doi.org/10.1093/jis/5.1.48</w:t>
      </w:r>
    </w:p>
    <w:p w14:paraId="62B4A21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Mewis, I., Appel, H.M., Hom, A., Raina, R., Schultz, J.C., 2005. Major signaling pathways modulate Arabidopsis glucosinolate accumulation and response to both phloem-feeding and chewing insects. Plant Physiol. 138, 1149–1162. https://doi.org/10.1104/pp.104.053389</w:t>
      </w:r>
    </w:p>
    <w:p w14:paraId="46BC3E2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Mezgebe, A., Azerefegne, F., 2021. Effect of water stress on glucosinolate content of </w:t>
      </w:r>
      <w:r w:rsidRPr="00D6094E">
        <w:rPr>
          <w:rFonts w:ascii="Times New Roman" w:hAnsi="Times New Roman" w:cs="Times New Roman"/>
          <w:i/>
          <w:iCs/>
          <w:sz w:val="24"/>
          <w:szCs w:val="24"/>
        </w:rPr>
        <w:t>Brassica carinata</w:t>
      </w:r>
      <w:r w:rsidRPr="00D6094E">
        <w:rPr>
          <w:rFonts w:ascii="Times New Roman" w:hAnsi="Times New Roman" w:cs="Times New Roman"/>
          <w:sz w:val="24"/>
          <w:szCs w:val="24"/>
        </w:rPr>
        <w:t xml:space="preserve"> and performance of </w:t>
      </w:r>
      <w:r w:rsidRPr="00D6094E">
        <w:rPr>
          <w:rFonts w:ascii="Times New Roman" w:hAnsi="Times New Roman" w:cs="Times New Roman"/>
          <w:i/>
          <w:iCs/>
          <w:sz w:val="24"/>
          <w:szCs w:val="24"/>
        </w:rPr>
        <w:t>Brevicoryne brassicae</w:t>
      </w:r>
      <w:r w:rsidRPr="00D6094E">
        <w:rPr>
          <w:rFonts w:ascii="Times New Roman" w:hAnsi="Times New Roman" w:cs="Times New Roman"/>
          <w:sz w:val="24"/>
          <w:szCs w:val="24"/>
        </w:rPr>
        <w:t xml:space="preserve"> and </w:t>
      </w:r>
      <w:r w:rsidRPr="00D6094E">
        <w:rPr>
          <w:rFonts w:ascii="Times New Roman" w:hAnsi="Times New Roman" w:cs="Times New Roman"/>
          <w:i/>
          <w:iCs/>
          <w:sz w:val="24"/>
          <w:szCs w:val="24"/>
        </w:rPr>
        <w:t>Myzus persicae</w:t>
      </w:r>
      <w:r w:rsidRPr="00D6094E">
        <w:rPr>
          <w:rFonts w:ascii="Times New Roman" w:hAnsi="Times New Roman" w:cs="Times New Roman"/>
          <w:sz w:val="24"/>
          <w:szCs w:val="24"/>
        </w:rPr>
        <w:t>. Int J Trop Insect Sci 41, 953–960. https://doi.org/10.1007/s42690-020-00340-3</w:t>
      </w:r>
    </w:p>
    <w:p w14:paraId="3EA83AA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Miles, P.W., 2007. Aphid saliva. Biological Reviews 74, 41–85. https://doi.org/10.1111/j.1469-185X.1999.tb00181.x</w:t>
      </w:r>
    </w:p>
    <w:p w14:paraId="56DFCBA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Miles, P.W., 1959. Secretion of two types of saliva by an aphid. Nature 183, 756–756. https://doi.org/10.1038/183756b0</w:t>
      </w:r>
    </w:p>
    <w:p w14:paraId="6294801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Mitreiter, S., Gigolashvili, T., 2021. Regulation of glucosinolate biosynthesis. Journal of Experimental Botany 72, 70–91. https://doi.org/10.1093/jxb/eraa479</w:t>
      </w:r>
    </w:p>
    <w:p w14:paraId="7603A61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Miya, A., Albert, P., Shinya, T., Desaki, Y., Ichimura, K., Shirasu, K., Narusaka, Y., Kawakami, N., Kaku, H., Shibuya, N., 2007. CERK1, a LysM receptor kinase, is essential for chitin elicitor signaling in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Proc. Natl. Acad. Sci. U.S.A. 104, 19613–19618. https://doi.org/10.1073/pnas.0705147104</w:t>
      </w:r>
    </w:p>
    <w:p w14:paraId="050773C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Miyazaki, J.H., Yang, S.F., 1987. Metabolism of 5-methylthioribose to methionine. Plant Physiol. 84, 277–281. https://doi.org/10.1104/pp.84.2.277</w:t>
      </w:r>
    </w:p>
    <w:p w14:paraId="09F0A45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Moran, P.J., Cheng, Y., Cassell, J.L., Thompson, G.A., 2002. Gene expression profiling of </w:t>
      </w:r>
      <w:r w:rsidRPr="00D6094E">
        <w:rPr>
          <w:rFonts w:ascii="Times New Roman" w:hAnsi="Times New Roman" w:cs="Times New Roman"/>
          <w:i/>
          <w:iCs/>
          <w:sz w:val="24"/>
          <w:szCs w:val="24"/>
        </w:rPr>
        <w:t>Arabidopsis thaliana</w:t>
      </w:r>
      <w:r w:rsidRPr="00D6094E">
        <w:rPr>
          <w:rFonts w:ascii="Times New Roman" w:hAnsi="Times New Roman" w:cs="Times New Roman"/>
          <w:sz w:val="24"/>
          <w:szCs w:val="24"/>
        </w:rPr>
        <w:t xml:space="preserve"> in compatible plant-aphid interactions. Arch. Insect Biochem. Physiol. 51, 182–203. https://doi.org/10.1002/arch.10064</w:t>
      </w:r>
    </w:p>
    <w:p w14:paraId="6FDD15F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Moran, P.J., Thompson, G.A., 2001. Molecular responses to aphid feeding in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in relation to plant defense pathways. Plant Physiol. 125, 1074–1085. https://doi.org/10.1104/pp.125.2.1074</w:t>
      </w:r>
    </w:p>
    <w:p w14:paraId="0FA06A5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Moustaka, J., Meyling, N.V., Hauser, T.P., 2021. Induction of a compensatory photosynthetic response mechanism in tomato leaves upon short time feeding by the chewing insect </w:t>
      </w:r>
      <w:r w:rsidRPr="00D6094E">
        <w:rPr>
          <w:rFonts w:ascii="Times New Roman" w:hAnsi="Times New Roman" w:cs="Times New Roman"/>
          <w:i/>
          <w:iCs/>
          <w:sz w:val="24"/>
          <w:szCs w:val="24"/>
        </w:rPr>
        <w:t>Spodoptera exigua</w:t>
      </w:r>
      <w:r w:rsidRPr="00D6094E">
        <w:rPr>
          <w:rFonts w:ascii="Times New Roman" w:hAnsi="Times New Roman" w:cs="Times New Roman"/>
          <w:sz w:val="24"/>
          <w:szCs w:val="24"/>
        </w:rPr>
        <w:t>. Insects 12, 562. https://doi.org/10.3390/insects12060562</w:t>
      </w:r>
    </w:p>
    <w:p w14:paraId="181C5BB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Mur, L.A.J., Kenton, P., Lloyd, A.J., Ougham, H., Prats, E., 2008. The hypersensitive response; the centenary is upon us but how much do we know? J. Exp. Bot. 59, 501–520. https://doi.org/10.1093/jxb/erm239</w:t>
      </w:r>
    </w:p>
    <w:p w14:paraId="12F6E8E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Nafisi, M., Fimognari, L., Sakuragi, Y., 2015. Interplays between the cell wall and phytohormones in interaction between plants and necrotrophic pathogens. Phytochemistry 112, 63–71. https://doi.org/10.1016/j.phytochem.2014.11.008</w:t>
      </w:r>
    </w:p>
    <w:p w14:paraId="2551979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Najar-Rodriguez, A.J., Friedli, M., Klaiber, J., Dorn, S., 2015. Aphid-deprivation from </w:t>
      </w:r>
      <w:r w:rsidRPr="00D6094E">
        <w:rPr>
          <w:rFonts w:ascii="Times New Roman" w:hAnsi="Times New Roman" w:cs="Times New Roman"/>
          <w:i/>
          <w:iCs/>
          <w:sz w:val="24"/>
          <w:szCs w:val="24"/>
        </w:rPr>
        <w:t>Brassica</w:t>
      </w:r>
      <w:r w:rsidRPr="00D6094E">
        <w:rPr>
          <w:rFonts w:ascii="Times New Roman" w:hAnsi="Times New Roman" w:cs="Times New Roman"/>
          <w:sz w:val="24"/>
          <w:szCs w:val="24"/>
        </w:rPr>
        <w:t xml:space="preserve"> plants results in increased isothiocyanate release and parasitoid attraction. Chemoecology 25, 303–311. https://doi.org/10.1007/s00049-015-0199-0</w:t>
      </w:r>
    </w:p>
    <w:p w14:paraId="46318C7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Newman, M.-A., Sundelin, T., Nielsen, J.T., Erbs, G., 2013. MAMP (microbe-associated molecular pattern) triggered immunity in plants. Front. Plant Sci. 4. https://doi.org/10.3389/fpls.2013.00139</w:t>
      </w:r>
    </w:p>
    <w:p w14:paraId="75E6A0C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Nishad, R., Ahmed, T., Rahman, V.J., Kareem, A., 2020. Modulation of plant defense system in response to microbial interactions. Front. Microbiol. 11, 1298. https://doi.org/10.3389/fmicb.2020.01298</w:t>
      </w:r>
    </w:p>
    <w:p w14:paraId="2BB39DB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Nombela, G., Pascual, S., Aviles, M., Guillard, E., Muñiz, M., 2005. Benzothiadiazole induces local resistance to </w:t>
      </w:r>
      <w:r w:rsidRPr="00D6094E">
        <w:rPr>
          <w:rFonts w:ascii="Times New Roman" w:hAnsi="Times New Roman" w:cs="Times New Roman"/>
          <w:i/>
          <w:iCs/>
          <w:sz w:val="24"/>
          <w:szCs w:val="24"/>
        </w:rPr>
        <w:t>Bemisia tabaci</w:t>
      </w:r>
      <w:r w:rsidRPr="00D6094E">
        <w:rPr>
          <w:rFonts w:ascii="Times New Roman" w:hAnsi="Times New Roman" w:cs="Times New Roman"/>
          <w:sz w:val="24"/>
          <w:szCs w:val="24"/>
        </w:rPr>
        <w:t xml:space="preserve"> (Hemiptera: Aleyrodidae) in tomato plants. Journal of Economic Entomology 98, 2266–2271. https://doi.org/10.1093/jee/98.6.2266</w:t>
      </w:r>
    </w:p>
    <w:p w14:paraId="24B5FC4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Nouri-Ganbalani, G., Borzoui, E., Shahnavazi, M., Nouri, A., 2018. Induction of resistance against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xml:space="preserve"> (L.) (Lep.: Plutellidae) by jasmonic acid and mealy cabbage aphid feeding in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xml:space="preserve"> (L.). Front. Physiol. 9, 859. https://doi.org/10.3389/fphys.2018.00859</w:t>
      </w:r>
    </w:p>
    <w:p w14:paraId="749CDDC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Nováková, M., Šašek, V., Dobrev, P.I., Valentová, O., Burketová, L., 2014. Plant hormones in defense response of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xml:space="preserve"> to </w:t>
      </w:r>
      <w:r w:rsidRPr="00D6094E">
        <w:rPr>
          <w:rFonts w:ascii="Times New Roman" w:hAnsi="Times New Roman" w:cs="Times New Roman"/>
          <w:i/>
          <w:iCs/>
          <w:sz w:val="24"/>
          <w:szCs w:val="24"/>
        </w:rPr>
        <w:t>Sclerotinia sclerotiorum</w:t>
      </w:r>
      <w:r w:rsidRPr="00D6094E">
        <w:rPr>
          <w:rFonts w:ascii="Times New Roman" w:hAnsi="Times New Roman" w:cs="Times New Roman"/>
          <w:sz w:val="24"/>
          <w:szCs w:val="24"/>
        </w:rPr>
        <w:t xml:space="preserve"> – Reassessing the role of salicylic acid in the interaction with a necrotroph. Plant Physiology and Biochemistry 80, 308–317. https://doi.org/10.1016/j.plaphy.2014.04.019</w:t>
      </w:r>
    </w:p>
    <w:p w14:paraId="40F40F6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Nováková, M., Šašek, V., Trdá, L., Krutinová, H., Mongin, T., Valentová, O., Balesdent, M., Rouxel, T., Burketová, L., 2016.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xml:space="preserve"> effector AvrLm4‐7 affects salicylic acid (SA) and ethylene (ET) signalling and hydrogen peroxide (H</w:t>
      </w:r>
      <w:r w:rsidRPr="00D6094E">
        <w:rPr>
          <w:rFonts w:ascii="Times New Roman" w:hAnsi="Times New Roman" w:cs="Times New Roman"/>
          <w:sz w:val="24"/>
          <w:szCs w:val="24"/>
          <w:vertAlign w:val="subscript"/>
        </w:rPr>
        <w:t>2</w:t>
      </w:r>
      <w:r w:rsidRPr="00D6094E">
        <w:rPr>
          <w:rFonts w:ascii="Times New Roman" w:hAnsi="Times New Roman" w:cs="Times New Roman"/>
          <w:sz w:val="24"/>
          <w:szCs w:val="24"/>
        </w:rPr>
        <w:t xml:space="preserve"> O</w:t>
      </w:r>
      <w:r w:rsidRPr="00D6094E">
        <w:rPr>
          <w:rFonts w:ascii="Times New Roman" w:hAnsi="Times New Roman" w:cs="Times New Roman"/>
          <w:sz w:val="24"/>
          <w:szCs w:val="24"/>
          <w:vertAlign w:val="subscript"/>
        </w:rPr>
        <w:t>2</w:t>
      </w:r>
      <w:r w:rsidRPr="00D6094E">
        <w:rPr>
          <w:rFonts w:ascii="Times New Roman" w:hAnsi="Times New Roman" w:cs="Times New Roman"/>
          <w:sz w:val="24"/>
          <w:szCs w:val="24"/>
        </w:rPr>
        <w:t xml:space="preserve">) accumulation in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Molecular Plant Pathology 17, 818–831. https://doi.org/10.1111/mpp.12332</w:t>
      </w:r>
    </w:p>
    <w:p w14:paraId="6DFFB79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O’Donnell, P.J., Schmelz, E., Block, A., Miersch, O., Wasternack, C., Jones, J.B., Klee, H.J., 2003. Multiple hormones act sequentially to mediate a susceptible tomato pathogen defense response. Plant Physiology 133, 1181–1189. https://doi.org/10.1104/pp.103.030379</w:t>
      </w:r>
    </w:p>
    <w:p w14:paraId="0633C9A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Oksanen, J., Blanchet, F.G., Kindt, R., Legendre, P., Minchin, P., O’hara, R., Simpson, G., Solymos, P., Stevens, M., Wagner, H., 2020. “</w:t>
      </w:r>
      <w:r w:rsidRPr="00D6094E">
        <w:rPr>
          <w:rFonts w:ascii="Times New Roman" w:hAnsi="Times New Roman" w:cs="Times New Roman"/>
          <w:i/>
          <w:iCs/>
          <w:sz w:val="24"/>
          <w:szCs w:val="24"/>
        </w:rPr>
        <w:t>Vegan</w:t>
      </w:r>
      <w:r w:rsidRPr="00D6094E">
        <w:rPr>
          <w:rFonts w:ascii="Times New Roman" w:hAnsi="Times New Roman" w:cs="Times New Roman"/>
          <w:sz w:val="24"/>
          <w:szCs w:val="24"/>
        </w:rPr>
        <w:t>”: community ecology package. R package version 2.3-0; 2015. Scientific Reports 10, 20354.</w:t>
      </w:r>
    </w:p>
    <w:p w14:paraId="0BCC717A"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Onkokesung, N., Reichelt, M., Wright, L.P., Phillips, M.A., Gershenzon, J., Dicke, M., 2019. The plastidial metabolite 2‐</w:t>
      </w:r>
      <w:r w:rsidRPr="00D6094E">
        <w:rPr>
          <w:rFonts w:ascii="Times New Roman" w:hAnsi="Times New Roman" w:cs="Times New Roman"/>
          <w:i/>
          <w:iCs/>
          <w:sz w:val="24"/>
          <w:szCs w:val="24"/>
        </w:rPr>
        <w:t>C</w:t>
      </w:r>
      <w:r w:rsidRPr="00D6094E">
        <w:rPr>
          <w:rFonts w:ascii="Times New Roman" w:hAnsi="Times New Roman" w:cs="Times New Roman"/>
          <w:sz w:val="24"/>
          <w:szCs w:val="24"/>
        </w:rPr>
        <w:t>‐methyl‐</w:t>
      </w:r>
      <w:r w:rsidRPr="00D6094E">
        <w:rPr>
          <w:rFonts w:ascii="Times New Roman" w:hAnsi="Times New Roman" w:cs="Times New Roman"/>
          <w:i/>
          <w:iCs/>
          <w:sz w:val="24"/>
          <w:szCs w:val="24"/>
        </w:rPr>
        <w:t>D</w:t>
      </w:r>
      <w:r w:rsidRPr="00D6094E">
        <w:rPr>
          <w:rFonts w:ascii="Times New Roman" w:hAnsi="Times New Roman" w:cs="Times New Roman"/>
          <w:sz w:val="24"/>
          <w:szCs w:val="24"/>
        </w:rPr>
        <w:t xml:space="preserve">‐erythritol‐2,4-cyclodiphosphate modulates defence responses against aphids. </w:t>
      </w:r>
      <w:r w:rsidRPr="00D6094E">
        <w:rPr>
          <w:rFonts w:ascii="Times New Roman" w:hAnsi="Times New Roman" w:cs="Times New Roman"/>
          <w:sz w:val="24"/>
          <w:szCs w:val="24"/>
          <w:lang w:val="es-VE"/>
        </w:rPr>
        <w:t>Plant Cell Environ 42, 2309–2323. https://doi.org/10.1111/pce.13538</w:t>
      </w:r>
    </w:p>
    <w:p w14:paraId="3D2A0C5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Ortiz-Castro, R., Campos-García, J., López-Bucio, J., 2020. </w:t>
      </w:r>
      <w:r w:rsidRPr="00D6094E">
        <w:rPr>
          <w:rFonts w:ascii="Times New Roman" w:hAnsi="Times New Roman" w:cs="Times New Roman"/>
          <w:i/>
          <w:iCs/>
          <w:sz w:val="24"/>
          <w:szCs w:val="24"/>
        </w:rPr>
        <w:t>Pseudomonas putida</w:t>
      </w:r>
      <w:r w:rsidRPr="00D6094E">
        <w:rPr>
          <w:rFonts w:ascii="Times New Roman" w:hAnsi="Times New Roman" w:cs="Times New Roman"/>
          <w:sz w:val="24"/>
          <w:szCs w:val="24"/>
        </w:rPr>
        <w:t xml:space="preserve"> and </w:t>
      </w:r>
      <w:r w:rsidRPr="00D6094E">
        <w:rPr>
          <w:rFonts w:ascii="Times New Roman" w:hAnsi="Times New Roman" w:cs="Times New Roman"/>
          <w:i/>
          <w:iCs/>
          <w:sz w:val="24"/>
          <w:szCs w:val="24"/>
        </w:rPr>
        <w:t>Pseudomonas fluorescens</w:t>
      </w:r>
      <w:r w:rsidRPr="00D6094E">
        <w:rPr>
          <w:rFonts w:ascii="Times New Roman" w:hAnsi="Times New Roman" w:cs="Times New Roman"/>
          <w:sz w:val="24"/>
          <w:szCs w:val="24"/>
        </w:rPr>
        <w:t xml:space="preserve"> influence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root system architecture through an auxin response mediated by bioactive cyclodipeptides. J Plant Growth Regul 39, 254–265. https://doi.org/10.1007/s00344-019-09979-w</w:t>
      </w:r>
    </w:p>
    <w:p w14:paraId="112765B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Pangesti, N., Reichelt, M., van de Mortel, J.E., Kapsomenou, E., Gershenzon, J., van Loon, J.J.A., Dicke, M., Pineda, A., 2016. Jasmonic acid and ethylene signaling pathways regulate glucosinolate levels in plants during rhizobacteria-induced systemic resistance against a leaf-chewing herbivore. J Chem Ecol 42, 1212–1225. https://doi.org/10.1007/s10886-016-0787-7</w:t>
      </w:r>
    </w:p>
    <w:p w14:paraId="2F7581E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Pattyn, J., Vaughan‐Hirsch, J., Van de Poel, B., 2021. The regulation of ethylene biosynthesis: a complex multilevel control circuitry. New Phytol 229, 770–782. https://doi.org/10.1111/nph.16873</w:t>
      </w:r>
    </w:p>
    <w:p w14:paraId="4A05811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Persson, M., Staal, J., Oide, S., Dixelius, C., 2009. Layers of defense responses to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xml:space="preserve"> below the </w:t>
      </w:r>
      <w:r w:rsidRPr="00D6094E">
        <w:rPr>
          <w:rFonts w:ascii="Times New Roman" w:hAnsi="Times New Roman" w:cs="Times New Roman"/>
          <w:i/>
          <w:iCs/>
          <w:sz w:val="24"/>
          <w:szCs w:val="24"/>
        </w:rPr>
        <w:t>RLM1</w:t>
      </w:r>
      <w:r w:rsidRPr="00D6094E">
        <w:rPr>
          <w:rFonts w:ascii="Times New Roman" w:hAnsi="Times New Roman" w:cs="Times New Roman"/>
          <w:sz w:val="24"/>
          <w:szCs w:val="24"/>
        </w:rPr>
        <w:t xml:space="preserve"> ‐ and camalexin‐dependent resistances. New Phytologist 182, 470–482. https://doi.org/10.1111/j.1469-8137.2009.02763.x</w:t>
      </w:r>
    </w:p>
    <w:p w14:paraId="50371B9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Petit‐Houdenot, Y., Degrave, A., Meyer, M., Blaise, F., Ollivier, B., Marais, C., Jauneau, A., Audran, C., Rivas, S., Veneault‐Fourrey, C., Brun, H., Rouxel, T., Fudal, I., Balesdent, M., 2019. A two genes – for – one gene interaction between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xml:space="preserve"> and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New Phytologist 223, 397–411. https://doi.org/10.1111/nph.15762</w:t>
      </w:r>
    </w:p>
    <w:p w14:paraId="6D2A327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Philips, C.R., Fu, Z., Kuhar, T.P., Shelton, A.M., Cordero, R.J., 2014. Natural history, ecology, and management of diamondback moth (Lepidoptera: Plutellidae), with emphasis on the United States. j integ pest manage 5, 1–11. https://doi.org/10.1603/IPM14012</w:t>
      </w:r>
    </w:p>
    <w:p w14:paraId="06DEEB6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Pieterse, C.M.J., Van der Does, D., Zamioudis, C., Leon-Reyes, A., Van Wees, S.C.M., 2012. </w:t>
      </w:r>
      <w:r w:rsidRPr="00D6094E">
        <w:rPr>
          <w:rFonts w:ascii="Times New Roman" w:hAnsi="Times New Roman" w:cs="Times New Roman"/>
          <w:sz w:val="24"/>
          <w:szCs w:val="24"/>
        </w:rPr>
        <w:t>Hormonal modulation of plant immunity. Annu. Rev. Cell Dev. Biol. 28, 489–521. https://doi.org/10.1146/annurev-cellbio-092910-154055</w:t>
      </w:r>
    </w:p>
    <w:p w14:paraId="30FA998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Pieterse, C.M.J., Zamioudis, C., Berendsen, R.L., Weller, D.M., Van Wees, S.C.M., Bakker, P.A.H.M., 2014. Induced systemic resistance by beneficial microbes. Annu. Rev. Phytopathol. 52, 347–375. https://doi.org/10.1146/annurev-phyto-082712-102340</w:t>
      </w:r>
    </w:p>
    <w:p w14:paraId="18E09D39"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 xml:space="preserve">Poncini, L., Wyrsch, I., Dénervaud Tendon, V., Vorley, T., Boller, T., Geldner, N., Métraux, J.-P., Lehmann, S., 2017. In roots of </w:t>
      </w:r>
      <w:r w:rsidRPr="00D6094E">
        <w:rPr>
          <w:rFonts w:ascii="Times New Roman" w:hAnsi="Times New Roman" w:cs="Times New Roman"/>
          <w:i/>
          <w:iCs/>
          <w:sz w:val="24"/>
          <w:szCs w:val="24"/>
        </w:rPr>
        <w:t>Arabidopsis thaliana</w:t>
      </w:r>
      <w:r w:rsidRPr="00D6094E">
        <w:rPr>
          <w:rFonts w:ascii="Times New Roman" w:hAnsi="Times New Roman" w:cs="Times New Roman"/>
          <w:sz w:val="24"/>
          <w:szCs w:val="24"/>
        </w:rPr>
        <w:t xml:space="preserve">, the damage-associated molecular pattern AtPep1 is a stronger elicitor of immune signalling than flg22 or the chitin heptamer. </w:t>
      </w:r>
      <w:r w:rsidRPr="00D6094E">
        <w:rPr>
          <w:rFonts w:ascii="Times New Roman" w:hAnsi="Times New Roman" w:cs="Times New Roman"/>
          <w:sz w:val="24"/>
          <w:szCs w:val="24"/>
          <w:lang w:val="es-VE"/>
        </w:rPr>
        <w:t>PLoS ONE 12, e0185808. https://doi.org/10.1371/journal.pone.0185808</w:t>
      </w:r>
    </w:p>
    <w:p w14:paraId="7BFC4AA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Přerovská, T., Jindřichová, B., Henke, S., Yvin, J.-C., Ferrieres, V., Burketová, L., Lipovová, P., Nguema-Ona, E., 2022. </w:t>
      </w:r>
      <w:r w:rsidRPr="00D6094E">
        <w:rPr>
          <w:rFonts w:ascii="Times New Roman" w:hAnsi="Times New Roman" w:cs="Times New Roman"/>
          <w:sz w:val="24"/>
          <w:szCs w:val="24"/>
        </w:rPr>
        <w:t xml:space="preserve">Arabinogalactan protein-like proteins from </w:t>
      </w:r>
      <w:r w:rsidRPr="00D6094E">
        <w:rPr>
          <w:rFonts w:ascii="Times New Roman" w:hAnsi="Times New Roman" w:cs="Times New Roman"/>
          <w:i/>
          <w:iCs/>
          <w:sz w:val="24"/>
          <w:szCs w:val="24"/>
        </w:rPr>
        <w:t>Ulva lactuca</w:t>
      </w:r>
      <w:r w:rsidRPr="00D6094E">
        <w:rPr>
          <w:rFonts w:ascii="Times New Roman" w:hAnsi="Times New Roman" w:cs="Times New Roman"/>
          <w:sz w:val="24"/>
          <w:szCs w:val="24"/>
        </w:rPr>
        <w:t xml:space="preserve"> activate immune responses and plant resistance in an oilseed crop. Front. Plant Sci. 13, 893858. https://doi.org/10.3389/fpls.2022.893858</w:t>
      </w:r>
    </w:p>
    <w:p w14:paraId="18C7E1C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Qing, Y., Ourry, M., Burow, M., Meyling, N.V., Hauser, T.P., 2023. Defense priming in cabbage (</w:t>
      </w:r>
      <w:r w:rsidRPr="00D6094E">
        <w:rPr>
          <w:rFonts w:ascii="Times New Roman" w:hAnsi="Times New Roman" w:cs="Times New Roman"/>
          <w:i/>
          <w:iCs/>
          <w:sz w:val="24"/>
          <w:szCs w:val="24"/>
        </w:rPr>
        <w:t>Brassica oleracea</w:t>
      </w:r>
      <w:r w:rsidRPr="00D6094E">
        <w:rPr>
          <w:rFonts w:ascii="Times New Roman" w:hAnsi="Times New Roman" w:cs="Times New Roman"/>
          <w:sz w:val="24"/>
          <w:szCs w:val="24"/>
        </w:rPr>
        <w:t>) by insect-pathogenic fungi. Arthropod-Plant Interactions 17, 275–287. https://doi.org/10.1007/s11829-023-09956-x</w:t>
      </w:r>
    </w:p>
    <w:p w14:paraId="472E2ABF"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Rasool, S., Cárdenas, P.D., Pattison, D.I., Jensen, B., Meyling, N.V., 2021a. Isolate-specific effect of entomopathogenic endophytic fungi on population growth of two-spotted spider mite (</w:t>
      </w:r>
      <w:r w:rsidRPr="00D6094E">
        <w:rPr>
          <w:rFonts w:ascii="Times New Roman" w:hAnsi="Times New Roman" w:cs="Times New Roman"/>
          <w:i/>
          <w:iCs/>
          <w:sz w:val="24"/>
          <w:szCs w:val="24"/>
        </w:rPr>
        <w:t>Tetranychus urticae</w:t>
      </w:r>
      <w:r w:rsidRPr="00D6094E">
        <w:rPr>
          <w:rFonts w:ascii="Times New Roman" w:hAnsi="Times New Roman" w:cs="Times New Roman"/>
          <w:sz w:val="24"/>
          <w:szCs w:val="24"/>
        </w:rPr>
        <w:t xml:space="preserve"> Koch) and levels of steroidal glycoalkaloids in tomato. J Chem Ecol 47, 476–488. https://doi.org/10.1007/s10886-021-01265-y</w:t>
      </w:r>
    </w:p>
    <w:p w14:paraId="512AC0D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Rasool, S., Vidkjær, N.H., Hooshmand, K., Jensen, B., Fomsgaard, I.S., Meyling, N.V., 2021b. Seed inoculations with entomopathogenic fungi affect aphid populations coinciding with modulation of plant secondary metabolite profiles across plant families. New Phytol 229, 1715–1727. https://doi.org/10.1111/nph.16979</w:t>
      </w:r>
    </w:p>
    <w:p w14:paraId="7035080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Ratzka, A., Vogel, H., Kliebenstein, D.J., Mitchell-Olds, T., Kroymann, J., 2002. Disarming the mustard oil bomb. Proceedings of the National Academy of Sciences 99, 11223–11228. https://doi.org/10.1073/pnas.172112899</w:t>
      </w:r>
    </w:p>
    <w:p w14:paraId="3D82653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Renwick, J.A.A., Haribal, M., Gouinguené, S., Städler, E., 2006. Isothiocyanates stimulating oviposition by the diamondback moth,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J Chem Ecol 32, 755–766. https://doi.org/10.1007/s10886-006-9036-9</w:t>
      </w:r>
    </w:p>
    <w:p w14:paraId="4E71B2F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Rivas-San Vicente, M., Plasencia, J., 2011. </w:t>
      </w:r>
      <w:r w:rsidRPr="00D6094E">
        <w:rPr>
          <w:rFonts w:ascii="Times New Roman" w:hAnsi="Times New Roman" w:cs="Times New Roman"/>
          <w:sz w:val="24"/>
          <w:szCs w:val="24"/>
        </w:rPr>
        <w:t>Salicylic acid beyond defence: its role in plant growth and development. Journal of Experimental Botany 62, 3321–3338. https://doi.org/10.1093/jxb/err031</w:t>
      </w:r>
    </w:p>
    <w:p w14:paraId="7AEA97B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Robin, A.H.K., Hossain, M.R., Park, J.-I., Kim, H.R., Nou, I.-S., 2017. Glucosinolate profiles in cabbage genotypes influence the preferential feeding of diamondback moth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Front. Plant Sci. 8, 1244. https://doi.org/10.3389/fpls.2017.01244</w:t>
      </w:r>
    </w:p>
    <w:p w14:paraId="14CB7BB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Robin, A.H.K., Laila, R., Abuyusuf, Md., Park, J.-I., Nou, I.-S., 2020.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xml:space="preserve"> alters glucosinolate accumulation and expression of aliphatic and indolic glucosinolate biosynthesis genes in blackleg disease-resistant and -susceptible cabbage lines at the seedling stage. Front. Plant Sci. 11, 1134. https://doi.org/10.3389/fpls.2020.01134</w:t>
      </w:r>
    </w:p>
    <w:p w14:paraId="5D54BC9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Rodriguez, P.A., Bos, J.I.B., 2013. Toward understanding the role of aphid effectors in plant infestation. MPMI 26, 25–30. https://doi.org/10.1094/MPMI-05-12-0119-FI</w:t>
      </w:r>
    </w:p>
    <w:p w14:paraId="16D2F84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Rouxel, T., Balesdent, M.H., 2005. The stem canker (blackleg) fungus,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enters the genomic era. Molecular Plant Pathology 6, 225–241. https://doi.org/10.1111/j.1364-3703.2005.00282.x</w:t>
      </w:r>
    </w:p>
    <w:p w14:paraId="368B30A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Ruan, J., Zhou, Y., Zhou, M., Yan, J., Khurshid, M., Weng, W., Cheng, J., Zhang, K., 2019. Jasmonic acid signaling pathway in plants. IJMS 20, 2479. https://doi.org/10.3390/ijms20102479</w:t>
      </w:r>
    </w:p>
    <w:p w14:paraId="14D567D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Sarfraz, M., Keddie, A.B., Dosdall, L.M., 2005. Biological control of the diamondback moth,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 A review. Biocontrol Science and Technology 15, 763–789. https://doi.org/10.1080/09583150500136956</w:t>
      </w:r>
    </w:p>
    <w:p w14:paraId="59FE0E74"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Sasan, R.K., Bidochka, M.J., 2013. Antagonism of the endophytic insect pathogenic fungus </w:t>
      </w:r>
      <w:r w:rsidRPr="00D6094E">
        <w:rPr>
          <w:rFonts w:ascii="Times New Roman" w:hAnsi="Times New Roman" w:cs="Times New Roman"/>
          <w:i/>
          <w:iCs/>
          <w:sz w:val="24"/>
          <w:szCs w:val="24"/>
        </w:rPr>
        <w:t>Metarhizium robertsii</w:t>
      </w:r>
      <w:r w:rsidRPr="00D6094E">
        <w:rPr>
          <w:rFonts w:ascii="Times New Roman" w:hAnsi="Times New Roman" w:cs="Times New Roman"/>
          <w:sz w:val="24"/>
          <w:szCs w:val="24"/>
        </w:rPr>
        <w:t xml:space="preserve"> against the bean plant pathogen </w:t>
      </w:r>
      <w:r w:rsidRPr="00D6094E">
        <w:rPr>
          <w:rFonts w:ascii="Times New Roman" w:hAnsi="Times New Roman" w:cs="Times New Roman"/>
          <w:i/>
          <w:iCs/>
          <w:sz w:val="24"/>
          <w:szCs w:val="24"/>
        </w:rPr>
        <w:t>Fusarium solani</w:t>
      </w:r>
      <w:r w:rsidRPr="00D6094E">
        <w:rPr>
          <w:rFonts w:ascii="Times New Roman" w:hAnsi="Times New Roman" w:cs="Times New Roman"/>
          <w:sz w:val="24"/>
          <w:szCs w:val="24"/>
        </w:rPr>
        <w:t xml:space="preserve"> f. sp. </w:t>
      </w:r>
      <w:r w:rsidRPr="00D6094E">
        <w:rPr>
          <w:rFonts w:ascii="Times New Roman" w:hAnsi="Times New Roman" w:cs="Times New Roman"/>
          <w:i/>
          <w:iCs/>
          <w:sz w:val="24"/>
          <w:szCs w:val="24"/>
        </w:rPr>
        <w:t>phaseoli</w:t>
      </w:r>
      <w:r w:rsidRPr="00D6094E">
        <w:rPr>
          <w:rFonts w:ascii="Times New Roman" w:hAnsi="Times New Roman" w:cs="Times New Roman"/>
          <w:sz w:val="24"/>
          <w:szCs w:val="24"/>
        </w:rPr>
        <w:t>. Canadian Journal of Plant Pathology 35, 288–293. https://doi.org/10.1080/07060661.2013.823114</w:t>
      </w:r>
    </w:p>
    <w:p w14:paraId="027D667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Sasan, R.K., Bidochka, M.J., 2012. The insect‐pathogenic fungus </w:t>
      </w:r>
      <w:r w:rsidRPr="00D6094E">
        <w:rPr>
          <w:rFonts w:ascii="Times New Roman" w:hAnsi="Times New Roman" w:cs="Times New Roman"/>
          <w:i/>
          <w:iCs/>
          <w:sz w:val="24"/>
          <w:szCs w:val="24"/>
        </w:rPr>
        <w:t>Metarhizium robertsii</w:t>
      </w:r>
      <w:r w:rsidRPr="00D6094E">
        <w:rPr>
          <w:rFonts w:ascii="Times New Roman" w:hAnsi="Times New Roman" w:cs="Times New Roman"/>
          <w:sz w:val="24"/>
          <w:szCs w:val="24"/>
        </w:rPr>
        <w:t xml:space="preserve"> (Clavicipitaceae) is also an endophyte that stimulates plant root development. American J of Botany 99, 101–107. https://doi.org/10.3732/ajb.1100136</w:t>
      </w:r>
    </w:p>
    <w:p w14:paraId="1FCF988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Šašek, V., Nováková, M., Dobrev, P.I., Valentová, O., Burketová, L., 2012a. β-aminobutyric acid protects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xml:space="preserve"> plants from infection by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Resistance induction or a direct antifungal effect? Eur J Plant Pathol 133, 279–289. https://doi.org/10.1007/s10658-011-9897-9</w:t>
      </w:r>
    </w:p>
    <w:p w14:paraId="7A1C261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Šašek, V., Nováková, M., Jindřichová, B., Bóka, K., Valentová, O., Burketová, L., 2012b. Recognition of avirulence gene </w:t>
      </w:r>
      <w:r w:rsidRPr="00D6094E">
        <w:rPr>
          <w:rFonts w:ascii="Times New Roman" w:hAnsi="Times New Roman" w:cs="Times New Roman"/>
          <w:i/>
          <w:iCs/>
          <w:sz w:val="24"/>
          <w:szCs w:val="24"/>
        </w:rPr>
        <w:t>AvrLm1</w:t>
      </w:r>
      <w:r w:rsidRPr="00D6094E">
        <w:rPr>
          <w:rFonts w:ascii="Times New Roman" w:hAnsi="Times New Roman" w:cs="Times New Roman"/>
          <w:sz w:val="24"/>
          <w:szCs w:val="24"/>
        </w:rPr>
        <w:t xml:space="preserve"> from hemibiotrophic ascomycete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xml:space="preserve"> triggers salicylic acid and ethylene signaling in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MPMI 25, 1238–1250. https://doi.org/10.1094/MPMI-02-12-0033-R</w:t>
      </w:r>
    </w:p>
    <w:p w14:paraId="24EE8BDD"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 xml:space="preserve">Schoch, C.L., Ciufo, S., Domrachev, M., Hotton, C.L., Kannan, S., Khovanskaya, R., Leipe, D., Mcveigh, R., O’Neill, K., Robbertse, B., Sharma, S., Soussov, V., Sullivan, J.P., Sun, L., Turner, S., Karsch-Mizrachi, I., 2020. NCBI Taxonomy: a comprehensive update on curation, resources and tools. </w:t>
      </w:r>
      <w:r w:rsidRPr="00D6094E">
        <w:rPr>
          <w:rFonts w:ascii="Times New Roman" w:hAnsi="Times New Roman" w:cs="Times New Roman"/>
          <w:sz w:val="24"/>
          <w:szCs w:val="24"/>
          <w:lang w:val="es-VE"/>
        </w:rPr>
        <w:t>Database 2020, baaa062. https://doi.org/10.1093/database/baaa062</w:t>
      </w:r>
    </w:p>
    <w:p w14:paraId="6E785DA5"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lang w:val="es-VE"/>
        </w:rPr>
        <w:t xml:space="preserve">Schwartzberg, E.G., Tumlinson, J.H., 2014. </w:t>
      </w:r>
      <w:r w:rsidRPr="00D6094E">
        <w:rPr>
          <w:rFonts w:ascii="Times New Roman" w:hAnsi="Times New Roman" w:cs="Times New Roman"/>
          <w:sz w:val="24"/>
          <w:szCs w:val="24"/>
        </w:rPr>
        <w:t xml:space="preserve">Aphid honeydew alters plant defence responses. </w:t>
      </w:r>
      <w:r w:rsidRPr="00D6094E">
        <w:rPr>
          <w:rFonts w:ascii="Times New Roman" w:hAnsi="Times New Roman" w:cs="Times New Roman"/>
          <w:sz w:val="24"/>
          <w:szCs w:val="24"/>
          <w:lang w:val="es-VE"/>
        </w:rPr>
        <w:t>Funct Ecol 28, 386–394. https://doi.org/10.1111/1365-2435.12182</w:t>
      </w:r>
    </w:p>
    <w:p w14:paraId="1AAD844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Selin, C., de Kievit, T.R., Belmonte, M.F., Fernando, W.G.D., 2016. </w:t>
      </w:r>
      <w:r w:rsidRPr="00D6094E">
        <w:rPr>
          <w:rFonts w:ascii="Times New Roman" w:hAnsi="Times New Roman" w:cs="Times New Roman"/>
          <w:sz w:val="24"/>
          <w:szCs w:val="24"/>
        </w:rPr>
        <w:t>Elucidating the role of effectors in plant-fungal interactions: progress and challenges. Front. Microbiol. 7. https://doi.org/10.3389/fmicb.2016.00600</w:t>
      </w:r>
    </w:p>
    <w:p w14:paraId="0DB81254"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Sesma, A., Osbourn, A.E., 2004. The rice leaf blast pathogen undergoes developmental processes typical of root-infecting fungi. Nature 431, 582–586. https://doi.org/10.1038/nature02880</w:t>
      </w:r>
    </w:p>
    <w:p w14:paraId="69A3CA0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Shao, D., Smith, D.L., Kabbage, M., Roth, M.G., 2021. Effectors of plant necrotrophic fungi. Front. Plant Sci. 12, 687713. https://doi.org/10.3389/fpls.2021.687713</w:t>
      </w:r>
    </w:p>
    <w:p w14:paraId="4B8A3A2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Sheldrake, M., 2021. Entangled life: How fungi make our worlds, change our minds &amp; shape our futures. Random House Trade Paperbacks.</w:t>
      </w:r>
    </w:p>
    <w:p w14:paraId="10E581D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Shine, M.B., Yang, J., El‐Habbak, M., Nagyabhyru, P., Fu, D., Navarre, D., Ghabrial, S., Kachroo, P., Kachroo, A., 2016. Cooperative functioning between phenylalanine ammonia lyase and isochorismate synthase activities contributes to salicylic acid biosynthesis in soybean. New Phytologist 212, 627–636. https://doi.org/10.1111/nph.14078</w:t>
      </w:r>
    </w:p>
    <w:p w14:paraId="4FB3249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Shukla, P.S., Borza, T., Critchley, A.T., Prithiviraj, B., 2021. Seaweed-based compounds and products for sustainable protection against plant pathogens. Marine Drugs 19, 59. https://doi.org/10.3390/md19020059</w:t>
      </w:r>
    </w:p>
    <w:p w14:paraId="268FAEF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Siah, A., Magnin-Robert, M., Randoux, B., Choma, C., Rivière, C., Halama, P., Reignault, P., 2018. Natural agents inducing plant resistance against pests and diseases, in: Mérillon, J.-M., Riviere, C. (Eds.), Natural Antimicrobial Agents, Sustainable Development and Biodiversity. Springer International Publishing, Cham, pp. 121–159. https://doi.org/10.1007/978-3-319-67045-4_6</w:t>
      </w:r>
    </w:p>
    <w:p w14:paraId="7138FC98" w14:textId="77777777" w:rsidR="00C46636" w:rsidRPr="00D6094E" w:rsidRDefault="00C46636" w:rsidP="00C46636">
      <w:pPr>
        <w:pStyle w:val="Bibliography"/>
        <w:rPr>
          <w:rFonts w:ascii="Times New Roman" w:hAnsi="Times New Roman" w:cs="Times New Roman"/>
          <w:sz w:val="24"/>
          <w:szCs w:val="24"/>
          <w:lang w:val="es-VE"/>
        </w:rPr>
      </w:pPr>
      <w:r w:rsidRPr="00D6094E">
        <w:rPr>
          <w:rFonts w:ascii="Times New Roman" w:hAnsi="Times New Roman" w:cs="Times New Roman"/>
          <w:sz w:val="24"/>
          <w:szCs w:val="24"/>
        </w:rPr>
        <w:t xml:space="preserve">Silva, R., Furlong, M.J., 2012. Diamondback moth oviposition: effects of host plant and herbivory: Diamondback moth oviposition. </w:t>
      </w:r>
      <w:r w:rsidRPr="00D6094E">
        <w:rPr>
          <w:rFonts w:ascii="Times New Roman" w:hAnsi="Times New Roman" w:cs="Times New Roman"/>
          <w:sz w:val="24"/>
          <w:szCs w:val="24"/>
          <w:lang w:val="es-VE"/>
        </w:rPr>
        <w:t>Entomologia Experimentalis et Applicata 143, 218–230. https://doi.org/10.1111/j.1570-7458.2012.01255.x</w:t>
      </w:r>
    </w:p>
    <w:p w14:paraId="323F478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Silva-Sanzana, C., Estevez, J.M., Blanco-Herrera, F., 2020. </w:t>
      </w:r>
      <w:r w:rsidRPr="00D6094E">
        <w:rPr>
          <w:rFonts w:ascii="Times New Roman" w:hAnsi="Times New Roman" w:cs="Times New Roman"/>
          <w:sz w:val="24"/>
          <w:szCs w:val="24"/>
        </w:rPr>
        <w:t>Influence of cell wall polymers and their modifying enzymes during plant–aphid interactions. Journal of Experimental Botany 71, 3854–3864. https://doi.org/10.1093/jxb/erz550</w:t>
      </w:r>
    </w:p>
    <w:p w14:paraId="40A71C7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Singh, R., Singh, G., 2021. Aphids, in: Omkar (Ed.), Polyphagous Pests of Crops. Springer Singapore, Singapore, pp. 105–182. https://doi.org/10.1007/978-981-15-8075-8_3</w:t>
      </w:r>
    </w:p>
    <w:p w14:paraId="65FC040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Smith, C.M., Boyko, E.V., 2007. The molecular bases of plant resistance and defense responses to aphid feeding: current status. Entomol Exper Applic 122, 1–16. https://doi.org/10.1111/j.1570-7458.2006.00503.x</w:t>
      </w:r>
    </w:p>
    <w:p w14:paraId="10346C7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Soh, B.S.B., Kekeunou, S., Nanga Nanga, S., Dongmo, M., Rachid, H., 2018. Effect of temperature on the biological parameters of the cabbage aphid </w:t>
      </w:r>
      <w:r w:rsidRPr="00D6094E">
        <w:rPr>
          <w:rFonts w:ascii="Times New Roman" w:hAnsi="Times New Roman" w:cs="Times New Roman"/>
          <w:i/>
          <w:iCs/>
          <w:sz w:val="24"/>
          <w:szCs w:val="24"/>
        </w:rPr>
        <w:t>Brevicoryne brassicae</w:t>
      </w:r>
      <w:r w:rsidRPr="00D6094E">
        <w:rPr>
          <w:rFonts w:ascii="Times New Roman" w:hAnsi="Times New Roman" w:cs="Times New Roman"/>
          <w:sz w:val="24"/>
          <w:szCs w:val="24"/>
        </w:rPr>
        <w:t>. Ecol Evol 8, 11819–11832. https://doi.org/10.1002/ece3.4639</w:t>
      </w:r>
    </w:p>
    <w:p w14:paraId="46321A3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Spoel, S.H., Johnson, J.S., Dong, X., 2007. Regulation of tradeoffs between plant defenses against pathogens with different lifestyles. Proc. Natl. Acad. Sci. U.S.A. 104, 18842–18847. https://doi.org/10.1073/pnas.0708139104</w:t>
      </w:r>
    </w:p>
    <w:p w14:paraId="0B23F1D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Steiner, A.A., 1984. The universal nutrient solution. Presented at the 6. International Congress on Soilless Culture, Lunteren (Netherlands), 29 Apr - 5 May 1984, ISOSC.</w:t>
      </w:r>
    </w:p>
    <w:p w14:paraId="7D02953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Sugano, S., Jiang, C.-J., Miyazawa, S.-I., Masumoto, C., Yazawa, K., Hayashi, N., Shimono, M., Nakayama, A., Miyao, M., Takatsuji, H., 2010. Role of OsNPR1 in rice defense program as revealed by genome-wide expression analysis. Plant Mol Biol 74, 549–562. https://doi.org/10.1007/s11103-010-9695-3</w:t>
      </w:r>
    </w:p>
    <w:p w14:paraId="6723F27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Sun, J.Y., Sønderby, I.E., Halkier, B.A., Jander, G., de Vos, M., 2009. Non-volatile intact indole glucosinolates are host recognition cues for ovipositing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J Chem Ecol 35, 1427–1436. https://doi.org/10.1007/s10886-009-9723-4</w:t>
      </w:r>
    </w:p>
    <w:p w14:paraId="691AA19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Talekar, N.S., Shelton, A.M., 1993. Biology, ecology, and management of the diamondback moth. Annu. Rev. Entomol. 38, 275–301. https://doi.org/10.1146/annurev.en.38.010193.001423</w:t>
      </w:r>
    </w:p>
    <w:p w14:paraId="3DB510B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Tan, K.-C., Oliver, R.P., Solomon, P.S., Moffat, C.S., 2010. Proteinaceous necrotrophic effectors in fungal virulence. Functional Plant Biol. 37, 907. https://doi.org/10.1071/FP10067</w:t>
      </w:r>
    </w:p>
    <w:p w14:paraId="664E280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Taylor, B.N., Simms, E.L., Komatsu, K.J., 2020. More than a functional group: diversity within the legume–Rhizobia mutualism and its relationship with ecosystem function. Diversity 12, 50. https://doi.org/10.3390/d12020050</w:t>
      </w:r>
    </w:p>
    <w:p w14:paraId="5F6334B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Thakur, M., Sohal, B.S., Sharma, S., 2014. Biochemical attributes of Indian mustard (</w:t>
      </w:r>
      <w:r w:rsidRPr="00D6094E">
        <w:rPr>
          <w:rFonts w:ascii="Times New Roman" w:hAnsi="Times New Roman" w:cs="Times New Roman"/>
          <w:i/>
          <w:iCs/>
          <w:sz w:val="24"/>
          <w:szCs w:val="24"/>
        </w:rPr>
        <w:t>Brassica juncea</w:t>
      </w:r>
      <w:r w:rsidRPr="00D6094E">
        <w:rPr>
          <w:rFonts w:ascii="Times New Roman" w:hAnsi="Times New Roman" w:cs="Times New Roman"/>
          <w:sz w:val="24"/>
          <w:szCs w:val="24"/>
        </w:rPr>
        <w:t>) and rapeseed (</w:t>
      </w:r>
      <w:r w:rsidRPr="00D6094E">
        <w:rPr>
          <w:rFonts w:ascii="Times New Roman" w:hAnsi="Times New Roman" w:cs="Times New Roman"/>
          <w:i/>
          <w:iCs/>
          <w:sz w:val="24"/>
          <w:szCs w:val="24"/>
        </w:rPr>
        <w:t>B. napus</w:t>
      </w:r>
      <w:r w:rsidRPr="00D6094E">
        <w:rPr>
          <w:rFonts w:ascii="Times New Roman" w:hAnsi="Times New Roman" w:cs="Times New Roman"/>
          <w:sz w:val="24"/>
          <w:szCs w:val="24"/>
        </w:rPr>
        <w:t>) as influenced by salicylic acid and benzothiadiazole. JANS 6, 725–728. https://doi.org/10.31018/jans.v6i2.526</w:t>
      </w:r>
    </w:p>
    <w:p w14:paraId="7BEA40F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Tjallingii, W.F., 2006. Salivary secretions by aphids interacting with proteins of phloem wound responses. Journal of Experimental Botany 57, 739–745. https://doi.org/10.1093/jxb/erj088</w:t>
      </w:r>
    </w:p>
    <w:p w14:paraId="64CA766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Torres, M.A., Jones, J.D.G., Dangl, J.L., 2006. Reactive oxygen species signaling in response to pathogens. Plant Physiology 141, 373–378. https://doi.org/10.1104/pp.106.079467</w:t>
      </w:r>
    </w:p>
    <w:p w14:paraId="462D3C3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Torres‐Vera, R., García, J.M., Pozo, M.J., López‐Ráez, J.A., 2014. Do strigolactones contribute to plant defence? Molecular Plant Pathology 15, 211–216. https://doi.org/10.1111/mpp.12074</w:t>
      </w:r>
    </w:p>
    <w:p w14:paraId="506CBC7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Trdá, L., Barešová, M., Šašek, V., Nováková, M., Zahajská, L., Dobrev, P.I., Motyka, V., Burketová, L., 2017. Cytokinin metabolism of pathogenic fungus </w:t>
      </w:r>
      <w:r w:rsidRPr="00D6094E">
        <w:rPr>
          <w:rFonts w:ascii="Times New Roman" w:hAnsi="Times New Roman" w:cs="Times New Roman"/>
          <w:i/>
          <w:iCs/>
          <w:sz w:val="24"/>
          <w:szCs w:val="24"/>
        </w:rPr>
        <w:t>Leptosphaeria maculans</w:t>
      </w:r>
      <w:r w:rsidRPr="00D6094E">
        <w:rPr>
          <w:rFonts w:ascii="Times New Roman" w:hAnsi="Times New Roman" w:cs="Times New Roman"/>
          <w:sz w:val="24"/>
          <w:szCs w:val="24"/>
        </w:rPr>
        <w:t xml:space="preserve"> involves isopentenyltransferase, adenosine kinase and cytokinin oxidase/dehydrogenase. Front. Microbiol. 8, 1374. https://doi.org/10.3389/fmicb.2017.01374</w:t>
      </w:r>
    </w:p>
    <w:p w14:paraId="7685EB14"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Truong, D.-H., Delory, B.M., Brostaux, Y., Heuskin, S., Delaplace, P., Francis, F., Lognay, G., 2014.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xml:space="preserve"> (L.) infestations at varying temperatures induce the emission of specific volatile blends by </w:t>
      </w:r>
      <w:r w:rsidRPr="00D6094E">
        <w:rPr>
          <w:rFonts w:ascii="Times New Roman" w:hAnsi="Times New Roman" w:cs="Times New Roman"/>
          <w:i/>
          <w:iCs/>
          <w:sz w:val="24"/>
          <w:szCs w:val="24"/>
        </w:rPr>
        <w:t>Arabidopsis thaliana</w:t>
      </w:r>
      <w:r w:rsidRPr="00D6094E">
        <w:rPr>
          <w:rFonts w:ascii="Times New Roman" w:hAnsi="Times New Roman" w:cs="Times New Roman"/>
          <w:sz w:val="24"/>
          <w:szCs w:val="24"/>
        </w:rPr>
        <w:t xml:space="preserve"> (L.) Heynh. Plant Signaling &amp; Behavior 9, e973816. https://doi.org/10.4161/15592324.2014.973816</w:t>
      </w:r>
    </w:p>
    <w:p w14:paraId="0A9848A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Tsuda, K., Mine, A., Bethke, G., Igarashi, D., Botanga, C.J., Tsuda, Y., Glazebrook, J., Sato, M., Katagiri, F., 2013. Dual regulation of gene expression mediated by extended MAPK activation and salicylic acid contributes to robust innate immunity in </w:t>
      </w:r>
      <w:r w:rsidRPr="00D6094E">
        <w:rPr>
          <w:rFonts w:ascii="Times New Roman" w:hAnsi="Times New Roman" w:cs="Times New Roman"/>
          <w:i/>
          <w:iCs/>
          <w:sz w:val="24"/>
          <w:szCs w:val="24"/>
        </w:rPr>
        <w:t>Arabidopsis thaliana</w:t>
      </w:r>
      <w:r w:rsidRPr="00D6094E">
        <w:rPr>
          <w:rFonts w:ascii="Times New Roman" w:hAnsi="Times New Roman" w:cs="Times New Roman"/>
          <w:sz w:val="24"/>
          <w:szCs w:val="24"/>
        </w:rPr>
        <w:t>. PLoS Genet 9, e1004015. https://doi.org/10.1371/journal.pgen.1004015</w:t>
      </w:r>
    </w:p>
    <w:p w14:paraId="0F2878E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Vega, 2018. The use of fungal entomopathogens as endophytes in biological control: a review. Mycologia 110, 4–30. https://doi.org/10.1080/00275514.2017.1418578</w:t>
      </w:r>
    </w:p>
    <w:p w14:paraId="1EB2F2E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Vega, F.E., 2008. Insect pathology and fungal endophytes. Journal of Invertebrate Pathology 98, 277–279. https://doi.org/10.1016/j.jip.2008.01.008</w:t>
      </w:r>
    </w:p>
    <w:p w14:paraId="521DA8F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Vega, F.E., Meyling, N.V., Luangsa-ard, J.J., Blackwell, M., 2012. Fungal entomopathogens, in: Insect Pathology. Elsevier, pp. 171–220. https://doi.org/10.1016/B978-0-12-384984-7.00006-3</w:t>
      </w:r>
    </w:p>
    <w:p w14:paraId="56E6E64A"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Velasco, P., Soengas, P., Vilar, M., Cartea, M.E., del Rio, M., 2008. </w:t>
      </w:r>
      <w:r w:rsidRPr="00D6094E">
        <w:rPr>
          <w:rFonts w:ascii="Times New Roman" w:hAnsi="Times New Roman" w:cs="Times New Roman"/>
          <w:sz w:val="24"/>
          <w:szCs w:val="24"/>
        </w:rPr>
        <w:t xml:space="preserve">Comparison of glucosinolate profiles in leaf and seed tissues of different </w:t>
      </w:r>
      <w:r w:rsidRPr="00D6094E">
        <w:rPr>
          <w:rFonts w:ascii="Times New Roman" w:hAnsi="Times New Roman" w:cs="Times New Roman"/>
          <w:i/>
          <w:iCs/>
          <w:sz w:val="24"/>
          <w:szCs w:val="24"/>
        </w:rPr>
        <w:t>Brassica napus</w:t>
      </w:r>
      <w:r w:rsidRPr="00D6094E">
        <w:rPr>
          <w:rFonts w:ascii="Times New Roman" w:hAnsi="Times New Roman" w:cs="Times New Roman"/>
          <w:sz w:val="24"/>
          <w:szCs w:val="24"/>
        </w:rPr>
        <w:t xml:space="preserve"> crops. J. Amer. Soc. Hort. Sci. 133, 551–558. https://doi.org/10.21273/JASHS.133.4.551</w:t>
      </w:r>
    </w:p>
    <w:p w14:paraId="731D7C5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Verhage, A., van Wees, S.C.M., Pieterse, C.M.J., 2010. Plant immunity: it’s the hormones talking, but what do they say? Plant Physiol. 154, 536–540. https://doi.org/10.1104/pp.110.161570</w:t>
      </w:r>
    </w:p>
    <w:p w14:paraId="4D375504"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Verhagen, B.W.M., Glazebrook, J., Zhu, T., Chang, H.-S., van Loon, L.C., Pieterse, C.M.J., 2004. The transcriptome of rhizobacteria-induced systemic resistance in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MPMI 17, 895–908. https://doi.org/10.1094/MPMI.2004.17.8.895</w:t>
      </w:r>
    </w:p>
    <w:p w14:paraId="5EC564C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lang w:val="es-VE"/>
        </w:rPr>
        <w:t xml:space="preserve">Verma, V., Ravindran, P., Kumar, P.P., 2016. </w:t>
      </w:r>
      <w:r w:rsidRPr="00D6094E">
        <w:rPr>
          <w:rFonts w:ascii="Times New Roman" w:hAnsi="Times New Roman" w:cs="Times New Roman"/>
          <w:sz w:val="24"/>
          <w:szCs w:val="24"/>
        </w:rPr>
        <w:t>Plant hormone-mediated regulation of stress responses. BMC Plant Biol 16, 86. https://doi.org/10.1186/s12870-016-0771-y</w:t>
      </w:r>
    </w:p>
    <w:p w14:paraId="55B7F67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Vlot, A.C., Dempsey, D.A., Klessig, D.F., 2009. Salicylic acid, a multifaceted hormone to combat disease. Annu. Rev. Phytopathol. 47, 177–206. https://doi.org/10.1146/annurev.phyto.050908.135202</w:t>
      </w:r>
    </w:p>
    <w:p w14:paraId="0D771AB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Wang, Y., Yuan, G., Yuan, S., Duan, W., Wang, P., Bai, J., Zhang, F., Gao, S., Zhang, L., Zhao, C., 2016. TaOPR2 encodes a 12-oxo-phytodienoic acid reductase involved in the biosynthesis of jasmonic acid in wheat (</w:t>
      </w:r>
      <w:r w:rsidRPr="00D6094E">
        <w:rPr>
          <w:rFonts w:ascii="Times New Roman" w:hAnsi="Times New Roman" w:cs="Times New Roman"/>
          <w:i/>
          <w:iCs/>
          <w:sz w:val="24"/>
          <w:szCs w:val="24"/>
        </w:rPr>
        <w:t>Triticum aestivum</w:t>
      </w:r>
      <w:r w:rsidRPr="00D6094E">
        <w:rPr>
          <w:rFonts w:ascii="Times New Roman" w:hAnsi="Times New Roman" w:cs="Times New Roman"/>
          <w:sz w:val="24"/>
          <w:szCs w:val="24"/>
        </w:rPr>
        <w:t xml:space="preserve"> L.). Biochemical and Biophysical Research Communications 470, 233–238. https://doi.org/10.1016/j.bbrc.2016.01.043</w:t>
      </w:r>
    </w:p>
    <w:p w14:paraId="2D4865A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War, A.R., Paulraj, M.G., Ahmad, T., Buhroo, A.A., Hussain, B., Ignacimuthu, S., Sharma, H.C., 2012. Mechanisms of plant defense against insect herbivores. Plant Signaling &amp; Behavior 7, 1306–1320. https://doi.org/10.4161/psb.21663</w:t>
      </w:r>
    </w:p>
    <w:p w14:paraId="4D71621B"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Wasternack, C., Hause, B., 2019. The missing link in jasmonic acid biosynthesis. Nat. Plants 5, 776–777. https://doi.org/10.1038/s41477-019-0492-y</w:t>
      </w:r>
    </w:p>
    <w:p w14:paraId="11CD91DC"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Wasternack, C., Hause, B., 2013. Jasmonates: biosynthesis, perception, signal transduction and action in plant stress response, growth and development. An update to the 2007 review in Annals of Botany. Annals of Botany 111, 1021–1058. https://doi.org/10.1093/aob/mct067</w:t>
      </w:r>
    </w:p>
    <w:p w14:paraId="1661558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Wickham, H., 2009. ggplot2. Springer New York, New York, NY. https://doi.org/10.1007/978-0-387-98141-3</w:t>
      </w:r>
    </w:p>
    <w:p w14:paraId="2F1BD7A4"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Wildermuth, M.C., Dewdney, J., Wu, G., Ausubel, F.M., 2001. Isochorismate synthase is required to synthesize salicylic acid for plant defence. Nature 414, 562–565. https://doi.org/10.1038/35107108</w:t>
      </w:r>
    </w:p>
    <w:p w14:paraId="5A2C8B1D"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Will, T., Kornemann, S.R., Furch, A.C.U., Tjallingii, W.F., van Bel, A.J.E., 2009. Aphid watery saliva counteracts sieve-tube occlusion: a universal phenomenon? Journal of Experimental Biology 212, 3305–3312. https://doi.org/10.1242/jeb.028514</w:t>
      </w:r>
    </w:p>
    <w:p w14:paraId="79E1BDE2"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Will, T., Tjallingii, W.F., Thonnessen, A., van Bel, A.J.E., 2007. Molecular sabotage of plant defense by aphid saliva. Proceedings of the National Academy of Sciences 104, 10536–10541. https://doi.org/10.1073/pnas.0703535104</w:t>
      </w:r>
    </w:p>
    <w:p w14:paraId="643E8BF3"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Willmann, R., Lajunen, H.M., Erbs, G., Newman, M.-A., Kolb, D., Tsuda, K., Katagiri, F., Fliegmann, J., Bono, J.-J., Cullimore, J.V., Jehle, A.K., Götz, F., Kulik, A., Molinaro, A., Lipka, V., Gust, A.A., Nürnberger, T., 2011.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lysin-motif proteins LYM1 LYM3 CERK1 mediate bacterial peptidoglycan sensing and immunity to bacterial infection. Proc. Natl. Acad. Sci. U.S.A. 108, 19824–19829. https://doi.org/10.1073/pnas.1112862108</w:t>
      </w:r>
    </w:p>
    <w:p w14:paraId="4E8BC510"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Winde, I., Wittstock, U., 2011. Insect herbivore counteradaptations to the plant glucosinolate–myrosinase system. Phytochemistry 72, 1566–1575. https://doi.org/10.1016/j.phytochem.2011.01.016</w:t>
      </w:r>
    </w:p>
    <w:p w14:paraId="6313E435"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Xiao, L., Carrillo, J., Siemann, E., Ding, J., 2019. Herbivore-specific induction of indirect and direct defensive responses in leaves and roots. AoB PLANTS 11. https://doi.org/10.1093/aobpla/plz003</w:t>
      </w:r>
    </w:p>
    <w:p w14:paraId="0D26A697"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Xie, D.-X., Feys, B.F., James, S., Nieto-Rostro, M., Turner, J.G., 1998. </w:t>
      </w:r>
      <w:r w:rsidRPr="00D6094E">
        <w:rPr>
          <w:rFonts w:ascii="Times New Roman" w:hAnsi="Times New Roman" w:cs="Times New Roman"/>
          <w:i/>
          <w:iCs/>
          <w:sz w:val="24"/>
          <w:szCs w:val="24"/>
        </w:rPr>
        <w:t>COI1</w:t>
      </w:r>
      <w:r w:rsidRPr="00D6094E">
        <w:rPr>
          <w:rFonts w:ascii="Times New Roman" w:hAnsi="Times New Roman" w:cs="Times New Roman"/>
          <w:sz w:val="24"/>
          <w:szCs w:val="24"/>
        </w:rPr>
        <w:t xml:space="preserve"> : an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xml:space="preserve"> gene required for jasmonate-regulated defense and fertility. Science 280, 1091–1094. https://doi.org/10.1126/science.280.5366.1091</w:t>
      </w:r>
    </w:p>
    <w:p w14:paraId="1ED1A076"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Xuan, L., Yan, T., Lu, L., Zhao, X., Wu, D., Hua, S., Jiang, L., 2020. Genome‐wide association study reveals new genes involved in leaf trichome formation in polyploid oilseed rape (</w:t>
      </w:r>
      <w:r w:rsidRPr="00D6094E">
        <w:rPr>
          <w:rFonts w:ascii="Times New Roman" w:hAnsi="Times New Roman" w:cs="Times New Roman"/>
          <w:i/>
          <w:iCs/>
          <w:smallCaps/>
          <w:sz w:val="24"/>
          <w:szCs w:val="24"/>
        </w:rPr>
        <w:t>Brassica napus</w:t>
      </w:r>
      <w:r w:rsidRPr="00D6094E">
        <w:rPr>
          <w:rFonts w:ascii="Times New Roman" w:hAnsi="Times New Roman" w:cs="Times New Roman"/>
          <w:sz w:val="24"/>
          <w:szCs w:val="24"/>
        </w:rPr>
        <w:t xml:space="preserve"> L.). Plant Cell Environ 43, 675–691. https://doi.org/10.1111/pce.13694</w:t>
      </w:r>
    </w:p>
    <w:p w14:paraId="6B058BC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Yamazaki, A., Hayashi, M., 2015. Building the interaction interfaces: host responses upon infection with microorganisms. Current Opinion in Plant Biology 23, 132–139. https://doi.org/10.1016/j.pbi.2014.12.003</w:t>
      </w:r>
    </w:p>
    <w:p w14:paraId="4ED06B58"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Yang, J., Duan, G., Li, C., Liu, L., Han, G., Zhang, Y., Wang, C., 2019. The crosstalks between jasmonic acid and other plant hormone signaling highlight the involvement of jasmonic acid as a core component in plant response to biotic and abiotic stresses. Front. Plant Sci. 10, 1349. https://doi.org/10.3389/fpls.2019.01349</w:t>
      </w:r>
    </w:p>
    <w:p w14:paraId="2CB2FA31"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Zalucki, M.P., Shabbir, A., Silva, R., Adamson, D., Shu-Sheng, L., Furlong, M.J., 2012. Estimating the economic cost of one of the world’s major insect pests,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xml:space="preserve"> (Lepidoptera: Plutellidae): Just how long is a piece of string? Journal of Economic Entomology 105, 1115–1129. https://doi.org/10.1603/EC12107</w:t>
      </w:r>
    </w:p>
    <w:p w14:paraId="693500DE"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Zhang, J., Wang, Xiaobo, Cheng, F., Wu, J., Liang, J., Yang, W., Wang, Xiaowu, 2015. Lineage-specific evolution of Methylthioalkylmalate synthases (MAMs) involved in glucosinolates biosynthesis. Front. Plant Sci. 6. https://doi.org/10.3389/fpls.2015.00018</w:t>
      </w:r>
    </w:p>
    <w:p w14:paraId="316F2109" w14:textId="77777777" w:rsidR="00C46636" w:rsidRPr="00D6094E" w:rsidRDefault="00C46636" w:rsidP="00C46636">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Zhao, H., Yin, C., Ma, B., Chen, S., Zhang, J., 2021. Ethylene signaling in rice and </w:t>
      </w:r>
      <w:r w:rsidRPr="00D6094E">
        <w:rPr>
          <w:rFonts w:ascii="Times New Roman" w:hAnsi="Times New Roman" w:cs="Times New Roman"/>
          <w:i/>
          <w:iCs/>
          <w:sz w:val="24"/>
          <w:szCs w:val="24"/>
        </w:rPr>
        <w:t>Arabidopsis</w:t>
      </w:r>
      <w:r w:rsidRPr="00D6094E">
        <w:rPr>
          <w:rFonts w:ascii="Times New Roman" w:hAnsi="Times New Roman" w:cs="Times New Roman"/>
          <w:sz w:val="24"/>
          <w:szCs w:val="24"/>
        </w:rPr>
        <w:t> : New regulators and mechanisms. JIPB 63, 102–125. https://doi.org/10.1111/jipb.13028</w:t>
      </w:r>
    </w:p>
    <w:p w14:paraId="2150A48E" w14:textId="4FD301EA" w:rsidR="001D47AD" w:rsidRPr="00D6094E" w:rsidRDefault="00C46636" w:rsidP="00D6094E">
      <w:pPr>
        <w:pStyle w:val="Bibliography"/>
        <w:rPr>
          <w:rFonts w:ascii="Times New Roman" w:hAnsi="Times New Roman" w:cs="Times New Roman"/>
          <w:sz w:val="24"/>
          <w:szCs w:val="24"/>
        </w:rPr>
      </w:pPr>
      <w:r w:rsidRPr="00D6094E">
        <w:rPr>
          <w:rFonts w:ascii="Times New Roman" w:hAnsi="Times New Roman" w:cs="Times New Roman"/>
          <w:sz w:val="24"/>
          <w:szCs w:val="24"/>
        </w:rPr>
        <w:t xml:space="preserve">Zhu, J.-Y., Xiang, Z.-W., Zhang, S.-Z., Wu, L.-N., Liu, T.-X., 2022. Adaptations of </w:t>
      </w:r>
      <w:r w:rsidRPr="00D6094E">
        <w:rPr>
          <w:rFonts w:ascii="Times New Roman" w:hAnsi="Times New Roman" w:cs="Times New Roman"/>
          <w:i/>
          <w:iCs/>
          <w:sz w:val="24"/>
          <w:szCs w:val="24"/>
        </w:rPr>
        <w:t>Plutella xylostella</w:t>
      </w:r>
      <w:r w:rsidRPr="00D6094E">
        <w:rPr>
          <w:rFonts w:ascii="Times New Roman" w:hAnsi="Times New Roman" w:cs="Times New Roman"/>
          <w:sz w:val="24"/>
          <w:szCs w:val="24"/>
        </w:rPr>
        <w:t xml:space="preserve"> adult females and larvae to waxy host plants. J Pest Sci 95, 203–214. https://doi.org/10.1007/s10340-021-01366-3</w:t>
      </w:r>
      <w:r w:rsidR="00E7693B" w:rsidRPr="00D6094E">
        <w:rPr>
          <w:rFonts w:ascii="Times New Roman" w:hAnsi="Times New Roman" w:cs="Times New Roman"/>
          <w:color w:val="000000"/>
          <w:sz w:val="24"/>
          <w:szCs w:val="24"/>
          <w:lang w:val="es-419"/>
        </w:rPr>
        <w:fldChar w:fldCharType="end"/>
      </w:r>
    </w:p>
    <w:p w14:paraId="2150A56F" w14:textId="7F2A18D8" w:rsidR="00E7693B" w:rsidRPr="00E7693B" w:rsidRDefault="00E7693B" w:rsidP="00F522B1">
      <w:pPr>
        <w:spacing w:line="360" w:lineRule="auto"/>
        <w:jc w:val="both"/>
        <w:rPr>
          <w:rFonts w:ascii="Times New Roman" w:hAnsi="Times New Roman" w:cs="Times New Roman"/>
        </w:rPr>
      </w:pPr>
      <w:r w:rsidRPr="00D6094E">
        <w:rPr>
          <w:rFonts w:ascii="Times New Roman" w:hAnsi="Times New Roman" w:cs="Times New Roman"/>
          <w:sz w:val="24"/>
          <w:szCs w:val="24"/>
        </w:rPr>
        <w:t xml:space="preserve">                                                                                                                                                                          </w:t>
      </w:r>
      <w:r w:rsidRPr="00E7693B">
        <w:rPr>
          <w:rFonts w:ascii="Times New Roman" w:hAnsi="Times New Roman" w:cs="Times New Roman"/>
        </w:rPr>
        <w:t xml:space="preserve">                                                                                                                                                                                                                                                                                                                                                                                                                                                                                                                                                                                                                                                                                                                                                                                                                                                                                                                                                                                                                                                                                                                                                                                                                                                                                                                                                                           </w:t>
      </w:r>
    </w:p>
    <w:sectPr w:rsidR="00E7693B" w:rsidRPr="00E7693B">
      <w:footerReference w:type="default" r:id="rId68"/>
      <w:footerReference w:type="first" r:id="rId69"/>
      <w:type w:val="continuous"/>
      <w:pgSz w:w="11907" w:h="16840"/>
      <w:pgMar w:top="1701" w:right="1418" w:bottom="1134" w:left="1418" w:header="709" w:footer="113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50A5DF" w14:textId="77777777" w:rsidR="00AE422D" w:rsidRDefault="00AE422D">
      <w:pPr>
        <w:spacing w:after="0" w:line="240" w:lineRule="auto"/>
      </w:pPr>
      <w:r>
        <w:separator/>
      </w:r>
    </w:p>
  </w:endnote>
  <w:endnote w:type="continuationSeparator" w:id="0">
    <w:p w14:paraId="2150A5E1" w14:textId="77777777" w:rsidR="00AE422D" w:rsidRDefault="00AE42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0A5D1" w14:textId="77777777" w:rsidR="00AE422D" w:rsidRDefault="00AE422D">
    <w:pPr>
      <w:pBdr>
        <w:top w:val="nil"/>
        <w:left w:val="nil"/>
        <w:bottom w:val="nil"/>
        <w:right w:val="nil"/>
        <w:between w:val="nil"/>
      </w:pBdr>
      <w:tabs>
        <w:tab w:val="center" w:pos="4536"/>
        <w:tab w:val="right" w:pos="9072"/>
      </w:tabs>
      <w:jc w:val="right"/>
      <w:rPr>
        <w:color w:val="000000"/>
      </w:rPr>
    </w:pPr>
  </w:p>
  <w:p w14:paraId="2150A5D2" w14:textId="77777777" w:rsidR="00AE422D" w:rsidRDefault="00AE422D">
    <w:pPr>
      <w:pBdr>
        <w:top w:val="nil"/>
        <w:left w:val="nil"/>
        <w:bottom w:val="nil"/>
        <w:right w:val="nil"/>
        <w:between w:val="nil"/>
      </w:pBdr>
      <w:tabs>
        <w:tab w:val="center" w:pos="4536"/>
        <w:tab w:val="right" w:pos="9072"/>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0A5D3" w14:textId="77777777" w:rsidR="00AE422D" w:rsidRDefault="00AE422D">
    <w:pPr>
      <w:pBdr>
        <w:top w:val="nil"/>
        <w:left w:val="nil"/>
        <w:bottom w:val="nil"/>
        <w:right w:val="nil"/>
        <w:between w:val="nil"/>
      </w:pBdr>
      <w:tabs>
        <w:tab w:val="center" w:pos="4536"/>
        <w:tab w:val="right" w:pos="9072"/>
      </w:tabs>
      <w:jc w:val="right"/>
      <w:rPr>
        <w:color w:val="000000"/>
      </w:rPr>
    </w:pPr>
  </w:p>
  <w:p w14:paraId="2150A5D4" w14:textId="77777777" w:rsidR="00AE422D" w:rsidRDefault="00AE422D">
    <w:pPr>
      <w:pBdr>
        <w:top w:val="nil"/>
        <w:left w:val="nil"/>
        <w:bottom w:val="nil"/>
        <w:right w:val="nil"/>
        <w:between w:val="nil"/>
      </w:pBdr>
      <w:tabs>
        <w:tab w:val="center" w:pos="4536"/>
        <w:tab w:val="right" w:pos="9072"/>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0A5D5" w14:textId="77777777" w:rsidR="00AE422D" w:rsidRDefault="00AE422D">
    <w:pPr>
      <w:pBdr>
        <w:top w:val="nil"/>
        <w:left w:val="nil"/>
        <w:bottom w:val="nil"/>
        <w:right w:val="nil"/>
        <w:between w:val="nil"/>
      </w:pBdr>
      <w:tabs>
        <w:tab w:val="center" w:pos="4536"/>
        <w:tab w:val="right" w:pos="9072"/>
      </w:tabs>
      <w:jc w:val="right"/>
      <w:rPr>
        <w:color w:val="000000"/>
      </w:rPr>
    </w:pPr>
  </w:p>
  <w:p w14:paraId="2150A5D6" w14:textId="77777777" w:rsidR="00AE422D" w:rsidRDefault="00AE422D">
    <w:pPr>
      <w:pBdr>
        <w:top w:val="nil"/>
        <w:left w:val="nil"/>
        <w:bottom w:val="nil"/>
        <w:right w:val="nil"/>
        <w:between w:val="nil"/>
      </w:pBdr>
      <w:tabs>
        <w:tab w:val="center" w:pos="4536"/>
        <w:tab w:val="right" w:pos="9072"/>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0A5D7" w14:textId="11CA35FF" w:rsidR="00AE422D" w:rsidRDefault="00AE422D">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separate"/>
    </w:r>
    <w:r w:rsidR="00E75E68">
      <w:rPr>
        <w:noProof/>
        <w:color w:val="000000"/>
      </w:rPr>
      <w:t>34</w:t>
    </w:r>
    <w:r>
      <w:rPr>
        <w:color w:val="000000"/>
      </w:rPr>
      <w:fldChar w:fldCharType="end"/>
    </w:r>
  </w:p>
  <w:p w14:paraId="2150A5D8" w14:textId="77777777" w:rsidR="00AE422D" w:rsidRDefault="00AE422D">
    <w:pPr>
      <w:pBdr>
        <w:top w:val="nil"/>
        <w:left w:val="nil"/>
        <w:bottom w:val="nil"/>
        <w:right w:val="nil"/>
        <w:between w:val="nil"/>
      </w:pBdr>
      <w:tabs>
        <w:tab w:val="center" w:pos="4536"/>
        <w:tab w:val="right" w:pos="9072"/>
      </w:tabs>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0A5D9" w14:textId="77777777" w:rsidR="00AE422D" w:rsidRDefault="00AE422D">
    <w:pPr>
      <w:pBdr>
        <w:top w:val="nil"/>
        <w:left w:val="nil"/>
        <w:bottom w:val="nil"/>
        <w:right w:val="nil"/>
        <w:between w:val="nil"/>
      </w:pBdr>
      <w:tabs>
        <w:tab w:val="center" w:pos="4536"/>
        <w:tab w:val="right" w:pos="9072"/>
      </w:tabs>
      <w:jc w:val="right"/>
      <w:rPr>
        <w:color w:val="000000"/>
      </w:rPr>
    </w:pPr>
  </w:p>
  <w:p w14:paraId="2150A5DA" w14:textId="77777777" w:rsidR="00AE422D" w:rsidRDefault="00AE422D">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50A5DB" w14:textId="77777777" w:rsidR="00AE422D" w:rsidRDefault="00AE422D">
      <w:pPr>
        <w:spacing w:after="0" w:line="240" w:lineRule="auto"/>
      </w:pPr>
      <w:r>
        <w:separator/>
      </w:r>
    </w:p>
  </w:footnote>
  <w:footnote w:type="continuationSeparator" w:id="0">
    <w:p w14:paraId="2150A5DD" w14:textId="77777777" w:rsidR="00AE422D" w:rsidRDefault="00AE42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5348FD"/>
    <w:multiLevelType w:val="multilevel"/>
    <w:tmpl w:val="0A80453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i w:val="0"/>
        <w:iCs/>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2CF4544F"/>
    <w:multiLevelType w:val="hybridMultilevel"/>
    <w:tmpl w:val="1C040EEA"/>
    <w:lvl w:ilvl="0" w:tplc="A052D3E6">
      <w:start w:val="1"/>
      <w:numFmt w:val="decimal"/>
      <w:lvlText w:val="%1.1.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D5132CF"/>
    <w:multiLevelType w:val="hybridMultilevel"/>
    <w:tmpl w:val="C00E8974"/>
    <w:lvl w:ilvl="0" w:tplc="04050001">
      <w:start w:val="1"/>
      <w:numFmt w:val="bullet"/>
      <w:lvlText w:val=""/>
      <w:lvlJc w:val="left"/>
      <w:pPr>
        <w:ind w:left="1425" w:hanging="360"/>
      </w:pPr>
      <w:rPr>
        <w:rFonts w:ascii="Symbol" w:hAnsi="Symbol" w:hint="default"/>
      </w:rPr>
    </w:lvl>
    <w:lvl w:ilvl="1" w:tplc="04050003">
      <w:start w:val="1"/>
      <w:numFmt w:val="bullet"/>
      <w:lvlText w:val="o"/>
      <w:lvlJc w:val="left"/>
      <w:pPr>
        <w:ind w:left="2145" w:hanging="360"/>
      </w:pPr>
      <w:rPr>
        <w:rFonts w:ascii="Courier New" w:hAnsi="Courier New" w:cs="Courier New" w:hint="default"/>
      </w:rPr>
    </w:lvl>
    <w:lvl w:ilvl="2" w:tplc="04050005">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3" w15:restartNumberingAfterBreak="0">
    <w:nsid w:val="3D535A0C"/>
    <w:multiLevelType w:val="hybridMultilevel"/>
    <w:tmpl w:val="0BE4794E"/>
    <w:lvl w:ilvl="0" w:tplc="9BCA024C">
      <w:start w:val="1"/>
      <w:numFmt w:val="decimal"/>
      <w:lvlText w:val="%1.1.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2D47700"/>
    <w:multiLevelType w:val="hybridMultilevel"/>
    <w:tmpl w:val="F7CAA4E2"/>
    <w:lvl w:ilvl="0" w:tplc="55866CE4">
      <w:start w:val="1"/>
      <w:numFmt w:val="decimal"/>
      <w:lvlText w:val="%1.1.1. "/>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69D0CFB"/>
    <w:multiLevelType w:val="multilevel"/>
    <w:tmpl w:val="41F271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73BC4381"/>
    <w:multiLevelType w:val="hybridMultilevel"/>
    <w:tmpl w:val="9A6E1654"/>
    <w:lvl w:ilvl="0" w:tplc="08CAB246">
      <w:start w:val="2"/>
      <w:numFmt w:val="decimal"/>
      <w:lvlText w:val="%1.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6C951FC"/>
    <w:multiLevelType w:val="hybridMultilevel"/>
    <w:tmpl w:val="82186302"/>
    <w:lvl w:ilvl="0" w:tplc="2F24CB32">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6758952">
    <w:abstractNumId w:val="5"/>
  </w:num>
  <w:num w:numId="2" w16cid:durableId="47599198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6486358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84458953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88166265">
    <w:abstractNumId w:val="2"/>
  </w:num>
  <w:num w:numId="6" w16cid:durableId="1839998874">
    <w:abstractNumId w:val="7"/>
  </w:num>
  <w:num w:numId="7" w16cid:durableId="1729650984">
    <w:abstractNumId w:val="6"/>
  </w:num>
  <w:num w:numId="8" w16cid:durableId="57754619">
    <w:abstractNumId w:val="4"/>
  </w:num>
  <w:num w:numId="9" w16cid:durableId="1262566668">
    <w:abstractNumId w:val="3"/>
  </w:num>
  <w:num w:numId="10" w16cid:durableId="1356494099">
    <w:abstractNumId w:val="1"/>
  </w:num>
  <w:num w:numId="11" w16cid:durableId="1931619127">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Nikoleta Rubil">
    <w15:presenceInfo w15:providerId="AD" w15:userId="S::ljg963@ku.dk::c3afc184-0faa-4227-bfc4-1f5cc2a0e65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hideSpellingErrors/>
  <w:activeWritingStyle w:appName="MSWord" w:lang="es-419" w:vendorID="64" w:dllVersion="6" w:nlCheck="1" w:checkStyle="0"/>
  <w:activeWritingStyle w:appName="MSWord" w:lang="en-US" w:vendorID="64" w:dllVersion="6" w:nlCheck="1" w:checkStyle="1"/>
  <w:activeWritingStyle w:appName="MSWord" w:lang="en-GB" w:vendorID="64" w:dllVersion="6" w:nlCheck="1" w:checkStyle="1"/>
  <w:activeWritingStyle w:appName="MSWord" w:lang="es-VE" w:vendorID="64" w:dllVersion="6" w:nlCheck="1" w:checkStyle="0"/>
  <w:activeWritingStyle w:appName="MSWord" w:lang="en-GB" w:vendorID="64" w:dllVersion="0" w:nlCheck="1" w:checkStyle="0"/>
  <w:proofState w:spelling="clean"/>
  <w:revisionView w:markup="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693B"/>
    <w:rsid w:val="00004987"/>
    <w:rsid w:val="00006132"/>
    <w:rsid w:val="00007653"/>
    <w:rsid w:val="000256EA"/>
    <w:rsid w:val="00040540"/>
    <w:rsid w:val="000531F9"/>
    <w:rsid w:val="00057FB0"/>
    <w:rsid w:val="00060AB5"/>
    <w:rsid w:val="00061D5A"/>
    <w:rsid w:val="000A0E09"/>
    <w:rsid w:val="000B2356"/>
    <w:rsid w:val="000B6E74"/>
    <w:rsid w:val="000B7727"/>
    <w:rsid w:val="000C60A9"/>
    <w:rsid w:val="00115163"/>
    <w:rsid w:val="001274B0"/>
    <w:rsid w:val="00131EA9"/>
    <w:rsid w:val="00137B11"/>
    <w:rsid w:val="0014730A"/>
    <w:rsid w:val="001476E8"/>
    <w:rsid w:val="001632EF"/>
    <w:rsid w:val="00172009"/>
    <w:rsid w:val="00175250"/>
    <w:rsid w:val="00181A78"/>
    <w:rsid w:val="00184E62"/>
    <w:rsid w:val="00191E0E"/>
    <w:rsid w:val="00192FBE"/>
    <w:rsid w:val="00196184"/>
    <w:rsid w:val="001A189B"/>
    <w:rsid w:val="001A2FE0"/>
    <w:rsid w:val="001A33CE"/>
    <w:rsid w:val="001A6928"/>
    <w:rsid w:val="001A707E"/>
    <w:rsid w:val="001B3776"/>
    <w:rsid w:val="001B616A"/>
    <w:rsid w:val="001C52A3"/>
    <w:rsid w:val="001D47AD"/>
    <w:rsid w:val="001F59D4"/>
    <w:rsid w:val="001F789F"/>
    <w:rsid w:val="00207C11"/>
    <w:rsid w:val="0022320E"/>
    <w:rsid w:val="00226D22"/>
    <w:rsid w:val="00240A50"/>
    <w:rsid w:val="00241E45"/>
    <w:rsid w:val="00257CCA"/>
    <w:rsid w:val="00266E16"/>
    <w:rsid w:val="0027609F"/>
    <w:rsid w:val="002800E4"/>
    <w:rsid w:val="002802A7"/>
    <w:rsid w:val="00285415"/>
    <w:rsid w:val="0029216B"/>
    <w:rsid w:val="00297F1C"/>
    <w:rsid w:val="002A4202"/>
    <w:rsid w:val="002A45F9"/>
    <w:rsid w:val="002A47AC"/>
    <w:rsid w:val="002B6780"/>
    <w:rsid w:val="002B7786"/>
    <w:rsid w:val="002B7909"/>
    <w:rsid w:val="002C2479"/>
    <w:rsid w:val="002C7111"/>
    <w:rsid w:val="002D066B"/>
    <w:rsid w:val="002D70AD"/>
    <w:rsid w:val="002E0D74"/>
    <w:rsid w:val="002E3355"/>
    <w:rsid w:val="002E4058"/>
    <w:rsid w:val="002E7047"/>
    <w:rsid w:val="002F4923"/>
    <w:rsid w:val="002F5BAD"/>
    <w:rsid w:val="003001BB"/>
    <w:rsid w:val="00304C29"/>
    <w:rsid w:val="0031062A"/>
    <w:rsid w:val="00313E35"/>
    <w:rsid w:val="00323FAE"/>
    <w:rsid w:val="00333579"/>
    <w:rsid w:val="00337EA3"/>
    <w:rsid w:val="00355C14"/>
    <w:rsid w:val="003574E4"/>
    <w:rsid w:val="003706B5"/>
    <w:rsid w:val="00381965"/>
    <w:rsid w:val="0038285A"/>
    <w:rsid w:val="0039587B"/>
    <w:rsid w:val="003A6977"/>
    <w:rsid w:val="003C2CA8"/>
    <w:rsid w:val="003D5BB3"/>
    <w:rsid w:val="003E75D7"/>
    <w:rsid w:val="003F7A12"/>
    <w:rsid w:val="00403DB4"/>
    <w:rsid w:val="00403E28"/>
    <w:rsid w:val="00412F62"/>
    <w:rsid w:val="0041617B"/>
    <w:rsid w:val="00433676"/>
    <w:rsid w:val="004377F2"/>
    <w:rsid w:val="00440FB9"/>
    <w:rsid w:val="004435F1"/>
    <w:rsid w:val="00447AF6"/>
    <w:rsid w:val="004662FA"/>
    <w:rsid w:val="00466438"/>
    <w:rsid w:val="0047215D"/>
    <w:rsid w:val="004728B4"/>
    <w:rsid w:val="004827FC"/>
    <w:rsid w:val="00487590"/>
    <w:rsid w:val="00495BDC"/>
    <w:rsid w:val="00496830"/>
    <w:rsid w:val="004B0BA6"/>
    <w:rsid w:val="004C7625"/>
    <w:rsid w:val="004D5193"/>
    <w:rsid w:val="004E1BDA"/>
    <w:rsid w:val="004F3A18"/>
    <w:rsid w:val="00505740"/>
    <w:rsid w:val="00536BF8"/>
    <w:rsid w:val="00537DC4"/>
    <w:rsid w:val="00544143"/>
    <w:rsid w:val="00544355"/>
    <w:rsid w:val="00551A0A"/>
    <w:rsid w:val="0055588A"/>
    <w:rsid w:val="005604EB"/>
    <w:rsid w:val="0057176F"/>
    <w:rsid w:val="005777F4"/>
    <w:rsid w:val="00581AB7"/>
    <w:rsid w:val="005841FD"/>
    <w:rsid w:val="00586832"/>
    <w:rsid w:val="00595453"/>
    <w:rsid w:val="0059599C"/>
    <w:rsid w:val="005A1B71"/>
    <w:rsid w:val="005B10F0"/>
    <w:rsid w:val="005B4B6A"/>
    <w:rsid w:val="005B6C8D"/>
    <w:rsid w:val="005B7ADC"/>
    <w:rsid w:val="005C1E7A"/>
    <w:rsid w:val="005C39A1"/>
    <w:rsid w:val="005C65FC"/>
    <w:rsid w:val="005D43BB"/>
    <w:rsid w:val="005E3506"/>
    <w:rsid w:val="005E5AB8"/>
    <w:rsid w:val="005F05C6"/>
    <w:rsid w:val="005F181E"/>
    <w:rsid w:val="005F5D7C"/>
    <w:rsid w:val="00607DC8"/>
    <w:rsid w:val="00612B85"/>
    <w:rsid w:val="00616F2D"/>
    <w:rsid w:val="00626BD1"/>
    <w:rsid w:val="00626CBB"/>
    <w:rsid w:val="00631FCE"/>
    <w:rsid w:val="00632B4B"/>
    <w:rsid w:val="006369DE"/>
    <w:rsid w:val="006403AE"/>
    <w:rsid w:val="0064516A"/>
    <w:rsid w:val="00651897"/>
    <w:rsid w:val="00655F8E"/>
    <w:rsid w:val="00667A2E"/>
    <w:rsid w:val="00673DAA"/>
    <w:rsid w:val="006809BE"/>
    <w:rsid w:val="00684A4C"/>
    <w:rsid w:val="006B61C5"/>
    <w:rsid w:val="006C5896"/>
    <w:rsid w:val="006D0706"/>
    <w:rsid w:val="006D172D"/>
    <w:rsid w:val="006D365B"/>
    <w:rsid w:val="006D3D72"/>
    <w:rsid w:val="006D5BCB"/>
    <w:rsid w:val="006E1ADF"/>
    <w:rsid w:val="00713AE4"/>
    <w:rsid w:val="007225DC"/>
    <w:rsid w:val="00727A64"/>
    <w:rsid w:val="0074184F"/>
    <w:rsid w:val="007516EC"/>
    <w:rsid w:val="00755BFE"/>
    <w:rsid w:val="007564FE"/>
    <w:rsid w:val="007567C3"/>
    <w:rsid w:val="0076379F"/>
    <w:rsid w:val="00766376"/>
    <w:rsid w:val="00773FD2"/>
    <w:rsid w:val="0077442F"/>
    <w:rsid w:val="00795693"/>
    <w:rsid w:val="007A4007"/>
    <w:rsid w:val="007A5E38"/>
    <w:rsid w:val="007B5F45"/>
    <w:rsid w:val="007E6DA3"/>
    <w:rsid w:val="007E765E"/>
    <w:rsid w:val="007E7EC2"/>
    <w:rsid w:val="007F0C75"/>
    <w:rsid w:val="007F3766"/>
    <w:rsid w:val="007F483E"/>
    <w:rsid w:val="007F5E85"/>
    <w:rsid w:val="0080269D"/>
    <w:rsid w:val="008054C1"/>
    <w:rsid w:val="008172D6"/>
    <w:rsid w:val="008238B2"/>
    <w:rsid w:val="00836535"/>
    <w:rsid w:val="008453ED"/>
    <w:rsid w:val="008516B3"/>
    <w:rsid w:val="0085468B"/>
    <w:rsid w:val="008743C6"/>
    <w:rsid w:val="008840AD"/>
    <w:rsid w:val="0089371D"/>
    <w:rsid w:val="008B30EB"/>
    <w:rsid w:val="008B6B6B"/>
    <w:rsid w:val="008C4D2B"/>
    <w:rsid w:val="008C5AD3"/>
    <w:rsid w:val="008C7512"/>
    <w:rsid w:val="008D22D6"/>
    <w:rsid w:val="008D42B0"/>
    <w:rsid w:val="008D6A38"/>
    <w:rsid w:val="008E24E0"/>
    <w:rsid w:val="008E4967"/>
    <w:rsid w:val="008E7789"/>
    <w:rsid w:val="008F53F0"/>
    <w:rsid w:val="00907769"/>
    <w:rsid w:val="009242A6"/>
    <w:rsid w:val="00925294"/>
    <w:rsid w:val="00964E27"/>
    <w:rsid w:val="00965E3D"/>
    <w:rsid w:val="0098094F"/>
    <w:rsid w:val="009809B8"/>
    <w:rsid w:val="009935C4"/>
    <w:rsid w:val="009944C5"/>
    <w:rsid w:val="009A5D38"/>
    <w:rsid w:val="009B01FD"/>
    <w:rsid w:val="009B25B3"/>
    <w:rsid w:val="009C1915"/>
    <w:rsid w:val="009D0ABF"/>
    <w:rsid w:val="009D6803"/>
    <w:rsid w:val="009F1B38"/>
    <w:rsid w:val="009F6107"/>
    <w:rsid w:val="00A0036E"/>
    <w:rsid w:val="00A023DC"/>
    <w:rsid w:val="00A03483"/>
    <w:rsid w:val="00A0524E"/>
    <w:rsid w:val="00A153E4"/>
    <w:rsid w:val="00A237C2"/>
    <w:rsid w:val="00A40BDE"/>
    <w:rsid w:val="00A5743C"/>
    <w:rsid w:val="00A75D46"/>
    <w:rsid w:val="00A85C9D"/>
    <w:rsid w:val="00A87A41"/>
    <w:rsid w:val="00AB03D6"/>
    <w:rsid w:val="00AB3327"/>
    <w:rsid w:val="00AB4F2E"/>
    <w:rsid w:val="00AC072D"/>
    <w:rsid w:val="00AC2FBC"/>
    <w:rsid w:val="00AD028E"/>
    <w:rsid w:val="00AD302A"/>
    <w:rsid w:val="00AE06B9"/>
    <w:rsid w:val="00AE361F"/>
    <w:rsid w:val="00AE422D"/>
    <w:rsid w:val="00B0377A"/>
    <w:rsid w:val="00B05FFF"/>
    <w:rsid w:val="00B1277F"/>
    <w:rsid w:val="00B150F8"/>
    <w:rsid w:val="00B24994"/>
    <w:rsid w:val="00B32D8D"/>
    <w:rsid w:val="00B54939"/>
    <w:rsid w:val="00B71669"/>
    <w:rsid w:val="00B74040"/>
    <w:rsid w:val="00B8347C"/>
    <w:rsid w:val="00B85A68"/>
    <w:rsid w:val="00B91720"/>
    <w:rsid w:val="00BA2BAD"/>
    <w:rsid w:val="00BA7BB0"/>
    <w:rsid w:val="00BB4573"/>
    <w:rsid w:val="00BB742A"/>
    <w:rsid w:val="00BC0E09"/>
    <w:rsid w:val="00BE0DCF"/>
    <w:rsid w:val="00BF3C91"/>
    <w:rsid w:val="00C06758"/>
    <w:rsid w:val="00C11546"/>
    <w:rsid w:val="00C33501"/>
    <w:rsid w:val="00C40107"/>
    <w:rsid w:val="00C46636"/>
    <w:rsid w:val="00C54FB5"/>
    <w:rsid w:val="00C75C72"/>
    <w:rsid w:val="00C81FBA"/>
    <w:rsid w:val="00C87760"/>
    <w:rsid w:val="00C93F67"/>
    <w:rsid w:val="00C97282"/>
    <w:rsid w:val="00CA52BB"/>
    <w:rsid w:val="00CB2E8E"/>
    <w:rsid w:val="00CC4E49"/>
    <w:rsid w:val="00CE7B79"/>
    <w:rsid w:val="00CF0A23"/>
    <w:rsid w:val="00CF6F81"/>
    <w:rsid w:val="00D2407C"/>
    <w:rsid w:val="00D24C5A"/>
    <w:rsid w:val="00D261A6"/>
    <w:rsid w:val="00D357D4"/>
    <w:rsid w:val="00D37309"/>
    <w:rsid w:val="00D43725"/>
    <w:rsid w:val="00D5128E"/>
    <w:rsid w:val="00D5193C"/>
    <w:rsid w:val="00D54807"/>
    <w:rsid w:val="00D6094E"/>
    <w:rsid w:val="00D87949"/>
    <w:rsid w:val="00D90393"/>
    <w:rsid w:val="00D91089"/>
    <w:rsid w:val="00D938CB"/>
    <w:rsid w:val="00DA0383"/>
    <w:rsid w:val="00DB03E9"/>
    <w:rsid w:val="00DD3DFE"/>
    <w:rsid w:val="00DD3F06"/>
    <w:rsid w:val="00DE5B28"/>
    <w:rsid w:val="00DF5653"/>
    <w:rsid w:val="00DF6D3D"/>
    <w:rsid w:val="00E11326"/>
    <w:rsid w:val="00E21329"/>
    <w:rsid w:val="00E353C4"/>
    <w:rsid w:val="00E40208"/>
    <w:rsid w:val="00E55C3E"/>
    <w:rsid w:val="00E572F6"/>
    <w:rsid w:val="00E5766C"/>
    <w:rsid w:val="00E65DA3"/>
    <w:rsid w:val="00E66E1D"/>
    <w:rsid w:val="00E75E68"/>
    <w:rsid w:val="00E7693B"/>
    <w:rsid w:val="00E775F0"/>
    <w:rsid w:val="00E96EB4"/>
    <w:rsid w:val="00EA1FFB"/>
    <w:rsid w:val="00EC108F"/>
    <w:rsid w:val="00EC70C2"/>
    <w:rsid w:val="00ED2249"/>
    <w:rsid w:val="00ED28FD"/>
    <w:rsid w:val="00EE1A72"/>
    <w:rsid w:val="00EF28D8"/>
    <w:rsid w:val="00EF30E3"/>
    <w:rsid w:val="00F01A67"/>
    <w:rsid w:val="00F02FAA"/>
    <w:rsid w:val="00F05C7E"/>
    <w:rsid w:val="00F067F7"/>
    <w:rsid w:val="00F0718E"/>
    <w:rsid w:val="00F16D14"/>
    <w:rsid w:val="00F213C2"/>
    <w:rsid w:val="00F22465"/>
    <w:rsid w:val="00F2380C"/>
    <w:rsid w:val="00F26A96"/>
    <w:rsid w:val="00F31F3C"/>
    <w:rsid w:val="00F34ED2"/>
    <w:rsid w:val="00F3776A"/>
    <w:rsid w:val="00F4164B"/>
    <w:rsid w:val="00F4342F"/>
    <w:rsid w:val="00F522B1"/>
    <w:rsid w:val="00F64773"/>
    <w:rsid w:val="00F70D57"/>
    <w:rsid w:val="00F72F0B"/>
    <w:rsid w:val="00F80341"/>
    <w:rsid w:val="00F90A7E"/>
    <w:rsid w:val="00FB2D84"/>
    <w:rsid w:val="00FB64CE"/>
    <w:rsid w:val="00FB722B"/>
    <w:rsid w:val="00FC2845"/>
    <w:rsid w:val="00FC36B6"/>
    <w:rsid w:val="00FC6BC8"/>
    <w:rsid w:val="00FD4FC0"/>
    <w:rsid w:val="00FE109D"/>
    <w:rsid w:val="00FE16F8"/>
    <w:rsid w:val="00FE194E"/>
    <w:rsid w:val="00FE72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50979E"/>
  <w15:docId w15:val="{B4D5A4BE-3C1E-4505-966A-A11EFD33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E7693B"/>
    <w:pPr>
      <w:keepNext/>
      <w:keepLines/>
      <w:numPr>
        <w:numId w:val="11"/>
      </w:numPr>
      <w:spacing w:before="240" w:after="0"/>
      <w:outlineLvl w:val="0"/>
    </w:pPr>
    <w:rPr>
      <w:rFonts w:ascii="Times New Roman" w:eastAsiaTheme="majorEastAsia" w:hAnsi="Times New Roman" w:cstheme="majorBidi"/>
      <w:b/>
      <w:sz w:val="28"/>
      <w:szCs w:val="32"/>
    </w:rPr>
  </w:style>
  <w:style w:type="paragraph" w:styleId="Heading2">
    <w:name w:val="heading 2"/>
    <w:basedOn w:val="Normal"/>
    <w:next w:val="Normal"/>
    <w:link w:val="Heading2Char"/>
    <w:uiPriority w:val="9"/>
    <w:unhideWhenUsed/>
    <w:qFormat/>
    <w:rsid w:val="00F90A7E"/>
    <w:pPr>
      <w:keepNext/>
      <w:keepLines/>
      <w:numPr>
        <w:ilvl w:val="1"/>
        <w:numId w:val="11"/>
      </w:numPr>
      <w:spacing w:before="40" w:after="0"/>
      <w:outlineLvl w:val="1"/>
    </w:pPr>
    <w:rPr>
      <w:rFonts w:ascii="Times New Roman" w:eastAsiaTheme="majorEastAsia" w:hAnsi="Times New Roman" w:cstheme="majorBidi"/>
      <w:b/>
      <w:sz w:val="26"/>
      <w:szCs w:val="26"/>
    </w:rPr>
  </w:style>
  <w:style w:type="paragraph" w:styleId="Heading3">
    <w:name w:val="heading 3"/>
    <w:basedOn w:val="Normal"/>
    <w:next w:val="Normal"/>
    <w:link w:val="Heading3Char"/>
    <w:uiPriority w:val="9"/>
    <w:unhideWhenUsed/>
    <w:qFormat/>
    <w:rsid w:val="00E7693B"/>
    <w:pPr>
      <w:keepNext/>
      <w:keepLines/>
      <w:numPr>
        <w:ilvl w:val="2"/>
        <w:numId w:val="11"/>
      </w:numPr>
      <w:spacing w:before="40" w:after="0"/>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192FBE"/>
    <w:pPr>
      <w:keepNext/>
      <w:keepLines/>
      <w:numPr>
        <w:ilvl w:val="3"/>
        <w:numId w:val="11"/>
      </w:numPr>
      <w:spacing w:before="40" w:after="0"/>
      <w:outlineLvl w:val="3"/>
    </w:pPr>
    <w:rPr>
      <w:rFonts w:ascii="Times New Roman" w:eastAsiaTheme="majorEastAsia" w:hAnsi="Times New Roman" w:cstheme="majorBidi"/>
      <w:b/>
      <w:iCs/>
      <w:sz w:val="24"/>
    </w:rPr>
  </w:style>
  <w:style w:type="paragraph" w:styleId="Heading5">
    <w:name w:val="heading 5"/>
    <w:basedOn w:val="Normal"/>
    <w:next w:val="Normal"/>
    <w:link w:val="Heading5Char"/>
    <w:autoRedefine/>
    <w:uiPriority w:val="9"/>
    <w:unhideWhenUsed/>
    <w:qFormat/>
    <w:rsid w:val="008172D6"/>
    <w:pPr>
      <w:keepNext/>
      <w:keepLines/>
      <w:numPr>
        <w:ilvl w:val="4"/>
        <w:numId w:val="11"/>
      </w:numPr>
      <w:spacing w:before="40" w:after="0"/>
      <w:outlineLvl w:val="4"/>
    </w:pPr>
    <w:rPr>
      <w:rFonts w:ascii="Times New Roman" w:eastAsiaTheme="majorEastAsia" w:hAnsi="Times New Roman" w:cstheme="majorBidi"/>
      <w:b/>
      <w:sz w:val="24"/>
    </w:rPr>
  </w:style>
  <w:style w:type="paragraph" w:styleId="Heading6">
    <w:name w:val="heading 6"/>
    <w:basedOn w:val="Normal"/>
    <w:next w:val="Normal"/>
    <w:link w:val="Heading6Char"/>
    <w:uiPriority w:val="9"/>
    <w:semiHidden/>
    <w:unhideWhenUsed/>
    <w:qFormat/>
    <w:rsid w:val="00FE16F8"/>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693B"/>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rsid w:val="00E7693B"/>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E7693B"/>
    <w:rPr>
      <w:rFonts w:ascii="Times New Roman" w:eastAsiaTheme="majorEastAsia" w:hAnsi="Times New Roman" w:cstheme="majorBidi"/>
      <w:b/>
      <w:sz w:val="24"/>
      <w:szCs w:val="24"/>
    </w:rPr>
  </w:style>
  <w:style w:type="paragraph" w:styleId="Bibliography">
    <w:name w:val="Bibliography"/>
    <w:basedOn w:val="Normal"/>
    <w:next w:val="Normal"/>
    <w:uiPriority w:val="37"/>
    <w:unhideWhenUsed/>
    <w:rsid w:val="00E7693B"/>
    <w:pPr>
      <w:spacing w:after="0" w:line="240" w:lineRule="auto"/>
      <w:ind w:left="720" w:hanging="720"/>
    </w:pPr>
  </w:style>
  <w:style w:type="character" w:customStyle="1" w:styleId="Heading4Char">
    <w:name w:val="Heading 4 Char"/>
    <w:basedOn w:val="DefaultParagraphFont"/>
    <w:link w:val="Heading4"/>
    <w:uiPriority w:val="9"/>
    <w:rsid w:val="00192FBE"/>
    <w:rPr>
      <w:rFonts w:ascii="Times New Roman" w:eastAsiaTheme="majorEastAsia" w:hAnsi="Times New Roman" w:cstheme="majorBidi"/>
      <w:b/>
      <w:iCs/>
      <w:sz w:val="24"/>
    </w:rPr>
  </w:style>
  <w:style w:type="character" w:customStyle="1" w:styleId="Heading5Char">
    <w:name w:val="Heading 5 Char"/>
    <w:basedOn w:val="DefaultParagraphFont"/>
    <w:link w:val="Heading5"/>
    <w:uiPriority w:val="9"/>
    <w:rsid w:val="008172D6"/>
    <w:rPr>
      <w:rFonts w:ascii="Times New Roman" w:eastAsiaTheme="majorEastAsia" w:hAnsi="Times New Roman" w:cstheme="majorBidi"/>
      <w:b/>
      <w:sz w:val="24"/>
      <w:lang w:val="en-GB"/>
    </w:rPr>
  </w:style>
  <w:style w:type="character" w:customStyle="1" w:styleId="Heading6Char">
    <w:name w:val="Heading 6 Char"/>
    <w:basedOn w:val="DefaultParagraphFont"/>
    <w:link w:val="Heading6"/>
    <w:uiPriority w:val="9"/>
    <w:semiHidden/>
    <w:rsid w:val="00FE16F8"/>
    <w:rPr>
      <w:rFonts w:asciiTheme="majorHAnsi" w:eastAsiaTheme="majorEastAsia" w:hAnsiTheme="majorHAnsi" w:cstheme="majorBidi"/>
      <w:color w:val="243F60" w:themeColor="accent1" w:themeShade="7F"/>
    </w:rPr>
  </w:style>
  <w:style w:type="paragraph" w:styleId="TOC1">
    <w:name w:val="toc 1"/>
    <w:basedOn w:val="Normal"/>
    <w:next w:val="Normal"/>
    <w:autoRedefine/>
    <w:uiPriority w:val="39"/>
    <w:unhideWhenUsed/>
    <w:rsid w:val="00FE16F8"/>
    <w:pPr>
      <w:spacing w:after="100"/>
    </w:pPr>
  </w:style>
  <w:style w:type="paragraph" w:styleId="TOC2">
    <w:name w:val="toc 2"/>
    <w:basedOn w:val="Normal"/>
    <w:next w:val="Normal"/>
    <w:autoRedefine/>
    <w:uiPriority w:val="39"/>
    <w:unhideWhenUsed/>
    <w:rsid w:val="00FE16F8"/>
    <w:pPr>
      <w:spacing w:after="100"/>
      <w:ind w:left="220"/>
    </w:pPr>
  </w:style>
  <w:style w:type="paragraph" w:styleId="TOC3">
    <w:name w:val="toc 3"/>
    <w:basedOn w:val="Normal"/>
    <w:next w:val="Normal"/>
    <w:autoRedefine/>
    <w:uiPriority w:val="39"/>
    <w:unhideWhenUsed/>
    <w:rsid w:val="00F80341"/>
    <w:pPr>
      <w:tabs>
        <w:tab w:val="right" w:pos="9061"/>
      </w:tabs>
      <w:spacing w:after="100"/>
      <w:ind w:left="440"/>
    </w:pPr>
  </w:style>
  <w:style w:type="paragraph" w:styleId="TOC4">
    <w:name w:val="toc 4"/>
    <w:basedOn w:val="Normal"/>
    <w:next w:val="Normal"/>
    <w:autoRedefine/>
    <w:uiPriority w:val="39"/>
    <w:unhideWhenUsed/>
    <w:rsid w:val="00FE16F8"/>
    <w:pPr>
      <w:spacing w:after="100"/>
      <w:ind w:left="660"/>
    </w:pPr>
  </w:style>
  <w:style w:type="character" w:styleId="Hyperlink">
    <w:name w:val="Hyperlink"/>
    <w:basedOn w:val="DefaultParagraphFont"/>
    <w:uiPriority w:val="99"/>
    <w:unhideWhenUsed/>
    <w:rsid w:val="00FE16F8"/>
    <w:rPr>
      <w:color w:val="0000FF" w:themeColor="hyperlink"/>
      <w:u w:val="single"/>
    </w:rPr>
  </w:style>
  <w:style w:type="paragraph" w:styleId="ListParagraph">
    <w:name w:val="List Paragraph"/>
    <w:basedOn w:val="Normal"/>
    <w:uiPriority w:val="34"/>
    <w:qFormat/>
    <w:rsid w:val="004E1BDA"/>
    <w:pPr>
      <w:ind w:left="720"/>
      <w:contextualSpacing/>
    </w:pPr>
    <w:rPr>
      <w:rFonts w:eastAsiaTheme="minorHAnsi"/>
      <w:lang w:val="cs-CZ"/>
    </w:rPr>
  </w:style>
  <w:style w:type="character" w:styleId="CommentReference">
    <w:name w:val="annotation reference"/>
    <w:basedOn w:val="DefaultParagraphFont"/>
    <w:uiPriority w:val="99"/>
    <w:semiHidden/>
    <w:unhideWhenUsed/>
    <w:rsid w:val="00907769"/>
    <w:rPr>
      <w:sz w:val="16"/>
      <w:szCs w:val="16"/>
    </w:rPr>
  </w:style>
  <w:style w:type="paragraph" w:styleId="CommentText">
    <w:name w:val="annotation text"/>
    <w:basedOn w:val="Normal"/>
    <w:link w:val="CommentTextChar"/>
    <w:uiPriority w:val="99"/>
    <w:unhideWhenUsed/>
    <w:rsid w:val="00907769"/>
    <w:pPr>
      <w:spacing w:line="240" w:lineRule="auto"/>
    </w:pPr>
    <w:rPr>
      <w:sz w:val="20"/>
      <w:szCs w:val="20"/>
    </w:rPr>
  </w:style>
  <w:style w:type="character" w:customStyle="1" w:styleId="CommentTextChar">
    <w:name w:val="Comment Text Char"/>
    <w:basedOn w:val="DefaultParagraphFont"/>
    <w:link w:val="CommentText"/>
    <w:uiPriority w:val="99"/>
    <w:rsid w:val="00907769"/>
    <w:rPr>
      <w:sz w:val="20"/>
      <w:szCs w:val="20"/>
      <w:lang w:val="en-GB"/>
    </w:rPr>
  </w:style>
  <w:style w:type="paragraph" w:styleId="CommentSubject">
    <w:name w:val="annotation subject"/>
    <w:basedOn w:val="CommentText"/>
    <w:next w:val="CommentText"/>
    <w:link w:val="CommentSubjectChar"/>
    <w:uiPriority w:val="99"/>
    <w:semiHidden/>
    <w:unhideWhenUsed/>
    <w:rsid w:val="00907769"/>
    <w:rPr>
      <w:b/>
      <w:bCs/>
    </w:rPr>
  </w:style>
  <w:style w:type="character" w:customStyle="1" w:styleId="CommentSubjectChar">
    <w:name w:val="Comment Subject Char"/>
    <w:basedOn w:val="CommentTextChar"/>
    <w:link w:val="CommentSubject"/>
    <w:uiPriority w:val="99"/>
    <w:semiHidden/>
    <w:rsid w:val="00907769"/>
    <w:rPr>
      <w:b/>
      <w:bCs/>
      <w:sz w:val="20"/>
      <w:szCs w:val="20"/>
      <w:lang w:val="en-GB"/>
    </w:rPr>
  </w:style>
  <w:style w:type="paragraph" w:styleId="BalloonText">
    <w:name w:val="Balloon Text"/>
    <w:basedOn w:val="Normal"/>
    <w:link w:val="BalloonTextChar"/>
    <w:uiPriority w:val="99"/>
    <w:semiHidden/>
    <w:unhideWhenUsed/>
    <w:rsid w:val="009077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07769"/>
    <w:rPr>
      <w:rFonts w:ascii="Segoe UI" w:hAnsi="Segoe UI" w:cs="Segoe UI"/>
      <w:sz w:val="18"/>
      <w:szCs w:val="18"/>
      <w:lang w:val="en-GB"/>
    </w:rPr>
  </w:style>
  <w:style w:type="paragraph" w:styleId="Revision">
    <w:name w:val="Revision"/>
    <w:hidden/>
    <w:uiPriority w:val="99"/>
    <w:semiHidden/>
    <w:rsid w:val="00ED2249"/>
    <w:pPr>
      <w:spacing w:after="0" w:line="240" w:lineRule="auto"/>
    </w:pPr>
    <w:rPr>
      <w:lang w:val="en-GB"/>
    </w:rPr>
  </w:style>
  <w:style w:type="paragraph" w:styleId="TOCHeading">
    <w:name w:val="TOC Heading"/>
    <w:basedOn w:val="Heading1"/>
    <w:next w:val="Normal"/>
    <w:uiPriority w:val="39"/>
    <w:unhideWhenUsed/>
    <w:qFormat/>
    <w:rsid w:val="00F90A7E"/>
    <w:pPr>
      <w:outlineLvl w:val="9"/>
    </w:pPr>
    <w:rPr>
      <w:rFonts w:asciiTheme="majorHAnsi" w:hAnsiTheme="majorHAnsi"/>
      <w:b w:val="0"/>
      <w:color w:val="365F91" w:themeColor="accent1" w:themeShade="BF"/>
      <w:sz w:val="32"/>
      <w:lang w:val="en-US"/>
    </w:rPr>
  </w:style>
  <w:style w:type="paragraph" w:styleId="TOC5">
    <w:name w:val="toc 5"/>
    <w:basedOn w:val="Normal"/>
    <w:next w:val="Normal"/>
    <w:autoRedefine/>
    <w:uiPriority w:val="39"/>
    <w:unhideWhenUsed/>
    <w:rsid w:val="009B25B3"/>
    <w:pPr>
      <w:spacing w:after="100"/>
      <w:ind w:left="880"/>
    </w:pPr>
  </w:style>
  <w:style w:type="paragraph" w:styleId="TOC6">
    <w:name w:val="toc 6"/>
    <w:basedOn w:val="Normal"/>
    <w:next w:val="Normal"/>
    <w:autoRedefine/>
    <w:uiPriority w:val="39"/>
    <w:unhideWhenUsed/>
    <w:rsid w:val="009B25B3"/>
    <w:pPr>
      <w:spacing w:after="100" w:line="278" w:lineRule="auto"/>
      <w:ind w:left="1200"/>
    </w:pPr>
    <w:rPr>
      <w:kern w:val="2"/>
      <w:sz w:val="24"/>
      <w:szCs w:val="24"/>
      <w:lang w:eastAsia="en-GB"/>
      <w14:ligatures w14:val="standardContextual"/>
    </w:rPr>
  </w:style>
  <w:style w:type="paragraph" w:styleId="TOC7">
    <w:name w:val="toc 7"/>
    <w:basedOn w:val="Normal"/>
    <w:next w:val="Normal"/>
    <w:autoRedefine/>
    <w:uiPriority w:val="39"/>
    <w:unhideWhenUsed/>
    <w:rsid w:val="009B25B3"/>
    <w:pPr>
      <w:spacing w:after="100" w:line="278" w:lineRule="auto"/>
      <w:ind w:left="1440"/>
    </w:pPr>
    <w:rPr>
      <w:kern w:val="2"/>
      <w:sz w:val="24"/>
      <w:szCs w:val="24"/>
      <w:lang w:eastAsia="en-GB"/>
      <w14:ligatures w14:val="standardContextual"/>
    </w:rPr>
  </w:style>
  <w:style w:type="paragraph" w:styleId="TOC8">
    <w:name w:val="toc 8"/>
    <w:basedOn w:val="Normal"/>
    <w:next w:val="Normal"/>
    <w:autoRedefine/>
    <w:uiPriority w:val="39"/>
    <w:unhideWhenUsed/>
    <w:rsid w:val="009B25B3"/>
    <w:pPr>
      <w:spacing w:after="100" w:line="278" w:lineRule="auto"/>
      <w:ind w:left="1680"/>
    </w:pPr>
    <w:rPr>
      <w:kern w:val="2"/>
      <w:sz w:val="24"/>
      <w:szCs w:val="24"/>
      <w:lang w:eastAsia="en-GB"/>
      <w14:ligatures w14:val="standardContextual"/>
    </w:rPr>
  </w:style>
  <w:style w:type="paragraph" w:styleId="TOC9">
    <w:name w:val="toc 9"/>
    <w:basedOn w:val="Normal"/>
    <w:next w:val="Normal"/>
    <w:autoRedefine/>
    <w:uiPriority w:val="39"/>
    <w:unhideWhenUsed/>
    <w:rsid w:val="009B25B3"/>
    <w:pPr>
      <w:spacing w:after="100" w:line="278" w:lineRule="auto"/>
      <w:ind w:left="1920"/>
    </w:pPr>
    <w:rPr>
      <w:kern w:val="2"/>
      <w:sz w:val="24"/>
      <w:szCs w:val="24"/>
      <w:lang w:eastAsia="en-GB"/>
      <w14:ligatures w14:val="standardContextual"/>
    </w:rPr>
  </w:style>
  <w:style w:type="character" w:styleId="UnresolvedMention">
    <w:name w:val="Unresolved Mention"/>
    <w:basedOn w:val="DefaultParagraphFont"/>
    <w:uiPriority w:val="99"/>
    <w:semiHidden/>
    <w:unhideWhenUsed/>
    <w:rsid w:val="009B25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6186048">
      <w:bodyDiv w:val="1"/>
      <w:marLeft w:val="0"/>
      <w:marRight w:val="0"/>
      <w:marTop w:val="0"/>
      <w:marBottom w:val="0"/>
      <w:divBdr>
        <w:top w:val="none" w:sz="0" w:space="0" w:color="auto"/>
        <w:left w:val="none" w:sz="0" w:space="0" w:color="auto"/>
        <w:bottom w:val="none" w:sz="0" w:space="0" w:color="auto"/>
        <w:right w:val="none" w:sz="0" w:space="0" w:color="auto"/>
      </w:divBdr>
    </w:div>
    <w:div w:id="357699078">
      <w:bodyDiv w:val="1"/>
      <w:marLeft w:val="0"/>
      <w:marRight w:val="0"/>
      <w:marTop w:val="0"/>
      <w:marBottom w:val="0"/>
      <w:divBdr>
        <w:top w:val="none" w:sz="0" w:space="0" w:color="auto"/>
        <w:left w:val="none" w:sz="0" w:space="0" w:color="auto"/>
        <w:bottom w:val="none" w:sz="0" w:space="0" w:color="auto"/>
        <w:right w:val="none" w:sz="0" w:space="0" w:color="auto"/>
      </w:divBdr>
      <w:divsChild>
        <w:div w:id="1323855963">
          <w:marLeft w:val="0"/>
          <w:marRight w:val="0"/>
          <w:marTop w:val="0"/>
          <w:marBottom w:val="0"/>
          <w:divBdr>
            <w:top w:val="single" w:sz="2" w:space="0" w:color="E3E3E3"/>
            <w:left w:val="single" w:sz="2" w:space="0" w:color="E3E3E3"/>
            <w:bottom w:val="single" w:sz="2" w:space="0" w:color="E3E3E3"/>
            <w:right w:val="single" w:sz="2" w:space="0" w:color="E3E3E3"/>
          </w:divBdr>
          <w:divsChild>
            <w:div w:id="60521953">
              <w:marLeft w:val="0"/>
              <w:marRight w:val="0"/>
              <w:marTop w:val="0"/>
              <w:marBottom w:val="0"/>
              <w:divBdr>
                <w:top w:val="single" w:sz="2" w:space="0" w:color="E3E3E3"/>
                <w:left w:val="single" w:sz="2" w:space="0" w:color="E3E3E3"/>
                <w:bottom w:val="single" w:sz="2" w:space="0" w:color="E3E3E3"/>
                <w:right w:val="single" w:sz="2" w:space="0" w:color="E3E3E3"/>
              </w:divBdr>
              <w:divsChild>
                <w:div w:id="872768783">
                  <w:marLeft w:val="0"/>
                  <w:marRight w:val="0"/>
                  <w:marTop w:val="0"/>
                  <w:marBottom w:val="0"/>
                  <w:divBdr>
                    <w:top w:val="single" w:sz="2" w:space="0" w:color="E3E3E3"/>
                    <w:left w:val="single" w:sz="2" w:space="0" w:color="E3E3E3"/>
                    <w:bottom w:val="single" w:sz="2" w:space="0" w:color="E3E3E3"/>
                    <w:right w:val="single" w:sz="2" w:space="0" w:color="E3E3E3"/>
                  </w:divBdr>
                  <w:divsChild>
                    <w:div w:id="698941835">
                      <w:marLeft w:val="0"/>
                      <w:marRight w:val="0"/>
                      <w:marTop w:val="0"/>
                      <w:marBottom w:val="0"/>
                      <w:divBdr>
                        <w:top w:val="single" w:sz="2" w:space="0" w:color="E3E3E3"/>
                        <w:left w:val="single" w:sz="2" w:space="0" w:color="E3E3E3"/>
                        <w:bottom w:val="single" w:sz="2" w:space="0" w:color="E3E3E3"/>
                        <w:right w:val="single" w:sz="2" w:space="0" w:color="E3E3E3"/>
                      </w:divBdr>
                      <w:divsChild>
                        <w:div w:id="1343431146">
                          <w:marLeft w:val="0"/>
                          <w:marRight w:val="0"/>
                          <w:marTop w:val="0"/>
                          <w:marBottom w:val="0"/>
                          <w:divBdr>
                            <w:top w:val="single" w:sz="2" w:space="0" w:color="E3E3E3"/>
                            <w:left w:val="single" w:sz="2" w:space="0" w:color="E3E3E3"/>
                            <w:bottom w:val="single" w:sz="2" w:space="0" w:color="E3E3E3"/>
                            <w:right w:val="single" w:sz="2" w:space="0" w:color="E3E3E3"/>
                          </w:divBdr>
                          <w:divsChild>
                            <w:div w:id="1796438890">
                              <w:marLeft w:val="0"/>
                              <w:marRight w:val="0"/>
                              <w:marTop w:val="100"/>
                              <w:marBottom w:val="100"/>
                              <w:divBdr>
                                <w:top w:val="single" w:sz="2" w:space="0" w:color="E3E3E3"/>
                                <w:left w:val="single" w:sz="2" w:space="0" w:color="E3E3E3"/>
                                <w:bottom w:val="single" w:sz="2" w:space="0" w:color="E3E3E3"/>
                                <w:right w:val="single" w:sz="2" w:space="0" w:color="E3E3E3"/>
                              </w:divBdr>
                              <w:divsChild>
                                <w:div w:id="1100418408">
                                  <w:marLeft w:val="0"/>
                                  <w:marRight w:val="0"/>
                                  <w:marTop w:val="0"/>
                                  <w:marBottom w:val="0"/>
                                  <w:divBdr>
                                    <w:top w:val="single" w:sz="2" w:space="0" w:color="E3E3E3"/>
                                    <w:left w:val="single" w:sz="2" w:space="0" w:color="E3E3E3"/>
                                    <w:bottom w:val="single" w:sz="2" w:space="0" w:color="E3E3E3"/>
                                    <w:right w:val="single" w:sz="2" w:space="0" w:color="E3E3E3"/>
                                  </w:divBdr>
                                  <w:divsChild>
                                    <w:div w:id="305017551">
                                      <w:marLeft w:val="0"/>
                                      <w:marRight w:val="0"/>
                                      <w:marTop w:val="0"/>
                                      <w:marBottom w:val="0"/>
                                      <w:divBdr>
                                        <w:top w:val="single" w:sz="2" w:space="0" w:color="E3E3E3"/>
                                        <w:left w:val="single" w:sz="2" w:space="0" w:color="E3E3E3"/>
                                        <w:bottom w:val="single" w:sz="2" w:space="0" w:color="E3E3E3"/>
                                        <w:right w:val="single" w:sz="2" w:space="0" w:color="E3E3E3"/>
                                      </w:divBdr>
                                      <w:divsChild>
                                        <w:div w:id="1195074380">
                                          <w:marLeft w:val="0"/>
                                          <w:marRight w:val="0"/>
                                          <w:marTop w:val="0"/>
                                          <w:marBottom w:val="0"/>
                                          <w:divBdr>
                                            <w:top w:val="single" w:sz="2" w:space="0" w:color="E3E3E3"/>
                                            <w:left w:val="single" w:sz="2" w:space="0" w:color="E3E3E3"/>
                                            <w:bottom w:val="single" w:sz="2" w:space="0" w:color="E3E3E3"/>
                                            <w:right w:val="single" w:sz="2" w:space="0" w:color="E3E3E3"/>
                                          </w:divBdr>
                                          <w:divsChild>
                                            <w:div w:id="1568565444">
                                              <w:marLeft w:val="0"/>
                                              <w:marRight w:val="0"/>
                                              <w:marTop w:val="0"/>
                                              <w:marBottom w:val="0"/>
                                              <w:divBdr>
                                                <w:top w:val="single" w:sz="2" w:space="0" w:color="E3E3E3"/>
                                                <w:left w:val="single" w:sz="2" w:space="0" w:color="E3E3E3"/>
                                                <w:bottom w:val="single" w:sz="2" w:space="0" w:color="E3E3E3"/>
                                                <w:right w:val="single" w:sz="2" w:space="0" w:color="E3E3E3"/>
                                              </w:divBdr>
                                              <w:divsChild>
                                                <w:div w:id="2138908604">
                                                  <w:marLeft w:val="0"/>
                                                  <w:marRight w:val="0"/>
                                                  <w:marTop w:val="0"/>
                                                  <w:marBottom w:val="0"/>
                                                  <w:divBdr>
                                                    <w:top w:val="single" w:sz="2" w:space="0" w:color="E3E3E3"/>
                                                    <w:left w:val="single" w:sz="2" w:space="0" w:color="E3E3E3"/>
                                                    <w:bottom w:val="single" w:sz="2" w:space="0" w:color="E3E3E3"/>
                                                    <w:right w:val="single" w:sz="2" w:space="0" w:color="E3E3E3"/>
                                                  </w:divBdr>
                                                  <w:divsChild>
                                                    <w:div w:id="47614664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391075738">
          <w:marLeft w:val="0"/>
          <w:marRight w:val="0"/>
          <w:marTop w:val="0"/>
          <w:marBottom w:val="0"/>
          <w:divBdr>
            <w:top w:val="none" w:sz="0" w:space="0" w:color="auto"/>
            <w:left w:val="none" w:sz="0" w:space="0" w:color="auto"/>
            <w:bottom w:val="none" w:sz="0" w:space="0" w:color="auto"/>
            <w:right w:val="none" w:sz="0" w:space="0" w:color="auto"/>
          </w:divBdr>
        </w:div>
      </w:divsChild>
    </w:div>
    <w:div w:id="608241461">
      <w:bodyDiv w:val="1"/>
      <w:marLeft w:val="0"/>
      <w:marRight w:val="0"/>
      <w:marTop w:val="0"/>
      <w:marBottom w:val="0"/>
      <w:divBdr>
        <w:top w:val="none" w:sz="0" w:space="0" w:color="auto"/>
        <w:left w:val="none" w:sz="0" w:space="0" w:color="auto"/>
        <w:bottom w:val="none" w:sz="0" w:space="0" w:color="auto"/>
        <w:right w:val="none" w:sz="0" w:space="0" w:color="auto"/>
      </w:divBdr>
      <w:divsChild>
        <w:div w:id="1124035459">
          <w:marLeft w:val="0"/>
          <w:marRight w:val="0"/>
          <w:marTop w:val="0"/>
          <w:marBottom w:val="0"/>
          <w:divBdr>
            <w:top w:val="single" w:sz="2" w:space="0" w:color="E3E3E3"/>
            <w:left w:val="single" w:sz="2" w:space="0" w:color="E3E3E3"/>
            <w:bottom w:val="single" w:sz="2" w:space="0" w:color="E3E3E3"/>
            <w:right w:val="single" w:sz="2" w:space="0" w:color="E3E3E3"/>
          </w:divBdr>
          <w:divsChild>
            <w:div w:id="1267036139">
              <w:marLeft w:val="0"/>
              <w:marRight w:val="0"/>
              <w:marTop w:val="100"/>
              <w:marBottom w:val="100"/>
              <w:divBdr>
                <w:top w:val="single" w:sz="2" w:space="0" w:color="E3E3E3"/>
                <w:left w:val="single" w:sz="2" w:space="0" w:color="E3E3E3"/>
                <w:bottom w:val="single" w:sz="2" w:space="0" w:color="E3E3E3"/>
                <w:right w:val="single" w:sz="2" w:space="0" w:color="E3E3E3"/>
              </w:divBdr>
              <w:divsChild>
                <w:div w:id="1694382323">
                  <w:marLeft w:val="0"/>
                  <w:marRight w:val="0"/>
                  <w:marTop w:val="0"/>
                  <w:marBottom w:val="0"/>
                  <w:divBdr>
                    <w:top w:val="single" w:sz="2" w:space="0" w:color="E3E3E3"/>
                    <w:left w:val="single" w:sz="2" w:space="0" w:color="E3E3E3"/>
                    <w:bottom w:val="single" w:sz="2" w:space="0" w:color="E3E3E3"/>
                    <w:right w:val="single" w:sz="2" w:space="0" w:color="E3E3E3"/>
                  </w:divBdr>
                  <w:divsChild>
                    <w:div w:id="998071068">
                      <w:marLeft w:val="0"/>
                      <w:marRight w:val="0"/>
                      <w:marTop w:val="0"/>
                      <w:marBottom w:val="0"/>
                      <w:divBdr>
                        <w:top w:val="single" w:sz="2" w:space="0" w:color="E3E3E3"/>
                        <w:left w:val="single" w:sz="2" w:space="0" w:color="E3E3E3"/>
                        <w:bottom w:val="single" w:sz="2" w:space="0" w:color="E3E3E3"/>
                        <w:right w:val="single" w:sz="2" w:space="0" w:color="E3E3E3"/>
                      </w:divBdr>
                      <w:divsChild>
                        <w:div w:id="59983128">
                          <w:marLeft w:val="0"/>
                          <w:marRight w:val="0"/>
                          <w:marTop w:val="0"/>
                          <w:marBottom w:val="0"/>
                          <w:divBdr>
                            <w:top w:val="single" w:sz="2" w:space="0" w:color="E3E3E3"/>
                            <w:left w:val="single" w:sz="2" w:space="0" w:color="E3E3E3"/>
                            <w:bottom w:val="single" w:sz="2" w:space="0" w:color="E3E3E3"/>
                            <w:right w:val="single" w:sz="2" w:space="0" w:color="E3E3E3"/>
                          </w:divBdr>
                          <w:divsChild>
                            <w:div w:id="963586524">
                              <w:marLeft w:val="0"/>
                              <w:marRight w:val="0"/>
                              <w:marTop w:val="0"/>
                              <w:marBottom w:val="0"/>
                              <w:divBdr>
                                <w:top w:val="single" w:sz="2" w:space="0" w:color="E3E3E3"/>
                                <w:left w:val="single" w:sz="2" w:space="0" w:color="E3E3E3"/>
                                <w:bottom w:val="single" w:sz="2" w:space="0" w:color="E3E3E3"/>
                                <w:right w:val="single" w:sz="2" w:space="0" w:color="E3E3E3"/>
                              </w:divBdr>
                              <w:divsChild>
                                <w:div w:id="1570186250">
                                  <w:marLeft w:val="0"/>
                                  <w:marRight w:val="0"/>
                                  <w:marTop w:val="0"/>
                                  <w:marBottom w:val="0"/>
                                  <w:divBdr>
                                    <w:top w:val="single" w:sz="2" w:space="0" w:color="E3E3E3"/>
                                    <w:left w:val="single" w:sz="2" w:space="0" w:color="E3E3E3"/>
                                    <w:bottom w:val="single" w:sz="2" w:space="0" w:color="E3E3E3"/>
                                    <w:right w:val="single" w:sz="2" w:space="0" w:color="E3E3E3"/>
                                  </w:divBdr>
                                  <w:divsChild>
                                    <w:div w:id="11371468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924996149">
      <w:bodyDiv w:val="1"/>
      <w:marLeft w:val="0"/>
      <w:marRight w:val="0"/>
      <w:marTop w:val="0"/>
      <w:marBottom w:val="0"/>
      <w:divBdr>
        <w:top w:val="none" w:sz="0" w:space="0" w:color="auto"/>
        <w:left w:val="none" w:sz="0" w:space="0" w:color="auto"/>
        <w:bottom w:val="none" w:sz="0" w:space="0" w:color="auto"/>
        <w:right w:val="none" w:sz="0" w:space="0" w:color="auto"/>
      </w:divBdr>
    </w:div>
    <w:div w:id="1257783223">
      <w:bodyDiv w:val="1"/>
      <w:marLeft w:val="0"/>
      <w:marRight w:val="0"/>
      <w:marTop w:val="0"/>
      <w:marBottom w:val="0"/>
      <w:divBdr>
        <w:top w:val="none" w:sz="0" w:space="0" w:color="auto"/>
        <w:left w:val="none" w:sz="0" w:space="0" w:color="auto"/>
        <w:bottom w:val="none" w:sz="0" w:space="0" w:color="auto"/>
        <w:right w:val="none" w:sz="0" w:space="0" w:color="auto"/>
      </w:divBdr>
    </w:div>
    <w:div w:id="1781492383">
      <w:bodyDiv w:val="1"/>
      <w:marLeft w:val="0"/>
      <w:marRight w:val="0"/>
      <w:marTop w:val="0"/>
      <w:marBottom w:val="0"/>
      <w:divBdr>
        <w:top w:val="none" w:sz="0" w:space="0" w:color="auto"/>
        <w:left w:val="none" w:sz="0" w:space="0" w:color="auto"/>
        <w:bottom w:val="none" w:sz="0" w:space="0" w:color="auto"/>
        <w:right w:val="none" w:sz="0" w:space="0" w:color="auto"/>
      </w:divBdr>
    </w:div>
    <w:div w:id="1795978126">
      <w:bodyDiv w:val="1"/>
      <w:marLeft w:val="0"/>
      <w:marRight w:val="0"/>
      <w:marTop w:val="0"/>
      <w:marBottom w:val="0"/>
      <w:divBdr>
        <w:top w:val="none" w:sz="0" w:space="0" w:color="auto"/>
        <w:left w:val="none" w:sz="0" w:space="0" w:color="auto"/>
        <w:bottom w:val="none" w:sz="0" w:space="0" w:color="auto"/>
        <w:right w:val="none" w:sz="0" w:space="0" w:color="auto"/>
      </w:divBdr>
      <w:divsChild>
        <w:div w:id="255140152">
          <w:marLeft w:val="0"/>
          <w:marRight w:val="0"/>
          <w:marTop w:val="0"/>
          <w:marBottom w:val="0"/>
          <w:divBdr>
            <w:top w:val="none" w:sz="0" w:space="0" w:color="auto"/>
            <w:left w:val="none" w:sz="0" w:space="0" w:color="auto"/>
            <w:bottom w:val="none" w:sz="0" w:space="0" w:color="auto"/>
            <w:right w:val="none" w:sz="0" w:space="0" w:color="auto"/>
          </w:divBdr>
        </w:div>
        <w:div w:id="1488670620">
          <w:marLeft w:val="0"/>
          <w:marRight w:val="0"/>
          <w:marTop w:val="0"/>
          <w:marBottom w:val="0"/>
          <w:divBdr>
            <w:top w:val="single" w:sz="2" w:space="0" w:color="E3E3E3"/>
            <w:left w:val="single" w:sz="2" w:space="0" w:color="E3E3E3"/>
            <w:bottom w:val="single" w:sz="2" w:space="0" w:color="E3E3E3"/>
            <w:right w:val="single" w:sz="2" w:space="0" w:color="E3E3E3"/>
          </w:divBdr>
          <w:divsChild>
            <w:div w:id="1261644702">
              <w:marLeft w:val="0"/>
              <w:marRight w:val="0"/>
              <w:marTop w:val="0"/>
              <w:marBottom w:val="0"/>
              <w:divBdr>
                <w:top w:val="single" w:sz="2" w:space="0" w:color="E3E3E3"/>
                <w:left w:val="single" w:sz="2" w:space="0" w:color="E3E3E3"/>
                <w:bottom w:val="single" w:sz="2" w:space="0" w:color="E3E3E3"/>
                <w:right w:val="single" w:sz="2" w:space="0" w:color="E3E3E3"/>
              </w:divBdr>
              <w:divsChild>
                <w:div w:id="555162811">
                  <w:marLeft w:val="0"/>
                  <w:marRight w:val="0"/>
                  <w:marTop w:val="0"/>
                  <w:marBottom w:val="0"/>
                  <w:divBdr>
                    <w:top w:val="single" w:sz="2" w:space="0" w:color="E3E3E3"/>
                    <w:left w:val="single" w:sz="2" w:space="0" w:color="E3E3E3"/>
                    <w:bottom w:val="single" w:sz="2" w:space="0" w:color="E3E3E3"/>
                    <w:right w:val="single" w:sz="2" w:space="0" w:color="E3E3E3"/>
                  </w:divBdr>
                  <w:divsChild>
                    <w:div w:id="2037458113">
                      <w:marLeft w:val="0"/>
                      <w:marRight w:val="0"/>
                      <w:marTop w:val="0"/>
                      <w:marBottom w:val="0"/>
                      <w:divBdr>
                        <w:top w:val="single" w:sz="2" w:space="0" w:color="E3E3E3"/>
                        <w:left w:val="single" w:sz="2" w:space="0" w:color="E3E3E3"/>
                        <w:bottom w:val="single" w:sz="2" w:space="0" w:color="E3E3E3"/>
                        <w:right w:val="single" w:sz="2" w:space="0" w:color="E3E3E3"/>
                      </w:divBdr>
                      <w:divsChild>
                        <w:div w:id="1346788859">
                          <w:marLeft w:val="0"/>
                          <w:marRight w:val="0"/>
                          <w:marTop w:val="0"/>
                          <w:marBottom w:val="0"/>
                          <w:divBdr>
                            <w:top w:val="single" w:sz="2" w:space="0" w:color="E3E3E3"/>
                            <w:left w:val="single" w:sz="2" w:space="0" w:color="E3E3E3"/>
                            <w:bottom w:val="single" w:sz="2" w:space="0" w:color="E3E3E3"/>
                            <w:right w:val="single" w:sz="2" w:space="0" w:color="E3E3E3"/>
                          </w:divBdr>
                          <w:divsChild>
                            <w:div w:id="962465431">
                              <w:marLeft w:val="0"/>
                              <w:marRight w:val="0"/>
                              <w:marTop w:val="100"/>
                              <w:marBottom w:val="100"/>
                              <w:divBdr>
                                <w:top w:val="single" w:sz="2" w:space="0" w:color="E3E3E3"/>
                                <w:left w:val="single" w:sz="2" w:space="0" w:color="E3E3E3"/>
                                <w:bottom w:val="single" w:sz="2" w:space="0" w:color="E3E3E3"/>
                                <w:right w:val="single" w:sz="2" w:space="0" w:color="E3E3E3"/>
                              </w:divBdr>
                              <w:divsChild>
                                <w:div w:id="1293052847">
                                  <w:marLeft w:val="0"/>
                                  <w:marRight w:val="0"/>
                                  <w:marTop w:val="0"/>
                                  <w:marBottom w:val="0"/>
                                  <w:divBdr>
                                    <w:top w:val="single" w:sz="2" w:space="0" w:color="E3E3E3"/>
                                    <w:left w:val="single" w:sz="2" w:space="0" w:color="E3E3E3"/>
                                    <w:bottom w:val="single" w:sz="2" w:space="0" w:color="E3E3E3"/>
                                    <w:right w:val="single" w:sz="2" w:space="0" w:color="E3E3E3"/>
                                  </w:divBdr>
                                  <w:divsChild>
                                    <w:div w:id="1104300823">
                                      <w:marLeft w:val="0"/>
                                      <w:marRight w:val="0"/>
                                      <w:marTop w:val="0"/>
                                      <w:marBottom w:val="0"/>
                                      <w:divBdr>
                                        <w:top w:val="single" w:sz="2" w:space="0" w:color="E3E3E3"/>
                                        <w:left w:val="single" w:sz="2" w:space="0" w:color="E3E3E3"/>
                                        <w:bottom w:val="single" w:sz="2" w:space="0" w:color="E3E3E3"/>
                                        <w:right w:val="single" w:sz="2" w:space="0" w:color="E3E3E3"/>
                                      </w:divBdr>
                                      <w:divsChild>
                                        <w:div w:id="915088215">
                                          <w:marLeft w:val="0"/>
                                          <w:marRight w:val="0"/>
                                          <w:marTop w:val="0"/>
                                          <w:marBottom w:val="0"/>
                                          <w:divBdr>
                                            <w:top w:val="single" w:sz="2" w:space="0" w:color="E3E3E3"/>
                                            <w:left w:val="single" w:sz="2" w:space="0" w:color="E3E3E3"/>
                                            <w:bottom w:val="single" w:sz="2" w:space="0" w:color="E3E3E3"/>
                                            <w:right w:val="single" w:sz="2" w:space="0" w:color="E3E3E3"/>
                                          </w:divBdr>
                                          <w:divsChild>
                                            <w:div w:id="1312053579">
                                              <w:marLeft w:val="0"/>
                                              <w:marRight w:val="0"/>
                                              <w:marTop w:val="0"/>
                                              <w:marBottom w:val="0"/>
                                              <w:divBdr>
                                                <w:top w:val="single" w:sz="2" w:space="0" w:color="E3E3E3"/>
                                                <w:left w:val="single" w:sz="2" w:space="0" w:color="E3E3E3"/>
                                                <w:bottom w:val="single" w:sz="2" w:space="0" w:color="E3E3E3"/>
                                                <w:right w:val="single" w:sz="2" w:space="0" w:color="E3E3E3"/>
                                              </w:divBdr>
                                              <w:divsChild>
                                                <w:div w:id="173571033">
                                                  <w:marLeft w:val="0"/>
                                                  <w:marRight w:val="0"/>
                                                  <w:marTop w:val="0"/>
                                                  <w:marBottom w:val="0"/>
                                                  <w:divBdr>
                                                    <w:top w:val="single" w:sz="2" w:space="0" w:color="E3E3E3"/>
                                                    <w:left w:val="single" w:sz="2" w:space="0" w:color="E3E3E3"/>
                                                    <w:bottom w:val="single" w:sz="2" w:space="0" w:color="E3E3E3"/>
                                                    <w:right w:val="single" w:sz="2" w:space="0" w:color="E3E3E3"/>
                                                  </w:divBdr>
                                                  <w:divsChild>
                                                    <w:div w:id="16595343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7993721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42" Type="http://schemas.openxmlformats.org/officeDocument/2006/relationships/image" Target="media/image27.png"/><Relationship Id="rId47" Type="http://schemas.openxmlformats.org/officeDocument/2006/relationships/hyperlink" Target="https://apsjournals.apsnet.org/doi/full/10.1094/MPMI-08-21-0203-SC" TargetMode="External"/><Relationship Id="rId63" Type="http://schemas.openxmlformats.org/officeDocument/2006/relationships/image" Target="media/image44.png"/><Relationship Id="rId68" Type="http://schemas.openxmlformats.org/officeDocument/2006/relationships/footer" Target="footer4.xml"/><Relationship Id="rId7" Type="http://schemas.openxmlformats.org/officeDocument/2006/relationships/settings" Target="settings.xml"/><Relationship Id="rId71"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4.png"/><Relationship Id="rId11" Type="http://schemas.openxmlformats.org/officeDocument/2006/relationships/image" Target="media/image1.jpe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g"/><Relationship Id="rId40" Type="http://schemas.openxmlformats.org/officeDocument/2006/relationships/image" Target="media/image25.jpg"/><Relationship Id="rId45" Type="http://schemas.openxmlformats.org/officeDocument/2006/relationships/image" Target="media/image30.png"/><Relationship Id="rId53" Type="http://schemas.openxmlformats.org/officeDocument/2006/relationships/hyperlink" Target="https://www.zotero.org/google-docs/?T5fsfY" TargetMode="External"/><Relationship Id="rId58" Type="http://schemas.openxmlformats.org/officeDocument/2006/relationships/image" Target="media/image39.png"/><Relationship Id="rId66" Type="http://schemas.openxmlformats.org/officeDocument/2006/relationships/image" Target="media/image47.png"/><Relationship Id="rId5" Type="http://schemas.openxmlformats.org/officeDocument/2006/relationships/numbering" Target="numbering.xml"/><Relationship Id="rId61" Type="http://schemas.openxmlformats.org/officeDocument/2006/relationships/image" Target="media/image42.png"/><Relationship Id="rId19" Type="http://schemas.openxmlformats.org/officeDocument/2006/relationships/image" Target="media/image5.png"/><Relationship Id="rId14" Type="http://schemas.openxmlformats.org/officeDocument/2006/relationships/footer" Target="footer2.xml"/><Relationship Id="rId22" Type="http://schemas.openxmlformats.org/officeDocument/2006/relationships/hyperlink" Target="https://www.zotero.org/google-docs/?UlX8qx"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jpg"/><Relationship Id="rId43" Type="http://schemas.openxmlformats.org/officeDocument/2006/relationships/image" Target="media/image28.png"/><Relationship Id="rId48" Type="http://schemas.openxmlformats.org/officeDocument/2006/relationships/image" Target="media/image31.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footer" Target="footer5.xml"/><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yperlink" Target="https://www.zotero.org/google-docs/?omBjBd"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g"/><Relationship Id="rId46" Type="http://schemas.openxmlformats.org/officeDocument/2006/relationships/hyperlink" Target="https://apsjournals.apsnet.org/doi/full/10.1094/MPMI-08-21-0203-SC" TargetMode="External"/><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6.png"/><Relationship Id="rId41" Type="http://schemas.openxmlformats.org/officeDocument/2006/relationships/image" Target="media/image26.jp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jpg"/><Relationship Id="rId49" Type="http://schemas.openxmlformats.org/officeDocument/2006/relationships/image" Target="media/image32.png"/><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https://www.zotero.org/google-docs/?7P8lwv" TargetMode="External"/><Relationship Id="rId60" Type="http://schemas.openxmlformats.org/officeDocument/2006/relationships/image" Target="media/image41.png"/><Relationship Id="rId65" Type="http://schemas.openxmlformats.org/officeDocument/2006/relationships/image" Target="media/image4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24.jpg"/><Relationship Id="rId34" Type="http://schemas.openxmlformats.org/officeDocument/2006/relationships/image" Target="media/image19.png"/><Relationship Id="rId50" Type="http://schemas.openxmlformats.org/officeDocument/2006/relationships/image" Target="media/image33.png"/><Relationship Id="rId55"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21C38780EC27B4CA22E642ED9E7318C" ma:contentTypeVersion="12" ma:contentTypeDescription="Create a new document." ma:contentTypeScope="" ma:versionID="943f044ac8a847ad525d2c4c274c0077">
  <xsd:schema xmlns:xsd="http://www.w3.org/2001/XMLSchema" xmlns:xs="http://www.w3.org/2001/XMLSchema" xmlns:p="http://schemas.microsoft.com/office/2006/metadata/properties" xmlns:ns3="14e7a907-e696-40ba-922f-adb92dd953cd" targetNamespace="http://schemas.microsoft.com/office/2006/metadata/properties" ma:root="true" ma:fieldsID="d7b28d778cb968626382eabb3dd74a7e" ns3:_="">
    <xsd:import namespace="14e7a907-e696-40ba-922f-adb92dd953cd"/>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LengthInSeconds"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e7a907-e696-40ba-922f-adb92dd953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ystemTags" ma:index="19"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F90A56A-057B-47BA-8EBF-EC704E3E576E}">
  <ds:schemaRefs>
    <ds:schemaRef ds:uri="http://schemas.openxmlformats.org/officeDocument/2006/bibliography"/>
  </ds:schemaRefs>
</ds:datastoreItem>
</file>

<file path=customXml/itemProps2.xml><?xml version="1.0" encoding="utf-8"?>
<ds:datastoreItem xmlns:ds="http://schemas.openxmlformats.org/officeDocument/2006/customXml" ds:itemID="{53660AEE-3761-44D0-950F-5DA2AE6197E4}">
  <ds:schemaRefs>
    <ds:schemaRef ds:uri="http://schemas.microsoft.com/office/2006/documentManagement/types"/>
    <ds:schemaRef ds:uri="http://purl.org/dc/dcmitype/"/>
    <ds:schemaRef ds:uri="http://purl.org/dc/terms/"/>
    <ds:schemaRef ds:uri="http://schemas.microsoft.com/office/2006/metadata/properties"/>
    <ds:schemaRef ds:uri="14e7a907-e696-40ba-922f-adb92dd953cd"/>
    <ds:schemaRef ds:uri="http://purl.org/dc/elements/1.1/"/>
    <ds:schemaRef ds:uri="http://schemas.microsoft.com/office/infopath/2007/PartnerControls"/>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B138ECA0-C29E-405E-A3D4-2169B131F7FE}">
  <ds:schemaRefs>
    <ds:schemaRef ds:uri="http://schemas.microsoft.com/sharepoint/v3/contenttype/forms"/>
  </ds:schemaRefs>
</ds:datastoreItem>
</file>

<file path=customXml/itemProps4.xml><?xml version="1.0" encoding="utf-8"?>
<ds:datastoreItem xmlns:ds="http://schemas.openxmlformats.org/officeDocument/2006/customXml" ds:itemID="{EACA0E14-20B7-4171-A388-97F7F65F6C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e7a907-e696-40ba-922f-adb92dd953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1221</TotalTime>
  <Pages>145</Pages>
  <Words>112564</Words>
  <Characters>641618</Characters>
  <Application>Microsoft Office Word</Application>
  <DocSecurity>0</DocSecurity>
  <Lines>5346</Lines>
  <Paragraphs>1505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752677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Rubil Nikoleta UEB</dc:creator>
  <cp:keywords/>
  <dc:description/>
  <cp:lastModifiedBy>Nikoleta Rubil</cp:lastModifiedBy>
  <cp:revision>51</cp:revision>
  <cp:lastPrinted>2024-05-31T09:46:00Z</cp:lastPrinted>
  <dcterms:created xsi:type="dcterms:W3CDTF">2024-05-28T16:54:00Z</dcterms:created>
  <dcterms:modified xsi:type="dcterms:W3CDTF">2024-05-31T10:01:00Z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id="r57bDo6W"/&gt;&lt;style id="http://www.zotero.org/styles/elsevier-harvard" hasBibliography="1" bibliographyStyleHasBeenSet="1"/&gt;&lt;prefs&gt;&lt;pref name="fieldType" value="Field"/&gt;&lt;/prefs&gt;&lt;/data&gt;</vt:lpwstr>
  </property>
  <property fmtid="{D5CDD505-2E9C-101B-9397-08002B2CF9AE}" pid="3" name="ContentTypeId">
    <vt:lpwstr>0x010100C21C38780EC27B4CA22E642ED9E7318C</vt:lpwstr>
  </property>
  <property fmtid="{D5CDD505-2E9C-101B-9397-08002B2CF9AE}" pid="4" name="ContentRemapped">
    <vt:lpwstr>true</vt:lpwstr>
  </property>
</Properties>
</file>