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DD2C" w14:textId="77777777" w:rsidR="00A5390B" w:rsidRPr="00A95C26" w:rsidRDefault="00A5390B" w:rsidP="00A5390B">
      <w:pPr>
        <w:pStyle w:val="Titulka"/>
        <w:rPr>
          <w:rFonts w:cs="Times New Roman"/>
        </w:rPr>
      </w:pPr>
      <w:r w:rsidRPr="00A95C26">
        <w:rPr>
          <w:rFonts w:cs="Times New Roman"/>
        </w:rPr>
        <w:t>Česká zemědělská univerzita v Praze</w:t>
      </w:r>
    </w:p>
    <w:p w14:paraId="6C1DA864" w14:textId="77777777" w:rsidR="00A5390B" w:rsidRPr="00A95C26" w:rsidRDefault="00A5390B" w:rsidP="00A5390B">
      <w:pPr>
        <w:pStyle w:val="Titulka"/>
        <w:rPr>
          <w:rFonts w:cs="Times New Roman"/>
          <w:szCs w:val="36"/>
        </w:rPr>
      </w:pPr>
    </w:p>
    <w:p w14:paraId="48D1E223" w14:textId="77777777" w:rsidR="00A5390B" w:rsidRPr="00A95C26" w:rsidRDefault="00A5390B" w:rsidP="00A5390B">
      <w:pPr>
        <w:pStyle w:val="Titulka"/>
        <w:rPr>
          <w:rFonts w:cs="Times New Roman"/>
        </w:rPr>
      </w:pPr>
      <w:r w:rsidRPr="00A95C26">
        <w:rPr>
          <w:rFonts w:cs="Times New Roman"/>
        </w:rPr>
        <w:t>Provozně ekonomická fakulta</w:t>
      </w:r>
    </w:p>
    <w:p w14:paraId="36DD4271" w14:textId="77777777" w:rsidR="00A5390B" w:rsidRPr="00A95C26" w:rsidRDefault="00A5390B" w:rsidP="00A5390B">
      <w:pPr>
        <w:pStyle w:val="Titulka"/>
        <w:rPr>
          <w:rFonts w:cs="Times New Roman"/>
          <w:szCs w:val="36"/>
        </w:rPr>
      </w:pPr>
      <w:bookmarkStart w:id="0" w:name="Text6"/>
    </w:p>
    <w:bookmarkEnd w:id="0"/>
    <w:p w14:paraId="614AA7D7" w14:textId="23B7A064" w:rsidR="00A5390B" w:rsidRPr="00A95C26" w:rsidRDefault="00A2574B" w:rsidP="00A5390B">
      <w:pPr>
        <w:pStyle w:val="Titulka"/>
        <w:rPr>
          <w:rFonts w:cs="Times New Roman"/>
        </w:rPr>
      </w:pPr>
      <w:r w:rsidRPr="00A95C26">
        <w:rPr>
          <w:rFonts w:cs="Times New Roman"/>
        </w:rPr>
        <w:t>Katedra ekonomických teorií</w:t>
      </w:r>
    </w:p>
    <w:p w14:paraId="0815C531" w14:textId="77777777" w:rsidR="00A5390B" w:rsidRPr="00A95C26" w:rsidRDefault="00A5390B" w:rsidP="00A5390B">
      <w:pPr>
        <w:pStyle w:val="Titulka"/>
        <w:rPr>
          <w:rFonts w:cs="Times New Roman"/>
        </w:rPr>
      </w:pPr>
    </w:p>
    <w:p w14:paraId="463A935C" w14:textId="77777777" w:rsidR="00A5390B" w:rsidRPr="00A95C26" w:rsidRDefault="00A5390B" w:rsidP="00A5390B">
      <w:pPr>
        <w:pStyle w:val="Titulka"/>
        <w:rPr>
          <w:rFonts w:cs="Times New Roman"/>
        </w:rPr>
      </w:pPr>
    </w:p>
    <w:p w14:paraId="787772A1" w14:textId="4EBCB3AE" w:rsidR="00A5390B" w:rsidRPr="00A95C26" w:rsidRDefault="007C1147" w:rsidP="00C2215B">
      <w:pPr>
        <w:pStyle w:val="Titulka"/>
        <w:rPr>
          <w:rFonts w:cs="Times New Roman"/>
        </w:rPr>
      </w:pPr>
      <w:r w:rsidRPr="00A95C26">
        <w:rPr>
          <w:noProof/>
        </w:rPr>
        <w:drawing>
          <wp:inline distT="0" distB="0" distL="0" distR="0" wp14:anchorId="6100A0FB" wp14:editId="3342FBA8">
            <wp:extent cx="3048000" cy="21240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14:paraId="197578DC" w14:textId="77777777" w:rsidR="00A5390B" w:rsidRPr="00A95C26" w:rsidRDefault="00A5390B" w:rsidP="00A5390B">
      <w:pPr>
        <w:pStyle w:val="Titulka"/>
        <w:rPr>
          <w:rFonts w:cs="Times New Roman"/>
        </w:rPr>
      </w:pPr>
    </w:p>
    <w:p w14:paraId="4AAA58D4" w14:textId="77777777" w:rsidR="00A5390B" w:rsidRPr="00A95C26" w:rsidRDefault="00A5390B" w:rsidP="00A5390B">
      <w:pPr>
        <w:pStyle w:val="Titulka"/>
        <w:rPr>
          <w:rFonts w:cs="Times New Roman"/>
          <w:szCs w:val="36"/>
        </w:rPr>
      </w:pPr>
    </w:p>
    <w:p w14:paraId="041E8CBE" w14:textId="77777777" w:rsidR="00A5390B" w:rsidRPr="00A95C26" w:rsidRDefault="00A5390B" w:rsidP="00A5390B">
      <w:pPr>
        <w:pStyle w:val="Titulka"/>
        <w:rPr>
          <w:rFonts w:cs="Times New Roman"/>
          <w:sz w:val="48"/>
          <w:szCs w:val="48"/>
        </w:rPr>
      </w:pPr>
      <w:r w:rsidRPr="00A95C26">
        <w:rPr>
          <w:rFonts w:cs="Times New Roman"/>
          <w:sz w:val="48"/>
          <w:szCs w:val="48"/>
        </w:rPr>
        <w:t>Diplomová práce</w:t>
      </w:r>
    </w:p>
    <w:p w14:paraId="230A12B1" w14:textId="77777777" w:rsidR="00A5390B" w:rsidRPr="00A95C26" w:rsidRDefault="00A5390B" w:rsidP="00A5390B">
      <w:pPr>
        <w:pStyle w:val="Titulka"/>
        <w:rPr>
          <w:rFonts w:cs="Times New Roman"/>
        </w:rPr>
      </w:pPr>
    </w:p>
    <w:p w14:paraId="547BD695" w14:textId="078D31D0" w:rsidR="00A5390B" w:rsidRPr="00A95C26" w:rsidRDefault="00C2215B" w:rsidP="00A5390B">
      <w:pPr>
        <w:pStyle w:val="Titulka"/>
        <w:rPr>
          <w:rFonts w:cs="Times New Roman"/>
          <w:szCs w:val="44"/>
        </w:rPr>
      </w:pPr>
      <w:r w:rsidRPr="00A95C26">
        <w:rPr>
          <w:rFonts w:cs="Times New Roman"/>
          <w:szCs w:val="44"/>
        </w:rPr>
        <w:t>Příčiny vzniku bublin na finančních trzích, mravenčí model</w:t>
      </w:r>
    </w:p>
    <w:p w14:paraId="2DE3FA81" w14:textId="77777777" w:rsidR="00A5390B" w:rsidRPr="00A95C26" w:rsidRDefault="00A5390B" w:rsidP="00A5390B">
      <w:pPr>
        <w:pStyle w:val="Titulka"/>
        <w:rPr>
          <w:rFonts w:cs="Times New Roman"/>
          <w:szCs w:val="44"/>
        </w:rPr>
      </w:pPr>
    </w:p>
    <w:p w14:paraId="1E0E01AE" w14:textId="77777777" w:rsidR="00A5390B" w:rsidRPr="00A95C26" w:rsidRDefault="00A5390B" w:rsidP="00A5390B">
      <w:pPr>
        <w:pStyle w:val="Titulka"/>
        <w:rPr>
          <w:rFonts w:cs="Times New Roman"/>
          <w:szCs w:val="44"/>
        </w:rPr>
      </w:pPr>
    </w:p>
    <w:p w14:paraId="1A632962" w14:textId="77777777" w:rsidR="00A5390B" w:rsidRPr="00A95C26" w:rsidRDefault="00A5390B" w:rsidP="00A5390B">
      <w:pPr>
        <w:pStyle w:val="Titulka"/>
        <w:rPr>
          <w:rFonts w:cs="Times New Roman"/>
        </w:rPr>
      </w:pPr>
    </w:p>
    <w:p w14:paraId="69375EC7" w14:textId="5FEF3289" w:rsidR="00A5390B" w:rsidRPr="00A95C26" w:rsidRDefault="00A2574B" w:rsidP="00A5390B">
      <w:pPr>
        <w:pStyle w:val="Titulka"/>
        <w:rPr>
          <w:rFonts w:cs="Times New Roman"/>
        </w:rPr>
      </w:pPr>
      <w:proofErr w:type="spellStart"/>
      <w:r w:rsidRPr="00A95C26">
        <w:rPr>
          <w:rFonts w:cs="Times New Roman"/>
        </w:rPr>
        <w:t>Yury</w:t>
      </w:r>
      <w:proofErr w:type="spellEnd"/>
      <w:r w:rsidRPr="00A95C26">
        <w:rPr>
          <w:rFonts w:cs="Times New Roman"/>
        </w:rPr>
        <w:t xml:space="preserve"> Urban</w:t>
      </w:r>
      <w:r w:rsidR="00A5390B" w:rsidRPr="00A95C26">
        <w:rPr>
          <w:rFonts w:cs="Times New Roman"/>
        </w:rPr>
        <w:t xml:space="preserve"> </w:t>
      </w:r>
    </w:p>
    <w:p w14:paraId="0C3BF1C1" w14:textId="77777777" w:rsidR="00A5390B" w:rsidRPr="00A95C26" w:rsidRDefault="00A5390B" w:rsidP="00A5390B">
      <w:pPr>
        <w:pStyle w:val="Titulka"/>
        <w:rPr>
          <w:rFonts w:cs="Times New Roman"/>
        </w:rPr>
      </w:pPr>
    </w:p>
    <w:p w14:paraId="72B63D72" w14:textId="77777777" w:rsidR="00A5390B" w:rsidRPr="00A95C26" w:rsidRDefault="00A5390B" w:rsidP="00A5390B">
      <w:pPr>
        <w:pStyle w:val="Titulka"/>
        <w:rPr>
          <w:rFonts w:cs="Times New Roman"/>
        </w:rPr>
      </w:pPr>
    </w:p>
    <w:p w14:paraId="5460316E" w14:textId="77777777" w:rsidR="00A5390B" w:rsidRPr="00A95C26" w:rsidRDefault="00A5390B" w:rsidP="00A5390B">
      <w:pPr>
        <w:pStyle w:val="Titulka"/>
        <w:rPr>
          <w:rFonts w:cs="Times New Roman"/>
        </w:rPr>
      </w:pPr>
    </w:p>
    <w:p w14:paraId="5B032AE3" w14:textId="77777777" w:rsidR="00A5390B" w:rsidRPr="00A95C26" w:rsidRDefault="00A5390B" w:rsidP="00C2215B">
      <w:pPr>
        <w:pStyle w:val="Titulka"/>
        <w:rPr>
          <w:rFonts w:cs="Times New Roman"/>
        </w:rPr>
      </w:pPr>
    </w:p>
    <w:p w14:paraId="23913EF4" w14:textId="77777777" w:rsidR="00A5390B" w:rsidRPr="00A95C26" w:rsidRDefault="00A5390B" w:rsidP="00A5390B">
      <w:pPr>
        <w:pStyle w:val="Titulka"/>
        <w:rPr>
          <w:rFonts w:cs="Times New Roman"/>
        </w:rPr>
      </w:pPr>
    </w:p>
    <w:p w14:paraId="591B08CA" w14:textId="711B90CF" w:rsidR="005A4A1B" w:rsidRPr="00A95C26" w:rsidRDefault="00A5390B" w:rsidP="0031702F">
      <w:pPr>
        <w:pStyle w:val="Titulka"/>
        <w:rPr>
          <w:rFonts w:asciiTheme="majorHAnsi" w:hAnsiTheme="majorHAnsi" w:cstheme="majorHAnsi"/>
          <w:color w:val="FF0000"/>
          <w:szCs w:val="36"/>
        </w:rPr>
      </w:pPr>
      <w:r w:rsidRPr="00A95C26">
        <w:rPr>
          <w:rFonts w:cs="Times New Roman"/>
          <w:sz w:val="28"/>
          <w:szCs w:val="28"/>
        </w:rPr>
        <w:t xml:space="preserve">© </w:t>
      </w:r>
      <w:r w:rsidR="00C2215B" w:rsidRPr="00A95C26">
        <w:rPr>
          <w:rFonts w:cs="Times New Roman"/>
          <w:sz w:val="28"/>
          <w:szCs w:val="28"/>
        </w:rPr>
        <w:t>2022</w:t>
      </w:r>
      <w:r w:rsidRPr="00A95C26">
        <w:rPr>
          <w:rFonts w:cs="Times New Roman"/>
          <w:sz w:val="28"/>
          <w:szCs w:val="28"/>
        </w:rPr>
        <w:t xml:space="preserve"> ČZU v Praze</w:t>
      </w:r>
      <w:r w:rsidRPr="00A95C26">
        <w:rPr>
          <w:rFonts w:cs="Times New Roman"/>
          <w:sz w:val="28"/>
          <w:szCs w:val="28"/>
        </w:rPr>
        <w:br w:type="page"/>
      </w:r>
    </w:p>
    <w:p w14:paraId="28C6BF74" w14:textId="77B57768" w:rsidR="005A4A1B" w:rsidRPr="00A95C26" w:rsidRDefault="0031702F" w:rsidP="0031702F">
      <w:pPr>
        <w:pStyle w:val="Titulka"/>
        <w:rPr>
          <w:rFonts w:asciiTheme="majorHAnsi" w:hAnsiTheme="majorHAnsi" w:cstheme="majorHAnsi"/>
          <w:color w:val="FF0000"/>
        </w:rPr>
      </w:pPr>
      <w:r w:rsidRPr="00A95C26">
        <w:rPr>
          <w:rFonts w:asciiTheme="majorHAnsi" w:hAnsiTheme="majorHAnsi" w:cstheme="majorHAnsi"/>
          <w:noProof/>
          <w:color w:val="FF0000"/>
        </w:rPr>
        <w:lastRenderedPageBreak/>
        <w:drawing>
          <wp:inline distT="0" distB="0" distL="0" distR="0" wp14:anchorId="08DFE858" wp14:editId="0E193290">
            <wp:extent cx="5580380" cy="78854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3-31 в 16.12.52.png"/>
                    <pic:cNvPicPr/>
                  </pic:nvPicPr>
                  <pic:blipFill>
                    <a:blip r:embed="rId9">
                      <a:extLst>
                        <a:ext uri="{28A0092B-C50C-407E-A947-70E740481C1C}">
                          <a14:useLocalDpi xmlns:a14="http://schemas.microsoft.com/office/drawing/2010/main" val="0"/>
                        </a:ext>
                      </a:extLst>
                    </a:blip>
                    <a:stretch>
                      <a:fillRect/>
                    </a:stretch>
                  </pic:blipFill>
                  <pic:spPr>
                    <a:xfrm>
                      <a:off x="0" y="0"/>
                      <a:ext cx="5580380" cy="7885430"/>
                    </a:xfrm>
                    <a:prstGeom prst="rect">
                      <a:avLst/>
                    </a:prstGeom>
                  </pic:spPr>
                </pic:pic>
              </a:graphicData>
            </a:graphic>
          </wp:inline>
        </w:drawing>
      </w:r>
      <w:r w:rsidR="005A4A1B" w:rsidRPr="00A95C26">
        <w:rPr>
          <w:rFonts w:asciiTheme="majorHAnsi" w:hAnsiTheme="majorHAnsi" w:cstheme="majorHAnsi"/>
          <w:color w:val="FF0000"/>
        </w:rPr>
        <w:br w:type="page"/>
      </w:r>
    </w:p>
    <w:p w14:paraId="6BAB9948" w14:textId="1A750037" w:rsidR="005A4A1B" w:rsidRPr="00A95C26" w:rsidRDefault="0031702F" w:rsidP="005A4A1B">
      <w:pPr>
        <w:pStyle w:val="Titulka"/>
      </w:pPr>
      <w:r w:rsidRPr="00A95C26">
        <w:rPr>
          <w:noProof/>
        </w:rPr>
        <w:lastRenderedPageBreak/>
        <w:drawing>
          <wp:inline distT="0" distB="0" distL="0" distR="0" wp14:anchorId="1595F4C2" wp14:editId="774B23CE">
            <wp:extent cx="5580380" cy="79305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2-03-31 в 16.14.43.png"/>
                    <pic:cNvPicPr/>
                  </pic:nvPicPr>
                  <pic:blipFill>
                    <a:blip r:embed="rId10">
                      <a:extLst>
                        <a:ext uri="{28A0092B-C50C-407E-A947-70E740481C1C}">
                          <a14:useLocalDpi xmlns:a14="http://schemas.microsoft.com/office/drawing/2010/main" val="0"/>
                        </a:ext>
                      </a:extLst>
                    </a:blip>
                    <a:stretch>
                      <a:fillRect/>
                    </a:stretch>
                  </pic:blipFill>
                  <pic:spPr>
                    <a:xfrm>
                      <a:off x="0" y="0"/>
                      <a:ext cx="5580380" cy="7930515"/>
                    </a:xfrm>
                    <a:prstGeom prst="rect">
                      <a:avLst/>
                    </a:prstGeom>
                  </pic:spPr>
                </pic:pic>
              </a:graphicData>
            </a:graphic>
          </wp:inline>
        </w:drawing>
      </w:r>
      <w:r w:rsidR="005A4A1B" w:rsidRPr="00A95C26">
        <w:br w:type="page"/>
      </w:r>
    </w:p>
    <w:p w14:paraId="31245EAF" w14:textId="77777777" w:rsidR="00301B45" w:rsidRPr="00A95C26" w:rsidRDefault="00301B45" w:rsidP="00301B45">
      <w:pPr>
        <w:pStyle w:val="Titulka"/>
        <w:rPr>
          <w:rFonts w:cs="Times New Roman"/>
        </w:rPr>
      </w:pPr>
    </w:p>
    <w:p w14:paraId="5B513F68" w14:textId="77777777" w:rsidR="00301B45" w:rsidRPr="00A95C26" w:rsidRDefault="00301B45" w:rsidP="00D341D7">
      <w:pPr>
        <w:jc w:val="center"/>
        <w:rPr>
          <w:b/>
          <w:sz w:val="46"/>
          <w:szCs w:val="46"/>
        </w:rPr>
      </w:pPr>
    </w:p>
    <w:p w14:paraId="56FA5ED5" w14:textId="77777777" w:rsidR="00301B45" w:rsidRPr="00A95C26" w:rsidRDefault="00301B45" w:rsidP="00D341D7">
      <w:pPr>
        <w:jc w:val="center"/>
        <w:rPr>
          <w:b/>
          <w:sz w:val="46"/>
          <w:szCs w:val="46"/>
        </w:rPr>
      </w:pPr>
    </w:p>
    <w:p w14:paraId="5E14FA5A" w14:textId="77777777" w:rsidR="00301B45" w:rsidRPr="00A95C26" w:rsidRDefault="00301B45" w:rsidP="00D341D7">
      <w:pPr>
        <w:jc w:val="center"/>
        <w:rPr>
          <w:b/>
          <w:sz w:val="46"/>
          <w:szCs w:val="46"/>
        </w:rPr>
      </w:pPr>
    </w:p>
    <w:p w14:paraId="65D53AE4" w14:textId="77777777" w:rsidR="00301B45" w:rsidRPr="00A95C26" w:rsidRDefault="00301B45" w:rsidP="00D341D7">
      <w:pPr>
        <w:jc w:val="center"/>
        <w:rPr>
          <w:b/>
          <w:sz w:val="46"/>
          <w:szCs w:val="46"/>
        </w:rPr>
      </w:pPr>
    </w:p>
    <w:p w14:paraId="404121C2" w14:textId="77777777" w:rsidR="00301B45" w:rsidRPr="00A95C26" w:rsidRDefault="00301B45" w:rsidP="00D341D7">
      <w:pPr>
        <w:jc w:val="center"/>
        <w:rPr>
          <w:b/>
          <w:sz w:val="46"/>
          <w:szCs w:val="46"/>
        </w:rPr>
      </w:pPr>
    </w:p>
    <w:p w14:paraId="1DB8DCA8" w14:textId="77777777" w:rsidR="00301B45" w:rsidRPr="00A95C26" w:rsidRDefault="00301B45" w:rsidP="00301B45"/>
    <w:p w14:paraId="57F5CFF4" w14:textId="77777777" w:rsidR="00301B45" w:rsidRPr="00A95C26" w:rsidRDefault="00301B45" w:rsidP="00301B45"/>
    <w:p w14:paraId="0C37A2F4" w14:textId="77777777" w:rsidR="00301B45" w:rsidRPr="00A95C26" w:rsidRDefault="00301B45" w:rsidP="00301B45"/>
    <w:p w14:paraId="4D731FEA" w14:textId="77777777" w:rsidR="00301B45" w:rsidRPr="00A95C26" w:rsidRDefault="00301B45" w:rsidP="00301B45"/>
    <w:p w14:paraId="549C3377" w14:textId="77777777" w:rsidR="00301B45" w:rsidRPr="00A95C26" w:rsidRDefault="00301B45" w:rsidP="00301B45"/>
    <w:p w14:paraId="076F45CF" w14:textId="77777777" w:rsidR="00301B45" w:rsidRPr="00A95C26" w:rsidRDefault="00301B45" w:rsidP="00301B45"/>
    <w:p w14:paraId="52D5C70D" w14:textId="77777777" w:rsidR="00301B45" w:rsidRPr="00A95C26" w:rsidRDefault="00301B45" w:rsidP="00301B45"/>
    <w:p w14:paraId="6E42280B" w14:textId="77777777" w:rsidR="00301B45" w:rsidRPr="00A95C26" w:rsidRDefault="00301B45" w:rsidP="00301B45"/>
    <w:p w14:paraId="7B072488" w14:textId="77777777" w:rsidR="00301B45" w:rsidRPr="00A95C26" w:rsidRDefault="00301B45" w:rsidP="00301B45"/>
    <w:p w14:paraId="5C115D08" w14:textId="77777777" w:rsidR="00301B45" w:rsidRPr="00A95C26" w:rsidRDefault="00301B45" w:rsidP="00301B45"/>
    <w:p w14:paraId="212ADDD7" w14:textId="77777777" w:rsidR="00301B45" w:rsidRPr="00A95C26" w:rsidRDefault="00301B45" w:rsidP="00301B45"/>
    <w:p w14:paraId="048D4418" w14:textId="77777777" w:rsidR="00301B45" w:rsidRPr="00A95C26" w:rsidRDefault="00301B45" w:rsidP="00301B45"/>
    <w:p w14:paraId="3A7A0F08" w14:textId="77777777" w:rsidR="00301B45" w:rsidRPr="00A95C26" w:rsidRDefault="00301B45" w:rsidP="00301B45"/>
    <w:p w14:paraId="779F763A" w14:textId="77777777" w:rsidR="00301B45" w:rsidRPr="00A95C26" w:rsidRDefault="00301B45" w:rsidP="00301B45"/>
    <w:p w14:paraId="3B87847C" w14:textId="77777777" w:rsidR="00301B45" w:rsidRPr="00A95C26" w:rsidRDefault="00301B45" w:rsidP="00301B45"/>
    <w:p w14:paraId="58F254CC" w14:textId="77777777" w:rsidR="00301B45" w:rsidRPr="00A95C26" w:rsidRDefault="00301B45" w:rsidP="00301B45"/>
    <w:p w14:paraId="63AC0873" w14:textId="77777777" w:rsidR="00301B45" w:rsidRPr="00A95C26" w:rsidRDefault="00301B45" w:rsidP="00301B45"/>
    <w:p w14:paraId="59CD04A9" w14:textId="77777777" w:rsidR="00301B45" w:rsidRPr="00A95C26" w:rsidRDefault="00301B45" w:rsidP="00301B45"/>
    <w:p w14:paraId="29389BEA" w14:textId="77777777" w:rsidR="00301B45" w:rsidRPr="00A95C26" w:rsidRDefault="00301B45" w:rsidP="00301B45"/>
    <w:p w14:paraId="7BC235A6" w14:textId="77777777" w:rsidR="000F7EA1" w:rsidRPr="00A95C26" w:rsidRDefault="000F7EA1" w:rsidP="00641F06">
      <w:pPr>
        <w:jc w:val="both"/>
      </w:pPr>
    </w:p>
    <w:p w14:paraId="649112BF" w14:textId="77777777" w:rsidR="00301B45" w:rsidRPr="00A95C26" w:rsidRDefault="00301B45" w:rsidP="00641F06">
      <w:pPr>
        <w:pStyle w:val="Diplomka"/>
        <w:rPr>
          <w:rFonts w:cs="Times New Roman"/>
          <w:b/>
        </w:rPr>
      </w:pPr>
      <w:r w:rsidRPr="00A95C26">
        <w:rPr>
          <w:rFonts w:cs="Times New Roman"/>
          <w:b/>
        </w:rPr>
        <w:t>Čestné prohlášení</w:t>
      </w:r>
    </w:p>
    <w:p w14:paraId="2C890387" w14:textId="77777777" w:rsidR="00301B45" w:rsidRPr="00A95C26" w:rsidRDefault="00301B45" w:rsidP="00641F06">
      <w:pPr>
        <w:pStyle w:val="Diplomka"/>
        <w:rPr>
          <w:rFonts w:cs="Times New Roman"/>
          <w:szCs w:val="20"/>
        </w:rPr>
      </w:pPr>
    </w:p>
    <w:p w14:paraId="1F59193A" w14:textId="1E42C228" w:rsidR="00301B45" w:rsidRPr="00A95C26" w:rsidRDefault="00301B45" w:rsidP="00641F06">
      <w:pPr>
        <w:pStyle w:val="Diplomka"/>
        <w:rPr>
          <w:rFonts w:cs="Times New Roman"/>
          <w:szCs w:val="20"/>
        </w:rPr>
      </w:pPr>
      <w:r w:rsidRPr="00A95C26">
        <w:rPr>
          <w:rFonts w:cs="Times New Roman"/>
          <w:szCs w:val="20"/>
        </w:rPr>
        <w:t xml:space="preserve">Prohlašuji, že svou </w:t>
      </w:r>
      <w:r w:rsidR="008C6551" w:rsidRPr="00A95C26">
        <w:rPr>
          <w:rFonts w:cs="Times New Roman"/>
          <w:szCs w:val="20"/>
        </w:rPr>
        <w:t>diplomovou</w:t>
      </w:r>
      <w:r w:rsidRPr="00A95C26">
        <w:rPr>
          <w:rFonts w:cs="Times New Roman"/>
          <w:szCs w:val="20"/>
        </w:rPr>
        <w:t xml:space="preserve"> práci "</w:t>
      </w:r>
      <w:r w:rsidR="00A2574B" w:rsidRPr="00A95C26">
        <w:rPr>
          <w:rFonts w:cs="Times New Roman"/>
        </w:rPr>
        <w:t>Příčiny vzniku bublin na finančních trzích, mravenčí model</w:t>
      </w:r>
      <w:r w:rsidRPr="00A95C26">
        <w:rPr>
          <w:rFonts w:cs="Times New Roman"/>
          <w:szCs w:val="20"/>
        </w:rPr>
        <w:t xml:space="preserve">" jsem vypracoval samostatně pod vedením vedoucího </w:t>
      </w:r>
      <w:r w:rsidR="008C6551" w:rsidRPr="00A95C26">
        <w:rPr>
          <w:rFonts w:cs="Times New Roman"/>
          <w:szCs w:val="20"/>
        </w:rPr>
        <w:t>diplomové</w:t>
      </w:r>
      <w:r w:rsidRPr="00A95C26">
        <w:rPr>
          <w:rFonts w:cs="Times New Roman"/>
          <w:szCs w:val="20"/>
        </w:rPr>
        <w:t xml:space="preserve"> práce a s použitím odborné literatury a dalších informačních zdrojů, které jsou citovány v prác</w:t>
      </w:r>
      <w:r w:rsidR="00683740" w:rsidRPr="00A95C26">
        <w:rPr>
          <w:rFonts w:cs="Times New Roman"/>
          <w:szCs w:val="20"/>
        </w:rPr>
        <w:t>i a uvedeny v seznamu použitých zdrojů</w:t>
      </w:r>
      <w:r w:rsidRPr="00A95C26">
        <w:rPr>
          <w:rFonts w:cs="Times New Roman"/>
          <w:szCs w:val="20"/>
        </w:rPr>
        <w:t xml:space="preserve"> na konci práce. Jako autor uvedené </w:t>
      </w:r>
      <w:r w:rsidR="008C6551" w:rsidRPr="00A95C26">
        <w:rPr>
          <w:rFonts w:cs="Times New Roman"/>
          <w:szCs w:val="20"/>
        </w:rPr>
        <w:t>diplomové</w:t>
      </w:r>
      <w:r w:rsidRPr="00A95C26">
        <w:rPr>
          <w:rFonts w:cs="Times New Roman"/>
          <w:szCs w:val="20"/>
        </w:rPr>
        <w:t xml:space="preserve"> práce dále prohlašuji, že jsem v souvislosti s jejím vytvořením neporušil autorská práva třetích osob.</w:t>
      </w:r>
    </w:p>
    <w:p w14:paraId="38298EFA" w14:textId="77777777" w:rsidR="00301B45" w:rsidRPr="00A95C26" w:rsidRDefault="005F5B12" w:rsidP="00641F06">
      <w:pPr>
        <w:pStyle w:val="Diplomka"/>
        <w:rPr>
          <w:rFonts w:cs="Times New Roman"/>
          <w:szCs w:val="20"/>
        </w:rPr>
      </w:pPr>
      <w:r w:rsidRPr="00A95C26">
        <w:rPr>
          <w:rFonts w:cs="Times New Roman"/>
          <w:szCs w:val="20"/>
        </w:rPr>
        <w:t xml:space="preserve"> </w:t>
      </w:r>
    </w:p>
    <w:p w14:paraId="2D5EDC8C" w14:textId="77777777" w:rsidR="005F5B12" w:rsidRPr="00A95C26" w:rsidRDefault="005F5B12" w:rsidP="00641F06">
      <w:pPr>
        <w:pStyle w:val="Diplomka"/>
        <w:rPr>
          <w:rFonts w:cs="Times New Roman"/>
          <w:sz w:val="16"/>
          <w:szCs w:val="16"/>
        </w:rPr>
      </w:pPr>
    </w:p>
    <w:p w14:paraId="2B3FA487" w14:textId="5612DAD1" w:rsidR="00301B45" w:rsidRPr="00A95C26" w:rsidRDefault="00301B45" w:rsidP="00641F06">
      <w:pPr>
        <w:jc w:val="both"/>
      </w:pPr>
      <w:r w:rsidRPr="00A95C26">
        <w:t xml:space="preserve">V Praze dne </w:t>
      </w:r>
      <w:r w:rsidR="00263207" w:rsidRPr="00A95C26">
        <w:t>31.</w:t>
      </w:r>
      <w:r w:rsidR="00C95FA0" w:rsidRPr="00A95C26">
        <w:t>3.2022</w:t>
      </w:r>
      <w:r w:rsidRPr="00A95C26">
        <w:t xml:space="preserve">           </w:t>
      </w:r>
      <w:r w:rsidR="005F5B12" w:rsidRPr="00A95C26">
        <w:t xml:space="preserve">        </w:t>
      </w:r>
      <w:r w:rsidRPr="00A95C26">
        <w:t xml:space="preserve"> ___________________________</w:t>
      </w:r>
    </w:p>
    <w:p w14:paraId="43979553" w14:textId="77777777" w:rsidR="00301B45" w:rsidRPr="00A95C26" w:rsidRDefault="00301B45" w:rsidP="00641F06">
      <w:pPr>
        <w:pStyle w:val="ostatn"/>
        <w:jc w:val="both"/>
        <w:rPr>
          <w:rFonts w:cs="Times New Roman"/>
        </w:rPr>
      </w:pPr>
    </w:p>
    <w:p w14:paraId="29487987" w14:textId="77777777" w:rsidR="00301B45" w:rsidRPr="00A95C26" w:rsidRDefault="00301B45" w:rsidP="00641F06">
      <w:pPr>
        <w:jc w:val="both"/>
        <w:rPr>
          <w:b/>
        </w:rPr>
      </w:pPr>
    </w:p>
    <w:p w14:paraId="5C6B0ADB" w14:textId="77777777" w:rsidR="00301B45" w:rsidRPr="00A95C26" w:rsidRDefault="00301B45" w:rsidP="00641F06">
      <w:pPr>
        <w:jc w:val="both"/>
        <w:rPr>
          <w:b/>
        </w:rPr>
      </w:pPr>
    </w:p>
    <w:p w14:paraId="118C5318" w14:textId="77777777" w:rsidR="00D341D7" w:rsidRPr="00A95C26" w:rsidRDefault="00D341D7" w:rsidP="00641F06">
      <w:pPr>
        <w:jc w:val="both"/>
      </w:pPr>
    </w:p>
    <w:p w14:paraId="4F5C89E6" w14:textId="77777777" w:rsidR="00D83A4B" w:rsidRPr="00A95C26" w:rsidRDefault="00D83A4B" w:rsidP="00641F06">
      <w:pPr>
        <w:pStyle w:val="ostatn"/>
        <w:jc w:val="both"/>
        <w:rPr>
          <w:rFonts w:cs="Times New Roman"/>
        </w:rPr>
      </w:pPr>
    </w:p>
    <w:p w14:paraId="2C230FA7" w14:textId="77777777" w:rsidR="00D83A4B" w:rsidRPr="00A95C26" w:rsidRDefault="00D83A4B" w:rsidP="00641F06">
      <w:pPr>
        <w:jc w:val="both"/>
      </w:pPr>
    </w:p>
    <w:p w14:paraId="581C3E00" w14:textId="77777777" w:rsidR="00D83A4B" w:rsidRPr="00A95C26" w:rsidRDefault="00D83A4B" w:rsidP="00641F06">
      <w:pPr>
        <w:jc w:val="both"/>
      </w:pPr>
    </w:p>
    <w:p w14:paraId="4E837904" w14:textId="77777777" w:rsidR="00D83A4B" w:rsidRPr="00A95C26" w:rsidRDefault="00D83A4B" w:rsidP="00641F06">
      <w:pPr>
        <w:jc w:val="both"/>
      </w:pPr>
    </w:p>
    <w:p w14:paraId="24C66153" w14:textId="77777777" w:rsidR="00D83A4B" w:rsidRPr="00A95C26" w:rsidRDefault="00D83A4B" w:rsidP="00641F06">
      <w:pPr>
        <w:jc w:val="both"/>
      </w:pPr>
    </w:p>
    <w:p w14:paraId="699082F1" w14:textId="77777777" w:rsidR="00D83A4B" w:rsidRPr="00A95C26" w:rsidRDefault="00D83A4B" w:rsidP="00641F06">
      <w:pPr>
        <w:jc w:val="both"/>
      </w:pPr>
    </w:p>
    <w:p w14:paraId="67FC56ED" w14:textId="77777777" w:rsidR="00D83A4B" w:rsidRPr="00A95C26" w:rsidRDefault="00D83A4B" w:rsidP="00641F06">
      <w:pPr>
        <w:jc w:val="both"/>
      </w:pPr>
    </w:p>
    <w:p w14:paraId="569FBA35" w14:textId="77777777" w:rsidR="00D83A4B" w:rsidRPr="00A95C26" w:rsidRDefault="00D83A4B" w:rsidP="00641F06">
      <w:pPr>
        <w:jc w:val="both"/>
      </w:pPr>
    </w:p>
    <w:p w14:paraId="48B7639D" w14:textId="77777777" w:rsidR="00D83A4B" w:rsidRPr="00A95C26" w:rsidRDefault="00D83A4B" w:rsidP="00641F06">
      <w:pPr>
        <w:jc w:val="both"/>
      </w:pPr>
    </w:p>
    <w:p w14:paraId="3E754824" w14:textId="77777777" w:rsidR="00D83A4B" w:rsidRPr="00A95C26" w:rsidRDefault="00D83A4B" w:rsidP="00641F06">
      <w:pPr>
        <w:jc w:val="both"/>
      </w:pPr>
    </w:p>
    <w:p w14:paraId="345D5935" w14:textId="77777777" w:rsidR="00D83A4B" w:rsidRPr="00A95C26" w:rsidRDefault="00D83A4B" w:rsidP="00641F06">
      <w:pPr>
        <w:jc w:val="both"/>
      </w:pPr>
    </w:p>
    <w:p w14:paraId="7C340EB5" w14:textId="77777777" w:rsidR="00D83A4B" w:rsidRPr="00A95C26" w:rsidRDefault="00D83A4B" w:rsidP="00641F06">
      <w:pPr>
        <w:jc w:val="both"/>
      </w:pPr>
    </w:p>
    <w:p w14:paraId="74252864" w14:textId="77777777" w:rsidR="00D83A4B" w:rsidRPr="00A95C26" w:rsidRDefault="00D83A4B" w:rsidP="00641F06">
      <w:pPr>
        <w:jc w:val="both"/>
      </w:pPr>
    </w:p>
    <w:p w14:paraId="508B813C" w14:textId="77777777" w:rsidR="00D83A4B" w:rsidRPr="00A95C26" w:rsidRDefault="00D83A4B" w:rsidP="00641F06">
      <w:pPr>
        <w:jc w:val="both"/>
      </w:pPr>
    </w:p>
    <w:p w14:paraId="12E9ACD9" w14:textId="77777777" w:rsidR="00D83A4B" w:rsidRPr="00A95C26" w:rsidRDefault="00D83A4B" w:rsidP="00641F06">
      <w:pPr>
        <w:jc w:val="both"/>
      </w:pPr>
    </w:p>
    <w:p w14:paraId="2998B057" w14:textId="77777777" w:rsidR="00D83A4B" w:rsidRPr="00A95C26" w:rsidRDefault="00D83A4B" w:rsidP="00641F06">
      <w:pPr>
        <w:jc w:val="both"/>
      </w:pPr>
    </w:p>
    <w:p w14:paraId="61B1B339" w14:textId="77777777" w:rsidR="00D83A4B" w:rsidRPr="00A95C26" w:rsidRDefault="00D83A4B" w:rsidP="00641F06">
      <w:pPr>
        <w:jc w:val="both"/>
      </w:pPr>
    </w:p>
    <w:p w14:paraId="793585B1" w14:textId="77777777" w:rsidR="00D83A4B" w:rsidRPr="00A95C26" w:rsidRDefault="00D83A4B" w:rsidP="00641F06">
      <w:pPr>
        <w:jc w:val="both"/>
      </w:pPr>
    </w:p>
    <w:p w14:paraId="1556DE66" w14:textId="77777777" w:rsidR="00D83A4B" w:rsidRPr="00A95C26" w:rsidRDefault="00D83A4B" w:rsidP="00641F06">
      <w:pPr>
        <w:jc w:val="both"/>
      </w:pPr>
    </w:p>
    <w:p w14:paraId="409EB5B6" w14:textId="77777777" w:rsidR="00D83A4B" w:rsidRPr="00A95C26" w:rsidRDefault="00D83A4B" w:rsidP="00641F06">
      <w:pPr>
        <w:jc w:val="both"/>
      </w:pPr>
    </w:p>
    <w:p w14:paraId="23ADEBF9" w14:textId="77777777" w:rsidR="00D83A4B" w:rsidRPr="00A95C26" w:rsidRDefault="00D83A4B" w:rsidP="00641F06">
      <w:pPr>
        <w:jc w:val="both"/>
      </w:pPr>
    </w:p>
    <w:p w14:paraId="624275AA" w14:textId="77777777" w:rsidR="00D83A4B" w:rsidRPr="00A95C26" w:rsidRDefault="00D83A4B" w:rsidP="00641F06">
      <w:pPr>
        <w:jc w:val="both"/>
      </w:pPr>
    </w:p>
    <w:p w14:paraId="2AA8DC2B" w14:textId="77777777" w:rsidR="00D83A4B" w:rsidRPr="00A95C26" w:rsidRDefault="00D83A4B" w:rsidP="00641F06">
      <w:pPr>
        <w:jc w:val="both"/>
      </w:pPr>
    </w:p>
    <w:p w14:paraId="2B131632" w14:textId="77777777" w:rsidR="00D83A4B" w:rsidRPr="00A95C26" w:rsidRDefault="00D83A4B" w:rsidP="00641F06">
      <w:pPr>
        <w:jc w:val="both"/>
      </w:pPr>
    </w:p>
    <w:p w14:paraId="164734F6" w14:textId="77777777" w:rsidR="00D83A4B" w:rsidRPr="00A95C26" w:rsidRDefault="00D83A4B" w:rsidP="00641F06">
      <w:pPr>
        <w:jc w:val="both"/>
      </w:pPr>
    </w:p>
    <w:p w14:paraId="44C78F11" w14:textId="77777777" w:rsidR="00D83A4B" w:rsidRPr="00A95C26" w:rsidRDefault="00D83A4B" w:rsidP="00641F06">
      <w:pPr>
        <w:jc w:val="both"/>
      </w:pPr>
    </w:p>
    <w:p w14:paraId="36C866E1" w14:textId="77777777" w:rsidR="00D83A4B" w:rsidRPr="00A95C26" w:rsidRDefault="00D83A4B" w:rsidP="00641F06">
      <w:pPr>
        <w:jc w:val="both"/>
      </w:pPr>
    </w:p>
    <w:p w14:paraId="411F8833" w14:textId="77777777" w:rsidR="000F7EA1" w:rsidRPr="00A95C26" w:rsidRDefault="000F7EA1" w:rsidP="00641F06">
      <w:pPr>
        <w:jc w:val="both"/>
      </w:pPr>
    </w:p>
    <w:p w14:paraId="71B8EAC9" w14:textId="77777777" w:rsidR="000F7EA1" w:rsidRPr="00A95C26" w:rsidRDefault="000F7EA1" w:rsidP="00641F06">
      <w:pPr>
        <w:jc w:val="both"/>
      </w:pPr>
    </w:p>
    <w:p w14:paraId="5E140E30" w14:textId="77777777" w:rsidR="00E52751" w:rsidRPr="00A95C26" w:rsidRDefault="00E52751" w:rsidP="00641F06">
      <w:pPr>
        <w:jc w:val="both"/>
      </w:pPr>
    </w:p>
    <w:p w14:paraId="42713A4E" w14:textId="77777777" w:rsidR="00D83A4B" w:rsidRPr="00A95C26" w:rsidRDefault="00D83A4B" w:rsidP="00641F06">
      <w:pPr>
        <w:jc w:val="both"/>
      </w:pPr>
    </w:p>
    <w:p w14:paraId="0CD68746" w14:textId="77777777" w:rsidR="00D83A4B" w:rsidRPr="00A95C26" w:rsidRDefault="00D83A4B" w:rsidP="00641F06">
      <w:pPr>
        <w:jc w:val="both"/>
      </w:pPr>
    </w:p>
    <w:p w14:paraId="1D10401B" w14:textId="77777777" w:rsidR="00D83A4B" w:rsidRPr="00A95C26" w:rsidRDefault="00D83A4B" w:rsidP="00641F06">
      <w:pPr>
        <w:jc w:val="both"/>
      </w:pPr>
    </w:p>
    <w:p w14:paraId="1377FDB7" w14:textId="77777777" w:rsidR="00F40D7B" w:rsidRPr="00A95C26" w:rsidRDefault="00F40D7B" w:rsidP="00641F06">
      <w:pPr>
        <w:jc w:val="both"/>
      </w:pPr>
    </w:p>
    <w:p w14:paraId="7D4D07E7" w14:textId="77777777" w:rsidR="00F40D7B" w:rsidRPr="00A95C26" w:rsidRDefault="00F40D7B" w:rsidP="00641F06">
      <w:pPr>
        <w:jc w:val="both"/>
      </w:pPr>
    </w:p>
    <w:p w14:paraId="0F35327D" w14:textId="77777777" w:rsidR="00F40D7B" w:rsidRPr="00A95C26" w:rsidRDefault="00F40D7B" w:rsidP="00641F06">
      <w:pPr>
        <w:jc w:val="both"/>
      </w:pPr>
    </w:p>
    <w:p w14:paraId="06DEABC6" w14:textId="77777777" w:rsidR="005A4A1B" w:rsidRPr="00A95C26" w:rsidRDefault="005A4A1B" w:rsidP="00641F06">
      <w:pPr>
        <w:jc w:val="both"/>
      </w:pPr>
    </w:p>
    <w:p w14:paraId="27706D8C" w14:textId="77777777" w:rsidR="00D83A4B" w:rsidRPr="00A95C26" w:rsidRDefault="00D83A4B" w:rsidP="00641F06">
      <w:pPr>
        <w:pStyle w:val="ostatnvlevo"/>
        <w:jc w:val="both"/>
        <w:rPr>
          <w:b/>
        </w:rPr>
      </w:pPr>
      <w:r w:rsidRPr="00A95C26">
        <w:rPr>
          <w:b/>
        </w:rPr>
        <w:t>Poděkování</w:t>
      </w:r>
    </w:p>
    <w:p w14:paraId="1F276A8E" w14:textId="77777777" w:rsidR="005F5B12" w:rsidRPr="00A95C26" w:rsidRDefault="005F5B12" w:rsidP="00641F06">
      <w:pPr>
        <w:pStyle w:val="ostatnvlevo"/>
        <w:jc w:val="both"/>
      </w:pPr>
    </w:p>
    <w:p w14:paraId="462F8321" w14:textId="5C7D5FB1" w:rsidR="00754904" w:rsidRPr="00A95C26" w:rsidRDefault="00754904" w:rsidP="00F73A33">
      <w:pPr>
        <w:pStyle w:val="ostatnvlevo"/>
        <w:spacing w:line="360" w:lineRule="auto"/>
        <w:ind w:firstLine="709"/>
        <w:jc w:val="both"/>
      </w:pPr>
      <w:r w:rsidRPr="00A95C26">
        <w:t xml:space="preserve">Rád bych touto cestou poděkoval </w:t>
      </w:r>
      <w:r w:rsidR="008031DD" w:rsidRPr="00A95C26">
        <w:t xml:space="preserve">doc. Ing. </w:t>
      </w:r>
      <w:r w:rsidR="00263207" w:rsidRPr="00A95C26">
        <w:t>Alexandru Soukupovi</w:t>
      </w:r>
      <w:r w:rsidR="008031DD" w:rsidRPr="00A95C26">
        <w:t>,</w:t>
      </w:r>
      <w:r w:rsidR="00A95C26" w:rsidRPr="00D325F4">
        <w:rPr>
          <w:lang w:val="en-US"/>
        </w:rPr>
        <w:t xml:space="preserve"> </w:t>
      </w:r>
      <w:r w:rsidR="008031DD" w:rsidRPr="00A95C26">
        <w:t>CSc.</w:t>
      </w:r>
      <w:r w:rsidR="00263207" w:rsidRPr="00A95C26">
        <w:t xml:space="preserve"> za vedení</w:t>
      </w:r>
      <w:r w:rsidR="008031DD" w:rsidRPr="00A95C26">
        <w:t xml:space="preserve"> </w:t>
      </w:r>
      <w:r w:rsidR="00263207" w:rsidRPr="00A95C26">
        <w:t>práce.</w:t>
      </w:r>
    </w:p>
    <w:p w14:paraId="27C67603" w14:textId="77777777" w:rsidR="005F5B12" w:rsidRPr="00A95C26" w:rsidRDefault="005F5B12" w:rsidP="00641F06">
      <w:pPr>
        <w:jc w:val="both"/>
      </w:pPr>
    </w:p>
    <w:p w14:paraId="03AA0F96" w14:textId="77777777" w:rsidR="000F7EA1" w:rsidRPr="00A95C26" w:rsidRDefault="000F7EA1" w:rsidP="00641F06">
      <w:pPr>
        <w:jc w:val="both"/>
      </w:pPr>
    </w:p>
    <w:p w14:paraId="2E248D57" w14:textId="77777777" w:rsidR="009C282B" w:rsidRPr="00A95C26" w:rsidRDefault="009C282B" w:rsidP="00641F06">
      <w:pPr>
        <w:jc w:val="both"/>
        <w:sectPr w:rsidR="009C282B" w:rsidRPr="00A95C26" w:rsidSect="00BB745B">
          <w:headerReference w:type="default" r:id="rId11"/>
          <w:footerReference w:type="even" r:id="rId12"/>
          <w:footerReference w:type="default" r:id="rId13"/>
          <w:pgSz w:w="11907" w:h="16839" w:code="9"/>
          <w:pgMar w:top="1701" w:right="1134" w:bottom="1418" w:left="1985" w:header="709" w:footer="709" w:gutter="0"/>
          <w:pgNumType w:start="1"/>
          <w:cols w:space="708"/>
          <w:noEndnote/>
          <w:titlePg/>
          <w:docGrid w:linePitch="326"/>
        </w:sectPr>
      </w:pPr>
    </w:p>
    <w:p w14:paraId="4B4EFDA6" w14:textId="27E37928" w:rsidR="000F7EA1" w:rsidRDefault="000F7EA1" w:rsidP="00641F06">
      <w:pPr>
        <w:pStyle w:val="Diplomka"/>
        <w:rPr>
          <w:rFonts w:cs="Times New Roman"/>
        </w:rPr>
      </w:pPr>
    </w:p>
    <w:p w14:paraId="5CABC6ED" w14:textId="77777777" w:rsidR="00641F06" w:rsidRPr="00A95C26" w:rsidRDefault="00641F06" w:rsidP="00641F06">
      <w:pPr>
        <w:pStyle w:val="Diplomka"/>
        <w:rPr>
          <w:rFonts w:cs="Times New Roman"/>
        </w:rPr>
      </w:pPr>
    </w:p>
    <w:p w14:paraId="3065A83D" w14:textId="77777777" w:rsidR="00F40819" w:rsidRPr="00A95C26" w:rsidRDefault="00F40819" w:rsidP="00641F06">
      <w:pPr>
        <w:pStyle w:val="Diplomka"/>
        <w:rPr>
          <w:rFonts w:cs="Times New Roman"/>
        </w:rPr>
      </w:pPr>
    </w:p>
    <w:p w14:paraId="46F40B52" w14:textId="77777777" w:rsidR="00F40819" w:rsidRPr="00A95C26" w:rsidRDefault="00F40819" w:rsidP="00641F06">
      <w:pPr>
        <w:pStyle w:val="Diplomka"/>
        <w:rPr>
          <w:rFonts w:cs="Times New Roman"/>
        </w:rPr>
      </w:pPr>
    </w:p>
    <w:p w14:paraId="1B63167E" w14:textId="7D1F670E" w:rsidR="007E1CD8" w:rsidRPr="00A95C26" w:rsidRDefault="00A2574B" w:rsidP="00641F06">
      <w:pPr>
        <w:pStyle w:val="Titulka"/>
        <w:jc w:val="both"/>
        <w:rPr>
          <w:rFonts w:cs="Times New Roman"/>
        </w:rPr>
      </w:pPr>
      <w:r w:rsidRPr="00A95C26">
        <w:rPr>
          <w:rFonts w:cs="Times New Roman"/>
        </w:rPr>
        <w:t>Příčiny vzniku bublin na finančních trzích, mravenčí model</w:t>
      </w:r>
    </w:p>
    <w:p w14:paraId="4362A11C" w14:textId="77777777" w:rsidR="007E1CD8" w:rsidRPr="00A95C26" w:rsidRDefault="007E1CD8" w:rsidP="00641F06">
      <w:pPr>
        <w:pStyle w:val="Titulka"/>
        <w:jc w:val="both"/>
        <w:rPr>
          <w:rFonts w:cs="Times New Roman"/>
        </w:rPr>
      </w:pPr>
    </w:p>
    <w:p w14:paraId="5292EFE5" w14:textId="7B376371" w:rsidR="007E1CD8" w:rsidRPr="00A95C26" w:rsidRDefault="00263207" w:rsidP="00641F06">
      <w:pPr>
        <w:jc w:val="both"/>
        <w:rPr>
          <w:b/>
        </w:rPr>
      </w:pPr>
      <w:r w:rsidRPr="00A95C26">
        <w:rPr>
          <w:b/>
        </w:rPr>
        <w:t>Souhrn</w:t>
      </w:r>
    </w:p>
    <w:p w14:paraId="6A0A115C" w14:textId="77777777" w:rsidR="007E1CD8" w:rsidRPr="00A95C26" w:rsidRDefault="007E1CD8" w:rsidP="00641F06">
      <w:pPr>
        <w:jc w:val="both"/>
      </w:pPr>
    </w:p>
    <w:p w14:paraId="2CE4B60D" w14:textId="43760C1B" w:rsidR="003118C8" w:rsidRPr="00A95C26" w:rsidRDefault="000C24B6" w:rsidP="002C65F1">
      <w:pPr>
        <w:spacing w:line="360" w:lineRule="auto"/>
        <w:ind w:firstLine="709"/>
        <w:jc w:val="both"/>
        <w:rPr>
          <w:lang w:eastAsia="en-US"/>
        </w:rPr>
      </w:pPr>
      <w:r w:rsidRPr="00A95C26">
        <w:rPr>
          <w:lang w:eastAsia="en-US"/>
        </w:rPr>
        <w:t>Finanční bubliny jsou nedílnou součástí trhů. Přesněji řečeno, jsou to regulátoři trhu. Předpovídat finanční bubliny, jako každá předpověď, je nemožné, je to spíše předpověď nebo pokus co nejpřesněji odhadnout, co se stane. Předpovídat finanční bubliny je velmi obtížné, protože jsou potřeba přesné údaje o trhu a každá finanční bublina je individuální situací pro každý trh a dobu. V tomto článku je zvažována jedna z metod pro vytvoření finanční bubliny, jsou zvažovány aspekty historických jevů a je provedena analýza finanční bubliny v Číně v roce 2015. Následuje analýza tohoto fenoménu na finančních trzích jiných zemí.</w:t>
      </w:r>
    </w:p>
    <w:p w14:paraId="055C8C42" w14:textId="77777777" w:rsidR="003118C8" w:rsidRPr="00A95C26" w:rsidRDefault="003118C8" w:rsidP="00641F06">
      <w:pPr>
        <w:spacing w:line="360" w:lineRule="auto"/>
        <w:jc w:val="both"/>
        <w:rPr>
          <w:b/>
        </w:rPr>
      </w:pPr>
    </w:p>
    <w:p w14:paraId="4A564612" w14:textId="507C5C15" w:rsidR="007E1CD8" w:rsidRPr="00A95C26" w:rsidRDefault="007E1CD8" w:rsidP="00641F06">
      <w:pPr>
        <w:spacing w:line="360" w:lineRule="auto"/>
        <w:jc w:val="both"/>
      </w:pPr>
      <w:r w:rsidRPr="00A95C26">
        <w:rPr>
          <w:b/>
        </w:rPr>
        <w:t>Klíčová slova:</w:t>
      </w:r>
      <w:r w:rsidRPr="00A95C26">
        <w:t xml:space="preserve"> </w:t>
      </w:r>
      <w:r w:rsidR="00A2574B" w:rsidRPr="00A95C26">
        <w:t>finanční bubliny, finanční trh, finanční krize, analýza, spekulace, investování, rizika, likvidita, akcie, opce</w:t>
      </w:r>
    </w:p>
    <w:p w14:paraId="6ACAF86D" w14:textId="77777777" w:rsidR="007E1CD8" w:rsidRPr="00A95C26" w:rsidRDefault="007E1CD8" w:rsidP="00641F06">
      <w:pPr>
        <w:spacing w:line="360" w:lineRule="auto"/>
        <w:jc w:val="both"/>
      </w:pPr>
      <w:r w:rsidRPr="00A95C26">
        <w:br w:type="page"/>
      </w:r>
    </w:p>
    <w:p w14:paraId="07A97047" w14:textId="1988FAC8" w:rsidR="007E1CD8" w:rsidRPr="00A95C26" w:rsidRDefault="00A2574B" w:rsidP="00641F06">
      <w:pPr>
        <w:pStyle w:val="Titulka"/>
        <w:spacing w:before="120"/>
        <w:jc w:val="both"/>
        <w:rPr>
          <w:rFonts w:cs="Times New Roman"/>
          <w:b w:val="0"/>
          <w:bCs w:val="0"/>
        </w:rPr>
      </w:pPr>
      <w:proofErr w:type="spellStart"/>
      <w:r w:rsidRPr="00A95C26">
        <w:rPr>
          <w:rStyle w:val="TitulkaChar"/>
          <w:rFonts w:cs="Times New Roman"/>
          <w:b/>
          <w:bCs/>
        </w:rPr>
        <w:lastRenderedPageBreak/>
        <w:t>Causes</w:t>
      </w:r>
      <w:proofErr w:type="spellEnd"/>
      <w:r w:rsidRPr="00A95C26">
        <w:rPr>
          <w:rStyle w:val="TitulkaChar"/>
          <w:rFonts w:cs="Times New Roman"/>
          <w:b/>
          <w:bCs/>
        </w:rPr>
        <w:t xml:space="preserve"> </w:t>
      </w:r>
      <w:proofErr w:type="spellStart"/>
      <w:r w:rsidRPr="00A95C26">
        <w:rPr>
          <w:rStyle w:val="TitulkaChar"/>
          <w:rFonts w:cs="Times New Roman"/>
          <w:b/>
          <w:bCs/>
        </w:rPr>
        <w:t>of</w:t>
      </w:r>
      <w:proofErr w:type="spellEnd"/>
      <w:r w:rsidRPr="00A95C26">
        <w:rPr>
          <w:rStyle w:val="TitulkaChar"/>
          <w:rFonts w:cs="Times New Roman"/>
          <w:b/>
          <w:bCs/>
        </w:rPr>
        <w:t xml:space="preserve"> </w:t>
      </w:r>
      <w:proofErr w:type="spellStart"/>
      <w:r w:rsidRPr="00A95C26">
        <w:rPr>
          <w:rStyle w:val="TitulkaChar"/>
          <w:rFonts w:cs="Times New Roman"/>
          <w:b/>
          <w:bCs/>
        </w:rPr>
        <w:t>bubbles</w:t>
      </w:r>
      <w:proofErr w:type="spellEnd"/>
      <w:r w:rsidRPr="00A95C26">
        <w:rPr>
          <w:rStyle w:val="TitulkaChar"/>
          <w:rFonts w:cs="Times New Roman"/>
          <w:b/>
          <w:bCs/>
        </w:rPr>
        <w:t xml:space="preserve"> in </w:t>
      </w:r>
      <w:proofErr w:type="spellStart"/>
      <w:r w:rsidRPr="00A95C26">
        <w:rPr>
          <w:rStyle w:val="TitulkaChar"/>
          <w:rFonts w:cs="Times New Roman"/>
          <w:b/>
          <w:bCs/>
        </w:rPr>
        <w:t>financial</w:t>
      </w:r>
      <w:proofErr w:type="spellEnd"/>
      <w:r w:rsidRPr="00A95C26">
        <w:rPr>
          <w:rStyle w:val="TitulkaChar"/>
          <w:rFonts w:cs="Times New Roman"/>
          <w:b/>
          <w:bCs/>
        </w:rPr>
        <w:t xml:space="preserve"> </w:t>
      </w:r>
      <w:proofErr w:type="spellStart"/>
      <w:r w:rsidRPr="00A95C26">
        <w:rPr>
          <w:rStyle w:val="TitulkaChar"/>
          <w:rFonts w:cs="Times New Roman"/>
          <w:b/>
          <w:bCs/>
        </w:rPr>
        <w:t>markets</w:t>
      </w:r>
      <w:proofErr w:type="spellEnd"/>
      <w:r w:rsidRPr="00A95C26">
        <w:rPr>
          <w:rStyle w:val="TitulkaChar"/>
          <w:rFonts w:cs="Times New Roman"/>
          <w:b/>
          <w:bCs/>
        </w:rPr>
        <w:t xml:space="preserve">, </w:t>
      </w:r>
      <w:proofErr w:type="spellStart"/>
      <w:r w:rsidRPr="00A95C26">
        <w:rPr>
          <w:rStyle w:val="TitulkaChar"/>
          <w:rFonts w:cs="Times New Roman"/>
          <w:b/>
          <w:bCs/>
        </w:rPr>
        <w:t>the</w:t>
      </w:r>
      <w:proofErr w:type="spellEnd"/>
      <w:r w:rsidRPr="00A95C26">
        <w:rPr>
          <w:rStyle w:val="TitulkaChar"/>
          <w:rFonts w:cs="Times New Roman"/>
          <w:b/>
          <w:bCs/>
        </w:rPr>
        <w:t xml:space="preserve"> ant model</w:t>
      </w:r>
    </w:p>
    <w:p w14:paraId="0A44FEE1" w14:textId="77777777" w:rsidR="007E1CD8" w:rsidRPr="00A95C26" w:rsidRDefault="007E1CD8" w:rsidP="00641F06">
      <w:pPr>
        <w:pStyle w:val="Titulka"/>
        <w:jc w:val="both"/>
        <w:rPr>
          <w:rFonts w:cs="Times New Roman"/>
        </w:rPr>
      </w:pPr>
    </w:p>
    <w:p w14:paraId="6311DF4B" w14:textId="77777777" w:rsidR="007E1CD8" w:rsidRPr="00A95C26" w:rsidRDefault="005A1F93" w:rsidP="00641F06">
      <w:pPr>
        <w:jc w:val="both"/>
        <w:rPr>
          <w:b/>
        </w:rPr>
      </w:pPr>
      <w:proofErr w:type="spellStart"/>
      <w:r w:rsidRPr="00A95C26">
        <w:rPr>
          <w:b/>
        </w:rPr>
        <w:t>Abstract</w:t>
      </w:r>
      <w:proofErr w:type="spellEnd"/>
    </w:p>
    <w:p w14:paraId="3FB0313D" w14:textId="77777777" w:rsidR="007E1CD8" w:rsidRPr="00A95C26" w:rsidRDefault="007E1CD8" w:rsidP="00641F06">
      <w:pPr>
        <w:jc w:val="both"/>
      </w:pPr>
    </w:p>
    <w:p w14:paraId="59C3165C" w14:textId="730F8C94" w:rsidR="007E1CD8" w:rsidRPr="00A95C26" w:rsidRDefault="000C24B6" w:rsidP="00F73A33">
      <w:pPr>
        <w:spacing w:line="360" w:lineRule="auto"/>
        <w:ind w:firstLine="709"/>
        <w:jc w:val="both"/>
      </w:pPr>
      <w:proofErr w:type="spellStart"/>
      <w:r w:rsidRPr="00A95C26">
        <w:rPr>
          <w:lang w:eastAsia="en-US"/>
        </w:rPr>
        <w:t>Financial</w:t>
      </w:r>
      <w:proofErr w:type="spellEnd"/>
      <w:r w:rsidRPr="00A95C26">
        <w:rPr>
          <w:lang w:eastAsia="en-US"/>
        </w:rPr>
        <w:t xml:space="preserve"> </w:t>
      </w:r>
      <w:proofErr w:type="spellStart"/>
      <w:r w:rsidRPr="00A95C26">
        <w:rPr>
          <w:lang w:eastAsia="en-US"/>
        </w:rPr>
        <w:t>bubbles</w:t>
      </w:r>
      <w:proofErr w:type="spellEnd"/>
      <w:r w:rsidRPr="00A95C26">
        <w:rPr>
          <w:lang w:eastAsia="en-US"/>
        </w:rPr>
        <w:t xml:space="preserve"> are </w:t>
      </w:r>
      <w:proofErr w:type="spellStart"/>
      <w:r w:rsidRPr="00A95C26">
        <w:rPr>
          <w:lang w:eastAsia="en-US"/>
        </w:rPr>
        <w:t>an</w:t>
      </w:r>
      <w:proofErr w:type="spellEnd"/>
      <w:r w:rsidRPr="00A95C26">
        <w:rPr>
          <w:lang w:eastAsia="en-US"/>
        </w:rPr>
        <w:t xml:space="preserve"> </w:t>
      </w:r>
      <w:proofErr w:type="spellStart"/>
      <w:r w:rsidRPr="00A95C26">
        <w:rPr>
          <w:lang w:eastAsia="en-US"/>
        </w:rPr>
        <w:t>integral</w:t>
      </w:r>
      <w:proofErr w:type="spellEnd"/>
      <w:r w:rsidRPr="00A95C26">
        <w:rPr>
          <w:lang w:eastAsia="en-US"/>
        </w:rPr>
        <w:t xml:space="preserve"> part </w:t>
      </w:r>
      <w:proofErr w:type="spellStart"/>
      <w:r w:rsidRPr="00A95C26">
        <w:rPr>
          <w:lang w:eastAsia="en-US"/>
        </w:rPr>
        <w:t>of</w:t>
      </w:r>
      <w:proofErr w:type="spellEnd"/>
      <w:r w:rsidRPr="00A95C26">
        <w:rPr>
          <w:lang w:eastAsia="en-US"/>
        </w:rPr>
        <w:t xml:space="preserve"> </w:t>
      </w:r>
      <w:proofErr w:type="spellStart"/>
      <w:r w:rsidRPr="00A95C26">
        <w:rPr>
          <w:lang w:eastAsia="en-US"/>
        </w:rPr>
        <w:t>the</w:t>
      </w:r>
      <w:proofErr w:type="spellEnd"/>
      <w:r w:rsidRPr="00A95C26">
        <w:rPr>
          <w:lang w:eastAsia="en-US"/>
        </w:rPr>
        <w:t xml:space="preserve"> </w:t>
      </w:r>
      <w:proofErr w:type="spellStart"/>
      <w:r w:rsidRPr="00A95C26">
        <w:rPr>
          <w:lang w:eastAsia="en-US"/>
        </w:rPr>
        <w:t>markets</w:t>
      </w:r>
      <w:proofErr w:type="spellEnd"/>
      <w:r w:rsidRPr="00A95C26">
        <w:rPr>
          <w:lang w:eastAsia="en-US"/>
        </w:rPr>
        <w:t xml:space="preserve">. More </w:t>
      </w:r>
      <w:proofErr w:type="spellStart"/>
      <w:r w:rsidRPr="00A95C26">
        <w:rPr>
          <w:lang w:eastAsia="en-US"/>
        </w:rPr>
        <w:t>precisely</w:t>
      </w:r>
      <w:proofErr w:type="spellEnd"/>
      <w:r w:rsidRPr="00A95C26">
        <w:rPr>
          <w:lang w:eastAsia="en-US"/>
        </w:rPr>
        <w:t xml:space="preserve">, </w:t>
      </w:r>
      <w:proofErr w:type="spellStart"/>
      <w:r w:rsidRPr="00A95C26">
        <w:rPr>
          <w:lang w:eastAsia="en-US"/>
        </w:rPr>
        <w:t>they</w:t>
      </w:r>
      <w:proofErr w:type="spellEnd"/>
      <w:r w:rsidRPr="00A95C26">
        <w:rPr>
          <w:lang w:eastAsia="en-US"/>
        </w:rPr>
        <w:t xml:space="preserve"> are market </w:t>
      </w:r>
      <w:proofErr w:type="spellStart"/>
      <w:r w:rsidRPr="00A95C26">
        <w:rPr>
          <w:lang w:eastAsia="en-US"/>
        </w:rPr>
        <w:t>regulators</w:t>
      </w:r>
      <w:proofErr w:type="spellEnd"/>
      <w:r w:rsidRPr="00A95C26">
        <w:rPr>
          <w:lang w:eastAsia="en-US"/>
        </w:rPr>
        <w:t xml:space="preserve">. </w:t>
      </w:r>
      <w:proofErr w:type="spellStart"/>
      <w:r w:rsidRPr="00A95C26">
        <w:rPr>
          <w:lang w:eastAsia="en-US"/>
        </w:rPr>
        <w:t>Predicting</w:t>
      </w:r>
      <w:proofErr w:type="spellEnd"/>
      <w:r w:rsidRPr="00A95C26">
        <w:rPr>
          <w:lang w:eastAsia="en-US"/>
        </w:rPr>
        <w:t xml:space="preserve"> </w:t>
      </w:r>
      <w:proofErr w:type="spellStart"/>
      <w:r w:rsidRPr="00A95C26">
        <w:rPr>
          <w:lang w:eastAsia="en-US"/>
        </w:rPr>
        <w:t>financial</w:t>
      </w:r>
      <w:proofErr w:type="spellEnd"/>
      <w:r w:rsidRPr="00A95C26">
        <w:rPr>
          <w:lang w:eastAsia="en-US"/>
        </w:rPr>
        <w:t xml:space="preserve"> </w:t>
      </w:r>
      <w:proofErr w:type="spellStart"/>
      <w:r w:rsidRPr="00A95C26">
        <w:rPr>
          <w:lang w:eastAsia="en-US"/>
        </w:rPr>
        <w:t>bubbles</w:t>
      </w:r>
      <w:proofErr w:type="spellEnd"/>
      <w:r w:rsidRPr="00A95C26">
        <w:rPr>
          <w:lang w:eastAsia="en-US"/>
        </w:rPr>
        <w:t xml:space="preserve">, </w:t>
      </w:r>
      <w:proofErr w:type="spellStart"/>
      <w:r w:rsidRPr="00A95C26">
        <w:rPr>
          <w:lang w:eastAsia="en-US"/>
        </w:rPr>
        <w:t>like</w:t>
      </w:r>
      <w:proofErr w:type="spellEnd"/>
      <w:r w:rsidRPr="00A95C26">
        <w:rPr>
          <w:lang w:eastAsia="en-US"/>
        </w:rPr>
        <w:t xml:space="preserve"> any </w:t>
      </w:r>
      <w:proofErr w:type="spellStart"/>
      <w:r w:rsidRPr="00A95C26">
        <w:rPr>
          <w:lang w:eastAsia="en-US"/>
        </w:rPr>
        <w:t>prediction</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w:t>
      </w:r>
      <w:proofErr w:type="spellStart"/>
      <w:r w:rsidRPr="00A95C26">
        <w:rPr>
          <w:lang w:eastAsia="en-US"/>
        </w:rPr>
        <w:t>impossible</w:t>
      </w:r>
      <w:proofErr w:type="spellEnd"/>
      <w:r w:rsidRPr="00A95C26">
        <w:rPr>
          <w:lang w:eastAsia="en-US"/>
        </w:rPr>
        <w:t xml:space="preserve">, </w:t>
      </w:r>
      <w:proofErr w:type="spellStart"/>
      <w:r w:rsidRPr="00A95C26">
        <w:rPr>
          <w:lang w:eastAsia="en-US"/>
        </w:rPr>
        <w:t>it</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w:t>
      </w:r>
      <w:proofErr w:type="spellStart"/>
      <w:r w:rsidRPr="00A95C26">
        <w:rPr>
          <w:lang w:eastAsia="en-US"/>
        </w:rPr>
        <w:t>rather</w:t>
      </w:r>
      <w:proofErr w:type="spellEnd"/>
      <w:r w:rsidRPr="00A95C26">
        <w:rPr>
          <w:lang w:eastAsia="en-US"/>
        </w:rPr>
        <w:t xml:space="preserve"> a </w:t>
      </w:r>
      <w:proofErr w:type="spellStart"/>
      <w:r w:rsidRPr="00A95C26">
        <w:rPr>
          <w:lang w:eastAsia="en-US"/>
        </w:rPr>
        <w:t>prediction</w:t>
      </w:r>
      <w:proofErr w:type="spellEnd"/>
      <w:r w:rsidRPr="00A95C26">
        <w:rPr>
          <w:lang w:eastAsia="en-US"/>
        </w:rPr>
        <w:t xml:space="preserve"> </w:t>
      </w:r>
      <w:proofErr w:type="spellStart"/>
      <w:r w:rsidRPr="00A95C26">
        <w:rPr>
          <w:lang w:eastAsia="en-US"/>
        </w:rPr>
        <w:t>or</w:t>
      </w:r>
      <w:proofErr w:type="spellEnd"/>
      <w:r w:rsidRPr="00A95C26">
        <w:rPr>
          <w:lang w:eastAsia="en-US"/>
        </w:rPr>
        <w:t xml:space="preserve"> </w:t>
      </w:r>
      <w:proofErr w:type="spellStart"/>
      <w:r w:rsidRPr="00A95C26">
        <w:rPr>
          <w:lang w:eastAsia="en-US"/>
        </w:rPr>
        <w:t>an</w:t>
      </w:r>
      <w:proofErr w:type="spellEnd"/>
      <w:r w:rsidRPr="00A95C26">
        <w:rPr>
          <w:lang w:eastAsia="en-US"/>
        </w:rPr>
        <w:t xml:space="preserve"> </w:t>
      </w:r>
      <w:proofErr w:type="spellStart"/>
      <w:r w:rsidRPr="00A95C26">
        <w:rPr>
          <w:lang w:eastAsia="en-US"/>
        </w:rPr>
        <w:t>attempt</w:t>
      </w:r>
      <w:proofErr w:type="spellEnd"/>
      <w:r w:rsidRPr="00A95C26">
        <w:rPr>
          <w:lang w:eastAsia="en-US"/>
        </w:rPr>
        <w:t xml:space="preserve"> to </w:t>
      </w:r>
      <w:proofErr w:type="spellStart"/>
      <w:r w:rsidRPr="00A95C26">
        <w:rPr>
          <w:lang w:eastAsia="en-US"/>
        </w:rPr>
        <w:t>guess</w:t>
      </w:r>
      <w:proofErr w:type="spellEnd"/>
      <w:r w:rsidRPr="00A95C26">
        <w:rPr>
          <w:lang w:eastAsia="en-US"/>
        </w:rPr>
        <w:t xml:space="preserve"> as </w:t>
      </w:r>
      <w:proofErr w:type="spellStart"/>
      <w:r w:rsidRPr="00A95C26">
        <w:rPr>
          <w:lang w:eastAsia="en-US"/>
        </w:rPr>
        <w:t>closely</w:t>
      </w:r>
      <w:proofErr w:type="spellEnd"/>
      <w:r w:rsidRPr="00A95C26">
        <w:rPr>
          <w:lang w:eastAsia="en-US"/>
        </w:rPr>
        <w:t xml:space="preserve"> as </w:t>
      </w:r>
      <w:proofErr w:type="spellStart"/>
      <w:r w:rsidRPr="00A95C26">
        <w:rPr>
          <w:lang w:eastAsia="en-US"/>
        </w:rPr>
        <w:t>possible</w:t>
      </w:r>
      <w:proofErr w:type="spellEnd"/>
      <w:r w:rsidRPr="00A95C26">
        <w:rPr>
          <w:lang w:eastAsia="en-US"/>
        </w:rPr>
        <w:t xml:space="preserve"> </w:t>
      </w:r>
      <w:proofErr w:type="spellStart"/>
      <w:r w:rsidRPr="00A95C26">
        <w:rPr>
          <w:lang w:eastAsia="en-US"/>
        </w:rPr>
        <w:t>what</w:t>
      </w:r>
      <w:proofErr w:type="spellEnd"/>
      <w:r w:rsidRPr="00A95C26">
        <w:rPr>
          <w:lang w:eastAsia="en-US"/>
        </w:rPr>
        <w:t xml:space="preserve"> </w:t>
      </w:r>
      <w:proofErr w:type="spellStart"/>
      <w:r w:rsidRPr="00A95C26">
        <w:rPr>
          <w:lang w:eastAsia="en-US"/>
        </w:rPr>
        <w:t>will</w:t>
      </w:r>
      <w:proofErr w:type="spellEnd"/>
      <w:r w:rsidRPr="00A95C26">
        <w:rPr>
          <w:lang w:eastAsia="en-US"/>
        </w:rPr>
        <w:t xml:space="preserve"> </w:t>
      </w:r>
      <w:proofErr w:type="spellStart"/>
      <w:r w:rsidRPr="00A95C26">
        <w:rPr>
          <w:lang w:eastAsia="en-US"/>
        </w:rPr>
        <w:t>happen</w:t>
      </w:r>
      <w:proofErr w:type="spellEnd"/>
      <w:r w:rsidRPr="00A95C26">
        <w:rPr>
          <w:lang w:eastAsia="en-US"/>
        </w:rPr>
        <w:t xml:space="preserve">. </w:t>
      </w:r>
      <w:proofErr w:type="spellStart"/>
      <w:r w:rsidRPr="00A95C26">
        <w:rPr>
          <w:lang w:eastAsia="en-US"/>
        </w:rPr>
        <w:t>Predicting</w:t>
      </w:r>
      <w:proofErr w:type="spellEnd"/>
      <w:r w:rsidRPr="00A95C26">
        <w:rPr>
          <w:lang w:eastAsia="en-US"/>
        </w:rPr>
        <w:t xml:space="preserve"> </w:t>
      </w:r>
      <w:proofErr w:type="spellStart"/>
      <w:r w:rsidRPr="00A95C26">
        <w:rPr>
          <w:lang w:eastAsia="en-US"/>
        </w:rPr>
        <w:t>financial</w:t>
      </w:r>
      <w:proofErr w:type="spellEnd"/>
      <w:r w:rsidRPr="00A95C26">
        <w:rPr>
          <w:lang w:eastAsia="en-US"/>
        </w:rPr>
        <w:t xml:space="preserve"> </w:t>
      </w:r>
      <w:proofErr w:type="spellStart"/>
      <w:r w:rsidRPr="00A95C26">
        <w:rPr>
          <w:lang w:eastAsia="en-US"/>
        </w:rPr>
        <w:t>bubbles</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very </w:t>
      </w:r>
      <w:proofErr w:type="spellStart"/>
      <w:r w:rsidRPr="00A95C26">
        <w:rPr>
          <w:lang w:eastAsia="en-US"/>
        </w:rPr>
        <w:t>difficult</w:t>
      </w:r>
      <w:proofErr w:type="spellEnd"/>
      <w:r w:rsidRPr="00A95C26">
        <w:rPr>
          <w:lang w:eastAsia="en-US"/>
        </w:rPr>
        <w:t xml:space="preserve">, </w:t>
      </w:r>
      <w:proofErr w:type="spellStart"/>
      <w:r w:rsidRPr="00A95C26">
        <w:rPr>
          <w:lang w:eastAsia="en-US"/>
        </w:rPr>
        <w:t>because</w:t>
      </w:r>
      <w:proofErr w:type="spellEnd"/>
      <w:r w:rsidRPr="00A95C26">
        <w:rPr>
          <w:lang w:eastAsia="en-US"/>
        </w:rPr>
        <w:t xml:space="preserve"> </w:t>
      </w:r>
      <w:proofErr w:type="spellStart"/>
      <w:r w:rsidRPr="00A95C26">
        <w:rPr>
          <w:lang w:eastAsia="en-US"/>
        </w:rPr>
        <w:t>accurate</w:t>
      </w:r>
      <w:proofErr w:type="spellEnd"/>
      <w:r w:rsidRPr="00A95C26">
        <w:rPr>
          <w:lang w:eastAsia="en-US"/>
        </w:rPr>
        <w:t xml:space="preserve"> market data </w:t>
      </w:r>
      <w:proofErr w:type="spellStart"/>
      <w:r w:rsidRPr="00A95C26">
        <w:rPr>
          <w:lang w:eastAsia="en-US"/>
        </w:rPr>
        <w:t>is</w:t>
      </w:r>
      <w:proofErr w:type="spellEnd"/>
      <w:r w:rsidRPr="00A95C26">
        <w:rPr>
          <w:lang w:eastAsia="en-US"/>
        </w:rPr>
        <w:t xml:space="preserve"> </w:t>
      </w:r>
      <w:proofErr w:type="spellStart"/>
      <w:r w:rsidRPr="00A95C26">
        <w:rPr>
          <w:lang w:eastAsia="en-US"/>
        </w:rPr>
        <w:t>needed</w:t>
      </w:r>
      <w:proofErr w:type="spellEnd"/>
      <w:r w:rsidRPr="00A95C26">
        <w:rPr>
          <w:lang w:eastAsia="en-US"/>
        </w:rPr>
        <w:t xml:space="preserve">, and </w:t>
      </w:r>
      <w:proofErr w:type="spellStart"/>
      <w:r w:rsidRPr="00A95C26">
        <w:rPr>
          <w:lang w:eastAsia="en-US"/>
        </w:rPr>
        <w:t>each</w:t>
      </w:r>
      <w:proofErr w:type="spellEnd"/>
      <w:r w:rsidRPr="00A95C26">
        <w:rPr>
          <w:lang w:eastAsia="en-US"/>
        </w:rPr>
        <w:t xml:space="preserve"> </w:t>
      </w:r>
      <w:proofErr w:type="spellStart"/>
      <w:r w:rsidRPr="00A95C26">
        <w:rPr>
          <w:lang w:eastAsia="en-US"/>
        </w:rPr>
        <w:t>financial</w:t>
      </w:r>
      <w:proofErr w:type="spellEnd"/>
      <w:r w:rsidRPr="00A95C26">
        <w:rPr>
          <w:lang w:eastAsia="en-US"/>
        </w:rPr>
        <w:t xml:space="preserve"> </w:t>
      </w:r>
      <w:proofErr w:type="spellStart"/>
      <w:r w:rsidRPr="00A95C26">
        <w:rPr>
          <w:lang w:eastAsia="en-US"/>
        </w:rPr>
        <w:t>bubble</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w:t>
      </w:r>
      <w:proofErr w:type="spellStart"/>
      <w:r w:rsidRPr="00A95C26">
        <w:rPr>
          <w:lang w:eastAsia="en-US"/>
        </w:rPr>
        <w:t>an</w:t>
      </w:r>
      <w:proofErr w:type="spellEnd"/>
      <w:r w:rsidRPr="00A95C26">
        <w:rPr>
          <w:lang w:eastAsia="en-US"/>
        </w:rPr>
        <w:t xml:space="preserve"> </w:t>
      </w:r>
      <w:proofErr w:type="spellStart"/>
      <w:r w:rsidRPr="00A95C26">
        <w:rPr>
          <w:lang w:eastAsia="en-US"/>
        </w:rPr>
        <w:t>individual</w:t>
      </w:r>
      <w:proofErr w:type="spellEnd"/>
      <w:r w:rsidRPr="00A95C26">
        <w:rPr>
          <w:lang w:eastAsia="en-US"/>
        </w:rPr>
        <w:t xml:space="preserve"> </w:t>
      </w:r>
      <w:proofErr w:type="spellStart"/>
      <w:r w:rsidRPr="00A95C26">
        <w:rPr>
          <w:lang w:eastAsia="en-US"/>
        </w:rPr>
        <w:t>situation</w:t>
      </w:r>
      <w:proofErr w:type="spellEnd"/>
      <w:r w:rsidRPr="00A95C26">
        <w:rPr>
          <w:lang w:eastAsia="en-US"/>
        </w:rPr>
        <w:t xml:space="preserve"> </w:t>
      </w:r>
      <w:proofErr w:type="spellStart"/>
      <w:r w:rsidRPr="00A95C26">
        <w:rPr>
          <w:lang w:eastAsia="en-US"/>
        </w:rPr>
        <w:t>for</w:t>
      </w:r>
      <w:proofErr w:type="spellEnd"/>
      <w:r w:rsidRPr="00A95C26">
        <w:rPr>
          <w:lang w:eastAsia="en-US"/>
        </w:rPr>
        <w:t xml:space="preserve"> </w:t>
      </w:r>
      <w:proofErr w:type="spellStart"/>
      <w:r w:rsidRPr="00A95C26">
        <w:rPr>
          <w:lang w:eastAsia="en-US"/>
        </w:rPr>
        <w:t>each</w:t>
      </w:r>
      <w:proofErr w:type="spellEnd"/>
      <w:r w:rsidRPr="00A95C26">
        <w:rPr>
          <w:lang w:eastAsia="en-US"/>
        </w:rPr>
        <w:t xml:space="preserve"> market and </w:t>
      </w:r>
      <w:proofErr w:type="spellStart"/>
      <w:r w:rsidRPr="00A95C26">
        <w:rPr>
          <w:lang w:eastAsia="en-US"/>
        </w:rPr>
        <w:t>time</w:t>
      </w:r>
      <w:proofErr w:type="spellEnd"/>
      <w:r w:rsidRPr="00A95C26">
        <w:rPr>
          <w:lang w:eastAsia="en-US"/>
        </w:rPr>
        <w:t xml:space="preserve">. In </w:t>
      </w:r>
      <w:proofErr w:type="spellStart"/>
      <w:r w:rsidRPr="00A95C26">
        <w:rPr>
          <w:lang w:eastAsia="en-US"/>
        </w:rPr>
        <w:t>this</w:t>
      </w:r>
      <w:proofErr w:type="spellEnd"/>
      <w:r w:rsidRPr="00A95C26">
        <w:rPr>
          <w:lang w:eastAsia="en-US"/>
        </w:rPr>
        <w:t xml:space="preserve"> </w:t>
      </w:r>
      <w:proofErr w:type="spellStart"/>
      <w:r w:rsidRPr="00A95C26">
        <w:rPr>
          <w:lang w:eastAsia="en-US"/>
        </w:rPr>
        <w:t>paper</w:t>
      </w:r>
      <w:proofErr w:type="spellEnd"/>
      <w:r w:rsidRPr="00A95C26">
        <w:rPr>
          <w:lang w:eastAsia="en-US"/>
        </w:rPr>
        <w:t xml:space="preserve">, </w:t>
      </w:r>
      <w:proofErr w:type="spellStart"/>
      <w:r w:rsidRPr="00A95C26">
        <w:rPr>
          <w:lang w:eastAsia="en-US"/>
        </w:rPr>
        <w:t>one</w:t>
      </w:r>
      <w:proofErr w:type="spellEnd"/>
      <w:r w:rsidRPr="00A95C26">
        <w:rPr>
          <w:lang w:eastAsia="en-US"/>
        </w:rPr>
        <w:t xml:space="preserve"> </w:t>
      </w:r>
      <w:proofErr w:type="spellStart"/>
      <w:r w:rsidRPr="00A95C26">
        <w:rPr>
          <w:lang w:eastAsia="en-US"/>
        </w:rPr>
        <w:t>of</w:t>
      </w:r>
      <w:proofErr w:type="spellEnd"/>
      <w:r w:rsidRPr="00A95C26">
        <w:rPr>
          <w:lang w:eastAsia="en-US"/>
        </w:rPr>
        <w:t xml:space="preserve"> </w:t>
      </w:r>
      <w:proofErr w:type="spellStart"/>
      <w:r w:rsidRPr="00A95C26">
        <w:rPr>
          <w:lang w:eastAsia="en-US"/>
        </w:rPr>
        <w:t>the</w:t>
      </w:r>
      <w:proofErr w:type="spellEnd"/>
      <w:r w:rsidRPr="00A95C26">
        <w:rPr>
          <w:lang w:eastAsia="en-US"/>
        </w:rPr>
        <w:t xml:space="preserve"> </w:t>
      </w:r>
      <w:proofErr w:type="spellStart"/>
      <w:r w:rsidRPr="00A95C26">
        <w:rPr>
          <w:lang w:eastAsia="en-US"/>
        </w:rPr>
        <w:t>methods</w:t>
      </w:r>
      <w:proofErr w:type="spellEnd"/>
      <w:r w:rsidRPr="00A95C26">
        <w:rPr>
          <w:lang w:eastAsia="en-US"/>
        </w:rPr>
        <w:t xml:space="preserve"> </w:t>
      </w:r>
      <w:proofErr w:type="spellStart"/>
      <w:r w:rsidRPr="00A95C26">
        <w:rPr>
          <w:lang w:eastAsia="en-US"/>
        </w:rPr>
        <w:t>for</w:t>
      </w:r>
      <w:proofErr w:type="spellEnd"/>
      <w:r w:rsidRPr="00A95C26">
        <w:rPr>
          <w:lang w:eastAsia="en-US"/>
        </w:rPr>
        <w:t xml:space="preserve"> </w:t>
      </w:r>
      <w:proofErr w:type="spellStart"/>
      <w:r w:rsidRPr="00A95C26">
        <w:rPr>
          <w:lang w:eastAsia="en-US"/>
        </w:rPr>
        <w:t>the</w:t>
      </w:r>
      <w:proofErr w:type="spellEnd"/>
      <w:r w:rsidRPr="00A95C26">
        <w:rPr>
          <w:lang w:eastAsia="en-US"/>
        </w:rPr>
        <w:t xml:space="preserve"> </w:t>
      </w:r>
      <w:proofErr w:type="spellStart"/>
      <w:r w:rsidRPr="00A95C26">
        <w:rPr>
          <w:lang w:eastAsia="en-US"/>
        </w:rPr>
        <w:t>formation</w:t>
      </w:r>
      <w:proofErr w:type="spellEnd"/>
      <w:r w:rsidRPr="00A95C26">
        <w:rPr>
          <w:lang w:eastAsia="en-US"/>
        </w:rPr>
        <w:t xml:space="preserve"> </w:t>
      </w:r>
      <w:proofErr w:type="spellStart"/>
      <w:r w:rsidRPr="00A95C26">
        <w:rPr>
          <w:lang w:eastAsia="en-US"/>
        </w:rPr>
        <w:t>of</w:t>
      </w:r>
      <w:proofErr w:type="spellEnd"/>
      <w:r w:rsidRPr="00A95C26">
        <w:rPr>
          <w:lang w:eastAsia="en-US"/>
        </w:rPr>
        <w:t xml:space="preserve"> a </w:t>
      </w:r>
      <w:proofErr w:type="spellStart"/>
      <w:r w:rsidRPr="00A95C26">
        <w:rPr>
          <w:lang w:eastAsia="en-US"/>
        </w:rPr>
        <w:t>financial</w:t>
      </w:r>
      <w:proofErr w:type="spellEnd"/>
      <w:r w:rsidRPr="00A95C26">
        <w:rPr>
          <w:lang w:eastAsia="en-US"/>
        </w:rPr>
        <w:t xml:space="preserve"> </w:t>
      </w:r>
      <w:proofErr w:type="spellStart"/>
      <w:r w:rsidRPr="00A95C26">
        <w:rPr>
          <w:lang w:eastAsia="en-US"/>
        </w:rPr>
        <w:t>bubble</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w:t>
      </w:r>
      <w:proofErr w:type="spellStart"/>
      <w:r w:rsidRPr="00A95C26">
        <w:rPr>
          <w:lang w:eastAsia="en-US"/>
        </w:rPr>
        <w:t>considered</w:t>
      </w:r>
      <w:proofErr w:type="spellEnd"/>
      <w:r w:rsidRPr="00A95C26">
        <w:rPr>
          <w:lang w:eastAsia="en-US"/>
        </w:rPr>
        <w:t xml:space="preserve">, </w:t>
      </w:r>
      <w:proofErr w:type="spellStart"/>
      <w:r w:rsidRPr="00A95C26">
        <w:rPr>
          <w:lang w:eastAsia="en-US"/>
        </w:rPr>
        <w:t>aspects</w:t>
      </w:r>
      <w:proofErr w:type="spellEnd"/>
      <w:r w:rsidRPr="00A95C26">
        <w:rPr>
          <w:lang w:eastAsia="en-US"/>
        </w:rPr>
        <w:t xml:space="preserve"> </w:t>
      </w:r>
      <w:proofErr w:type="spellStart"/>
      <w:r w:rsidRPr="00A95C26">
        <w:rPr>
          <w:lang w:eastAsia="en-US"/>
        </w:rPr>
        <w:t>of</w:t>
      </w:r>
      <w:proofErr w:type="spellEnd"/>
      <w:r w:rsidRPr="00A95C26">
        <w:rPr>
          <w:lang w:eastAsia="en-US"/>
        </w:rPr>
        <w:t xml:space="preserve"> </w:t>
      </w:r>
      <w:proofErr w:type="spellStart"/>
      <w:r w:rsidRPr="00A95C26">
        <w:rPr>
          <w:lang w:eastAsia="en-US"/>
        </w:rPr>
        <w:t>historical</w:t>
      </w:r>
      <w:proofErr w:type="spellEnd"/>
      <w:r w:rsidRPr="00A95C26">
        <w:rPr>
          <w:lang w:eastAsia="en-US"/>
        </w:rPr>
        <w:t xml:space="preserve"> </w:t>
      </w:r>
      <w:proofErr w:type="spellStart"/>
      <w:r w:rsidRPr="00A95C26">
        <w:rPr>
          <w:lang w:eastAsia="en-US"/>
        </w:rPr>
        <w:t>phenomena</w:t>
      </w:r>
      <w:proofErr w:type="spellEnd"/>
      <w:r w:rsidRPr="00A95C26">
        <w:rPr>
          <w:lang w:eastAsia="en-US"/>
        </w:rPr>
        <w:t xml:space="preserve"> are </w:t>
      </w:r>
      <w:proofErr w:type="spellStart"/>
      <w:r w:rsidRPr="00A95C26">
        <w:rPr>
          <w:lang w:eastAsia="en-US"/>
        </w:rPr>
        <w:t>considered</w:t>
      </w:r>
      <w:proofErr w:type="spellEnd"/>
      <w:r w:rsidRPr="00A95C26">
        <w:rPr>
          <w:lang w:eastAsia="en-US"/>
        </w:rPr>
        <w:t xml:space="preserve">, and </w:t>
      </w:r>
      <w:proofErr w:type="spellStart"/>
      <w:r w:rsidRPr="00A95C26">
        <w:rPr>
          <w:lang w:eastAsia="en-US"/>
        </w:rPr>
        <w:t>an</w:t>
      </w:r>
      <w:proofErr w:type="spellEnd"/>
      <w:r w:rsidRPr="00A95C26">
        <w:rPr>
          <w:lang w:eastAsia="en-US"/>
        </w:rPr>
        <w:t xml:space="preserve"> </w:t>
      </w:r>
      <w:proofErr w:type="spellStart"/>
      <w:r w:rsidRPr="00A95C26">
        <w:rPr>
          <w:lang w:eastAsia="en-US"/>
        </w:rPr>
        <w:t>analysis</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made </w:t>
      </w:r>
      <w:proofErr w:type="spellStart"/>
      <w:r w:rsidRPr="00A95C26">
        <w:rPr>
          <w:lang w:eastAsia="en-US"/>
        </w:rPr>
        <w:t>of</w:t>
      </w:r>
      <w:proofErr w:type="spellEnd"/>
      <w:r w:rsidRPr="00A95C26">
        <w:rPr>
          <w:lang w:eastAsia="en-US"/>
        </w:rPr>
        <w:t xml:space="preserve"> </w:t>
      </w:r>
      <w:proofErr w:type="spellStart"/>
      <w:r w:rsidRPr="00A95C26">
        <w:rPr>
          <w:lang w:eastAsia="en-US"/>
        </w:rPr>
        <w:t>the</w:t>
      </w:r>
      <w:proofErr w:type="spellEnd"/>
      <w:r w:rsidRPr="00A95C26">
        <w:rPr>
          <w:lang w:eastAsia="en-US"/>
        </w:rPr>
        <w:t xml:space="preserve"> </w:t>
      </w:r>
      <w:proofErr w:type="spellStart"/>
      <w:r w:rsidRPr="00A95C26">
        <w:rPr>
          <w:lang w:eastAsia="en-US"/>
        </w:rPr>
        <w:t>financial</w:t>
      </w:r>
      <w:proofErr w:type="spellEnd"/>
      <w:r w:rsidRPr="00A95C26">
        <w:rPr>
          <w:lang w:eastAsia="en-US"/>
        </w:rPr>
        <w:t xml:space="preserve"> </w:t>
      </w:r>
      <w:proofErr w:type="spellStart"/>
      <w:r w:rsidRPr="00A95C26">
        <w:rPr>
          <w:lang w:eastAsia="en-US"/>
        </w:rPr>
        <w:t>bubble</w:t>
      </w:r>
      <w:proofErr w:type="spellEnd"/>
      <w:r w:rsidRPr="00A95C26">
        <w:rPr>
          <w:lang w:eastAsia="en-US"/>
        </w:rPr>
        <w:t xml:space="preserve"> in </w:t>
      </w:r>
      <w:proofErr w:type="spellStart"/>
      <w:r w:rsidRPr="00A95C26">
        <w:rPr>
          <w:lang w:eastAsia="en-US"/>
        </w:rPr>
        <w:t>China</w:t>
      </w:r>
      <w:proofErr w:type="spellEnd"/>
      <w:r w:rsidRPr="00A95C26">
        <w:rPr>
          <w:lang w:eastAsia="en-US"/>
        </w:rPr>
        <w:t xml:space="preserve"> in 2015. </w:t>
      </w:r>
      <w:proofErr w:type="spellStart"/>
      <w:r w:rsidRPr="00A95C26">
        <w:rPr>
          <w:lang w:eastAsia="en-US"/>
        </w:rPr>
        <w:t>The</w:t>
      </w:r>
      <w:proofErr w:type="spellEnd"/>
      <w:r w:rsidRPr="00A95C26">
        <w:rPr>
          <w:lang w:eastAsia="en-US"/>
        </w:rPr>
        <w:t xml:space="preserve"> </w:t>
      </w:r>
      <w:proofErr w:type="spellStart"/>
      <w:r w:rsidRPr="00A95C26">
        <w:rPr>
          <w:lang w:eastAsia="en-US"/>
        </w:rPr>
        <w:t>following</w:t>
      </w:r>
      <w:proofErr w:type="spellEnd"/>
      <w:r w:rsidRPr="00A95C26">
        <w:rPr>
          <w:lang w:eastAsia="en-US"/>
        </w:rPr>
        <w:t xml:space="preserve"> </w:t>
      </w:r>
      <w:proofErr w:type="spellStart"/>
      <w:r w:rsidRPr="00A95C26">
        <w:rPr>
          <w:lang w:eastAsia="en-US"/>
        </w:rPr>
        <w:t>is</w:t>
      </w:r>
      <w:proofErr w:type="spellEnd"/>
      <w:r w:rsidRPr="00A95C26">
        <w:rPr>
          <w:lang w:eastAsia="en-US"/>
        </w:rPr>
        <w:t xml:space="preserve"> </w:t>
      </w:r>
      <w:proofErr w:type="spellStart"/>
      <w:r w:rsidRPr="00A95C26">
        <w:rPr>
          <w:lang w:eastAsia="en-US"/>
        </w:rPr>
        <w:t>an</w:t>
      </w:r>
      <w:proofErr w:type="spellEnd"/>
      <w:r w:rsidRPr="00A95C26">
        <w:rPr>
          <w:lang w:eastAsia="en-US"/>
        </w:rPr>
        <w:t xml:space="preserve"> </w:t>
      </w:r>
      <w:proofErr w:type="spellStart"/>
      <w:r w:rsidRPr="00A95C26">
        <w:rPr>
          <w:lang w:eastAsia="en-US"/>
        </w:rPr>
        <w:t>analysis</w:t>
      </w:r>
      <w:proofErr w:type="spellEnd"/>
      <w:r w:rsidRPr="00A95C26">
        <w:rPr>
          <w:lang w:eastAsia="en-US"/>
        </w:rPr>
        <w:t xml:space="preserve"> </w:t>
      </w:r>
      <w:proofErr w:type="spellStart"/>
      <w:r w:rsidRPr="00A95C26">
        <w:rPr>
          <w:lang w:eastAsia="en-US"/>
        </w:rPr>
        <w:t>of</w:t>
      </w:r>
      <w:proofErr w:type="spellEnd"/>
      <w:r w:rsidRPr="00A95C26">
        <w:rPr>
          <w:lang w:eastAsia="en-US"/>
        </w:rPr>
        <w:t xml:space="preserve"> </w:t>
      </w:r>
      <w:proofErr w:type="spellStart"/>
      <w:r w:rsidRPr="00A95C26">
        <w:rPr>
          <w:lang w:eastAsia="en-US"/>
        </w:rPr>
        <w:t>this</w:t>
      </w:r>
      <w:proofErr w:type="spellEnd"/>
      <w:r w:rsidRPr="00A95C26">
        <w:rPr>
          <w:lang w:eastAsia="en-US"/>
        </w:rPr>
        <w:t xml:space="preserve"> </w:t>
      </w:r>
      <w:proofErr w:type="spellStart"/>
      <w:r w:rsidRPr="00A95C26">
        <w:rPr>
          <w:lang w:eastAsia="en-US"/>
        </w:rPr>
        <w:t>phenomenon</w:t>
      </w:r>
      <w:proofErr w:type="spellEnd"/>
      <w:r w:rsidRPr="00A95C26">
        <w:rPr>
          <w:lang w:eastAsia="en-US"/>
        </w:rPr>
        <w:t xml:space="preserve"> in </w:t>
      </w:r>
      <w:proofErr w:type="spellStart"/>
      <w:r w:rsidRPr="00A95C26">
        <w:rPr>
          <w:lang w:eastAsia="en-US"/>
        </w:rPr>
        <w:t>the</w:t>
      </w:r>
      <w:proofErr w:type="spellEnd"/>
      <w:r w:rsidRPr="00A95C26">
        <w:rPr>
          <w:lang w:eastAsia="en-US"/>
        </w:rPr>
        <w:t xml:space="preserve"> </w:t>
      </w:r>
      <w:proofErr w:type="spellStart"/>
      <w:r w:rsidRPr="00A95C26">
        <w:rPr>
          <w:lang w:eastAsia="en-US"/>
        </w:rPr>
        <w:t>financial</w:t>
      </w:r>
      <w:proofErr w:type="spellEnd"/>
      <w:r w:rsidRPr="00A95C26">
        <w:rPr>
          <w:lang w:eastAsia="en-US"/>
        </w:rPr>
        <w:t xml:space="preserve"> </w:t>
      </w:r>
      <w:proofErr w:type="spellStart"/>
      <w:r w:rsidRPr="00A95C26">
        <w:rPr>
          <w:lang w:eastAsia="en-US"/>
        </w:rPr>
        <w:t>markets</w:t>
      </w:r>
      <w:proofErr w:type="spellEnd"/>
      <w:r w:rsidRPr="00A95C26">
        <w:rPr>
          <w:lang w:eastAsia="en-US"/>
        </w:rPr>
        <w:t xml:space="preserve"> </w:t>
      </w:r>
      <w:proofErr w:type="spellStart"/>
      <w:r w:rsidRPr="00A95C26">
        <w:rPr>
          <w:lang w:eastAsia="en-US"/>
        </w:rPr>
        <w:t>of</w:t>
      </w:r>
      <w:proofErr w:type="spellEnd"/>
      <w:r w:rsidRPr="00A95C26">
        <w:rPr>
          <w:lang w:eastAsia="en-US"/>
        </w:rPr>
        <w:t xml:space="preserve"> </w:t>
      </w:r>
      <w:proofErr w:type="spellStart"/>
      <w:r w:rsidRPr="00A95C26">
        <w:rPr>
          <w:lang w:eastAsia="en-US"/>
        </w:rPr>
        <w:t>other</w:t>
      </w:r>
      <w:proofErr w:type="spellEnd"/>
      <w:r w:rsidRPr="00A95C26">
        <w:rPr>
          <w:lang w:eastAsia="en-US"/>
        </w:rPr>
        <w:t xml:space="preserve"> </w:t>
      </w:r>
      <w:proofErr w:type="spellStart"/>
      <w:r w:rsidRPr="00A95C26">
        <w:rPr>
          <w:lang w:eastAsia="en-US"/>
        </w:rPr>
        <w:t>countries</w:t>
      </w:r>
      <w:proofErr w:type="spellEnd"/>
      <w:r w:rsidRPr="00A95C26">
        <w:rPr>
          <w:lang w:eastAsia="en-US"/>
        </w:rPr>
        <w:t>.</w:t>
      </w:r>
    </w:p>
    <w:p w14:paraId="2D732593" w14:textId="77777777" w:rsidR="002C65F1" w:rsidRDefault="002C65F1" w:rsidP="00641F06">
      <w:pPr>
        <w:pStyle w:val="Diplomka"/>
        <w:ind w:firstLine="0"/>
        <w:rPr>
          <w:rFonts w:cs="Times New Roman"/>
          <w:b/>
        </w:rPr>
      </w:pPr>
    </w:p>
    <w:p w14:paraId="2C3DBCB0" w14:textId="1F9B8CBE" w:rsidR="007E1CD8" w:rsidRPr="00A95C26" w:rsidRDefault="007E1CD8" w:rsidP="00641F06">
      <w:pPr>
        <w:pStyle w:val="Diplomka"/>
        <w:ind w:firstLine="0"/>
        <w:rPr>
          <w:rFonts w:cs="Times New Roman"/>
        </w:rPr>
      </w:pPr>
      <w:proofErr w:type="spellStart"/>
      <w:r w:rsidRPr="00A95C26">
        <w:rPr>
          <w:rFonts w:cs="Times New Roman"/>
          <w:b/>
        </w:rPr>
        <w:t>Keywords</w:t>
      </w:r>
      <w:proofErr w:type="spellEnd"/>
      <w:r w:rsidRPr="00A95C26">
        <w:rPr>
          <w:rFonts w:cs="Times New Roman"/>
        </w:rPr>
        <w:t xml:space="preserve">: </w:t>
      </w:r>
      <w:proofErr w:type="spellStart"/>
      <w:r w:rsidR="00A2574B" w:rsidRPr="00A95C26">
        <w:rPr>
          <w:rFonts w:cs="Times New Roman"/>
        </w:rPr>
        <w:t>financial</w:t>
      </w:r>
      <w:proofErr w:type="spellEnd"/>
      <w:r w:rsidR="00A2574B" w:rsidRPr="00A95C26">
        <w:rPr>
          <w:rFonts w:cs="Times New Roman"/>
        </w:rPr>
        <w:t xml:space="preserve"> </w:t>
      </w:r>
      <w:proofErr w:type="spellStart"/>
      <w:r w:rsidR="00A2574B" w:rsidRPr="00A95C26">
        <w:rPr>
          <w:rFonts w:cs="Times New Roman"/>
        </w:rPr>
        <w:t>bubbles</w:t>
      </w:r>
      <w:proofErr w:type="spellEnd"/>
      <w:r w:rsidR="00A2574B" w:rsidRPr="00A95C26">
        <w:rPr>
          <w:rFonts w:cs="Times New Roman"/>
        </w:rPr>
        <w:t xml:space="preserve">, </w:t>
      </w:r>
      <w:proofErr w:type="spellStart"/>
      <w:r w:rsidR="00A2574B" w:rsidRPr="00A95C26">
        <w:rPr>
          <w:rFonts w:cs="Times New Roman"/>
        </w:rPr>
        <w:t>financial</w:t>
      </w:r>
      <w:proofErr w:type="spellEnd"/>
      <w:r w:rsidR="00A2574B" w:rsidRPr="00A95C26">
        <w:rPr>
          <w:rFonts w:cs="Times New Roman"/>
        </w:rPr>
        <w:t xml:space="preserve"> market, </w:t>
      </w:r>
      <w:proofErr w:type="spellStart"/>
      <w:r w:rsidR="00A2574B" w:rsidRPr="00A95C26">
        <w:rPr>
          <w:rFonts w:cs="Times New Roman"/>
        </w:rPr>
        <w:t>financial</w:t>
      </w:r>
      <w:proofErr w:type="spellEnd"/>
      <w:r w:rsidR="00A2574B" w:rsidRPr="00A95C26">
        <w:rPr>
          <w:rFonts w:cs="Times New Roman"/>
        </w:rPr>
        <w:t xml:space="preserve"> </w:t>
      </w:r>
      <w:proofErr w:type="spellStart"/>
      <w:r w:rsidR="00A2574B" w:rsidRPr="00A95C26">
        <w:rPr>
          <w:rFonts w:cs="Times New Roman"/>
        </w:rPr>
        <w:t>crisis</w:t>
      </w:r>
      <w:proofErr w:type="spellEnd"/>
      <w:r w:rsidR="00A2574B" w:rsidRPr="00A95C26">
        <w:rPr>
          <w:rFonts w:cs="Times New Roman"/>
        </w:rPr>
        <w:t xml:space="preserve">, </w:t>
      </w:r>
      <w:proofErr w:type="spellStart"/>
      <w:r w:rsidR="00A2574B" w:rsidRPr="00A95C26">
        <w:rPr>
          <w:rFonts w:cs="Times New Roman"/>
        </w:rPr>
        <w:t>analysis</w:t>
      </w:r>
      <w:proofErr w:type="spellEnd"/>
      <w:r w:rsidR="00A2574B" w:rsidRPr="00A95C26">
        <w:rPr>
          <w:rFonts w:cs="Times New Roman"/>
        </w:rPr>
        <w:t xml:space="preserve">, </w:t>
      </w:r>
      <w:proofErr w:type="spellStart"/>
      <w:r w:rsidR="00A2574B" w:rsidRPr="00A95C26">
        <w:rPr>
          <w:rFonts w:cs="Times New Roman"/>
        </w:rPr>
        <w:t>speculation</w:t>
      </w:r>
      <w:proofErr w:type="spellEnd"/>
      <w:r w:rsidR="00A2574B" w:rsidRPr="00A95C26">
        <w:rPr>
          <w:rFonts w:cs="Times New Roman"/>
        </w:rPr>
        <w:t xml:space="preserve">, </w:t>
      </w:r>
      <w:proofErr w:type="spellStart"/>
      <w:r w:rsidR="00A2574B" w:rsidRPr="00A95C26">
        <w:rPr>
          <w:rFonts w:cs="Times New Roman"/>
        </w:rPr>
        <w:t>investing</w:t>
      </w:r>
      <w:proofErr w:type="spellEnd"/>
      <w:r w:rsidR="00A2574B" w:rsidRPr="00A95C26">
        <w:rPr>
          <w:rFonts w:cs="Times New Roman"/>
        </w:rPr>
        <w:t xml:space="preserve">, risk, </w:t>
      </w:r>
      <w:proofErr w:type="spellStart"/>
      <w:r w:rsidR="00A2574B" w:rsidRPr="00A95C26">
        <w:rPr>
          <w:rFonts w:cs="Times New Roman"/>
        </w:rPr>
        <w:t>liquidity</w:t>
      </w:r>
      <w:proofErr w:type="spellEnd"/>
      <w:r w:rsidR="00A2574B" w:rsidRPr="00A95C26">
        <w:rPr>
          <w:rFonts w:cs="Times New Roman"/>
        </w:rPr>
        <w:t xml:space="preserve">, </w:t>
      </w:r>
      <w:proofErr w:type="spellStart"/>
      <w:r w:rsidR="00A2574B" w:rsidRPr="00A95C26">
        <w:rPr>
          <w:rFonts w:cs="Times New Roman"/>
        </w:rPr>
        <w:t>stocks</w:t>
      </w:r>
      <w:proofErr w:type="spellEnd"/>
      <w:r w:rsidR="00A2574B" w:rsidRPr="00A95C26">
        <w:rPr>
          <w:rFonts w:cs="Times New Roman"/>
        </w:rPr>
        <w:t xml:space="preserve">, </w:t>
      </w:r>
      <w:proofErr w:type="spellStart"/>
      <w:r w:rsidR="00A2574B" w:rsidRPr="00A95C26">
        <w:rPr>
          <w:rFonts w:cs="Times New Roman"/>
        </w:rPr>
        <w:t>options</w:t>
      </w:r>
      <w:proofErr w:type="spellEnd"/>
      <w:r w:rsidRPr="00A95C26">
        <w:rPr>
          <w:rFonts w:cs="Times New Roman"/>
        </w:rPr>
        <w:t xml:space="preserve"> </w:t>
      </w:r>
    </w:p>
    <w:p w14:paraId="577C69AD" w14:textId="77777777" w:rsidR="007E1CD8" w:rsidRPr="00A95C26" w:rsidRDefault="007E1CD8" w:rsidP="00641F06">
      <w:pPr>
        <w:pStyle w:val="Titulka"/>
        <w:jc w:val="both"/>
        <w:rPr>
          <w:rFonts w:cs="Times New Roman"/>
        </w:rPr>
      </w:pPr>
    </w:p>
    <w:p w14:paraId="5AEF0576" w14:textId="77777777" w:rsidR="007E1CD8" w:rsidRPr="00A95C26" w:rsidRDefault="007E1CD8" w:rsidP="00641F06">
      <w:pPr>
        <w:jc w:val="both"/>
      </w:pPr>
    </w:p>
    <w:p w14:paraId="1EB16420" w14:textId="77777777" w:rsidR="007E1CD8" w:rsidRPr="00A95C26" w:rsidRDefault="007E1CD8" w:rsidP="00641F06">
      <w:pPr>
        <w:jc w:val="both"/>
      </w:pPr>
    </w:p>
    <w:p w14:paraId="165AD474" w14:textId="77777777" w:rsidR="007E1CD8" w:rsidRPr="00A95C26" w:rsidRDefault="007E1CD8" w:rsidP="00641F06">
      <w:pPr>
        <w:spacing w:line="276" w:lineRule="auto"/>
        <w:jc w:val="both"/>
        <w:rPr>
          <w:b/>
          <w:sz w:val="28"/>
          <w:szCs w:val="28"/>
        </w:rPr>
      </w:pPr>
    </w:p>
    <w:p w14:paraId="35951BCA" w14:textId="77777777" w:rsidR="007E1CD8" w:rsidRPr="00A95C26" w:rsidRDefault="007E1CD8" w:rsidP="00641F06">
      <w:pPr>
        <w:spacing w:line="276" w:lineRule="auto"/>
        <w:jc w:val="both"/>
        <w:rPr>
          <w:b/>
          <w:sz w:val="28"/>
          <w:szCs w:val="28"/>
        </w:rPr>
      </w:pPr>
    </w:p>
    <w:p w14:paraId="3457F052" w14:textId="77777777" w:rsidR="007E1CD8" w:rsidRPr="00A95C26" w:rsidRDefault="007E1CD8" w:rsidP="00641F06">
      <w:pPr>
        <w:spacing w:line="276" w:lineRule="auto"/>
        <w:jc w:val="both"/>
        <w:rPr>
          <w:b/>
          <w:sz w:val="28"/>
          <w:szCs w:val="28"/>
        </w:rPr>
      </w:pPr>
    </w:p>
    <w:p w14:paraId="2CAB4EC2" w14:textId="77777777" w:rsidR="007E1CD8" w:rsidRPr="00A95C26" w:rsidRDefault="007E1CD8" w:rsidP="00641F06">
      <w:pPr>
        <w:spacing w:line="276" w:lineRule="auto"/>
        <w:jc w:val="both"/>
        <w:rPr>
          <w:b/>
          <w:sz w:val="28"/>
          <w:szCs w:val="28"/>
        </w:rPr>
      </w:pPr>
    </w:p>
    <w:p w14:paraId="42F94191" w14:textId="77777777" w:rsidR="007E1CD8" w:rsidRPr="00A95C26" w:rsidRDefault="007E1CD8" w:rsidP="00641F06">
      <w:pPr>
        <w:spacing w:line="276" w:lineRule="auto"/>
        <w:jc w:val="both"/>
        <w:rPr>
          <w:b/>
          <w:sz w:val="28"/>
          <w:szCs w:val="28"/>
        </w:rPr>
      </w:pPr>
    </w:p>
    <w:p w14:paraId="5199149A" w14:textId="64E4DD42" w:rsidR="00D64834" w:rsidRPr="00A95C26" w:rsidRDefault="00D64834" w:rsidP="00641F06">
      <w:pPr>
        <w:pStyle w:val="Diplomka"/>
        <w:ind w:firstLine="0"/>
        <w:rPr>
          <w:b/>
          <w:noProof/>
          <w:szCs w:val="22"/>
        </w:rPr>
      </w:pPr>
    </w:p>
    <w:p w14:paraId="3B092397" w14:textId="68A71FEF" w:rsidR="00D64834" w:rsidRPr="00A95C26" w:rsidRDefault="00D64834" w:rsidP="00641F06">
      <w:pPr>
        <w:pStyle w:val="Diplomka"/>
        <w:ind w:firstLine="0"/>
        <w:rPr>
          <w:b/>
          <w:noProof/>
          <w:szCs w:val="22"/>
        </w:rPr>
      </w:pPr>
    </w:p>
    <w:p w14:paraId="6E8109FC" w14:textId="6768F38B" w:rsidR="00D64834" w:rsidRPr="00A95C26" w:rsidRDefault="00D64834" w:rsidP="00641F06">
      <w:pPr>
        <w:pStyle w:val="Diplomka"/>
        <w:ind w:firstLine="0"/>
        <w:rPr>
          <w:b/>
          <w:noProof/>
          <w:szCs w:val="22"/>
        </w:rPr>
      </w:pPr>
    </w:p>
    <w:p w14:paraId="40540405" w14:textId="722B1C90" w:rsidR="00D64834" w:rsidRPr="00A95C26" w:rsidRDefault="00D64834" w:rsidP="00641F06">
      <w:pPr>
        <w:pStyle w:val="Diplomka"/>
        <w:ind w:firstLine="0"/>
        <w:rPr>
          <w:b/>
          <w:noProof/>
          <w:szCs w:val="22"/>
        </w:rPr>
      </w:pPr>
    </w:p>
    <w:p w14:paraId="7AF3BDF7" w14:textId="73CB9E18" w:rsidR="00D64834" w:rsidRPr="00A95C26" w:rsidRDefault="00D64834" w:rsidP="00641F06">
      <w:pPr>
        <w:pStyle w:val="Diplomka"/>
        <w:ind w:firstLine="0"/>
        <w:rPr>
          <w:b/>
          <w:noProof/>
          <w:szCs w:val="22"/>
        </w:rPr>
      </w:pPr>
    </w:p>
    <w:p w14:paraId="657CF82D" w14:textId="0649C120" w:rsidR="00D64834" w:rsidRPr="00A95C26" w:rsidRDefault="00D64834" w:rsidP="00641F06">
      <w:pPr>
        <w:pStyle w:val="Diplomka"/>
        <w:ind w:firstLine="0"/>
        <w:rPr>
          <w:b/>
          <w:noProof/>
          <w:szCs w:val="22"/>
        </w:rPr>
      </w:pPr>
    </w:p>
    <w:p w14:paraId="568295E1" w14:textId="6ABCCDD9" w:rsidR="00D64834" w:rsidRPr="00A95C26" w:rsidRDefault="00D64834" w:rsidP="00641F06">
      <w:pPr>
        <w:pStyle w:val="Diplomka"/>
        <w:ind w:firstLine="0"/>
        <w:rPr>
          <w:b/>
          <w:noProof/>
          <w:szCs w:val="22"/>
        </w:rPr>
      </w:pPr>
    </w:p>
    <w:p w14:paraId="6831FA5C" w14:textId="605E9747" w:rsidR="00D64834" w:rsidRPr="00A95C26" w:rsidRDefault="00D64834" w:rsidP="00641F06">
      <w:pPr>
        <w:pStyle w:val="Diplomka"/>
        <w:ind w:firstLine="0"/>
        <w:rPr>
          <w:b/>
          <w:noProof/>
          <w:szCs w:val="22"/>
        </w:rPr>
      </w:pPr>
    </w:p>
    <w:p w14:paraId="27DE624D" w14:textId="196DDFD8" w:rsidR="00D64834" w:rsidRPr="00A95C26" w:rsidRDefault="00D64834" w:rsidP="00641F06">
      <w:pPr>
        <w:pStyle w:val="Diplomka"/>
        <w:ind w:firstLine="0"/>
        <w:rPr>
          <w:b/>
          <w:noProof/>
          <w:szCs w:val="22"/>
        </w:rPr>
      </w:pPr>
    </w:p>
    <w:p w14:paraId="273119F7" w14:textId="21BDF0EC" w:rsidR="00D64834" w:rsidRPr="00A95C26" w:rsidRDefault="00D64834" w:rsidP="00641F06">
      <w:pPr>
        <w:pStyle w:val="Diplomka"/>
        <w:ind w:firstLine="0"/>
        <w:rPr>
          <w:b/>
          <w:noProof/>
          <w:szCs w:val="22"/>
        </w:rPr>
      </w:pPr>
    </w:p>
    <w:p w14:paraId="0ED05F8F" w14:textId="6AEEB1E9" w:rsidR="00D64834" w:rsidRPr="00A95C26" w:rsidRDefault="00D64834" w:rsidP="00641F06">
      <w:pPr>
        <w:pStyle w:val="Diplomka"/>
        <w:ind w:firstLine="0"/>
        <w:rPr>
          <w:b/>
          <w:noProof/>
          <w:szCs w:val="22"/>
        </w:rPr>
      </w:pPr>
    </w:p>
    <w:p w14:paraId="622C23FD" w14:textId="526D93ED" w:rsidR="00D64834" w:rsidRPr="00A95C26" w:rsidRDefault="00D64834" w:rsidP="00641F06">
      <w:pPr>
        <w:pStyle w:val="Diplomka"/>
        <w:ind w:firstLine="0"/>
        <w:rPr>
          <w:b/>
          <w:noProof/>
          <w:szCs w:val="22"/>
        </w:rPr>
      </w:pPr>
    </w:p>
    <w:sdt>
      <w:sdtPr>
        <w:rPr>
          <w:b w:val="0"/>
          <w:bCs/>
          <w:color w:val="auto"/>
          <w:sz w:val="24"/>
          <w:szCs w:val="24"/>
          <w:lang w:eastAsia="cs-CZ"/>
        </w:rPr>
        <w:id w:val="718092110"/>
        <w:docPartObj>
          <w:docPartGallery w:val="Table of Contents"/>
          <w:docPartUnique/>
        </w:docPartObj>
      </w:sdtPr>
      <w:sdtEndPr/>
      <w:sdtContent>
        <w:p w14:paraId="0B499997" w14:textId="67E348A3" w:rsidR="00EA17C1" w:rsidRPr="006068C6" w:rsidRDefault="00EA17C1" w:rsidP="00EA17C1">
          <w:pPr>
            <w:pStyle w:val="Nadpisobsahu"/>
            <w:rPr>
              <w:b w:val="0"/>
              <w:bCs/>
            </w:rPr>
          </w:pPr>
          <w:r w:rsidRPr="006068C6">
            <w:rPr>
              <w:b w:val="0"/>
              <w:bCs/>
            </w:rPr>
            <w:t>Obsah</w:t>
          </w:r>
        </w:p>
        <w:p w14:paraId="1A4A3E50" w14:textId="7AAED1AD" w:rsidR="006068C6" w:rsidRPr="006068C6" w:rsidRDefault="00EA17C1">
          <w:pPr>
            <w:pStyle w:val="Obsah1"/>
            <w:tabs>
              <w:tab w:val="right" w:leader="dot" w:pos="9061"/>
            </w:tabs>
            <w:rPr>
              <w:rFonts w:eastAsiaTheme="minorEastAsia" w:cstheme="minorBidi"/>
              <w:b w:val="0"/>
              <w:i w:val="0"/>
              <w:iCs w:val="0"/>
              <w:noProof/>
              <w:sz w:val="22"/>
              <w:szCs w:val="22"/>
            </w:rPr>
          </w:pPr>
          <w:r w:rsidRPr="006068C6">
            <w:rPr>
              <w:b w:val="0"/>
            </w:rPr>
            <w:fldChar w:fldCharType="begin"/>
          </w:r>
          <w:r w:rsidRPr="006068C6">
            <w:rPr>
              <w:b w:val="0"/>
            </w:rPr>
            <w:instrText xml:space="preserve"> TOC \o "1-3" \h \z \u </w:instrText>
          </w:r>
          <w:r w:rsidRPr="006068C6">
            <w:rPr>
              <w:b w:val="0"/>
            </w:rPr>
            <w:fldChar w:fldCharType="separate"/>
          </w:r>
          <w:hyperlink w:anchor="_Toc99659298" w:history="1">
            <w:r w:rsidR="006068C6" w:rsidRPr="006068C6">
              <w:rPr>
                <w:rStyle w:val="Hypertextovodkaz"/>
                <w:b w:val="0"/>
                <w:noProof/>
              </w:rPr>
              <w:t>1 Úvod</w:t>
            </w:r>
            <w:r w:rsidR="006068C6" w:rsidRPr="006068C6">
              <w:rPr>
                <w:b w:val="0"/>
                <w:noProof/>
                <w:webHidden/>
              </w:rPr>
              <w:tab/>
            </w:r>
            <w:r w:rsidR="006068C6" w:rsidRPr="006068C6">
              <w:rPr>
                <w:b w:val="0"/>
                <w:noProof/>
                <w:webHidden/>
              </w:rPr>
              <w:fldChar w:fldCharType="begin"/>
            </w:r>
            <w:r w:rsidR="006068C6" w:rsidRPr="006068C6">
              <w:rPr>
                <w:b w:val="0"/>
                <w:noProof/>
                <w:webHidden/>
              </w:rPr>
              <w:instrText xml:space="preserve"> PAGEREF _Toc99659298 \h </w:instrText>
            </w:r>
            <w:r w:rsidR="006068C6" w:rsidRPr="006068C6">
              <w:rPr>
                <w:b w:val="0"/>
                <w:noProof/>
                <w:webHidden/>
              </w:rPr>
            </w:r>
            <w:r w:rsidR="006068C6" w:rsidRPr="006068C6">
              <w:rPr>
                <w:b w:val="0"/>
                <w:noProof/>
                <w:webHidden/>
              </w:rPr>
              <w:fldChar w:fldCharType="separate"/>
            </w:r>
            <w:r w:rsidR="006068C6" w:rsidRPr="006068C6">
              <w:rPr>
                <w:b w:val="0"/>
                <w:noProof/>
                <w:webHidden/>
              </w:rPr>
              <w:t>9</w:t>
            </w:r>
            <w:r w:rsidR="006068C6" w:rsidRPr="006068C6">
              <w:rPr>
                <w:b w:val="0"/>
                <w:noProof/>
                <w:webHidden/>
              </w:rPr>
              <w:fldChar w:fldCharType="end"/>
            </w:r>
          </w:hyperlink>
        </w:p>
        <w:p w14:paraId="2D453DCF" w14:textId="603D7D4B"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299" w:history="1">
            <w:r w:rsidRPr="006068C6">
              <w:rPr>
                <w:rStyle w:val="Hypertextovodkaz"/>
                <w:b w:val="0"/>
                <w:noProof/>
              </w:rPr>
              <w:t>2 Cíl práce a metodika</w:t>
            </w:r>
            <w:r w:rsidRPr="006068C6">
              <w:rPr>
                <w:b w:val="0"/>
                <w:noProof/>
                <w:webHidden/>
              </w:rPr>
              <w:tab/>
            </w:r>
            <w:r w:rsidRPr="006068C6">
              <w:rPr>
                <w:b w:val="0"/>
                <w:noProof/>
                <w:webHidden/>
              </w:rPr>
              <w:fldChar w:fldCharType="begin"/>
            </w:r>
            <w:r w:rsidRPr="006068C6">
              <w:rPr>
                <w:b w:val="0"/>
                <w:noProof/>
                <w:webHidden/>
              </w:rPr>
              <w:instrText xml:space="preserve"> PAGEREF _Toc99659299 \h </w:instrText>
            </w:r>
            <w:r w:rsidRPr="006068C6">
              <w:rPr>
                <w:b w:val="0"/>
                <w:noProof/>
                <w:webHidden/>
              </w:rPr>
            </w:r>
            <w:r w:rsidRPr="006068C6">
              <w:rPr>
                <w:b w:val="0"/>
                <w:noProof/>
                <w:webHidden/>
              </w:rPr>
              <w:fldChar w:fldCharType="separate"/>
            </w:r>
            <w:r w:rsidRPr="006068C6">
              <w:rPr>
                <w:b w:val="0"/>
                <w:noProof/>
                <w:webHidden/>
              </w:rPr>
              <w:t>10</w:t>
            </w:r>
            <w:r w:rsidRPr="006068C6">
              <w:rPr>
                <w:b w:val="0"/>
                <w:noProof/>
                <w:webHidden/>
              </w:rPr>
              <w:fldChar w:fldCharType="end"/>
            </w:r>
          </w:hyperlink>
        </w:p>
        <w:p w14:paraId="5460F142" w14:textId="4A9AB7E7" w:rsidR="006068C6" w:rsidRPr="006068C6" w:rsidRDefault="006068C6">
          <w:pPr>
            <w:pStyle w:val="Obsah2"/>
            <w:tabs>
              <w:tab w:val="right" w:leader="dot" w:pos="9061"/>
            </w:tabs>
            <w:rPr>
              <w:rFonts w:eastAsiaTheme="minorEastAsia" w:cstheme="minorBidi"/>
              <w:b w:val="0"/>
              <w:noProof/>
            </w:rPr>
          </w:pPr>
          <w:hyperlink w:anchor="_Toc99659300" w:history="1">
            <w:r w:rsidRPr="006068C6">
              <w:rPr>
                <w:rStyle w:val="Hypertextovodkaz"/>
                <w:b w:val="0"/>
                <w:noProof/>
              </w:rPr>
              <w:t>2.1 Cíl práce</w:t>
            </w:r>
            <w:r w:rsidRPr="006068C6">
              <w:rPr>
                <w:b w:val="0"/>
                <w:noProof/>
                <w:webHidden/>
              </w:rPr>
              <w:tab/>
            </w:r>
            <w:r w:rsidRPr="006068C6">
              <w:rPr>
                <w:b w:val="0"/>
                <w:noProof/>
                <w:webHidden/>
              </w:rPr>
              <w:fldChar w:fldCharType="begin"/>
            </w:r>
            <w:r w:rsidRPr="006068C6">
              <w:rPr>
                <w:b w:val="0"/>
                <w:noProof/>
                <w:webHidden/>
              </w:rPr>
              <w:instrText xml:space="preserve"> PAGEREF _Toc99659300 \h </w:instrText>
            </w:r>
            <w:r w:rsidRPr="006068C6">
              <w:rPr>
                <w:b w:val="0"/>
                <w:noProof/>
                <w:webHidden/>
              </w:rPr>
            </w:r>
            <w:r w:rsidRPr="006068C6">
              <w:rPr>
                <w:b w:val="0"/>
                <w:noProof/>
                <w:webHidden/>
              </w:rPr>
              <w:fldChar w:fldCharType="separate"/>
            </w:r>
            <w:r w:rsidRPr="006068C6">
              <w:rPr>
                <w:b w:val="0"/>
                <w:noProof/>
                <w:webHidden/>
              </w:rPr>
              <w:t>10</w:t>
            </w:r>
            <w:r w:rsidRPr="006068C6">
              <w:rPr>
                <w:b w:val="0"/>
                <w:noProof/>
                <w:webHidden/>
              </w:rPr>
              <w:fldChar w:fldCharType="end"/>
            </w:r>
          </w:hyperlink>
        </w:p>
        <w:p w14:paraId="2614609F" w14:textId="494D8D93" w:rsidR="006068C6" w:rsidRPr="006068C6" w:rsidRDefault="006068C6">
          <w:pPr>
            <w:pStyle w:val="Obsah2"/>
            <w:tabs>
              <w:tab w:val="right" w:leader="dot" w:pos="9061"/>
            </w:tabs>
            <w:rPr>
              <w:rFonts w:eastAsiaTheme="minorEastAsia" w:cstheme="minorBidi"/>
              <w:b w:val="0"/>
              <w:noProof/>
            </w:rPr>
          </w:pPr>
          <w:hyperlink w:anchor="_Toc99659301" w:history="1">
            <w:r w:rsidRPr="006068C6">
              <w:rPr>
                <w:rStyle w:val="Hypertextovodkaz"/>
                <w:b w:val="0"/>
                <w:noProof/>
              </w:rPr>
              <w:t>2.2 Metodika</w:t>
            </w:r>
            <w:r w:rsidRPr="006068C6">
              <w:rPr>
                <w:b w:val="0"/>
                <w:noProof/>
                <w:webHidden/>
              </w:rPr>
              <w:tab/>
            </w:r>
            <w:r w:rsidRPr="006068C6">
              <w:rPr>
                <w:b w:val="0"/>
                <w:noProof/>
                <w:webHidden/>
              </w:rPr>
              <w:fldChar w:fldCharType="begin"/>
            </w:r>
            <w:r w:rsidRPr="006068C6">
              <w:rPr>
                <w:b w:val="0"/>
                <w:noProof/>
                <w:webHidden/>
              </w:rPr>
              <w:instrText xml:space="preserve"> PAGEREF _Toc99659301 \h </w:instrText>
            </w:r>
            <w:r w:rsidRPr="006068C6">
              <w:rPr>
                <w:b w:val="0"/>
                <w:noProof/>
                <w:webHidden/>
              </w:rPr>
            </w:r>
            <w:r w:rsidRPr="006068C6">
              <w:rPr>
                <w:b w:val="0"/>
                <w:noProof/>
                <w:webHidden/>
              </w:rPr>
              <w:fldChar w:fldCharType="separate"/>
            </w:r>
            <w:r w:rsidRPr="006068C6">
              <w:rPr>
                <w:b w:val="0"/>
                <w:noProof/>
                <w:webHidden/>
              </w:rPr>
              <w:t>10</w:t>
            </w:r>
            <w:r w:rsidRPr="006068C6">
              <w:rPr>
                <w:b w:val="0"/>
                <w:noProof/>
                <w:webHidden/>
              </w:rPr>
              <w:fldChar w:fldCharType="end"/>
            </w:r>
          </w:hyperlink>
        </w:p>
        <w:p w14:paraId="76CB7FF6" w14:textId="0F95B14F"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302" w:history="1">
            <w:r w:rsidRPr="006068C6">
              <w:rPr>
                <w:rStyle w:val="Hypertextovodkaz"/>
                <w:b w:val="0"/>
                <w:noProof/>
              </w:rPr>
              <w:t>3 Teoretická východiska</w:t>
            </w:r>
            <w:r w:rsidRPr="006068C6">
              <w:rPr>
                <w:b w:val="0"/>
                <w:noProof/>
                <w:webHidden/>
              </w:rPr>
              <w:tab/>
            </w:r>
            <w:r w:rsidRPr="006068C6">
              <w:rPr>
                <w:b w:val="0"/>
                <w:noProof/>
                <w:webHidden/>
              </w:rPr>
              <w:fldChar w:fldCharType="begin"/>
            </w:r>
            <w:r w:rsidRPr="006068C6">
              <w:rPr>
                <w:b w:val="0"/>
                <w:noProof/>
                <w:webHidden/>
              </w:rPr>
              <w:instrText xml:space="preserve"> PAGEREF _Toc99659302 \h </w:instrText>
            </w:r>
            <w:r w:rsidRPr="006068C6">
              <w:rPr>
                <w:b w:val="0"/>
                <w:noProof/>
                <w:webHidden/>
              </w:rPr>
            </w:r>
            <w:r w:rsidRPr="006068C6">
              <w:rPr>
                <w:b w:val="0"/>
                <w:noProof/>
                <w:webHidden/>
              </w:rPr>
              <w:fldChar w:fldCharType="separate"/>
            </w:r>
            <w:r w:rsidRPr="006068C6">
              <w:rPr>
                <w:b w:val="0"/>
                <w:noProof/>
                <w:webHidden/>
              </w:rPr>
              <w:t>11</w:t>
            </w:r>
            <w:r w:rsidRPr="006068C6">
              <w:rPr>
                <w:b w:val="0"/>
                <w:noProof/>
                <w:webHidden/>
              </w:rPr>
              <w:fldChar w:fldCharType="end"/>
            </w:r>
          </w:hyperlink>
        </w:p>
        <w:p w14:paraId="77F8F627" w14:textId="26EF9BB3" w:rsidR="006068C6" w:rsidRPr="006068C6" w:rsidRDefault="006068C6">
          <w:pPr>
            <w:pStyle w:val="Obsah2"/>
            <w:tabs>
              <w:tab w:val="right" w:leader="dot" w:pos="9061"/>
            </w:tabs>
            <w:rPr>
              <w:rFonts w:eastAsiaTheme="minorEastAsia" w:cstheme="minorBidi"/>
              <w:b w:val="0"/>
              <w:noProof/>
            </w:rPr>
          </w:pPr>
          <w:hyperlink w:anchor="_Toc99659303" w:history="1">
            <w:r w:rsidRPr="006068C6">
              <w:rPr>
                <w:rStyle w:val="Hypertextovodkaz"/>
                <w:b w:val="0"/>
                <w:noProof/>
              </w:rPr>
              <w:t>3.1 Finanční krize – základní pojmy</w:t>
            </w:r>
            <w:r w:rsidRPr="006068C6">
              <w:rPr>
                <w:b w:val="0"/>
                <w:noProof/>
                <w:webHidden/>
              </w:rPr>
              <w:tab/>
            </w:r>
            <w:r w:rsidRPr="006068C6">
              <w:rPr>
                <w:b w:val="0"/>
                <w:noProof/>
                <w:webHidden/>
              </w:rPr>
              <w:fldChar w:fldCharType="begin"/>
            </w:r>
            <w:r w:rsidRPr="006068C6">
              <w:rPr>
                <w:b w:val="0"/>
                <w:noProof/>
                <w:webHidden/>
              </w:rPr>
              <w:instrText xml:space="preserve"> PAGEREF _Toc99659303 \h </w:instrText>
            </w:r>
            <w:r w:rsidRPr="006068C6">
              <w:rPr>
                <w:b w:val="0"/>
                <w:noProof/>
                <w:webHidden/>
              </w:rPr>
            </w:r>
            <w:r w:rsidRPr="006068C6">
              <w:rPr>
                <w:b w:val="0"/>
                <w:noProof/>
                <w:webHidden/>
              </w:rPr>
              <w:fldChar w:fldCharType="separate"/>
            </w:r>
            <w:r w:rsidRPr="006068C6">
              <w:rPr>
                <w:b w:val="0"/>
                <w:noProof/>
                <w:webHidden/>
              </w:rPr>
              <w:t>11</w:t>
            </w:r>
            <w:r w:rsidRPr="006068C6">
              <w:rPr>
                <w:b w:val="0"/>
                <w:noProof/>
                <w:webHidden/>
              </w:rPr>
              <w:fldChar w:fldCharType="end"/>
            </w:r>
          </w:hyperlink>
        </w:p>
        <w:p w14:paraId="250824B0" w14:textId="06B15135" w:rsidR="006068C6" w:rsidRPr="006068C6" w:rsidRDefault="006068C6">
          <w:pPr>
            <w:pStyle w:val="Obsah2"/>
            <w:tabs>
              <w:tab w:val="right" w:leader="dot" w:pos="9061"/>
            </w:tabs>
            <w:rPr>
              <w:rFonts w:eastAsiaTheme="minorEastAsia" w:cstheme="minorBidi"/>
              <w:b w:val="0"/>
              <w:noProof/>
            </w:rPr>
          </w:pPr>
          <w:hyperlink w:anchor="_Toc99659304" w:history="1">
            <w:r w:rsidRPr="006068C6">
              <w:rPr>
                <w:rStyle w:val="Hypertextovodkaz"/>
                <w:b w:val="0"/>
                <w:noProof/>
              </w:rPr>
              <w:t>3.2 Historický pohled na finanční krizi</w:t>
            </w:r>
            <w:r w:rsidRPr="006068C6">
              <w:rPr>
                <w:b w:val="0"/>
                <w:noProof/>
                <w:webHidden/>
              </w:rPr>
              <w:tab/>
            </w:r>
            <w:r w:rsidRPr="006068C6">
              <w:rPr>
                <w:b w:val="0"/>
                <w:noProof/>
                <w:webHidden/>
              </w:rPr>
              <w:fldChar w:fldCharType="begin"/>
            </w:r>
            <w:r w:rsidRPr="006068C6">
              <w:rPr>
                <w:b w:val="0"/>
                <w:noProof/>
                <w:webHidden/>
              </w:rPr>
              <w:instrText xml:space="preserve"> PAGEREF _Toc99659304 \h </w:instrText>
            </w:r>
            <w:r w:rsidRPr="006068C6">
              <w:rPr>
                <w:b w:val="0"/>
                <w:noProof/>
                <w:webHidden/>
              </w:rPr>
            </w:r>
            <w:r w:rsidRPr="006068C6">
              <w:rPr>
                <w:b w:val="0"/>
                <w:noProof/>
                <w:webHidden/>
              </w:rPr>
              <w:fldChar w:fldCharType="separate"/>
            </w:r>
            <w:r w:rsidRPr="006068C6">
              <w:rPr>
                <w:b w:val="0"/>
                <w:noProof/>
                <w:webHidden/>
              </w:rPr>
              <w:t>14</w:t>
            </w:r>
            <w:r w:rsidRPr="006068C6">
              <w:rPr>
                <w:b w:val="0"/>
                <w:noProof/>
                <w:webHidden/>
              </w:rPr>
              <w:fldChar w:fldCharType="end"/>
            </w:r>
          </w:hyperlink>
        </w:p>
        <w:p w14:paraId="44744AC8" w14:textId="26BF1195" w:rsidR="006068C6" w:rsidRPr="006068C6" w:rsidRDefault="006068C6">
          <w:pPr>
            <w:pStyle w:val="Obsah2"/>
            <w:tabs>
              <w:tab w:val="right" w:leader="dot" w:pos="9061"/>
            </w:tabs>
            <w:rPr>
              <w:rFonts w:eastAsiaTheme="minorEastAsia" w:cstheme="minorBidi"/>
              <w:b w:val="0"/>
              <w:noProof/>
            </w:rPr>
          </w:pPr>
          <w:hyperlink w:anchor="_Toc99659305" w:history="1">
            <w:r w:rsidRPr="006068C6">
              <w:rPr>
                <w:rStyle w:val="Hypertextovodkaz"/>
                <w:b w:val="0"/>
                <w:noProof/>
              </w:rPr>
              <w:t>3.3 Příčiny finanční krize 2008</w:t>
            </w:r>
            <w:r w:rsidRPr="006068C6">
              <w:rPr>
                <w:b w:val="0"/>
                <w:noProof/>
                <w:webHidden/>
              </w:rPr>
              <w:tab/>
            </w:r>
            <w:r w:rsidRPr="006068C6">
              <w:rPr>
                <w:b w:val="0"/>
                <w:noProof/>
                <w:webHidden/>
              </w:rPr>
              <w:fldChar w:fldCharType="begin"/>
            </w:r>
            <w:r w:rsidRPr="006068C6">
              <w:rPr>
                <w:b w:val="0"/>
                <w:noProof/>
                <w:webHidden/>
              </w:rPr>
              <w:instrText xml:space="preserve"> PAGEREF _Toc99659305 \h </w:instrText>
            </w:r>
            <w:r w:rsidRPr="006068C6">
              <w:rPr>
                <w:b w:val="0"/>
                <w:noProof/>
                <w:webHidden/>
              </w:rPr>
            </w:r>
            <w:r w:rsidRPr="006068C6">
              <w:rPr>
                <w:b w:val="0"/>
                <w:noProof/>
                <w:webHidden/>
              </w:rPr>
              <w:fldChar w:fldCharType="separate"/>
            </w:r>
            <w:r w:rsidRPr="006068C6">
              <w:rPr>
                <w:b w:val="0"/>
                <w:noProof/>
                <w:webHidden/>
              </w:rPr>
              <w:t>16</w:t>
            </w:r>
            <w:r w:rsidRPr="006068C6">
              <w:rPr>
                <w:b w:val="0"/>
                <w:noProof/>
                <w:webHidden/>
              </w:rPr>
              <w:fldChar w:fldCharType="end"/>
            </w:r>
          </w:hyperlink>
        </w:p>
        <w:p w14:paraId="3C65A223" w14:textId="6A0ECFE9" w:rsidR="006068C6" w:rsidRPr="006068C6" w:rsidRDefault="006068C6">
          <w:pPr>
            <w:pStyle w:val="Obsah2"/>
            <w:tabs>
              <w:tab w:val="right" w:leader="dot" w:pos="9061"/>
            </w:tabs>
            <w:rPr>
              <w:rFonts w:eastAsiaTheme="minorEastAsia" w:cstheme="minorBidi"/>
              <w:b w:val="0"/>
              <w:noProof/>
            </w:rPr>
          </w:pPr>
          <w:hyperlink w:anchor="_Toc99659306" w:history="1">
            <w:r w:rsidRPr="006068C6">
              <w:rPr>
                <w:rStyle w:val="Hypertextovodkaz"/>
                <w:b w:val="0"/>
                <w:noProof/>
              </w:rPr>
              <w:t>3.4 Dopady finanční krize 2008 na světovou ekonomiku</w:t>
            </w:r>
            <w:r w:rsidRPr="006068C6">
              <w:rPr>
                <w:b w:val="0"/>
                <w:noProof/>
                <w:webHidden/>
              </w:rPr>
              <w:tab/>
            </w:r>
            <w:r w:rsidRPr="006068C6">
              <w:rPr>
                <w:b w:val="0"/>
                <w:noProof/>
                <w:webHidden/>
              </w:rPr>
              <w:fldChar w:fldCharType="begin"/>
            </w:r>
            <w:r w:rsidRPr="006068C6">
              <w:rPr>
                <w:b w:val="0"/>
                <w:noProof/>
                <w:webHidden/>
              </w:rPr>
              <w:instrText xml:space="preserve"> PAGEREF _Toc99659306 \h </w:instrText>
            </w:r>
            <w:r w:rsidRPr="006068C6">
              <w:rPr>
                <w:b w:val="0"/>
                <w:noProof/>
                <w:webHidden/>
              </w:rPr>
            </w:r>
            <w:r w:rsidRPr="006068C6">
              <w:rPr>
                <w:b w:val="0"/>
                <w:noProof/>
                <w:webHidden/>
              </w:rPr>
              <w:fldChar w:fldCharType="separate"/>
            </w:r>
            <w:r w:rsidRPr="006068C6">
              <w:rPr>
                <w:b w:val="0"/>
                <w:noProof/>
                <w:webHidden/>
              </w:rPr>
              <w:t>20</w:t>
            </w:r>
            <w:r w:rsidRPr="006068C6">
              <w:rPr>
                <w:b w:val="0"/>
                <w:noProof/>
                <w:webHidden/>
              </w:rPr>
              <w:fldChar w:fldCharType="end"/>
            </w:r>
          </w:hyperlink>
        </w:p>
        <w:p w14:paraId="2209FD7F" w14:textId="3D6E709B" w:rsidR="006068C6" w:rsidRPr="006068C6" w:rsidRDefault="006068C6">
          <w:pPr>
            <w:pStyle w:val="Obsah2"/>
            <w:tabs>
              <w:tab w:val="right" w:leader="dot" w:pos="9061"/>
            </w:tabs>
            <w:rPr>
              <w:rFonts w:eastAsiaTheme="minorEastAsia" w:cstheme="minorBidi"/>
              <w:b w:val="0"/>
              <w:noProof/>
            </w:rPr>
          </w:pPr>
          <w:hyperlink w:anchor="_Toc99659307" w:history="1">
            <w:r w:rsidRPr="006068C6">
              <w:rPr>
                <w:rStyle w:val="Hypertextovodkaz"/>
                <w:b w:val="0"/>
                <w:noProof/>
              </w:rPr>
              <w:t>3.5 Finanční trh</w:t>
            </w:r>
            <w:r w:rsidRPr="006068C6">
              <w:rPr>
                <w:b w:val="0"/>
                <w:noProof/>
                <w:webHidden/>
              </w:rPr>
              <w:tab/>
            </w:r>
            <w:r w:rsidRPr="006068C6">
              <w:rPr>
                <w:b w:val="0"/>
                <w:noProof/>
                <w:webHidden/>
              </w:rPr>
              <w:fldChar w:fldCharType="begin"/>
            </w:r>
            <w:r w:rsidRPr="006068C6">
              <w:rPr>
                <w:b w:val="0"/>
                <w:noProof/>
                <w:webHidden/>
              </w:rPr>
              <w:instrText xml:space="preserve"> PAGEREF _Toc99659307 \h </w:instrText>
            </w:r>
            <w:r w:rsidRPr="006068C6">
              <w:rPr>
                <w:b w:val="0"/>
                <w:noProof/>
                <w:webHidden/>
              </w:rPr>
            </w:r>
            <w:r w:rsidRPr="006068C6">
              <w:rPr>
                <w:b w:val="0"/>
                <w:noProof/>
                <w:webHidden/>
              </w:rPr>
              <w:fldChar w:fldCharType="separate"/>
            </w:r>
            <w:r w:rsidRPr="006068C6">
              <w:rPr>
                <w:b w:val="0"/>
                <w:noProof/>
                <w:webHidden/>
              </w:rPr>
              <w:t>24</w:t>
            </w:r>
            <w:r w:rsidRPr="006068C6">
              <w:rPr>
                <w:b w:val="0"/>
                <w:noProof/>
                <w:webHidden/>
              </w:rPr>
              <w:fldChar w:fldCharType="end"/>
            </w:r>
          </w:hyperlink>
        </w:p>
        <w:p w14:paraId="744EB060" w14:textId="50463064" w:rsidR="006068C6" w:rsidRPr="006068C6" w:rsidRDefault="006068C6">
          <w:pPr>
            <w:pStyle w:val="Obsah2"/>
            <w:tabs>
              <w:tab w:val="right" w:leader="dot" w:pos="9061"/>
            </w:tabs>
            <w:rPr>
              <w:rFonts w:eastAsiaTheme="minorEastAsia" w:cstheme="minorBidi"/>
              <w:b w:val="0"/>
              <w:noProof/>
            </w:rPr>
          </w:pPr>
          <w:hyperlink w:anchor="_Toc99659308" w:history="1">
            <w:r w:rsidRPr="006068C6">
              <w:rPr>
                <w:rStyle w:val="Hypertextovodkaz"/>
                <w:b w:val="0"/>
                <w:noProof/>
              </w:rPr>
              <w:t>3.6 Vznik finanční bubliny</w:t>
            </w:r>
            <w:r w:rsidRPr="006068C6">
              <w:rPr>
                <w:b w:val="0"/>
                <w:noProof/>
                <w:webHidden/>
              </w:rPr>
              <w:tab/>
            </w:r>
            <w:r w:rsidRPr="006068C6">
              <w:rPr>
                <w:b w:val="0"/>
                <w:noProof/>
                <w:webHidden/>
              </w:rPr>
              <w:fldChar w:fldCharType="begin"/>
            </w:r>
            <w:r w:rsidRPr="006068C6">
              <w:rPr>
                <w:b w:val="0"/>
                <w:noProof/>
                <w:webHidden/>
              </w:rPr>
              <w:instrText xml:space="preserve"> PAGEREF _Toc99659308 \h </w:instrText>
            </w:r>
            <w:r w:rsidRPr="006068C6">
              <w:rPr>
                <w:b w:val="0"/>
                <w:noProof/>
                <w:webHidden/>
              </w:rPr>
            </w:r>
            <w:r w:rsidRPr="006068C6">
              <w:rPr>
                <w:b w:val="0"/>
                <w:noProof/>
                <w:webHidden/>
              </w:rPr>
              <w:fldChar w:fldCharType="separate"/>
            </w:r>
            <w:r w:rsidRPr="006068C6">
              <w:rPr>
                <w:b w:val="0"/>
                <w:noProof/>
                <w:webHidden/>
              </w:rPr>
              <w:t>27</w:t>
            </w:r>
            <w:r w:rsidRPr="006068C6">
              <w:rPr>
                <w:b w:val="0"/>
                <w:noProof/>
                <w:webHidden/>
              </w:rPr>
              <w:fldChar w:fldCharType="end"/>
            </w:r>
          </w:hyperlink>
        </w:p>
        <w:p w14:paraId="09D13868" w14:textId="6FB8D915" w:rsidR="006068C6" w:rsidRPr="006068C6" w:rsidRDefault="006068C6">
          <w:pPr>
            <w:pStyle w:val="Obsah2"/>
            <w:tabs>
              <w:tab w:val="right" w:leader="dot" w:pos="9061"/>
            </w:tabs>
            <w:rPr>
              <w:rFonts w:eastAsiaTheme="minorEastAsia" w:cstheme="minorBidi"/>
              <w:b w:val="0"/>
              <w:noProof/>
            </w:rPr>
          </w:pPr>
          <w:hyperlink w:anchor="_Toc99659309" w:history="1">
            <w:r w:rsidRPr="006068C6">
              <w:rPr>
                <w:rStyle w:val="Hypertextovodkaz"/>
                <w:b w:val="0"/>
                <w:noProof/>
              </w:rPr>
              <w:t>3.7 Historie vzniku bublin</w:t>
            </w:r>
            <w:r w:rsidRPr="006068C6">
              <w:rPr>
                <w:b w:val="0"/>
                <w:noProof/>
                <w:webHidden/>
              </w:rPr>
              <w:tab/>
            </w:r>
            <w:r w:rsidRPr="006068C6">
              <w:rPr>
                <w:b w:val="0"/>
                <w:noProof/>
                <w:webHidden/>
              </w:rPr>
              <w:fldChar w:fldCharType="begin"/>
            </w:r>
            <w:r w:rsidRPr="006068C6">
              <w:rPr>
                <w:b w:val="0"/>
                <w:noProof/>
                <w:webHidden/>
              </w:rPr>
              <w:instrText xml:space="preserve"> PAGEREF _Toc99659309 \h </w:instrText>
            </w:r>
            <w:r w:rsidRPr="006068C6">
              <w:rPr>
                <w:b w:val="0"/>
                <w:noProof/>
                <w:webHidden/>
              </w:rPr>
            </w:r>
            <w:r w:rsidRPr="006068C6">
              <w:rPr>
                <w:b w:val="0"/>
                <w:noProof/>
                <w:webHidden/>
              </w:rPr>
              <w:fldChar w:fldCharType="separate"/>
            </w:r>
            <w:r w:rsidRPr="006068C6">
              <w:rPr>
                <w:b w:val="0"/>
                <w:noProof/>
                <w:webHidden/>
              </w:rPr>
              <w:t>29</w:t>
            </w:r>
            <w:r w:rsidRPr="006068C6">
              <w:rPr>
                <w:b w:val="0"/>
                <w:noProof/>
                <w:webHidden/>
              </w:rPr>
              <w:fldChar w:fldCharType="end"/>
            </w:r>
          </w:hyperlink>
        </w:p>
        <w:p w14:paraId="3A6DA60E" w14:textId="3E47204B" w:rsidR="006068C6" w:rsidRPr="006068C6" w:rsidRDefault="006068C6">
          <w:pPr>
            <w:pStyle w:val="Obsah2"/>
            <w:tabs>
              <w:tab w:val="right" w:leader="dot" w:pos="9061"/>
            </w:tabs>
            <w:rPr>
              <w:rFonts w:eastAsiaTheme="minorEastAsia" w:cstheme="minorBidi"/>
              <w:b w:val="0"/>
              <w:noProof/>
            </w:rPr>
          </w:pPr>
          <w:hyperlink w:anchor="_Toc99659310" w:history="1">
            <w:r w:rsidRPr="006068C6">
              <w:rPr>
                <w:rStyle w:val="Hypertextovodkaz"/>
                <w:b w:val="0"/>
                <w:noProof/>
              </w:rPr>
              <w:t>3.8 Historické bubliny</w:t>
            </w:r>
            <w:r w:rsidRPr="006068C6">
              <w:rPr>
                <w:b w:val="0"/>
                <w:noProof/>
                <w:webHidden/>
              </w:rPr>
              <w:tab/>
            </w:r>
            <w:r w:rsidRPr="006068C6">
              <w:rPr>
                <w:b w:val="0"/>
                <w:noProof/>
                <w:webHidden/>
              </w:rPr>
              <w:fldChar w:fldCharType="begin"/>
            </w:r>
            <w:r w:rsidRPr="006068C6">
              <w:rPr>
                <w:b w:val="0"/>
                <w:noProof/>
                <w:webHidden/>
              </w:rPr>
              <w:instrText xml:space="preserve"> PAGEREF _Toc99659310 \h </w:instrText>
            </w:r>
            <w:r w:rsidRPr="006068C6">
              <w:rPr>
                <w:b w:val="0"/>
                <w:noProof/>
                <w:webHidden/>
              </w:rPr>
            </w:r>
            <w:r w:rsidRPr="006068C6">
              <w:rPr>
                <w:b w:val="0"/>
                <w:noProof/>
                <w:webHidden/>
              </w:rPr>
              <w:fldChar w:fldCharType="separate"/>
            </w:r>
            <w:r w:rsidRPr="006068C6">
              <w:rPr>
                <w:b w:val="0"/>
                <w:noProof/>
                <w:webHidden/>
              </w:rPr>
              <w:t>30</w:t>
            </w:r>
            <w:r w:rsidRPr="006068C6">
              <w:rPr>
                <w:b w:val="0"/>
                <w:noProof/>
                <w:webHidden/>
              </w:rPr>
              <w:fldChar w:fldCharType="end"/>
            </w:r>
          </w:hyperlink>
        </w:p>
        <w:p w14:paraId="1B882A60" w14:textId="5C5AE6B5" w:rsidR="006068C6" w:rsidRPr="006068C6" w:rsidRDefault="006068C6">
          <w:pPr>
            <w:pStyle w:val="Obsah2"/>
            <w:tabs>
              <w:tab w:val="right" w:leader="dot" w:pos="9061"/>
            </w:tabs>
            <w:rPr>
              <w:rFonts w:eastAsiaTheme="minorEastAsia" w:cstheme="minorBidi"/>
              <w:b w:val="0"/>
              <w:noProof/>
            </w:rPr>
          </w:pPr>
          <w:hyperlink w:anchor="_Toc99659311" w:history="1">
            <w:r w:rsidRPr="006068C6">
              <w:rPr>
                <w:rStyle w:val="Hypertextovodkaz"/>
                <w:b w:val="0"/>
                <w:noProof/>
              </w:rPr>
              <w:t>3.9 Mravenčí model</w:t>
            </w:r>
            <w:r w:rsidRPr="006068C6">
              <w:rPr>
                <w:b w:val="0"/>
                <w:noProof/>
                <w:webHidden/>
              </w:rPr>
              <w:tab/>
            </w:r>
            <w:r w:rsidRPr="006068C6">
              <w:rPr>
                <w:b w:val="0"/>
                <w:noProof/>
                <w:webHidden/>
              </w:rPr>
              <w:fldChar w:fldCharType="begin"/>
            </w:r>
            <w:r w:rsidRPr="006068C6">
              <w:rPr>
                <w:b w:val="0"/>
                <w:noProof/>
                <w:webHidden/>
              </w:rPr>
              <w:instrText xml:space="preserve"> PAGEREF _Toc99659311 \h </w:instrText>
            </w:r>
            <w:r w:rsidRPr="006068C6">
              <w:rPr>
                <w:b w:val="0"/>
                <w:noProof/>
                <w:webHidden/>
              </w:rPr>
            </w:r>
            <w:r w:rsidRPr="006068C6">
              <w:rPr>
                <w:b w:val="0"/>
                <w:noProof/>
                <w:webHidden/>
              </w:rPr>
              <w:fldChar w:fldCharType="separate"/>
            </w:r>
            <w:r w:rsidRPr="006068C6">
              <w:rPr>
                <w:b w:val="0"/>
                <w:noProof/>
                <w:webHidden/>
              </w:rPr>
              <w:t>36</w:t>
            </w:r>
            <w:r w:rsidRPr="006068C6">
              <w:rPr>
                <w:b w:val="0"/>
                <w:noProof/>
                <w:webHidden/>
              </w:rPr>
              <w:fldChar w:fldCharType="end"/>
            </w:r>
          </w:hyperlink>
        </w:p>
        <w:p w14:paraId="51CE5CB2" w14:textId="5AB6669D"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312" w:history="1">
            <w:r w:rsidRPr="006068C6">
              <w:rPr>
                <w:rStyle w:val="Hypertextovodkaz"/>
                <w:b w:val="0"/>
                <w:noProof/>
              </w:rPr>
              <w:t>4 Analytická část</w:t>
            </w:r>
            <w:r w:rsidRPr="006068C6">
              <w:rPr>
                <w:b w:val="0"/>
                <w:noProof/>
                <w:webHidden/>
              </w:rPr>
              <w:tab/>
            </w:r>
            <w:r w:rsidRPr="006068C6">
              <w:rPr>
                <w:b w:val="0"/>
                <w:noProof/>
                <w:webHidden/>
              </w:rPr>
              <w:fldChar w:fldCharType="begin"/>
            </w:r>
            <w:r w:rsidRPr="006068C6">
              <w:rPr>
                <w:b w:val="0"/>
                <w:noProof/>
                <w:webHidden/>
              </w:rPr>
              <w:instrText xml:space="preserve"> PAGEREF _Toc99659312 \h </w:instrText>
            </w:r>
            <w:r w:rsidRPr="006068C6">
              <w:rPr>
                <w:b w:val="0"/>
                <w:noProof/>
                <w:webHidden/>
              </w:rPr>
            </w:r>
            <w:r w:rsidRPr="006068C6">
              <w:rPr>
                <w:b w:val="0"/>
                <w:noProof/>
                <w:webHidden/>
              </w:rPr>
              <w:fldChar w:fldCharType="separate"/>
            </w:r>
            <w:r w:rsidRPr="006068C6">
              <w:rPr>
                <w:b w:val="0"/>
                <w:noProof/>
                <w:webHidden/>
              </w:rPr>
              <w:t>37</w:t>
            </w:r>
            <w:r w:rsidRPr="006068C6">
              <w:rPr>
                <w:b w:val="0"/>
                <w:noProof/>
                <w:webHidden/>
              </w:rPr>
              <w:fldChar w:fldCharType="end"/>
            </w:r>
          </w:hyperlink>
        </w:p>
        <w:p w14:paraId="74C6FEDD" w14:textId="0AA26E36" w:rsidR="006068C6" w:rsidRPr="006068C6" w:rsidRDefault="006068C6">
          <w:pPr>
            <w:pStyle w:val="Obsah2"/>
            <w:tabs>
              <w:tab w:val="right" w:leader="dot" w:pos="9061"/>
            </w:tabs>
            <w:rPr>
              <w:rFonts w:eastAsiaTheme="minorEastAsia" w:cstheme="minorBidi"/>
              <w:b w:val="0"/>
              <w:noProof/>
            </w:rPr>
          </w:pPr>
          <w:hyperlink w:anchor="_Toc99659313" w:history="1">
            <w:r w:rsidRPr="006068C6">
              <w:rPr>
                <w:rStyle w:val="Hypertextovodkaz"/>
                <w:b w:val="0"/>
                <w:noProof/>
              </w:rPr>
              <w:t>4.1 Splasknutí finanční bubliny v roce 2015 v Číně</w:t>
            </w:r>
            <w:r w:rsidRPr="006068C6">
              <w:rPr>
                <w:b w:val="0"/>
                <w:noProof/>
                <w:webHidden/>
              </w:rPr>
              <w:tab/>
            </w:r>
            <w:r w:rsidRPr="006068C6">
              <w:rPr>
                <w:b w:val="0"/>
                <w:noProof/>
                <w:webHidden/>
              </w:rPr>
              <w:fldChar w:fldCharType="begin"/>
            </w:r>
            <w:r w:rsidRPr="006068C6">
              <w:rPr>
                <w:b w:val="0"/>
                <w:noProof/>
                <w:webHidden/>
              </w:rPr>
              <w:instrText xml:space="preserve"> PAGEREF _Toc99659313 \h </w:instrText>
            </w:r>
            <w:r w:rsidRPr="006068C6">
              <w:rPr>
                <w:b w:val="0"/>
                <w:noProof/>
                <w:webHidden/>
              </w:rPr>
            </w:r>
            <w:r w:rsidRPr="006068C6">
              <w:rPr>
                <w:b w:val="0"/>
                <w:noProof/>
                <w:webHidden/>
              </w:rPr>
              <w:fldChar w:fldCharType="separate"/>
            </w:r>
            <w:r w:rsidRPr="006068C6">
              <w:rPr>
                <w:b w:val="0"/>
                <w:noProof/>
                <w:webHidden/>
              </w:rPr>
              <w:t>37</w:t>
            </w:r>
            <w:r w:rsidRPr="006068C6">
              <w:rPr>
                <w:b w:val="0"/>
                <w:noProof/>
                <w:webHidden/>
              </w:rPr>
              <w:fldChar w:fldCharType="end"/>
            </w:r>
          </w:hyperlink>
        </w:p>
        <w:p w14:paraId="112C5B33" w14:textId="2F5B087A" w:rsidR="006068C6" w:rsidRPr="006068C6" w:rsidRDefault="006068C6">
          <w:pPr>
            <w:pStyle w:val="Obsah2"/>
            <w:tabs>
              <w:tab w:val="right" w:leader="dot" w:pos="9061"/>
            </w:tabs>
            <w:rPr>
              <w:rFonts w:eastAsiaTheme="minorEastAsia" w:cstheme="minorBidi"/>
              <w:b w:val="0"/>
              <w:noProof/>
            </w:rPr>
          </w:pPr>
          <w:hyperlink w:anchor="_Toc99659314" w:history="1">
            <w:r w:rsidRPr="006068C6">
              <w:rPr>
                <w:rStyle w:val="Hypertextovodkaz"/>
                <w:b w:val="0"/>
                <w:noProof/>
              </w:rPr>
              <w:t>4.2 Souvislosti na trzích Východní Asie</w:t>
            </w:r>
            <w:r w:rsidRPr="006068C6">
              <w:rPr>
                <w:b w:val="0"/>
                <w:noProof/>
                <w:webHidden/>
              </w:rPr>
              <w:tab/>
            </w:r>
            <w:r w:rsidRPr="006068C6">
              <w:rPr>
                <w:b w:val="0"/>
                <w:noProof/>
                <w:webHidden/>
              </w:rPr>
              <w:fldChar w:fldCharType="begin"/>
            </w:r>
            <w:r w:rsidRPr="006068C6">
              <w:rPr>
                <w:b w:val="0"/>
                <w:noProof/>
                <w:webHidden/>
              </w:rPr>
              <w:instrText xml:space="preserve"> PAGEREF _Toc99659314 \h </w:instrText>
            </w:r>
            <w:r w:rsidRPr="006068C6">
              <w:rPr>
                <w:b w:val="0"/>
                <w:noProof/>
                <w:webHidden/>
              </w:rPr>
            </w:r>
            <w:r w:rsidRPr="006068C6">
              <w:rPr>
                <w:b w:val="0"/>
                <w:noProof/>
                <w:webHidden/>
              </w:rPr>
              <w:fldChar w:fldCharType="separate"/>
            </w:r>
            <w:r w:rsidRPr="006068C6">
              <w:rPr>
                <w:b w:val="0"/>
                <w:noProof/>
                <w:webHidden/>
              </w:rPr>
              <w:t>41</w:t>
            </w:r>
            <w:r w:rsidRPr="006068C6">
              <w:rPr>
                <w:b w:val="0"/>
                <w:noProof/>
                <w:webHidden/>
              </w:rPr>
              <w:fldChar w:fldCharType="end"/>
            </w:r>
          </w:hyperlink>
        </w:p>
        <w:p w14:paraId="6DB37131" w14:textId="1606E916" w:rsidR="006068C6" w:rsidRPr="006068C6" w:rsidRDefault="006068C6">
          <w:pPr>
            <w:pStyle w:val="Obsah2"/>
            <w:tabs>
              <w:tab w:val="right" w:leader="dot" w:pos="9061"/>
            </w:tabs>
            <w:rPr>
              <w:rFonts w:eastAsiaTheme="minorEastAsia" w:cstheme="minorBidi"/>
              <w:b w:val="0"/>
              <w:noProof/>
            </w:rPr>
          </w:pPr>
          <w:hyperlink w:anchor="_Toc99659315" w:history="1">
            <w:r w:rsidRPr="006068C6">
              <w:rPr>
                <w:rStyle w:val="Hypertextovodkaz"/>
                <w:b w:val="0"/>
                <w:noProof/>
              </w:rPr>
              <w:t>4.3 Čína v turbulencích</w:t>
            </w:r>
            <w:r w:rsidRPr="006068C6">
              <w:rPr>
                <w:b w:val="0"/>
                <w:noProof/>
                <w:webHidden/>
              </w:rPr>
              <w:tab/>
            </w:r>
            <w:r w:rsidRPr="006068C6">
              <w:rPr>
                <w:b w:val="0"/>
                <w:noProof/>
                <w:webHidden/>
              </w:rPr>
              <w:fldChar w:fldCharType="begin"/>
            </w:r>
            <w:r w:rsidRPr="006068C6">
              <w:rPr>
                <w:b w:val="0"/>
                <w:noProof/>
                <w:webHidden/>
              </w:rPr>
              <w:instrText xml:space="preserve"> PAGEREF _Toc99659315 \h </w:instrText>
            </w:r>
            <w:r w:rsidRPr="006068C6">
              <w:rPr>
                <w:b w:val="0"/>
                <w:noProof/>
                <w:webHidden/>
              </w:rPr>
            </w:r>
            <w:r w:rsidRPr="006068C6">
              <w:rPr>
                <w:b w:val="0"/>
                <w:noProof/>
                <w:webHidden/>
              </w:rPr>
              <w:fldChar w:fldCharType="separate"/>
            </w:r>
            <w:r w:rsidRPr="006068C6">
              <w:rPr>
                <w:b w:val="0"/>
                <w:noProof/>
                <w:webHidden/>
              </w:rPr>
              <w:t>41</w:t>
            </w:r>
            <w:r w:rsidRPr="006068C6">
              <w:rPr>
                <w:b w:val="0"/>
                <w:noProof/>
                <w:webHidden/>
              </w:rPr>
              <w:fldChar w:fldCharType="end"/>
            </w:r>
          </w:hyperlink>
        </w:p>
        <w:p w14:paraId="180A5173" w14:textId="556116FB" w:rsidR="006068C6" w:rsidRPr="006068C6" w:rsidRDefault="006068C6">
          <w:pPr>
            <w:pStyle w:val="Obsah2"/>
            <w:tabs>
              <w:tab w:val="right" w:leader="dot" w:pos="9061"/>
            </w:tabs>
            <w:rPr>
              <w:rFonts w:eastAsiaTheme="minorEastAsia" w:cstheme="minorBidi"/>
              <w:b w:val="0"/>
              <w:noProof/>
            </w:rPr>
          </w:pPr>
          <w:hyperlink w:anchor="_Toc99659316" w:history="1">
            <w:r w:rsidRPr="006068C6">
              <w:rPr>
                <w:rStyle w:val="Hypertextovodkaz"/>
                <w:b w:val="0"/>
                <w:noProof/>
              </w:rPr>
              <w:t>4.4 Čínský kolaps</w:t>
            </w:r>
            <w:r w:rsidRPr="006068C6">
              <w:rPr>
                <w:b w:val="0"/>
                <w:noProof/>
                <w:webHidden/>
              </w:rPr>
              <w:tab/>
            </w:r>
            <w:r w:rsidRPr="006068C6">
              <w:rPr>
                <w:b w:val="0"/>
                <w:noProof/>
                <w:webHidden/>
              </w:rPr>
              <w:fldChar w:fldCharType="begin"/>
            </w:r>
            <w:r w:rsidRPr="006068C6">
              <w:rPr>
                <w:b w:val="0"/>
                <w:noProof/>
                <w:webHidden/>
              </w:rPr>
              <w:instrText xml:space="preserve"> PAGEREF _Toc99659316 \h </w:instrText>
            </w:r>
            <w:r w:rsidRPr="006068C6">
              <w:rPr>
                <w:b w:val="0"/>
                <w:noProof/>
                <w:webHidden/>
              </w:rPr>
            </w:r>
            <w:r w:rsidRPr="006068C6">
              <w:rPr>
                <w:b w:val="0"/>
                <w:noProof/>
                <w:webHidden/>
              </w:rPr>
              <w:fldChar w:fldCharType="separate"/>
            </w:r>
            <w:r w:rsidRPr="006068C6">
              <w:rPr>
                <w:b w:val="0"/>
                <w:noProof/>
                <w:webHidden/>
              </w:rPr>
              <w:t>43</w:t>
            </w:r>
            <w:r w:rsidRPr="006068C6">
              <w:rPr>
                <w:b w:val="0"/>
                <w:noProof/>
                <w:webHidden/>
              </w:rPr>
              <w:fldChar w:fldCharType="end"/>
            </w:r>
          </w:hyperlink>
        </w:p>
        <w:p w14:paraId="5EE36AF0" w14:textId="102EE69B" w:rsidR="006068C6" w:rsidRPr="006068C6" w:rsidRDefault="006068C6">
          <w:pPr>
            <w:pStyle w:val="Obsah2"/>
            <w:tabs>
              <w:tab w:val="right" w:leader="dot" w:pos="9061"/>
            </w:tabs>
            <w:rPr>
              <w:rFonts w:eastAsiaTheme="minorEastAsia" w:cstheme="minorBidi"/>
              <w:b w:val="0"/>
              <w:noProof/>
            </w:rPr>
          </w:pPr>
          <w:hyperlink w:anchor="_Toc99659317" w:history="1">
            <w:r w:rsidRPr="006068C6">
              <w:rPr>
                <w:rStyle w:val="Hypertextovodkaz"/>
                <w:b w:val="0"/>
                <w:noProof/>
              </w:rPr>
              <w:t>4.5 Průběh finanční a hospodářské krize v Číně</w:t>
            </w:r>
            <w:r w:rsidRPr="006068C6">
              <w:rPr>
                <w:b w:val="0"/>
                <w:noProof/>
                <w:webHidden/>
              </w:rPr>
              <w:tab/>
            </w:r>
            <w:r w:rsidRPr="006068C6">
              <w:rPr>
                <w:b w:val="0"/>
                <w:noProof/>
                <w:webHidden/>
              </w:rPr>
              <w:fldChar w:fldCharType="begin"/>
            </w:r>
            <w:r w:rsidRPr="006068C6">
              <w:rPr>
                <w:b w:val="0"/>
                <w:noProof/>
                <w:webHidden/>
              </w:rPr>
              <w:instrText xml:space="preserve"> PAGEREF _Toc99659317 \h </w:instrText>
            </w:r>
            <w:r w:rsidRPr="006068C6">
              <w:rPr>
                <w:b w:val="0"/>
                <w:noProof/>
                <w:webHidden/>
              </w:rPr>
            </w:r>
            <w:r w:rsidRPr="006068C6">
              <w:rPr>
                <w:b w:val="0"/>
                <w:noProof/>
                <w:webHidden/>
              </w:rPr>
              <w:fldChar w:fldCharType="separate"/>
            </w:r>
            <w:r w:rsidRPr="006068C6">
              <w:rPr>
                <w:b w:val="0"/>
                <w:noProof/>
                <w:webHidden/>
              </w:rPr>
              <w:t>44</w:t>
            </w:r>
            <w:r w:rsidRPr="006068C6">
              <w:rPr>
                <w:b w:val="0"/>
                <w:noProof/>
                <w:webHidden/>
              </w:rPr>
              <w:fldChar w:fldCharType="end"/>
            </w:r>
          </w:hyperlink>
        </w:p>
        <w:p w14:paraId="558A61F0" w14:textId="1511C471" w:rsidR="006068C6" w:rsidRPr="006068C6" w:rsidRDefault="006068C6">
          <w:pPr>
            <w:pStyle w:val="Obsah2"/>
            <w:tabs>
              <w:tab w:val="right" w:leader="dot" w:pos="9061"/>
            </w:tabs>
            <w:rPr>
              <w:rFonts w:eastAsiaTheme="minorEastAsia" w:cstheme="minorBidi"/>
              <w:b w:val="0"/>
              <w:noProof/>
            </w:rPr>
          </w:pPr>
          <w:hyperlink w:anchor="_Toc99659318" w:history="1">
            <w:r w:rsidRPr="006068C6">
              <w:rPr>
                <w:rStyle w:val="Hypertextovodkaz"/>
                <w:b w:val="0"/>
                <w:noProof/>
              </w:rPr>
              <w:t>4.6 Směrem ke strukturálnímu přizpůsobení</w:t>
            </w:r>
            <w:r w:rsidRPr="006068C6">
              <w:rPr>
                <w:b w:val="0"/>
                <w:noProof/>
                <w:webHidden/>
              </w:rPr>
              <w:tab/>
            </w:r>
            <w:r w:rsidRPr="006068C6">
              <w:rPr>
                <w:b w:val="0"/>
                <w:noProof/>
                <w:webHidden/>
              </w:rPr>
              <w:fldChar w:fldCharType="begin"/>
            </w:r>
            <w:r w:rsidRPr="006068C6">
              <w:rPr>
                <w:b w:val="0"/>
                <w:noProof/>
                <w:webHidden/>
              </w:rPr>
              <w:instrText xml:space="preserve"> PAGEREF _Toc99659318 \h </w:instrText>
            </w:r>
            <w:r w:rsidRPr="006068C6">
              <w:rPr>
                <w:b w:val="0"/>
                <w:noProof/>
                <w:webHidden/>
              </w:rPr>
            </w:r>
            <w:r w:rsidRPr="006068C6">
              <w:rPr>
                <w:b w:val="0"/>
                <w:noProof/>
                <w:webHidden/>
              </w:rPr>
              <w:fldChar w:fldCharType="separate"/>
            </w:r>
            <w:r w:rsidRPr="006068C6">
              <w:rPr>
                <w:b w:val="0"/>
                <w:noProof/>
                <w:webHidden/>
              </w:rPr>
              <w:t>47</w:t>
            </w:r>
            <w:r w:rsidRPr="006068C6">
              <w:rPr>
                <w:b w:val="0"/>
                <w:noProof/>
                <w:webHidden/>
              </w:rPr>
              <w:fldChar w:fldCharType="end"/>
            </w:r>
          </w:hyperlink>
        </w:p>
        <w:p w14:paraId="38DC0B7B" w14:textId="5DB5CD1F" w:rsidR="006068C6" w:rsidRPr="006068C6" w:rsidRDefault="006068C6">
          <w:pPr>
            <w:pStyle w:val="Obsah2"/>
            <w:tabs>
              <w:tab w:val="right" w:leader="dot" w:pos="9061"/>
            </w:tabs>
            <w:rPr>
              <w:rFonts w:eastAsiaTheme="minorEastAsia" w:cstheme="minorBidi"/>
              <w:b w:val="0"/>
              <w:noProof/>
            </w:rPr>
          </w:pPr>
          <w:hyperlink w:anchor="_Toc99659319" w:history="1">
            <w:r w:rsidRPr="006068C6">
              <w:rPr>
                <w:rStyle w:val="Hypertextovodkaz"/>
                <w:b w:val="0"/>
                <w:noProof/>
              </w:rPr>
              <w:t>4.7 Změna trendu</w:t>
            </w:r>
            <w:r w:rsidRPr="006068C6">
              <w:rPr>
                <w:b w:val="0"/>
                <w:noProof/>
                <w:webHidden/>
              </w:rPr>
              <w:tab/>
            </w:r>
            <w:r w:rsidRPr="006068C6">
              <w:rPr>
                <w:b w:val="0"/>
                <w:noProof/>
                <w:webHidden/>
              </w:rPr>
              <w:fldChar w:fldCharType="begin"/>
            </w:r>
            <w:r w:rsidRPr="006068C6">
              <w:rPr>
                <w:b w:val="0"/>
                <w:noProof/>
                <w:webHidden/>
              </w:rPr>
              <w:instrText xml:space="preserve"> PAGEREF _Toc99659319 \h </w:instrText>
            </w:r>
            <w:r w:rsidRPr="006068C6">
              <w:rPr>
                <w:b w:val="0"/>
                <w:noProof/>
                <w:webHidden/>
              </w:rPr>
            </w:r>
            <w:r w:rsidRPr="006068C6">
              <w:rPr>
                <w:b w:val="0"/>
                <w:noProof/>
                <w:webHidden/>
              </w:rPr>
              <w:fldChar w:fldCharType="separate"/>
            </w:r>
            <w:r w:rsidRPr="006068C6">
              <w:rPr>
                <w:b w:val="0"/>
                <w:noProof/>
                <w:webHidden/>
              </w:rPr>
              <w:t>49</w:t>
            </w:r>
            <w:r w:rsidRPr="006068C6">
              <w:rPr>
                <w:b w:val="0"/>
                <w:noProof/>
                <w:webHidden/>
              </w:rPr>
              <w:fldChar w:fldCharType="end"/>
            </w:r>
          </w:hyperlink>
        </w:p>
        <w:p w14:paraId="6CB1389C" w14:textId="224D7C49" w:rsidR="006068C6" w:rsidRPr="006068C6" w:rsidRDefault="006068C6">
          <w:pPr>
            <w:pStyle w:val="Obsah2"/>
            <w:tabs>
              <w:tab w:val="right" w:leader="dot" w:pos="9061"/>
            </w:tabs>
            <w:rPr>
              <w:rFonts w:eastAsiaTheme="minorEastAsia" w:cstheme="minorBidi"/>
              <w:b w:val="0"/>
              <w:noProof/>
            </w:rPr>
          </w:pPr>
          <w:hyperlink w:anchor="_Toc99659320" w:history="1">
            <w:r w:rsidRPr="006068C6">
              <w:rPr>
                <w:rStyle w:val="Hypertextovodkaz"/>
                <w:b w:val="0"/>
                <w:noProof/>
              </w:rPr>
              <w:t>4.8 Reakce a opatření čínské vlády</w:t>
            </w:r>
            <w:r w:rsidRPr="006068C6">
              <w:rPr>
                <w:b w:val="0"/>
                <w:noProof/>
                <w:webHidden/>
              </w:rPr>
              <w:tab/>
            </w:r>
            <w:r w:rsidRPr="006068C6">
              <w:rPr>
                <w:b w:val="0"/>
                <w:noProof/>
                <w:webHidden/>
              </w:rPr>
              <w:fldChar w:fldCharType="begin"/>
            </w:r>
            <w:r w:rsidRPr="006068C6">
              <w:rPr>
                <w:b w:val="0"/>
                <w:noProof/>
                <w:webHidden/>
              </w:rPr>
              <w:instrText xml:space="preserve"> PAGEREF _Toc99659320 \h </w:instrText>
            </w:r>
            <w:r w:rsidRPr="006068C6">
              <w:rPr>
                <w:b w:val="0"/>
                <w:noProof/>
                <w:webHidden/>
              </w:rPr>
            </w:r>
            <w:r w:rsidRPr="006068C6">
              <w:rPr>
                <w:b w:val="0"/>
                <w:noProof/>
                <w:webHidden/>
              </w:rPr>
              <w:fldChar w:fldCharType="separate"/>
            </w:r>
            <w:r w:rsidRPr="006068C6">
              <w:rPr>
                <w:b w:val="0"/>
                <w:noProof/>
                <w:webHidden/>
              </w:rPr>
              <w:t>51</w:t>
            </w:r>
            <w:r w:rsidRPr="006068C6">
              <w:rPr>
                <w:b w:val="0"/>
                <w:noProof/>
                <w:webHidden/>
              </w:rPr>
              <w:fldChar w:fldCharType="end"/>
            </w:r>
          </w:hyperlink>
        </w:p>
        <w:p w14:paraId="65D5AB16" w14:textId="3E4F31EC" w:rsidR="006068C6" w:rsidRPr="006068C6" w:rsidRDefault="006068C6">
          <w:pPr>
            <w:pStyle w:val="Obsah2"/>
            <w:tabs>
              <w:tab w:val="right" w:leader="dot" w:pos="9061"/>
            </w:tabs>
            <w:rPr>
              <w:rFonts w:eastAsiaTheme="minorEastAsia" w:cstheme="minorBidi"/>
              <w:b w:val="0"/>
              <w:noProof/>
            </w:rPr>
          </w:pPr>
          <w:hyperlink w:anchor="_Toc99659321" w:history="1">
            <w:r w:rsidRPr="006068C6">
              <w:rPr>
                <w:rStyle w:val="Hypertextovodkaz"/>
                <w:b w:val="0"/>
                <w:noProof/>
              </w:rPr>
              <w:t>4.9 Vliv na vedlejší státy</w:t>
            </w:r>
            <w:r w:rsidRPr="006068C6">
              <w:rPr>
                <w:b w:val="0"/>
                <w:noProof/>
                <w:webHidden/>
              </w:rPr>
              <w:tab/>
            </w:r>
            <w:r w:rsidRPr="006068C6">
              <w:rPr>
                <w:b w:val="0"/>
                <w:noProof/>
                <w:webHidden/>
              </w:rPr>
              <w:fldChar w:fldCharType="begin"/>
            </w:r>
            <w:r w:rsidRPr="006068C6">
              <w:rPr>
                <w:b w:val="0"/>
                <w:noProof/>
                <w:webHidden/>
              </w:rPr>
              <w:instrText xml:space="preserve"> PAGEREF _Toc99659321 \h </w:instrText>
            </w:r>
            <w:r w:rsidRPr="006068C6">
              <w:rPr>
                <w:b w:val="0"/>
                <w:noProof/>
                <w:webHidden/>
              </w:rPr>
            </w:r>
            <w:r w:rsidRPr="006068C6">
              <w:rPr>
                <w:b w:val="0"/>
                <w:noProof/>
                <w:webHidden/>
              </w:rPr>
              <w:fldChar w:fldCharType="separate"/>
            </w:r>
            <w:r w:rsidRPr="006068C6">
              <w:rPr>
                <w:b w:val="0"/>
                <w:noProof/>
                <w:webHidden/>
              </w:rPr>
              <w:t>52</w:t>
            </w:r>
            <w:r w:rsidRPr="006068C6">
              <w:rPr>
                <w:b w:val="0"/>
                <w:noProof/>
                <w:webHidden/>
              </w:rPr>
              <w:fldChar w:fldCharType="end"/>
            </w:r>
          </w:hyperlink>
        </w:p>
        <w:p w14:paraId="511152EB" w14:textId="5A5FE225"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322" w:history="1">
            <w:r w:rsidRPr="006068C6">
              <w:rPr>
                <w:rStyle w:val="Hypertextovodkaz"/>
                <w:b w:val="0"/>
                <w:noProof/>
              </w:rPr>
              <w:t>5 Výsledky a diskuze</w:t>
            </w:r>
            <w:r w:rsidRPr="006068C6">
              <w:rPr>
                <w:b w:val="0"/>
                <w:noProof/>
                <w:webHidden/>
              </w:rPr>
              <w:tab/>
            </w:r>
            <w:r w:rsidRPr="006068C6">
              <w:rPr>
                <w:b w:val="0"/>
                <w:noProof/>
                <w:webHidden/>
              </w:rPr>
              <w:fldChar w:fldCharType="begin"/>
            </w:r>
            <w:r w:rsidRPr="006068C6">
              <w:rPr>
                <w:b w:val="0"/>
                <w:noProof/>
                <w:webHidden/>
              </w:rPr>
              <w:instrText xml:space="preserve"> PAGEREF _Toc99659322 \h </w:instrText>
            </w:r>
            <w:r w:rsidRPr="006068C6">
              <w:rPr>
                <w:b w:val="0"/>
                <w:noProof/>
                <w:webHidden/>
              </w:rPr>
            </w:r>
            <w:r w:rsidRPr="006068C6">
              <w:rPr>
                <w:b w:val="0"/>
                <w:noProof/>
                <w:webHidden/>
              </w:rPr>
              <w:fldChar w:fldCharType="separate"/>
            </w:r>
            <w:r w:rsidRPr="006068C6">
              <w:rPr>
                <w:b w:val="0"/>
                <w:noProof/>
                <w:webHidden/>
              </w:rPr>
              <w:t>57</w:t>
            </w:r>
            <w:r w:rsidRPr="006068C6">
              <w:rPr>
                <w:b w:val="0"/>
                <w:noProof/>
                <w:webHidden/>
              </w:rPr>
              <w:fldChar w:fldCharType="end"/>
            </w:r>
          </w:hyperlink>
        </w:p>
        <w:p w14:paraId="20A6D8BD" w14:textId="10EA50A4" w:rsidR="006068C6" w:rsidRPr="006068C6" w:rsidRDefault="006068C6">
          <w:pPr>
            <w:pStyle w:val="Obsah2"/>
            <w:tabs>
              <w:tab w:val="right" w:leader="dot" w:pos="9061"/>
            </w:tabs>
            <w:rPr>
              <w:rFonts w:eastAsiaTheme="minorEastAsia" w:cstheme="minorBidi"/>
              <w:b w:val="0"/>
              <w:noProof/>
            </w:rPr>
          </w:pPr>
          <w:hyperlink w:anchor="_Toc99659323" w:history="1">
            <w:r w:rsidRPr="006068C6">
              <w:rPr>
                <w:rStyle w:val="Hypertextovodkaz"/>
                <w:b w:val="0"/>
                <w:iCs/>
                <w:noProof/>
              </w:rPr>
              <w:t>5.1 Příznaky bublin na trhu</w:t>
            </w:r>
            <w:r w:rsidRPr="006068C6">
              <w:rPr>
                <w:b w:val="0"/>
                <w:noProof/>
                <w:webHidden/>
              </w:rPr>
              <w:tab/>
            </w:r>
            <w:r w:rsidRPr="006068C6">
              <w:rPr>
                <w:b w:val="0"/>
                <w:noProof/>
                <w:webHidden/>
              </w:rPr>
              <w:fldChar w:fldCharType="begin"/>
            </w:r>
            <w:r w:rsidRPr="006068C6">
              <w:rPr>
                <w:b w:val="0"/>
                <w:noProof/>
                <w:webHidden/>
              </w:rPr>
              <w:instrText xml:space="preserve"> PAGEREF _Toc99659323 \h </w:instrText>
            </w:r>
            <w:r w:rsidRPr="006068C6">
              <w:rPr>
                <w:b w:val="0"/>
                <w:noProof/>
                <w:webHidden/>
              </w:rPr>
            </w:r>
            <w:r w:rsidRPr="006068C6">
              <w:rPr>
                <w:b w:val="0"/>
                <w:noProof/>
                <w:webHidden/>
              </w:rPr>
              <w:fldChar w:fldCharType="separate"/>
            </w:r>
            <w:r w:rsidRPr="006068C6">
              <w:rPr>
                <w:b w:val="0"/>
                <w:noProof/>
                <w:webHidden/>
              </w:rPr>
              <w:t>57</w:t>
            </w:r>
            <w:r w:rsidRPr="006068C6">
              <w:rPr>
                <w:b w:val="0"/>
                <w:noProof/>
                <w:webHidden/>
              </w:rPr>
              <w:fldChar w:fldCharType="end"/>
            </w:r>
          </w:hyperlink>
        </w:p>
        <w:p w14:paraId="3BD59C8F" w14:textId="77C70463" w:rsidR="006068C6" w:rsidRPr="006068C6" w:rsidRDefault="006068C6">
          <w:pPr>
            <w:pStyle w:val="Obsah2"/>
            <w:tabs>
              <w:tab w:val="right" w:leader="dot" w:pos="9061"/>
            </w:tabs>
            <w:rPr>
              <w:rFonts w:eastAsiaTheme="minorEastAsia" w:cstheme="minorBidi"/>
              <w:b w:val="0"/>
              <w:noProof/>
            </w:rPr>
          </w:pPr>
          <w:hyperlink w:anchor="_Toc99659324" w:history="1">
            <w:r w:rsidRPr="006068C6">
              <w:rPr>
                <w:rStyle w:val="Hypertextovodkaz"/>
                <w:b w:val="0"/>
                <w:noProof/>
              </w:rPr>
              <w:t>5.2 Příčiny vzniku cenových bublin</w:t>
            </w:r>
            <w:r w:rsidRPr="006068C6">
              <w:rPr>
                <w:b w:val="0"/>
                <w:noProof/>
                <w:webHidden/>
              </w:rPr>
              <w:tab/>
            </w:r>
            <w:r w:rsidRPr="006068C6">
              <w:rPr>
                <w:b w:val="0"/>
                <w:noProof/>
                <w:webHidden/>
              </w:rPr>
              <w:fldChar w:fldCharType="begin"/>
            </w:r>
            <w:r w:rsidRPr="006068C6">
              <w:rPr>
                <w:b w:val="0"/>
                <w:noProof/>
                <w:webHidden/>
              </w:rPr>
              <w:instrText xml:space="preserve"> PAGEREF _Toc99659324 \h </w:instrText>
            </w:r>
            <w:r w:rsidRPr="006068C6">
              <w:rPr>
                <w:b w:val="0"/>
                <w:noProof/>
                <w:webHidden/>
              </w:rPr>
            </w:r>
            <w:r w:rsidRPr="006068C6">
              <w:rPr>
                <w:b w:val="0"/>
                <w:noProof/>
                <w:webHidden/>
              </w:rPr>
              <w:fldChar w:fldCharType="separate"/>
            </w:r>
            <w:r w:rsidRPr="006068C6">
              <w:rPr>
                <w:b w:val="0"/>
                <w:noProof/>
                <w:webHidden/>
              </w:rPr>
              <w:t>59</w:t>
            </w:r>
            <w:r w:rsidRPr="006068C6">
              <w:rPr>
                <w:b w:val="0"/>
                <w:noProof/>
                <w:webHidden/>
              </w:rPr>
              <w:fldChar w:fldCharType="end"/>
            </w:r>
          </w:hyperlink>
        </w:p>
        <w:p w14:paraId="0CE3E1E2" w14:textId="0812BA51" w:rsidR="006068C6" w:rsidRPr="006068C6" w:rsidRDefault="006068C6">
          <w:pPr>
            <w:pStyle w:val="Obsah2"/>
            <w:tabs>
              <w:tab w:val="right" w:leader="dot" w:pos="9061"/>
            </w:tabs>
            <w:rPr>
              <w:rFonts w:eastAsiaTheme="minorEastAsia" w:cstheme="minorBidi"/>
              <w:b w:val="0"/>
              <w:noProof/>
            </w:rPr>
          </w:pPr>
          <w:hyperlink w:anchor="_Toc99659325" w:history="1">
            <w:r w:rsidRPr="006068C6">
              <w:rPr>
                <w:rStyle w:val="Hypertextovodkaz"/>
                <w:b w:val="0"/>
                <w:noProof/>
              </w:rPr>
              <w:t>5.3 Mravenčí model na příkladu Číny v roce 2015</w:t>
            </w:r>
            <w:r w:rsidRPr="006068C6">
              <w:rPr>
                <w:b w:val="0"/>
                <w:noProof/>
                <w:webHidden/>
              </w:rPr>
              <w:tab/>
            </w:r>
            <w:r w:rsidRPr="006068C6">
              <w:rPr>
                <w:b w:val="0"/>
                <w:noProof/>
                <w:webHidden/>
              </w:rPr>
              <w:fldChar w:fldCharType="begin"/>
            </w:r>
            <w:r w:rsidRPr="006068C6">
              <w:rPr>
                <w:b w:val="0"/>
                <w:noProof/>
                <w:webHidden/>
              </w:rPr>
              <w:instrText xml:space="preserve"> PAGEREF _Toc99659325 \h </w:instrText>
            </w:r>
            <w:r w:rsidRPr="006068C6">
              <w:rPr>
                <w:b w:val="0"/>
                <w:noProof/>
                <w:webHidden/>
              </w:rPr>
            </w:r>
            <w:r w:rsidRPr="006068C6">
              <w:rPr>
                <w:b w:val="0"/>
                <w:noProof/>
                <w:webHidden/>
              </w:rPr>
              <w:fldChar w:fldCharType="separate"/>
            </w:r>
            <w:r w:rsidRPr="006068C6">
              <w:rPr>
                <w:b w:val="0"/>
                <w:noProof/>
                <w:webHidden/>
              </w:rPr>
              <w:t>60</w:t>
            </w:r>
            <w:r w:rsidRPr="006068C6">
              <w:rPr>
                <w:b w:val="0"/>
                <w:noProof/>
                <w:webHidden/>
              </w:rPr>
              <w:fldChar w:fldCharType="end"/>
            </w:r>
          </w:hyperlink>
        </w:p>
        <w:p w14:paraId="1D5D5CF7" w14:textId="384B14CD"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326" w:history="1">
            <w:r w:rsidRPr="006068C6">
              <w:rPr>
                <w:rStyle w:val="Hypertextovodkaz"/>
                <w:b w:val="0"/>
                <w:noProof/>
              </w:rPr>
              <w:t>6 Závěr</w:t>
            </w:r>
            <w:r w:rsidRPr="006068C6">
              <w:rPr>
                <w:b w:val="0"/>
                <w:noProof/>
                <w:webHidden/>
              </w:rPr>
              <w:tab/>
            </w:r>
            <w:r w:rsidRPr="006068C6">
              <w:rPr>
                <w:b w:val="0"/>
                <w:noProof/>
                <w:webHidden/>
              </w:rPr>
              <w:fldChar w:fldCharType="begin"/>
            </w:r>
            <w:r w:rsidRPr="006068C6">
              <w:rPr>
                <w:b w:val="0"/>
                <w:noProof/>
                <w:webHidden/>
              </w:rPr>
              <w:instrText xml:space="preserve"> PAGEREF _Toc99659326 \h </w:instrText>
            </w:r>
            <w:r w:rsidRPr="006068C6">
              <w:rPr>
                <w:b w:val="0"/>
                <w:noProof/>
                <w:webHidden/>
              </w:rPr>
            </w:r>
            <w:r w:rsidRPr="006068C6">
              <w:rPr>
                <w:b w:val="0"/>
                <w:noProof/>
                <w:webHidden/>
              </w:rPr>
              <w:fldChar w:fldCharType="separate"/>
            </w:r>
            <w:r w:rsidRPr="006068C6">
              <w:rPr>
                <w:b w:val="0"/>
                <w:noProof/>
                <w:webHidden/>
              </w:rPr>
              <w:t>62</w:t>
            </w:r>
            <w:r w:rsidRPr="006068C6">
              <w:rPr>
                <w:b w:val="0"/>
                <w:noProof/>
                <w:webHidden/>
              </w:rPr>
              <w:fldChar w:fldCharType="end"/>
            </w:r>
          </w:hyperlink>
        </w:p>
        <w:p w14:paraId="21C43C9C" w14:textId="4E7AC2CA" w:rsidR="006068C6" w:rsidRPr="006068C6" w:rsidRDefault="006068C6">
          <w:pPr>
            <w:pStyle w:val="Obsah1"/>
            <w:tabs>
              <w:tab w:val="right" w:leader="dot" w:pos="9061"/>
            </w:tabs>
            <w:rPr>
              <w:rFonts w:eastAsiaTheme="minorEastAsia" w:cstheme="minorBidi"/>
              <w:b w:val="0"/>
              <w:i w:val="0"/>
              <w:iCs w:val="0"/>
              <w:noProof/>
              <w:sz w:val="22"/>
              <w:szCs w:val="22"/>
            </w:rPr>
          </w:pPr>
          <w:hyperlink w:anchor="_Toc99659327" w:history="1">
            <w:r w:rsidRPr="006068C6">
              <w:rPr>
                <w:rStyle w:val="Hypertextovodkaz"/>
                <w:b w:val="0"/>
                <w:noProof/>
              </w:rPr>
              <w:t>7 Seznam použitých zdrojů</w:t>
            </w:r>
            <w:r w:rsidRPr="006068C6">
              <w:rPr>
                <w:b w:val="0"/>
                <w:noProof/>
                <w:webHidden/>
              </w:rPr>
              <w:tab/>
            </w:r>
            <w:r w:rsidRPr="006068C6">
              <w:rPr>
                <w:b w:val="0"/>
                <w:noProof/>
                <w:webHidden/>
              </w:rPr>
              <w:fldChar w:fldCharType="begin"/>
            </w:r>
            <w:r w:rsidRPr="006068C6">
              <w:rPr>
                <w:b w:val="0"/>
                <w:noProof/>
                <w:webHidden/>
              </w:rPr>
              <w:instrText xml:space="preserve"> PAGEREF _Toc99659327 \h </w:instrText>
            </w:r>
            <w:r w:rsidRPr="006068C6">
              <w:rPr>
                <w:b w:val="0"/>
                <w:noProof/>
                <w:webHidden/>
              </w:rPr>
            </w:r>
            <w:r w:rsidRPr="006068C6">
              <w:rPr>
                <w:b w:val="0"/>
                <w:noProof/>
                <w:webHidden/>
              </w:rPr>
              <w:fldChar w:fldCharType="separate"/>
            </w:r>
            <w:r w:rsidRPr="006068C6">
              <w:rPr>
                <w:b w:val="0"/>
                <w:noProof/>
                <w:webHidden/>
              </w:rPr>
              <w:t>63</w:t>
            </w:r>
            <w:r w:rsidRPr="006068C6">
              <w:rPr>
                <w:b w:val="0"/>
                <w:noProof/>
                <w:webHidden/>
              </w:rPr>
              <w:fldChar w:fldCharType="end"/>
            </w:r>
          </w:hyperlink>
        </w:p>
        <w:p w14:paraId="2195DB9F" w14:textId="0055EE17" w:rsidR="00EA17C1" w:rsidRDefault="00EA17C1">
          <w:r w:rsidRPr="006068C6">
            <w:rPr>
              <w:bCs/>
            </w:rPr>
            <w:fldChar w:fldCharType="end"/>
          </w:r>
        </w:p>
      </w:sdtContent>
    </w:sdt>
    <w:p w14:paraId="4D27E04F" w14:textId="2E3B1736" w:rsidR="00D64834" w:rsidRPr="00EA17C1" w:rsidRDefault="00D64834" w:rsidP="00EA17C1">
      <w:pPr>
        <w:pStyle w:val="Nadpisobsahu"/>
      </w:pPr>
    </w:p>
    <w:p w14:paraId="4404FD75" w14:textId="1A607503" w:rsidR="005F3578" w:rsidRPr="00A95C26" w:rsidRDefault="000F18CE" w:rsidP="00A15F1C">
      <w:pPr>
        <w:pStyle w:val="Nadpis1"/>
        <w:ind w:left="0" w:firstLine="0"/>
      </w:pPr>
      <w:r w:rsidRPr="00A95C26">
        <w:br w:type="page"/>
      </w:r>
      <w:bookmarkStart w:id="1" w:name="_Toc83234762"/>
      <w:bookmarkStart w:id="2" w:name="_Toc99636448"/>
      <w:bookmarkStart w:id="3" w:name="_Toc99657938"/>
      <w:bookmarkStart w:id="4" w:name="_Toc99659298"/>
      <w:r w:rsidR="00D64834" w:rsidRPr="00A95C26">
        <w:lastRenderedPageBreak/>
        <w:t xml:space="preserve">1 </w:t>
      </w:r>
      <w:r w:rsidRPr="00A95C26">
        <w:t>Úvod</w:t>
      </w:r>
      <w:bookmarkEnd w:id="1"/>
      <w:bookmarkEnd w:id="2"/>
      <w:bookmarkEnd w:id="3"/>
      <w:bookmarkEnd w:id="4"/>
    </w:p>
    <w:p w14:paraId="6B15AC50" w14:textId="6A56C753" w:rsidR="00A2574B" w:rsidRPr="00A95C26" w:rsidRDefault="00A2574B" w:rsidP="00641F06">
      <w:pPr>
        <w:spacing w:line="360" w:lineRule="auto"/>
        <w:ind w:firstLine="567"/>
        <w:jc w:val="both"/>
      </w:pPr>
      <w:r w:rsidRPr="00A95C26">
        <w:t>Charakteristickým rysem ekonomiky každé země je její cykličnost a s ní spojené vzestupy a pády, přičemž krize jsou její nevyhnutelnou součástí. Moderní světová ekonomika je ekonomikou s velmi úzkými vazbami mezi jednotlivými zeměmi, hospodářské výkyvy v jedné zemi ovlivňují ostatní země. Globalizace vedla k velmi širokému otevření ekonomik, což způsobuje, že se mezi nimi přenášejí všechny ekonomické jevy, a to jak pozitivní, tak negativní. To také způsobilo, že krizové jevy jsou silnější, znatelnější a rychleji se přesouvají mezi jednotlivými zeměmi. Za tento proces jsou zodpovědné obchodní a finanční vazby a (možná především) panika na trzích. Historie ukazuje, že největší hrozbou pro země není nedostatečná synchronizace hospodářských cyklů, ale jejich neuvážená politika, nedostatečný finanční dohled a spekulace.</w:t>
      </w:r>
    </w:p>
    <w:p w14:paraId="0EEFEBF1" w14:textId="253B32A7" w:rsidR="00A2574B" w:rsidRPr="00A95C26" w:rsidRDefault="00A2574B" w:rsidP="00641F06">
      <w:pPr>
        <w:spacing w:line="360" w:lineRule="auto"/>
        <w:ind w:firstLine="567"/>
        <w:jc w:val="both"/>
      </w:pPr>
    </w:p>
    <w:p w14:paraId="6B12E9B0" w14:textId="4F9BE78B" w:rsidR="00A2574B" w:rsidRPr="00A95C26" w:rsidRDefault="00A2574B" w:rsidP="00641F06">
      <w:pPr>
        <w:spacing w:line="360" w:lineRule="auto"/>
        <w:ind w:firstLine="567"/>
        <w:jc w:val="both"/>
      </w:pPr>
    </w:p>
    <w:p w14:paraId="2B0E9AD6" w14:textId="77777777" w:rsidR="00A2574B" w:rsidRPr="00A95C26" w:rsidRDefault="00A2574B" w:rsidP="00641F06">
      <w:pPr>
        <w:spacing w:line="360" w:lineRule="auto"/>
        <w:ind w:firstLine="567"/>
        <w:jc w:val="both"/>
      </w:pPr>
    </w:p>
    <w:p w14:paraId="0E7C3851" w14:textId="6524BC2E" w:rsidR="00204836" w:rsidRPr="00A95C26" w:rsidRDefault="00F74195" w:rsidP="00EA17C1">
      <w:pPr>
        <w:pStyle w:val="Nadpis1"/>
      </w:pPr>
      <w:r w:rsidRPr="00A95C26">
        <w:br w:type="page"/>
      </w:r>
      <w:bookmarkStart w:id="5" w:name="_Toc83234763"/>
      <w:bookmarkStart w:id="6" w:name="_Toc99636449"/>
      <w:bookmarkStart w:id="7" w:name="_Toc99657939"/>
      <w:bookmarkStart w:id="8" w:name="_Toc99659299"/>
      <w:r w:rsidR="00D64834" w:rsidRPr="00A95C26">
        <w:lastRenderedPageBreak/>
        <w:t xml:space="preserve">2 </w:t>
      </w:r>
      <w:r w:rsidR="00204836" w:rsidRPr="00A95C26">
        <w:t>Cíl práce a metodika</w:t>
      </w:r>
      <w:bookmarkEnd w:id="5"/>
      <w:bookmarkEnd w:id="6"/>
      <w:bookmarkEnd w:id="7"/>
      <w:bookmarkEnd w:id="8"/>
    </w:p>
    <w:p w14:paraId="4E89217D" w14:textId="4F6447B1" w:rsidR="00204836" w:rsidRPr="00A95C26" w:rsidRDefault="00D64834" w:rsidP="00641F06">
      <w:pPr>
        <w:pStyle w:val="Nadpis2"/>
        <w:jc w:val="both"/>
        <w:rPr>
          <w:lang w:val="cs-CZ"/>
        </w:rPr>
      </w:pPr>
      <w:bookmarkStart w:id="9" w:name="_Toc83234764"/>
      <w:bookmarkStart w:id="10" w:name="_Toc99636450"/>
      <w:bookmarkStart w:id="11" w:name="_Toc99657940"/>
      <w:bookmarkStart w:id="12" w:name="_Toc99659300"/>
      <w:r w:rsidRPr="00A95C26">
        <w:rPr>
          <w:lang w:val="cs-CZ"/>
        </w:rPr>
        <w:t xml:space="preserve">2.1 </w:t>
      </w:r>
      <w:r w:rsidR="00204836" w:rsidRPr="00A95C26">
        <w:rPr>
          <w:lang w:val="cs-CZ"/>
        </w:rPr>
        <w:t>Cíl práce</w:t>
      </w:r>
      <w:bookmarkEnd w:id="9"/>
      <w:bookmarkEnd w:id="10"/>
      <w:bookmarkEnd w:id="11"/>
      <w:bookmarkEnd w:id="12"/>
    </w:p>
    <w:p w14:paraId="7DD69CBC" w14:textId="794C7119" w:rsidR="00204836" w:rsidRPr="00A95C26" w:rsidRDefault="00A2574B" w:rsidP="00641F06">
      <w:pPr>
        <w:spacing w:line="360" w:lineRule="auto"/>
        <w:ind w:firstLine="567"/>
        <w:jc w:val="both"/>
      </w:pPr>
      <w:r w:rsidRPr="00A95C26">
        <w:t>Cílem této závěrečné práce je zjistit, co způsobilo vznik bublin na finančních trzích v poslední době. Diplomová práce se zabývá popisem struktury finančních bublin a analýzou příčin jejích vzniku pomoci vybraných metod. Jako jedna z vybraných metod je mravenčí model, v jeho rámci bude zkoumáno chování investorů. Dodatečným cílem diplomové práce je zjistit, zda analyzované finanční bubliny měly stejné důvody vzniku.</w:t>
      </w:r>
    </w:p>
    <w:p w14:paraId="2D47E0D1" w14:textId="357535FF" w:rsidR="00204836" w:rsidRPr="00A95C26" w:rsidRDefault="00D64834" w:rsidP="00641F06">
      <w:pPr>
        <w:pStyle w:val="Nadpis2"/>
        <w:jc w:val="both"/>
        <w:rPr>
          <w:lang w:val="cs-CZ"/>
        </w:rPr>
      </w:pPr>
      <w:bookmarkStart w:id="13" w:name="_Toc83234765"/>
      <w:bookmarkStart w:id="14" w:name="_Toc99636451"/>
      <w:bookmarkStart w:id="15" w:name="_Toc99657941"/>
      <w:bookmarkStart w:id="16" w:name="_Toc99659301"/>
      <w:r w:rsidRPr="00A95C26">
        <w:rPr>
          <w:lang w:val="cs-CZ"/>
        </w:rPr>
        <w:t>2.2</w:t>
      </w:r>
      <w:r w:rsidR="000C24B6" w:rsidRPr="00A95C26">
        <w:rPr>
          <w:lang w:val="cs-CZ"/>
        </w:rPr>
        <w:t xml:space="preserve"> </w:t>
      </w:r>
      <w:r w:rsidR="00204836" w:rsidRPr="00A95C26">
        <w:rPr>
          <w:lang w:val="cs-CZ"/>
        </w:rPr>
        <w:t>Metodika</w:t>
      </w:r>
      <w:bookmarkEnd w:id="13"/>
      <w:bookmarkEnd w:id="14"/>
      <w:bookmarkEnd w:id="15"/>
      <w:bookmarkEnd w:id="16"/>
    </w:p>
    <w:p w14:paraId="398889F8" w14:textId="73BC8557" w:rsidR="00204836" w:rsidRPr="00A95C26" w:rsidRDefault="00CD0F9D" w:rsidP="00641F06">
      <w:pPr>
        <w:spacing w:line="360" w:lineRule="auto"/>
        <w:ind w:firstLine="567"/>
        <w:jc w:val="both"/>
      </w:pPr>
      <w:r w:rsidRPr="00A95C26">
        <w:t>Metodika diplomové práce se skládá ze studia dostupné literatury a online zdrojů v souvislosti s vybraným problémem. Následně bude proveden výzkum dostupných dat ohledně finančních bublin, hledání spojitosti a podobných trendů. V závěrečné práci budou používané deskriptivní, matematické a statistické metody.</w:t>
      </w:r>
    </w:p>
    <w:p w14:paraId="4621B2FB" w14:textId="77777777" w:rsidR="00F74195" w:rsidRPr="00A95C26" w:rsidRDefault="00F74195" w:rsidP="00641F06">
      <w:pPr>
        <w:spacing w:line="360" w:lineRule="auto"/>
        <w:ind w:firstLine="567"/>
        <w:jc w:val="both"/>
      </w:pPr>
    </w:p>
    <w:p w14:paraId="15DC1064" w14:textId="4782728F" w:rsidR="00204836" w:rsidRPr="00A95C26" w:rsidRDefault="00F74195" w:rsidP="002B025E">
      <w:pPr>
        <w:pStyle w:val="Nadpis1"/>
      </w:pPr>
      <w:r w:rsidRPr="00A95C26">
        <w:br w:type="page"/>
      </w:r>
      <w:bookmarkStart w:id="17" w:name="_Toc83234766"/>
      <w:bookmarkStart w:id="18" w:name="_Toc99636452"/>
      <w:bookmarkStart w:id="19" w:name="_Toc99657942"/>
      <w:bookmarkStart w:id="20" w:name="_Toc99659302"/>
      <w:r w:rsidR="00D64834" w:rsidRPr="00A95C26">
        <w:lastRenderedPageBreak/>
        <w:t xml:space="preserve">3 </w:t>
      </w:r>
      <w:r w:rsidR="00204836" w:rsidRPr="00A95C26">
        <w:t>Teoretická východiska</w:t>
      </w:r>
      <w:bookmarkEnd w:id="17"/>
      <w:bookmarkEnd w:id="18"/>
      <w:bookmarkEnd w:id="19"/>
      <w:bookmarkEnd w:id="20"/>
    </w:p>
    <w:p w14:paraId="366D9190" w14:textId="5CA2EFCB" w:rsidR="00AA79F1" w:rsidRPr="00A95C26" w:rsidRDefault="00D64834" w:rsidP="00641F06">
      <w:pPr>
        <w:pStyle w:val="Nadpis2"/>
        <w:jc w:val="both"/>
        <w:rPr>
          <w:lang w:val="cs-CZ"/>
        </w:rPr>
      </w:pPr>
      <w:bookmarkStart w:id="21" w:name="_Toc83234767"/>
      <w:bookmarkStart w:id="22" w:name="_Toc99636453"/>
      <w:bookmarkStart w:id="23" w:name="_Toc99657943"/>
      <w:bookmarkStart w:id="24" w:name="_Toc99659303"/>
      <w:r w:rsidRPr="00A95C26">
        <w:rPr>
          <w:lang w:val="cs-CZ"/>
        </w:rPr>
        <w:t xml:space="preserve">3.1 </w:t>
      </w:r>
      <w:r w:rsidR="008B4B04" w:rsidRPr="00A95C26">
        <w:rPr>
          <w:lang w:val="cs-CZ"/>
        </w:rPr>
        <w:t>Finanční krize – základní pojmy</w:t>
      </w:r>
      <w:bookmarkEnd w:id="21"/>
      <w:bookmarkEnd w:id="22"/>
      <w:bookmarkEnd w:id="23"/>
      <w:bookmarkEnd w:id="24"/>
    </w:p>
    <w:p w14:paraId="5AE3DE60" w14:textId="1E9A2851" w:rsidR="008B4B04" w:rsidRPr="00A95C26" w:rsidRDefault="008B4B04" w:rsidP="00641F06">
      <w:pPr>
        <w:spacing w:line="360" w:lineRule="auto"/>
        <w:ind w:firstLine="567"/>
        <w:jc w:val="both"/>
      </w:pPr>
      <w:r w:rsidRPr="00A95C26">
        <w:t>V odborné literatuře se krize definuje různými způsoby. Krize rozhodně není pozitivní nebo žádoucí jev. Pojem krize zahrnuje jak hospodářské poruchy způsobené chybnými rozhodnutími měnových orgánů, vlád nebo způsobené jednáním spekulantů, tak přirozené recese související s průběhem hospodářského cyklu, které lze definovat jako ekonomické výkyvy uzavřené ve vymezeném rámci, tj. jako období od jedné konjunktury (tj. maximálního ekonomického růstu), přes maximální recesi, k další konjunktuře.</w:t>
      </w:r>
      <w:r w:rsidRPr="00A95C26">
        <w:rPr>
          <w:rStyle w:val="Znakapoznpodarou"/>
        </w:rPr>
        <w:footnoteReference w:id="2"/>
      </w:r>
    </w:p>
    <w:p w14:paraId="72D6FA2A" w14:textId="77777777" w:rsidR="008B4B04" w:rsidRPr="00A95C26" w:rsidRDefault="008B4B04" w:rsidP="00641F06">
      <w:pPr>
        <w:spacing w:line="360" w:lineRule="auto"/>
        <w:ind w:firstLine="567"/>
        <w:jc w:val="both"/>
      </w:pPr>
      <w:r w:rsidRPr="00A95C26">
        <w:t>Krizi lze definovat jako útlum vedoucí k výraznému poklesu výroby, a tím ke zpomalení tempa hospodářského růstu.</w:t>
      </w:r>
      <w:r w:rsidRPr="00A95C26">
        <w:rPr>
          <w:rStyle w:val="Znakapoznpodarou"/>
        </w:rPr>
        <w:footnoteReference w:id="3"/>
      </w:r>
    </w:p>
    <w:p w14:paraId="3C480FAD" w14:textId="77777777" w:rsidR="008B4B04" w:rsidRPr="00A95C26" w:rsidRDefault="008B4B04" w:rsidP="00641F06">
      <w:pPr>
        <w:spacing w:line="360" w:lineRule="auto"/>
        <w:ind w:firstLine="567"/>
        <w:jc w:val="both"/>
      </w:pPr>
      <w:r w:rsidRPr="00A95C26">
        <w:t>Krizi lze také definovat jako náhlou změnu, krizi, která vznikla na finančním trhu, spojenou s nedostatkem likvidity a platební neschopností subjektů účastnících se tohoto trhu, která nutí veřejné orgány k zásahu.</w:t>
      </w:r>
      <w:r w:rsidRPr="00A95C26">
        <w:rPr>
          <w:rStyle w:val="Znakapoznpodarou"/>
        </w:rPr>
        <w:footnoteReference w:id="4"/>
      </w:r>
    </w:p>
    <w:p w14:paraId="338E2169" w14:textId="32D22317" w:rsidR="008B4B04" w:rsidRPr="00A95C26" w:rsidRDefault="008B4B04" w:rsidP="00641F06">
      <w:pPr>
        <w:spacing w:line="360" w:lineRule="auto"/>
        <w:ind w:firstLine="567"/>
        <w:jc w:val="both"/>
      </w:pPr>
      <w:r w:rsidRPr="00A95C26">
        <w:t>Krize se mohou objevit v různých odvětvích, mohou se vyskytovat v menších či větších oblastech. Příčiny vzniku jednotlivých krizí se liší, stejně jako jejich průběh a dopady, ačkoli četné studie ukazují, že většina krizí zapadá do jednoho standardního modelu. Proto je lze dělit mnoha způsoby podle různých kritérií (viz tabulka 1).</w:t>
      </w:r>
    </w:p>
    <w:p w14:paraId="005F0665" w14:textId="77777777" w:rsidR="006F238B" w:rsidRPr="00A95C26" w:rsidRDefault="006F238B" w:rsidP="00641F06">
      <w:pPr>
        <w:spacing w:line="360" w:lineRule="auto"/>
        <w:ind w:firstLine="567"/>
        <w:jc w:val="both"/>
      </w:pPr>
      <w:r w:rsidRPr="00A95C26">
        <w:t>Finanční krize je nejčastěji definována jako epizody náhlých změn na finančním trhu zahrnující nedostatek likvidity a/nebo platební neschopnost účastníků trhu a zásahy veřejných orgánů, jejichž cílem je této situaci zabránit.</w:t>
      </w:r>
      <w:r w:rsidRPr="00A95C26">
        <w:rPr>
          <w:rStyle w:val="Znakapoznpodarou"/>
        </w:rPr>
        <w:footnoteReference w:id="5"/>
      </w:r>
    </w:p>
    <w:p w14:paraId="58850BCF" w14:textId="77777777" w:rsidR="006F238B" w:rsidRPr="00A95C26" w:rsidRDefault="006F238B" w:rsidP="00641F06">
      <w:pPr>
        <w:spacing w:line="360" w:lineRule="auto"/>
        <w:ind w:firstLine="567"/>
        <w:jc w:val="both"/>
      </w:pPr>
      <w:r w:rsidRPr="00A95C26">
        <w:t>K vysvětlení krizových jevů v moderní světové ekonomice se v poslední době velmi často používá model Minského. Příčiny zranitelnosti moderního finančního systému vidí autor v následujících faktorech</w:t>
      </w:r>
      <w:r w:rsidRPr="00A95C26">
        <w:rPr>
          <w:rStyle w:val="Znakapoznpodarou"/>
        </w:rPr>
        <w:footnoteReference w:id="6"/>
      </w:r>
      <w:r w:rsidRPr="00A95C26">
        <w:t>:</w:t>
      </w:r>
    </w:p>
    <w:p w14:paraId="0322EA1B" w14:textId="77777777" w:rsidR="006F238B" w:rsidRPr="00A95C26" w:rsidRDefault="006F238B" w:rsidP="00641F06">
      <w:pPr>
        <w:pStyle w:val="Odstavecseseznamem"/>
        <w:numPr>
          <w:ilvl w:val="0"/>
          <w:numId w:val="20"/>
        </w:numPr>
        <w:spacing w:before="100" w:beforeAutospacing="1" w:line="360" w:lineRule="auto"/>
        <w:jc w:val="both"/>
      </w:pPr>
      <w:r w:rsidRPr="00A95C26">
        <w:t>změna struktury financování (z interního na externí získané na finančním trhu);</w:t>
      </w:r>
    </w:p>
    <w:p w14:paraId="6D7BD0DE" w14:textId="77777777" w:rsidR="006F238B" w:rsidRPr="00A95C26" w:rsidRDefault="006F238B" w:rsidP="00641F06">
      <w:pPr>
        <w:pStyle w:val="Odstavecseseznamem"/>
        <w:numPr>
          <w:ilvl w:val="0"/>
          <w:numId w:val="20"/>
        </w:numPr>
        <w:spacing w:before="100" w:beforeAutospacing="1" w:line="360" w:lineRule="auto"/>
        <w:jc w:val="both"/>
      </w:pPr>
      <w:r w:rsidRPr="00A95C26">
        <w:t>změna struktury pasiv (zvýšení krátkodobého financování dlouhodobých investic, což má za následek překlopení tohoto dluhu);</w:t>
      </w:r>
    </w:p>
    <w:p w14:paraId="4208C44B" w14:textId="77777777" w:rsidR="006F238B" w:rsidRPr="00A95C26" w:rsidRDefault="006F238B" w:rsidP="00641F06">
      <w:pPr>
        <w:pStyle w:val="Odstavecseseznamem"/>
        <w:numPr>
          <w:ilvl w:val="0"/>
          <w:numId w:val="20"/>
        </w:numPr>
        <w:spacing w:before="100" w:beforeAutospacing="1" w:line="360" w:lineRule="auto"/>
        <w:jc w:val="both"/>
      </w:pPr>
      <w:r w:rsidRPr="00A95C26">
        <w:lastRenderedPageBreak/>
        <w:t>závislost splácení závazků na schopnosti přijímat nové závazky (závazky jsou často regulovány refinancováním, tj. přijímáním nových závazků);</w:t>
      </w:r>
    </w:p>
    <w:p w14:paraId="655F5486" w14:textId="77777777" w:rsidR="006F238B" w:rsidRPr="00A95C26" w:rsidRDefault="006F238B" w:rsidP="00641F06">
      <w:pPr>
        <w:pStyle w:val="Odstavecseseznamem"/>
        <w:numPr>
          <w:ilvl w:val="0"/>
          <w:numId w:val="20"/>
        </w:numPr>
        <w:spacing w:before="100" w:beforeAutospacing="1" w:line="360" w:lineRule="auto"/>
        <w:jc w:val="both"/>
      </w:pPr>
      <w:r w:rsidRPr="00A95C26">
        <w:t>dynamický rozvoj segmentu moderních finančních nástrojů;</w:t>
      </w:r>
    </w:p>
    <w:p w14:paraId="153A8C5F" w14:textId="77777777" w:rsidR="006F238B" w:rsidRPr="00A95C26" w:rsidRDefault="006F238B" w:rsidP="00641F06">
      <w:pPr>
        <w:pStyle w:val="Odstavecseseznamem"/>
        <w:numPr>
          <w:ilvl w:val="0"/>
          <w:numId w:val="20"/>
        </w:numPr>
        <w:spacing w:before="100" w:beforeAutospacing="1" w:line="360" w:lineRule="auto"/>
        <w:jc w:val="both"/>
      </w:pPr>
      <w:r w:rsidRPr="00A95C26">
        <w:t>změny v pojetí regulace finančního trhu (minimální zásahy);</w:t>
      </w:r>
    </w:p>
    <w:p w14:paraId="4298F0EA" w14:textId="5BE42B7B" w:rsidR="006F238B" w:rsidRPr="00A95C26" w:rsidRDefault="006F238B" w:rsidP="00641F06">
      <w:pPr>
        <w:pStyle w:val="Odstavecseseznamem"/>
        <w:numPr>
          <w:ilvl w:val="0"/>
          <w:numId w:val="20"/>
        </w:numPr>
        <w:spacing w:before="100" w:beforeAutospacing="1" w:line="360" w:lineRule="auto"/>
        <w:jc w:val="both"/>
      </w:pPr>
      <w:r w:rsidRPr="00A95C26">
        <w:t>zvýšení averze k riziku ze strany finančních institucí (to vyplývá ze snahy akcionářů, vlastníků dosahovat stále vyšších zisků, lepší míry výnosnosti, ale i z pomoci cenových bank v případě problémů).</w:t>
      </w:r>
    </w:p>
    <w:p w14:paraId="6EA49082" w14:textId="77777777" w:rsidR="008B4B04" w:rsidRPr="00A95C26" w:rsidRDefault="008B4B04" w:rsidP="00641F06">
      <w:pPr>
        <w:jc w:val="both"/>
      </w:pPr>
      <w:r w:rsidRPr="00A95C26">
        <w:t>Tabulka 1. Typy krizí</w:t>
      </w:r>
    </w:p>
    <w:tbl>
      <w:tblPr>
        <w:tblStyle w:val="Mkatabulky"/>
        <w:tblW w:w="0" w:type="auto"/>
        <w:tblLook w:val="04A0" w:firstRow="1" w:lastRow="0" w:firstColumn="1" w:lastColumn="0" w:noHBand="0" w:noVBand="1"/>
      </w:tblPr>
      <w:tblGrid>
        <w:gridCol w:w="4508"/>
        <w:gridCol w:w="4508"/>
      </w:tblGrid>
      <w:tr w:rsidR="008B4B04" w:rsidRPr="00A95C26" w14:paraId="1B1983B4" w14:textId="77777777" w:rsidTr="006F238B">
        <w:tc>
          <w:tcPr>
            <w:tcW w:w="4508" w:type="dxa"/>
          </w:tcPr>
          <w:p w14:paraId="3A48C37D" w14:textId="77777777" w:rsidR="008B4B04" w:rsidRPr="00A95C26" w:rsidRDefault="008B4B04" w:rsidP="00641F06">
            <w:pPr>
              <w:spacing w:before="100" w:beforeAutospacing="1" w:line="276" w:lineRule="auto"/>
              <w:jc w:val="both"/>
              <w:rPr>
                <w:b/>
                <w:bCs/>
              </w:rPr>
            </w:pPr>
            <w:r w:rsidRPr="00A95C26">
              <w:rPr>
                <w:b/>
                <w:bCs/>
              </w:rPr>
              <w:t>Kritérium přidělení</w:t>
            </w:r>
          </w:p>
        </w:tc>
        <w:tc>
          <w:tcPr>
            <w:tcW w:w="4508" w:type="dxa"/>
          </w:tcPr>
          <w:p w14:paraId="14805A6B" w14:textId="77777777" w:rsidR="008B4B04" w:rsidRPr="00A95C26" w:rsidRDefault="008B4B04" w:rsidP="00641F06">
            <w:pPr>
              <w:spacing w:before="100" w:beforeAutospacing="1" w:line="276" w:lineRule="auto"/>
              <w:jc w:val="both"/>
              <w:rPr>
                <w:b/>
                <w:bCs/>
              </w:rPr>
            </w:pPr>
            <w:r w:rsidRPr="00A95C26">
              <w:rPr>
                <w:b/>
                <w:bCs/>
              </w:rPr>
              <w:t>Typy krizí</w:t>
            </w:r>
          </w:p>
        </w:tc>
      </w:tr>
      <w:tr w:rsidR="008B4B04" w:rsidRPr="00A95C26" w14:paraId="6A0734CA" w14:textId="77777777" w:rsidTr="006F238B">
        <w:tc>
          <w:tcPr>
            <w:tcW w:w="4508" w:type="dxa"/>
          </w:tcPr>
          <w:p w14:paraId="3CDE5926" w14:textId="77777777" w:rsidR="008B4B04" w:rsidRPr="00A95C26" w:rsidRDefault="008B4B04" w:rsidP="00641F06">
            <w:pPr>
              <w:spacing w:before="100" w:beforeAutospacing="1" w:line="276" w:lineRule="auto"/>
              <w:jc w:val="both"/>
            </w:pPr>
            <w:r w:rsidRPr="00A95C26">
              <w:t>Sektor v krizi</w:t>
            </w:r>
          </w:p>
        </w:tc>
        <w:tc>
          <w:tcPr>
            <w:tcW w:w="4508" w:type="dxa"/>
          </w:tcPr>
          <w:p w14:paraId="390EC898" w14:textId="77777777" w:rsidR="008B4B04" w:rsidRPr="00A95C26" w:rsidRDefault="008B4B04" w:rsidP="00641F06">
            <w:pPr>
              <w:spacing w:line="276" w:lineRule="auto"/>
              <w:jc w:val="both"/>
            </w:pPr>
            <w:r w:rsidRPr="00A95C26">
              <w:t>- banky;</w:t>
            </w:r>
          </w:p>
          <w:p w14:paraId="07323521" w14:textId="77777777" w:rsidR="008B4B04" w:rsidRPr="00A95C26" w:rsidRDefault="008B4B04" w:rsidP="00641F06">
            <w:pPr>
              <w:spacing w:line="276" w:lineRule="auto"/>
              <w:jc w:val="both"/>
            </w:pPr>
            <w:r w:rsidRPr="00A95C26">
              <w:t>- finance;</w:t>
            </w:r>
          </w:p>
          <w:p w14:paraId="2C2CF886" w14:textId="77777777" w:rsidR="008B4B04" w:rsidRPr="00A95C26" w:rsidRDefault="008B4B04" w:rsidP="00641F06">
            <w:pPr>
              <w:spacing w:line="276" w:lineRule="auto"/>
              <w:jc w:val="both"/>
            </w:pPr>
            <w:r w:rsidRPr="00A95C26">
              <w:t>- peněžní;</w:t>
            </w:r>
          </w:p>
          <w:p w14:paraId="5446F5BC" w14:textId="77777777" w:rsidR="008B4B04" w:rsidRPr="00A95C26" w:rsidRDefault="008B4B04" w:rsidP="00641F06">
            <w:pPr>
              <w:spacing w:line="276" w:lineRule="auto"/>
              <w:jc w:val="both"/>
            </w:pPr>
            <w:r w:rsidRPr="00A95C26">
              <w:t>- ekonomické – devizové;</w:t>
            </w:r>
          </w:p>
          <w:p w14:paraId="414E0AF5" w14:textId="77777777" w:rsidR="008B4B04" w:rsidRPr="00A95C26" w:rsidRDefault="008B4B04" w:rsidP="00641F06">
            <w:pPr>
              <w:spacing w:line="276" w:lineRule="auto"/>
              <w:jc w:val="both"/>
            </w:pPr>
            <w:r w:rsidRPr="00A95C26">
              <w:t>- dluhy.</w:t>
            </w:r>
          </w:p>
        </w:tc>
      </w:tr>
      <w:tr w:rsidR="008B4B04" w:rsidRPr="00A95C26" w14:paraId="108F728B" w14:textId="77777777" w:rsidTr="006F238B">
        <w:tc>
          <w:tcPr>
            <w:tcW w:w="4508" w:type="dxa"/>
          </w:tcPr>
          <w:p w14:paraId="318116C8" w14:textId="77777777" w:rsidR="008B4B04" w:rsidRPr="00A95C26" w:rsidRDefault="008B4B04" w:rsidP="00641F06">
            <w:pPr>
              <w:spacing w:before="100" w:beforeAutospacing="1" w:line="276" w:lineRule="auto"/>
              <w:jc w:val="both"/>
            </w:pPr>
            <w:r w:rsidRPr="00A95C26">
              <w:t>Oblast, ve kterém se vyskytuje</w:t>
            </w:r>
          </w:p>
        </w:tc>
        <w:tc>
          <w:tcPr>
            <w:tcW w:w="4508" w:type="dxa"/>
          </w:tcPr>
          <w:p w14:paraId="4053B1A0" w14:textId="77777777" w:rsidR="008B4B04" w:rsidRPr="00A95C26" w:rsidRDefault="008B4B04" w:rsidP="00641F06">
            <w:pPr>
              <w:spacing w:line="276" w:lineRule="auto"/>
              <w:jc w:val="both"/>
            </w:pPr>
            <w:r w:rsidRPr="00A95C26">
              <w:t>- národní;</w:t>
            </w:r>
          </w:p>
          <w:p w14:paraId="65D21F17" w14:textId="77777777" w:rsidR="008B4B04" w:rsidRPr="00A95C26" w:rsidRDefault="008B4B04" w:rsidP="00641F06">
            <w:pPr>
              <w:spacing w:line="276" w:lineRule="auto"/>
              <w:jc w:val="both"/>
            </w:pPr>
            <w:r w:rsidRPr="00A95C26">
              <w:t>- regionální;</w:t>
            </w:r>
          </w:p>
          <w:p w14:paraId="48FF98A3" w14:textId="77777777" w:rsidR="008B4B04" w:rsidRPr="00A95C26" w:rsidRDefault="008B4B04" w:rsidP="00641F06">
            <w:pPr>
              <w:spacing w:line="276" w:lineRule="auto"/>
              <w:jc w:val="both"/>
            </w:pPr>
            <w:r w:rsidRPr="00A95C26">
              <w:t>- globální.</w:t>
            </w:r>
          </w:p>
        </w:tc>
      </w:tr>
      <w:tr w:rsidR="008B4B04" w:rsidRPr="00A95C26" w14:paraId="42513797" w14:textId="77777777" w:rsidTr="006F238B">
        <w:tc>
          <w:tcPr>
            <w:tcW w:w="4508" w:type="dxa"/>
          </w:tcPr>
          <w:p w14:paraId="6A2A035A" w14:textId="77777777" w:rsidR="008B4B04" w:rsidRPr="00A95C26" w:rsidRDefault="008B4B04" w:rsidP="00641F06">
            <w:pPr>
              <w:spacing w:before="100" w:beforeAutospacing="1" w:line="276" w:lineRule="auto"/>
              <w:jc w:val="both"/>
            </w:pPr>
            <w:r w:rsidRPr="00A95C26">
              <w:t>Způsob vzniku</w:t>
            </w:r>
          </w:p>
        </w:tc>
        <w:tc>
          <w:tcPr>
            <w:tcW w:w="4508" w:type="dxa"/>
          </w:tcPr>
          <w:p w14:paraId="68CF9120" w14:textId="77777777" w:rsidR="008B4B04" w:rsidRPr="00A95C26" w:rsidRDefault="008B4B04" w:rsidP="0091726E">
            <w:pPr>
              <w:spacing w:line="276" w:lineRule="auto"/>
            </w:pPr>
            <w:r w:rsidRPr="00A95C26">
              <w:t>- individuální krize – způsobené ztrátami jednotlivých finančních institucí;</w:t>
            </w:r>
          </w:p>
          <w:p w14:paraId="7DFF5502" w14:textId="77777777" w:rsidR="008B4B04" w:rsidRPr="00A95C26" w:rsidRDefault="008B4B04" w:rsidP="0091726E">
            <w:pPr>
              <w:spacing w:line="276" w:lineRule="auto"/>
            </w:pPr>
            <w:r w:rsidRPr="00A95C26">
              <w:t>- spekulativní krize – způsobené strategickými aktivitami jednotlivců spekulujících na ceny nebo burzovní indexy;</w:t>
            </w:r>
          </w:p>
          <w:p w14:paraId="476D2C81" w14:textId="77777777" w:rsidR="008B4B04" w:rsidRPr="00A95C26" w:rsidRDefault="008B4B04" w:rsidP="0091726E">
            <w:pPr>
              <w:spacing w:line="276" w:lineRule="auto"/>
            </w:pPr>
            <w:r w:rsidRPr="00A95C26">
              <w:t>- krize bankovního systému – nejzávažnější typ krizí, spojené s platební neschopností a nedostatkem likvidity účastníků finančního sektoru.</w:t>
            </w:r>
          </w:p>
        </w:tc>
      </w:tr>
    </w:tbl>
    <w:p w14:paraId="40CE76D2" w14:textId="77777777" w:rsidR="008B4B04" w:rsidRPr="00A95C26" w:rsidRDefault="008B4B04" w:rsidP="00641F06">
      <w:pPr>
        <w:spacing w:before="100" w:beforeAutospacing="1" w:line="360" w:lineRule="auto"/>
        <w:jc w:val="both"/>
      </w:pPr>
      <w:r w:rsidRPr="00A95C26">
        <w:t>Zdroj: vlastní zpracování na základě</w:t>
      </w:r>
      <w:r w:rsidRPr="00A95C26">
        <w:rPr>
          <w:rStyle w:val="Znakapoznpodarou"/>
        </w:rPr>
        <w:footnoteReference w:id="7"/>
      </w:r>
    </w:p>
    <w:p w14:paraId="061B0669" w14:textId="77777777" w:rsidR="008B4B04" w:rsidRPr="00A95C26" w:rsidRDefault="008B4B04" w:rsidP="00641F06">
      <w:pPr>
        <w:spacing w:line="360" w:lineRule="auto"/>
        <w:ind w:firstLine="567"/>
        <w:jc w:val="both"/>
      </w:pPr>
      <w:r w:rsidRPr="00A95C26">
        <w:t>Minsky</w:t>
      </w:r>
      <w:r w:rsidRPr="00A95C26">
        <w:rPr>
          <w:rStyle w:val="Znakapoznpodarou"/>
        </w:rPr>
        <w:footnoteReference w:id="8"/>
      </w:r>
      <w:r w:rsidRPr="00A95C26">
        <w:t xml:space="preserve"> ve svém modelu poznamenal, že finanční krize může být způsobena ekonomickou stabilitou, která podporuje růst optimismu na trhu, což se promítá do zvýšených prognóz ziskovosti v některých oblastech, které jsou zase příčinou zvýšeného počtu investic, a tím i zvýšeného poskytování úvěrů, během nichž:</w:t>
      </w:r>
    </w:p>
    <w:p w14:paraId="55D18D82" w14:textId="77777777" w:rsidR="008B4B04" w:rsidRPr="00A95C26" w:rsidRDefault="008B4B04" w:rsidP="00641F06">
      <w:pPr>
        <w:pStyle w:val="Odstavecseseznamem"/>
        <w:numPr>
          <w:ilvl w:val="0"/>
          <w:numId w:val="21"/>
        </w:numPr>
        <w:spacing w:before="100" w:beforeAutospacing="1" w:line="360" w:lineRule="auto"/>
        <w:jc w:val="both"/>
      </w:pPr>
      <w:r w:rsidRPr="00A95C26">
        <w:t xml:space="preserve">investoři, kteří vidí dobrou situaci na trhu a zvýšené možnosti úvěrů, začínají investovat do stále rizikovějších podniků, zvyšuje se jejich ochota zadlužovat se (spotřebitelské </w:t>
      </w:r>
      <w:r w:rsidRPr="00A95C26">
        <w:lastRenderedPageBreak/>
        <w:t>úvěry – na nákup bytů, domů, automobilů; investiční úvěry – na rozvoj podnikatelské činnosti a spekulativní úvěry – na nákup majetku spojeného s touhou po zisku);</w:t>
      </w:r>
    </w:p>
    <w:p w14:paraId="632EAA3D" w14:textId="77777777" w:rsidR="008B4B04" w:rsidRPr="00A95C26" w:rsidRDefault="008B4B04" w:rsidP="00641F06">
      <w:pPr>
        <w:pStyle w:val="Odstavecseseznamem"/>
        <w:numPr>
          <w:ilvl w:val="0"/>
          <w:numId w:val="21"/>
        </w:numPr>
        <w:spacing w:before="100" w:beforeAutospacing="1" w:line="360" w:lineRule="auto"/>
        <w:jc w:val="both"/>
      </w:pPr>
      <w:r w:rsidRPr="00A95C26">
        <w:t>banky půjčují peníze subjektům, kterým již dříve poskytly úvěr;</w:t>
      </w:r>
    </w:p>
    <w:p w14:paraId="1045C339" w14:textId="77777777" w:rsidR="008B4B04" w:rsidRPr="00A95C26" w:rsidRDefault="008B4B04" w:rsidP="00641F06">
      <w:pPr>
        <w:pStyle w:val="Odstavecseseznamem"/>
        <w:numPr>
          <w:ilvl w:val="0"/>
          <w:numId w:val="21"/>
        </w:numPr>
        <w:spacing w:before="100" w:beforeAutospacing="1" w:line="360" w:lineRule="auto"/>
        <w:jc w:val="both"/>
      </w:pPr>
      <w:r w:rsidRPr="00A95C26">
        <w:t>vzniká proces následování vůdce, který spočívá v neustálém zvyšování počtu účastníků trhu, kteří chtějí také vydělat peníze;</w:t>
      </w:r>
    </w:p>
    <w:p w14:paraId="5F5F2C1C" w14:textId="77777777" w:rsidR="008B4B04" w:rsidRPr="00A95C26" w:rsidRDefault="008B4B04" w:rsidP="00641F06">
      <w:pPr>
        <w:pStyle w:val="Odstavecseseznamem"/>
        <w:numPr>
          <w:ilvl w:val="0"/>
          <w:numId w:val="21"/>
        </w:numPr>
        <w:spacing w:before="100" w:beforeAutospacing="1" w:line="360" w:lineRule="auto"/>
        <w:jc w:val="both"/>
      </w:pPr>
      <w:r w:rsidRPr="00A95C26">
        <w:t>vzniká spekulativní bublina (vedle malého počtu iracionálních, nerentabilních investic), která vede k nadměrnému zadlužení subjektů, problémům s likviditou na finančních trzích. V důsledku toho může bublina splasknout, což může mít velmi negativní dopad na ekonomické subjekty, národní ekonomiky jednotlivých zemí i na světovou ekonomiku jako celek.</w:t>
      </w:r>
    </w:p>
    <w:p w14:paraId="612C162C" w14:textId="77777777" w:rsidR="008B4B04" w:rsidRPr="00A95C26" w:rsidRDefault="008B4B04" w:rsidP="00641F06">
      <w:pPr>
        <w:spacing w:line="360" w:lineRule="auto"/>
        <w:ind w:firstLine="567"/>
        <w:jc w:val="both"/>
      </w:pPr>
      <w:r w:rsidRPr="00A95C26">
        <w:t>V první fázi jsou investoři nadšeni novým produktem, například novým typem společnosti nebo novými finančními produkty, jako jsou rizikové hypotéky. Ve druhé fázi dochází k rozkvětu trhu – spekulanti začínají inkasovat zisky z investic do nových produktů a zároveň existují vyhlídky na další zisky. Třetí fází je euforie, která se projevuje tím, že se na trhu objevuje stále větší počet investorů, stále více lidí je ochotno si vzít úvěr na investice, banky rozšiřují úvěrové možnosti a zároveň snižují požadavky na dlužníky, což dále zvyšuje úvěrovou aktivitu. V této fázi navíc finanční instituce vytvářejí nové nástroje, jejichž prostřednictvím se zvyšuje jejich expozice na trhu, a mezi investory existuje obecná tendence se na tom podílet. Stádní instinkt investorů je zde velmi silný. Čtvrtou fází je vybírání zisků – bublina dosáhne vrcholu, ceny jsou stlačeny na hranici, drobní investoři dosahují velkých zisků, stahují je z trhu, a to vede k poslední fázi, kterou je panika. Když se bublina začne zmenšovat, dřívější nadšení okamžitě vystřídá extrémní pesimismus. Investoři se začnou co nejrychleji zbavovat svého majetku. Dlužníci přestávají splácet své úvěry a bankovní aktiva se s poklesem cen rychle propadají. Nastává „Minsky moment“, když jsou banky a další věřitelé nuceni okamžitě prodat i bezpečná aktiva, aby splatili nesplacené závazky.</w:t>
      </w:r>
      <w:r w:rsidRPr="00A95C26">
        <w:rPr>
          <w:rStyle w:val="Znakapoznpodarou"/>
        </w:rPr>
        <w:footnoteReference w:id="9"/>
      </w:r>
    </w:p>
    <w:p w14:paraId="0084CB46" w14:textId="244EAAF3" w:rsidR="008B4B04" w:rsidRPr="00A95C26" w:rsidRDefault="008B4B04" w:rsidP="00641F06">
      <w:pPr>
        <w:spacing w:line="360" w:lineRule="auto"/>
        <w:ind w:firstLine="567"/>
        <w:jc w:val="both"/>
      </w:pPr>
      <w:r w:rsidRPr="00A95C26">
        <w:t xml:space="preserve">Hypotéza nestability finančního systému, kterou vytvořil </w:t>
      </w:r>
      <w:proofErr w:type="spellStart"/>
      <w:r w:rsidRPr="00A95C26">
        <w:t>Hyman</w:t>
      </w:r>
      <w:proofErr w:type="spellEnd"/>
      <w:r w:rsidRPr="00A95C26">
        <w:t xml:space="preserve"> Minsky, říká, že čím delší doba uplyne od poslední krize, tím větší je sklon bank k riskování. Můžeme rozlišit tři fáze podstupování rizika bankami. První se nazývá zajišťovací financování – fáze opatrného poskytování úvěrů, kdy banky poskytují úvěry pouze takovým dlužníkům, kteří budou jistě schopni splácet splátky a úroky. Druhá fáze – spekulativní financování – je fáze, ve které banky poskytují úvěry i takovým dlužníkům, kteří jsou schopni splácet úroky, přičemž jejich schopnost splácet splátky kapitálu závisí na udržení vysokého tempa hospodářského růstu a na </w:t>
      </w:r>
      <w:r w:rsidRPr="00A95C26">
        <w:lastRenderedPageBreak/>
        <w:t xml:space="preserve">něm závislém růstu příjmů v ekonomice. Ve třetí fázi – nazývané podle tvůrce největší finanční pyramidy </w:t>
      </w:r>
      <w:proofErr w:type="spellStart"/>
      <w:r w:rsidRPr="00A95C26">
        <w:t>Ponziho</w:t>
      </w:r>
      <w:proofErr w:type="spellEnd"/>
      <w:r w:rsidRPr="00A95C26">
        <w:t xml:space="preserve"> financování – jsou banky ochotny poskytovat úvěry i takovým dlužníkům, kteří nejsou schopni splácet ani úroky, ani splátky jistiny, ale využívají úvěry k nákupu majetku, jehož ceny rostou, zejména nemovitostí. Důvodem je skutečnost, že hospodářská konjunktura trvala poměrně dlouho, a proto byla ostražitost bank otupena. Takové úvěry označované jako </w:t>
      </w:r>
      <w:proofErr w:type="spellStart"/>
      <w:r w:rsidRPr="00A95C26">
        <w:t>subprime</w:t>
      </w:r>
      <w:proofErr w:type="spellEnd"/>
      <w:r w:rsidRPr="00A95C26">
        <w:t xml:space="preserve"> vytvářejí zvláštní finanční pyramidu, protože dlužníci, kteří nejsou schopni je splácet ze svých současných příjmů, tak mohou učinit pouze prostřednictvím refinancování, tj. vzít si další úvěr proti rostoucím cenám domů a tímto způsobem splácet úvěr dalším úvěrem.</w:t>
      </w:r>
      <w:r w:rsidRPr="00A95C26">
        <w:rPr>
          <w:rStyle w:val="Znakapoznpodarou"/>
        </w:rPr>
        <w:footnoteReference w:id="10"/>
      </w:r>
    </w:p>
    <w:p w14:paraId="7497C80B" w14:textId="0738DD41" w:rsidR="00AA79F1" w:rsidRPr="00A95C26" w:rsidRDefault="00D64834" w:rsidP="00641F06">
      <w:pPr>
        <w:pStyle w:val="Nadpis2"/>
        <w:jc w:val="both"/>
        <w:rPr>
          <w:lang w:val="cs-CZ"/>
        </w:rPr>
      </w:pPr>
      <w:bookmarkStart w:id="25" w:name="_Toc83234768"/>
      <w:bookmarkStart w:id="26" w:name="_Toc99636454"/>
      <w:bookmarkStart w:id="27" w:name="_Toc99657944"/>
      <w:bookmarkStart w:id="28" w:name="_Toc99659304"/>
      <w:r w:rsidRPr="00A95C26">
        <w:rPr>
          <w:lang w:val="cs-CZ"/>
        </w:rPr>
        <w:t xml:space="preserve">3.2 </w:t>
      </w:r>
      <w:r w:rsidR="009148E2" w:rsidRPr="00A95C26">
        <w:rPr>
          <w:lang w:val="cs-CZ"/>
        </w:rPr>
        <w:t>Historický pohled na finanční krizi</w:t>
      </w:r>
      <w:bookmarkEnd w:id="25"/>
      <w:bookmarkEnd w:id="26"/>
      <w:bookmarkEnd w:id="27"/>
      <w:bookmarkEnd w:id="28"/>
    </w:p>
    <w:p w14:paraId="39B933F7" w14:textId="77777777" w:rsidR="009148E2" w:rsidRPr="00A95C26" w:rsidRDefault="009148E2" w:rsidP="00641F06">
      <w:pPr>
        <w:spacing w:line="360" w:lineRule="auto"/>
        <w:ind w:firstLine="567"/>
        <w:jc w:val="both"/>
      </w:pPr>
      <w:r w:rsidRPr="00A95C26">
        <w:t>Finanční krize je jev, který je nedílnou součástí ekonomiky. S rozvojem ekonomik se zvyšuje počet krizí a jejich význam. Tento nárůst je patrný zejména ve 20. století, kdy došlo k liberalizaci komoditních a finančních toků, rozvoji finančních trhů, deregulaci mnoha oblastí hospodářství a postupné globalizaci. Každá další krize měla podobné příčiny, přišla náhle, ale po určitém sledu událostí, a stále rychleji se šířila do dalších zemí.</w:t>
      </w:r>
    </w:p>
    <w:p w14:paraId="57B0EA8B" w14:textId="3C2E3128" w:rsidR="008B4B04" w:rsidRDefault="009148E2" w:rsidP="00641F06">
      <w:pPr>
        <w:spacing w:line="360" w:lineRule="auto"/>
        <w:ind w:firstLine="567"/>
        <w:jc w:val="both"/>
      </w:pPr>
      <w:r w:rsidRPr="00A95C26">
        <w:t>Většina krizí se vyvíjí velmi podobně, podle stejného nebo velmi podobného scénáře. Obvykle začínají spekulativní bublinou, která spočívá v tom, že cena určitého zboží (např. nemovitostí, akcií) výrazně převyšuje jeho reálnou hodnotu. V takové situaci je nejběžnější kumulace dluhu a zvyšování nabídky úvěrů, protože investoři si berou úvěry na nákup dražších aktiv. Obvykle je příčinou slabý finanční dohled a příliš liberální pravidla fungování finančního systému nebo přílišné uvolnění měnové politiky centrální bankou.</w:t>
      </w:r>
      <w:r w:rsidRPr="00A95C26">
        <w:rPr>
          <w:rStyle w:val="Znakapoznpodarou"/>
        </w:rPr>
        <w:footnoteReference w:id="11"/>
      </w:r>
    </w:p>
    <w:p w14:paraId="53209F73" w14:textId="2591E967" w:rsidR="00D962E9" w:rsidRPr="00A95C26" w:rsidRDefault="00D962E9" w:rsidP="00641F06">
      <w:pPr>
        <w:spacing w:line="360" w:lineRule="auto"/>
        <w:ind w:firstLine="567"/>
        <w:jc w:val="both"/>
      </w:pPr>
      <w:r w:rsidRPr="00A95C26">
        <w:t>Jednou z největších a nejzávažnějších finančních krizí byla Velká hospodářská krize na konci 20. let 20. století. Po první světové válce stály Spojené státy v čele světové ekonomiky. Obnova zemí zničených po válce povzbudila průmysl a celou americkou ekonomiku, americké podniky dosahovaly mimořádně vysokých zisků, docházelo k akumulaci kapitálu a Američané měli stále větší zájem o akcie dynamicky se rozvíjejících podniků. Tato zvýšená investiční aktivita na trhu s cennými papíry vedla na konci 20. let ke vzniku spekulativní bubliny. Úvěrová akce rostla, ceny akcií se zvyšovaly až do pádu banky a zhroucení trhu s cennými papíry.</w:t>
      </w:r>
      <w:r w:rsidRPr="00A95C26">
        <w:rPr>
          <w:rStyle w:val="Znakapoznpodarou"/>
        </w:rPr>
        <w:footnoteReference w:id="12"/>
      </w:r>
    </w:p>
    <w:p w14:paraId="2C35FA58" w14:textId="77777777" w:rsidR="00D140FC" w:rsidRPr="00A95C26" w:rsidRDefault="00D140FC" w:rsidP="00641F06">
      <w:pPr>
        <w:jc w:val="both"/>
      </w:pPr>
      <w:r w:rsidRPr="00A95C26">
        <w:br w:type="page"/>
      </w:r>
    </w:p>
    <w:p w14:paraId="3AC22123" w14:textId="4820C518" w:rsidR="009148E2" w:rsidRPr="00A95C26" w:rsidRDefault="009148E2" w:rsidP="00641F06">
      <w:pPr>
        <w:jc w:val="both"/>
      </w:pPr>
      <w:r w:rsidRPr="00A95C26">
        <w:lastRenderedPageBreak/>
        <w:t>Tabulka 2. Vybrané finanční krize 20. století</w:t>
      </w:r>
    </w:p>
    <w:tbl>
      <w:tblPr>
        <w:tblStyle w:val="Mkatabulky"/>
        <w:tblW w:w="0" w:type="auto"/>
        <w:tblLook w:val="04A0" w:firstRow="1" w:lastRow="0" w:firstColumn="1" w:lastColumn="0" w:noHBand="0" w:noVBand="1"/>
      </w:tblPr>
      <w:tblGrid>
        <w:gridCol w:w="846"/>
        <w:gridCol w:w="1801"/>
        <w:gridCol w:w="1990"/>
        <w:gridCol w:w="1536"/>
        <w:gridCol w:w="1384"/>
        <w:gridCol w:w="1459"/>
      </w:tblGrid>
      <w:tr w:rsidR="009148E2" w:rsidRPr="00A95C26" w14:paraId="4F8F79D9" w14:textId="77777777" w:rsidTr="0091726E">
        <w:tc>
          <w:tcPr>
            <w:tcW w:w="846" w:type="dxa"/>
          </w:tcPr>
          <w:p w14:paraId="447E110F" w14:textId="77777777" w:rsidR="009148E2" w:rsidRPr="00A95C26" w:rsidRDefault="009148E2" w:rsidP="00641F06">
            <w:pPr>
              <w:spacing w:line="276" w:lineRule="auto"/>
              <w:contextualSpacing/>
              <w:jc w:val="both"/>
              <w:rPr>
                <w:b/>
                <w:bCs/>
              </w:rPr>
            </w:pPr>
            <w:r w:rsidRPr="00A95C26">
              <w:rPr>
                <w:b/>
                <w:bCs/>
              </w:rPr>
              <w:t>Rok</w:t>
            </w:r>
          </w:p>
        </w:tc>
        <w:tc>
          <w:tcPr>
            <w:tcW w:w="1801" w:type="dxa"/>
          </w:tcPr>
          <w:p w14:paraId="33614205" w14:textId="77777777" w:rsidR="009148E2" w:rsidRPr="00A95C26" w:rsidRDefault="009148E2" w:rsidP="00641F06">
            <w:pPr>
              <w:spacing w:line="276" w:lineRule="auto"/>
              <w:contextualSpacing/>
              <w:jc w:val="both"/>
              <w:rPr>
                <w:b/>
                <w:bCs/>
              </w:rPr>
            </w:pPr>
            <w:r w:rsidRPr="00A95C26">
              <w:rPr>
                <w:b/>
                <w:bCs/>
              </w:rPr>
              <w:t>Země</w:t>
            </w:r>
          </w:p>
        </w:tc>
        <w:tc>
          <w:tcPr>
            <w:tcW w:w="1990" w:type="dxa"/>
          </w:tcPr>
          <w:p w14:paraId="352E7DED" w14:textId="77777777" w:rsidR="009148E2" w:rsidRPr="00A95C26" w:rsidRDefault="009148E2" w:rsidP="00641F06">
            <w:pPr>
              <w:spacing w:line="276" w:lineRule="auto"/>
              <w:contextualSpacing/>
              <w:jc w:val="both"/>
              <w:rPr>
                <w:b/>
                <w:bCs/>
              </w:rPr>
            </w:pPr>
            <w:r w:rsidRPr="00A95C26">
              <w:rPr>
                <w:b/>
                <w:bCs/>
              </w:rPr>
              <w:t>Faktor vyvolávající spekulativní bublinu</w:t>
            </w:r>
          </w:p>
        </w:tc>
        <w:tc>
          <w:tcPr>
            <w:tcW w:w="1536" w:type="dxa"/>
          </w:tcPr>
          <w:p w14:paraId="53A1CB35" w14:textId="77777777" w:rsidR="009148E2" w:rsidRPr="00A95C26" w:rsidRDefault="009148E2" w:rsidP="00641F06">
            <w:pPr>
              <w:spacing w:line="276" w:lineRule="auto"/>
              <w:contextualSpacing/>
              <w:jc w:val="both"/>
              <w:rPr>
                <w:b/>
                <w:bCs/>
              </w:rPr>
            </w:pPr>
            <w:r w:rsidRPr="00A95C26">
              <w:rPr>
                <w:b/>
                <w:bCs/>
              </w:rPr>
              <w:t>Faktor zesílení poptávky</w:t>
            </w:r>
          </w:p>
        </w:tc>
        <w:tc>
          <w:tcPr>
            <w:tcW w:w="1384" w:type="dxa"/>
          </w:tcPr>
          <w:p w14:paraId="00FD8F7E" w14:textId="77777777" w:rsidR="009148E2" w:rsidRPr="00A95C26" w:rsidRDefault="009148E2" w:rsidP="00641F06">
            <w:pPr>
              <w:spacing w:line="276" w:lineRule="auto"/>
              <w:contextualSpacing/>
              <w:jc w:val="both"/>
              <w:rPr>
                <w:b/>
                <w:bCs/>
              </w:rPr>
            </w:pPr>
            <w:r w:rsidRPr="00A95C26">
              <w:rPr>
                <w:b/>
                <w:bCs/>
              </w:rPr>
              <w:t>Špičková spekulace (rok)</w:t>
            </w:r>
          </w:p>
        </w:tc>
        <w:tc>
          <w:tcPr>
            <w:tcW w:w="1459" w:type="dxa"/>
          </w:tcPr>
          <w:p w14:paraId="1A768315" w14:textId="77777777" w:rsidR="009148E2" w:rsidRPr="00A95C26" w:rsidRDefault="009148E2" w:rsidP="00641F06">
            <w:pPr>
              <w:spacing w:line="276" w:lineRule="auto"/>
              <w:contextualSpacing/>
              <w:jc w:val="both"/>
              <w:rPr>
                <w:b/>
                <w:bCs/>
              </w:rPr>
            </w:pPr>
            <w:r w:rsidRPr="00A95C26">
              <w:rPr>
                <w:b/>
                <w:bCs/>
              </w:rPr>
              <w:t>Krize, krach, panika (rok)</w:t>
            </w:r>
          </w:p>
        </w:tc>
      </w:tr>
      <w:tr w:rsidR="009148E2" w:rsidRPr="00A95C26" w14:paraId="4B809AE1" w14:textId="77777777" w:rsidTr="0091726E">
        <w:tc>
          <w:tcPr>
            <w:tcW w:w="846" w:type="dxa"/>
          </w:tcPr>
          <w:p w14:paraId="4E42482B" w14:textId="77777777" w:rsidR="009148E2" w:rsidRPr="00A95C26" w:rsidRDefault="009148E2" w:rsidP="00641F06">
            <w:pPr>
              <w:spacing w:line="276" w:lineRule="auto"/>
              <w:contextualSpacing/>
              <w:jc w:val="both"/>
            </w:pPr>
            <w:r w:rsidRPr="00A95C26">
              <w:t>1929</w:t>
            </w:r>
          </w:p>
        </w:tc>
        <w:tc>
          <w:tcPr>
            <w:tcW w:w="1801" w:type="dxa"/>
          </w:tcPr>
          <w:p w14:paraId="5FD782F8" w14:textId="77777777" w:rsidR="009148E2" w:rsidRPr="00A95C26" w:rsidRDefault="009148E2" w:rsidP="00641F06">
            <w:pPr>
              <w:spacing w:line="276" w:lineRule="auto"/>
              <w:contextualSpacing/>
              <w:jc w:val="both"/>
            </w:pPr>
            <w:r w:rsidRPr="00A95C26">
              <w:t>USA</w:t>
            </w:r>
          </w:p>
        </w:tc>
        <w:tc>
          <w:tcPr>
            <w:tcW w:w="1990" w:type="dxa"/>
          </w:tcPr>
          <w:p w14:paraId="69C84CC4" w14:textId="77777777" w:rsidR="009148E2" w:rsidRPr="00A95C26" w:rsidRDefault="009148E2" w:rsidP="00641F06">
            <w:pPr>
              <w:spacing w:line="276" w:lineRule="auto"/>
              <w:contextualSpacing/>
              <w:jc w:val="both"/>
            </w:pPr>
            <w:r w:rsidRPr="00A95C26">
              <w:t>Silný růst cen pozemků a akcií</w:t>
            </w:r>
          </w:p>
        </w:tc>
        <w:tc>
          <w:tcPr>
            <w:tcW w:w="1536" w:type="dxa"/>
          </w:tcPr>
          <w:p w14:paraId="4435F1E4" w14:textId="77777777" w:rsidR="009148E2" w:rsidRPr="00A95C26" w:rsidRDefault="009148E2" w:rsidP="00641F06">
            <w:pPr>
              <w:spacing w:line="276" w:lineRule="auto"/>
              <w:contextualSpacing/>
              <w:jc w:val="both"/>
            </w:pPr>
            <w:r w:rsidRPr="00A95C26">
              <w:t>Akcie nakoupené na úvěr</w:t>
            </w:r>
          </w:p>
        </w:tc>
        <w:tc>
          <w:tcPr>
            <w:tcW w:w="1384" w:type="dxa"/>
          </w:tcPr>
          <w:p w14:paraId="648D86E0" w14:textId="77777777" w:rsidR="009148E2" w:rsidRPr="00A95C26" w:rsidRDefault="009148E2" w:rsidP="00641F06">
            <w:pPr>
              <w:spacing w:line="276" w:lineRule="auto"/>
              <w:contextualSpacing/>
              <w:jc w:val="both"/>
            </w:pPr>
            <w:r w:rsidRPr="00A95C26">
              <w:t>září 1929</w:t>
            </w:r>
          </w:p>
        </w:tc>
        <w:tc>
          <w:tcPr>
            <w:tcW w:w="1459" w:type="dxa"/>
          </w:tcPr>
          <w:p w14:paraId="247C316B" w14:textId="77777777" w:rsidR="009148E2" w:rsidRPr="00A95C26" w:rsidRDefault="009148E2" w:rsidP="00641F06">
            <w:pPr>
              <w:spacing w:line="276" w:lineRule="auto"/>
              <w:contextualSpacing/>
              <w:jc w:val="both"/>
            </w:pPr>
            <w:r w:rsidRPr="00A95C26">
              <w:t>říjen 1929</w:t>
            </w:r>
          </w:p>
        </w:tc>
      </w:tr>
      <w:tr w:rsidR="009148E2" w:rsidRPr="00A95C26" w14:paraId="3FB1F8B7" w14:textId="77777777" w:rsidTr="0091726E">
        <w:tc>
          <w:tcPr>
            <w:tcW w:w="846" w:type="dxa"/>
          </w:tcPr>
          <w:p w14:paraId="1FC28EBE" w14:textId="77777777" w:rsidR="009148E2" w:rsidRPr="00A95C26" w:rsidRDefault="009148E2" w:rsidP="00641F06">
            <w:pPr>
              <w:spacing w:line="276" w:lineRule="auto"/>
              <w:contextualSpacing/>
              <w:jc w:val="both"/>
            </w:pPr>
            <w:r w:rsidRPr="00A95C26">
              <w:t>1931-1933</w:t>
            </w:r>
          </w:p>
        </w:tc>
        <w:tc>
          <w:tcPr>
            <w:tcW w:w="1801" w:type="dxa"/>
          </w:tcPr>
          <w:p w14:paraId="05EAE32C" w14:textId="77777777" w:rsidR="009148E2" w:rsidRPr="00A95C26" w:rsidRDefault="009148E2" w:rsidP="00641F06">
            <w:pPr>
              <w:spacing w:line="276" w:lineRule="auto"/>
              <w:contextualSpacing/>
              <w:jc w:val="both"/>
            </w:pPr>
            <w:r w:rsidRPr="00A95C26">
              <w:t>Evropa</w:t>
            </w:r>
          </w:p>
        </w:tc>
        <w:tc>
          <w:tcPr>
            <w:tcW w:w="1990" w:type="dxa"/>
          </w:tcPr>
          <w:p w14:paraId="1F19C1CA" w14:textId="77777777" w:rsidR="009148E2" w:rsidRPr="00A95C26" w:rsidRDefault="009148E2" w:rsidP="00641F06">
            <w:pPr>
              <w:spacing w:line="276" w:lineRule="auto"/>
              <w:contextualSpacing/>
              <w:jc w:val="both"/>
            </w:pPr>
            <w:r w:rsidRPr="00A95C26">
              <w:t>Odříznutí evropských zemí od půjček z USA</w:t>
            </w:r>
          </w:p>
        </w:tc>
        <w:tc>
          <w:tcPr>
            <w:tcW w:w="1536" w:type="dxa"/>
          </w:tcPr>
          <w:p w14:paraId="3A2C1BB4" w14:textId="77777777" w:rsidR="009148E2" w:rsidRPr="00A95C26" w:rsidRDefault="009148E2" w:rsidP="00641F06">
            <w:pPr>
              <w:spacing w:line="276" w:lineRule="auto"/>
              <w:contextualSpacing/>
              <w:jc w:val="both"/>
            </w:pPr>
            <w:r w:rsidRPr="00A95C26">
              <w:t>Půjčky z USA</w:t>
            </w:r>
          </w:p>
        </w:tc>
        <w:tc>
          <w:tcPr>
            <w:tcW w:w="1384" w:type="dxa"/>
          </w:tcPr>
          <w:p w14:paraId="492FA082" w14:textId="77777777" w:rsidR="009148E2" w:rsidRPr="00A95C26" w:rsidRDefault="009148E2" w:rsidP="00641F06">
            <w:pPr>
              <w:spacing w:line="276" w:lineRule="auto"/>
              <w:contextualSpacing/>
              <w:jc w:val="both"/>
            </w:pPr>
            <w:r w:rsidRPr="00A95C26">
              <w:t>1929</w:t>
            </w:r>
          </w:p>
        </w:tc>
        <w:tc>
          <w:tcPr>
            <w:tcW w:w="1459" w:type="dxa"/>
          </w:tcPr>
          <w:p w14:paraId="432D6614" w14:textId="77777777" w:rsidR="009148E2" w:rsidRPr="00A95C26" w:rsidRDefault="009148E2" w:rsidP="00641F06">
            <w:pPr>
              <w:spacing w:line="276" w:lineRule="auto"/>
              <w:contextualSpacing/>
              <w:jc w:val="both"/>
            </w:pPr>
            <w:r w:rsidRPr="00A95C26">
              <w:t>Evropské země – následující měsíce 1931 USA - 1933</w:t>
            </w:r>
          </w:p>
        </w:tc>
      </w:tr>
      <w:tr w:rsidR="009148E2" w:rsidRPr="00A95C26" w14:paraId="41BD348D" w14:textId="77777777" w:rsidTr="0091726E">
        <w:tc>
          <w:tcPr>
            <w:tcW w:w="846" w:type="dxa"/>
          </w:tcPr>
          <w:p w14:paraId="299F4A17" w14:textId="77777777" w:rsidR="009148E2" w:rsidRPr="00A95C26" w:rsidRDefault="009148E2" w:rsidP="00641F06">
            <w:pPr>
              <w:spacing w:line="276" w:lineRule="auto"/>
              <w:contextualSpacing/>
              <w:jc w:val="both"/>
            </w:pPr>
            <w:r w:rsidRPr="00A95C26">
              <w:t>1974-1975</w:t>
            </w:r>
          </w:p>
        </w:tc>
        <w:tc>
          <w:tcPr>
            <w:tcW w:w="1801" w:type="dxa"/>
          </w:tcPr>
          <w:p w14:paraId="5EEA2461" w14:textId="77777777" w:rsidR="009148E2" w:rsidRPr="00A95C26" w:rsidRDefault="009148E2" w:rsidP="00641F06">
            <w:pPr>
              <w:spacing w:line="276" w:lineRule="auto"/>
              <w:contextualSpacing/>
              <w:jc w:val="both"/>
            </w:pPr>
            <w:r w:rsidRPr="00A95C26">
              <w:t>Svět</w:t>
            </w:r>
          </w:p>
        </w:tc>
        <w:tc>
          <w:tcPr>
            <w:tcW w:w="1990" w:type="dxa"/>
          </w:tcPr>
          <w:p w14:paraId="578276C7" w14:textId="77777777" w:rsidR="009148E2" w:rsidRPr="00A95C26" w:rsidRDefault="009148E2" w:rsidP="00641F06">
            <w:pPr>
              <w:spacing w:line="276" w:lineRule="auto"/>
              <w:contextualSpacing/>
              <w:jc w:val="both"/>
            </w:pPr>
            <w:r w:rsidRPr="00A95C26">
              <w:t xml:space="preserve">Konec </w:t>
            </w:r>
            <w:proofErr w:type="spellStart"/>
            <w:r w:rsidRPr="00A95C26">
              <w:t>brettonwoodského</w:t>
            </w:r>
            <w:proofErr w:type="spellEnd"/>
            <w:r w:rsidRPr="00A95C26">
              <w:t xml:space="preserve"> systému, růst cen ropy (OPEC)</w:t>
            </w:r>
          </w:p>
        </w:tc>
        <w:tc>
          <w:tcPr>
            <w:tcW w:w="1536" w:type="dxa"/>
          </w:tcPr>
          <w:p w14:paraId="43138C74" w14:textId="77777777" w:rsidR="009148E2" w:rsidRPr="00A95C26" w:rsidRDefault="009148E2" w:rsidP="00641F06">
            <w:pPr>
              <w:spacing w:line="276" w:lineRule="auto"/>
              <w:contextualSpacing/>
              <w:jc w:val="both"/>
            </w:pPr>
            <w:r w:rsidRPr="00A95C26">
              <w:t>Eurodolarový trh</w:t>
            </w:r>
          </w:p>
        </w:tc>
        <w:tc>
          <w:tcPr>
            <w:tcW w:w="1384" w:type="dxa"/>
          </w:tcPr>
          <w:p w14:paraId="60002803" w14:textId="77777777" w:rsidR="009148E2" w:rsidRPr="00A95C26" w:rsidRDefault="009148E2" w:rsidP="00641F06">
            <w:pPr>
              <w:spacing w:line="276" w:lineRule="auto"/>
              <w:contextualSpacing/>
              <w:jc w:val="both"/>
            </w:pPr>
            <w:r w:rsidRPr="00A95C26">
              <w:t>1973</w:t>
            </w:r>
          </w:p>
        </w:tc>
        <w:tc>
          <w:tcPr>
            <w:tcW w:w="1459" w:type="dxa"/>
          </w:tcPr>
          <w:p w14:paraId="010BEE2F" w14:textId="77777777" w:rsidR="009148E2" w:rsidRPr="00A95C26" w:rsidRDefault="009148E2" w:rsidP="00641F06">
            <w:pPr>
              <w:spacing w:line="276" w:lineRule="auto"/>
              <w:contextualSpacing/>
              <w:jc w:val="both"/>
            </w:pPr>
            <w:r w:rsidRPr="00A95C26">
              <w:t>1974-1975</w:t>
            </w:r>
          </w:p>
        </w:tc>
      </w:tr>
      <w:tr w:rsidR="009148E2" w:rsidRPr="00A95C26" w14:paraId="68A370A0" w14:textId="77777777" w:rsidTr="0091726E">
        <w:tc>
          <w:tcPr>
            <w:tcW w:w="846" w:type="dxa"/>
          </w:tcPr>
          <w:p w14:paraId="1295D6E6" w14:textId="77777777" w:rsidR="009148E2" w:rsidRPr="00A95C26" w:rsidRDefault="009148E2" w:rsidP="00641F06">
            <w:pPr>
              <w:spacing w:line="276" w:lineRule="auto"/>
              <w:contextualSpacing/>
              <w:jc w:val="both"/>
            </w:pPr>
            <w:r w:rsidRPr="00A95C26">
              <w:t>1979-1982</w:t>
            </w:r>
          </w:p>
        </w:tc>
        <w:tc>
          <w:tcPr>
            <w:tcW w:w="1801" w:type="dxa"/>
          </w:tcPr>
          <w:p w14:paraId="1961F40C" w14:textId="77777777" w:rsidR="009148E2" w:rsidRPr="00A95C26" w:rsidRDefault="009148E2" w:rsidP="00641F06">
            <w:pPr>
              <w:spacing w:line="276" w:lineRule="auto"/>
              <w:contextualSpacing/>
              <w:jc w:val="both"/>
            </w:pPr>
            <w:r w:rsidRPr="00A95C26">
              <w:t>Svět</w:t>
            </w:r>
          </w:p>
        </w:tc>
        <w:tc>
          <w:tcPr>
            <w:tcW w:w="1990" w:type="dxa"/>
          </w:tcPr>
          <w:p w14:paraId="5DDC3691" w14:textId="77777777" w:rsidR="009148E2" w:rsidRPr="00A95C26" w:rsidRDefault="009148E2" w:rsidP="0091726E">
            <w:pPr>
              <w:spacing w:line="276" w:lineRule="auto"/>
              <w:contextualSpacing/>
            </w:pPr>
            <w:r w:rsidRPr="00A95C26">
              <w:t>Syndikované půjčky zemím třetího světa, rostoucí ceny ropy - 1979 (OPEC), rostoucí ceny nemovitostí, půdy a dolaru v USA.</w:t>
            </w:r>
          </w:p>
        </w:tc>
        <w:tc>
          <w:tcPr>
            <w:tcW w:w="1536" w:type="dxa"/>
          </w:tcPr>
          <w:p w14:paraId="64263A15" w14:textId="77777777" w:rsidR="009148E2" w:rsidRPr="00A95C26" w:rsidRDefault="009148E2" w:rsidP="00641F06">
            <w:pPr>
              <w:spacing w:line="276" w:lineRule="auto"/>
              <w:contextualSpacing/>
              <w:jc w:val="both"/>
            </w:pPr>
            <w:r w:rsidRPr="00A95C26">
              <w:t>-</w:t>
            </w:r>
          </w:p>
        </w:tc>
        <w:tc>
          <w:tcPr>
            <w:tcW w:w="1384" w:type="dxa"/>
          </w:tcPr>
          <w:p w14:paraId="298F1691" w14:textId="77777777" w:rsidR="009148E2" w:rsidRPr="00A95C26" w:rsidRDefault="009148E2" w:rsidP="00641F06">
            <w:pPr>
              <w:spacing w:line="276" w:lineRule="auto"/>
              <w:contextualSpacing/>
              <w:jc w:val="both"/>
            </w:pPr>
            <w:r w:rsidRPr="00A95C26">
              <w:t>1979</w:t>
            </w:r>
          </w:p>
        </w:tc>
        <w:tc>
          <w:tcPr>
            <w:tcW w:w="1459" w:type="dxa"/>
          </w:tcPr>
          <w:p w14:paraId="71617178" w14:textId="77777777" w:rsidR="009148E2" w:rsidRPr="00A95C26" w:rsidRDefault="009148E2" w:rsidP="00641F06">
            <w:pPr>
              <w:spacing w:line="276" w:lineRule="auto"/>
              <w:contextualSpacing/>
              <w:jc w:val="both"/>
            </w:pPr>
            <w:r w:rsidRPr="00A95C26">
              <w:t xml:space="preserve">Dolar - 1979 </w:t>
            </w:r>
          </w:p>
          <w:p w14:paraId="424AFCA8" w14:textId="77777777" w:rsidR="009148E2" w:rsidRPr="00A95C26" w:rsidRDefault="009148E2" w:rsidP="00641F06">
            <w:pPr>
              <w:spacing w:line="276" w:lineRule="auto"/>
              <w:contextualSpacing/>
              <w:jc w:val="both"/>
            </w:pPr>
            <w:r w:rsidRPr="00A95C26">
              <w:t>Zemědělská půda - 1979</w:t>
            </w:r>
          </w:p>
          <w:p w14:paraId="51CBA0CE" w14:textId="77777777" w:rsidR="009148E2" w:rsidRPr="00A95C26" w:rsidRDefault="009148E2" w:rsidP="00641F06">
            <w:pPr>
              <w:spacing w:line="276" w:lineRule="auto"/>
              <w:contextualSpacing/>
              <w:jc w:val="both"/>
            </w:pPr>
            <w:r w:rsidRPr="00A95C26">
              <w:t xml:space="preserve">Ropa - 1980 </w:t>
            </w:r>
          </w:p>
          <w:p w14:paraId="0BE4EEA2" w14:textId="77777777" w:rsidR="009148E2" w:rsidRPr="00A95C26" w:rsidRDefault="009148E2" w:rsidP="00641F06">
            <w:pPr>
              <w:spacing w:line="276" w:lineRule="auto"/>
              <w:contextualSpacing/>
              <w:jc w:val="both"/>
            </w:pPr>
            <w:r w:rsidRPr="00A95C26">
              <w:t>Dluh třetího světa - 1982</w:t>
            </w:r>
          </w:p>
        </w:tc>
      </w:tr>
      <w:tr w:rsidR="009148E2" w:rsidRPr="00A95C26" w14:paraId="2946C3BB" w14:textId="77777777" w:rsidTr="0091726E">
        <w:tc>
          <w:tcPr>
            <w:tcW w:w="846" w:type="dxa"/>
          </w:tcPr>
          <w:p w14:paraId="612497AB" w14:textId="77777777" w:rsidR="009148E2" w:rsidRPr="00A95C26" w:rsidRDefault="009148E2" w:rsidP="00641F06">
            <w:pPr>
              <w:spacing w:line="276" w:lineRule="auto"/>
              <w:contextualSpacing/>
              <w:jc w:val="both"/>
            </w:pPr>
            <w:r w:rsidRPr="00A95C26">
              <w:t>1994-1995</w:t>
            </w:r>
          </w:p>
        </w:tc>
        <w:tc>
          <w:tcPr>
            <w:tcW w:w="1801" w:type="dxa"/>
          </w:tcPr>
          <w:p w14:paraId="53DB6A64" w14:textId="77777777" w:rsidR="009148E2" w:rsidRPr="00A95C26" w:rsidRDefault="009148E2" w:rsidP="00641F06">
            <w:pPr>
              <w:spacing w:line="276" w:lineRule="auto"/>
              <w:contextualSpacing/>
              <w:jc w:val="both"/>
            </w:pPr>
            <w:r w:rsidRPr="00A95C26">
              <w:t>Mexiko</w:t>
            </w:r>
          </w:p>
        </w:tc>
        <w:tc>
          <w:tcPr>
            <w:tcW w:w="1990" w:type="dxa"/>
          </w:tcPr>
          <w:p w14:paraId="238D4E0E" w14:textId="77777777" w:rsidR="009148E2" w:rsidRPr="00A95C26" w:rsidRDefault="009148E2" w:rsidP="00641F06">
            <w:pPr>
              <w:spacing w:line="276" w:lineRule="auto"/>
              <w:contextualSpacing/>
              <w:jc w:val="both"/>
            </w:pPr>
            <w:r w:rsidRPr="00A95C26">
              <w:t>Deregulace, příliv a odliv kapitálu, vnitřní konjunktura</w:t>
            </w:r>
          </w:p>
        </w:tc>
        <w:tc>
          <w:tcPr>
            <w:tcW w:w="1536" w:type="dxa"/>
          </w:tcPr>
          <w:p w14:paraId="7EF82CC0" w14:textId="77777777" w:rsidR="009148E2" w:rsidRPr="00A95C26" w:rsidRDefault="009148E2" w:rsidP="00641F06">
            <w:pPr>
              <w:spacing w:line="276" w:lineRule="auto"/>
              <w:contextualSpacing/>
              <w:jc w:val="both"/>
            </w:pPr>
            <w:r w:rsidRPr="00A95C26">
              <w:t>Tok kapitálu, bankovní úvěry, nové domácí banky 1991, privatizace 1991</w:t>
            </w:r>
          </w:p>
        </w:tc>
        <w:tc>
          <w:tcPr>
            <w:tcW w:w="1384" w:type="dxa"/>
          </w:tcPr>
          <w:p w14:paraId="11D9AE66" w14:textId="77777777" w:rsidR="009148E2" w:rsidRPr="00A95C26" w:rsidRDefault="009148E2" w:rsidP="00641F06">
            <w:pPr>
              <w:spacing w:line="276" w:lineRule="auto"/>
              <w:contextualSpacing/>
              <w:jc w:val="both"/>
            </w:pPr>
            <w:r w:rsidRPr="00A95C26">
              <w:t>1994-1995</w:t>
            </w:r>
          </w:p>
        </w:tc>
        <w:tc>
          <w:tcPr>
            <w:tcW w:w="1459" w:type="dxa"/>
          </w:tcPr>
          <w:p w14:paraId="67044137" w14:textId="77777777" w:rsidR="009148E2" w:rsidRPr="00A95C26" w:rsidRDefault="009148E2" w:rsidP="00641F06">
            <w:pPr>
              <w:spacing w:line="276" w:lineRule="auto"/>
              <w:contextualSpacing/>
              <w:jc w:val="both"/>
            </w:pPr>
            <w:r w:rsidRPr="00A95C26">
              <w:t>1994-1995</w:t>
            </w:r>
          </w:p>
        </w:tc>
      </w:tr>
      <w:tr w:rsidR="009148E2" w:rsidRPr="00A95C26" w14:paraId="72B93C54" w14:textId="77777777" w:rsidTr="0091726E">
        <w:tc>
          <w:tcPr>
            <w:tcW w:w="846" w:type="dxa"/>
          </w:tcPr>
          <w:p w14:paraId="1ACFB43A" w14:textId="77777777" w:rsidR="009148E2" w:rsidRPr="00A95C26" w:rsidRDefault="009148E2" w:rsidP="00641F06">
            <w:pPr>
              <w:spacing w:line="276" w:lineRule="auto"/>
              <w:contextualSpacing/>
              <w:jc w:val="both"/>
            </w:pPr>
            <w:r w:rsidRPr="00A95C26">
              <w:t>1997-1998</w:t>
            </w:r>
          </w:p>
        </w:tc>
        <w:tc>
          <w:tcPr>
            <w:tcW w:w="1801" w:type="dxa"/>
          </w:tcPr>
          <w:p w14:paraId="2D41E000" w14:textId="77777777" w:rsidR="009148E2" w:rsidRPr="00A95C26" w:rsidRDefault="009148E2" w:rsidP="00641F06">
            <w:pPr>
              <w:spacing w:line="276" w:lineRule="auto"/>
              <w:contextualSpacing/>
              <w:jc w:val="both"/>
            </w:pPr>
            <w:r w:rsidRPr="00A95C26">
              <w:t>Thajsko, Indonésie, Malajsie, Korea, Rusko, Brazílie</w:t>
            </w:r>
          </w:p>
        </w:tc>
        <w:tc>
          <w:tcPr>
            <w:tcW w:w="1990" w:type="dxa"/>
          </w:tcPr>
          <w:p w14:paraId="533B2C0D" w14:textId="77777777" w:rsidR="009148E2" w:rsidRPr="00A95C26" w:rsidRDefault="009148E2" w:rsidP="00641F06">
            <w:pPr>
              <w:spacing w:line="276" w:lineRule="auto"/>
              <w:contextualSpacing/>
              <w:jc w:val="both"/>
            </w:pPr>
            <w:r w:rsidRPr="00A95C26">
              <w:t>Deregulace, příliv a odliv kapitálu, zahraniční dluh</w:t>
            </w:r>
          </w:p>
        </w:tc>
        <w:tc>
          <w:tcPr>
            <w:tcW w:w="1536" w:type="dxa"/>
          </w:tcPr>
          <w:p w14:paraId="2015D693" w14:textId="77777777" w:rsidR="009148E2" w:rsidRPr="00A95C26" w:rsidRDefault="009148E2" w:rsidP="00641F06">
            <w:pPr>
              <w:spacing w:line="276" w:lineRule="auto"/>
              <w:contextualSpacing/>
              <w:jc w:val="both"/>
            </w:pPr>
            <w:r w:rsidRPr="00A95C26">
              <w:t>Bankovní úvěry, stavební boom</w:t>
            </w:r>
          </w:p>
        </w:tc>
        <w:tc>
          <w:tcPr>
            <w:tcW w:w="1384" w:type="dxa"/>
          </w:tcPr>
          <w:p w14:paraId="00D595CE" w14:textId="77777777" w:rsidR="009148E2" w:rsidRPr="00A95C26" w:rsidRDefault="009148E2" w:rsidP="00641F06">
            <w:pPr>
              <w:spacing w:line="276" w:lineRule="auto"/>
              <w:contextualSpacing/>
              <w:jc w:val="both"/>
            </w:pPr>
            <w:r w:rsidRPr="00A95C26">
              <w:t>1997-1998</w:t>
            </w:r>
          </w:p>
        </w:tc>
        <w:tc>
          <w:tcPr>
            <w:tcW w:w="1459" w:type="dxa"/>
          </w:tcPr>
          <w:p w14:paraId="1CE0AF7E" w14:textId="77777777" w:rsidR="009148E2" w:rsidRPr="00A95C26" w:rsidRDefault="009148E2" w:rsidP="00641F06">
            <w:pPr>
              <w:spacing w:line="276" w:lineRule="auto"/>
              <w:contextualSpacing/>
              <w:jc w:val="both"/>
            </w:pPr>
            <w:r w:rsidRPr="00A95C26">
              <w:t>1997-1998</w:t>
            </w:r>
          </w:p>
        </w:tc>
      </w:tr>
    </w:tbl>
    <w:p w14:paraId="474C59C4" w14:textId="77777777" w:rsidR="009148E2" w:rsidRPr="00A95C26" w:rsidRDefault="009148E2" w:rsidP="00641F06">
      <w:pPr>
        <w:spacing w:before="100" w:beforeAutospacing="1" w:line="360" w:lineRule="auto"/>
        <w:jc w:val="both"/>
      </w:pPr>
      <w:r w:rsidRPr="00A95C26">
        <w:t>Zdroj: vlastní zpracování na základě</w:t>
      </w:r>
      <w:r w:rsidRPr="00A95C26">
        <w:rPr>
          <w:rStyle w:val="Znakapoznpodarou"/>
        </w:rPr>
        <w:footnoteReference w:id="13"/>
      </w:r>
    </w:p>
    <w:p w14:paraId="571C7E02" w14:textId="1D64B987" w:rsidR="009148E2" w:rsidRPr="00A95C26" w:rsidRDefault="009148E2" w:rsidP="00641F06">
      <w:pPr>
        <w:spacing w:line="360" w:lineRule="auto"/>
        <w:ind w:firstLine="567"/>
        <w:jc w:val="both"/>
      </w:pPr>
      <w:r w:rsidRPr="00A95C26">
        <w:t xml:space="preserve">Důsledkem této krize a zároveň chybných rozhodnutí </w:t>
      </w:r>
      <w:proofErr w:type="spellStart"/>
      <w:r w:rsidRPr="00A95C26">
        <w:t>FEDu</w:t>
      </w:r>
      <w:proofErr w:type="spellEnd"/>
      <w:r w:rsidRPr="00A95C26">
        <w:t xml:space="preserve">, který místo aby vedl expanzivní měnovou politiku, jednal přesně naopak a v letech 1929-1933 omezil nabídku </w:t>
      </w:r>
      <w:r w:rsidRPr="00A95C26">
        <w:lastRenderedPageBreak/>
        <w:t>peněz. To vedlo ke snížení finanční likvidity a dostupnosti úvěrů, což následně způsobilo, že se krach na burze změnil v bankovní krizi, která přispěla k hluboké hospodářské depresi.</w:t>
      </w:r>
      <w:r w:rsidRPr="00A95C26">
        <w:rPr>
          <w:rStyle w:val="Znakapoznpodarou"/>
        </w:rPr>
        <w:footnoteReference w:id="14"/>
      </w:r>
      <w:r w:rsidRPr="00A95C26">
        <w:t xml:space="preserve"> Tato krize ovlivnila celou světovou ekonomiku, protože USA přestaly poskytovat zahraniční půjčky, což vedlo k oslabení evropských ekonomik. Byl zastaven obchod s USA a vznikly měnové spekulace, které způsobily měnové krize v několika evropských zemích.</w:t>
      </w:r>
    </w:p>
    <w:p w14:paraId="7B1AE957" w14:textId="77777777" w:rsidR="009148E2" w:rsidRPr="00A95C26" w:rsidRDefault="009148E2" w:rsidP="00641F06">
      <w:pPr>
        <w:spacing w:line="360" w:lineRule="auto"/>
        <w:ind w:firstLine="567"/>
        <w:jc w:val="both"/>
      </w:pPr>
      <w:r w:rsidRPr="00A95C26">
        <w:t xml:space="preserve">Po zhroucení </w:t>
      </w:r>
      <w:proofErr w:type="spellStart"/>
      <w:r w:rsidRPr="00A95C26">
        <w:t>brettonwoodského</w:t>
      </w:r>
      <w:proofErr w:type="spellEnd"/>
      <w:r w:rsidRPr="00A95C26">
        <w:t xml:space="preserve"> systému v roce 1971 došlo k prudkému poklesu hodnoty dolaru a jednotlivé země přešly na plovoucí směnné kurzy, což způsobilo nárůst nabídky peněz, který vedl k růstu inflace. K tomu se přidaly důsledky války na Blízkém východě, která v letech 1973-1979 způsobila čtyřnásobný nárůst cen ropy, což vedlo ke stagflaci. V USA byly výrazně zvýšeny úrokové sazby, což zmírnilo inflaci a přispělo k hospodářskému růstu. Tento tah však měl negativní důsledky pro latinskoamerické země, které se v 70. letech vydaly cestou reforem financovaných zahraničními půjčkami. Po zvýšení úrokových sazeb nebyly tyto země schopny obsluhovat své zahraniční dluhy a pozastavily jejich splácení.</w:t>
      </w:r>
      <w:r w:rsidRPr="00A95C26">
        <w:rPr>
          <w:rStyle w:val="Znakapoznpodarou"/>
        </w:rPr>
        <w:footnoteReference w:id="15"/>
      </w:r>
    </w:p>
    <w:p w14:paraId="5276ADE8" w14:textId="77777777" w:rsidR="009148E2" w:rsidRPr="00A95C26" w:rsidRDefault="009148E2" w:rsidP="00641F06">
      <w:pPr>
        <w:spacing w:line="360" w:lineRule="auto"/>
        <w:ind w:firstLine="567"/>
        <w:jc w:val="both"/>
      </w:pPr>
      <w:r w:rsidRPr="00A95C26">
        <w:t>Když se latinskoamerické země v 90. letech vypořádaly s krizí zahraničního dluhu, začal do nich opět proudit zahraniční kapitál. V několika z těchto zemí se však znovu objevily problémy v důsledku spekulativních bublin a nadměrného zadlužení v různých odvětvích ekonomiky. Jednou ze zemí, které krize v letech 1994-1995 postihla, bylo Mexiko.</w:t>
      </w:r>
    </w:p>
    <w:p w14:paraId="2DFA8E80" w14:textId="77777777" w:rsidR="009148E2" w:rsidRPr="00A95C26" w:rsidRDefault="009148E2" w:rsidP="00641F06">
      <w:pPr>
        <w:spacing w:line="360" w:lineRule="auto"/>
        <w:ind w:firstLine="567"/>
        <w:jc w:val="both"/>
      </w:pPr>
      <w:r w:rsidRPr="00A95C26">
        <w:t>V posledních dvou desetiletích 20. století vznikl největší počet bublin v historii světové ekonomiky. Takové bubliny vznikly mimo jiné v Japonsku, Finsku, Norsku a Švédsku na trhu nemovitostí a na akciovém trhu v druhé polovině 80. let, v zemích jihovýchodní Asie v druhé polovině 90. let, což v těchto zemích způsobilo měnové krize a v některých také bankovní krize.</w:t>
      </w:r>
      <w:r w:rsidRPr="00A95C26">
        <w:rPr>
          <w:rStyle w:val="Znakapoznpodarou"/>
        </w:rPr>
        <w:footnoteReference w:id="16"/>
      </w:r>
    </w:p>
    <w:p w14:paraId="00398997" w14:textId="77777777" w:rsidR="009148E2" w:rsidRPr="00A95C26" w:rsidRDefault="009148E2" w:rsidP="00641F06">
      <w:pPr>
        <w:spacing w:line="360" w:lineRule="auto"/>
        <w:ind w:firstLine="567"/>
        <w:jc w:val="both"/>
      </w:pPr>
      <w:r w:rsidRPr="00A95C26">
        <w:t xml:space="preserve">Charakteristickým rysem všech krizí bylo, že jejich výskyt v jedné zemi měl vždy negativní dopad na další ekonomicky propojené země. Většina krizí, zejména v 90. letech, navíc postihla rozvojové země s pevným směnným kurzem. Jak již bylo uvedeno, krize, které se vyskytly dříve, do značné míry zapadají do </w:t>
      </w:r>
      <w:proofErr w:type="spellStart"/>
      <w:r w:rsidRPr="00A95C26">
        <w:t>Mynského</w:t>
      </w:r>
      <w:proofErr w:type="spellEnd"/>
      <w:r w:rsidRPr="00A95C26">
        <w:t xml:space="preserve"> schématu nestability finančního systému.</w:t>
      </w:r>
    </w:p>
    <w:p w14:paraId="1D809DE7" w14:textId="1A3BD2D9" w:rsidR="000327B4" w:rsidRPr="00A95C26" w:rsidRDefault="00D64834" w:rsidP="00641F06">
      <w:pPr>
        <w:pStyle w:val="Nadpis2"/>
        <w:jc w:val="both"/>
        <w:rPr>
          <w:lang w:val="cs-CZ"/>
        </w:rPr>
      </w:pPr>
      <w:bookmarkStart w:id="29" w:name="_Toc83234769"/>
      <w:bookmarkStart w:id="30" w:name="_Toc99636455"/>
      <w:bookmarkStart w:id="31" w:name="_Toc99657945"/>
      <w:bookmarkStart w:id="32" w:name="_Toc99659305"/>
      <w:r w:rsidRPr="00A95C26">
        <w:rPr>
          <w:lang w:val="cs-CZ"/>
        </w:rPr>
        <w:t xml:space="preserve">3.3 </w:t>
      </w:r>
      <w:r w:rsidR="000327B4" w:rsidRPr="00A95C26">
        <w:rPr>
          <w:lang w:val="cs-CZ"/>
        </w:rPr>
        <w:t>Příčiny finanční krize 2008</w:t>
      </w:r>
      <w:bookmarkEnd w:id="29"/>
      <w:bookmarkEnd w:id="30"/>
      <w:bookmarkEnd w:id="31"/>
      <w:bookmarkEnd w:id="32"/>
    </w:p>
    <w:p w14:paraId="3835CCF8" w14:textId="77777777" w:rsidR="004A6299" w:rsidRPr="00A95C26" w:rsidRDefault="004A6299" w:rsidP="00641F06">
      <w:pPr>
        <w:spacing w:line="360" w:lineRule="auto"/>
        <w:ind w:firstLine="567"/>
        <w:jc w:val="both"/>
      </w:pPr>
      <w:r w:rsidRPr="00A95C26">
        <w:t xml:space="preserve">Jednu z původních příčin světové finanční krize lze vysledovat až do doby, kdy Bill Clinton trval na tom, aby hypotéky mohly být poskytovány lidem s nižšími příjmy. Koncem 90. let 20. století byla v USA deregulována regulace umožňující vytváření, prodej a </w:t>
      </w:r>
      <w:r w:rsidRPr="00A95C26">
        <w:lastRenderedPageBreak/>
        <w:t xml:space="preserve">obchodování s finančními deriváty, které byly vytvořeny z primárních neobchodovatelných nástrojů, jako jsou úvěry. To umožnilo sekuritizaci hypotečních úvěrů, což znamená jejich prodej a vydání nových cenných papírů krytých nemovitostí financovanou hypotečním úvěrem. Hypoteční banky prodávaly hypoteční úvěry zprostředkujícím institucím – pojišťovnám </w:t>
      </w:r>
      <w:proofErr w:type="spellStart"/>
      <w:r w:rsidRPr="00A95C26">
        <w:t>Fannie</w:t>
      </w:r>
      <w:proofErr w:type="spellEnd"/>
      <w:r w:rsidRPr="00A95C26">
        <w:t xml:space="preserve"> </w:t>
      </w:r>
      <w:proofErr w:type="spellStart"/>
      <w:r w:rsidRPr="00A95C26">
        <w:t>Mae</w:t>
      </w:r>
      <w:proofErr w:type="spellEnd"/>
      <w:r w:rsidRPr="00A95C26">
        <w:t xml:space="preserve"> a </w:t>
      </w:r>
      <w:proofErr w:type="spellStart"/>
      <w:r w:rsidRPr="00A95C26">
        <w:t>Freddie</w:t>
      </w:r>
      <w:proofErr w:type="spellEnd"/>
      <w:r w:rsidRPr="00A95C26">
        <w:t xml:space="preserve"> Mac – které na jejich základě vydávaly likvidní cenné papíry (tzv. </w:t>
      </w:r>
      <w:proofErr w:type="spellStart"/>
      <w:r w:rsidRPr="00A95C26">
        <w:t>Collateralized</w:t>
      </w:r>
      <w:proofErr w:type="spellEnd"/>
      <w:r w:rsidRPr="00A95C26">
        <w:t xml:space="preserve"> </w:t>
      </w:r>
      <w:proofErr w:type="spellStart"/>
      <w:r w:rsidRPr="00A95C26">
        <w:t>Debt</w:t>
      </w:r>
      <w:proofErr w:type="spellEnd"/>
      <w:r w:rsidRPr="00A95C26">
        <w:t xml:space="preserve"> </w:t>
      </w:r>
      <w:proofErr w:type="spellStart"/>
      <w:r w:rsidRPr="00A95C26">
        <w:t>Obligations</w:t>
      </w:r>
      <w:proofErr w:type="spellEnd"/>
      <w:r w:rsidRPr="00A95C26">
        <w:t xml:space="preserve"> – CDO nebo </w:t>
      </w:r>
      <w:proofErr w:type="spellStart"/>
      <w:r w:rsidRPr="00A95C26">
        <w:t>Mortgage-Backed</w:t>
      </w:r>
      <w:proofErr w:type="spellEnd"/>
      <w:r w:rsidRPr="00A95C26">
        <w:t xml:space="preserve"> </w:t>
      </w:r>
      <w:proofErr w:type="spellStart"/>
      <w:r w:rsidRPr="00A95C26">
        <w:t>Securities</w:t>
      </w:r>
      <w:proofErr w:type="spellEnd"/>
      <w:r w:rsidRPr="00A95C26">
        <w:t xml:space="preserve"> – MBS) a prodávaly je dalším finančním institucím, jako jsou investiční a penzijní fondy, investiční banky nebo pojišťovny.</w:t>
      </w:r>
      <w:r w:rsidRPr="00A95C26">
        <w:rPr>
          <w:rStyle w:val="Znakapoznpodarou"/>
        </w:rPr>
        <w:footnoteReference w:id="17"/>
      </w:r>
      <w:r w:rsidRPr="00A95C26">
        <w:t xml:space="preserve"> Sekuritizace byla rozšířena na další typy úvěrů: na nákup automobilů a dalšího zboží, v rámci kreditních karet, čímž vznikla širší třída cenných papírů krytých aktivy - ABS (</w:t>
      </w:r>
      <w:proofErr w:type="spellStart"/>
      <w:r w:rsidRPr="00A95C26">
        <w:t>Asset-Based</w:t>
      </w:r>
      <w:proofErr w:type="spellEnd"/>
      <w:r w:rsidRPr="00A95C26">
        <w:t xml:space="preserve"> </w:t>
      </w:r>
      <w:proofErr w:type="spellStart"/>
      <w:r w:rsidRPr="00A95C26">
        <w:t>Securities</w:t>
      </w:r>
      <w:proofErr w:type="spellEnd"/>
      <w:r w:rsidRPr="00A95C26">
        <w:t>). Jeden takový balíček primárních nástrojů by mohl být opakovaně použit jako základ pro emisi. To způsobilo obrovský nárůst hodnoty těchto cenných papírů na finančních trzích. Volný pohyb kapitálu umožnil příliv zahraničních investorů do USA, kteří shledali cenné papíry ABS jako dobrou a spolehlivou investici. Vznikl tak nový model financování nákupu nemovitostí, v němž se vztah mezi bankou a dlužníkem stal pouze začátkem složitého procesu, do něhož byly zapojeny další finanční instituce. Prodej balíčků hypoték je pro banky velmi výhodný, protože se zbavují těchto úvěrů ze svých rozvah a díky přenesení rizika na jiné instituce mohou poskytovat další úvěry. Tento model se nazývá model OTD (</w:t>
      </w:r>
      <w:proofErr w:type="spellStart"/>
      <w:r w:rsidRPr="00A95C26">
        <w:t>originate</w:t>
      </w:r>
      <w:proofErr w:type="spellEnd"/>
      <w:r w:rsidRPr="00A95C26">
        <w:t>-to-</w:t>
      </w:r>
      <w:proofErr w:type="spellStart"/>
      <w:r w:rsidRPr="00A95C26">
        <w:t>distribute</w:t>
      </w:r>
      <w:proofErr w:type="spellEnd"/>
      <w:r w:rsidRPr="00A95C26">
        <w:t>). Umožnila bankám urychlit poskytování úvěrů (bez nutnosti zvyšovat kapitálovou základnu bank) prostřednictvím vícenásobné sekuritizace, což vedlo ke snížení rizika.</w:t>
      </w:r>
      <w:r w:rsidRPr="00A95C26">
        <w:rPr>
          <w:rStyle w:val="Znakapoznpodarou"/>
        </w:rPr>
        <w:footnoteReference w:id="18"/>
      </w:r>
    </w:p>
    <w:p w14:paraId="030520C3" w14:textId="77777777" w:rsidR="004A6299" w:rsidRPr="00A95C26" w:rsidRDefault="004A6299" w:rsidP="00641F06">
      <w:pPr>
        <w:spacing w:line="360" w:lineRule="auto"/>
        <w:ind w:firstLine="567"/>
        <w:jc w:val="both"/>
      </w:pPr>
      <w:r w:rsidRPr="00A95C26">
        <w:t>Nicméně v době prezidentství George W. Bushe, kdy došlo ke zpomalení americké ekonomiky, byly v zájmu jejího oživení zavedeny změny v legislativě, které vedly k liberalizaci regulace proti nadměrnému riziku pro banky a pojišťovny.</w:t>
      </w:r>
      <w:r w:rsidRPr="00A95C26">
        <w:rPr>
          <w:rStyle w:val="Znakapoznpodarou"/>
        </w:rPr>
        <w:footnoteReference w:id="19"/>
      </w:r>
    </w:p>
    <w:p w14:paraId="76C68412" w14:textId="200A4A72" w:rsidR="004A6299" w:rsidRPr="00A95C26" w:rsidRDefault="004A6299" w:rsidP="00641F06">
      <w:pPr>
        <w:spacing w:line="360" w:lineRule="auto"/>
        <w:ind w:firstLine="567"/>
        <w:jc w:val="both"/>
      </w:pPr>
      <w:r w:rsidRPr="00A95C26">
        <w:t>Další příčiny současné finanční krize lze hledat v chybné politice americké Federální rezervní banky (FED) prováděné od roku 2001. FED v reakci na nepříznivé ekonomické změny, které nastaly po zhroucení tzv. internetové bubliny, začal snižovat úrokové sazby, aby oživil americkou ekonomiku. Ty byly sníženy z 6,5 % v roce 2001 na 1 % v roce 2003. Snížení úrokových sazeb při nízké úrovni inflace způsobilo, že americká ekonomika začala dosahovat dobrých výsledků – hospodářský růst ve třetím čtvrtletí roku 2003 na úrovni 7,5</w:t>
      </w:r>
      <w:r w:rsidR="00A41A24" w:rsidRPr="00A95C26">
        <w:t> </w:t>
      </w:r>
      <w:r w:rsidRPr="00A95C26">
        <w:t>%.</w:t>
      </w:r>
      <w:r w:rsidRPr="00A95C26">
        <w:rPr>
          <w:rStyle w:val="Znakapoznpodarou"/>
        </w:rPr>
        <w:footnoteReference w:id="20"/>
      </w:r>
    </w:p>
    <w:p w14:paraId="38C59F54" w14:textId="77777777" w:rsidR="004A6299" w:rsidRPr="00A95C26" w:rsidRDefault="004A6299" w:rsidP="00641F06">
      <w:pPr>
        <w:spacing w:line="360" w:lineRule="auto"/>
        <w:ind w:firstLine="567"/>
        <w:jc w:val="both"/>
      </w:pPr>
      <w:r w:rsidRPr="00A95C26">
        <w:t xml:space="preserve">Velmi nízké úrokové sazby a velké hospodářské oživení vedly k výraznému poskytování vysoce rizikových (nestandardních) hypoték, tzv. </w:t>
      </w:r>
      <w:proofErr w:type="spellStart"/>
      <w:r w:rsidRPr="00A95C26">
        <w:t>subprime</w:t>
      </w:r>
      <w:proofErr w:type="spellEnd"/>
      <w:r w:rsidRPr="00A95C26">
        <w:t xml:space="preserve">, což potvrzuje hypotézu o </w:t>
      </w:r>
      <w:r w:rsidRPr="00A95C26">
        <w:lastRenderedPageBreak/>
        <w:t xml:space="preserve">nestabilitě finančního systému, kterou vytvořil </w:t>
      </w:r>
      <w:proofErr w:type="spellStart"/>
      <w:r w:rsidRPr="00A95C26">
        <w:t>Hyman</w:t>
      </w:r>
      <w:proofErr w:type="spellEnd"/>
      <w:r w:rsidRPr="00A95C26">
        <w:t xml:space="preserve"> Minsky. Hypoteční produkty v USA se vyznačovaly nízkými počátečními úrokovými sazbami, které po skončení počátečního období výrazně vzrostly, což je činilo atraktivními pro spotřebitele, kteří si brali novou hypotéku. Bublina na americkém trhu s nemovitostmi vznikala od poloviny 90. let až do roku 2006. V letech 2006-2007 rostly úrokové sazby a současně klesala hodnota nemovitostí, což vedlo k tomu, že mnoho dlužníků již nemohlo splácet své úvěry, banky měly stále slabší úvěrové portfolio, stále nižší příjmy ze splátek úvěrů a menší možnosti poskytovat nové úvěry. Po nějaké době se začalo projevovat, že nadměrná dostupnost hypotečních produktů, zejména nevýhodných úvěrů, poskytovaných lidem s příliš nízkou bonitou nebo špatnou úvěrovou historií, vedla k tomu, že úvěr mohl získat prakticky kdokoliv a bohužel značná část dlužníků ho nedokázala včas splatit.</w:t>
      </w:r>
      <w:r w:rsidRPr="00A95C26">
        <w:rPr>
          <w:rStyle w:val="Znakapoznpodarou"/>
        </w:rPr>
        <w:footnoteReference w:id="21"/>
      </w:r>
      <w:r w:rsidRPr="00A95C26">
        <w:t xml:space="preserve"> Problémy dlužníků, které jim bránily ve splácení dříve přijatých úvěrů, vyplývaly také ze skutečnosti, že americká ekonomika zpomalovala, což znamenalo nárůst nezaměstnanosti. Tyto faktory způsobily pokles tržních cen MBS, což vedlo k tomu, že jejich držitelé, tj. investiční banky, je diskontovali podle jejich aktuální tržní hodnoty. Zároveň museli zveřejnit související kapitálové ztráty.</w:t>
      </w:r>
    </w:p>
    <w:p w14:paraId="107E1C94" w14:textId="77777777" w:rsidR="004A6299" w:rsidRPr="00A95C26" w:rsidRDefault="004A6299" w:rsidP="00641F06">
      <w:pPr>
        <w:spacing w:line="360" w:lineRule="auto"/>
        <w:ind w:firstLine="567"/>
        <w:jc w:val="both"/>
      </w:pPr>
      <w:r w:rsidRPr="00A95C26">
        <w:t xml:space="preserve">Jedním ze znepokojivých signálů bylo oznámení horších než očekávaných finančních výsledků banky HSBC (třetí největší banky na světě), které bylo důsledkem nárůstu podílu nesplácených úvěrů, zejména rizikových úvěrů. Stejné problémy se objevily i u amerického poskytovatele úvěrů ze segmentu rizikových hypoték – New </w:t>
      </w:r>
      <w:proofErr w:type="spellStart"/>
      <w:r w:rsidRPr="00A95C26">
        <w:t>Century</w:t>
      </w:r>
      <w:proofErr w:type="spellEnd"/>
      <w:r w:rsidRPr="00A95C26">
        <w:t xml:space="preserve"> </w:t>
      </w:r>
      <w:proofErr w:type="spellStart"/>
      <w:r w:rsidRPr="00A95C26">
        <w:t>Financial</w:t>
      </w:r>
      <w:proofErr w:type="spellEnd"/>
      <w:r w:rsidRPr="00A95C26">
        <w:t xml:space="preserve"> (krach v dubnu 2007). Svou hodnotu začaly ztrácet i další finanční instituce, včetně JP Morgan, </w:t>
      </w:r>
      <w:proofErr w:type="spellStart"/>
      <w:r w:rsidRPr="00A95C26">
        <w:t>Lehman</w:t>
      </w:r>
      <w:proofErr w:type="spellEnd"/>
      <w:r w:rsidRPr="00A95C26">
        <w:t xml:space="preserve"> </w:t>
      </w:r>
      <w:proofErr w:type="spellStart"/>
      <w:r w:rsidRPr="00A95C26">
        <w:t>Brothers</w:t>
      </w:r>
      <w:proofErr w:type="spellEnd"/>
      <w:r w:rsidRPr="00A95C26">
        <w:t xml:space="preserve">, </w:t>
      </w:r>
      <w:proofErr w:type="spellStart"/>
      <w:r w:rsidRPr="00A95C26">
        <w:t>Wells</w:t>
      </w:r>
      <w:proofErr w:type="spellEnd"/>
      <w:r w:rsidRPr="00A95C26">
        <w:t xml:space="preserve"> </w:t>
      </w:r>
      <w:proofErr w:type="spellStart"/>
      <w:r w:rsidRPr="00A95C26">
        <w:t>Fargo</w:t>
      </w:r>
      <w:proofErr w:type="spellEnd"/>
      <w:r w:rsidRPr="00A95C26">
        <w:t xml:space="preserve">, </w:t>
      </w:r>
      <w:proofErr w:type="spellStart"/>
      <w:r w:rsidRPr="00A95C26">
        <w:t>American</w:t>
      </w:r>
      <w:proofErr w:type="spellEnd"/>
      <w:r w:rsidRPr="00A95C26">
        <w:t xml:space="preserve"> </w:t>
      </w:r>
      <w:proofErr w:type="spellStart"/>
      <w:r w:rsidRPr="00A95C26">
        <w:t>Home</w:t>
      </w:r>
      <w:proofErr w:type="spellEnd"/>
      <w:r w:rsidRPr="00A95C26">
        <w:t xml:space="preserve"> </w:t>
      </w:r>
      <w:proofErr w:type="spellStart"/>
      <w:r w:rsidRPr="00A95C26">
        <w:t>Mortgage</w:t>
      </w:r>
      <w:proofErr w:type="spellEnd"/>
      <w:r w:rsidRPr="00A95C26">
        <w:t xml:space="preserve"> </w:t>
      </w:r>
      <w:proofErr w:type="spellStart"/>
      <w:r w:rsidRPr="00A95C26">
        <w:t>Investments</w:t>
      </w:r>
      <w:proofErr w:type="spellEnd"/>
      <w:r w:rsidRPr="00A95C26">
        <w:t xml:space="preserve"> a </w:t>
      </w:r>
      <w:proofErr w:type="spellStart"/>
      <w:r w:rsidRPr="00A95C26">
        <w:t>Accredited</w:t>
      </w:r>
      <w:proofErr w:type="spellEnd"/>
      <w:r w:rsidRPr="00A95C26">
        <w:t xml:space="preserve"> </w:t>
      </w:r>
      <w:proofErr w:type="spellStart"/>
      <w:r w:rsidRPr="00A95C26">
        <w:t>Home</w:t>
      </w:r>
      <w:proofErr w:type="spellEnd"/>
      <w:r w:rsidRPr="00A95C26">
        <w:t xml:space="preserve"> </w:t>
      </w:r>
      <w:proofErr w:type="spellStart"/>
      <w:r w:rsidRPr="00A95C26">
        <w:t>Lenders</w:t>
      </w:r>
      <w:proofErr w:type="spellEnd"/>
      <w:r w:rsidRPr="00A95C26">
        <w:t>.</w:t>
      </w:r>
      <w:r w:rsidRPr="00A95C26">
        <w:rPr>
          <w:rStyle w:val="Znakapoznpodarou"/>
        </w:rPr>
        <w:footnoteReference w:id="22"/>
      </w:r>
      <w:r w:rsidRPr="00A95C26">
        <w:t xml:space="preserve"> V červnu 2007 zkrachovaly dva hedgeové fondy patřící společnosti </w:t>
      </w:r>
      <w:proofErr w:type="spellStart"/>
      <w:r w:rsidRPr="00A95C26">
        <w:t>Bear</w:t>
      </w:r>
      <w:proofErr w:type="spellEnd"/>
      <w:r w:rsidRPr="00A95C26">
        <w:t xml:space="preserve"> </w:t>
      </w:r>
      <w:proofErr w:type="spellStart"/>
      <w:r w:rsidRPr="00A95C26">
        <w:t>Stearns</w:t>
      </w:r>
      <w:proofErr w:type="spellEnd"/>
      <w:r w:rsidRPr="00A95C26">
        <w:t xml:space="preserve">, které rovněž investovaly do cenných papírů souvisejících s trhem rizikových hypoték. Tyto bankroty byly pro investory signálem, aby se zbavili cenných papírů založených na rizikových úvěrech. Když vyšlo najevo, že tyto úvěry představují velkou část globálního finančního systému, na trhu se rozšířila panika, která ještě zesílila, když banky zjistily, že se jim podařilo přesunout pouze část rizika na externí investory a zbytek toxických aktiv zatěžoval jejich rozvahy. Věřitelé, kteří poskytli krátkodobé úvěry, požadovali své peníze zpět od bank a dalších finančních institucí, jako jsou soukromí poskytovatelé hypotečních úvěrů, fondy peněžního trhu, hedgeové fondy, investiční banky, fondy peněžního trhu a další finanční instituce. V roce 2008 zkrachovalo více než tři sta takových finančních institucí a několika velkým bankám hrozí kolaps. Špatná kvalita úvěrového portfolia a celkový krach amerického finančního trhu vedly ke krachu bank, jako </w:t>
      </w:r>
      <w:r w:rsidRPr="00A95C26">
        <w:lastRenderedPageBreak/>
        <w:t xml:space="preserve">jsou </w:t>
      </w:r>
      <w:proofErr w:type="spellStart"/>
      <w:r w:rsidRPr="00A95C26">
        <w:t>Bear</w:t>
      </w:r>
      <w:proofErr w:type="spellEnd"/>
      <w:r w:rsidRPr="00A95C26">
        <w:t xml:space="preserve"> </w:t>
      </w:r>
      <w:proofErr w:type="spellStart"/>
      <w:r w:rsidRPr="00A95C26">
        <w:t>Stearns</w:t>
      </w:r>
      <w:proofErr w:type="spellEnd"/>
      <w:r w:rsidRPr="00A95C26">
        <w:t xml:space="preserve"> a </w:t>
      </w:r>
      <w:proofErr w:type="spellStart"/>
      <w:r w:rsidRPr="00A95C26">
        <w:t>Lehman</w:t>
      </w:r>
      <w:proofErr w:type="spellEnd"/>
      <w:r w:rsidRPr="00A95C26">
        <w:t xml:space="preserve"> </w:t>
      </w:r>
      <w:proofErr w:type="spellStart"/>
      <w:r w:rsidRPr="00A95C26">
        <w:t>Brothers</w:t>
      </w:r>
      <w:proofErr w:type="spellEnd"/>
      <w:r w:rsidRPr="00A95C26">
        <w:t xml:space="preserve">. </w:t>
      </w:r>
      <w:proofErr w:type="spellStart"/>
      <w:r w:rsidRPr="00A95C26">
        <w:t>Merrill</w:t>
      </w:r>
      <w:proofErr w:type="spellEnd"/>
      <w:r w:rsidRPr="00A95C26">
        <w:t xml:space="preserve"> Lynch byla odkoupena Bank </w:t>
      </w:r>
      <w:proofErr w:type="spellStart"/>
      <w:r w:rsidRPr="00A95C26">
        <w:t>of</w:t>
      </w:r>
      <w:proofErr w:type="spellEnd"/>
      <w:r w:rsidRPr="00A95C26">
        <w:t xml:space="preserve"> America, a </w:t>
      </w:r>
      <w:proofErr w:type="spellStart"/>
      <w:r w:rsidRPr="00A95C26">
        <w:t>Goldman</w:t>
      </w:r>
      <w:proofErr w:type="spellEnd"/>
      <w:r w:rsidRPr="00A95C26">
        <w:t xml:space="preserve"> </w:t>
      </w:r>
      <w:proofErr w:type="spellStart"/>
      <w:r w:rsidRPr="00A95C26">
        <w:t>Sachs</w:t>
      </w:r>
      <w:proofErr w:type="spellEnd"/>
      <w:r w:rsidRPr="00A95C26">
        <w:t xml:space="preserve"> a Morgan Stanley se transformovaly na bankovní holdingové společnosti, které dostaly peníze od </w:t>
      </w:r>
      <w:proofErr w:type="spellStart"/>
      <w:r w:rsidRPr="00A95C26">
        <w:t>FEDu</w:t>
      </w:r>
      <w:proofErr w:type="spellEnd"/>
      <w:r w:rsidRPr="00A95C26">
        <w:t xml:space="preserve"> a zároveň souhlasily s přísnějším dohledem. Panika se rozšířila do dalších částí finančního trhu – </w:t>
      </w:r>
      <w:proofErr w:type="spellStart"/>
      <w:r w:rsidRPr="00A95C26">
        <w:t>Reseve</w:t>
      </w:r>
      <w:proofErr w:type="spellEnd"/>
      <w:r w:rsidRPr="00A95C26">
        <w:t xml:space="preserve"> </w:t>
      </w:r>
      <w:proofErr w:type="spellStart"/>
      <w:r w:rsidRPr="00A95C26">
        <w:t>Primary</w:t>
      </w:r>
      <w:proofErr w:type="spellEnd"/>
      <w:r w:rsidRPr="00A95C26">
        <w:t xml:space="preserve"> </w:t>
      </w:r>
      <w:proofErr w:type="spellStart"/>
      <w:r w:rsidRPr="00A95C26">
        <w:t>Fund</w:t>
      </w:r>
      <w:proofErr w:type="spellEnd"/>
      <w:r w:rsidRPr="00A95C26">
        <w:t xml:space="preserve">, který byl považován za obzvláště bezpečný díky svému spojení s </w:t>
      </w:r>
      <w:proofErr w:type="spellStart"/>
      <w:r w:rsidRPr="00A95C26">
        <w:t>Lehman</w:t>
      </w:r>
      <w:proofErr w:type="spellEnd"/>
      <w:r w:rsidRPr="00A95C26">
        <w:t xml:space="preserve"> </w:t>
      </w:r>
      <w:proofErr w:type="spellStart"/>
      <w:r w:rsidRPr="00A95C26">
        <w:t>Brothers</w:t>
      </w:r>
      <w:proofErr w:type="spellEnd"/>
      <w:r w:rsidRPr="00A95C26">
        <w:t>, se dostal do platební neschopnosti a pojišťovna AIG, kterou podporoval FED, se dostala do problémů.</w:t>
      </w:r>
      <w:r w:rsidRPr="00A95C26">
        <w:rPr>
          <w:rStyle w:val="Znakapoznpodarou"/>
        </w:rPr>
        <w:footnoteReference w:id="23"/>
      </w:r>
    </w:p>
    <w:p w14:paraId="511B230B" w14:textId="77777777" w:rsidR="004A6299" w:rsidRPr="00A95C26" w:rsidRDefault="004A6299" w:rsidP="00641F06">
      <w:pPr>
        <w:spacing w:line="360" w:lineRule="auto"/>
        <w:ind w:firstLine="567"/>
        <w:jc w:val="both"/>
      </w:pPr>
      <w:r w:rsidRPr="00A95C26">
        <w:t xml:space="preserve">Navzdory úsilí a záchraně několika finančních institucí ze strany </w:t>
      </w:r>
      <w:proofErr w:type="spellStart"/>
      <w:r w:rsidRPr="00A95C26">
        <w:t>FEDu</w:t>
      </w:r>
      <w:proofErr w:type="spellEnd"/>
      <w:r w:rsidRPr="00A95C26">
        <w:t xml:space="preserve"> v roce 2008 se situace ve Spojených státech zhoršila. Důvodem prohlubující se recese byla nedostatečná komunikace mezi vládním sektorem a zbytkem společnosti. Nedostatek informací o tom, proč některé instituce finanční prostředky dostaly a jiné ne, vedl k všeobecné panice, lidé nevěřili, že stát má konkrétní plán, jak se s krizí vypořádat.</w:t>
      </w:r>
      <w:r w:rsidRPr="00A95C26">
        <w:rPr>
          <w:rStyle w:val="Znakapoznpodarou"/>
        </w:rPr>
        <w:footnoteReference w:id="24"/>
      </w:r>
    </w:p>
    <w:p w14:paraId="191C4F90" w14:textId="77777777" w:rsidR="004A6299" w:rsidRPr="00A95C26" w:rsidRDefault="004A6299" w:rsidP="00641F06">
      <w:pPr>
        <w:spacing w:line="360" w:lineRule="auto"/>
        <w:ind w:firstLine="567"/>
        <w:jc w:val="both"/>
      </w:pPr>
      <w:proofErr w:type="spellStart"/>
      <w:r w:rsidRPr="00A95C26">
        <w:t>Kamppeter</w:t>
      </w:r>
      <w:proofErr w:type="spellEnd"/>
      <w:r w:rsidRPr="00A95C26">
        <w:rPr>
          <w:rStyle w:val="Znakapoznpodarou"/>
        </w:rPr>
        <w:footnoteReference w:id="25"/>
      </w:r>
      <w:r w:rsidRPr="00A95C26">
        <w:t xml:space="preserve"> uvádí, že výrazné zhoršení situace bylo zaznamenáno poté, co 23. září 2008 předseda Rady guvernérů Federálního rezervního systému Ben </w:t>
      </w:r>
      <w:proofErr w:type="spellStart"/>
      <w:r w:rsidRPr="00A95C26">
        <w:t>Bernanke</w:t>
      </w:r>
      <w:proofErr w:type="spellEnd"/>
      <w:r w:rsidRPr="00A95C26">
        <w:t xml:space="preserve"> a ministr financí Harry </w:t>
      </w:r>
      <w:proofErr w:type="spellStart"/>
      <w:r w:rsidRPr="00A95C26">
        <w:t>Paulson</w:t>
      </w:r>
      <w:proofErr w:type="spellEnd"/>
      <w:r w:rsidRPr="00A95C26">
        <w:t xml:space="preserve"> předložili </w:t>
      </w:r>
      <w:proofErr w:type="gramStart"/>
      <w:r w:rsidRPr="00A95C26">
        <w:t>2,5 stránkový</w:t>
      </w:r>
      <w:proofErr w:type="gramEnd"/>
      <w:r w:rsidRPr="00A95C26">
        <w:t xml:space="preserve"> balíček pomoci, v němž nebyl zmíněn ani dohled. Veřejnost tento plán ostře kritizovala. Tato situace pravděpodobně prohloubila recesi na trhu a zvýšila riziko. Přesvědčení </w:t>
      </w:r>
      <w:proofErr w:type="gramStart"/>
      <w:r w:rsidRPr="00A95C26">
        <w:t>mas</w:t>
      </w:r>
      <w:proofErr w:type="gramEnd"/>
      <w:r w:rsidRPr="00A95C26">
        <w:t xml:space="preserve">, že intervenční plán nebyl promyšlený, že ekonomická situace země je mnohem horší, než se zdálo, spolu s rostoucí panikou a nedostatkem odpovídajícího dialogu mezi vládou a obyvateli země byly podle </w:t>
      </w:r>
      <w:proofErr w:type="spellStart"/>
      <w:r w:rsidRPr="00A95C26">
        <w:t>Kamppeter</w:t>
      </w:r>
      <w:proofErr w:type="spellEnd"/>
      <w:r w:rsidRPr="00A95C26">
        <w:t xml:space="preserve"> hlavními důvody prohlubování a prodlužování krize. Podle </w:t>
      </w:r>
      <w:proofErr w:type="spellStart"/>
      <w:r w:rsidRPr="00A95C26">
        <w:t>Kamppeter</w:t>
      </w:r>
      <w:proofErr w:type="spellEnd"/>
      <w:r w:rsidRPr="00A95C26">
        <w:t xml:space="preserve"> bylo největší chybou, které se během krize dopustil, špatné posouzení zdroje krize. Centrální banky, které předpokládaly, že recese je způsobena nedostatkem likvidity, začaly do ekonomik pumpovat obrovské množství peněz. Taková reakce bohužel nepřinesla žádné větší výhody, protože hlavním zdrojem krize byla netransparentnost finančního trhu a úvěrové riziko. </w:t>
      </w:r>
    </w:p>
    <w:p w14:paraId="6E2516BC" w14:textId="77777777" w:rsidR="004A6299" w:rsidRPr="00A95C26" w:rsidRDefault="004A6299" w:rsidP="00641F06">
      <w:pPr>
        <w:spacing w:line="360" w:lineRule="auto"/>
        <w:ind w:firstLine="567"/>
        <w:jc w:val="both"/>
      </w:pPr>
      <w:r w:rsidRPr="00A95C26">
        <w:t xml:space="preserve">Krize začala ve Spojených státech, ale rozšířila se do celé světové ekonomiky a zasáhla vysoce rozvinuté evropské ekonomiky i ekonomiky rozvíjejících se zemí, Japonska a Číny. S americkým trhem rizikových hypoték byly spojeny i evropské banky. Problémy se objevily ve třech německých bankách (IKB </w:t>
      </w:r>
      <w:proofErr w:type="spellStart"/>
      <w:r w:rsidRPr="00A95C26">
        <w:t>Duetsche</w:t>
      </w:r>
      <w:proofErr w:type="spellEnd"/>
      <w:r w:rsidRPr="00A95C26">
        <w:t xml:space="preserve"> </w:t>
      </w:r>
      <w:proofErr w:type="spellStart"/>
      <w:r w:rsidRPr="00A95C26">
        <w:t>Industriebank</w:t>
      </w:r>
      <w:proofErr w:type="spellEnd"/>
      <w:r w:rsidRPr="00A95C26">
        <w:t xml:space="preserve">, </w:t>
      </w:r>
      <w:proofErr w:type="spellStart"/>
      <w:r w:rsidRPr="00A95C26">
        <w:t>Sachsem</w:t>
      </w:r>
      <w:proofErr w:type="spellEnd"/>
      <w:r w:rsidRPr="00A95C26">
        <w:t xml:space="preserve"> LB a </w:t>
      </w:r>
      <w:proofErr w:type="spellStart"/>
      <w:r w:rsidRPr="00A95C26">
        <w:t>West</w:t>
      </w:r>
      <w:proofErr w:type="spellEnd"/>
      <w:r w:rsidRPr="00A95C26">
        <w:t xml:space="preserve"> LB), ve francouzské BNP Paribas, v britských bankách (</w:t>
      </w:r>
      <w:proofErr w:type="spellStart"/>
      <w:r w:rsidRPr="00A95C26">
        <w:t>Barclays</w:t>
      </w:r>
      <w:proofErr w:type="spellEnd"/>
      <w:r w:rsidRPr="00A95C26">
        <w:t xml:space="preserve"> Bank, </w:t>
      </w:r>
      <w:proofErr w:type="spellStart"/>
      <w:r w:rsidRPr="00A95C26">
        <w:t>Northern</w:t>
      </w:r>
      <w:proofErr w:type="spellEnd"/>
      <w:r w:rsidRPr="00A95C26">
        <w:t xml:space="preserve"> Rock, HSBC, </w:t>
      </w:r>
      <w:proofErr w:type="spellStart"/>
      <w:r w:rsidRPr="00A95C26">
        <w:t>Royal</w:t>
      </w:r>
      <w:proofErr w:type="spellEnd"/>
      <w:r w:rsidRPr="00A95C26">
        <w:t xml:space="preserve"> Bank </w:t>
      </w:r>
      <w:proofErr w:type="spellStart"/>
      <w:r w:rsidRPr="00A95C26">
        <w:t>of</w:t>
      </w:r>
      <w:proofErr w:type="spellEnd"/>
      <w:r w:rsidRPr="00A95C26">
        <w:t xml:space="preserve"> Scotland) a ve švýcarské </w:t>
      </w:r>
      <w:proofErr w:type="spellStart"/>
      <w:r w:rsidRPr="00A95C26">
        <w:t>Credit</w:t>
      </w:r>
      <w:proofErr w:type="spellEnd"/>
      <w:r w:rsidRPr="00A95C26">
        <w:t xml:space="preserve"> </w:t>
      </w:r>
      <w:proofErr w:type="spellStart"/>
      <w:r w:rsidRPr="00A95C26">
        <w:t>Suisse</w:t>
      </w:r>
      <w:proofErr w:type="spellEnd"/>
      <w:r w:rsidRPr="00A95C26">
        <w:t xml:space="preserve">. V této situaci se Evropská centrální banka, stejně jako FED, rozhodla zasáhnout, aby zmírnila dopady kolapsu trhu s rizikovými </w:t>
      </w:r>
      <w:r w:rsidRPr="00A95C26">
        <w:lastRenderedPageBreak/>
        <w:t xml:space="preserve">hypotékami a obnovila likviditu trhu. K takovým intervencím přistoupila o něco později i Bank </w:t>
      </w:r>
      <w:proofErr w:type="spellStart"/>
      <w:r w:rsidRPr="00A95C26">
        <w:t>of</w:t>
      </w:r>
      <w:proofErr w:type="spellEnd"/>
      <w:r w:rsidRPr="00A95C26">
        <w:t xml:space="preserve"> </w:t>
      </w:r>
      <w:proofErr w:type="spellStart"/>
      <w:r w:rsidRPr="00A95C26">
        <w:t>England</w:t>
      </w:r>
      <w:proofErr w:type="spellEnd"/>
      <w:r w:rsidRPr="00A95C26">
        <w:t>.</w:t>
      </w:r>
    </w:p>
    <w:p w14:paraId="430B5CCB" w14:textId="149F4C63" w:rsidR="000327B4" w:rsidRPr="00A95C26" w:rsidRDefault="00D64834" w:rsidP="00641F06">
      <w:pPr>
        <w:pStyle w:val="Nadpis2"/>
        <w:jc w:val="both"/>
        <w:rPr>
          <w:lang w:val="cs-CZ"/>
        </w:rPr>
      </w:pPr>
      <w:bookmarkStart w:id="34" w:name="_Toc83234770"/>
      <w:bookmarkStart w:id="35" w:name="_Toc99636456"/>
      <w:bookmarkStart w:id="36" w:name="_Toc99657946"/>
      <w:bookmarkStart w:id="37" w:name="_Toc99659306"/>
      <w:r w:rsidRPr="00A95C26">
        <w:rPr>
          <w:lang w:val="cs-CZ"/>
        </w:rPr>
        <w:t xml:space="preserve">3.4 </w:t>
      </w:r>
      <w:r w:rsidR="006F238B" w:rsidRPr="00A95C26">
        <w:rPr>
          <w:lang w:val="cs-CZ"/>
        </w:rPr>
        <w:t>Dopady finanční krize 2008 na světovou ekonomiku</w:t>
      </w:r>
      <w:bookmarkEnd w:id="34"/>
      <w:bookmarkEnd w:id="35"/>
      <w:bookmarkEnd w:id="36"/>
      <w:bookmarkEnd w:id="37"/>
    </w:p>
    <w:p w14:paraId="1E40123A" w14:textId="77777777" w:rsidR="006F238B" w:rsidRPr="00A95C26" w:rsidRDefault="006F238B" w:rsidP="00641F06">
      <w:pPr>
        <w:spacing w:line="360" w:lineRule="auto"/>
        <w:ind w:firstLine="567"/>
        <w:jc w:val="both"/>
      </w:pPr>
      <w:r w:rsidRPr="00A95C26">
        <w:t>Krize, která se původně odehrála na americkém trhu s bydlením, se proměnila v globální krizi světové ekonomiky, jejíž rozsah je srovnáván s velkou krizí z let 1929-1933. Je velmi obtížné najít jednoznačnou odpověď na otázku, jak globální finanční krize ovlivnila celou světovou ekonomiku.</w:t>
      </w:r>
    </w:p>
    <w:p w14:paraId="1B07F2D2" w14:textId="77777777" w:rsidR="006F238B" w:rsidRPr="00A95C26" w:rsidRDefault="006F238B" w:rsidP="00641F06">
      <w:pPr>
        <w:spacing w:line="360" w:lineRule="auto"/>
        <w:ind w:firstLine="567"/>
        <w:jc w:val="both"/>
      </w:pPr>
      <w:r w:rsidRPr="00A95C26">
        <w:t xml:space="preserve">Hypoteční trh ve Spojených státech získal díky </w:t>
      </w:r>
      <w:proofErr w:type="spellStart"/>
      <w:r w:rsidRPr="00A95C26">
        <w:t>sekuritizačnímu</w:t>
      </w:r>
      <w:proofErr w:type="spellEnd"/>
      <w:r w:rsidRPr="00A95C26">
        <w:t xml:space="preserve"> mechanismu velmi široký přístup ke globálním finančním zdrojům. Největší skupinu kupujících cenných papírů založených na hypotečních úvěrech tvořily zahraniční banky a další finanční instituce z různých regionů světa.</w:t>
      </w:r>
      <w:r w:rsidRPr="00A95C26">
        <w:rPr>
          <w:rStyle w:val="Znakapoznpodarou"/>
        </w:rPr>
        <w:footnoteReference w:id="26"/>
      </w:r>
    </w:p>
    <w:p w14:paraId="1AFB1B2A" w14:textId="77777777" w:rsidR="006F238B" w:rsidRPr="00A95C26" w:rsidRDefault="006F238B" w:rsidP="00641F06">
      <w:pPr>
        <w:spacing w:line="360" w:lineRule="auto"/>
        <w:ind w:firstLine="567"/>
        <w:jc w:val="both"/>
      </w:pPr>
      <w:r w:rsidRPr="00A95C26">
        <w:t>Mezinárodní měnový fond odhaduje, že v letech 2007-2010 dosáhly odpisy bankovního sektoru z hypotečních úvěrů a cenných papírů vydaných na jejich základě 2 276 miliard USD. Podíl amerických bank na těchto odpisech činí téměř 39 %, britských bank téměř 20 %, bank eurozóny přes 29 %, ostatních evropských bank téměř 7 % a asijských bank 5 %.</w:t>
      </w:r>
      <w:r w:rsidRPr="00A95C26">
        <w:rPr>
          <w:rStyle w:val="Znakapoznpodarou"/>
        </w:rPr>
        <w:footnoteReference w:id="27"/>
      </w:r>
      <w:r w:rsidRPr="00A95C26">
        <w:t xml:space="preserve"> Ztráty v ostatních finančních institucích byly rovněž obrovské. Fond odhadl, že na konci října 2008 jen na americkém trhu činily 1 405 miliard USD.</w:t>
      </w:r>
      <w:r w:rsidRPr="00A95C26">
        <w:rPr>
          <w:rStyle w:val="Znakapoznpodarou"/>
        </w:rPr>
        <w:footnoteReference w:id="28"/>
      </w:r>
      <w:r w:rsidRPr="00A95C26">
        <w:t xml:space="preserve"> Přímé dopady zhroucení hypotečního trhu v USA nejvíce postihly finanční trhy vysoce rozvinutých zemí, protože ty měly díky svému rozvoji a rozsahu neomezený přístup k nástrojům, jejichž trh se zhroutil.</w:t>
      </w:r>
    </w:p>
    <w:p w14:paraId="2E4DC891" w14:textId="77777777" w:rsidR="006F238B" w:rsidRPr="00A95C26" w:rsidRDefault="006F238B" w:rsidP="00641F06">
      <w:pPr>
        <w:spacing w:line="360" w:lineRule="auto"/>
        <w:ind w:firstLine="567"/>
        <w:jc w:val="both"/>
      </w:pPr>
      <w:r w:rsidRPr="00A95C26">
        <w:t>Krize však zasáhla jak ekonomiky vysoce rozvinutých zemí, tak rozvíjejících se zemí, a to v podobě zhoršení ekonomické situace ze dvou základních důvodů</w:t>
      </w:r>
      <w:r w:rsidRPr="00A95C26">
        <w:rPr>
          <w:rStyle w:val="Znakapoznpodarou"/>
        </w:rPr>
        <w:footnoteReference w:id="29"/>
      </w:r>
      <w:r w:rsidRPr="00A95C26">
        <w:t>:</w:t>
      </w:r>
    </w:p>
    <w:p w14:paraId="79141FE4" w14:textId="77777777" w:rsidR="006F238B" w:rsidRPr="00A95C26" w:rsidRDefault="006F238B" w:rsidP="00641F06">
      <w:pPr>
        <w:pStyle w:val="Odstavecseseznamem"/>
        <w:numPr>
          <w:ilvl w:val="0"/>
          <w:numId w:val="21"/>
        </w:numPr>
        <w:spacing w:before="100" w:beforeAutospacing="1" w:line="360" w:lineRule="auto"/>
        <w:jc w:val="both"/>
      </w:pPr>
      <w:r w:rsidRPr="00A95C26">
        <w:t>pokles poptávky, zejména na trzích vysoce rozvinutých zemí, což bylo příčinou propadu světového vývozu;</w:t>
      </w:r>
    </w:p>
    <w:p w14:paraId="14185708" w14:textId="77777777" w:rsidR="006F238B" w:rsidRPr="00A95C26" w:rsidRDefault="006F238B" w:rsidP="00641F06">
      <w:pPr>
        <w:pStyle w:val="Odstavecseseznamem"/>
        <w:numPr>
          <w:ilvl w:val="0"/>
          <w:numId w:val="21"/>
        </w:numPr>
        <w:spacing w:before="100" w:beforeAutospacing="1" w:line="360" w:lineRule="auto"/>
        <w:jc w:val="both"/>
      </w:pPr>
      <w:r w:rsidRPr="00A95C26">
        <w:t>otřesy na finančních a měnových trzích, které způsobily rychlé změny směnných kurzů měn, zejména v rozvíjejících se zemích, a stahování kapitálu institucemi působícími na mezinárodním trhu z důvodu kompenzace ztrát nebo zvýšeného hodnocení rizika investování na těchto trzích.</w:t>
      </w:r>
    </w:p>
    <w:p w14:paraId="04CF8249" w14:textId="7207F3B5" w:rsidR="006F238B" w:rsidRDefault="006F238B" w:rsidP="00641F06">
      <w:pPr>
        <w:spacing w:line="360" w:lineRule="auto"/>
        <w:ind w:firstLine="567"/>
        <w:jc w:val="both"/>
      </w:pPr>
      <w:r w:rsidRPr="00A95C26">
        <w:lastRenderedPageBreak/>
        <w:t>Podle údajů Světové obchodní organizace došlo k největšímu zastavení světového obchodu ve čtvrtém čtvrtletí roku 2008 a v prvním čtvrtletí roku 2009. Dopady krize se projevily zejména na vývozu a dovozu prakticky všech zemí světa. Světový vývoz v roce 2009 klesl o 12 % a světový dovoz o 12,9 %. Vysoce rozvinuté země utrpěly o něco větší ztráty (vývoz poklesl o 15,1 % a dovoz o 14,4 %), zatímco rozvíjející se ekonomiky zaznamenaly o něco menší pokles (vývoz poklesl o 7,4 % a dovoz o 10,5 %). V roce 2010 se situace výrazně zlepšila a světový vývoz vzrostl o 13,8 % a dovoz o 13,7 %. Ekonomiky vysoce rozvinutých zemí vzrostly o 13 %, resp. 10,9 %, a rozvíjejících se zemí o 14,9 %, resp. 18,1 %. V roce 2011 bohužel došlo k dalšímu zpomalení, ale ne tak drastickému jako v roce 2009. (viz graf 1-3). Pokles obratu světového obchodu byl obzvláště výrazný u zemí s vysokým podílem obratu zahraničního obchodu.</w:t>
      </w:r>
    </w:p>
    <w:p w14:paraId="6CB17381" w14:textId="77777777" w:rsidR="006F238B" w:rsidRPr="00A95C26" w:rsidRDefault="006F238B" w:rsidP="00641F06">
      <w:pPr>
        <w:spacing w:line="360" w:lineRule="auto"/>
        <w:ind w:firstLine="567"/>
        <w:jc w:val="both"/>
      </w:pPr>
      <w:r w:rsidRPr="00A95C26">
        <w:t>Graf 1. HDP v letech 2009-2011 (meziroční změna v %)</w:t>
      </w:r>
    </w:p>
    <w:p w14:paraId="6EA914F2" w14:textId="77777777" w:rsidR="006F238B" w:rsidRPr="00A95C26" w:rsidRDefault="006F238B" w:rsidP="00641F06">
      <w:pPr>
        <w:spacing w:before="100" w:beforeAutospacing="1" w:line="360" w:lineRule="auto"/>
        <w:jc w:val="both"/>
      </w:pPr>
      <w:r w:rsidRPr="00A95C26">
        <w:rPr>
          <w:noProof/>
        </w:rPr>
        <w:drawing>
          <wp:inline distT="0" distB="0" distL="0" distR="0" wp14:anchorId="7697821D" wp14:editId="569E05DF">
            <wp:extent cx="5207691" cy="3220278"/>
            <wp:effectExtent l="0" t="0" r="12065" b="18415"/>
            <wp:docPr id="1" name="Диаграмма 1">
              <a:extLst xmlns:a="http://schemas.openxmlformats.org/drawingml/2006/main">
                <a:ext uri="{FF2B5EF4-FFF2-40B4-BE49-F238E27FC236}">
                  <a16:creationId xmlns:a16="http://schemas.microsoft.com/office/drawing/2014/main" id="{EBDED426-557A-2448-93D0-0A5EAD3B9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957622" w14:textId="77777777" w:rsidR="006F238B" w:rsidRPr="00A95C26" w:rsidRDefault="006F238B" w:rsidP="00641F06">
      <w:pPr>
        <w:spacing w:before="100" w:beforeAutospacing="1" w:line="360" w:lineRule="auto"/>
        <w:jc w:val="both"/>
      </w:pPr>
      <w:r w:rsidRPr="00A95C26">
        <w:t xml:space="preserve">Zdroj: </w:t>
      </w:r>
      <w:proofErr w:type="spellStart"/>
      <w:r w:rsidRPr="00A95C26">
        <w:t>Trade</w:t>
      </w:r>
      <w:proofErr w:type="spellEnd"/>
      <w:r w:rsidRPr="00A95C26">
        <w:t xml:space="preserve"> </w:t>
      </w:r>
      <w:proofErr w:type="spellStart"/>
      <w:r w:rsidRPr="00A95C26">
        <w:t>growth</w:t>
      </w:r>
      <w:proofErr w:type="spellEnd"/>
      <w:r w:rsidRPr="00A95C26">
        <w:t xml:space="preserve"> to </w:t>
      </w:r>
      <w:proofErr w:type="spellStart"/>
      <w:r w:rsidRPr="00A95C26">
        <w:t>slow</w:t>
      </w:r>
      <w:proofErr w:type="spellEnd"/>
      <w:r w:rsidRPr="00A95C26">
        <w:t xml:space="preserve"> in 2012 </w:t>
      </w:r>
      <w:proofErr w:type="spellStart"/>
      <w:r w:rsidRPr="00A95C26">
        <w:t>after</w:t>
      </w:r>
      <w:proofErr w:type="spellEnd"/>
      <w:r w:rsidRPr="00A95C26">
        <w:t xml:space="preserve"> </w:t>
      </w:r>
      <w:proofErr w:type="spellStart"/>
      <w:r w:rsidRPr="00A95C26">
        <w:t>strong</w:t>
      </w:r>
      <w:proofErr w:type="spellEnd"/>
      <w:r w:rsidRPr="00A95C26">
        <w:t xml:space="preserve"> </w:t>
      </w:r>
      <w:proofErr w:type="spellStart"/>
      <w:r w:rsidRPr="00A95C26">
        <w:t>deceleration</w:t>
      </w:r>
      <w:proofErr w:type="spellEnd"/>
      <w:r w:rsidRPr="00A95C26">
        <w:t xml:space="preserve"> in 2011. WTO: 2012 </w:t>
      </w:r>
      <w:proofErr w:type="spellStart"/>
      <w:r w:rsidRPr="00A95C26">
        <w:t>press</w:t>
      </w:r>
      <w:proofErr w:type="spellEnd"/>
      <w:r w:rsidRPr="00A95C26">
        <w:t xml:space="preserve"> </w:t>
      </w:r>
      <w:proofErr w:type="spellStart"/>
      <w:r w:rsidRPr="00A95C26">
        <w:t>releases</w:t>
      </w:r>
      <w:proofErr w:type="spellEnd"/>
      <w:r w:rsidRPr="00A95C26">
        <w:t>.</w:t>
      </w:r>
    </w:p>
    <w:p w14:paraId="6BE1D7AE" w14:textId="38CE1A4C" w:rsidR="006F238B" w:rsidRDefault="006F238B" w:rsidP="00641F06">
      <w:pPr>
        <w:spacing w:line="360" w:lineRule="auto"/>
        <w:ind w:firstLine="567"/>
        <w:jc w:val="both"/>
      </w:pPr>
      <w:r w:rsidRPr="00A95C26">
        <w:t xml:space="preserve">Krize ovlivnila i tempo růstu HDP jednotlivých zemí. V roce 2009 se světový HDP snížil o 2,9 %, z toho ve vysoce rozvinutých zemích o 4,1 % a v rozvojových zemích o 2,2 %. V roce 2010 se situace zlepšila a světový HDP vzrostl o 3,8 %, ale v roce 2011 se situace opět zhoršila a tempo růstu světového HDP činilo 2,4 % (viz graf 1). Hlavním důvodem poklesu HDP byl </w:t>
      </w:r>
      <w:r w:rsidRPr="00A95C26">
        <w:lastRenderedPageBreak/>
        <w:t>kolaps světového obchodu.</w:t>
      </w:r>
      <w:r w:rsidRPr="00A95C26">
        <w:rPr>
          <w:rStyle w:val="Znakapoznpodarou"/>
        </w:rPr>
        <w:footnoteReference w:id="30"/>
      </w:r>
      <w:r w:rsidRPr="00A95C26">
        <w:t xml:space="preserve"> Turbulence na mezinárodních finančních a měnových trzích měly negativní dopad na země, které dříve vykazovaly deficity zahraničního obchodu a běžných účtů platební bilance, které uplatňovaly pevný měnový kurz a ty, jejichž fiskální situace se zhoršila. Druhý případ se týká zejména Řecka, které si neví rady se svým dluhem a ratingové agentury mu neustále snižují důvěryhodnost. Tato situace se týká všech zemí eurozóny a některé z nich mohou být ohroženy dluhovou krizí.</w:t>
      </w:r>
    </w:p>
    <w:p w14:paraId="59DE4A0B" w14:textId="3FCB5F83" w:rsidR="0091726E" w:rsidRDefault="0091726E" w:rsidP="00641F06">
      <w:pPr>
        <w:spacing w:line="360" w:lineRule="auto"/>
        <w:ind w:firstLine="567"/>
        <w:jc w:val="both"/>
      </w:pPr>
    </w:p>
    <w:p w14:paraId="1DE58D91" w14:textId="77777777" w:rsidR="006F238B" w:rsidRPr="00A95C26" w:rsidRDefault="006F238B" w:rsidP="00641F06">
      <w:pPr>
        <w:spacing w:line="360" w:lineRule="auto"/>
        <w:ind w:firstLine="567"/>
        <w:jc w:val="both"/>
      </w:pPr>
      <w:r w:rsidRPr="00A95C26">
        <w:t>Graf 2. Světový obchod podle regionů v letech 2009-2011 (meziroční změna v %)</w:t>
      </w:r>
    </w:p>
    <w:p w14:paraId="0A74A894" w14:textId="77777777" w:rsidR="006F238B" w:rsidRPr="00A95C26" w:rsidRDefault="006F238B" w:rsidP="00641F06">
      <w:pPr>
        <w:spacing w:before="100" w:beforeAutospacing="1" w:line="360" w:lineRule="auto"/>
        <w:jc w:val="both"/>
      </w:pPr>
      <w:r w:rsidRPr="00A95C26">
        <w:rPr>
          <w:noProof/>
        </w:rPr>
        <w:drawing>
          <wp:inline distT="0" distB="0" distL="0" distR="0" wp14:anchorId="78641A9D" wp14:editId="335E00A8">
            <wp:extent cx="5731510" cy="4177518"/>
            <wp:effectExtent l="0" t="0" r="8890" b="13970"/>
            <wp:docPr id="2" name="Диаграмма 2">
              <a:extLst xmlns:a="http://schemas.openxmlformats.org/drawingml/2006/main">
                <a:ext uri="{FF2B5EF4-FFF2-40B4-BE49-F238E27FC236}">
                  <a16:creationId xmlns:a16="http://schemas.microsoft.com/office/drawing/2014/main" id="{0B3C8B88-6D28-9941-B0CA-37822B256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7BFA1D" w14:textId="18DFB715" w:rsidR="006F238B" w:rsidRDefault="006F238B" w:rsidP="0091726E">
      <w:pPr>
        <w:spacing w:before="100" w:beforeAutospacing="1" w:line="360" w:lineRule="auto"/>
        <w:jc w:val="both"/>
      </w:pPr>
      <w:r w:rsidRPr="00A95C26">
        <w:t xml:space="preserve">Zdroj: </w:t>
      </w:r>
      <w:proofErr w:type="spellStart"/>
      <w:r w:rsidRPr="00A95C26">
        <w:t>Trade</w:t>
      </w:r>
      <w:proofErr w:type="spellEnd"/>
      <w:r w:rsidRPr="00A95C26">
        <w:t xml:space="preserve"> </w:t>
      </w:r>
      <w:proofErr w:type="spellStart"/>
      <w:r w:rsidRPr="00A95C26">
        <w:t>growth</w:t>
      </w:r>
      <w:proofErr w:type="spellEnd"/>
      <w:r w:rsidRPr="00A95C26">
        <w:t xml:space="preserve"> to </w:t>
      </w:r>
      <w:proofErr w:type="spellStart"/>
      <w:r w:rsidRPr="00A95C26">
        <w:t>slow</w:t>
      </w:r>
      <w:proofErr w:type="spellEnd"/>
      <w:r w:rsidRPr="00A95C26">
        <w:t xml:space="preserve"> in 2012 </w:t>
      </w:r>
      <w:proofErr w:type="spellStart"/>
      <w:r w:rsidRPr="00A95C26">
        <w:t>after</w:t>
      </w:r>
      <w:proofErr w:type="spellEnd"/>
      <w:r w:rsidRPr="00A95C26">
        <w:t xml:space="preserve"> </w:t>
      </w:r>
      <w:proofErr w:type="spellStart"/>
      <w:r w:rsidRPr="00A95C26">
        <w:t>strong</w:t>
      </w:r>
      <w:proofErr w:type="spellEnd"/>
      <w:r w:rsidRPr="00A95C26">
        <w:t xml:space="preserve"> </w:t>
      </w:r>
      <w:proofErr w:type="spellStart"/>
      <w:r w:rsidRPr="00A95C26">
        <w:t>deceleration</w:t>
      </w:r>
      <w:proofErr w:type="spellEnd"/>
      <w:r w:rsidRPr="00A95C26">
        <w:t xml:space="preserve"> in 2011. WTO: 2012 </w:t>
      </w:r>
      <w:proofErr w:type="spellStart"/>
      <w:r w:rsidRPr="00A95C26">
        <w:t>press</w:t>
      </w:r>
      <w:proofErr w:type="spellEnd"/>
      <w:r w:rsidRPr="00A95C26">
        <w:t xml:space="preserve"> </w:t>
      </w:r>
      <w:proofErr w:type="spellStart"/>
      <w:r w:rsidRPr="00A95C26">
        <w:t>releases</w:t>
      </w:r>
      <w:proofErr w:type="spellEnd"/>
      <w:r w:rsidRPr="00A95C26">
        <w:t>.</w:t>
      </w:r>
    </w:p>
    <w:p w14:paraId="597F6543" w14:textId="075CA3DE" w:rsidR="0091726E" w:rsidRDefault="0091726E" w:rsidP="0091726E">
      <w:pPr>
        <w:spacing w:before="100" w:beforeAutospacing="1" w:line="360" w:lineRule="auto"/>
        <w:jc w:val="both"/>
      </w:pPr>
    </w:p>
    <w:p w14:paraId="742EAF7A" w14:textId="3E0ED84D" w:rsidR="0091726E" w:rsidRDefault="0091726E" w:rsidP="0091726E">
      <w:pPr>
        <w:spacing w:before="100" w:beforeAutospacing="1" w:line="360" w:lineRule="auto"/>
        <w:jc w:val="both"/>
      </w:pPr>
    </w:p>
    <w:p w14:paraId="5D11AFAA" w14:textId="2D83630F" w:rsidR="006F238B" w:rsidRPr="00A95C26" w:rsidRDefault="006F238B" w:rsidP="00641F06">
      <w:pPr>
        <w:spacing w:before="100" w:beforeAutospacing="1" w:line="360" w:lineRule="auto"/>
        <w:ind w:firstLine="567"/>
        <w:jc w:val="both"/>
      </w:pPr>
      <w:r w:rsidRPr="00A95C26">
        <w:lastRenderedPageBreak/>
        <w:t>Graf 3. Světový obchod podle regionů v letech 2009-2011 (meziroční změna v %)</w:t>
      </w:r>
    </w:p>
    <w:p w14:paraId="0A8CE973" w14:textId="77777777" w:rsidR="006F238B" w:rsidRPr="00A95C26" w:rsidRDefault="006F238B" w:rsidP="00641F06">
      <w:pPr>
        <w:spacing w:before="100" w:beforeAutospacing="1"/>
        <w:jc w:val="both"/>
      </w:pPr>
      <w:r w:rsidRPr="00A95C26">
        <w:rPr>
          <w:noProof/>
        </w:rPr>
        <w:drawing>
          <wp:inline distT="0" distB="0" distL="0" distR="0" wp14:anchorId="0C4F47DA" wp14:editId="1AC87FE8">
            <wp:extent cx="5866130" cy="3856776"/>
            <wp:effectExtent l="0" t="0" r="13970" b="17145"/>
            <wp:docPr id="4" name="Диаграмма 4">
              <a:extLst xmlns:a="http://schemas.openxmlformats.org/drawingml/2006/main">
                <a:ext uri="{FF2B5EF4-FFF2-40B4-BE49-F238E27FC236}">
                  <a16:creationId xmlns:a16="http://schemas.microsoft.com/office/drawing/2014/main" id="{E368E40A-F6CB-9E43-8D91-7EE2399A1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6D5755" w14:textId="4336DED6" w:rsidR="006F238B" w:rsidRPr="00A95C26" w:rsidRDefault="006F238B" w:rsidP="00641F06">
      <w:pPr>
        <w:spacing w:before="100" w:beforeAutospacing="1" w:line="360" w:lineRule="auto"/>
        <w:jc w:val="both"/>
      </w:pPr>
      <w:r w:rsidRPr="00A95C26">
        <w:t xml:space="preserve">Zdroj: </w:t>
      </w:r>
      <w:proofErr w:type="spellStart"/>
      <w:r w:rsidRPr="00A95C26">
        <w:t>Trade</w:t>
      </w:r>
      <w:proofErr w:type="spellEnd"/>
      <w:r w:rsidRPr="00A95C26">
        <w:t xml:space="preserve"> </w:t>
      </w:r>
      <w:proofErr w:type="spellStart"/>
      <w:r w:rsidRPr="00A95C26">
        <w:t>growth</w:t>
      </w:r>
      <w:proofErr w:type="spellEnd"/>
      <w:r w:rsidRPr="00A95C26">
        <w:t xml:space="preserve"> to </w:t>
      </w:r>
      <w:proofErr w:type="spellStart"/>
      <w:r w:rsidRPr="00A95C26">
        <w:t>slow</w:t>
      </w:r>
      <w:proofErr w:type="spellEnd"/>
      <w:r w:rsidRPr="00A95C26">
        <w:t xml:space="preserve"> in 2012 </w:t>
      </w:r>
      <w:proofErr w:type="spellStart"/>
      <w:r w:rsidRPr="00A95C26">
        <w:t>after</w:t>
      </w:r>
      <w:proofErr w:type="spellEnd"/>
      <w:r w:rsidRPr="00A95C26">
        <w:t xml:space="preserve"> </w:t>
      </w:r>
      <w:proofErr w:type="spellStart"/>
      <w:r w:rsidRPr="00A95C26">
        <w:t>strong</w:t>
      </w:r>
      <w:proofErr w:type="spellEnd"/>
      <w:r w:rsidRPr="00A95C26">
        <w:t xml:space="preserve"> </w:t>
      </w:r>
      <w:proofErr w:type="spellStart"/>
      <w:r w:rsidRPr="00A95C26">
        <w:t>deceleration</w:t>
      </w:r>
      <w:proofErr w:type="spellEnd"/>
      <w:r w:rsidRPr="00A95C26">
        <w:t xml:space="preserve"> in 2011. WTO: 2012 </w:t>
      </w:r>
      <w:proofErr w:type="spellStart"/>
      <w:r w:rsidRPr="00A95C26">
        <w:t>press</w:t>
      </w:r>
      <w:proofErr w:type="spellEnd"/>
      <w:r w:rsidRPr="00A95C26">
        <w:t xml:space="preserve"> </w:t>
      </w:r>
      <w:proofErr w:type="spellStart"/>
      <w:r w:rsidRPr="00A95C26">
        <w:t>releases</w:t>
      </w:r>
      <w:proofErr w:type="spellEnd"/>
      <w:r w:rsidRPr="00A95C26">
        <w:t xml:space="preserve">. </w:t>
      </w:r>
    </w:p>
    <w:p w14:paraId="5326716B" w14:textId="77777777" w:rsidR="006F238B" w:rsidRPr="00A95C26" w:rsidRDefault="006F238B" w:rsidP="00641F06">
      <w:pPr>
        <w:spacing w:before="100" w:beforeAutospacing="1" w:line="360" w:lineRule="auto"/>
        <w:ind w:firstLine="567"/>
        <w:jc w:val="both"/>
      </w:pPr>
      <w:r w:rsidRPr="00A95C26">
        <w:t>Došlo také k mnoha dalším negativním dopadům v různých segmentech ekonomiky</w:t>
      </w:r>
      <w:r w:rsidRPr="00A95C26">
        <w:rPr>
          <w:rStyle w:val="Znakapoznpodarou"/>
        </w:rPr>
        <w:footnoteReference w:id="31"/>
      </w:r>
      <w:r w:rsidRPr="00A95C26">
        <w:t>:</w:t>
      </w:r>
    </w:p>
    <w:p w14:paraId="04D9EB38" w14:textId="77777777" w:rsidR="006F238B" w:rsidRPr="00A95C26" w:rsidRDefault="006F238B" w:rsidP="00641F06">
      <w:pPr>
        <w:pStyle w:val="Odstavecseseznamem"/>
        <w:numPr>
          <w:ilvl w:val="0"/>
          <w:numId w:val="25"/>
        </w:numPr>
        <w:spacing w:before="100" w:beforeAutospacing="1" w:line="360" w:lineRule="auto"/>
        <w:jc w:val="both"/>
      </w:pPr>
      <w:r w:rsidRPr="00A95C26">
        <w:t xml:space="preserve">bankroty mnoha finančních institucí (např. amerických </w:t>
      </w:r>
      <w:proofErr w:type="spellStart"/>
      <w:r w:rsidRPr="00A95C26">
        <w:t>Bear</w:t>
      </w:r>
      <w:proofErr w:type="spellEnd"/>
      <w:r w:rsidRPr="00A95C26">
        <w:t xml:space="preserve"> </w:t>
      </w:r>
      <w:proofErr w:type="spellStart"/>
      <w:r w:rsidRPr="00A95C26">
        <w:t>Stearns</w:t>
      </w:r>
      <w:proofErr w:type="spellEnd"/>
      <w:r w:rsidRPr="00A95C26">
        <w:t xml:space="preserve">, </w:t>
      </w:r>
      <w:proofErr w:type="spellStart"/>
      <w:r w:rsidRPr="00A95C26">
        <w:t>Lehman</w:t>
      </w:r>
      <w:proofErr w:type="spellEnd"/>
      <w:r w:rsidRPr="00A95C26">
        <w:t xml:space="preserve"> </w:t>
      </w:r>
      <w:proofErr w:type="spellStart"/>
      <w:r w:rsidRPr="00A95C26">
        <w:t>Brothers</w:t>
      </w:r>
      <w:proofErr w:type="spellEnd"/>
      <w:r w:rsidRPr="00A95C26">
        <w:t xml:space="preserve">), znárodnění těch, které byly na pokraji bankrotu (např. britských </w:t>
      </w:r>
      <w:proofErr w:type="spellStart"/>
      <w:r w:rsidRPr="00A95C26">
        <w:t>Northern</w:t>
      </w:r>
      <w:proofErr w:type="spellEnd"/>
      <w:r w:rsidRPr="00A95C26">
        <w:t xml:space="preserve"> Rock a </w:t>
      </w:r>
      <w:proofErr w:type="spellStart"/>
      <w:r w:rsidRPr="00A95C26">
        <w:t>Bradford&amp;Binglay</w:t>
      </w:r>
      <w:proofErr w:type="spellEnd"/>
      <w:r w:rsidRPr="00A95C26">
        <w:t xml:space="preserve">, amerických </w:t>
      </w:r>
      <w:proofErr w:type="spellStart"/>
      <w:r w:rsidRPr="00A95C26">
        <w:t>Fannie</w:t>
      </w:r>
      <w:proofErr w:type="spellEnd"/>
      <w:r w:rsidRPr="00A95C26">
        <w:t xml:space="preserve"> </w:t>
      </w:r>
      <w:proofErr w:type="spellStart"/>
      <w:r w:rsidRPr="00A95C26">
        <w:t>Mae</w:t>
      </w:r>
      <w:proofErr w:type="spellEnd"/>
      <w:r w:rsidRPr="00A95C26">
        <w:t xml:space="preserve"> a </w:t>
      </w:r>
      <w:proofErr w:type="spellStart"/>
      <w:r w:rsidRPr="00A95C26">
        <w:t>Freddie</w:t>
      </w:r>
      <w:proofErr w:type="spellEnd"/>
      <w:r w:rsidRPr="00A95C26">
        <w:t xml:space="preserve"> Mac) a převzetí (</w:t>
      </w:r>
      <w:proofErr w:type="spellStart"/>
      <w:r w:rsidRPr="00A95C26">
        <w:t>Merrill</w:t>
      </w:r>
      <w:proofErr w:type="spellEnd"/>
      <w:r w:rsidRPr="00A95C26">
        <w:t xml:space="preserve"> Lynch Bank </w:t>
      </w:r>
      <w:proofErr w:type="spellStart"/>
      <w:r w:rsidRPr="00A95C26">
        <w:t>of</w:t>
      </w:r>
      <w:proofErr w:type="spellEnd"/>
      <w:r w:rsidRPr="00A95C26">
        <w:t xml:space="preserve"> America, HBOS </w:t>
      </w:r>
      <w:proofErr w:type="spellStart"/>
      <w:r w:rsidRPr="00A95C26">
        <w:t>Lloyds</w:t>
      </w:r>
      <w:proofErr w:type="spellEnd"/>
      <w:r w:rsidRPr="00A95C26">
        <w:t xml:space="preserve">, </w:t>
      </w:r>
      <w:proofErr w:type="spellStart"/>
      <w:r w:rsidRPr="00A95C26">
        <w:t>Margan</w:t>
      </w:r>
      <w:proofErr w:type="spellEnd"/>
      <w:r w:rsidRPr="00A95C26">
        <w:t xml:space="preserve"> Stanley Mitsubishi);</w:t>
      </w:r>
    </w:p>
    <w:p w14:paraId="3721728D" w14:textId="77777777" w:rsidR="006F238B" w:rsidRPr="00A95C26" w:rsidRDefault="006F238B" w:rsidP="00641F06">
      <w:pPr>
        <w:pStyle w:val="Odstavecseseznamem"/>
        <w:numPr>
          <w:ilvl w:val="0"/>
          <w:numId w:val="25"/>
        </w:numPr>
        <w:spacing w:before="100" w:beforeAutospacing="1" w:line="360" w:lineRule="auto"/>
        <w:jc w:val="both"/>
      </w:pPr>
      <w:r w:rsidRPr="00A95C26">
        <w:t xml:space="preserve">mnoho bank se kvůli ztrátě úvěrů potýkalo s problémem splnění kapitálových požadavků – proto bylo nutné, aby jednotlivé země tyto banky zachránily (v Evropě proběhla největší rekapitalizace v případě </w:t>
      </w:r>
      <w:proofErr w:type="spellStart"/>
      <w:r w:rsidRPr="00A95C26">
        <w:t>Royal</w:t>
      </w:r>
      <w:proofErr w:type="spellEnd"/>
      <w:r w:rsidRPr="00A95C26">
        <w:t xml:space="preserve"> Bank </w:t>
      </w:r>
      <w:proofErr w:type="spellStart"/>
      <w:r w:rsidRPr="00A95C26">
        <w:t>of</w:t>
      </w:r>
      <w:proofErr w:type="spellEnd"/>
      <w:r w:rsidRPr="00A95C26">
        <w:t xml:space="preserve"> Scotland a HBOS, v USA v případě </w:t>
      </w:r>
      <w:proofErr w:type="spellStart"/>
      <w:r w:rsidRPr="00A95C26">
        <w:t>Citigroup</w:t>
      </w:r>
      <w:proofErr w:type="spellEnd"/>
      <w:r w:rsidRPr="00A95C26">
        <w:t xml:space="preserve">, JP Morgan, Bank </w:t>
      </w:r>
      <w:proofErr w:type="spellStart"/>
      <w:r w:rsidRPr="00A95C26">
        <w:t>of</w:t>
      </w:r>
      <w:proofErr w:type="spellEnd"/>
      <w:r w:rsidRPr="00A95C26">
        <w:t xml:space="preserve"> America </w:t>
      </w:r>
      <w:proofErr w:type="spellStart"/>
      <w:r w:rsidRPr="00A95C26">
        <w:t>Corporation</w:t>
      </w:r>
      <w:proofErr w:type="spellEnd"/>
      <w:r w:rsidRPr="00A95C26">
        <w:t>, Morgan Stanley);</w:t>
      </w:r>
    </w:p>
    <w:p w14:paraId="19344F56" w14:textId="77777777" w:rsidR="006F238B" w:rsidRPr="00A95C26" w:rsidRDefault="006F238B" w:rsidP="00641F06">
      <w:pPr>
        <w:pStyle w:val="Odstavecseseznamem"/>
        <w:numPr>
          <w:ilvl w:val="0"/>
          <w:numId w:val="25"/>
        </w:numPr>
        <w:spacing w:before="100" w:beforeAutospacing="1" w:line="360" w:lineRule="auto"/>
        <w:jc w:val="both"/>
      </w:pPr>
      <w:r w:rsidRPr="00A95C26">
        <w:t>zhroucení trhů s cennými papíry v USA, Velké Británii, zemích eurozóny a asijských zemích, jakož i nedostatek pohybu v segmentu cenných papírů krytých hypotékami;</w:t>
      </w:r>
    </w:p>
    <w:p w14:paraId="06D44DFE" w14:textId="77777777" w:rsidR="006F238B" w:rsidRPr="00A95C26" w:rsidRDefault="006F238B" w:rsidP="00641F06">
      <w:pPr>
        <w:pStyle w:val="Odstavecseseznamem"/>
        <w:numPr>
          <w:ilvl w:val="0"/>
          <w:numId w:val="25"/>
        </w:numPr>
        <w:spacing w:before="100" w:beforeAutospacing="1" w:line="360" w:lineRule="auto"/>
        <w:jc w:val="both"/>
      </w:pPr>
      <w:r w:rsidRPr="00A95C26">
        <w:lastRenderedPageBreak/>
        <w:t>v souvislosti s ukončením činnosti na burzách utrpěly obrovské ztráty investiční a penzijní fondy, které investují především na trzích cenných papírů – klesla hodnota jejich investičních portfolií i hodnota podílových listů, řada z nich se ocitla na pokraji bankrotu a několik jich zkrachovalo;</w:t>
      </w:r>
    </w:p>
    <w:p w14:paraId="19C0C226" w14:textId="77777777" w:rsidR="006F238B" w:rsidRPr="00A95C26" w:rsidRDefault="006F238B" w:rsidP="00641F06">
      <w:pPr>
        <w:pStyle w:val="Odstavecseseznamem"/>
        <w:numPr>
          <w:ilvl w:val="0"/>
          <w:numId w:val="25"/>
        </w:numPr>
        <w:spacing w:before="100" w:beforeAutospacing="1" w:line="360" w:lineRule="auto"/>
        <w:jc w:val="both"/>
      </w:pPr>
      <w:r w:rsidRPr="00A95C26">
        <w:t>již zmíněné narušení světového obchodu mělo za následek nižší výrobu, vyšší nezaměstnanost, nižší spotřebu, nižší investice;</w:t>
      </w:r>
    </w:p>
    <w:p w14:paraId="12E4DA1D" w14:textId="77777777" w:rsidR="006F238B" w:rsidRPr="00A95C26" w:rsidRDefault="006F238B" w:rsidP="00641F06">
      <w:pPr>
        <w:pStyle w:val="Odstavecseseznamem"/>
        <w:numPr>
          <w:ilvl w:val="0"/>
          <w:numId w:val="25"/>
        </w:numPr>
        <w:spacing w:before="100" w:beforeAutospacing="1" w:line="360" w:lineRule="auto"/>
        <w:jc w:val="both"/>
      </w:pPr>
      <w:r w:rsidRPr="00A95C26">
        <w:t>domácnosti a podniky trpěly více (nižší příjmy, hrozba nezaměstnanosti, omezení úvěrů, zejména hypotečních úvěrů od bank);</w:t>
      </w:r>
    </w:p>
    <w:p w14:paraId="6852BF00" w14:textId="00167B75" w:rsidR="000327B4" w:rsidRPr="00A95C26" w:rsidRDefault="006F238B" w:rsidP="00641F06">
      <w:pPr>
        <w:pStyle w:val="Odstavecseseznamem"/>
        <w:numPr>
          <w:ilvl w:val="0"/>
          <w:numId w:val="25"/>
        </w:numPr>
        <w:spacing w:before="100" w:beforeAutospacing="1" w:line="360" w:lineRule="auto"/>
        <w:jc w:val="both"/>
      </w:pPr>
      <w:r w:rsidRPr="00A95C26">
        <w:t>nárůst vládních výdajů a růst veřejného dluhu – výdaje na záchranu bank a dalších finančních institucí, stabilizaci finančních trhů po krizi nabyly nečekaných a neplánovaných rozměrů (největší nárůst veřejného dluhu zaznamenalo v roce 2007 Japonsko, následované eurozónou a USA).</w:t>
      </w:r>
    </w:p>
    <w:p w14:paraId="69FC0365" w14:textId="5024FB21" w:rsidR="001B60BF" w:rsidRPr="00A95C26" w:rsidRDefault="001B60BF" w:rsidP="00641F06">
      <w:pPr>
        <w:pStyle w:val="Odstavecseseznamem"/>
        <w:spacing w:before="100" w:beforeAutospacing="1" w:line="360" w:lineRule="auto"/>
        <w:jc w:val="both"/>
      </w:pPr>
    </w:p>
    <w:p w14:paraId="469DBD47" w14:textId="50C74636" w:rsidR="00CF69E4" w:rsidRPr="006C2F3C" w:rsidRDefault="00D64834" w:rsidP="00641F06">
      <w:pPr>
        <w:pStyle w:val="Nadpis2"/>
        <w:jc w:val="both"/>
        <w:rPr>
          <w:lang w:val="cs-CZ"/>
        </w:rPr>
      </w:pPr>
      <w:bookmarkStart w:id="38" w:name="_Toc99636457"/>
      <w:bookmarkStart w:id="39" w:name="_Toc99657947"/>
      <w:bookmarkStart w:id="40" w:name="_Toc99659307"/>
      <w:r w:rsidRPr="00A95C26">
        <w:rPr>
          <w:lang w:val="cs-CZ"/>
        </w:rPr>
        <w:t xml:space="preserve">3.5 </w:t>
      </w:r>
      <w:r w:rsidR="00CF69E4" w:rsidRPr="00A95C26">
        <w:rPr>
          <w:lang w:val="cs-CZ"/>
        </w:rPr>
        <w:t>Finanční trh</w:t>
      </w:r>
      <w:bookmarkEnd w:id="38"/>
      <w:bookmarkEnd w:id="39"/>
      <w:bookmarkEnd w:id="40"/>
    </w:p>
    <w:p w14:paraId="67AA5006" w14:textId="77777777" w:rsidR="00CF69E4" w:rsidRPr="00A95C26" w:rsidRDefault="00CF69E4" w:rsidP="00D962E9">
      <w:pPr>
        <w:pStyle w:val="Normlnweb"/>
        <w:spacing w:line="360" w:lineRule="auto"/>
        <w:jc w:val="both"/>
        <w:rPr>
          <w:rFonts w:ascii="TimesNewRomanPSMT" w:hAnsi="TimesNewRomanPSMT"/>
        </w:rPr>
      </w:pPr>
      <w:r w:rsidRPr="00A95C26">
        <w:rPr>
          <w:rFonts w:ascii="TimesNewRomanPSMT" w:hAnsi="TimesNewRomanPSMT"/>
        </w:rPr>
        <w:t>Finanční trh je organizovaný nebo neformální systém obchodování s finančními nástroji. Na tomto trhu se směňují peníze, poskytují úvěry a mobilizuje kapitál. Hlavní roli zde hrají finanční instituce, které směřují peněžní toky od vlastníků k dlužníkům. Komodity jsou vlastně peníze a cenné papíry. Jako každý trh je i finanční trh navržen tak, aby navazoval přímé kontakty mezi kupujícími a prodávajícími finančních zdrojů.</w:t>
      </w:r>
    </w:p>
    <w:p w14:paraId="0BCCE4B4" w14:textId="77777777" w:rsidR="00CF69E4" w:rsidRPr="00A95C26" w:rsidRDefault="00CF69E4" w:rsidP="00641F06">
      <w:pPr>
        <w:pStyle w:val="Normlnweb"/>
        <w:spacing w:line="360" w:lineRule="auto"/>
        <w:jc w:val="both"/>
        <w:rPr>
          <w:rFonts w:ascii="TimesNewRomanPSMT" w:hAnsi="TimesNewRomanPSMT"/>
        </w:rPr>
      </w:pPr>
      <w:r w:rsidRPr="00A95C26">
        <w:rPr>
          <w:rFonts w:ascii="TimesNewRomanPSMT" w:hAnsi="TimesNewRomanPSMT"/>
        </w:rPr>
        <w:t>Finanční trhy plní téměř všechny stejné funkce jako jejich komoditní protějšky – poskytují účastníkům všechny potřebné informace o nabídce a poptávce po zdrojích a tvoří tržní ceny těchto zdrojů. Implementace těchto funkcí umožňuje finančním trhům vytvářet volby pro spotřebitele, podporovat řízení rizik a ovlivňovat řízení společností. Vzhledem k široké rozmanitosti typů a forem různých finančních nástrojů, jakož i způsobů obchodování s nimi, existují různé finanční trhy. Mohou být klasifikovány podle několika znaků. Podle délky trvání poskytovaných zdrojů se rozlišují trhy dlouhodobého a krátkodobého kapitálu. V druhém případě se obvykle mluví o peněžních trzích, kde se transakce uzavírají až na 1 rok. Peněžní trhy se dělí na úvěrové a devizové trhy. Na úvěrových trzích mohou podniky a banky získat krátkodobé půjčky. Firmy si většinou půjčují od komerčních bank. Banky samy získávají krátkodobý kapitál na trhu mezibankovních úvěrů.</w:t>
      </w:r>
    </w:p>
    <w:p w14:paraId="5A58929B" w14:textId="49533C94" w:rsidR="00CF69E4" w:rsidRPr="00A95C26" w:rsidRDefault="00CF69E4" w:rsidP="00641F06">
      <w:pPr>
        <w:spacing w:line="360" w:lineRule="auto"/>
        <w:jc w:val="both"/>
      </w:pPr>
      <w:r w:rsidRPr="00A95C26">
        <w:lastRenderedPageBreak/>
        <w:t>Prodávají své prostředky na trhu, stanovují poplatek za jejich použití, aby tyto prostředky generovaly příjem. To znamená, že investoři mohou vystupovat jako vkladatelé, věřitelé, kupující. Práva všech investorů, bez ohledu na formu vlastnictví, jsou si rovná a investice do jakýchkoliv předmětů je jejich nezcizitelným právem chráněným zákonem. Z pohledu finančního trhu se jedná o věřitele, kteří poskytují dočasně nečinné finanční prostředky a přeměňují je na úvěrový kapitál. Fungování finančního trhu zajišťují korporace, banky a další finanční instituce, burzy. Účast fyzických osob na operacích na finančním trhu je stanovena národní legislativou. V závislosti na zemi může být do regulace finančního trhu zapojen jeden orgán nebo několik orgánů.</w:t>
      </w:r>
    </w:p>
    <w:p w14:paraId="1947CDB0" w14:textId="77777777" w:rsidR="009B16B7" w:rsidRPr="00A95C26" w:rsidRDefault="009B16B7" w:rsidP="00641F06">
      <w:pPr>
        <w:spacing w:line="360" w:lineRule="auto"/>
        <w:jc w:val="both"/>
      </w:pPr>
    </w:p>
    <w:p w14:paraId="20F8B330" w14:textId="3AA0E3E3" w:rsidR="00AF7B8C" w:rsidRPr="00A95C26" w:rsidRDefault="00CF69E4" w:rsidP="00641F06">
      <w:pPr>
        <w:spacing w:line="360" w:lineRule="auto"/>
        <w:jc w:val="both"/>
        <w:rPr>
          <w:b/>
          <w:bCs/>
        </w:rPr>
      </w:pPr>
      <w:bookmarkStart w:id="41" w:name="_Toc99636458"/>
      <w:r w:rsidRPr="00A95C26">
        <w:rPr>
          <w:b/>
          <w:bCs/>
        </w:rPr>
        <w:t>Struktura finančního trhu</w:t>
      </w:r>
      <w:bookmarkEnd w:id="41"/>
    </w:p>
    <w:p w14:paraId="7654D529"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Finanční trh je obrovská ekonomická instituce – zahrnuje: různé banky, fondy, organizace a mnoho dalších prvků, jejichž prostřednictvím se uskutečňuje akumulace a přerozdělování kapitálu. Existuje pět hlavních prvků finančního trhu.</w:t>
      </w:r>
    </w:p>
    <w:p w14:paraId="2F82898B" w14:textId="77777777" w:rsidR="00CF69E4" w:rsidRPr="00A95C26" w:rsidRDefault="00CF69E4" w:rsidP="00641F06">
      <w:pPr>
        <w:pStyle w:val="Normlnweb"/>
        <w:spacing w:before="150" w:after="225" w:line="360" w:lineRule="auto"/>
        <w:jc w:val="both"/>
        <w:rPr>
          <w:b/>
          <w:bCs/>
          <w:color w:val="000000" w:themeColor="text1"/>
        </w:rPr>
      </w:pPr>
      <w:r w:rsidRPr="00A95C26">
        <w:rPr>
          <w:b/>
          <w:bCs/>
          <w:color w:val="000000" w:themeColor="text1"/>
        </w:rPr>
        <w:t>Měnový trh</w:t>
      </w:r>
    </w:p>
    <w:p w14:paraId="3DE378E1" w14:textId="6596ED6B"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 xml:space="preserve">Devizový </w:t>
      </w:r>
      <w:r w:rsidR="00631089" w:rsidRPr="00A95C26">
        <w:rPr>
          <w:color w:val="000000" w:themeColor="text1"/>
        </w:rPr>
        <w:t>trh je</w:t>
      </w:r>
      <w:r w:rsidR="009B16B7" w:rsidRPr="00A95C26">
        <w:rPr>
          <w:color w:val="000000" w:themeColor="text1"/>
        </w:rPr>
        <w:t xml:space="preserve"> to </w:t>
      </w:r>
      <w:r w:rsidRPr="00A95C26">
        <w:rPr>
          <w:color w:val="000000" w:themeColor="text1"/>
        </w:rPr>
        <w:t>systém ekonomických vztahů spojený s prováděním operací s kapitálem zahraničních investorů, nákupem nebo prodejem cizí měny a platebních dokladů v cizích měnách.</w:t>
      </w:r>
    </w:p>
    <w:p w14:paraId="5AA13258"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Komoditou v rámci tohoto trhu je měna (peněžní jednotky různých zemí). Kurz konkrétní měny, stejně jako cena zboží, je tvořen poměrem nabídky a poptávky.</w:t>
      </w:r>
    </w:p>
    <w:p w14:paraId="7515354E" w14:textId="77777777" w:rsidR="00CF69E4" w:rsidRPr="00A95C26" w:rsidRDefault="00CF69E4" w:rsidP="00641F06">
      <w:pPr>
        <w:pStyle w:val="Normlnweb"/>
        <w:spacing w:before="150" w:after="225" w:line="360" w:lineRule="auto"/>
        <w:jc w:val="both"/>
        <w:rPr>
          <w:i/>
          <w:iCs/>
          <w:color w:val="000000" w:themeColor="text1"/>
        </w:rPr>
      </w:pPr>
      <w:r w:rsidRPr="00A95C26">
        <w:rPr>
          <w:i/>
          <w:iCs/>
          <w:color w:val="000000" w:themeColor="text1"/>
        </w:rPr>
        <w:t>Funkce měnového trhu:</w:t>
      </w:r>
    </w:p>
    <w:p w14:paraId="49AADB49"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1. Poskytuje mezinárodní platební obrat.</w:t>
      </w:r>
    </w:p>
    <w:p w14:paraId="3AAB535D"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2. Tvoří směnný kurz.</w:t>
      </w:r>
    </w:p>
    <w:p w14:paraId="59A9FA70"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3. Pomáhá koordinovat zájmy investorů, prodávajících a kupujících měnových hodnot.</w:t>
      </w:r>
    </w:p>
    <w:p w14:paraId="68F98ADA"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4. Působí jako nástroj centrální banky při provádění měnové politiky.</w:t>
      </w:r>
    </w:p>
    <w:p w14:paraId="4850CA2D"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5. Chrání ekonomické subjekty před měnovými riziky a spekulativními transakcemi.</w:t>
      </w:r>
    </w:p>
    <w:p w14:paraId="5E68F949" w14:textId="77777777" w:rsidR="00CF69E4" w:rsidRPr="00A95C26" w:rsidRDefault="00CF69E4" w:rsidP="00641F06">
      <w:pPr>
        <w:pStyle w:val="Normlnweb"/>
        <w:spacing w:before="150" w:after="225" w:line="360" w:lineRule="auto"/>
        <w:jc w:val="both"/>
        <w:rPr>
          <w:b/>
          <w:bCs/>
          <w:color w:val="000000" w:themeColor="text1"/>
        </w:rPr>
      </w:pPr>
      <w:r w:rsidRPr="00A95C26">
        <w:rPr>
          <w:b/>
          <w:bCs/>
          <w:color w:val="000000" w:themeColor="text1"/>
        </w:rPr>
        <w:lastRenderedPageBreak/>
        <w:t>Úvěrový trh</w:t>
      </w:r>
    </w:p>
    <w:p w14:paraId="7C3056A8"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Úvěrový trh je ekonomický prostor, ve kterém jsou přerozdělovány finanční prostředky od těch, kteří jsou za výhodných podmínek připraveni je poskytnout těm, kteří je potřebují.</w:t>
      </w:r>
    </w:p>
    <w:p w14:paraId="657975DF"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Operace na úvěrovém trhu jsou velmi běžné jak mezi firmami, tak mezi občany.</w:t>
      </w:r>
    </w:p>
    <w:p w14:paraId="7FABDC2D"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Úvěrový trh má přísný systém požadavků a tříúrovňovou strukturu:</w:t>
      </w:r>
    </w:p>
    <w:p w14:paraId="7F2AA753"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1. Činnost centrální banky: pomocí úvěrů centrální banka reguluje úroveň peněžní zásoby, pomáhá bankám v obtížné situaci, udržuje likviditu bankovního systému atd.</w:t>
      </w:r>
    </w:p>
    <w:p w14:paraId="22621A75"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2. Činnost komerčních bank.</w:t>
      </w:r>
    </w:p>
    <w:p w14:paraId="289DC55C"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3. Úvěrové vztahy mezi právnickými a fyzickými osobami (soukromé půjčky, crowdfunding atd.).</w:t>
      </w:r>
    </w:p>
    <w:p w14:paraId="47A91F81" w14:textId="021FB31F" w:rsidR="00CF69E4" w:rsidRPr="00A95C26" w:rsidRDefault="00850A66" w:rsidP="00641F06">
      <w:pPr>
        <w:pStyle w:val="Normlnweb"/>
        <w:spacing w:before="150" w:after="225" w:line="360" w:lineRule="auto"/>
        <w:jc w:val="both"/>
        <w:rPr>
          <w:b/>
          <w:bCs/>
          <w:color w:val="000000" w:themeColor="text1"/>
        </w:rPr>
      </w:pPr>
      <w:r w:rsidRPr="00A95C26">
        <w:rPr>
          <w:b/>
          <w:bCs/>
          <w:color w:val="000000" w:themeColor="text1"/>
        </w:rPr>
        <w:t>T</w:t>
      </w:r>
      <w:r w:rsidR="00CF69E4" w:rsidRPr="00A95C26">
        <w:rPr>
          <w:b/>
          <w:bCs/>
          <w:color w:val="000000" w:themeColor="text1"/>
        </w:rPr>
        <w:t>rh cenných papírů</w:t>
      </w:r>
    </w:p>
    <w:p w14:paraId="3E2A83D6" w14:textId="5CD4A65E"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 xml:space="preserve">Burza cenných papírů je ekonomická a právní struktura, v </w:t>
      </w:r>
      <w:r w:rsidR="00631089" w:rsidRPr="00A95C26">
        <w:rPr>
          <w:color w:val="000000" w:themeColor="text1"/>
        </w:rPr>
        <w:t>rámci,</w:t>
      </w:r>
      <w:r w:rsidRPr="00A95C26">
        <w:rPr>
          <w:color w:val="000000" w:themeColor="text1"/>
        </w:rPr>
        <w:t xml:space="preserve"> které jsou emitovány, uváděny do oběhu a prodávány cenné papíry.</w:t>
      </w:r>
    </w:p>
    <w:p w14:paraId="001078C5"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Cenné papíry jsou finančním dokumentem, který právně potvrzuje právo jednoho ekonomického subjektu na majetek jiného ekonomického subjektu.</w:t>
      </w:r>
    </w:p>
    <w:p w14:paraId="12F5D0BF" w14:textId="77777777" w:rsidR="00CF69E4" w:rsidRPr="00A95C26" w:rsidRDefault="00CF69E4" w:rsidP="00641F06">
      <w:pPr>
        <w:pStyle w:val="Normlnweb"/>
        <w:spacing w:before="150" w:after="225" w:line="360" w:lineRule="auto"/>
        <w:jc w:val="both"/>
        <w:rPr>
          <w:b/>
          <w:bCs/>
          <w:color w:val="000000" w:themeColor="text1"/>
        </w:rPr>
      </w:pPr>
      <w:r w:rsidRPr="00A95C26">
        <w:rPr>
          <w:b/>
          <w:bCs/>
          <w:color w:val="000000" w:themeColor="text1"/>
        </w:rPr>
        <w:t>Pojistný trh</w:t>
      </w:r>
    </w:p>
    <w:p w14:paraId="7B55E52F"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Pojistný trh je ekonomická platforma, kde se prodávají a kupují pojistné produkty.</w:t>
      </w:r>
    </w:p>
    <w:p w14:paraId="2946339B"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Potřeba existence pojistného trhu určuje společenskou potřebu kompenzace hmotných ztrát. K prevenci rizik, jejich omezení a překonání jsou navazovány ekonomické vztahy, které umožňují pojistit životní, zdravotní, pracovní a podnikatelská rizika.</w:t>
      </w:r>
    </w:p>
    <w:p w14:paraId="05368892" w14:textId="77777777" w:rsidR="00CF69E4" w:rsidRPr="00A95C26" w:rsidRDefault="00CF69E4" w:rsidP="00641F06">
      <w:pPr>
        <w:pStyle w:val="Normlnweb"/>
        <w:spacing w:before="150" w:after="225" w:line="360" w:lineRule="auto"/>
        <w:jc w:val="both"/>
        <w:rPr>
          <w:b/>
          <w:bCs/>
          <w:color w:val="000000" w:themeColor="text1"/>
        </w:rPr>
      </w:pPr>
      <w:r w:rsidRPr="00A95C26">
        <w:rPr>
          <w:b/>
          <w:bCs/>
          <w:color w:val="000000" w:themeColor="text1"/>
        </w:rPr>
        <w:t>Investiční trh</w:t>
      </w:r>
    </w:p>
    <w:p w14:paraId="1821F28D"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Investiční trh je systém partnerství mezi subjekty investiční činnosti.</w:t>
      </w:r>
    </w:p>
    <w:p w14:paraId="6962D6D3" w14:textId="77777777" w:rsidR="00CF69E4" w:rsidRPr="00A95C26" w:rsidRDefault="00CF69E4" w:rsidP="00641F06">
      <w:pPr>
        <w:pStyle w:val="Normlnweb"/>
        <w:spacing w:before="150" w:after="225" w:line="360" w:lineRule="auto"/>
        <w:jc w:val="both"/>
        <w:rPr>
          <w:color w:val="000000" w:themeColor="text1"/>
        </w:rPr>
      </w:pPr>
      <w:r w:rsidRPr="00A95C26">
        <w:rPr>
          <w:color w:val="000000" w:themeColor="text1"/>
        </w:rPr>
        <w:t>Investice je investice finančních prostředků do jakéhokoli aktiva za účelem získání následných zisků zvýšením ceny existujícího aktiva nebo přijetím dividend z něj (část zisku).</w:t>
      </w:r>
    </w:p>
    <w:p w14:paraId="5CB530DF" w14:textId="0FD8410F" w:rsidR="00CF69E4" w:rsidRPr="00A95C26" w:rsidRDefault="00CF69E4" w:rsidP="00641F06">
      <w:pPr>
        <w:pStyle w:val="Normlnweb"/>
        <w:spacing w:before="150" w:beforeAutospacing="0" w:after="225" w:afterAutospacing="0" w:line="360" w:lineRule="auto"/>
        <w:jc w:val="both"/>
        <w:rPr>
          <w:color w:val="000000" w:themeColor="text1"/>
        </w:rPr>
      </w:pPr>
      <w:r w:rsidRPr="00A95C26">
        <w:rPr>
          <w:color w:val="000000" w:themeColor="text1"/>
        </w:rPr>
        <w:lastRenderedPageBreak/>
        <w:t>Tento trh má mnoho společného s burzou, ale na investičním trhu lze investovat nejen do cenných papírů, ale také do movitých a nemovitých věcí, předmětů autorských práv, užívacích práv k pozemkům atd.</w:t>
      </w:r>
    </w:p>
    <w:p w14:paraId="2148B8A7" w14:textId="2B1034A4" w:rsidR="00AF7B8C" w:rsidRPr="00A95C26" w:rsidRDefault="00631089" w:rsidP="00641F06">
      <w:pPr>
        <w:pStyle w:val="Nadpis2"/>
        <w:jc w:val="both"/>
        <w:rPr>
          <w:lang w:val="cs-CZ"/>
        </w:rPr>
      </w:pPr>
      <w:bookmarkStart w:id="42" w:name="_Toc99636459"/>
      <w:bookmarkStart w:id="43" w:name="_Toc99657948"/>
      <w:bookmarkStart w:id="44" w:name="_Toc99659308"/>
      <w:r w:rsidRPr="00A95C26">
        <w:rPr>
          <w:lang w:val="cs-CZ"/>
        </w:rPr>
        <w:t>3.6 Vznik</w:t>
      </w:r>
      <w:r w:rsidR="003F62DA" w:rsidRPr="00A95C26">
        <w:rPr>
          <w:lang w:val="cs-CZ"/>
        </w:rPr>
        <w:t xml:space="preserve"> fi</w:t>
      </w:r>
      <w:r w:rsidR="00AF7B8C" w:rsidRPr="00A95C26">
        <w:rPr>
          <w:lang w:val="cs-CZ"/>
        </w:rPr>
        <w:t>nan</w:t>
      </w:r>
      <w:r w:rsidR="003F62DA" w:rsidRPr="00A95C26">
        <w:rPr>
          <w:lang w:val="cs-CZ"/>
        </w:rPr>
        <w:t>č</w:t>
      </w:r>
      <w:r w:rsidR="00AF7B8C" w:rsidRPr="00A95C26">
        <w:rPr>
          <w:lang w:val="cs-CZ"/>
        </w:rPr>
        <w:t>n</w:t>
      </w:r>
      <w:r w:rsidR="003F62DA" w:rsidRPr="00A95C26">
        <w:rPr>
          <w:lang w:val="cs-CZ"/>
        </w:rPr>
        <w:t xml:space="preserve">í </w:t>
      </w:r>
      <w:r w:rsidR="00AF7B8C" w:rsidRPr="00A95C26">
        <w:rPr>
          <w:lang w:val="cs-CZ"/>
        </w:rPr>
        <w:t>bublin</w:t>
      </w:r>
      <w:r w:rsidR="003F62DA" w:rsidRPr="00A95C26">
        <w:rPr>
          <w:lang w:val="cs-CZ"/>
        </w:rPr>
        <w:t>y</w:t>
      </w:r>
      <w:bookmarkEnd w:id="42"/>
      <w:bookmarkEnd w:id="43"/>
      <w:bookmarkEnd w:id="44"/>
    </w:p>
    <w:p w14:paraId="311A7B77" w14:textId="70960A43" w:rsidR="0031702F" w:rsidRPr="00A95C26" w:rsidRDefault="0031702F" w:rsidP="00641F06">
      <w:pPr>
        <w:spacing w:line="360" w:lineRule="auto"/>
        <w:jc w:val="both"/>
        <w:rPr>
          <w:color w:val="000000" w:themeColor="text1"/>
          <w:lang w:eastAsia="ru-RU"/>
        </w:rPr>
      </w:pPr>
      <w:r w:rsidRPr="00A95C26">
        <w:rPr>
          <w:color w:val="000000" w:themeColor="text1"/>
          <w:lang w:eastAsia="ru-RU"/>
        </w:rPr>
        <w:t>Finanční bublina se jinak nazývá tržní, cenová, finanční nebo spekulativní. Jedná se o situaci na trhu, která se vyznačuje tím, že ceny jakéhokoli aktiva se odchylují od jeho základní hodnoty. Fundamentální hodnotou ceny je cena aktiva, která odráží hodnotu všech budoucích příjmů možných vlastníků tohoto aktiva. K takové situaci zpravidla dochází, když dojde k prudké poptávce po produktu, doprovázené zvýšením tržní hodnoty, nebo v důsledku nepřesných statistických údajů. Postupem času se cena koriguje na férovou úroveň, což je doprovázeno panikou investorů. Prodeje jsou aktivovány, díky čemuž cena ještě více klesá. Finanční bublina tak „</w:t>
      </w:r>
      <w:r w:rsidR="00631089" w:rsidRPr="00A95C26">
        <w:rPr>
          <w:color w:val="000000" w:themeColor="text1"/>
          <w:lang w:eastAsia="ru-RU"/>
        </w:rPr>
        <w:t>splaskne</w:t>
      </w:r>
      <w:r w:rsidRPr="00A95C26">
        <w:rPr>
          <w:color w:val="000000" w:themeColor="text1"/>
          <w:lang w:eastAsia="ru-RU"/>
        </w:rPr>
        <w:t>“.</w:t>
      </w:r>
    </w:p>
    <w:p w14:paraId="7743EE5B" w14:textId="3B67E88F" w:rsidR="00E81A06" w:rsidRPr="00A95C26" w:rsidRDefault="00E81A06" w:rsidP="00641F06">
      <w:pPr>
        <w:spacing w:line="360" w:lineRule="auto"/>
        <w:jc w:val="both"/>
        <w:rPr>
          <w:color w:val="000000" w:themeColor="text1"/>
          <w:lang w:eastAsia="ru-RU"/>
        </w:rPr>
      </w:pPr>
      <w:r w:rsidRPr="00A95C26">
        <w:rPr>
          <w:color w:val="000000" w:themeColor="text1"/>
          <w:lang w:eastAsia="ru-RU"/>
        </w:rPr>
        <w:t xml:space="preserve">Bubliny se vyskytují na všech trzích kromě </w:t>
      </w:r>
      <w:r w:rsidR="0031702F" w:rsidRPr="00A95C26">
        <w:rPr>
          <w:color w:val="000000" w:themeColor="text1"/>
          <w:lang w:eastAsia="ru-RU"/>
        </w:rPr>
        <w:t>t</w:t>
      </w:r>
      <w:r w:rsidR="00631089" w:rsidRPr="00A95C26">
        <w:rPr>
          <w:color w:val="000000" w:themeColor="text1"/>
          <w:lang w:eastAsia="ru-RU"/>
        </w:rPr>
        <w:t>rhu</w:t>
      </w:r>
      <w:r w:rsidR="0031702F" w:rsidRPr="00A95C26">
        <w:rPr>
          <w:color w:val="000000" w:themeColor="text1"/>
          <w:lang w:eastAsia="ru-RU"/>
        </w:rPr>
        <w:t xml:space="preserve"> se </w:t>
      </w:r>
      <w:r w:rsidR="00631089" w:rsidRPr="00A95C26">
        <w:rPr>
          <w:color w:val="000000" w:themeColor="text1"/>
          <w:lang w:eastAsia="ru-RU"/>
        </w:rPr>
        <w:t>spotřebním zbožím</w:t>
      </w:r>
      <w:r w:rsidRPr="00A95C26">
        <w:rPr>
          <w:color w:val="000000" w:themeColor="text1"/>
          <w:lang w:eastAsia="ru-RU"/>
        </w:rPr>
        <w:t xml:space="preserve">, protože to druhé se obvykle kupuje pro osobní potřebu </w:t>
      </w:r>
      <w:r w:rsidR="00631089" w:rsidRPr="00A95C26">
        <w:rPr>
          <w:color w:val="000000" w:themeColor="text1"/>
          <w:lang w:eastAsia="ru-RU"/>
        </w:rPr>
        <w:t>a jen</w:t>
      </w:r>
      <w:r w:rsidRPr="00A95C26">
        <w:rPr>
          <w:color w:val="000000" w:themeColor="text1"/>
          <w:lang w:eastAsia="ru-RU"/>
        </w:rPr>
        <w:t xml:space="preserve"> zřídka se dále prodávají a kvůli nízké likviditě je obtížné spekulovat. Bubliny je těžké rozpoznat, když nastanou, a později je těžké rozlišit prasklou bublinu od medvědího trhu.</w:t>
      </w:r>
    </w:p>
    <w:p w14:paraId="60DEEA7F" w14:textId="77777777" w:rsidR="00D14C60" w:rsidRPr="00A95C26" w:rsidRDefault="00D14C60" w:rsidP="00641F06">
      <w:pPr>
        <w:spacing w:line="360" w:lineRule="auto"/>
        <w:jc w:val="both"/>
        <w:rPr>
          <w:b/>
          <w:bCs/>
          <w:color w:val="000000" w:themeColor="text1"/>
          <w:lang w:eastAsia="ru-RU"/>
        </w:rPr>
      </w:pPr>
    </w:p>
    <w:p w14:paraId="436403B6" w14:textId="6A82C19B" w:rsidR="00E81A06" w:rsidRPr="00A95C26" w:rsidRDefault="00E81A06" w:rsidP="00641F06">
      <w:pPr>
        <w:spacing w:line="360" w:lineRule="auto"/>
        <w:jc w:val="both"/>
        <w:rPr>
          <w:b/>
          <w:bCs/>
          <w:color w:val="000000" w:themeColor="text1"/>
          <w:lang w:eastAsia="ru-RU"/>
        </w:rPr>
      </w:pPr>
      <w:r w:rsidRPr="00A95C26">
        <w:rPr>
          <w:b/>
          <w:bCs/>
          <w:color w:val="000000" w:themeColor="text1"/>
          <w:lang w:eastAsia="ru-RU"/>
        </w:rPr>
        <w:t>Typy finančních bublin</w:t>
      </w:r>
    </w:p>
    <w:p w14:paraId="354A545D" w14:textId="77777777" w:rsidR="00C279F0" w:rsidRPr="00A95C26" w:rsidRDefault="00C279F0" w:rsidP="00641F06">
      <w:pPr>
        <w:spacing w:line="360" w:lineRule="auto"/>
        <w:jc w:val="both"/>
        <w:rPr>
          <w:b/>
          <w:bCs/>
          <w:color w:val="000000" w:themeColor="text1"/>
          <w:lang w:eastAsia="ru-RU"/>
        </w:rPr>
      </w:pPr>
    </w:p>
    <w:p w14:paraId="485FB32C" w14:textId="5A31C704" w:rsidR="00E81A06" w:rsidRPr="00A95C26" w:rsidRDefault="00E81A06" w:rsidP="00641F06">
      <w:pPr>
        <w:spacing w:line="360" w:lineRule="auto"/>
        <w:jc w:val="both"/>
        <w:rPr>
          <w:color w:val="000000" w:themeColor="text1"/>
        </w:rPr>
      </w:pPr>
      <w:r w:rsidRPr="00A95C26">
        <w:rPr>
          <w:color w:val="000000" w:themeColor="text1"/>
          <w:lang w:eastAsia="ru-RU"/>
        </w:rPr>
        <w:t xml:space="preserve">V historii ekonomiky se rozlišují tyto typy bublin: spekulativní, racionální, provizní a </w:t>
      </w:r>
      <w:r w:rsidR="00631089" w:rsidRPr="00A95C26">
        <w:rPr>
          <w:color w:val="000000" w:themeColor="text1"/>
          <w:lang w:eastAsia="ru-RU"/>
        </w:rPr>
        <w:t>interní.</w:t>
      </w:r>
      <w:r w:rsidR="00631089" w:rsidRPr="00A95C26">
        <w:rPr>
          <w:color w:val="000000" w:themeColor="text1"/>
        </w:rPr>
        <w:t xml:space="preserve"> První</w:t>
      </w:r>
      <w:r w:rsidRPr="00A95C26">
        <w:rPr>
          <w:color w:val="000000" w:themeColor="text1"/>
        </w:rPr>
        <w:t xml:space="preserve"> typ bublin se tvoří kvůli snaze eliminovat nedostatek financí. Druhý vzniká naopak na příznivé půdě, kdy každý věří v úspěch jakéhokoli odvětví a investuje do něj, protože je to v tuto chvíli nejlepší investice</w:t>
      </w:r>
    </w:p>
    <w:p w14:paraId="21E29072" w14:textId="07DD5472" w:rsidR="0062253E" w:rsidRPr="00A95C26" w:rsidRDefault="00E81A06" w:rsidP="00641F06">
      <w:pPr>
        <w:spacing w:line="360" w:lineRule="auto"/>
        <w:jc w:val="both"/>
        <w:rPr>
          <w:color w:val="000000" w:themeColor="text1"/>
        </w:rPr>
      </w:pPr>
      <w:r w:rsidRPr="00A95C26">
        <w:rPr>
          <w:color w:val="000000" w:themeColor="text1"/>
        </w:rPr>
        <w:t xml:space="preserve">První případ nastává, když si agent půjčí peníze na další fungování, nicméně téměř všechny investice jdou na pokrytí předchozích dluhů. Existuje velké množství příkladů takového případu, kdy se naprosto legitimní organizace promění v jakousi finanční pyramidu. Nejčastěji se tento případ vyskytl u států, kdy investoři věřili ve včasnou pomoc MMF ekonomice, do které investovali peníze, ale žádná pomoc nebyla poskytnuta a stát byl nucen nesplácet. Pokud by však investoři neměli důvěru v podporu MMF, pak by se peníze neinvestovaly a nebyl by žádný hlavní předpoklad pro přeměnu v pyramidovou hru. Ekonomika by tak byla ve svém normálním stavu, i když s dluhy, na jejichž pokrytí byly vypůjčeny nové prostředky. V tomto případě je to morální hazard, který tlačí situaci, aby se změnila ve finanční bublinu. Stát, který důvěřuje podpoře v jakékoli situaci, zejména pokud má ekonomiku velkého významu pro </w:t>
      </w:r>
      <w:r w:rsidRPr="00A95C26">
        <w:rPr>
          <w:color w:val="000000" w:themeColor="text1"/>
        </w:rPr>
        <w:lastRenderedPageBreak/>
        <w:t>světovou ekonomiku jako celek, považuje podporu za samozřejmost, takže finanční prostředky jsou často vynakládány neefektivně. Prostředky zaměřené na oživení ekonomiky proto jen zřídka směřují do potřebných sektorů a nutí tak stát, aby si půjčoval více peněz na pokrytí končících dluhů.</w:t>
      </w:r>
      <w:r w:rsidR="0062253E" w:rsidRPr="00A95C26">
        <w:rPr>
          <w:rStyle w:val="Znakapoznpodarou"/>
          <w:color w:val="000000" w:themeColor="text1"/>
        </w:rPr>
        <w:footnoteReference w:id="32"/>
      </w:r>
    </w:p>
    <w:p w14:paraId="1D8D8310" w14:textId="77777777" w:rsidR="006C2F3C" w:rsidRDefault="006C2F3C" w:rsidP="00641F06">
      <w:pPr>
        <w:spacing w:line="360" w:lineRule="auto"/>
        <w:jc w:val="both"/>
        <w:rPr>
          <w:color w:val="000000" w:themeColor="text1"/>
        </w:rPr>
      </w:pPr>
    </w:p>
    <w:p w14:paraId="322E1A1E" w14:textId="389DECAD" w:rsidR="0062253E" w:rsidRPr="00A95C26" w:rsidRDefault="00E81A06" w:rsidP="00641F06">
      <w:pPr>
        <w:spacing w:line="360" w:lineRule="auto"/>
        <w:jc w:val="both"/>
        <w:rPr>
          <w:color w:val="000000" w:themeColor="text1"/>
        </w:rPr>
      </w:pPr>
      <w:r w:rsidRPr="00A95C26">
        <w:rPr>
          <w:color w:val="000000" w:themeColor="text1"/>
        </w:rPr>
        <w:t xml:space="preserve">To znamená, že legitimní organizace se mění ve finanční pyramidu. To se děje následovně: prodávající deklaruje příjem z cenných papírů a poté nemůže splnit své závazky a vydá další dluhopisy, aby dluh uzavřel. Děje se tak především proto, že prodávajícím je obvykle velká organizace nebo dokonce celá země a kupující si věří v návratnost investice, přestože se obvykle výnos u následných emisí uvádí stále více. Uvnitř prodejce je však problémem přehnaná sebedůvěra a také obecný morální hazard. Velké organizace se v případě krize spoléhají na pomoc zvenčí. To oslabuje motivaci utrácet peníze na zamýšlený účel. </w:t>
      </w:r>
      <w:r w:rsidR="0062253E" w:rsidRPr="00A95C26">
        <w:rPr>
          <w:rStyle w:val="Znakapoznpodarou"/>
          <w:color w:val="000000" w:themeColor="text1"/>
        </w:rPr>
        <w:footnoteReference w:id="33"/>
      </w:r>
    </w:p>
    <w:p w14:paraId="1C1C2A84" w14:textId="77777777" w:rsidR="006C2F3C" w:rsidRDefault="006C2F3C" w:rsidP="00641F06">
      <w:pPr>
        <w:spacing w:line="360" w:lineRule="auto"/>
        <w:jc w:val="both"/>
        <w:rPr>
          <w:color w:val="000000" w:themeColor="text1"/>
        </w:rPr>
      </w:pPr>
    </w:p>
    <w:p w14:paraId="5480ED0F" w14:textId="58E9CAF6" w:rsidR="00E81A06" w:rsidRPr="00A95C26" w:rsidRDefault="00E81A06" w:rsidP="00641F06">
      <w:pPr>
        <w:spacing w:line="360" w:lineRule="auto"/>
        <w:jc w:val="both"/>
      </w:pPr>
      <w:r w:rsidRPr="00A95C26">
        <w:rPr>
          <w:color w:val="000000" w:themeColor="text1"/>
        </w:rPr>
        <w:t xml:space="preserve">Druhý případ je způsoben jinými procesy, při kterých se na příznivé půdě tvoří bubliny. </w:t>
      </w:r>
      <w:r w:rsidRPr="00A95C26">
        <w:t xml:space="preserve">Vznikají na určitých trzích v pro něj příznivém období. To je obvykle způsobeno vysokými očekáváními investorů. Obvykle se takové bubliny objevují na docela nových trzích a budoucí hodnota příjmu je přeceňována. Investoři nabývají sebedůvěry v úspěch tohoto odvětví a sazby stoupají, ale po určitých událostech přichází okamžik zklamání a sazby klesají na minimum. Takové bubliny se vyskytují v několika fázích. První fáze je testovací a spočívá v tom, že první investované společnosti vykazují dobrou výkonnost. </w:t>
      </w:r>
      <w:r w:rsidR="0062253E" w:rsidRPr="00A95C26">
        <w:rPr>
          <w:rStyle w:val="Znakapoznpodarou"/>
        </w:rPr>
        <w:footnoteReference w:id="34"/>
      </w:r>
      <w:r w:rsidRPr="00A95C26">
        <w:t>Druhá fáze začátku bubliny nastává po čase, kdy jsou všichni přesvědčeni o výhodnosti investic. Třetí fází je euforie, kdy začíná aktivní aktivita na trhu a ceny akcií několikrát rostou. Následuje klid a splasknutí bubliny v důsledku nenaplněných očekávání. Hlavním důvodem z hlediska institucionální analýzy je také morální hazard. Rizika investorů leží výhradně na společnostech, jejichž akcie jsou obchodovány na trzích.</w:t>
      </w:r>
      <w:r w:rsidR="00CF69E4" w:rsidRPr="00A95C26">
        <w:rPr>
          <w:rStyle w:val="Znakapoznpodarou"/>
        </w:rPr>
        <w:footnoteReference w:id="35"/>
      </w:r>
    </w:p>
    <w:p w14:paraId="6D13B007" w14:textId="2754EC0A" w:rsidR="00D14C60" w:rsidRPr="00A95C26" w:rsidRDefault="00D14C60" w:rsidP="00641F06">
      <w:pPr>
        <w:spacing w:line="360" w:lineRule="auto"/>
        <w:jc w:val="both"/>
      </w:pPr>
    </w:p>
    <w:p w14:paraId="3D4C81E6" w14:textId="7F97DA0C" w:rsidR="00850A66" w:rsidRPr="006C2F3C" w:rsidRDefault="00A21EC7" w:rsidP="00641F06">
      <w:pPr>
        <w:pStyle w:val="Nadpis2"/>
        <w:jc w:val="both"/>
        <w:rPr>
          <w:lang w:val="cs-CZ"/>
        </w:rPr>
      </w:pPr>
      <w:bookmarkStart w:id="45" w:name="_Toc99636460"/>
      <w:bookmarkStart w:id="46" w:name="_Toc99657949"/>
      <w:bookmarkStart w:id="47" w:name="_Toc99659309"/>
      <w:r w:rsidRPr="00A95C26">
        <w:rPr>
          <w:lang w:val="cs-CZ"/>
        </w:rPr>
        <w:lastRenderedPageBreak/>
        <w:t>3.</w:t>
      </w:r>
      <w:r w:rsidR="009B16B7" w:rsidRPr="00A95C26">
        <w:rPr>
          <w:lang w:val="cs-CZ"/>
        </w:rPr>
        <w:t>7</w:t>
      </w:r>
      <w:r w:rsidRPr="00A95C26">
        <w:rPr>
          <w:lang w:val="cs-CZ"/>
        </w:rPr>
        <w:t xml:space="preserve"> </w:t>
      </w:r>
      <w:r w:rsidR="00D14C60" w:rsidRPr="00A95C26">
        <w:rPr>
          <w:lang w:val="cs-CZ"/>
        </w:rPr>
        <w:t>Historie vzniku bublin</w:t>
      </w:r>
      <w:bookmarkEnd w:id="45"/>
      <w:bookmarkEnd w:id="46"/>
      <w:bookmarkEnd w:id="47"/>
    </w:p>
    <w:p w14:paraId="6D27970A" w14:textId="12F6807A" w:rsidR="00850A66" w:rsidRPr="00A95C26" w:rsidRDefault="00850A66" w:rsidP="00641F06">
      <w:pPr>
        <w:spacing w:line="360" w:lineRule="auto"/>
        <w:jc w:val="both"/>
      </w:pPr>
      <w:r w:rsidRPr="00A95C26">
        <w:t>V letech 1619-1623 ve Svatém Římě byla zahájena kampaň na zvýšení peněžní zásoby. To bylo nutné k financování boje o nadvládu Římské říše v Evropě. Třicetiletá válka si vyžádala hodně peněz na zbraně a zbroj. Za tímto účelem se všude razily mince a do jejich složení se přidala měď. V důsledku toho byl přebytek peněz a rychle se znehodnocovaly. Dále byly levné mince prodávány do jiných zemí výměnou za ty vysoce kvalitní. Taková výměna existovala mezi nejrozmanitějšími segmenty populace. Jejím důsledkem byla cválající inflace.</w:t>
      </w:r>
    </w:p>
    <w:p w14:paraId="22DA469B" w14:textId="77777777" w:rsidR="00850A66" w:rsidRPr="00A95C26" w:rsidRDefault="00850A66" w:rsidP="00641F06">
      <w:pPr>
        <w:spacing w:line="360" w:lineRule="auto"/>
        <w:jc w:val="both"/>
      </w:pPr>
    </w:p>
    <w:p w14:paraId="42696421" w14:textId="7F95053A" w:rsidR="00850A66" w:rsidRPr="00A95C26" w:rsidRDefault="00C45F54" w:rsidP="00641F06">
      <w:pPr>
        <w:spacing w:line="360" w:lineRule="auto"/>
        <w:jc w:val="both"/>
      </w:pPr>
      <w:r w:rsidRPr="00A95C26">
        <w:t xml:space="preserve">V roce 1711 založil anglický hrabě z Oxfordu Robert </w:t>
      </w:r>
      <w:proofErr w:type="spellStart"/>
      <w:r w:rsidRPr="00A95C26">
        <w:t>Harley</w:t>
      </w:r>
      <w:proofErr w:type="spellEnd"/>
      <w:r w:rsidRPr="00A95C26">
        <w:t xml:space="preserve"> společnost </w:t>
      </w:r>
      <w:proofErr w:type="spellStart"/>
      <w:r w:rsidRPr="00A95C26">
        <w:t>South</w:t>
      </w:r>
      <w:proofErr w:type="spellEnd"/>
      <w:r w:rsidRPr="00A95C26">
        <w:t xml:space="preserve"> </w:t>
      </w:r>
      <w:proofErr w:type="spellStart"/>
      <w:r w:rsidRPr="00A95C26">
        <w:t>Sea</w:t>
      </w:r>
      <w:proofErr w:type="spellEnd"/>
      <w:r w:rsidRPr="00A95C26">
        <w:t xml:space="preserve"> </w:t>
      </w:r>
      <w:proofErr w:type="spellStart"/>
      <w:r w:rsidRPr="00A95C26">
        <w:t>Company</w:t>
      </w:r>
      <w:proofErr w:type="spellEnd"/>
      <w:r w:rsidRPr="00A95C26">
        <w:t xml:space="preserve">. Jeho vytvoření bylo diktováno vznešeným cílem: snížit veřejný dluh Anglie, nahromaděný během války se Španělskem. Dluhové závazky země tak byly převedeny na akcie Roberta </w:t>
      </w:r>
      <w:proofErr w:type="spellStart"/>
      <w:r w:rsidRPr="00A95C26">
        <w:t>Harleye</w:t>
      </w:r>
      <w:proofErr w:type="spellEnd"/>
      <w:r w:rsidRPr="00A95C26">
        <w:t xml:space="preserve"> a vláda udělila společnosti monopol na obchodování s jihoamerickým státem. V důsledku toho cena akcií rychle vzrostla, ale obchod se neukázal jako ziskový, protože španělská flotila ovládala většinu přístavů v Jižní Americe.</w:t>
      </w:r>
      <w:r w:rsidR="006C2F3C" w:rsidRPr="006C2F3C">
        <w:t xml:space="preserve"> </w:t>
      </w:r>
      <w:r w:rsidR="00850A66" w:rsidRPr="00A95C26">
        <w:t>Dále ekonomické bubliny ovlivnily nemovitosti. Příkladem toho je zvýšená poptávka po pozemcích a domech na Floridě, která vznikla ve 20. letech 20. století. Bublina praskla v roce 1926, kdy ceny dosáhly takového bodu, že si bydlení na Floridě mohli dovolit jen velmi bohatí.</w:t>
      </w:r>
    </w:p>
    <w:p w14:paraId="236484AF" w14:textId="15AB8C48" w:rsidR="00850A66" w:rsidRPr="00A95C26" w:rsidRDefault="00850A66" w:rsidP="00641F06">
      <w:pPr>
        <w:spacing w:line="360" w:lineRule="auto"/>
        <w:jc w:val="both"/>
      </w:pPr>
      <w:r w:rsidRPr="00A95C26">
        <w:t xml:space="preserve">Hypoteční krize z let 2007-2008 ve Spojených státech, kdy banky začaly půjčovat i nesolventním občanům za nízké úrokové sazby. V důsledku toho se zvýšil počet neplatičů a dluhové obligace byly přeprodány. Velká banka </w:t>
      </w:r>
      <w:proofErr w:type="spellStart"/>
      <w:r w:rsidRPr="00A95C26">
        <w:t>Lehman</w:t>
      </w:r>
      <w:proofErr w:type="spellEnd"/>
      <w:r w:rsidRPr="00A95C26">
        <w:t xml:space="preserve"> </w:t>
      </w:r>
      <w:proofErr w:type="spellStart"/>
      <w:r w:rsidRPr="00A95C26">
        <w:t>Brothers</w:t>
      </w:r>
      <w:proofErr w:type="spellEnd"/>
      <w:r w:rsidRPr="00A95C26">
        <w:t xml:space="preserve"> vyhlásila bankrot, což vyvolalo skutečnou paniku v bankovním sektoru i na hypotečním trhu. Vzhledem k tomu, že dolar je světovou měnou, americká krize se rozšířila do dalších zemí a zasáhla téměř celý svět.</w:t>
      </w:r>
    </w:p>
    <w:p w14:paraId="6242E59E" w14:textId="77777777" w:rsidR="00850A66" w:rsidRPr="00A95C26" w:rsidRDefault="00850A66" w:rsidP="00641F06">
      <w:pPr>
        <w:spacing w:line="360" w:lineRule="auto"/>
        <w:jc w:val="both"/>
      </w:pPr>
    </w:p>
    <w:p w14:paraId="0F6FF6C5" w14:textId="532254DC" w:rsidR="00AF7B8C" w:rsidRPr="00A95C26" w:rsidRDefault="00C279F0" w:rsidP="00641F06">
      <w:pPr>
        <w:pStyle w:val="Normlnweb"/>
        <w:spacing w:before="150" w:beforeAutospacing="0" w:after="225" w:afterAutospacing="0" w:line="360" w:lineRule="auto"/>
        <w:jc w:val="both"/>
        <w:rPr>
          <w:b/>
          <w:bCs/>
          <w:color w:val="000000" w:themeColor="text1"/>
        </w:rPr>
      </w:pPr>
      <w:r w:rsidRPr="00A95C26">
        <w:rPr>
          <w:b/>
          <w:bCs/>
          <w:color w:val="000000" w:themeColor="text1"/>
        </w:rPr>
        <w:t xml:space="preserve">Příčiny vzniku </w:t>
      </w:r>
      <w:r w:rsidR="00FD66EC" w:rsidRPr="00A95C26">
        <w:rPr>
          <w:b/>
          <w:bCs/>
          <w:color w:val="000000" w:themeColor="text1"/>
        </w:rPr>
        <w:t>finančních bublin</w:t>
      </w:r>
    </w:p>
    <w:p w14:paraId="516FC97B" w14:textId="77777777" w:rsidR="00C279F0" w:rsidRPr="00A95C26" w:rsidRDefault="00C279F0" w:rsidP="00641F06">
      <w:pPr>
        <w:pStyle w:val="Normlnweb"/>
        <w:spacing w:before="150" w:after="225"/>
        <w:jc w:val="both"/>
        <w:rPr>
          <w:color w:val="000000" w:themeColor="text1"/>
        </w:rPr>
      </w:pPr>
      <w:r w:rsidRPr="00A95C26">
        <w:rPr>
          <w:color w:val="000000" w:themeColor="text1"/>
        </w:rPr>
        <w:t>Důvody pro výskyt tohoto jevu na finančních trzích jsou navrženy:</w:t>
      </w:r>
    </w:p>
    <w:p w14:paraId="48915F48" w14:textId="77777777" w:rsidR="00C279F0" w:rsidRPr="00A95C26" w:rsidRDefault="00C279F0" w:rsidP="00641F06">
      <w:pPr>
        <w:pStyle w:val="Normlnweb"/>
        <w:spacing w:before="150" w:after="225"/>
        <w:jc w:val="both"/>
        <w:rPr>
          <w:color w:val="000000" w:themeColor="text1"/>
        </w:rPr>
      </w:pPr>
      <w:r w:rsidRPr="00A95C26">
        <w:rPr>
          <w:color w:val="000000" w:themeColor="text1"/>
        </w:rPr>
        <w:t>• rychlý růst kapitalismu a soukromého vlastnictví;</w:t>
      </w:r>
    </w:p>
    <w:p w14:paraId="0C0120B4" w14:textId="77777777" w:rsidR="00C279F0" w:rsidRPr="00A95C26" w:rsidRDefault="00C279F0" w:rsidP="00641F06">
      <w:pPr>
        <w:pStyle w:val="Normlnweb"/>
        <w:spacing w:before="150" w:after="225"/>
        <w:jc w:val="both"/>
        <w:rPr>
          <w:color w:val="000000" w:themeColor="text1"/>
        </w:rPr>
      </w:pPr>
      <w:r w:rsidRPr="00A95C26">
        <w:rPr>
          <w:color w:val="000000" w:themeColor="text1"/>
        </w:rPr>
        <w:t>• politické a kulturní procesy, které podporují rozvoj podnikání;</w:t>
      </w:r>
    </w:p>
    <w:p w14:paraId="2250612D" w14:textId="77777777" w:rsidR="00C279F0" w:rsidRPr="00A95C26" w:rsidRDefault="00C279F0" w:rsidP="00641F06">
      <w:pPr>
        <w:pStyle w:val="Normlnweb"/>
        <w:spacing w:before="150" w:after="225"/>
        <w:jc w:val="both"/>
        <w:rPr>
          <w:color w:val="000000" w:themeColor="text1"/>
        </w:rPr>
      </w:pPr>
      <w:r w:rsidRPr="00A95C26">
        <w:rPr>
          <w:color w:val="000000" w:themeColor="text1"/>
        </w:rPr>
        <w:t>• nástup moderních informačních technologií;</w:t>
      </w:r>
    </w:p>
    <w:p w14:paraId="00ACAF47" w14:textId="77777777" w:rsidR="00C279F0" w:rsidRPr="00A95C26" w:rsidRDefault="00C279F0" w:rsidP="00641F06">
      <w:pPr>
        <w:pStyle w:val="Normlnweb"/>
        <w:spacing w:before="150" w:after="225"/>
        <w:jc w:val="both"/>
        <w:rPr>
          <w:color w:val="000000" w:themeColor="text1"/>
        </w:rPr>
      </w:pPr>
      <w:r w:rsidRPr="00A95C26">
        <w:rPr>
          <w:color w:val="000000" w:themeColor="text1"/>
        </w:rPr>
        <w:t>• příznivá měnová politika státu;</w:t>
      </w:r>
    </w:p>
    <w:p w14:paraId="7BCCE58B" w14:textId="77777777" w:rsidR="00C279F0" w:rsidRPr="00A95C26" w:rsidRDefault="00C279F0" w:rsidP="00641F06">
      <w:pPr>
        <w:pStyle w:val="Normlnweb"/>
        <w:spacing w:before="150" w:after="225"/>
        <w:jc w:val="both"/>
        <w:rPr>
          <w:color w:val="000000" w:themeColor="text1"/>
        </w:rPr>
      </w:pPr>
      <w:r w:rsidRPr="00A95C26">
        <w:rPr>
          <w:color w:val="000000" w:themeColor="text1"/>
        </w:rPr>
        <w:t>• demografické výkyvy;</w:t>
      </w:r>
    </w:p>
    <w:p w14:paraId="7E8F12E2" w14:textId="77777777" w:rsidR="00C279F0" w:rsidRPr="00A95C26" w:rsidRDefault="00C279F0" w:rsidP="00641F06">
      <w:pPr>
        <w:pStyle w:val="Normlnweb"/>
        <w:spacing w:before="150" w:after="225"/>
        <w:jc w:val="both"/>
        <w:rPr>
          <w:color w:val="000000" w:themeColor="text1"/>
        </w:rPr>
      </w:pPr>
      <w:r w:rsidRPr="00A95C26">
        <w:rPr>
          <w:color w:val="000000" w:themeColor="text1"/>
        </w:rPr>
        <w:lastRenderedPageBreak/>
        <w:t>• zvýšení míry informovanosti veřejnosti o problémech podnikání;</w:t>
      </w:r>
    </w:p>
    <w:p w14:paraId="51D46A8D" w14:textId="77777777" w:rsidR="00C279F0" w:rsidRPr="00A95C26" w:rsidRDefault="00C279F0" w:rsidP="00641F06">
      <w:pPr>
        <w:pStyle w:val="Normlnweb"/>
        <w:spacing w:before="150" w:after="225"/>
        <w:jc w:val="both"/>
        <w:rPr>
          <w:color w:val="000000" w:themeColor="text1"/>
        </w:rPr>
      </w:pPr>
      <w:r w:rsidRPr="00A95C26">
        <w:rPr>
          <w:color w:val="000000" w:themeColor="text1"/>
        </w:rPr>
        <w:t>• optimistické analytické předpovědi;</w:t>
      </w:r>
    </w:p>
    <w:p w14:paraId="5D088634" w14:textId="77777777" w:rsidR="00C279F0" w:rsidRPr="00A95C26" w:rsidRDefault="00C279F0" w:rsidP="00641F06">
      <w:pPr>
        <w:pStyle w:val="Normlnweb"/>
        <w:spacing w:before="150" w:after="225"/>
        <w:jc w:val="both"/>
        <w:rPr>
          <w:color w:val="000000" w:themeColor="text1"/>
        </w:rPr>
      </w:pPr>
      <w:r w:rsidRPr="00A95C26">
        <w:rPr>
          <w:color w:val="000000" w:themeColor="text1"/>
        </w:rPr>
        <w:t>• růst počtu investičních fondů;</w:t>
      </w:r>
    </w:p>
    <w:p w14:paraId="2B1150B5" w14:textId="77777777" w:rsidR="00C279F0" w:rsidRPr="00A95C26" w:rsidRDefault="00C279F0" w:rsidP="00641F06">
      <w:pPr>
        <w:pStyle w:val="Normlnweb"/>
        <w:spacing w:before="150" w:after="225"/>
        <w:jc w:val="both"/>
        <w:rPr>
          <w:color w:val="000000" w:themeColor="text1"/>
        </w:rPr>
      </w:pPr>
      <w:r w:rsidRPr="00A95C26">
        <w:rPr>
          <w:color w:val="000000" w:themeColor="text1"/>
        </w:rPr>
        <w:t>• snížení úrovně inflace a v důsledku toho vznik „peněžní iluze“;</w:t>
      </w:r>
    </w:p>
    <w:p w14:paraId="2F69B80A" w14:textId="52520519" w:rsidR="00AF7B8C" w:rsidRPr="00A95C26" w:rsidRDefault="00C279F0" w:rsidP="00641F06">
      <w:pPr>
        <w:pStyle w:val="Normlnweb"/>
        <w:spacing w:before="150" w:beforeAutospacing="0" w:after="225" w:afterAutospacing="0"/>
        <w:jc w:val="both"/>
        <w:rPr>
          <w:rFonts w:ascii="Helvetica Neue" w:hAnsi="Helvetica Neue"/>
          <w:color w:val="434343"/>
        </w:rPr>
      </w:pPr>
      <w:r w:rsidRPr="00A95C26">
        <w:rPr>
          <w:color w:val="000000" w:themeColor="text1"/>
        </w:rPr>
        <w:t>• zvýšení objemu obchodů na finančním trhu</w:t>
      </w:r>
      <w:r w:rsidR="00850A66" w:rsidRPr="00A95C26">
        <w:rPr>
          <w:color w:val="434343"/>
        </w:rPr>
        <w:t>.</w:t>
      </w:r>
      <w:r w:rsidR="00850A66" w:rsidRPr="00A95C26">
        <w:rPr>
          <w:rFonts w:ascii="Helvetica Neue" w:hAnsi="Helvetica Neue"/>
          <w:color w:val="434343"/>
        </w:rPr>
        <w:t xml:space="preserve"> </w:t>
      </w:r>
      <w:r w:rsidR="00850A66" w:rsidRPr="00A95C26">
        <w:rPr>
          <w:rStyle w:val="Znakapoznpodarou"/>
          <w:rFonts w:ascii="Helvetica Neue" w:hAnsi="Helvetica Neue"/>
          <w:color w:val="434343"/>
        </w:rPr>
        <w:footnoteReference w:id="36"/>
      </w:r>
    </w:p>
    <w:p w14:paraId="19A239D3" w14:textId="77777777" w:rsidR="002B025E" w:rsidRDefault="002B025E" w:rsidP="00641F06">
      <w:pPr>
        <w:pStyle w:val="Nadpis2"/>
        <w:ind w:left="0"/>
        <w:jc w:val="both"/>
        <w:rPr>
          <w:lang w:val="cs-CZ"/>
        </w:rPr>
      </w:pPr>
      <w:bookmarkStart w:id="48" w:name="_Toc99636461"/>
      <w:bookmarkStart w:id="49" w:name="_Toc99657950"/>
    </w:p>
    <w:p w14:paraId="2490AA91" w14:textId="7F911E0D" w:rsidR="00AF7B8C" w:rsidRDefault="00FD66EC" w:rsidP="00641F06">
      <w:pPr>
        <w:pStyle w:val="Nadpis2"/>
        <w:ind w:left="0"/>
        <w:jc w:val="both"/>
        <w:rPr>
          <w:lang w:val="cs-CZ"/>
        </w:rPr>
      </w:pPr>
      <w:bookmarkStart w:id="50" w:name="_Toc99659310"/>
      <w:r w:rsidRPr="00A95C26">
        <w:rPr>
          <w:lang w:val="cs-CZ"/>
        </w:rPr>
        <w:t>3.8 Historické</w:t>
      </w:r>
      <w:r w:rsidR="00DB178E" w:rsidRPr="00A95C26">
        <w:rPr>
          <w:lang w:val="cs-CZ"/>
        </w:rPr>
        <w:t xml:space="preserve"> bubliny</w:t>
      </w:r>
      <w:bookmarkEnd w:id="48"/>
      <w:bookmarkEnd w:id="49"/>
      <w:bookmarkEnd w:id="50"/>
    </w:p>
    <w:p w14:paraId="7D3AE715" w14:textId="77777777" w:rsidR="002B025E" w:rsidRPr="002B025E" w:rsidRDefault="002B025E" w:rsidP="002B025E"/>
    <w:p w14:paraId="05B285CB" w14:textId="2203FBD2" w:rsidR="00F473EC" w:rsidRPr="00A95C26" w:rsidRDefault="00F473EC" w:rsidP="00641F06">
      <w:pPr>
        <w:pStyle w:val="Normlnweb"/>
        <w:spacing w:line="360" w:lineRule="auto"/>
        <w:jc w:val="both"/>
        <w:textAlignment w:val="baseline"/>
        <w:rPr>
          <w:b/>
          <w:bCs/>
          <w:iCs/>
          <w:color w:val="131313"/>
        </w:rPr>
      </w:pPr>
      <w:r w:rsidRPr="00A95C26">
        <w:rPr>
          <w:b/>
          <w:bCs/>
          <w:iCs/>
          <w:color w:val="131313"/>
        </w:rPr>
        <w:t>Tulipánová mánie</w:t>
      </w:r>
    </w:p>
    <w:p w14:paraId="2CC36CA0" w14:textId="77777777" w:rsidR="00F473EC" w:rsidRPr="00A95C26" w:rsidRDefault="00F473EC" w:rsidP="00641F06">
      <w:pPr>
        <w:pStyle w:val="Normlnweb"/>
        <w:spacing w:line="360" w:lineRule="auto"/>
        <w:jc w:val="both"/>
        <w:textAlignment w:val="baseline"/>
        <w:rPr>
          <w:iCs/>
          <w:color w:val="131313"/>
        </w:rPr>
      </w:pPr>
      <w:r w:rsidRPr="00A95C26">
        <w:rPr>
          <w:b/>
          <w:bCs/>
          <w:iCs/>
          <w:color w:val="131313"/>
        </w:rPr>
        <w:t xml:space="preserve">Země: </w:t>
      </w:r>
      <w:r w:rsidRPr="00A95C26">
        <w:rPr>
          <w:iCs/>
          <w:color w:val="131313"/>
        </w:rPr>
        <w:t>Nizozemsko</w:t>
      </w:r>
    </w:p>
    <w:p w14:paraId="602B1296" w14:textId="77777777" w:rsidR="00F473EC" w:rsidRPr="00A95C26" w:rsidRDefault="00F473EC" w:rsidP="00641F06">
      <w:pPr>
        <w:pStyle w:val="Normlnweb"/>
        <w:spacing w:line="360" w:lineRule="auto"/>
        <w:jc w:val="both"/>
        <w:textAlignment w:val="baseline"/>
        <w:rPr>
          <w:iCs/>
          <w:color w:val="131313"/>
        </w:rPr>
      </w:pPr>
      <w:r w:rsidRPr="00A95C26">
        <w:rPr>
          <w:b/>
          <w:bCs/>
          <w:iCs/>
          <w:color w:val="131313"/>
        </w:rPr>
        <w:t xml:space="preserve">Rok: </w:t>
      </w:r>
      <w:r w:rsidRPr="00A95C26">
        <w:rPr>
          <w:iCs/>
          <w:color w:val="131313"/>
        </w:rPr>
        <w:t>1636-1637</w:t>
      </w:r>
    </w:p>
    <w:p w14:paraId="7256EAFA" w14:textId="69B3FA38" w:rsidR="00F473EC" w:rsidRPr="00A95C26" w:rsidRDefault="00F473EC" w:rsidP="00641F06">
      <w:pPr>
        <w:pStyle w:val="Normlnweb"/>
        <w:spacing w:line="360" w:lineRule="auto"/>
        <w:jc w:val="both"/>
        <w:textAlignment w:val="baseline"/>
        <w:rPr>
          <w:iCs/>
          <w:color w:val="131313"/>
        </w:rPr>
      </w:pPr>
      <w:r w:rsidRPr="00A95C26">
        <w:rPr>
          <w:iCs/>
          <w:color w:val="131313"/>
        </w:rPr>
        <w:t xml:space="preserve">Tulipánová mánie je první finanční bublina v historii, která se vytvořila na květinovém trhu v Nizozemsku, klasický příklad ekonomické bubliny. Vyprávím, jak si pomoci </w:t>
      </w:r>
      <w:r w:rsidR="00FD66EC" w:rsidRPr="00A95C26">
        <w:rPr>
          <w:iCs/>
          <w:color w:val="131313"/>
        </w:rPr>
        <w:t>jedné</w:t>
      </w:r>
      <w:r w:rsidRPr="00A95C26">
        <w:rPr>
          <w:iCs/>
          <w:color w:val="131313"/>
        </w:rPr>
        <w:t xml:space="preserve"> </w:t>
      </w:r>
      <w:r w:rsidR="00FD66EC" w:rsidRPr="00A95C26">
        <w:rPr>
          <w:iCs/>
          <w:color w:val="131313"/>
        </w:rPr>
        <w:t>tulipánové</w:t>
      </w:r>
      <w:r w:rsidRPr="00A95C26">
        <w:rPr>
          <w:iCs/>
          <w:color w:val="131313"/>
        </w:rPr>
        <w:t xml:space="preserve"> cibulce </w:t>
      </w:r>
      <w:r w:rsidR="00FD66EC" w:rsidRPr="00A95C26">
        <w:rPr>
          <w:iCs/>
          <w:color w:val="131313"/>
        </w:rPr>
        <w:t>možná</w:t>
      </w:r>
      <w:r w:rsidRPr="00A95C26">
        <w:rPr>
          <w:iCs/>
          <w:color w:val="131313"/>
        </w:rPr>
        <w:t xml:space="preserve"> bylo koupit dům v Amsterdamu.</w:t>
      </w:r>
    </w:p>
    <w:p w14:paraId="0B817A86" w14:textId="489DCBF9" w:rsidR="00F473EC" w:rsidRPr="00A95C26" w:rsidRDefault="00F473EC" w:rsidP="00641F06">
      <w:pPr>
        <w:pStyle w:val="Normlnweb"/>
        <w:spacing w:line="360" w:lineRule="auto"/>
        <w:jc w:val="both"/>
        <w:textAlignment w:val="baseline"/>
        <w:rPr>
          <w:iCs/>
          <w:color w:val="131313"/>
        </w:rPr>
      </w:pPr>
      <w:r w:rsidRPr="00A95C26">
        <w:rPr>
          <w:iCs/>
          <w:color w:val="131313"/>
        </w:rPr>
        <w:t>Nizozemsko na počátku 17. století bylo malým, ale prosperujícím státem. Toto období v historii země bylo nazýváno „zlatým věkem“: Holandsko obchodovalo s celým světem a nevedlo války. Současně došlo k rozkvětu umění a kultury, objevila se velká vrstva šlechty.</w:t>
      </w:r>
    </w:p>
    <w:p w14:paraId="01462A58" w14:textId="1A7DDD37" w:rsidR="00F473EC" w:rsidRPr="00A95C26" w:rsidRDefault="00F473EC" w:rsidP="00641F06">
      <w:pPr>
        <w:pStyle w:val="Normlnweb"/>
        <w:spacing w:line="360" w:lineRule="auto"/>
        <w:jc w:val="both"/>
        <w:textAlignment w:val="baseline"/>
        <w:rPr>
          <w:iCs/>
          <w:color w:val="131313"/>
        </w:rPr>
      </w:pPr>
      <w:r w:rsidRPr="00A95C26">
        <w:rPr>
          <w:iCs/>
          <w:color w:val="131313"/>
        </w:rPr>
        <w:t xml:space="preserve">Začala růst poptávka po luxusním zboží, včetně tulipánů. Do Evropy byly přivezeny z Turecka a chovatelé zahradníků začali šlechtit vzácné květiny. Kvůli chladnému a deštivému klimatu to nebylo snadné, takže v Nizozemsku byly tulipány považovány za skutečnou kuriozitu. Holandský </w:t>
      </w:r>
      <w:proofErr w:type="spellStart"/>
      <w:r w:rsidRPr="00A95C26">
        <w:rPr>
          <w:iCs/>
          <w:color w:val="131313"/>
        </w:rPr>
        <w:t>beau</w:t>
      </w:r>
      <w:proofErr w:type="spellEnd"/>
      <w:r w:rsidRPr="00A95C26">
        <w:rPr>
          <w:iCs/>
          <w:color w:val="131313"/>
        </w:rPr>
        <w:t xml:space="preserve"> monde se začal zajímat o unikátní květiny a poptávka po nich, stejně jako ceny, dále plynule rostly.</w:t>
      </w:r>
    </w:p>
    <w:p w14:paraId="345FCC9C" w14:textId="77777777" w:rsidR="0091726E" w:rsidRDefault="00F473EC" w:rsidP="00641F06">
      <w:pPr>
        <w:pStyle w:val="Normlnweb"/>
        <w:spacing w:line="360" w:lineRule="auto"/>
        <w:jc w:val="both"/>
        <w:textAlignment w:val="baseline"/>
        <w:rPr>
          <w:iCs/>
          <w:color w:val="131313"/>
        </w:rPr>
      </w:pPr>
      <w:r w:rsidRPr="00A95C26">
        <w:rPr>
          <w:iCs/>
          <w:color w:val="131313"/>
        </w:rPr>
        <w:t>Pěstitelé květin prodávali tulipány pouze od června do září – kdy bylo možné vykopat vzrostlou květinu. Koneckonců, kupující se chtěli ujistit, že jejich kopie je exkluzivní a krásná.</w:t>
      </w:r>
    </w:p>
    <w:p w14:paraId="6E6FF6A9" w14:textId="60DDB46E" w:rsidR="00F473EC" w:rsidRPr="00A95C26" w:rsidRDefault="00F473EC" w:rsidP="00641F06">
      <w:pPr>
        <w:pStyle w:val="Normlnweb"/>
        <w:spacing w:line="360" w:lineRule="auto"/>
        <w:jc w:val="both"/>
        <w:textAlignment w:val="baseline"/>
        <w:rPr>
          <w:iCs/>
          <w:color w:val="131313"/>
        </w:rPr>
      </w:pPr>
      <w:r w:rsidRPr="00A95C26">
        <w:rPr>
          <w:iCs/>
          <w:color w:val="131313"/>
        </w:rPr>
        <w:lastRenderedPageBreak/>
        <w:t>Průběh událostí: vše se změnilo, když se holandské tulipány nakazily virem, který mění barvu květu: na poupatech se začaly objevovat různobarevné tečky. Neobvyklé odstíny způsobily na trhu pořádný rozruch.</w:t>
      </w:r>
    </w:p>
    <w:p w14:paraId="5094FCC0" w14:textId="77777777" w:rsidR="00F473EC" w:rsidRPr="00A95C26" w:rsidRDefault="00F473EC" w:rsidP="00641F06">
      <w:pPr>
        <w:pStyle w:val="Normlnweb"/>
        <w:spacing w:line="360" w:lineRule="auto"/>
        <w:jc w:val="both"/>
        <w:textAlignment w:val="baseline"/>
        <w:rPr>
          <w:iCs/>
          <w:color w:val="131313"/>
        </w:rPr>
      </w:pPr>
      <w:r w:rsidRPr="00A95C26">
        <w:rPr>
          <w:iCs/>
          <w:color w:val="131313"/>
        </w:rPr>
        <w:t>V roce 1636 vzrostla poptávka a chovatelé se rozhodli prodávat tulipány po celý rok a cibulové futures byly na světě. Pokud květiny ještě nevyrostly, prodejci uzavřeli dohodu a slíbili, že kupujícímu dodají tulipány v konkrétní čas a za předem stanovenou cenu. Ukázalo se skutečné futures s odloženou platbou. Pro Holanďany nebyla tato forma obchodu novinkou – v zemi již nakupovali ryby a obilí</w:t>
      </w:r>
    </w:p>
    <w:p w14:paraId="5EF1C461" w14:textId="77777777" w:rsidR="00F473EC" w:rsidRPr="00A95C26" w:rsidRDefault="00F473EC" w:rsidP="00641F06">
      <w:pPr>
        <w:pStyle w:val="Normlnweb"/>
        <w:spacing w:line="360" w:lineRule="auto"/>
        <w:jc w:val="both"/>
        <w:textAlignment w:val="baseline"/>
      </w:pPr>
      <w:r w:rsidRPr="00A95C26">
        <w:t>Vše by bylo v pořádku, ale na podzim roku 1636 se na trhu objevilo obrovské množství spekulantů. Když lidé viděli, že poptávka po květinách nekontrolovatelně roste, začali nakupovat futures za účelem zisku.</w:t>
      </w:r>
    </w:p>
    <w:p w14:paraId="7C07A8E8" w14:textId="050E07C5" w:rsidR="00F473EC" w:rsidRPr="00A95C26" w:rsidRDefault="00F473EC" w:rsidP="00641F06">
      <w:pPr>
        <w:pStyle w:val="Normlnweb"/>
        <w:spacing w:line="360" w:lineRule="auto"/>
        <w:jc w:val="both"/>
        <w:textAlignment w:val="baseline"/>
      </w:pPr>
      <w:r w:rsidRPr="00A95C26">
        <w:t>Většina tulipánů sama o sobě nebyla potřeba: cenné papíry prodávaly ostatním za vyšší cenu, aniž by čekaly na období květu. Spekulanti používali v té době populární princip: "Do léta neplatíte, ale do léta odprodáváte."</w:t>
      </w:r>
    </w:p>
    <w:p w14:paraId="4CE7CD28" w14:textId="711E90DD" w:rsidR="00F473EC" w:rsidRPr="00A95C26" w:rsidRDefault="00F473EC" w:rsidP="00641F06">
      <w:pPr>
        <w:pStyle w:val="Normlnweb"/>
        <w:spacing w:line="360" w:lineRule="auto"/>
        <w:jc w:val="both"/>
        <w:textAlignment w:val="baseline"/>
      </w:pPr>
      <w:r w:rsidRPr="00A95C26">
        <w:t xml:space="preserve">Z tohoto důvodu v určitém okamžiku cena za jednu žárovku neobvyklého tulipánu dosáhla 5 tisíc guldenů za takové peníze byste si mohli koupit dobrý dům v Amsterdamu. Trh se držel tak dlouho, dokud docházelo k neustálému přílivu nových kupců. </w:t>
      </w:r>
    </w:p>
    <w:p w14:paraId="6657EBFF" w14:textId="71317654" w:rsidR="00F473EC" w:rsidRPr="00A95C26" w:rsidRDefault="00F473EC" w:rsidP="00641F06">
      <w:pPr>
        <w:pStyle w:val="Normlnweb"/>
        <w:spacing w:line="360" w:lineRule="auto"/>
        <w:jc w:val="both"/>
        <w:textAlignment w:val="baseline"/>
      </w:pPr>
      <w:r w:rsidRPr="00A95C26">
        <w:t>V zimě roku 1637 vzrostly náklady na cibuloviny natolik, že lidé již nemohli dostát svým dluhovým závazkům – takové peníze prostě neměli. Trh se zhroutil a cena tulipánových futures se zhroutila 20krát.</w:t>
      </w:r>
    </w:p>
    <w:p w14:paraId="438C38F9" w14:textId="51BAFB61" w:rsidR="00F473EC" w:rsidRPr="00A95C26" w:rsidRDefault="00F473EC" w:rsidP="00641F06">
      <w:pPr>
        <w:pStyle w:val="Normlnweb"/>
        <w:spacing w:line="360" w:lineRule="auto"/>
        <w:jc w:val="both"/>
        <w:textAlignment w:val="baseline"/>
        <w:rPr>
          <w:color w:val="131313"/>
        </w:rPr>
      </w:pPr>
      <w:r w:rsidRPr="00A95C26">
        <w:rPr>
          <w:b/>
          <w:bCs/>
        </w:rPr>
        <w:t>Výsledek</w:t>
      </w:r>
      <w:r w:rsidRPr="00A95C26">
        <w:t xml:space="preserve">: když bublina praskla, úřady se pokusily tuto sněhovou kouli zastavit. Začali pálit tulipánová pole v naději, že zastaví krmení trhu. To ale nepomohlo a začaly dlouhodobé soudní spory: obchodníci požadovali své peníze na futures, zatímco kupující takové částky neměli. Soudci byli zmatení. </w:t>
      </w:r>
      <w:r w:rsidRPr="00A95C26">
        <w:rPr>
          <w:color w:val="131313"/>
        </w:rPr>
        <w:t>Následující rok úřady rozhodly, že dlužník může být osvobozen od placení futures, pokud prodávajícímu vrátí pouze 3,5 % původní ceny. V tomto se všichni rozešli.</w:t>
      </w:r>
    </w:p>
    <w:p w14:paraId="7572799A" w14:textId="77777777" w:rsidR="00F473EC" w:rsidRPr="00A95C26" w:rsidRDefault="00F473EC" w:rsidP="00641F06">
      <w:pPr>
        <w:pStyle w:val="Normlnweb"/>
        <w:spacing w:line="360" w:lineRule="auto"/>
        <w:jc w:val="both"/>
        <w:textAlignment w:val="baseline"/>
        <w:rPr>
          <w:color w:val="131313"/>
        </w:rPr>
      </w:pPr>
      <w:r w:rsidRPr="00A95C26">
        <w:rPr>
          <w:color w:val="131313"/>
        </w:rPr>
        <w:t>Dlouho panoval názor, že „tulipánová mánie“ vedla k první a největší finanční krizi v historii. Ukázalo se však, že kromě květinářství nebylo zasaženo ani jedno odvětví v Nizozemsku.</w:t>
      </w:r>
    </w:p>
    <w:p w14:paraId="4A9219E2" w14:textId="43AFFE48" w:rsidR="00DB178E" w:rsidRPr="00A95C26" w:rsidRDefault="00F473EC" w:rsidP="00641F06">
      <w:pPr>
        <w:pStyle w:val="Normlnweb"/>
        <w:spacing w:line="360" w:lineRule="auto"/>
        <w:jc w:val="both"/>
        <w:textAlignment w:val="baseline"/>
      </w:pPr>
      <w:r w:rsidRPr="00A95C26">
        <w:rPr>
          <w:color w:val="131313"/>
        </w:rPr>
        <w:lastRenderedPageBreak/>
        <w:t>Faktem je, že v 17. století nebyl svět tak globalizovaný jako nyní – různá odvětví ekonomiky v rámci země často fungovala nezávisle na sobě. O jednotlivých státech ani nemluvě. Takže krize v Holandsku by neměla žádný vliv na situaci ve Spojeném království.</w:t>
      </w:r>
    </w:p>
    <w:p w14:paraId="509B6CE2" w14:textId="77777777" w:rsidR="00F473EC" w:rsidRPr="00A95C26" w:rsidRDefault="00F473EC" w:rsidP="00641F06">
      <w:pPr>
        <w:pStyle w:val="Normlnweb"/>
        <w:spacing w:line="360" w:lineRule="auto"/>
        <w:jc w:val="both"/>
        <w:textAlignment w:val="baseline"/>
        <w:rPr>
          <w:b/>
          <w:bCs/>
          <w:iCs/>
          <w:color w:val="131313"/>
        </w:rPr>
      </w:pPr>
      <w:r w:rsidRPr="00A95C26">
        <w:rPr>
          <w:b/>
          <w:bCs/>
          <w:iCs/>
          <w:color w:val="131313"/>
        </w:rPr>
        <w:t>Japonská finanční bublina</w:t>
      </w:r>
    </w:p>
    <w:p w14:paraId="75ACF476" w14:textId="77777777" w:rsidR="00F473EC" w:rsidRPr="00A95C26" w:rsidRDefault="00F473EC" w:rsidP="00641F06">
      <w:pPr>
        <w:pStyle w:val="Normlnweb"/>
        <w:spacing w:line="360" w:lineRule="auto"/>
        <w:jc w:val="both"/>
        <w:textAlignment w:val="baseline"/>
        <w:rPr>
          <w:iCs/>
          <w:color w:val="131313"/>
        </w:rPr>
      </w:pPr>
      <w:r w:rsidRPr="00A95C26">
        <w:rPr>
          <w:b/>
          <w:bCs/>
          <w:iCs/>
          <w:color w:val="131313"/>
        </w:rPr>
        <w:t xml:space="preserve">Země: </w:t>
      </w:r>
      <w:r w:rsidRPr="00A95C26">
        <w:rPr>
          <w:iCs/>
          <w:color w:val="131313"/>
        </w:rPr>
        <w:t>Japonsko</w:t>
      </w:r>
    </w:p>
    <w:p w14:paraId="072B5552" w14:textId="77777777" w:rsidR="00F473EC" w:rsidRPr="00A95C26" w:rsidRDefault="00F473EC" w:rsidP="00641F06">
      <w:pPr>
        <w:pStyle w:val="Normlnweb"/>
        <w:spacing w:line="360" w:lineRule="auto"/>
        <w:jc w:val="both"/>
        <w:textAlignment w:val="baseline"/>
        <w:rPr>
          <w:iCs/>
          <w:color w:val="131313"/>
        </w:rPr>
      </w:pPr>
      <w:r w:rsidRPr="00A95C26">
        <w:rPr>
          <w:iCs/>
          <w:color w:val="131313"/>
        </w:rPr>
        <w:t>Rok: 1986-1991</w:t>
      </w:r>
    </w:p>
    <w:p w14:paraId="2474E768" w14:textId="77777777" w:rsidR="00F473EC" w:rsidRPr="00A95C26" w:rsidRDefault="00F473EC" w:rsidP="00641F06">
      <w:pPr>
        <w:pStyle w:val="Normlnweb"/>
        <w:spacing w:line="360" w:lineRule="auto"/>
        <w:jc w:val="both"/>
        <w:textAlignment w:val="baseline"/>
        <w:rPr>
          <w:iCs/>
          <w:color w:val="131313"/>
        </w:rPr>
      </w:pPr>
      <w:r w:rsidRPr="00A95C26">
        <w:rPr>
          <w:iCs/>
          <w:color w:val="131313"/>
        </w:rPr>
        <w:t>Aktiva: nemovitosti, burza</w:t>
      </w:r>
    </w:p>
    <w:p w14:paraId="33DE5899" w14:textId="77777777" w:rsidR="00F473EC" w:rsidRPr="00A95C26" w:rsidRDefault="00F473EC" w:rsidP="00641F06">
      <w:pPr>
        <w:pStyle w:val="Normlnweb"/>
        <w:spacing w:line="360" w:lineRule="auto"/>
        <w:jc w:val="both"/>
        <w:textAlignment w:val="baseline"/>
        <w:rPr>
          <w:iCs/>
          <w:color w:val="131313"/>
        </w:rPr>
      </w:pPr>
      <w:r w:rsidRPr="00A95C26">
        <w:rPr>
          <w:iCs/>
          <w:color w:val="131313"/>
        </w:rPr>
        <w:t>Finanční bublina v 90. letech zabránila Japonsku stát se první ekonomikou na světě a před 30 lety ho vrátila do rozvoje. Ani nyní, ve dvacátých letech 20. století, se země plně nevzpamatovala z dopadů největší krize ve své historii.</w:t>
      </w:r>
    </w:p>
    <w:p w14:paraId="5C51C361" w14:textId="094EEDC3" w:rsidR="00F473EC" w:rsidRPr="00A95C26" w:rsidRDefault="00F473EC" w:rsidP="00641F06">
      <w:pPr>
        <w:pStyle w:val="Normlnweb"/>
        <w:spacing w:before="0" w:after="0" w:line="360" w:lineRule="auto"/>
        <w:jc w:val="both"/>
        <w:textAlignment w:val="baseline"/>
        <w:rPr>
          <w:b/>
          <w:bCs/>
          <w:iCs/>
          <w:color w:val="131313"/>
        </w:rPr>
      </w:pPr>
      <w:r w:rsidRPr="00A95C26">
        <w:rPr>
          <w:iCs/>
          <w:color w:val="131313"/>
        </w:rPr>
        <w:t xml:space="preserve"> Japonská ekonomika v 80. letech rostla v průměru o 4 % ročně – dokonce překonala Spojené státy, kde byla míra tehdy 3 %. Země vycházejícího slunce byla předpovídána jako největší světová ekonomika: vyrobitelnost Japonců přitahovala investice odevšad. Stát byl na vrcholu</w:t>
      </w:r>
      <w:r w:rsidRPr="00A95C26">
        <w:rPr>
          <w:b/>
          <w:bCs/>
          <w:iCs/>
          <w:color w:val="131313"/>
        </w:rPr>
        <w:t>.</w:t>
      </w:r>
    </w:p>
    <w:p w14:paraId="70F42987"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t>Důležitý detail: rostoucí životní úroveň umožnila Japoncům hromadit velké množství úspor – například v 80. letech mohl průměrný obyvatel země ušetřit asi 30 % svých příjmů. Začala se vyvíjet „past likvidity“ – situace, kdy potenciální investoři nikam neinvestují: lidé mají peníze buď „pod polštářem“, nebo na dočasných bankovních účtech. Později tato situace prohloubila krizi.</w:t>
      </w:r>
    </w:p>
    <w:p w14:paraId="61EA16BA"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t>Spojené státy sehrály důležitou roli při nafukování japonské finanční bubliny. V 80. letech se americká ekonomika dostala do recese: poprvé se objevil dvojí deficit – v rozpočtu země a její platební bilanci. To znamenalo, že kromě nedostatku rozpočtových úspor a investic převyšoval americký dovoz vývoz. Američané se snažili najít východisko z této situace. A najít.</w:t>
      </w:r>
    </w:p>
    <w:p w14:paraId="090CE304" w14:textId="11955BFF" w:rsidR="00F473EC" w:rsidRPr="00A95C26" w:rsidRDefault="00F473EC" w:rsidP="00641F06">
      <w:pPr>
        <w:pStyle w:val="Normlnweb"/>
        <w:spacing w:before="0" w:after="0" w:line="360" w:lineRule="auto"/>
        <w:jc w:val="both"/>
        <w:textAlignment w:val="baseline"/>
        <w:rPr>
          <w:color w:val="131313"/>
        </w:rPr>
      </w:pPr>
      <w:r w:rsidRPr="00A95C26">
        <w:rPr>
          <w:rStyle w:val="Siln"/>
          <w:b w:val="0"/>
          <w:bCs w:val="0"/>
          <w:color w:val="131313"/>
          <w:bdr w:val="none" w:sz="0" w:space="0" w:color="auto" w:frame="1"/>
        </w:rPr>
        <w:t>V</w:t>
      </w:r>
      <w:r w:rsidR="006C2F3C" w:rsidRPr="00D325F4">
        <w:rPr>
          <w:rStyle w:val="Siln"/>
          <w:b w:val="0"/>
          <w:bCs w:val="0"/>
          <w:color w:val="131313"/>
          <w:bdr w:val="none" w:sz="0" w:space="0" w:color="auto" w:frame="1"/>
        </w:rPr>
        <w:t xml:space="preserve"> </w:t>
      </w:r>
      <w:r w:rsidRPr="00A95C26">
        <w:rPr>
          <w:rStyle w:val="Siln"/>
          <w:b w:val="0"/>
          <w:bCs w:val="0"/>
          <w:color w:val="131313"/>
          <w:bdr w:val="none" w:sz="0" w:space="0" w:color="auto" w:frame="1"/>
        </w:rPr>
        <w:t xml:space="preserve">roce 1985 Spojené státy svolaly země G5 (Velká Británie, Francie, Západní Německo, Japonsko a Amerika) na konferenci v hotelu v New Yorku </w:t>
      </w:r>
      <w:r w:rsidR="00DB178E" w:rsidRPr="00A95C26">
        <w:rPr>
          <w:color w:val="131313"/>
        </w:rPr>
        <w:t xml:space="preserve">Plaza. </w:t>
      </w:r>
      <w:r w:rsidR="00B55721" w:rsidRPr="00A95C26">
        <w:rPr>
          <w:rStyle w:val="Znakapoznpodarou"/>
          <w:color w:val="131313"/>
        </w:rPr>
        <w:footnoteReference w:id="37"/>
      </w:r>
    </w:p>
    <w:p w14:paraId="21CBCB09" w14:textId="77777777" w:rsidR="00F473EC" w:rsidRPr="00A95C26" w:rsidRDefault="00F473EC" w:rsidP="00641F06">
      <w:pPr>
        <w:pStyle w:val="Normlnweb"/>
        <w:spacing w:line="360" w:lineRule="auto"/>
        <w:jc w:val="both"/>
        <w:textAlignment w:val="baseline"/>
        <w:rPr>
          <w:color w:val="131313"/>
        </w:rPr>
      </w:pPr>
      <w:r w:rsidRPr="00A95C26">
        <w:rPr>
          <w:color w:val="131313"/>
        </w:rPr>
        <w:lastRenderedPageBreak/>
        <w:t xml:space="preserve">Státy tam podepsaly takzvanou Plaza </w:t>
      </w:r>
      <w:proofErr w:type="spellStart"/>
      <w:r w:rsidRPr="00A95C26">
        <w:rPr>
          <w:color w:val="131313"/>
        </w:rPr>
        <w:t>Accord</w:t>
      </w:r>
      <w:proofErr w:type="spellEnd"/>
      <w:r w:rsidRPr="00A95C26">
        <w:rPr>
          <w:color w:val="131313"/>
        </w:rPr>
        <w:t>, dohodu, na jejímž základě se vlády G5 zavázaly upravit směnné kurzy vůči dolaru. To mělo vést k znehodnocení americké měny – to, co tehdy Spojené státy požadovaly.</w:t>
      </w:r>
    </w:p>
    <w:p w14:paraId="2238DF9A" w14:textId="77777777" w:rsidR="00F473EC" w:rsidRPr="00A95C26" w:rsidRDefault="00F473EC" w:rsidP="00641F06">
      <w:pPr>
        <w:pStyle w:val="Normlnweb"/>
        <w:spacing w:line="360" w:lineRule="auto"/>
        <w:jc w:val="both"/>
        <w:textAlignment w:val="baseline"/>
        <w:rPr>
          <w:color w:val="131313"/>
        </w:rPr>
      </w:pPr>
      <w:r w:rsidRPr="00A95C26">
        <w:rPr>
          <w:color w:val="131313"/>
        </w:rPr>
        <w:t>Pro Spojené státy znamenala devalvace dolaru stimulaci exportu. Díky jeho růstu by Amerika dokázala vyřešit své finanční problémy. Tak se i stalo, ale pro Japonsko se to stalo základem pro vznik bubliny.</w:t>
      </w:r>
    </w:p>
    <w:p w14:paraId="7AE6EDC9" w14:textId="77777777" w:rsidR="00F473EC" w:rsidRPr="00A95C26" w:rsidRDefault="00F473EC" w:rsidP="00641F06">
      <w:pPr>
        <w:pStyle w:val="Normlnweb"/>
        <w:spacing w:line="360" w:lineRule="auto"/>
        <w:jc w:val="both"/>
        <w:textAlignment w:val="baseline"/>
        <w:rPr>
          <w:color w:val="131313"/>
        </w:rPr>
      </w:pPr>
      <w:r w:rsidRPr="00A95C26">
        <w:rPr>
          <w:color w:val="131313"/>
        </w:rPr>
        <w:t xml:space="preserve">Kvůli Plaza </w:t>
      </w:r>
      <w:proofErr w:type="spellStart"/>
      <w:r w:rsidRPr="00A95C26">
        <w:rPr>
          <w:color w:val="131313"/>
        </w:rPr>
        <w:t>Accord</w:t>
      </w:r>
      <w:proofErr w:type="spellEnd"/>
      <w:r w:rsidRPr="00A95C26">
        <w:rPr>
          <w:color w:val="131313"/>
        </w:rPr>
        <w:t xml:space="preserve"> zdražila japonská národní měna téměř 1,5krát. Jestliže dříve měl 1 dolar hodnotu 240 jenů, pak po roce 1985 to bylo již 150. Prudké posílení měny vedlo ke zpomalení hospodářského růstu v zemi – z 8 % na 2 % ročně.</w:t>
      </w:r>
    </w:p>
    <w:p w14:paraId="083D25DE" w14:textId="77777777" w:rsidR="00F473EC" w:rsidRPr="00A95C26" w:rsidRDefault="00F473EC" w:rsidP="00641F06">
      <w:pPr>
        <w:pStyle w:val="Normlnweb"/>
        <w:spacing w:line="360" w:lineRule="auto"/>
        <w:jc w:val="both"/>
        <w:textAlignment w:val="baseline"/>
        <w:rPr>
          <w:color w:val="131313"/>
        </w:rPr>
      </w:pPr>
      <w:r w:rsidRPr="00A95C26">
        <w:rPr>
          <w:color w:val="131313"/>
        </w:rPr>
        <w:t>Japonská vláda takový obrat událostí nečekala a rozhodla se ekonomiku stimulovat. Nyní víme, že to byla osudová chyba.</w:t>
      </w:r>
    </w:p>
    <w:p w14:paraId="2CE27437" w14:textId="77777777" w:rsidR="00F473EC" w:rsidRPr="00A95C26" w:rsidRDefault="00F473EC" w:rsidP="00641F06">
      <w:pPr>
        <w:pStyle w:val="Normlnweb"/>
        <w:spacing w:line="360" w:lineRule="auto"/>
        <w:jc w:val="both"/>
        <w:textAlignment w:val="baseline"/>
        <w:rPr>
          <w:color w:val="131313"/>
        </w:rPr>
      </w:pPr>
      <w:r w:rsidRPr="00A95C26">
        <w:rPr>
          <w:color w:val="131313"/>
        </w:rPr>
        <w:t>Úrokové sazby klesly na 0,5 % – půjčky se staly dostupnějšími. Banky začaly vydávat rizikové úvěry. Díky velkému množství volné hotovosti (vzpomeňte na past likvidity) a nárůstu bohatství díky posilování jenu začali Japonci masivně investovat do nemovitostí a akcií. Jejich ceny raketově vzrostly.</w:t>
      </w:r>
    </w:p>
    <w:p w14:paraId="06912F29" w14:textId="77777777" w:rsidR="00F473EC" w:rsidRPr="00A95C26" w:rsidRDefault="00F473EC" w:rsidP="00641F06">
      <w:pPr>
        <w:pStyle w:val="Normlnweb"/>
        <w:spacing w:line="360" w:lineRule="auto"/>
        <w:jc w:val="both"/>
        <w:textAlignment w:val="baseline"/>
        <w:rPr>
          <w:color w:val="131313"/>
        </w:rPr>
      </w:pPr>
      <w:r w:rsidRPr="00A95C26">
        <w:rPr>
          <w:color w:val="131313"/>
        </w:rPr>
        <w:t>Na realitním trhu a burze se objevili spekulanti. Kvůli nim se od roku 1985 do roku 1989 cena akcií a pozemků v japonských městech zvýšila 3x. Na vrcholu finanční bubliny v roce 1989 měl císařský palác v Tokiu větší cenu než všechny nemovitosti v Kalifornii. A celková hodnota půdy v zemi byla 5,5násobek jejího HDP.</w:t>
      </w:r>
    </w:p>
    <w:p w14:paraId="0ACAEED2" w14:textId="77777777" w:rsidR="00F473EC" w:rsidRPr="00A95C26" w:rsidRDefault="00F473EC" w:rsidP="00641F06">
      <w:pPr>
        <w:pStyle w:val="Normlnweb"/>
        <w:spacing w:line="360" w:lineRule="auto"/>
        <w:jc w:val="both"/>
        <w:textAlignment w:val="baseline"/>
        <w:rPr>
          <w:color w:val="131313"/>
        </w:rPr>
      </w:pPr>
      <w:r w:rsidRPr="00A95C26">
        <w:rPr>
          <w:color w:val="131313"/>
        </w:rPr>
        <w:t xml:space="preserve">U akcií začaly jejich ceny stoupat izolovaně od reálné ziskovosti firem. Japonský akciový index </w:t>
      </w:r>
      <w:proofErr w:type="spellStart"/>
      <w:r w:rsidRPr="00A95C26">
        <w:rPr>
          <w:color w:val="131313"/>
        </w:rPr>
        <w:t>Nikkei</w:t>
      </w:r>
      <w:proofErr w:type="spellEnd"/>
      <w:r w:rsidRPr="00A95C26">
        <w:rPr>
          <w:color w:val="131313"/>
        </w:rPr>
        <w:t xml:space="preserve"> tak vzrostl 3,2krát za pouhých 5 let.</w:t>
      </w:r>
    </w:p>
    <w:p w14:paraId="1F0975C9" w14:textId="77777777" w:rsidR="00F473EC" w:rsidRPr="00A95C26" w:rsidRDefault="00F473EC" w:rsidP="00641F06">
      <w:pPr>
        <w:pStyle w:val="Normlnweb"/>
        <w:spacing w:line="360" w:lineRule="auto"/>
        <w:jc w:val="both"/>
        <w:textAlignment w:val="baseline"/>
        <w:rPr>
          <w:color w:val="131313"/>
        </w:rPr>
      </w:pPr>
      <w:r w:rsidRPr="00A95C26">
        <w:rPr>
          <w:color w:val="131313"/>
        </w:rPr>
        <w:t>Bezuzdný růst pokračoval až do roku 1989, kdy se Ministerstvo financí rozhodlo vzhledem k situaci na trhu zvýšit úrokovou sazbu. Bublina praskla.</w:t>
      </w:r>
    </w:p>
    <w:p w14:paraId="77EC436B" w14:textId="2C8D43C6"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t>Ceny akcií klesly o 60 %, akciový trh se zhroutil a táhl s sebou i bankovní sektor. Ukázalo se, že po celá ta léta se v zemi vytvořil obrovský nezajištěný bankovní úvěr. Dlužníci odmítli platit své závazky.</w:t>
      </w:r>
    </w:p>
    <w:p w14:paraId="3DE3506A"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color w:val="131313"/>
          <w:bdr w:val="none" w:sz="0" w:space="0" w:color="auto" w:frame="1"/>
        </w:rPr>
        <w:t>Výsledek</w:t>
      </w:r>
      <w:r w:rsidRPr="00A95C26">
        <w:rPr>
          <w:rStyle w:val="Siln"/>
          <w:b w:val="0"/>
          <w:bCs w:val="0"/>
          <w:color w:val="131313"/>
          <w:bdr w:val="none" w:sz="0" w:space="0" w:color="auto" w:frame="1"/>
        </w:rPr>
        <w:t>: prasknutí finanční bubliny znamenalo začátek nové éry v dějinách Japonska – „ztracené desetiletí“. Od 90. let až do krize v roce 2008 Japonci „platili“ za chyby minulosti.</w:t>
      </w:r>
    </w:p>
    <w:p w14:paraId="5490C5C1"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lastRenderedPageBreak/>
        <w:t>Akciový trh ztratil 60 % své hodnoty, což vedlo ke ztrátě 2,6 bilionu dolarů. Pozemky a nemovitosti zlevnily o 70 % – škody dosáhly 5,6 bilionu dolarů. Začal masový bankrot průmyslových podniků, základů japonské ekonomiky.</w:t>
      </w:r>
    </w:p>
    <w:p w14:paraId="50FF4F62"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t>Jen v roce 1993 zkrachovalo 1000 firem. V důsledku toho vzrostla nezaměstnanost na 3 %, což je v Japonsku vzácný jev. A investoři přišli o 370 bilionů jenů – to je přibližná výše HDP země. Investice do výroby klesly z 25,8 % na 14,6 %.</w:t>
      </w:r>
    </w:p>
    <w:p w14:paraId="6D954D5F" w14:textId="77777777" w:rsidR="00F473EC" w:rsidRPr="00A95C26" w:rsidRDefault="00F473EC" w:rsidP="00641F06">
      <w:pPr>
        <w:pStyle w:val="Normlnweb"/>
        <w:spacing w:line="360" w:lineRule="auto"/>
        <w:jc w:val="both"/>
        <w:textAlignment w:val="baseline"/>
        <w:rPr>
          <w:rStyle w:val="Siln"/>
          <w:b w:val="0"/>
          <w:bCs w:val="0"/>
          <w:color w:val="131313"/>
          <w:bdr w:val="none" w:sz="0" w:space="0" w:color="auto" w:frame="1"/>
        </w:rPr>
      </w:pPr>
      <w:r w:rsidRPr="00A95C26">
        <w:rPr>
          <w:rStyle w:val="Siln"/>
          <w:b w:val="0"/>
          <w:bCs w:val="0"/>
          <w:color w:val="131313"/>
          <w:bdr w:val="none" w:sz="0" w:space="0" w:color="auto" w:frame="1"/>
        </w:rPr>
        <w:t>Situace ve finančním sektoru byla podobná té poválečné: banky byly natolik oslabeny, že je ministerstvo financí muselo sloučit. Takže tam byly 4 největší japonské banky.</w:t>
      </w:r>
    </w:p>
    <w:p w14:paraId="70331012" w14:textId="13C62F7F" w:rsidR="00F473EC" w:rsidRPr="00A95C26" w:rsidRDefault="00F473EC" w:rsidP="00641F06">
      <w:pPr>
        <w:pStyle w:val="Normlnweb"/>
        <w:spacing w:line="360" w:lineRule="auto"/>
        <w:jc w:val="both"/>
        <w:textAlignment w:val="baseline"/>
        <w:rPr>
          <w:b/>
          <w:bCs/>
          <w:color w:val="131313"/>
        </w:rPr>
      </w:pPr>
      <w:r w:rsidRPr="00A95C26">
        <w:rPr>
          <w:rStyle w:val="Siln"/>
          <w:b w:val="0"/>
          <w:bCs w:val="0"/>
          <w:color w:val="131313"/>
          <w:bdr w:val="none" w:sz="0" w:space="0" w:color="auto" w:frame="1"/>
        </w:rPr>
        <w:t>Japonsko kvůli rozsáhlé finanční a ekonomické krizi ztratilo konkurenci se Spojenými státy z hlediska vyrobitelnosti – zatímco Japonci zachraňovali národní hospodářství, Američané se stali lídry ve vývoji technologií.</w:t>
      </w:r>
    </w:p>
    <w:p w14:paraId="0009A4B3" w14:textId="77777777" w:rsidR="00F473EC" w:rsidRPr="00A95C26" w:rsidRDefault="00F473EC" w:rsidP="00641F06">
      <w:pPr>
        <w:pStyle w:val="Normlnweb"/>
        <w:spacing w:after="360" w:line="360" w:lineRule="auto"/>
        <w:jc w:val="both"/>
        <w:rPr>
          <w:b/>
          <w:bCs/>
          <w:iCs/>
          <w:color w:val="000000" w:themeColor="text1"/>
        </w:rPr>
      </w:pPr>
      <w:r w:rsidRPr="00A95C26">
        <w:rPr>
          <w:b/>
          <w:bCs/>
          <w:iCs/>
          <w:color w:val="000000" w:themeColor="text1"/>
        </w:rPr>
        <w:t xml:space="preserve">Kolaps společnosti </w:t>
      </w:r>
      <w:proofErr w:type="spellStart"/>
      <w:r w:rsidRPr="00A95C26">
        <w:rPr>
          <w:b/>
          <w:bCs/>
          <w:iCs/>
          <w:color w:val="000000" w:themeColor="text1"/>
        </w:rPr>
        <w:t>South</w:t>
      </w:r>
      <w:proofErr w:type="spellEnd"/>
      <w:r w:rsidRPr="00A95C26">
        <w:rPr>
          <w:b/>
          <w:bCs/>
          <w:iCs/>
          <w:color w:val="000000" w:themeColor="text1"/>
        </w:rPr>
        <w:t xml:space="preserve"> </w:t>
      </w:r>
      <w:proofErr w:type="spellStart"/>
      <w:r w:rsidRPr="00A95C26">
        <w:rPr>
          <w:b/>
          <w:bCs/>
          <w:iCs/>
          <w:color w:val="000000" w:themeColor="text1"/>
        </w:rPr>
        <w:t>Sea</w:t>
      </w:r>
      <w:proofErr w:type="spellEnd"/>
      <w:r w:rsidRPr="00A95C26">
        <w:rPr>
          <w:b/>
          <w:bCs/>
          <w:iCs/>
          <w:color w:val="000000" w:themeColor="text1"/>
        </w:rPr>
        <w:t xml:space="preserve"> </w:t>
      </w:r>
      <w:proofErr w:type="spellStart"/>
      <w:r w:rsidRPr="00A95C26">
        <w:rPr>
          <w:b/>
          <w:bCs/>
          <w:iCs/>
          <w:color w:val="000000" w:themeColor="text1"/>
        </w:rPr>
        <w:t>Company</w:t>
      </w:r>
      <w:proofErr w:type="spellEnd"/>
    </w:p>
    <w:p w14:paraId="0D0007ED"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Na vytvoření bubliny se podílela mezinárodní britská obchodní společnost, která získala výhradní právo obchodovat se španělskými koloniemi v Západní Indii a Jižní Americe jako součást dohody s britskou vládou po válce o španělské dědictví.</w:t>
      </w:r>
    </w:p>
    <w:p w14:paraId="553CB89C"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Společnost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byla organizována v roce 1711 Johnem </w:t>
      </w:r>
      <w:proofErr w:type="spellStart"/>
      <w:r w:rsidRPr="00A95C26">
        <w:rPr>
          <w:iCs/>
          <w:color w:val="000000" w:themeColor="text1"/>
        </w:rPr>
        <w:t>Bluntem</w:t>
      </w:r>
      <w:proofErr w:type="spellEnd"/>
      <w:r w:rsidRPr="00A95C26">
        <w:rPr>
          <w:iCs/>
          <w:color w:val="000000" w:themeColor="text1"/>
        </w:rPr>
        <w:t xml:space="preserve"> a Robertem </w:t>
      </w:r>
      <w:proofErr w:type="spellStart"/>
      <w:r w:rsidRPr="00A95C26">
        <w:rPr>
          <w:iCs/>
          <w:color w:val="000000" w:themeColor="text1"/>
        </w:rPr>
        <w:t>Harleyem</w:t>
      </w:r>
      <w:proofErr w:type="spellEnd"/>
      <w:r w:rsidRPr="00A95C26">
        <w:rPr>
          <w:iCs/>
          <w:color w:val="000000" w:themeColor="text1"/>
        </w:rPr>
        <w:t xml:space="preserve">. V této době byla Anglie zapojena do války o španělské dědictví a vláda hledala finanční prostředky na probíhající válečné úsilí. Společnost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souhlasila, že výměnou za pokrytí vládního veřejného dluhu jí budou udělena exkluzivní práva na obchod se španělskými koloniemi.</w:t>
      </w:r>
    </w:p>
    <w:p w14:paraId="158311EF"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Ukázalo se, že to byl scénář oboustranně výhodný pro britskou vládu i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Britská vláda získala potřebné finanční prostředky na válečné úsilí a společnost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byla schopna získat nevýslovné bohatství ze svého obchodního monopolu.</w:t>
      </w:r>
    </w:p>
    <w:p w14:paraId="6053B63E"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Společnost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také začínala prodávat své akcie </w:t>
      </w:r>
      <w:proofErr w:type="gramStart"/>
      <w:r w:rsidRPr="00A95C26">
        <w:rPr>
          <w:iCs/>
          <w:color w:val="000000" w:themeColor="text1"/>
        </w:rPr>
        <w:t>veřejnosti</w:t>
      </w:r>
      <w:proofErr w:type="gramEnd"/>
      <w:r w:rsidRPr="00A95C26">
        <w:rPr>
          <w:iCs/>
          <w:color w:val="000000" w:themeColor="text1"/>
        </w:rPr>
        <w:t xml:space="preserve"> a kromě velmi lukrativních zisků z obchodování získali investoři také 6% návratnost své investice.</w:t>
      </w:r>
    </w:p>
    <w:p w14:paraId="0683601D"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Ve snaze vzbudit zájem investorů a přilákat další investory začala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aktivně inzerovat hojnost zlata, stříbra a dalších kovů, které měly přijít do země. Navíc jeden z ředitelů společnosti John </w:t>
      </w:r>
      <w:proofErr w:type="spellStart"/>
      <w:r w:rsidRPr="00A95C26">
        <w:rPr>
          <w:iCs/>
          <w:color w:val="000000" w:themeColor="text1"/>
        </w:rPr>
        <w:t>Blunt</w:t>
      </w:r>
      <w:proofErr w:type="spellEnd"/>
      <w:r w:rsidRPr="00A95C26">
        <w:rPr>
          <w:iCs/>
          <w:color w:val="000000" w:themeColor="text1"/>
        </w:rPr>
        <w:t xml:space="preserve"> dokonce navrhl riskantní program, který zahrnoval poskytnutí půjčky </w:t>
      </w:r>
      <w:r w:rsidRPr="00A95C26">
        <w:rPr>
          <w:iCs/>
          <w:color w:val="000000" w:themeColor="text1"/>
        </w:rPr>
        <w:lastRenderedPageBreak/>
        <w:t xml:space="preserve">potenciálním investorům na nákup akcií společnosti. V důsledku toho investoři začali houfně nakupovat akcie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w:t>
      </w:r>
    </w:p>
    <w:p w14:paraId="790AE81D" w14:textId="245306C8"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Celou zemí se prohnalo </w:t>
      </w:r>
      <w:r w:rsidR="002714BA" w:rsidRPr="00A95C26">
        <w:rPr>
          <w:iCs/>
          <w:color w:val="000000" w:themeColor="text1"/>
        </w:rPr>
        <w:t>šílenství – všichni</w:t>
      </w:r>
      <w:r w:rsidRPr="00A95C26">
        <w:rPr>
          <w:iCs/>
          <w:color w:val="000000" w:themeColor="text1"/>
        </w:rPr>
        <w:t xml:space="preserve"> si koupili akcie, jejichž cena na začátku srpna dosáhla v létě 1720 1000 liber. Společnost ale nestála za tak vysokými částkami a příjmy a image, kterou si sama vytvořila.</w:t>
      </w:r>
    </w:p>
    <w:p w14:paraId="3277877D" w14:textId="77777777" w:rsidR="00F473EC" w:rsidRPr="00A95C26" w:rsidRDefault="00F473EC" w:rsidP="00641F06">
      <w:pPr>
        <w:pStyle w:val="Normlnweb"/>
        <w:spacing w:after="360" w:line="360" w:lineRule="auto"/>
        <w:jc w:val="both"/>
        <w:rPr>
          <w:iCs/>
          <w:color w:val="000000" w:themeColor="text1"/>
        </w:rPr>
      </w:pPr>
      <w:r w:rsidRPr="00A95C26">
        <w:rPr>
          <w:iCs/>
          <w:color w:val="000000" w:themeColor="text1"/>
        </w:rPr>
        <w:t>A nakonec, protože mnoho slibů nebylo dodrženo, ceny začaly klesat. V mnoha ohledech byly tyto prodeje řízeny investory, kteří si půjčovali peníze na nákup akcií společnosti a již nebyli schopni provádět měsíční platby. Byli nuceni prodat své akcie, aby dostáli svým závazkům.</w:t>
      </w:r>
    </w:p>
    <w:p w14:paraId="3AC4A4DB" w14:textId="4580889E" w:rsidR="00F473EC" w:rsidRPr="00A95C26" w:rsidRDefault="00F473EC" w:rsidP="00641F06">
      <w:pPr>
        <w:pStyle w:val="Normlnweb"/>
        <w:spacing w:after="360" w:line="360" w:lineRule="auto"/>
        <w:jc w:val="both"/>
        <w:rPr>
          <w:iCs/>
          <w:color w:val="000000" w:themeColor="text1"/>
        </w:rPr>
      </w:pPr>
      <w:r w:rsidRPr="00A95C26">
        <w:rPr>
          <w:iCs/>
          <w:color w:val="000000" w:themeColor="text1"/>
        </w:rPr>
        <w:t xml:space="preserve">Během několika měsíců klesla cena akcií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o více než 85 %. Mnoho lidí přišlo během tohoto krachu o své úspory a tisíce investorů byly zničeny. Jedním z významných investorů v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nebyl nikdo jiný než Sir Isaac Newton, který ztratil přes 20 000 liber.</w:t>
      </w:r>
    </w:p>
    <w:p w14:paraId="11DB6035" w14:textId="50B51478" w:rsidR="00A21EC7" w:rsidRPr="00AD48EF" w:rsidRDefault="00F473EC" w:rsidP="00641F06">
      <w:pPr>
        <w:pStyle w:val="Normlnweb"/>
        <w:spacing w:before="0" w:beforeAutospacing="0" w:after="360" w:afterAutospacing="0" w:line="360" w:lineRule="auto"/>
        <w:jc w:val="both"/>
        <w:rPr>
          <w:iCs/>
          <w:color w:val="000000" w:themeColor="text1"/>
        </w:rPr>
      </w:pPr>
      <w:r w:rsidRPr="00A95C26">
        <w:rPr>
          <w:iCs/>
          <w:color w:val="000000" w:themeColor="text1"/>
        </w:rPr>
        <w:t xml:space="preserve">V roce 1721 se konalo parlamentní vyšetřování, které odhalilo případy podvodů mezi řediteli společnosti. Část obviněných uprchla do zahraničí. Bylo zjištěno, že mnoho členů parlamentu vzalo úplatky za své hlasy při přijímání zákona, který dal </w:t>
      </w:r>
      <w:proofErr w:type="spellStart"/>
      <w:r w:rsidRPr="00A95C26">
        <w:rPr>
          <w:iCs/>
          <w:color w:val="000000" w:themeColor="text1"/>
        </w:rPr>
        <w:t>South</w:t>
      </w:r>
      <w:proofErr w:type="spellEnd"/>
      <w:r w:rsidRPr="00A95C26">
        <w:rPr>
          <w:iCs/>
          <w:color w:val="000000" w:themeColor="text1"/>
        </w:rPr>
        <w:t xml:space="preserve"> </w:t>
      </w:r>
      <w:proofErr w:type="spellStart"/>
      <w:r w:rsidRPr="00A95C26">
        <w:rPr>
          <w:iCs/>
          <w:color w:val="000000" w:themeColor="text1"/>
        </w:rPr>
        <w:t>Sea</w:t>
      </w:r>
      <w:proofErr w:type="spellEnd"/>
      <w:r w:rsidRPr="00A95C26">
        <w:rPr>
          <w:iCs/>
          <w:color w:val="000000" w:themeColor="text1"/>
        </w:rPr>
        <w:t xml:space="preserve"> </w:t>
      </w:r>
      <w:proofErr w:type="spellStart"/>
      <w:r w:rsidRPr="00A95C26">
        <w:rPr>
          <w:iCs/>
          <w:color w:val="000000" w:themeColor="text1"/>
        </w:rPr>
        <w:t>Company</w:t>
      </w:r>
      <w:proofErr w:type="spellEnd"/>
      <w:r w:rsidRPr="00A95C26">
        <w:rPr>
          <w:iCs/>
          <w:color w:val="000000" w:themeColor="text1"/>
        </w:rPr>
        <w:t xml:space="preserve"> takové pravomoci. V důsledku toho byli předsedové představenstva společnosti a také někteří zaměstnanci státní pokladny odsouzeni k vězení. </w:t>
      </w:r>
    </w:p>
    <w:p w14:paraId="1CFB2DA2" w14:textId="55B16779" w:rsidR="00F473EC" w:rsidRPr="00A95C26" w:rsidRDefault="00F473EC" w:rsidP="00641F06">
      <w:pPr>
        <w:jc w:val="both"/>
        <w:rPr>
          <w:b/>
          <w:bCs/>
          <w:iCs/>
          <w:color w:val="000000" w:themeColor="text1"/>
        </w:rPr>
      </w:pPr>
      <w:r w:rsidRPr="00A95C26">
        <w:rPr>
          <w:b/>
          <w:bCs/>
          <w:iCs/>
          <w:color w:val="000000" w:themeColor="text1"/>
        </w:rPr>
        <w:t>Krach akciového trhu v roce 1929</w:t>
      </w:r>
    </w:p>
    <w:p w14:paraId="1806465E" w14:textId="77777777" w:rsidR="00F473EC" w:rsidRPr="00A95C26" w:rsidRDefault="00F473EC" w:rsidP="00641F06">
      <w:pPr>
        <w:jc w:val="both"/>
        <w:rPr>
          <w:b/>
          <w:bCs/>
          <w:iCs/>
          <w:color w:val="000000" w:themeColor="text1"/>
        </w:rPr>
      </w:pPr>
    </w:p>
    <w:p w14:paraId="6B126CCD" w14:textId="77777777" w:rsidR="00F473EC" w:rsidRPr="00A95C26" w:rsidRDefault="00F473EC" w:rsidP="00641F06">
      <w:pPr>
        <w:spacing w:line="360" w:lineRule="auto"/>
        <w:jc w:val="both"/>
        <w:rPr>
          <w:iCs/>
          <w:color w:val="000000" w:themeColor="text1"/>
        </w:rPr>
      </w:pPr>
      <w:r w:rsidRPr="00A95C26">
        <w:rPr>
          <w:iCs/>
          <w:color w:val="000000" w:themeColor="text1"/>
        </w:rPr>
        <w:t>Krach akciového trhu v roce 1929 byl největším procentním poklesem na akciovém trhu a za čtyři roky propadl téměř 90 % indexu Dow Jones.</w:t>
      </w:r>
    </w:p>
    <w:p w14:paraId="3CE4E338" w14:textId="77777777" w:rsidR="00F473EC" w:rsidRPr="00A95C26" w:rsidRDefault="00F473EC" w:rsidP="00641F06">
      <w:pPr>
        <w:spacing w:line="360" w:lineRule="auto"/>
        <w:jc w:val="both"/>
        <w:rPr>
          <w:iCs/>
          <w:color w:val="000000" w:themeColor="text1"/>
        </w:rPr>
      </w:pPr>
      <w:r w:rsidRPr="00A95C26">
        <w:rPr>
          <w:iCs/>
          <w:color w:val="000000" w:themeColor="text1"/>
        </w:rPr>
        <w:t>Pokles akciového trhu začal 24. října 1929, který bývá označován jako černý čtvrtek. Dow Jones otevřel na 305,85 a od otevření prudce klesl. Během dne na extrémně vysokých objemech ztratil 11 procent. Velké banky na Wall Street zasáhly, aby se pokusily podpořit trh nákupem akcií, aby stabilizovaly ceny. Tato strategie zpočátku fungovala, protože index ztratil první den pouze 2 %. Následující den Dow Jones vykázal pozitivní růst, ale nakonec uzavřel na stejné úrovni.</w:t>
      </w:r>
    </w:p>
    <w:p w14:paraId="33EDA0CE" w14:textId="77777777" w:rsidR="00F473EC" w:rsidRPr="00A95C26" w:rsidRDefault="00F473EC" w:rsidP="00641F06">
      <w:pPr>
        <w:spacing w:line="360" w:lineRule="auto"/>
        <w:jc w:val="both"/>
        <w:rPr>
          <w:iCs/>
          <w:color w:val="000000" w:themeColor="text1"/>
        </w:rPr>
      </w:pPr>
      <w:r w:rsidRPr="00A95C26">
        <w:rPr>
          <w:iCs/>
          <w:color w:val="000000" w:themeColor="text1"/>
        </w:rPr>
        <w:t>Následující obchodní den, černé pondělí, Dow klesl o 13 % na 260,64. A na černé úterý index pokračoval v poklesu a klesl o dalších 12 % na 230,07. Pád na akciovém trhu během těchto dvou dnů zničil 25 % hodnoty celého trhu. Když investoři začali panikařit, následoval další prodej a následoval medvědí trh, který nakonec vedl k Velké hospodářské krizi.</w:t>
      </w:r>
    </w:p>
    <w:p w14:paraId="13E38215" w14:textId="3E3EC0EC" w:rsidR="00541AF2" w:rsidRPr="00A95C26" w:rsidRDefault="00F473EC" w:rsidP="00641F06">
      <w:pPr>
        <w:spacing w:line="360" w:lineRule="auto"/>
        <w:jc w:val="both"/>
        <w:rPr>
          <w:color w:val="000000" w:themeColor="text1"/>
        </w:rPr>
      </w:pPr>
      <w:r w:rsidRPr="00A95C26">
        <w:rPr>
          <w:iCs/>
          <w:color w:val="000000" w:themeColor="text1"/>
        </w:rPr>
        <w:lastRenderedPageBreak/>
        <w:t xml:space="preserve">Až do krachu akciového trhu v roce 1929 byla ekonomika v plném proudu a prosperovala. A s příchodem konceptu zvaného „obchodování s marží“ se mnoho lidí, kteří nikdy předtím neinvestovali na akciovém trhu, stalo aktivními účastníky </w:t>
      </w:r>
      <w:proofErr w:type="spellStart"/>
      <w:r w:rsidRPr="00A95C26">
        <w:rPr>
          <w:iCs/>
          <w:color w:val="000000" w:themeColor="text1"/>
        </w:rPr>
        <w:t>marginu</w:t>
      </w:r>
      <w:proofErr w:type="spellEnd"/>
      <w:r w:rsidRPr="00A95C26">
        <w:rPr>
          <w:iCs/>
          <w:color w:val="000000" w:themeColor="text1"/>
        </w:rPr>
        <w:t>. Všechno toto šílenství vedlo k tomu, že ceny akcií šly nahoru, protože na trh vstupovalo stále více investorů.</w:t>
      </w:r>
    </w:p>
    <w:p w14:paraId="09248196" w14:textId="2D7B5DE2" w:rsidR="00541AF2" w:rsidRPr="00A95C26" w:rsidRDefault="009B16B7" w:rsidP="00641F06">
      <w:pPr>
        <w:pStyle w:val="Nadpis2"/>
        <w:jc w:val="both"/>
        <w:rPr>
          <w:lang w:val="cs-CZ"/>
        </w:rPr>
      </w:pPr>
      <w:bookmarkStart w:id="51" w:name="_Toc99636462"/>
      <w:r w:rsidRPr="00A95C26">
        <w:rPr>
          <w:lang w:val="cs-CZ"/>
        </w:rPr>
        <w:t xml:space="preserve"> </w:t>
      </w:r>
      <w:bookmarkStart w:id="52" w:name="_Toc99657951"/>
      <w:bookmarkStart w:id="53" w:name="_Toc99659311"/>
      <w:r w:rsidRPr="00A95C26">
        <w:rPr>
          <w:lang w:val="cs-CZ"/>
        </w:rPr>
        <w:t xml:space="preserve">3.9 </w:t>
      </w:r>
      <w:r w:rsidR="00541AF2" w:rsidRPr="00A95C26">
        <w:rPr>
          <w:lang w:val="cs-CZ"/>
        </w:rPr>
        <w:t>Mraven</w:t>
      </w:r>
      <w:r w:rsidR="00FD66EC" w:rsidRPr="00A95C26">
        <w:rPr>
          <w:lang w:val="cs-CZ"/>
        </w:rPr>
        <w:t xml:space="preserve">čí </w:t>
      </w:r>
      <w:r w:rsidR="00541AF2" w:rsidRPr="00A95C26">
        <w:rPr>
          <w:lang w:val="cs-CZ"/>
        </w:rPr>
        <w:t>model</w:t>
      </w:r>
      <w:bookmarkEnd w:id="51"/>
      <w:bookmarkEnd w:id="52"/>
      <w:bookmarkEnd w:id="53"/>
    </w:p>
    <w:p w14:paraId="31271EF9" w14:textId="2037E0F4" w:rsidR="00F473EC" w:rsidRPr="00A95C26" w:rsidRDefault="00F473EC" w:rsidP="00641F06">
      <w:pPr>
        <w:pStyle w:val="Normlnweb"/>
        <w:spacing w:line="360" w:lineRule="auto"/>
        <w:jc w:val="both"/>
      </w:pPr>
      <w:r w:rsidRPr="00A95C26">
        <w:t xml:space="preserve">V roce 1969 Paul </w:t>
      </w:r>
      <w:proofErr w:type="spellStart"/>
      <w:r w:rsidRPr="00A95C26">
        <w:t>Ormerod</w:t>
      </w:r>
      <w:proofErr w:type="spellEnd"/>
      <w:r w:rsidRPr="00A95C26">
        <w:t xml:space="preserve">, autor knihy </w:t>
      </w:r>
      <w:proofErr w:type="spellStart"/>
      <w:r w:rsidRPr="00A95C26">
        <w:t>Butterfly</w:t>
      </w:r>
      <w:proofErr w:type="spellEnd"/>
      <w:r w:rsidRPr="00A95C26">
        <w:t xml:space="preserve"> </w:t>
      </w:r>
      <w:proofErr w:type="spellStart"/>
      <w:r w:rsidRPr="00A95C26">
        <w:t>Economics</w:t>
      </w:r>
      <w:proofErr w:type="spellEnd"/>
      <w:r w:rsidRPr="00A95C26">
        <w:t>, “Nová obecná teorie sociálního a ekonomického chování”</w:t>
      </w:r>
      <w:r w:rsidR="002714BA" w:rsidRPr="00A95C26">
        <w:t xml:space="preserve"> </w:t>
      </w:r>
      <w:r w:rsidRPr="00A95C26">
        <w:t>hovoří o kolonii ve své knize mravenci, kteří byli uprostřed dvou stejných zdrojů potravy a mravenci v potravních zdrojích, měli stejné podmínky, takže nebyl důvod preferovat jeden konkrétní. Výsledek pokusu ukázal, že většina mravenců sledovala příbuzného, ​​který se právě krmil z určitého krmítka, protože šířil chemický sekret potravy z tohoto krmítka.</w:t>
      </w:r>
    </w:p>
    <w:p w14:paraId="53AC20C9" w14:textId="7903E6A6" w:rsidR="00F473EC" w:rsidRPr="00A95C26" w:rsidRDefault="00F473EC" w:rsidP="00641F06">
      <w:pPr>
        <w:pStyle w:val="Normlnweb"/>
        <w:spacing w:line="360" w:lineRule="auto"/>
        <w:jc w:val="both"/>
      </w:pPr>
      <w:r w:rsidRPr="00A95C26">
        <w:t>Bylo tedy zjištěno, že podobná věc se děje na finančních trzích, když si investoři všimnou zisků a dozvědí se o tom od někoho samotného, ​​kdo již kráčel po vyšlapané cestě a podlehl psychologii davu, který sleduje všechny ve stejném podavači podél vyšlapaných cest. cesta.</w:t>
      </w:r>
      <w:r w:rsidRPr="00A95C26">
        <w:rPr>
          <w:rStyle w:val="Znakapoznpodarou"/>
        </w:rPr>
        <w:footnoteReference w:id="38"/>
      </w:r>
    </w:p>
    <w:p w14:paraId="2F7A67B5" w14:textId="05E95397" w:rsidR="001B60BF" w:rsidRPr="00A95C26" w:rsidRDefault="001B60BF" w:rsidP="00641F06">
      <w:pPr>
        <w:pStyle w:val="Odstavecseseznamem"/>
        <w:spacing w:before="100" w:beforeAutospacing="1" w:line="360" w:lineRule="auto"/>
        <w:jc w:val="both"/>
      </w:pPr>
    </w:p>
    <w:p w14:paraId="63386A3F" w14:textId="77777777" w:rsidR="001B60BF" w:rsidRPr="00A95C26" w:rsidRDefault="001B60BF" w:rsidP="00641F06">
      <w:pPr>
        <w:pStyle w:val="Odstavecseseznamem"/>
        <w:spacing w:before="100" w:beforeAutospacing="1" w:line="360" w:lineRule="auto"/>
        <w:jc w:val="both"/>
      </w:pPr>
    </w:p>
    <w:p w14:paraId="23357B9E" w14:textId="55D413D8" w:rsidR="001B60BF" w:rsidRPr="00A95C26" w:rsidRDefault="001B60BF" w:rsidP="00641F06">
      <w:pPr>
        <w:pStyle w:val="Odstavecseseznamem"/>
        <w:spacing w:before="100" w:beforeAutospacing="1" w:line="360" w:lineRule="auto"/>
        <w:jc w:val="both"/>
      </w:pPr>
    </w:p>
    <w:p w14:paraId="742525B8" w14:textId="77777777" w:rsidR="001B60BF" w:rsidRPr="00A95C26" w:rsidRDefault="001B60BF" w:rsidP="00641F06">
      <w:pPr>
        <w:pStyle w:val="Odstavecseseznamem"/>
        <w:spacing w:before="100" w:beforeAutospacing="1" w:line="360" w:lineRule="auto"/>
        <w:jc w:val="both"/>
      </w:pPr>
    </w:p>
    <w:p w14:paraId="69A31D1A" w14:textId="77777777" w:rsidR="00AA79F1" w:rsidRPr="00A95C26" w:rsidRDefault="00AA79F1" w:rsidP="00641F06">
      <w:pPr>
        <w:spacing w:line="360" w:lineRule="auto"/>
        <w:ind w:firstLine="567"/>
        <w:jc w:val="both"/>
      </w:pPr>
    </w:p>
    <w:p w14:paraId="31A068F4" w14:textId="77777777" w:rsidR="00AA79F1" w:rsidRPr="00A95C26" w:rsidRDefault="00AA79F1" w:rsidP="00641F06">
      <w:pPr>
        <w:spacing w:line="360" w:lineRule="auto"/>
        <w:ind w:firstLine="567"/>
        <w:jc w:val="both"/>
      </w:pPr>
    </w:p>
    <w:p w14:paraId="34E1F82C" w14:textId="190C49AE" w:rsidR="00FB6811" w:rsidRPr="00A95C26" w:rsidRDefault="00204836" w:rsidP="002B025E">
      <w:pPr>
        <w:pStyle w:val="Nadpis1"/>
      </w:pPr>
      <w:r w:rsidRPr="00A95C26">
        <w:br w:type="page"/>
      </w:r>
      <w:bookmarkStart w:id="54" w:name="_Toc99636463"/>
      <w:bookmarkStart w:id="55" w:name="_Toc99657952"/>
      <w:bookmarkStart w:id="56" w:name="_Toc99659312"/>
      <w:r w:rsidR="00A21EC7" w:rsidRPr="00A95C26">
        <w:lastRenderedPageBreak/>
        <w:t xml:space="preserve">4 </w:t>
      </w:r>
      <w:r w:rsidR="00BA6CEE" w:rsidRPr="00A95C26">
        <w:t xml:space="preserve">Analytická </w:t>
      </w:r>
      <w:r w:rsidR="00532038" w:rsidRPr="00A95C26">
        <w:t>část</w:t>
      </w:r>
      <w:bookmarkEnd w:id="54"/>
      <w:bookmarkEnd w:id="55"/>
      <w:bookmarkEnd w:id="56"/>
    </w:p>
    <w:p w14:paraId="51413ACE" w14:textId="7E163BD0" w:rsidR="00FB6811" w:rsidRPr="00A95C26" w:rsidRDefault="00532038" w:rsidP="00641F06">
      <w:pPr>
        <w:spacing w:line="360" w:lineRule="auto"/>
        <w:jc w:val="both"/>
      </w:pPr>
      <w:r w:rsidRPr="00A95C26">
        <w:t xml:space="preserve">Práce v analytické části bude strukturována následovně: první část analyzuje příčiny finanční bubliny v Číně v roce 2015. Druhá část poskytuje analýzu </w:t>
      </w:r>
      <w:r w:rsidR="00271907" w:rsidRPr="00A95C26">
        <w:t xml:space="preserve">a </w:t>
      </w:r>
      <w:r w:rsidR="00F72583" w:rsidRPr="00A95C26">
        <w:t>z</w:t>
      </w:r>
      <w:r w:rsidRPr="00A95C26">
        <w:t xml:space="preserve">koumání důvodů, proč finanční bublina v Číně nevedla k nakažlivým bublinám v jiných zemích. Na základě výsledků analýzy byly vyvozeny závěry o rizicích šíření finanční bubliny z vyspělých a rozvojových zemí. Analyzována jsou také </w:t>
      </w:r>
      <w:r w:rsidR="000971B7" w:rsidRPr="00A95C26">
        <w:t>na příkladu rozebrané bubliny v Číně, modelu chování mravenců.</w:t>
      </w:r>
    </w:p>
    <w:p w14:paraId="5C7EFA5E" w14:textId="4DDF329C" w:rsidR="00C95568" w:rsidRPr="00A95C26" w:rsidRDefault="00A21EC7" w:rsidP="00641F06">
      <w:pPr>
        <w:pStyle w:val="Nadpis2"/>
        <w:jc w:val="both"/>
        <w:rPr>
          <w:lang w:val="cs-CZ"/>
        </w:rPr>
      </w:pPr>
      <w:bookmarkStart w:id="57" w:name="_Toc99636464"/>
      <w:bookmarkStart w:id="58" w:name="_Toc99657953"/>
      <w:bookmarkStart w:id="59" w:name="_Toc99659313"/>
      <w:r w:rsidRPr="00A95C26">
        <w:rPr>
          <w:lang w:val="cs-CZ"/>
        </w:rPr>
        <w:t>4</w:t>
      </w:r>
      <w:r w:rsidR="00D64834" w:rsidRPr="00A95C26">
        <w:rPr>
          <w:lang w:val="cs-CZ"/>
        </w:rPr>
        <w:t xml:space="preserve">.1 </w:t>
      </w:r>
      <w:r w:rsidR="0000709E" w:rsidRPr="00A95C26">
        <w:rPr>
          <w:lang w:val="cs-CZ"/>
        </w:rPr>
        <w:t>Splasknutí finanční bubliny v roce 2015 v Číně</w:t>
      </w:r>
      <w:bookmarkEnd w:id="57"/>
      <w:bookmarkEnd w:id="58"/>
      <w:bookmarkEnd w:id="59"/>
    </w:p>
    <w:p w14:paraId="48B5D9D1" w14:textId="1FAF1E54" w:rsidR="006152E2" w:rsidRPr="00A95C26" w:rsidRDefault="006152E2" w:rsidP="00641F06">
      <w:pPr>
        <w:spacing w:line="360" w:lineRule="auto"/>
        <w:jc w:val="both"/>
      </w:pPr>
      <w:r w:rsidRPr="00A95C26">
        <w:t>Čínská ekonomika je dnes jednou z největších na světě bojuje o právo vedení s takovým gigantem, jako jsou Spojené státy. Nebeská říše navíc v mnoha ohledech již zaujala první místo ve světové ekonomice.</w:t>
      </w:r>
    </w:p>
    <w:p w14:paraId="03720F15" w14:textId="44C23C8F" w:rsidR="006152E2" w:rsidRPr="00A95C26" w:rsidRDefault="006152E2" w:rsidP="00641F06">
      <w:pPr>
        <w:spacing w:line="360" w:lineRule="auto"/>
        <w:jc w:val="both"/>
      </w:pPr>
      <w:r w:rsidRPr="00A95C26">
        <w:t>Jeho akciový trh přitom začal svůj rozvoj relativně nedávno koncem 80. let dvacátého století. Jeho rozsah a objemy jsou proto ve srovnání s jinými trhy stále zanedbatelné. Poměr tržní kapitalizace k HDP je tedy v Číně stále asi 40 % ve srovnání například se Spojenými státy, kde toto číslo přesahuje 140 %.</w:t>
      </w:r>
    </w:p>
    <w:p w14:paraId="49B9382C" w14:textId="77777777" w:rsidR="006152E2" w:rsidRPr="00A95C26" w:rsidRDefault="006152E2" w:rsidP="00641F06">
      <w:pPr>
        <w:spacing w:line="360" w:lineRule="auto"/>
        <w:jc w:val="both"/>
      </w:pPr>
      <w:r w:rsidRPr="00A95C26">
        <w:t xml:space="preserve">I přes tak krátkou dobu fungování se čínskému trhu s cennými papíry již podařilo přežít několik krizí, z nichž poslední nastala v létě 2015. Od listopadu 2014 do června 2015 došlo k výraznému (více než dvojnásobnému) nárůstu zásob indexy na čínských burzách. Index </w:t>
      </w:r>
      <w:proofErr w:type="spellStart"/>
      <w:r w:rsidRPr="00A95C26">
        <w:t>Shanghai</w:t>
      </w:r>
      <w:proofErr w:type="spellEnd"/>
      <w:r w:rsidRPr="00A95C26">
        <w:t xml:space="preserve"> </w:t>
      </w:r>
      <w:proofErr w:type="spellStart"/>
      <w:r w:rsidRPr="00A95C26">
        <w:t>Composite</w:t>
      </w:r>
      <w:proofErr w:type="spellEnd"/>
      <w:r w:rsidRPr="00A95C26">
        <w:t xml:space="preserve"> </w:t>
      </w:r>
      <w:proofErr w:type="spellStart"/>
      <w:r w:rsidRPr="00A95C26">
        <w:t>Shanghai</w:t>
      </w:r>
      <w:proofErr w:type="spellEnd"/>
      <w:r w:rsidRPr="00A95C26">
        <w:t xml:space="preserve"> </w:t>
      </w:r>
      <w:proofErr w:type="spellStart"/>
      <w:r w:rsidRPr="00A95C26">
        <w:t>Stock</w:t>
      </w:r>
      <w:proofErr w:type="spellEnd"/>
      <w:r w:rsidRPr="00A95C26">
        <w:t xml:space="preserve"> Exchange tak vzrostl z 2506,86 (17. listopadu 2014) na 5045,69 (8. června 2015). Tito. nárůst byl od začátku roku 30 %, což je sedmileté maximum. V meziročním vyjádření přesáhl růst indexu 120 %.</w:t>
      </w:r>
    </w:p>
    <w:p w14:paraId="0F682FAD" w14:textId="61ACDBE1" w:rsidR="00C06880" w:rsidRPr="00A95C26" w:rsidRDefault="006152E2" w:rsidP="00641F06">
      <w:pPr>
        <w:spacing w:line="360" w:lineRule="auto"/>
        <w:jc w:val="both"/>
      </w:pPr>
      <w:r w:rsidRPr="00A95C26">
        <w:t>Několik let pozorovaný agresivní růst čínského trhu byl přerušen prudkým poklesem v červnu 2015 po výrazném „přehřátí ekonomiky“.</w:t>
      </w:r>
    </w:p>
    <w:p w14:paraId="49E5575D" w14:textId="7E557747" w:rsidR="00C06880" w:rsidRPr="00A95C26" w:rsidRDefault="00C06880" w:rsidP="00641F06">
      <w:pPr>
        <w:spacing w:line="360" w:lineRule="auto"/>
        <w:jc w:val="both"/>
      </w:pPr>
    </w:p>
    <w:p w14:paraId="2FCDDF99" w14:textId="0807AD5A" w:rsidR="00C06880" w:rsidRPr="00A95C26" w:rsidRDefault="00C06880" w:rsidP="00641F06">
      <w:pPr>
        <w:spacing w:line="360" w:lineRule="auto"/>
        <w:jc w:val="both"/>
      </w:pPr>
    </w:p>
    <w:p w14:paraId="2D03265E" w14:textId="29067F12" w:rsidR="00C95568" w:rsidRPr="00A95C26" w:rsidRDefault="00F72583" w:rsidP="0091726E">
      <w:pPr>
        <w:spacing w:line="360" w:lineRule="auto"/>
        <w:jc w:val="center"/>
      </w:pPr>
      <w:r w:rsidRPr="00A95C26">
        <w:lastRenderedPageBreak/>
        <w:t xml:space="preserve">Graf 4. </w:t>
      </w:r>
      <w:r w:rsidR="006152E2" w:rsidRPr="00A95C26">
        <w:t>Dynamika šanghajských kompozitních indexů</w:t>
      </w:r>
      <w:r w:rsidRPr="00A95C26">
        <w:t xml:space="preserve"> v roce 2015 </w:t>
      </w:r>
      <w:r w:rsidR="00C06880" w:rsidRPr="00A95C26">
        <w:rPr>
          <w:noProof/>
        </w:rPr>
        <w:drawing>
          <wp:inline distT="0" distB="0" distL="0" distR="0" wp14:anchorId="2DDA6838" wp14:editId="31C2030E">
            <wp:extent cx="5580380" cy="24834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2-03-31 в 0.37.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2483485"/>
                    </a:xfrm>
                    <a:prstGeom prst="rect">
                      <a:avLst/>
                    </a:prstGeom>
                  </pic:spPr>
                </pic:pic>
              </a:graphicData>
            </a:graphic>
          </wp:inline>
        </w:drawing>
      </w:r>
    </w:p>
    <w:p w14:paraId="6B30516D" w14:textId="1D8F22B9" w:rsidR="00C06880" w:rsidRPr="00A95C26" w:rsidRDefault="00F72583" w:rsidP="00641F06">
      <w:pPr>
        <w:spacing w:line="360" w:lineRule="auto"/>
        <w:jc w:val="both"/>
      </w:pPr>
      <w:r w:rsidRPr="00A95C26">
        <w:t xml:space="preserve"> Zdroj: Science Direct </w:t>
      </w:r>
      <w:hyperlink r:id="rId18" w:history="1">
        <w:r w:rsidRPr="00A95C26">
          <w:rPr>
            <w:rStyle w:val="Hypertextovodkaz"/>
          </w:rPr>
          <w:t>https://www.sciencedirect.com/science/article/pii/S1057521918306665</w:t>
        </w:r>
      </w:hyperlink>
    </w:p>
    <w:p w14:paraId="63A7ACE8" w14:textId="77777777" w:rsidR="00F72583" w:rsidRPr="00A95C26" w:rsidRDefault="00F72583" w:rsidP="00641F06">
      <w:pPr>
        <w:spacing w:line="360" w:lineRule="auto"/>
        <w:jc w:val="both"/>
      </w:pPr>
    </w:p>
    <w:p w14:paraId="764DE6E5" w14:textId="77777777" w:rsidR="00F10C61" w:rsidRPr="00A95C26" w:rsidRDefault="00F10C61" w:rsidP="00641F06">
      <w:pPr>
        <w:spacing w:line="360" w:lineRule="auto"/>
        <w:jc w:val="both"/>
      </w:pPr>
      <w:r w:rsidRPr="00A95C26">
        <w:t>To mělo za následek bublinu na akciovém trhu kvůli obrovským investicím do akcií, jejichž tempo převyšovalo tempo ekonomického růstu a zisků firem.</w:t>
      </w:r>
    </w:p>
    <w:p w14:paraId="193626CC" w14:textId="3EED4261" w:rsidR="00C95568" w:rsidRPr="00A95C26" w:rsidRDefault="00F10C61" w:rsidP="00641F06">
      <w:pPr>
        <w:spacing w:line="360" w:lineRule="auto"/>
        <w:jc w:val="both"/>
      </w:pPr>
      <w:r w:rsidRPr="00A95C26">
        <w:t xml:space="preserve">Faktem je, že rysem čínského akciového trhu je složení jeho účastníků, kde velký podíl zaujímají soukromí investoři </w:t>
      </w:r>
      <w:r w:rsidR="00E11F8B" w:rsidRPr="00A95C26">
        <w:t>jsou</w:t>
      </w:r>
      <w:r w:rsidRPr="00A95C26">
        <w:t xml:space="preserve"> obyčejní lidé, kteří často nemají finanční gramotnost. Právě oni nejčastěji propadají všemožným tržním manipulacím </w:t>
      </w:r>
      <w:r w:rsidR="00E11F8B" w:rsidRPr="00A95C26">
        <w:t xml:space="preserve">a </w:t>
      </w:r>
      <w:r w:rsidRPr="00A95C26">
        <w:t>jejich transakce jsou většinou spekulativní, často ekonomicky neodůvodněné, riskantní a rozhodnutí jsou přijímána pod vlivem tržních fám</w:t>
      </w:r>
      <w:r w:rsidR="00C95568" w:rsidRPr="00A95C26">
        <w:t>.</w:t>
      </w:r>
    </w:p>
    <w:p w14:paraId="4D7B1994" w14:textId="77777777" w:rsidR="00C95568" w:rsidRPr="00A95C26" w:rsidRDefault="00C95568" w:rsidP="00641F06">
      <w:pPr>
        <w:spacing w:line="360" w:lineRule="auto"/>
        <w:jc w:val="both"/>
      </w:pPr>
    </w:p>
    <w:p w14:paraId="069128D2" w14:textId="5BFA7597" w:rsidR="00C95568" w:rsidRPr="00A95C26" w:rsidRDefault="00F10C61" w:rsidP="00641F06">
      <w:pPr>
        <w:spacing w:line="360" w:lineRule="auto"/>
        <w:jc w:val="both"/>
      </w:pPr>
      <w:r w:rsidRPr="00A95C26">
        <w:t xml:space="preserve">V </w:t>
      </w:r>
      <w:r w:rsidR="00F724D4" w:rsidRPr="00A95C26">
        <w:t xml:space="preserve">tomto </w:t>
      </w:r>
      <w:r w:rsidRPr="00A95C26">
        <w:t>důsledku čínský akciový trh vyvinul svůj vlastní mechanismus pro vytvoření krize: jakmile trh pod vlivem příznivých makroekonomických faktorů začne růst, miliony soukromých investorů „zahřejí“ trh, aby extrémních hodnot, což v konečném důsledku vede k vytvoření „bubliny“, kdy kotace akcií neodpovídají skutečnosti a mnohonásobně překračují ekonomicky oprávněné ukazatele. Prasknutí bubliny je nevyhnutelné a může být spuštěno drobnou událostí nebo zvěstí na trhu, což vede ke krizi akciového trhu.</w:t>
      </w:r>
    </w:p>
    <w:p w14:paraId="09D7C2E7" w14:textId="77777777" w:rsidR="00C95568" w:rsidRPr="00A95C26" w:rsidRDefault="00C95568" w:rsidP="00641F06">
      <w:pPr>
        <w:spacing w:line="360" w:lineRule="auto"/>
        <w:jc w:val="both"/>
      </w:pPr>
    </w:p>
    <w:p w14:paraId="3C4E3C3F" w14:textId="77777777" w:rsidR="00F10C61" w:rsidRPr="00A95C26" w:rsidRDefault="00F10C61" w:rsidP="00641F06">
      <w:pPr>
        <w:spacing w:line="360" w:lineRule="auto"/>
        <w:jc w:val="both"/>
      </w:pPr>
      <w:r w:rsidRPr="00A95C26">
        <w:t>Výjimkou nebyla ani krize v roce 2015. Zhoršila ji skutečnost, že čínské úřady začaly uplatňovat méně přísnou politiku regulace trhu s cennými papíry. Povoleny byly zejména tzv. maržové transakce, tzn. pákové obchodování, které dává soukromým investorům možnost obchodovat s vypůjčenými prostředky získanými od brokera, což výrazně zvyšuje jak rozsah, tak i rizika obchodování.</w:t>
      </w:r>
    </w:p>
    <w:p w14:paraId="206A1049" w14:textId="77777777" w:rsidR="00F10C61" w:rsidRPr="00A95C26" w:rsidRDefault="00F10C61" w:rsidP="00641F06">
      <w:pPr>
        <w:spacing w:line="360" w:lineRule="auto"/>
        <w:jc w:val="both"/>
      </w:pPr>
    </w:p>
    <w:p w14:paraId="682BDE40" w14:textId="29C0B3DF" w:rsidR="00C95568" w:rsidRPr="00A95C26" w:rsidRDefault="00F10C61" w:rsidP="00641F06">
      <w:pPr>
        <w:spacing w:line="360" w:lineRule="auto"/>
        <w:jc w:val="both"/>
      </w:pPr>
      <w:r w:rsidRPr="00A95C26">
        <w:lastRenderedPageBreak/>
        <w:t xml:space="preserve">Byly povoleny Výborem pro cenné papíry v roce 2012 původně jako velmi omezený experiment, ale hodnota otevřených maržových transakcí vzrostla do poloviny ledna 2015 na 1,08 bilionu </w:t>
      </w:r>
      <w:proofErr w:type="spellStart"/>
      <w:r w:rsidRPr="00A95C26">
        <w:t>juanů</w:t>
      </w:r>
      <w:proofErr w:type="spellEnd"/>
      <w:r w:rsidRPr="00A95C26">
        <w:t xml:space="preserve"> ze 400 miliard </w:t>
      </w:r>
      <w:proofErr w:type="spellStart"/>
      <w:r w:rsidRPr="00A95C26">
        <w:t>juanů</w:t>
      </w:r>
      <w:proofErr w:type="spellEnd"/>
      <w:r w:rsidRPr="00A95C26">
        <w:t xml:space="preserve"> v červnu 2014. Do května 2015 vzrostl počet maržových účtů na 7,2 milionu, což je dvojnásobek za rok. V průměru představuje pákové obchodování asi 16 % čínského trhu, což jej činí extrémně volatilní.</w:t>
      </w:r>
    </w:p>
    <w:p w14:paraId="3F558A47" w14:textId="4CD3AD83" w:rsidR="00F10C61" w:rsidRPr="00A95C26" w:rsidRDefault="00F10C61" w:rsidP="00641F06">
      <w:pPr>
        <w:spacing w:line="360" w:lineRule="auto"/>
        <w:jc w:val="both"/>
      </w:pPr>
      <w:r w:rsidRPr="00A95C26">
        <w:t xml:space="preserve">Kromě toho přebytečná likvidita proudila na akciový trh prostřednictvím kanálů, jako jsou podílové fondy, podílové fondy, OTC trh nebo peer-to-peer půjčky jednotlivcům. Odborníci odhadují, že z těchto zdrojů by se na trh mohlo dostat až 1,4 bilionu </w:t>
      </w:r>
      <w:proofErr w:type="spellStart"/>
      <w:r w:rsidRPr="00A95C26">
        <w:t>j</w:t>
      </w:r>
      <w:r w:rsidR="00BD7A1E" w:rsidRPr="00A95C26">
        <w:t>u</w:t>
      </w:r>
      <w:r w:rsidRPr="00A95C26">
        <w:t>anů</w:t>
      </w:r>
      <w:proofErr w:type="spellEnd"/>
      <w:r w:rsidRPr="00A95C26">
        <w:t xml:space="preserve"> (225 miliard dolarů). </w:t>
      </w:r>
    </w:p>
    <w:p w14:paraId="4FA6AE05" w14:textId="77777777" w:rsidR="00F10C61" w:rsidRPr="00A95C26" w:rsidRDefault="00F10C61" w:rsidP="00641F06">
      <w:pPr>
        <w:spacing w:line="360" w:lineRule="auto"/>
        <w:jc w:val="both"/>
      </w:pPr>
    </w:p>
    <w:p w14:paraId="7AE6CF1F" w14:textId="0D91D20F" w:rsidR="00C95568" w:rsidRPr="00A95C26" w:rsidRDefault="00F10C61" w:rsidP="00641F06">
      <w:pPr>
        <w:spacing w:line="360" w:lineRule="auto"/>
        <w:jc w:val="both"/>
      </w:pPr>
      <w:r w:rsidRPr="00A95C26">
        <w:t xml:space="preserve">A konečně „poslední kapkou“ bylo otevření přímého obchodního kanálu mezi šanghajskou a hongkongskou burzou (program </w:t>
      </w:r>
      <w:proofErr w:type="spellStart"/>
      <w:r w:rsidRPr="00A95C26">
        <w:t>Shanghai</w:t>
      </w:r>
      <w:proofErr w:type="spellEnd"/>
      <w:r w:rsidRPr="00A95C26">
        <w:t xml:space="preserve">-Hong Kong </w:t>
      </w:r>
      <w:proofErr w:type="spellStart"/>
      <w:r w:rsidRPr="00A95C26">
        <w:t>Stock</w:t>
      </w:r>
      <w:proofErr w:type="spellEnd"/>
      <w:r w:rsidRPr="00A95C26">
        <w:t xml:space="preserve"> </w:t>
      </w:r>
      <w:proofErr w:type="spellStart"/>
      <w:r w:rsidRPr="00A95C26">
        <w:t>Connect</w:t>
      </w:r>
      <w:proofErr w:type="spellEnd"/>
      <w:r w:rsidRPr="00A95C26">
        <w:t>), který umožňuje investorům v Číně nakupovat cenné papíry kotované na hongkongské burze, a tedy i hongkongští investoři – na burzách v Čínské lidové republice. Implementaci tohoto schématu lze do určité míry také považovat za faktor vzniku krize.</w:t>
      </w:r>
    </w:p>
    <w:p w14:paraId="2E344B9D" w14:textId="77777777" w:rsidR="00F10C61" w:rsidRPr="00A95C26" w:rsidRDefault="00F10C61" w:rsidP="00641F06">
      <w:pPr>
        <w:spacing w:line="360" w:lineRule="auto"/>
        <w:jc w:val="both"/>
      </w:pPr>
    </w:p>
    <w:p w14:paraId="5439BC33" w14:textId="40F39641" w:rsidR="00C95568" w:rsidRPr="00A95C26" w:rsidRDefault="00E11F8B" w:rsidP="00641F06">
      <w:pPr>
        <w:spacing w:line="360" w:lineRule="auto"/>
        <w:jc w:val="both"/>
      </w:pPr>
      <w:r w:rsidRPr="00A95C26">
        <w:t xml:space="preserve">Celá chronologie událostí krizových dnů na čínském akciovém trhu je uvedena níže. </w:t>
      </w:r>
    </w:p>
    <w:p w14:paraId="4C76AE0C" w14:textId="77777777" w:rsidR="00E11F8B" w:rsidRPr="00A95C26" w:rsidRDefault="00E11F8B" w:rsidP="00641F06">
      <w:pPr>
        <w:spacing w:line="360" w:lineRule="auto"/>
        <w:jc w:val="both"/>
      </w:pPr>
    </w:p>
    <w:p w14:paraId="2F31715D" w14:textId="645A9420" w:rsidR="00C95568" w:rsidRPr="00A95C26" w:rsidRDefault="00E11F8B" w:rsidP="00641F06">
      <w:pPr>
        <w:spacing w:line="360" w:lineRule="auto"/>
        <w:jc w:val="both"/>
        <w:rPr>
          <w:i/>
          <w:iCs/>
        </w:rPr>
      </w:pPr>
      <w:r w:rsidRPr="00A95C26">
        <w:rPr>
          <w:i/>
          <w:iCs/>
        </w:rPr>
        <w:t>Chronologie událostí krize na čínském akciovém trhu v roce 2015:</w:t>
      </w:r>
    </w:p>
    <w:p w14:paraId="6253F747" w14:textId="77777777" w:rsidR="00C95568" w:rsidRPr="00A95C26" w:rsidRDefault="00C95568" w:rsidP="00641F06">
      <w:pPr>
        <w:pStyle w:val="Odstavecseseznamem"/>
        <w:numPr>
          <w:ilvl w:val="0"/>
          <w:numId w:val="27"/>
        </w:numPr>
        <w:spacing w:line="360" w:lineRule="auto"/>
        <w:jc w:val="both"/>
      </w:pPr>
      <w:r w:rsidRPr="00A95C26">
        <w:t>27.06.15</w:t>
      </w:r>
    </w:p>
    <w:p w14:paraId="2D23D260" w14:textId="1A67FEDC" w:rsidR="00C95568" w:rsidRPr="00A95C26" w:rsidRDefault="00E11F8B" w:rsidP="00641F06">
      <w:pPr>
        <w:spacing w:line="360" w:lineRule="auto"/>
        <w:jc w:val="both"/>
      </w:pPr>
      <w:r w:rsidRPr="00A95C26">
        <w:rPr>
          <w:i/>
          <w:iCs/>
        </w:rPr>
        <w:t>Čínská lidová banka snížila úrokové sazby o 25 bazických bodů. Makléři mohou vydávat krátkodobé dluhopisy k financování svých maržových půjček</w:t>
      </w:r>
      <w:r w:rsidRPr="00A95C26">
        <w:t>.</w:t>
      </w:r>
    </w:p>
    <w:p w14:paraId="524A866A" w14:textId="77777777" w:rsidR="00C95568" w:rsidRPr="00A95C26" w:rsidRDefault="00C95568" w:rsidP="00641F06">
      <w:pPr>
        <w:pStyle w:val="Odstavecseseznamem"/>
        <w:numPr>
          <w:ilvl w:val="0"/>
          <w:numId w:val="27"/>
        </w:numPr>
        <w:spacing w:line="360" w:lineRule="auto"/>
        <w:jc w:val="both"/>
      </w:pPr>
      <w:r w:rsidRPr="00A95C26">
        <w:t>29.06.15</w:t>
      </w:r>
    </w:p>
    <w:p w14:paraId="3A84945D" w14:textId="64CD9E7F" w:rsidR="00C95568" w:rsidRPr="00A95C26" w:rsidRDefault="00E11F8B" w:rsidP="00641F06">
      <w:pPr>
        <w:spacing w:line="360" w:lineRule="auto"/>
        <w:jc w:val="both"/>
        <w:rPr>
          <w:i/>
          <w:iCs/>
        </w:rPr>
      </w:pPr>
      <w:r w:rsidRPr="00A95C26">
        <w:rPr>
          <w:i/>
          <w:iCs/>
        </w:rPr>
        <w:t>Regulátoři oznamují, že penzijní fondy mohou investovat 30 % svých aktiv (přes 100 miliard USD) do akcií.</w:t>
      </w:r>
    </w:p>
    <w:p w14:paraId="0B3C8DA1" w14:textId="77777777" w:rsidR="00C95568" w:rsidRPr="00A95C26" w:rsidRDefault="00C95568" w:rsidP="00641F06">
      <w:pPr>
        <w:pStyle w:val="Odstavecseseznamem"/>
        <w:numPr>
          <w:ilvl w:val="0"/>
          <w:numId w:val="27"/>
        </w:numPr>
        <w:spacing w:line="360" w:lineRule="auto"/>
        <w:jc w:val="both"/>
      </w:pPr>
      <w:r w:rsidRPr="00A95C26">
        <w:t>01.07.15</w:t>
      </w:r>
    </w:p>
    <w:p w14:paraId="490C794C" w14:textId="77777777" w:rsidR="00E11F8B" w:rsidRPr="00A95C26" w:rsidRDefault="00E11F8B" w:rsidP="00641F06">
      <w:pPr>
        <w:spacing w:line="360" w:lineRule="auto"/>
        <w:jc w:val="both"/>
        <w:rPr>
          <w:i/>
          <w:iCs/>
        </w:rPr>
      </w:pPr>
      <w:r w:rsidRPr="00A95C26">
        <w:rPr>
          <w:i/>
          <w:iCs/>
        </w:rPr>
        <w:t>Čínský regulátor cenných papírů uvolnil pravidla obchodování s marží</w:t>
      </w:r>
    </w:p>
    <w:p w14:paraId="1F2C9222" w14:textId="6467A872" w:rsidR="00C95568" w:rsidRPr="00A95C26" w:rsidRDefault="00E11F8B" w:rsidP="00641F06">
      <w:pPr>
        <w:spacing w:line="360" w:lineRule="auto"/>
        <w:jc w:val="both"/>
        <w:rPr>
          <w:i/>
          <w:iCs/>
        </w:rPr>
      </w:pPr>
      <w:r w:rsidRPr="00A95C26">
        <w:rPr>
          <w:i/>
          <w:iCs/>
        </w:rPr>
        <w:t xml:space="preserve">Burzy cenných papírů v Šanghaji a </w:t>
      </w:r>
      <w:proofErr w:type="spellStart"/>
      <w:r w:rsidRPr="00A95C26">
        <w:rPr>
          <w:i/>
          <w:iCs/>
        </w:rPr>
        <w:t>Shenzhenu</w:t>
      </w:r>
      <w:proofErr w:type="spellEnd"/>
      <w:r w:rsidRPr="00A95C26">
        <w:rPr>
          <w:i/>
          <w:iCs/>
        </w:rPr>
        <w:t xml:space="preserve"> snížily kolkovné na transakce s cennými papíry o jednu třetinu</w:t>
      </w:r>
    </w:p>
    <w:p w14:paraId="0BEEDCE0" w14:textId="77777777" w:rsidR="00C95568" w:rsidRPr="00A95C26" w:rsidRDefault="00C95568" w:rsidP="00641F06">
      <w:pPr>
        <w:pStyle w:val="Odstavecseseznamem"/>
        <w:numPr>
          <w:ilvl w:val="0"/>
          <w:numId w:val="27"/>
        </w:numPr>
        <w:spacing w:line="360" w:lineRule="auto"/>
        <w:jc w:val="both"/>
      </w:pPr>
      <w:r w:rsidRPr="00A95C26">
        <w:t>03.07.15</w:t>
      </w:r>
    </w:p>
    <w:p w14:paraId="0E242B7B" w14:textId="373B3260" w:rsidR="00C95568" w:rsidRPr="00A95C26" w:rsidRDefault="00E11F8B" w:rsidP="00641F06">
      <w:pPr>
        <w:spacing w:line="360" w:lineRule="auto"/>
        <w:jc w:val="both"/>
        <w:rPr>
          <w:i/>
          <w:iCs/>
        </w:rPr>
      </w:pPr>
      <w:r w:rsidRPr="00A95C26">
        <w:rPr>
          <w:i/>
          <w:iCs/>
        </w:rPr>
        <w:t>Čínská centrální banka zvyšuje svůj šestiměsíční úvěr na 40 miliard dolarů</w:t>
      </w:r>
      <w:r w:rsidR="00F724D4" w:rsidRPr="00A95C26">
        <w:rPr>
          <w:i/>
          <w:iCs/>
        </w:rPr>
        <w:t xml:space="preserve"> </w:t>
      </w:r>
      <w:r w:rsidRPr="00A95C26">
        <w:rPr>
          <w:i/>
          <w:iCs/>
        </w:rPr>
        <w:t>motivovat banky, které mohou poskytnout podporu“ slabým částem ekonomiky</w:t>
      </w:r>
    </w:p>
    <w:p w14:paraId="1CA4B878" w14:textId="77777777" w:rsidR="00C95568" w:rsidRPr="00A95C26" w:rsidRDefault="00C95568" w:rsidP="00641F06">
      <w:pPr>
        <w:pStyle w:val="Odstavecseseznamem"/>
        <w:numPr>
          <w:ilvl w:val="0"/>
          <w:numId w:val="27"/>
        </w:numPr>
        <w:spacing w:line="360" w:lineRule="auto"/>
        <w:jc w:val="both"/>
      </w:pPr>
      <w:r w:rsidRPr="00A95C26">
        <w:t>04.07.15</w:t>
      </w:r>
    </w:p>
    <w:p w14:paraId="3E83B1F5" w14:textId="4FA42ADC" w:rsidR="00C95568" w:rsidRPr="00A95C26" w:rsidRDefault="00E11F8B" w:rsidP="00641F06">
      <w:pPr>
        <w:spacing w:line="360" w:lineRule="auto"/>
        <w:jc w:val="both"/>
        <w:rPr>
          <w:i/>
          <w:iCs/>
        </w:rPr>
      </w:pPr>
      <w:r w:rsidRPr="00A95C26">
        <w:rPr>
          <w:i/>
          <w:iCs/>
        </w:rPr>
        <w:lastRenderedPageBreak/>
        <w:t>Kolem 21 brokerských společností oznámilo, že jsou připraveni investovat 19,3 miliardy dolarů do blue chips, aby stabilizovali trh, a nebudou prodávat svá vlastní aktiva</w:t>
      </w:r>
    </w:p>
    <w:p w14:paraId="5D4EC93C" w14:textId="77777777" w:rsidR="00C95568" w:rsidRPr="00A95C26" w:rsidRDefault="00C95568" w:rsidP="00641F06">
      <w:pPr>
        <w:pStyle w:val="Odstavecseseznamem"/>
        <w:numPr>
          <w:ilvl w:val="0"/>
          <w:numId w:val="27"/>
        </w:numPr>
        <w:spacing w:line="360" w:lineRule="auto"/>
        <w:jc w:val="both"/>
      </w:pPr>
      <w:r w:rsidRPr="00A95C26">
        <w:t>05.07.15</w:t>
      </w:r>
    </w:p>
    <w:p w14:paraId="169C9298" w14:textId="1733D8AB" w:rsidR="00E11F8B" w:rsidRPr="00A95C26" w:rsidRDefault="00E11F8B" w:rsidP="00641F06">
      <w:pPr>
        <w:spacing w:line="360" w:lineRule="auto"/>
        <w:jc w:val="both"/>
        <w:rPr>
          <w:i/>
          <w:iCs/>
        </w:rPr>
      </w:pPr>
      <w:r w:rsidRPr="00A95C26">
        <w:rPr>
          <w:i/>
          <w:iCs/>
        </w:rPr>
        <w:t xml:space="preserve">28 společností, které plánovaly vstoupit na burzu v </w:t>
      </w:r>
      <w:proofErr w:type="spellStart"/>
      <w:r w:rsidRPr="00A95C26">
        <w:rPr>
          <w:i/>
          <w:iCs/>
        </w:rPr>
        <w:t>Shenzhenu</w:t>
      </w:r>
      <w:proofErr w:type="spellEnd"/>
      <w:r w:rsidRPr="00A95C26">
        <w:rPr>
          <w:i/>
          <w:iCs/>
        </w:rPr>
        <w:t xml:space="preserve"> a Šanghaji, tvrdí, že odkládají kotaci a vracejí kapitál </w:t>
      </w:r>
      <w:proofErr w:type="spellStart"/>
      <w:proofErr w:type="gramStart"/>
      <w:r w:rsidRPr="00A95C26">
        <w:rPr>
          <w:i/>
          <w:iCs/>
        </w:rPr>
        <w:t>investorům.Centrální</w:t>
      </w:r>
      <w:proofErr w:type="spellEnd"/>
      <w:proofErr w:type="gramEnd"/>
      <w:r w:rsidRPr="00A95C26">
        <w:rPr>
          <w:i/>
          <w:iCs/>
        </w:rPr>
        <w:t xml:space="preserve"> banka oznámila, že začne investovat do </w:t>
      </w:r>
      <w:proofErr w:type="spellStart"/>
      <w:r w:rsidRPr="00A95C26">
        <w:rPr>
          <w:i/>
          <w:iCs/>
        </w:rPr>
        <w:t>China</w:t>
      </w:r>
      <w:proofErr w:type="spellEnd"/>
      <w:r w:rsidRPr="00A95C26">
        <w:rPr>
          <w:i/>
          <w:iCs/>
        </w:rPr>
        <w:t xml:space="preserve"> </w:t>
      </w:r>
      <w:proofErr w:type="spellStart"/>
      <w:r w:rsidRPr="00A95C26">
        <w:rPr>
          <w:i/>
          <w:iCs/>
        </w:rPr>
        <w:t>Securities</w:t>
      </w:r>
      <w:proofErr w:type="spellEnd"/>
      <w:r w:rsidRPr="00A95C26">
        <w:rPr>
          <w:i/>
          <w:iCs/>
        </w:rPr>
        <w:t xml:space="preserve"> Finance </w:t>
      </w:r>
      <w:proofErr w:type="spellStart"/>
      <w:r w:rsidRPr="00A95C26">
        <w:rPr>
          <w:i/>
          <w:iCs/>
        </w:rPr>
        <w:t>Corp</w:t>
      </w:r>
      <w:proofErr w:type="spellEnd"/>
      <w:r w:rsidRPr="00A95C26">
        <w:rPr>
          <w:i/>
          <w:iCs/>
        </w:rPr>
        <w:t>. — společnost, která se specializuje na obchodování s marží</w:t>
      </w:r>
    </w:p>
    <w:p w14:paraId="06B3C7DE" w14:textId="77777777" w:rsidR="00C95568" w:rsidRPr="00A95C26" w:rsidRDefault="00C95568" w:rsidP="00641F06">
      <w:pPr>
        <w:pStyle w:val="Odstavecseseznamem"/>
        <w:numPr>
          <w:ilvl w:val="0"/>
          <w:numId w:val="27"/>
        </w:numPr>
        <w:spacing w:line="360" w:lineRule="auto"/>
        <w:jc w:val="both"/>
      </w:pPr>
      <w:r w:rsidRPr="00A95C26">
        <w:t>06.07.15</w:t>
      </w:r>
    </w:p>
    <w:p w14:paraId="0E844069" w14:textId="0798BDCE" w:rsidR="00C95568" w:rsidRPr="00A95C26" w:rsidRDefault="00E11F8B" w:rsidP="00641F06">
      <w:pPr>
        <w:spacing w:line="360" w:lineRule="auto"/>
        <w:jc w:val="both"/>
        <w:rPr>
          <w:i/>
          <w:iCs/>
        </w:rPr>
      </w:pPr>
      <w:r w:rsidRPr="00A95C26">
        <w:rPr>
          <w:i/>
          <w:iCs/>
        </w:rPr>
        <w:t>Manažeři podílových fondů se zavazují podporovat trhy kapitálem</w:t>
      </w:r>
    </w:p>
    <w:p w14:paraId="02A7B3BF" w14:textId="77777777" w:rsidR="00C95568" w:rsidRPr="00A95C26" w:rsidRDefault="00C95568" w:rsidP="00641F06">
      <w:pPr>
        <w:pStyle w:val="Odstavecseseznamem"/>
        <w:numPr>
          <w:ilvl w:val="0"/>
          <w:numId w:val="27"/>
        </w:numPr>
        <w:spacing w:line="360" w:lineRule="auto"/>
        <w:jc w:val="both"/>
      </w:pPr>
      <w:r w:rsidRPr="00A95C26">
        <w:t>08.07.15</w:t>
      </w:r>
    </w:p>
    <w:p w14:paraId="3144EADF" w14:textId="7B07CBAC" w:rsidR="00C95568" w:rsidRPr="00A95C26" w:rsidRDefault="00E11F8B" w:rsidP="00641F06">
      <w:pPr>
        <w:spacing w:line="360" w:lineRule="auto"/>
        <w:jc w:val="both"/>
        <w:rPr>
          <w:i/>
          <w:iCs/>
        </w:rPr>
      </w:pPr>
      <w:r w:rsidRPr="00A95C26">
        <w:rPr>
          <w:i/>
          <w:iCs/>
        </w:rPr>
        <w:t xml:space="preserve">Index </w:t>
      </w:r>
      <w:proofErr w:type="spellStart"/>
      <w:r w:rsidRPr="00A95C26">
        <w:rPr>
          <w:i/>
          <w:iCs/>
        </w:rPr>
        <w:t>Shanghai</w:t>
      </w:r>
      <w:proofErr w:type="spellEnd"/>
      <w:r w:rsidRPr="00A95C26">
        <w:rPr>
          <w:i/>
          <w:iCs/>
        </w:rPr>
        <w:t xml:space="preserve"> </w:t>
      </w:r>
      <w:proofErr w:type="spellStart"/>
      <w:r w:rsidRPr="00A95C26">
        <w:rPr>
          <w:i/>
          <w:iCs/>
        </w:rPr>
        <w:t>Composite</w:t>
      </w:r>
      <w:proofErr w:type="spellEnd"/>
      <w:r w:rsidRPr="00A95C26">
        <w:rPr>
          <w:i/>
          <w:iCs/>
        </w:rPr>
        <w:t xml:space="preserve"> při zahájení obchodování klesl o téměř 7 % na 3467,4 bodu. Index obchodní platformy v </w:t>
      </w:r>
      <w:proofErr w:type="spellStart"/>
      <w:r w:rsidRPr="00A95C26">
        <w:rPr>
          <w:i/>
          <w:iCs/>
        </w:rPr>
        <w:t>Shenzhenu</w:t>
      </w:r>
      <w:proofErr w:type="spellEnd"/>
      <w:r w:rsidRPr="00A95C26">
        <w:rPr>
          <w:i/>
          <w:iCs/>
        </w:rPr>
        <w:t xml:space="preserve"> (</w:t>
      </w:r>
      <w:proofErr w:type="spellStart"/>
      <w:r w:rsidRPr="00A95C26">
        <w:rPr>
          <w:i/>
          <w:iCs/>
        </w:rPr>
        <w:t>Shenzhen</w:t>
      </w:r>
      <w:proofErr w:type="spellEnd"/>
      <w:r w:rsidRPr="00A95C26">
        <w:rPr>
          <w:i/>
          <w:iCs/>
        </w:rPr>
        <w:t xml:space="preserve"> </w:t>
      </w:r>
      <w:proofErr w:type="spellStart"/>
      <w:r w:rsidRPr="00A95C26">
        <w:rPr>
          <w:i/>
          <w:iCs/>
        </w:rPr>
        <w:t>Component</w:t>
      </w:r>
      <w:proofErr w:type="spellEnd"/>
      <w:r w:rsidRPr="00A95C26">
        <w:rPr>
          <w:i/>
          <w:iCs/>
        </w:rPr>
        <w:t>) – ztratil při otevření více než 4 % a klesl na 10870,14 bodů. Aby se zabránilo dalším masivním prodejům akcií „</w:t>
      </w:r>
      <w:proofErr w:type="spellStart"/>
      <w:r w:rsidRPr="00A95C26">
        <w:rPr>
          <w:i/>
          <w:iCs/>
        </w:rPr>
        <w:t>corporate</w:t>
      </w:r>
      <w:proofErr w:type="spellEnd"/>
      <w:r w:rsidRPr="00A95C26">
        <w:rPr>
          <w:i/>
          <w:iCs/>
        </w:rPr>
        <w:t xml:space="preserve"> </w:t>
      </w:r>
      <w:proofErr w:type="spellStart"/>
      <w:r w:rsidRPr="00A95C26">
        <w:rPr>
          <w:i/>
          <w:iCs/>
        </w:rPr>
        <w:t>insiders</w:t>
      </w:r>
      <w:proofErr w:type="spellEnd"/>
      <w:r w:rsidRPr="00A95C26">
        <w:rPr>
          <w:i/>
          <w:iCs/>
        </w:rPr>
        <w:t>“, bylo zavedeno šestiměsíční moratorium na prodej akcií veřejných společností akcionáři (včetně vrcholových manažerů) s podílem vyšším než 5 %.</w:t>
      </w:r>
    </w:p>
    <w:p w14:paraId="3BF33D7C" w14:textId="77777777" w:rsidR="00C95568" w:rsidRPr="00A95C26" w:rsidRDefault="00C95568" w:rsidP="00641F06">
      <w:pPr>
        <w:pStyle w:val="Odstavecseseznamem"/>
        <w:numPr>
          <w:ilvl w:val="0"/>
          <w:numId w:val="27"/>
        </w:numPr>
        <w:spacing w:line="360" w:lineRule="auto"/>
        <w:jc w:val="both"/>
      </w:pPr>
      <w:r w:rsidRPr="00A95C26">
        <w:t>10.07.15</w:t>
      </w:r>
    </w:p>
    <w:p w14:paraId="6F29B38C" w14:textId="54464942" w:rsidR="00C95568" w:rsidRPr="00A95C26" w:rsidRDefault="002F2171" w:rsidP="00641F06">
      <w:pPr>
        <w:spacing w:line="360" w:lineRule="auto"/>
        <w:jc w:val="both"/>
        <w:rPr>
          <w:i/>
          <w:iCs/>
        </w:rPr>
      </w:pPr>
      <w:r w:rsidRPr="00A95C26">
        <w:rPr>
          <w:i/>
          <w:iCs/>
        </w:rPr>
        <w:t xml:space="preserve">Více než 500 společností kotovaných v Číně oznámilo pozastavení obchodování v Šanghaji a </w:t>
      </w:r>
      <w:proofErr w:type="spellStart"/>
      <w:r w:rsidRPr="00A95C26">
        <w:rPr>
          <w:i/>
          <w:iCs/>
        </w:rPr>
        <w:t>Šen-čenu</w:t>
      </w:r>
      <w:proofErr w:type="spellEnd"/>
      <w:r w:rsidRPr="00A95C26">
        <w:rPr>
          <w:i/>
          <w:iCs/>
        </w:rPr>
        <w:t>. Počet společností, které pozastavily obchodování v Číně, tak dosáhl 1,3 tisíce a obecně se pozastavení dotklo 45 % trhu.</w:t>
      </w:r>
      <w:r w:rsidR="00C95568" w:rsidRPr="00A95C26">
        <w:rPr>
          <w:i/>
          <w:iCs/>
        </w:rPr>
        <w:t xml:space="preserve"> </w:t>
      </w:r>
      <w:r w:rsidRPr="00A95C26">
        <w:rPr>
          <w:rStyle w:val="Znakapoznpodarou"/>
          <w:i/>
          <w:iCs/>
        </w:rPr>
        <w:footnoteReference w:id="39"/>
      </w:r>
    </w:p>
    <w:p w14:paraId="2ED35042" w14:textId="77777777" w:rsidR="00754CCA" w:rsidRPr="00A95C26" w:rsidRDefault="00754CCA" w:rsidP="00641F06">
      <w:pPr>
        <w:spacing w:line="360" w:lineRule="auto"/>
        <w:jc w:val="both"/>
        <w:rPr>
          <w:i/>
          <w:iCs/>
        </w:rPr>
      </w:pPr>
      <w:r w:rsidRPr="00A95C26">
        <w:rPr>
          <w:i/>
          <w:iCs/>
        </w:rPr>
        <w:t>S nástupem krize finanční regulátoři země urychleně zahájili širokou škálu protikrizových opatření, včetně řady poměrně tvrdých netržních rozhodnutí. Rozhodnutím Státního výboru pro kontrolu a správu státního majetku je tedy státním společnostem podřízeným zakázáno prodávat své akcie na burzách po dobu abnormálních tržních výkyvů.</w:t>
      </w:r>
    </w:p>
    <w:p w14:paraId="7BBAC831" w14:textId="77777777" w:rsidR="00754CCA" w:rsidRPr="00A95C26" w:rsidRDefault="00754CCA" w:rsidP="00641F06">
      <w:pPr>
        <w:spacing w:line="360" w:lineRule="auto"/>
        <w:jc w:val="both"/>
      </w:pPr>
    </w:p>
    <w:p w14:paraId="2988E959" w14:textId="77777777" w:rsidR="00754CCA" w:rsidRPr="00A95C26" w:rsidRDefault="00754CCA" w:rsidP="00641F06">
      <w:pPr>
        <w:spacing w:line="360" w:lineRule="auto"/>
        <w:jc w:val="both"/>
      </w:pPr>
      <w:r w:rsidRPr="00A95C26">
        <w:t>Více než 20 velkých brokerů oznámilo svou připravenost založit stabilizační fond ve výši minimálně 20 miliard dolarů. Investují do něj částku rovnající se 15 % vlastních čistých aktiv. Prostředky budou použity na nákup akcií burzovně obchodovaných fondů (ETF), které investují do velkých společností.</w:t>
      </w:r>
    </w:p>
    <w:p w14:paraId="44B28A98" w14:textId="1102734B" w:rsidR="00754CCA" w:rsidRPr="00AD48EF" w:rsidRDefault="00754CCA" w:rsidP="00641F06">
      <w:pPr>
        <w:spacing w:line="360" w:lineRule="auto"/>
        <w:jc w:val="both"/>
      </w:pPr>
      <w:r w:rsidRPr="00A95C26">
        <w:t xml:space="preserve">Nejrozsáhlejším protikrizovým směrem byla injekce likvidity do specializované státní agentury </w:t>
      </w:r>
      <w:proofErr w:type="spellStart"/>
      <w:r w:rsidRPr="00A95C26">
        <w:t>China</w:t>
      </w:r>
      <w:proofErr w:type="spellEnd"/>
      <w:r w:rsidRPr="00A95C26">
        <w:t xml:space="preserve"> </w:t>
      </w:r>
      <w:proofErr w:type="spellStart"/>
      <w:r w:rsidRPr="00A95C26">
        <w:t>Securities</w:t>
      </w:r>
      <w:proofErr w:type="spellEnd"/>
      <w:r w:rsidRPr="00A95C26">
        <w:t xml:space="preserve"> Finance (CSF), mezi jejíž úkoly patří finanční podpora brokerů především v segmentu maržových úvěrů. Již v červenci 2015 CSF obdržel od Čínské lidové banky a velkých </w:t>
      </w:r>
      <w:r w:rsidRPr="00A95C26">
        <w:lastRenderedPageBreak/>
        <w:t xml:space="preserve">komerčních bank až 3 biliony </w:t>
      </w:r>
      <w:proofErr w:type="spellStart"/>
      <w:r w:rsidRPr="00A95C26">
        <w:t>juanů</w:t>
      </w:r>
      <w:proofErr w:type="spellEnd"/>
      <w:r w:rsidRPr="00A95C26">
        <w:t xml:space="preserve"> (483 miliard amerických dolarů), které budou použity k doplnění likvidity brokerů a také k masivnímu nákupu akcií a akcií investiční fondy na burzách</w:t>
      </w:r>
      <w:r w:rsidR="00C95568" w:rsidRPr="00A95C26">
        <w:t>.</w:t>
      </w:r>
    </w:p>
    <w:p w14:paraId="0AAB3BBA" w14:textId="260DB6E6" w:rsidR="00607D20" w:rsidRPr="00A95C26" w:rsidRDefault="00A21EC7" w:rsidP="00641F06">
      <w:pPr>
        <w:pStyle w:val="Nadpis2"/>
        <w:jc w:val="both"/>
        <w:rPr>
          <w:lang w:val="cs-CZ"/>
        </w:rPr>
      </w:pPr>
      <w:bookmarkStart w:id="60" w:name="_Toc99636465"/>
      <w:bookmarkStart w:id="61" w:name="_Toc99657954"/>
      <w:bookmarkStart w:id="62" w:name="_Toc99659314"/>
      <w:r w:rsidRPr="00A95C26">
        <w:rPr>
          <w:lang w:val="cs-CZ"/>
        </w:rPr>
        <w:t>4</w:t>
      </w:r>
      <w:r w:rsidR="00D64834" w:rsidRPr="00A95C26">
        <w:rPr>
          <w:lang w:val="cs-CZ"/>
        </w:rPr>
        <w:t xml:space="preserve">.2 </w:t>
      </w:r>
      <w:r w:rsidR="00631089" w:rsidRPr="00A95C26">
        <w:rPr>
          <w:lang w:val="cs-CZ"/>
        </w:rPr>
        <w:t>Souvislosti na</w:t>
      </w:r>
      <w:r w:rsidR="00BA6CEE" w:rsidRPr="00A95C26">
        <w:rPr>
          <w:lang w:val="cs-CZ"/>
        </w:rPr>
        <w:t xml:space="preserve"> trzích </w:t>
      </w:r>
      <w:r w:rsidR="00631089" w:rsidRPr="00A95C26">
        <w:rPr>
          <w:lang w:val="cs-CZ"/>
        </w:rPr>
        <w:t>Východní</w:t>
      </w:r>
      <w:r w:rsidR="00BA6CEE" w:rsidRPr="00A95C26">
        <w:rPr>
          <w:lang w:val="cs-CZ"/>
        </w:rPr>
        <w:t xml:space="preserve"> Asie</w:t>
      </w:r>
      <w:bookmarkEnd w:id="60"/>
      <w:bookmarkEnd w:id="61"/>
      <w:bookmarkEnd w:id="62"/>
    </w:p>
    <w:p w14:paraId="16666399" w14:textId="6FB45866" w:rsidR="00FC0A44" w:rsidRPr="00A95C26" w:rsidRDefault="00FC0A44" w:rsidP="00641F06">
      <w:pPr>
        <w:spacing w:line="360" w:lineRule="auto"/>
        <w:jc w:val="both"/>
      </w:pPr>
      <w:r w:rsidRPr="00A95C26">
        <w:t>Rok 2015 se stal katalyzátorem akumulace strukturální nerovnováhy v ekonomických systémech většiny rozvojových zemí východní Asie: tempa hospodářského růstu byla relativně nižší než v předchozích letech – skupina rozvojových zemí v asijsko-pacifické oblasti vzrostla v průměru o 4,5 %. Nakumulované strukturální disproporce, které vedly ke zpomalení ekonomického růstu, se promítly i do negativní dynamiky akciových trhů.</w:t>
      </w:r>
    </w:p>
    <w:p w14:paraId="71079030" w14:textId="77777777" w:rsidR="00FC0A44" w:rsidRPr="00A95C26" w:rsidRDefault="00FC0A44" w:rsidP="00641F06">
      <w:pPr>
        <w:spacing w:line="360" w:lineRule="auto"/>
        <w:jc w:val="both"/>
      </w:pPr>
    </w:p>
    <w:p w14:paraId="4FAB1B4A" w14:textId="4A3376B3" w:rsidR="00607D20" w:rsidRPr="00A95C26" w:rsidRDefault="00FC0A44" w:rsidP="00641F06">
      <w:pPr>
        <w:spacing w:line="360" w:lineRule="auto"/>
        <w:jc w:val="both"/>
      </w:pPr>
      <w:r w:rsidRPr="00A95C26">
        <w:t>Pád čínské burzy v červenci 2015 a následný pokles indexů většiny rozvojových zemí východní Asie vyvolaly masivní obavy z nové asijské finanční krize.</w:t>
      </w:r>
    </w:p>
    <w:p w14:paraId="078AF952" w14:textId="744C4A24" w:rsidR="00607D20" w:rsidRPr="00A95C26" w:rsidRDefault="00FC0A44" w:rsidP="00641F06">
      <w:pPr>
        <w:spacing w:line="360" w:lineRule="auto"/>
        <w:jc w:val="both"/>
      </w:pPr>
      <w:r w:rsidRPr="00A95C26">
        <w:t xml:space="preserve">Mezi červencem 2015 a lednem 2016 thajský </w:t>
      </w:r>
      <w:proofErr w:type="spellStart"/>
      <w:r w:rsidRPr="00A95C26">
        <w:t>iShares</w:t>
      </w:r>
      <w:proofErr w:type="spellEnd"/>
      <w:r w:rsidRPr="00A95C26">
        <w:t xml:space="preserve"> MSCI </w:t>
      </w:r>
      <w:proofErr w:type="spellStart"/>
      <w:r w:rsidRPr="00A95C26">
        <w:t>Thailand</w:t>
      </w:r>
      <w:proofErr w:type="spellEnd"/>
      <w:r w:rsidRPr="00A95C26">
        <w:t xml:space="preserve"> </w:t>
      </w:r>
      <w:proofErr w:type="spellStart"/>
      <w:r w:rsidRPr="00A95C26">
        <w:t>Capped</w:t>
      </w:r>
      <w:proofErr w:type="spellEnd"/>
      <w:r w:rsidRPr="00A95C26">
        <w:t xml:space="preserve"> (THD) ztratil rekordních 23,6 %, singapurský </w:t>
      </w:r>
      <w:proofErr w:type="spellStart"/>
      <w:r w:rsidRPr="00A95C26">
        <w:t>Straits</w:t>
      </w:r>
      <w:proofErr w:type="spellEnd"/>
      <w:r w:rsidRPr="00A95C26">
        <w:t xml:space="preserve"> Times Index (STI) klesl téměř o 18 % a jihokorejský Korea </w:t>
      </w:r>
      <w:proofErr w:type="spellStart"/>
      <w:r w:rsidRPr="00A95C26">
        <w:t>Composite</w:t>
      </w:r>
      <w:proofErr w:type="spellEnd"/>
      <w:r w:rsidRPr="00A95C26">
        <w:t xml:space="preserve"> </w:t>
      </w:r>
      <w:proofErr w:type="spellStart"/>
      <w:r w:rsidRPr="00A95C26">
        <w:t>Stock</w:t>
      </w:r>
      <w:proofErr w:type="spellEnd"/>
      <w:r w:rsidRPr="00A95C26">
        <w:t xml:space="preserve"> </w:t>
      </w:r>
      <w:proofErr w:type="spellStart"/>
      <w:r w:rsidRPr="00A95C26">
        <w:t>Price</w:t>
      </w:r>
      <w:proofErr w:type="spellEnd"/>
      <w:r w:rsidRPr="00A95C26">
        <w:t xml:space="preserve"> Index (KOSPI) – o 7,7 %. Rekordní propad zaznamenala Čína: od července do října SSE </w:t>
      </w:r>
      <w:proofErr w:type="spellStart"/>
      <w:r w:rsidRPr="00A95C26">
        <w:t>Composite</w:t>
      </w:r>
      <w:proofErr w:type="spellEnd"/>
      <w:r w:rsidRPr="00A95C26">
        <w:t xml:space="preserve"> Index ztratil asi 25 % a po růstu o 6,3 % do 20. prosince se do konce ledna 2016 propadl o dalších 14 % (expertní propočty na základě údajů "Finance. Historické ceny"). Relativně příznivější situace se vyvinula na malajském akciovém trhu, kde pokles za stejné období činil pouze 4 %. Výjimkou je situace na akciovém trhu v Indonésii: po poklesu o téměř 13,4 % v období od července do října následoval trvalý růst, který trvá dodnes.</w:t>
      </w:r>
      <w:r w:rsidRPr="00A95C26">
        <w:rPr>
          <w:rStyle w:val="Znakapoznpodarou"/>
        </w:rPr>
        <w:footnoteReference w:id="40"/>
      </w:r>
    </w:p>
    <w:p w14:paraId="13D731F6" w14:textId="07734FBD" w:rsidR="00EA7A5D" w:rsidRPr="00A95C26" w:rsidRDefault="00FC0A44" w:rsidP="00641F06">
      <w:pPr>
        <w:spacing w:line="360" w:lineRule="auto"/>
        <w:jc w:val="both"/>
      </w:pPr>
      <w:r w:rsidRPr="00A95C26">
        <w:t>Vysoká provázanost na regionální úrovni zvyšuje riziko šíření „krizových epidemií“ růstu mezi investory subjektivních očekávání negativních změn.</w:t>
      </w:r>
    </w:p>
    <w:p w14:paraId="4E674754" w14:textId="772E674C" w:rsidR="00754CCA" w:rsidRPr="00AD48EF" w:rsidRDefault="00A21EC7" w:rsidP="00641F06">
      <w:pPr>
        <w:pStyle w:val="Nadpis2"/>
        <w:jc w:val="both"/>
        <w:rPr>
          <w:lang w:val="cs-CZ"/>
        </w:rPr>
      </w:pPr>
      <w:bookmarkStart w:id="63" w:name="_Toc99636466"/>
      <w:bookmarkStart w:id="64" w:name="_Toc99657955"/>
      <w:bookmarkStart w:id="65" w:name="_Toc99659315"/>
      <w:r w:rsidRPr="00A95C26">
        <w:rPr>
          <w:lang w:val="cs-CZ"/>
        </w:rPr>
        <w:t>4</w:t>
      </w:r>
      <w:r w:rsidR="00D64834" w:rsidRPr="00A95C26">
        <w:rPr>
          <w:lang w:val="cs-CZ"/>
        </w:rPr>
        <w:t xml:space="preserve">.3 </w:t>
      </w:r>
      <w:r w:rsidR="00F72583" w:rsidRPr="00A95C26">
        <w:rPr>
          <w:lang w:val="cs-CZ"/>
        </w:rPr>
        <w:t>Čína v turbulencích</w:t>
      </w:r>
      <w:bookmarkEnd w:id="63"/>
      <w:bookmarkEnd w:id="64"/>
      <w:bookmarkEnd w:id="65"/>
    </w:p>
    <w:p w14:paraId="0D34E23B" w14:textId="77777777" w:rsidR="00FC0A44" w:rsidRPr="00A95C26" w:rsidRDefault="00FC0A44" w:rsidP="00641F06">
      <w:pPr>
        <w:pStyle w:val="Normlnweb"/>
        <w:spacing w:after="150" w:line="360" w:lineRule="auto"/>
        <w:jc w:val="both"/>
        <w:rPr>
          <w:color w:val="000000"/>
        </w:rPr>
      </w:pPr>
      <w:r w:rsidRPr="00A95C26">
        <w:rPr>
          <w:color w:val="000000"/>
        </w:rPr>
        <w:t>V důsledku toho investoři a další subjekty zahraniční ekonomické aktivity formují vnímání východoasijského regionu jako jediného propojeného celku. To může do značné míry předurčit chování, které odpovídá obecnému sentimentu, aniž by byly zohledněny jednotlivé charakteristiky ekonomického vývoje a strategie hospodářského růstu jednotlivých států.</w:t>
      </w:r>
    </w:p>
    <w:p w14:paraId="7D4CB342" w14:textId="77777777" w:rsidR="00FC0A44" w:rsidRPr="00A95C26" w:rsidRDefault="00FC0A44" w:rsidP="00641F06">
      <w:pPr>
        <w:pStyle w:val="Normlnweb"/>
        <w:spacing w:before="0" w:beforeAutospacing="0" w:after="150" w:afterAutospacing="0" w:line="360" w:lineRule="auto"/>
        <w:jc w:val="both"/>
        <w:rPr>
          <w:color w:val="000000"/>
        </w:rPr>
      </w:pPr>
      <w:r w:rsidRPr="00A95C26">
        <w:rPr>
          <w:color w:val="000000"/>
        </w:rPr>
        <w:lastRenderedPageBreak/>
        <w:t>Vysoká provázanost na regionální úrovni zvyšuje riziko šíření „krizových epidemií“ nejen reálným zhoršením ekonomické výkonnosti sousedních zemí, ale i zvýšením subjektivních očekávání investorů ohledně negativních změn.</w:t>
      </w:r>
    </w:p>
    <w:p w14:paraId="12A0B018" w14:textId="35299E81" w:rsidR="00EA7A5D" w:rsidRPr="00A95C26" w:rsidRDefault="00FC0A44" w:rsidP="00641F06">
      <w:pPr>
        <w:pStyle w:val="Normlnweb"/>
        <w:spacing w:before="0" w:beforeAutospacing="0" w:after="150" w:afterAutospacing="0" w:line="360" w:lineRule="auto"/>
        <w:jc w:val="both"/>
        <w:rPr>
          <w:color w:val="000000"/>
        </w:rPr>
      </w:pPr>
      <w:r w:rsidRPr="00A95C26">
        <w:rPr>
          <w:color w:val="000000"/>
        </w:rPr>
        <w:t>V letech 1997–1998 Právě chování davu jako jeden z projevů fenoménu asymetrických informací přispělo k růstu asijské finanční krize. Nejprve vysoký morální hazard a „stádní chování“ vyvolaly prudký příliv krátkodobého kapitálu do rozvojových států východoasijské oblasti. Stimulováno vysokými tempy růstu asijských ekonomik v předkrizovém období</w:t>
      </w:r>
      <w:r w:rsidRPr="00A95C26">
        <w:rPr>
          <w:rStyle w:val="Znakapoznpodarou"/>
          <w:color w:val="000000"/>
        </w:rPr>
        <w:footnoteReference w:id="41"/>
      </w:r>
      <w:r w:rsidR="00754CCA" w:rsidRPr="00A95C26">
        <w:rPr>
          <w:color w:val="000000"/>
        </w:rPr>
        <w:t xml:space="preserve">, </w:t>
      </w:r>
      <w:r w:rsidR="00EA7A5D" w:rsidRPr="00A95C26">
        <w:rPr>
          <w:color w:val="000000"/>
        </w:rPr>
        <w:t xml:space="preserve">kraj se stal prakticky jediným zdrojem financování deficitů platební bilance. Později rozsáhlá panika, která vznikla po zhroucení národní měny Thajska </w:t>
      </w:r>
      <w:r w:rsidR="00EA7A5D" w:rsidRPr="00A95C26">
        <w:rPr>
          <w:rStyle w:val="Znakapoznpodarou"/>
          <w:color w:val="000000"/>
        </w:rPr>
        <w:footnoteReference w:id="42"/>
      </w:r>
      <w:r w:rsidR="00EA7A5D" w:rsidRPr="00A95C26">
        <w:rPr>
          <w:color w:val="000000"/>
        </w:rPr>
        <w:t xml:space="preserve">během prudkého přechodu na free </w:t>
      </w:r>
      <w:proofErr w:type="spellStart"/>
      <w:r w:rsidR="00EA7A5D" w:rsidRPr="00A95C26">
        <w:rPr>
          <w:color w:val="000000"/>
        </w:rPr>
        <w:t>float</w:t>
      </w:r>
      <w:proofErr w:type="spellEnd"/>
      <w:r w:rsidR="00EA7A5D" w:rsidRPr="00A95C26">
        <w:rPr>
          <w:color w:val="000000"/>
        </w:rPr>
        <w:t>, vedla k masivnímu stahování kapitálu. 40% devalvace bahtu vedla ke zvýšení nákladů na obsluhu externích dluhů, ke zhoršení platební pozice a rychlému vynaložení nahromaděných mezinárodních rezerv. Pod vlivem investorské paniky se krize rychle rozšířila na Filipíny, Indonésii, Malajsii a Korejskou republiku, srazila jejich finanční trhy a zaplavila většinu zemí v regionu.</w:t>
      </w:r>
    </w:p>
    <w:p w14:paraId="1B9FB8BF" w14:textId="4A3DD555" w:rsidR="00F72583" w:rsidRPr="00A95C26" w:rsidRDefault="00EA7A5D" w:rsidP="00641F06">
      <w:pPr>
        <w:pStyle w:val="Normlnweb"/>
        <w:spacing w:after="150" w:line="360" w:lineRule="auto"/>
        <w:jc w:val="both"/>
        <w:rPr>
          <w:color w:val="000000"/>
        </w:rPr>
      </w:pPr>
      <w:r w:rsidRPr="00A95C26">
        <w:rPr>
          <w:color w:val="000000"/>
        </w:rPr>
        <w:t>Trendy, které se objevily na čínském akciovém trhu od poloviny roku 2014, byly taženy opatřeními domácí hospodářské politiky ve spojení s touhou zahraničních investorů dosahovat vysokých výnosů.</w:t>
      </w:r>
    </w:p>
    <w:p w14:paraId="461433BC" w14:textId="396AC77F" w:rsidR="00EA7A5D" w:rsidRPr="00A95C26" w:rsidRDefault="00EA7A5D" w:rsidP="00641F06">
      <w:pPr>
        <w:pStyle w:val="Normlnweb"/>
        <w:spacing w:after="150" w:line="360" w:lineRule="auto"/>
        <w:jc w:val="both"/>
        <w:rPr>
          <w:color w:val="000000"/>
        </w:rPr>
      </w:pPr>
      <w:r w:rsidRPr="00A95C26">
        <w:rPr>
          <w:color w:val="000000"/>
        </w:rPr>
        <w:t>Důvěru investorů podkopala také slabost finančního sektoru, který byl zatížen velkými nesplácenými úvěry, vysokou úrovní zadlužení podnikového sektoru a slabým řízením podniků.</w:t>
      </w:r>
      <w:r w:rsidRPr="00A95C26">
        <w:rPr>
          <w:rStyle w:val="Znakapoznpodarou"/>
          <w:color w:val="000000"/>
        </w:rPr>
        <w:footnoteReference w:id="43"/>
      </w:r>
      <w:r w:rsidRPr="00A95C26">
        <w:rPr>
          <w:color w:val="000000"/>
        </w:rPr>
        <w:t xml:space="preserve"> Vzhledem k nedostatečnému rozvoji institucí schopných fungovat jako alternativa k bankovním úvěrům (trh korporátních dluhopisů) ztratily země regionu šance na rychlé zotavení, zlepšení investičních pozic a platební bilance.</w:t>
      </w:r>
      <w:r w:rsidR="00F724D4" w:rsidRPr="00A95C26">
        <w:rPr>
          <w:color w:val="000000"/>
        </w:rPr>
        <w:t xml:space="preserve"> </w:t>
      </w:r>
      <w:r w:rsidRPr="00A95C26">
        <w:rPr>
          <w:color w:val="000000"/>
        </w:rPr>
        <w:t>V</w:t>
      </w:r>
      <w:r w:rsidR="00AD48EF">
        <w:rPr>
          <w:color w:val="000000"/>
        </w:rPr>
        <w:t xml:space="preserve"> </w:t>
      </w:r>
      <w:r w:rsidRPr="00A95C26">
        <w:rPr>
          <w:color w:val="000000"/>
        </w:rPr>
        <w:t>roce 1997 sehrála vysoká vzájemná závislost na pozadí nahromaděné vnitřní strukturální nerovnováhy rozhodující roli při šíření krize z Thajska do ekonomik sousedních zemí.</w:t>
      </w:r>
    </w:p>
    <w:p w14:paraId="34519917" w14:textId="77777777" w:rsidR="00AD48EF" w:rsidRDefault="00AD48EF" w:rsidP="00641F06">
      <w:pPr>
        <w:jc w:val="both"/>
        <w:rPr>
          <w:b/>
          <w:bCs/>
          <w:iCs/>
          <w:sz w:val="28"/>
          <w:szCs w:val="28"/>
        </w:rPr>
      </w:pPr>
      <w:bookmarkStart w:id="66" w:name="_Toc99636467"/>
      <w:r>
        <w:br w:type="page"/>
      </w:r>
    </w:p>
    <w:p w14:paraId="16BB1DA5" w14:textId="3ACF0DCF" w:rsidR="00754CCA" w:rsidRPr="00A95C26" w:rsidRDefault="00A21EC7" w:rsidP="00641F06">
      <w:pPr>
        <w:pStyle w:val="Nadpis2"/>
        <w:jc w:val="both"/>
        <w:rPr>
          <w:lang w:val="cs-CZ"/>
        </w:rPr>
      </w:pPr>
      <w:bookmarkStart w:id="67" w:name="_Toc99657956"/>
      <w:bookmarkStart w:id="68" w:name="_Toc99659316"/>
      <w:r w:rsidRPr="00A95C26">
        <w:rPr>
          <w:lang w:val="cs-CZ"/>
        </w:rPr>
        <w:lastRenderedPageBreak/>
        <w:t>4</w:t>
      </w:r>
      <w:r w:rsidR="00D64834" w:rsidRPr="00A95C26">
        <w:rPr>
          <w:lang w:val="cs-CZ"/>
        </w:rPr>
        <w:t xml:space="preserve">.4 </w:t>
      </w:r>
      <w:r w:rsidR="00F72583" w:rsidRPr="00A95C26">
        <w:rPr>
          <w:lang w:val="cs-CZ"/>
        </w:rPr>
        <w:t>Čínský kolaps</w:t>
      </w:r>
      <w:bookmarkEnd w:id="66"/>
      <w:bookmarkEnd w:id="67"/>
      <w:bookmarkEnd w:id="68"/>
    </w:p>
    <w:p w14:paraId="284EAF70" w14:textId="77777777" w:rsidR="00C45F54" w:rsidRPr="00A95C26" w:rsidRDefault="00EA7A5D" w:rsidP="00641F06">
      <w:pPr>
        <w:pStyle w:val="Normlnweb"/>
        <w:spacing w:before="0" w:beforeAutospacing="0" w:after="150" w:afterAutospacing="0" w:line="360" w:lineRule="auto"/>
        <w:jc w:val="both"/>
        <w:rPr>
          <w:color w:val="000000"/>
        </w:rPr>
      </w:pPr>
      <w:r w:rsidRPr="00A95C26">
        <w:rPr>
          <w:color w:val="000000"/>
        </w:rPr>
        <w:t xml:space="preserve">Trvalý pokles akciových indexů ve většině východoasijských zemí začal již v polovině dubna 2015, dlouho před červencovým kolapsem čínské burzy. Do poloviny července již indonéský </w:t>
      </w:r>
      <w:proofErr w:type="spellStart"/>
      <w:r w:rsidRPr="00A95C26">
        <w:rPr>
          <w:color w:val="000000"/>
        </w:rPr>
        <w:t>CompositeIndex</w:t>
      </w:r>
      <w:proofErr w:type="spellEnd"/>
      <w:r w:rsidRPr="00A95C26">
        <w:rPr>
          <w:color w:val="000000"/>
        </w:rPr>
        <w:t xml:space="preserve"> oproti polovině dubna klesl o 11,5 %. Malajský FTSE Bursa </w:t>
      </w:r>
      <w:proofErr w:type="spellStart"/>
      <w:r w:rsidRPr="00A95C26">
        <w:rPr>
          <w:color w:val="000000"/>
        </w:rPr>
        <w:t>Malaysia</w:t>
      </w:r>
      <w:proofErr w:type="spellEnd"/>
      <w:r w:rsidRPr="00A95C26">
        <w:rPr>
          <w:color w:val="000000"/>
        </w:rPr>
        <w:t xml:space="preserve"> KLCI ztratil 6,5 %, singapurský STI 4,9 %, thajský </w:t>
      </w:r>
      <w:proofErr w:type="spellStart"/>
      <w:r w:rsidRPr="00A95C26">
        <w:rPr>
          <w:color w:val="000000"/>
        </w:rPr>
        <w:t>iShares</w:t>
      </w:r>
      <w:proofErr w:type="spellEnd"/>
      <w:r w:rsidRPr="00A95C26">
        <w:rPr>
          <w:color w:val="000000"/>
        </w:rPr>
        <w:t xml:space="preserve"> MSCI </w:t>
      </w:r>
      <w:proofErr w:type="spellStart"/>
      <w:r w:rsidRPr="00A95C26">
        <w:rPr>
          <w:color w:val="000000"/>
        </w:rPr>
        <w:t>Thailand</w:t>
      </w:r>
      <w:proofErr w:type="spellEnd"/>
      <w:r w:rsidRPr="00A95C26">
        <w:rPr>
          <w:color w:val="000000"/>
        </w:rPr>
        <w:t xml:space="preserve"> </w:t>
      </w:r>
      <w:proofErr w:type="spellStart"/>
      <w:r w:rsidRPr="00A95C26">
        <w:rPr>
          <w:color w:val="000000"/>
        </w:rPr>
        <w:t>Capped</w:t>
      </w:r>
      <w:proofErr w:type="spellEnd"/>
      <w:r w:rsidRPr="00A95C26">
        <w:rPr>
          <w:color w:val="000000"/>
        </w:rPr>
        <w:t xml:space="preserve"> (THD) 13,8 %, zatímco filipínský </w:t>
      </w:r>
      <w:proofErr w:type="spellStart"/>
      <w:r w:rsidRPr="00A95C26">
        <w:rPr>
          <w:color w:val="000000"/>
        </w:rPr>
        <w:t>PSEi</w:t>
      </w:r>
      <w:proofErr w:type="spellEnd"/>
      <w:r w:rsidRPr="00A95C26">
        <w:rPr>
          <w:color w:val="000000"/>
        </w:rPr>
        <w:t xml:space="preserve"> </w:t>
      </w:r>
      <w:proofErr w:type="spellStart"/>
      <w:r w:rsidRPr="00A95C26">
        <w:rPr>
          <w:color w:val="000000"/>
        </w:rPr>
        <w:t>Composite</w:t>
      </w:r>
      <w:proofErr w:type="spellEnd"/>
      <w:r w:rsidRPr="00A95C26">
        <w:rPr>
          <w:color w:val="000000"/>
        </w:rPr>
        <w:t xml:space="preserve"> za stejné období ztratil 6,8 </w:t>
      </w:r>
      <w:proofErr w:type="gramStart"/>
      <w:r w:rsidRPr="00A95C26">
        <w:rPr>
          <w:color w:val="000000"/>
        </w:rPr>
        <w:t xml:space="preserve">% </w:t>
      </w:r>
      <w:r w:rsidR="00183BD6" w:rsidRPr="00A95C26">
        <w:rPr>
          <w:color w:val="000000"/>
        </w:rPr>
        <w:t>.</w:t>
      </w:r>
      <w:proofErr w:type="gramEnd"/>
    </w:p>
    <w:p w14:paraId="62CD1580" w14:textId="55188261" w:rsidR="00F72583" w:rsidRPr="00A95C26" w:rsidRDefault="00F72583" w:rsidP="00641F06">
      <w:pPr>
        <w:pStyle w:val="Normlnweb"/>
        <w:spacing w:before="0" w:beforeAutospacing="0" w:after="150" w:afterAutospacing="0" w:line="360" w:lineRule="auto"/>
        <w:jc w:val="both"/>
        <w:rPr>
          <w:color w:val="000000"/>
        </w:rPr>
      </w:pPr>
      <w:r w:rsidRPr="00A95C26">
        <w:rPr>
          <w:color w:val="000000"/>
        </w:rPr>
        <w:t>Graf 5. Dynamika akciových indexů státu východní Asie</w:t>
      </w:r>
      <w:r w:rsidR="00C30E57" w:rsidRPr="00A95C26">
        <w:rPr>
          <w:color w:val="000000"/>
        </w:rPr>
        <w:t xml:space="preserve"> </w:t>
      </w:r>
    </w:p>
    <w:p w14:paraId="02CB6080" w14:textId="7A442592" w:rsidR="00183BD6" w:rsidRPr="00A95C26" w:rsidRDefault="00400C49" w:rsidP="00641F06">
      <w:pPr>
        <w:spacing w:line="360" w:lineRule="auto"/>
        <w:jc w:val="both"/>
        <w:rPr>
          <w:color w:val="000000"/>
        </w:rPr>
      </w:pPr>
      <w:r w:rsidRPr="00A95C26">
        <w:rPr>
          <w:noProof/>
          <w:color w:val="000000"/>
        </w:rPr>
        <w:drawing>
          <wp:inline distT="0" distB="0" distL="0" distR="0" wp14:anchorId="2362468E" wp14:editId="764E74DF">
            <wp:extent cx="5382227" cy="412853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2-03-31 в 2.09.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9694" cy="4134266"/>
                    </a:xfrm>
                    <a:prstGeom prst="rect">
                      <a:avLst/>
                    </a:prstGeom>
                  </pic:spPr>
                </pic:pic>
              </a:graphicData>
            </a:graphic>
          </wp:inline>
        </w:drawing>
      </w:r>
    </w:p>
    <w:p w14:paraId="1413BCB5" w14:textId="77B1A4C6" w:rsidR="00400C49" w:rsidRPr="00A95C26" w:rsidRDefault="00F72583" w:rsidP="00641F06">
      <w:pPr>
        <w:pStyle w:val="Normlnweb"/>
        <w:spacing w:after="150" w:line="360" w:lineRule="auto"/>
        <w:jc w:val="both"/>
        <w:rPr>
          <w:rStyle w:val="Zdraznn"/>
          <w:i w:val="0"/>
          <w:iCs w:val="0"/>
        </w:rPr>
      </w:pPr>
      <w:r w:rsidRPr="00A95C26">
        <w:rPr>
          <w:rStyle w:val="Zdraznn"/>
          <w:i w:val="0"/>
          <w:iCs w:val="0"/>
          <w:color w:val="000000" w:themeColor="text1"/>
        </w:rPr>
        <w:t>Zdroj</w:t>
      </w:r>
      <w:r w:rsidR="00C30E57" w:rsidRPr="00A95C26">
        <w:t xml:space="preserve">: </w:t>
      </w:r>
      <w:proofErr w:type="spellStart"/>
      <w:r w:rsidR="00C30E57" w:rsidRPr="00A95C26">
        <w:t>Asia</w:t>
      </w:r>
      <w:proofErr w:type="spellEnd"/>
      <w:r w:rsidR="00C30E57" w:rsidRPr="00A95C26">
        <w:t xml:space="preserve"> </w:t>
      </w:r>
      <w:proofErr w:type="spellStart"/>
      <w:r w:rsidR="00C30E57" w:rsidRPr="00A95C26">
        <w:t>Nikkei</w:t>
      </w:r>
      <w:proofErr w:type="spellEnd"/>
      <w:r w:rsidR="00BD7A1E" w:rsidRPr="00A95C26">
        <w:t xml:space="preserve"> </w:t>
      </w:r>
      <w:hyperlink r:id="rId20" w:history="1">
        <w:r w:rsidR="00AD48EF" w:rsidRPr="00F77E28">
          <w:rPr>
            <w:rStyle w:val="Hypertextovodkaz"/>
          </w:rPr>
          <w:t>https://asia.nikkei.com/Spotlight/Market-Spotlight/Why-China-s-stock-market-tumble-is-giving-India-s-a-lift</w:t>
        </w:r>
      </w:hyperlink>
      <w:r w:rsidR="00AD48EF">
        <w:rPr>
          <w:rStyle w:val="Zdraznn"/>
          <w:i w:val="0"/>
          <w:iCs w:val="0"/>
          <w:color w:val="000000" w:themeColor="text1"/>
        </w:rPr>
        <w:t xml:space="preserve"> </w:t>
      </w:r>
    </w:p>
    <w:p w14:paraId="2846DDA5" w14:textId="580EF3A1" w:rsidR="0025412A" w:rsidRPr="00A95C26" w:rsidRDefault="0025412A" w:rsidP="00641F06">
      <w:pPr>
        <w:spacing w:line="360" w:lineRule="auto"/>
        <w:jc w:val="both"/>
        <w:rPr>
          <w:color w:val="000000"/>
        </w:rPr>
      </w:pPr>
      <w:r w:rsidRPr="00A95C26">
        <w:rPr>
          <w:color w:val="000000"/>
        </w:rPr>
        <w:t xml:space="preserve">Nutno </w:t>
      </w:r>
      <w:r w:rsidR="00BD7A1E" w:rsidRPr="00A95C26">
        <w:rPr>
          <w:color w:val="000000"/>
        </w:rPr>
        <w:t>uvést</w:t>
      </w:r>
      <w:r w:rsidRPr="00A95C26">
        <w:rPr>
          <w:color w:val="000000"/>
        </w:rPr>
        <w:t>, že Čína je jedinou země v </w:t>
      </w:r>
      <w:proofErr w:type="gramStart"/>
      <w:r w:rsidRPr="00A95C26">
        <w:rPr>
          <w:color w:val="000000"/>
        </w:rPr>
        <w:t>regionu</w:t>
      </w:r>
      <w:proofErr w:type="gramEnd"/>
      <w:r w:rsidRPr="00A95C26">
        <w:rPr>
          <w:color w:val="000000"/>
        </w:rPr>
        <w:t xml:space="preserve"> </w:t>
      </w:r>
      <w:r w:rsidR="00BD7A1E" w:rsidRPr="00A95C26">
        <w:rPr>
          <w:color w:val="000000"/>
        </w:rPr>
        <w:t>která</w:t>
      </w:r>
      <w:r w:rsidRPr="00A95C26">
        <w:rPr>
          <w:color w:val="000000"/>
        </w:rPr>
        <w:t xml:space="preserve"> se vyznačovala opačným trendem: v předkrizových měsících byl trend čínského indexu SSE </w:t>
      </w:r>
      <w:proofErr w:type="spellStart"/>
      <w:r w:rsidRPr="00A95C26">
        <w:rPr>
          <w:color w:val="000000"/>
        </w:rPr>
        <w:t>Composite</w:t>
      </w:r>
      <w:proofErr w:type="spellEnd"/>
      <w:r w:rsidRPr="00A95C26">
        <w:rPr>
          <w:color w:val="000000"/>
        </w:rPr>
        <w:t xml:space="preserve"> nejen vzestupný, ale vykazoval i rychlý růst – od dubna do V červnu index vzrostl o více než 20 %. Stabilní tempa růstu se přitom udržela v úhrnu po celý rok (od července 2014).</w:t>
      </w:r>
    </w:p>
    <w:p w14:paraId="41B1BAEA" w14:textId="77777777" w:rsidR="0025412A" w:rsidRPr="00A95C26" w:rsidRDefault="0025412A" w:rsidP="00641F06">
      <w:pPr>
        <w:spacing w:line="360" w:lineRule="auto"/>
        <w:jc w:val="both"/>
        <w:rPr>
          <w:color w:val="000000"/>
        </w:rPr>
      </w:pPr>
      <w:r w:rsidRPr="00A95C26">
        <w:rPr>
          <w:color w:val="000000"/>
        </w:rPr>
        <w:t xml:space="preserve">Nízká korelace mezi dynamikou akciového trhu v Číně a trendy na akciových trzích sousedních zemí je zřejmá. Pokud byl korelační koeficient indexů Japonska a Korejské republiky s čínským </w:t>
      </w:r>
      <w:r w:rsidRPr="00A95C26">
        <w:rPr>
          <w:color w:val="000000"/>
        </w:rPr>
        <w:lastRenderedPageBreak/>
        <w:t xml:space="preserve">SSE </w:t>
      </w:r>
      <w:proofErr w:type="spellStart"/>
      <w:r w:rsidRPr="00A95C26">
        <w:rPr>
          <w:color w:val="000000"/>
        </w:rPr>
        <w:t>Composite</w:t>
      </w:r>
      <w:proofErr w:type="spellEnd"/>
      <w:r w:rsidRPr="00A95C26">
        <w:rPr>
          <w:color w:val="000000"/>
        </w:rPr>
        <w:t xml:space="preserve"> Index od ledna 2015 do března 2016 na úrovni 0,8, respektive 0,78, pak pro trhy zemí ASEAN-5 odpovídající ukazatel se ukázal být výrazně nižší: Singapur - 0,66, Thajsko - 0,48, Indonésie - 0,42, Malajsie - 0,41.</w:t>
      </w:r>
    </w:p>
    <w:p w14:paraId="5A5C70C8" w14:textId="75F64E61" w:rsidR="0025412A" w:rsidRPr="00A95C26" w:rsidRDefault="0025412A" w:rsidP="00641F06">
      <w:pPr>
        <w:spacing w:line="360" w:lineRule="auto"/>
        <w:jc w:val="both"/>
        <w:rPr>
          <w:color w:val="000000"/>
        </w:rPr>
      </w:pPr>
      <w:r w:rsidRPr="00A95C26">
        <w:rPr>
          <w:color w:val="000000"/>
        </w:rPr>
        <w:t xml:space="preserve">Trendy, které se objevily na čínském akciovém trhu od poloviny roku 2014, byly způsobeny opatřeními domácí hospodářské politiky (reformy ve finančním sektoru </w:t>
      </w:r>
      <w:r w:rsidR="008B7226" w:rsidRPr="00A95C26">
        <w:rPr>
          <w:rStyle w:val="Znakapoznpodarou"/>
          <w:color w:val="000000"/>
        </w:rPr>
        <w:footnoteReference w:id="44"/>
      </w:r>
      <w:r w:rsidRPr="00A95C26">
        <w:rPr>
          <w:color w:val="000000"/>
        </w:rPr>
        <w:t>), v kombinaci s touhou zahraničních investorů získat vysoké zisky a rychle využít nové příležitosti.</w:t>
      </w:r>
    </w:p>
    <w:p w14:paraId="4BCF182F" w14:textId="77777777" w:rsidR="00F724D4" w:rsidRPr="00A95C26" w:rsidRDefault="00F724D4" w:rsidP="00641F06">
      <w:pPr>
        <w:spacing w:line="360" w:lineRule="auto"/>
        <w:jc w:val="both"/>
        <w:rPr>
          <w:color w:val="000000"/>
        </w:rPr>
      </w:pPr>
    </w:p>
    <w:p w14:paraId="7FC9FE8C" w14:textId="3EA7EB95" w:rsidR="00183BD6" w:rsidRPr="00A95C26" w:rsidRDefault="0025412A" w:rsidP="00641F06">
      <w:pPr>
        <w:spacing w:line="360" w:lineRule="auto"/>
        <w:jc w:val="both"/>
        <w:rPr>
          <w:color w:val="000000"/>
        </w:rPr>
      </w:pPr>
      <w:r w:rsidRPr="00A95C26">
        <w:rPr>
          <w:color w:val="000000"/>
        </w:rPr>
        <w:t xml:space="preserve">Určité omezení přístupu k domácím finančním zdrojům bylo ovlivněno následujícími faktory: vstup do </w:t>
      </w:r>
      <w:proofErr w:type="spellStart"/>
      <w:r w:rsidRPr="00A95C26">
        <w:rPr>
          <w:color w:val="000000"/>
        </w:rPr>
        <w:t>Basel</w:t>
      </w:r>
      <w:proofErr w:type="spellEnd"/>
      <w:r w:rsidRPr="00A95C26">
        <w:rPr>
          <w:color w:val="000000"/>
        </w:rPr>
        <w:t xml:space="preserve"> III </w:t>
      </w:r>
      <w:r w:rsidR="00F724D4" w:rsidRPr="00A95C26">
        <w:rPr>
          <w:rStyle w:val="Znakapoznpodarou"/>
          <w:color w:val="000000"/>
        </w:rPr>
        <w:footnoteReference w:id="45"/>
      </w:r>
      <w:r w:rsidRPr="00A95C26">
        <w:rPr>
          <w:color w:val="000000"/>
        </w:rPr>
        <w:t xml:space="preserve"> v roce 2013 s přísnějšími kvantitativními parametry; provedení bankovní reformy zaměřené na posílení tržní disciplíny bank a minimalizaci rizik v podmínkách vysoké úvěrové náročnosti čínské ekonomiky; posílení dohledu nad neformálním bankovnictvím, jedním z klíčových zdrojů růstu čínské ekonomiky.</w:t>
      </w:r>
    </w:p>
    <w:p w14:paraId="09B00806" w14:textId="18947BF3" w:rsidR="00183BD6" w:rsidRPr="00A95C26" w:rsidRDefault="0025412A" w:rsidP="00641F06">
      <w:pPr>
        <w:spacing w:line="360" w:lineRule="auto"/>
        <w:jc w:val="both"/>
      </w:pPr>
      <w:r w:rsidRPr="00A95C26">
        <w:rPr>
          <w:color w:val="000000"/>
        </w:rPr>
        <w:t>V souvislosti s udržením poměrně vysokých, i když poněkud klesajících temp růstu čínské ekonomiky, se do země nahrnul kapitál, včetně spekulativního. Prudký příliv kapitálu vyvolal kurz k liberalizaci finančních trhů, který byl považován za jeden z klíčových prvků strukturální restrukturalizace ekonomiky, vyhlášený na konci 3. pléna ÚV KSČ (listopad 2013). Vliv měla i postupná liberalizace úrokových sazeb a implementace pilotního programu „</w:t>
      </w:r>
      <w:proofErr w:type="spellStart"/>
      <w:r w:rsidRPr="00A95C26">
        <w:rPr>
          <w:color w:val="000000"/>
        </w:rPr>
        <w:t>Shanghai</w:t>
      </w:r>
      <w:proofErr w:type="spellEnd"/>
      <w:r w:rsidRPr="00A95C26">
        <w:rPr>
          <w:color w:val="000000"/>
        </w:rPr>
        <w:t xml:space="preserve">-Hong Kong </w:t>
      </w:r>
      <w:proofErr w:type="spellStart"/>
      <w:r w:rsidRPr="00A95C26">
        <w:rPr>
          <w:color w:val="000000"/>
        </w:rPr>
        <w:t>Stock</w:t>
      </w:r>
      <w:proofErr w:type="spellEnd"/>
      <w:r w:rsidRPr="00A95C26">
        <w:rPr>
          <w:color w:val="000000"/>
        </w:rPr>
        <w:t xml:space="preserve"> </w:t>
      </w:r>
      <w:proofErr w:type="spellStart"/>
      <w:r w:rsidRPr="00A95C26">
        <w:rPr>
          <w:color w:val="000000"/>
        </w:rPr>
        <w:t>Connect</w:t>
      </w:r>
      <w:proofErr w:type="spellEnd"/>
      <w:r w:rsidRPr="00A95C26">
        <w:rPr>
          <w:color w:val="000000"/>
        </w:rPr>
        <w:t xml:space="preserve">“, zahájeného v listopadu 2014. V rozvojových zemích asijsko-pacifického regionu v průměru třetiny oproti 55 % </w:t>
      </w:r>
      <w:r w:rsidRPr="00A95C26">
        <w:rPr>
          <w:rStyle w:val="Znakapoznpodarou"/>
          <w:color w:val="000000"/>
        </w:rPr>
        <w:footnoteReference w:id="46"/>
      </w:r>
      <w:r w:rsidRPr="00A95C26">
        <w:rPr>
          <w:color w:val="000000"/>
        </w:rPr>
        <w:t>, s relativně malým výběrem způsobů investování finančních prostředků, vyvolalo boom na trhu nemovitostí a cenných papírů. To dále otřáslo čínskou ekonomikou a zvýšilo její zranitelnost. Není divu, že rok po začátku rychlého růstu finanční bublina praskla a akciový trh se během jednoho dne propadl o 8,5 %.</w:t>
      </w:r>
    </w:p>
    <w:p w14:paraId="5DF0B70D" w14:textId="50A543F3" w:rsidR="0025412A" w:rsidRPr="00A95C26" w:rsidRDefault="00A21EC7" w:rsidP="00641F06">
      <w:pPr>
        <w:pStyle w:val="Nadpis2"/>
        <w:jc w:val="both"/>
        <w:rPr>
          <w:lang w:val="cs-CZ"/>
        </w:rPr>
      </w:pPr>
      <w:bookmarkStart w:id="69" w:name="_Toc99636468"/>
      <w:bookmarkStart w:id="70" w:name="_Toc99657957"/>
      <w:bookmarkStart w:id="71" w:name="_Toc99659317"/>
      <w:r w:rsidRPr="00A95C26">
        <w:rPr>
          <w:lang w:val="cs-CZ"/>
        </w:rPr>
        <w:t>4</w:t>
      </w:r>
      <w:r w:rsidR="00D64834" w:rsidRPr="00A95C26">
        <w:rPr>
          <w:lang w:val="cs-CZ"/>
        </w:rPr>
        <w:t xml:space="preserve">.5 </w:t>
      </w:r>
      <w:r w:rsidR="0025412A" w:rsidRPr="00A95C26">
        <w:rPr>
          <w:lang w:val="cs-CZ"/>
        </w:rPr>
        <w:t>Průběh finanční a hospodářské krize v Číně</w:t>
      </w:r>
      <w:bookmarkEnd w:id="69"/>
      <w:bookmarkEnd w:id="70"/>
      <w:bookmarkEnd w:id="71"/>
    </w:p>
    <w:p w14:paraId="79967197" w14:textId="750B24B5" w:rsidR="0025412A" w:rsidRPr="00A95C26" w:rsidRDefault="0025412A" w:rsidP="00641F06">
      <w:pPr>
        <w:pStyle w:val="Normlnweb"/>
        <w:spacing w:after="150" w:line="360" w:lineRule="auto"/>
        <w:jc w:val="both"/>
        <w:rPr>
          <w:color w:val="000000"/>
        </w:rPr>
      </w:pPr>
      <w:r w:rsidRPr="00A95C26">
        <w:rPr>
          <w:color w:val="000000"/>
        </w:rPr>
        <w:t>Finanční krize, která se odehrála v Číně v létě 2015 s masivním poklesem cen na akciovém trhu, jasně ukázala mnohem větší povahu ekonomického dluhu, výroby, prodeje a disproporcí.</w:t>
      </w:r>
      <w:r w:rsidR="00BD7A1E" w:rsidRPr="00A95C26">
        <w:rPr>
          <w:color w:val="000000"/>
        </w:rPr>
        <w:t xml:space="preserve"> </w:t>
      </w:r>
      <w:r w:rsidRPr="00A95C26">
        <w:rPr>
          <w:color w:val="000000"/>
        </w:rPr>
        <w:t>V období vrcholného poklesu cen na čínském akciovém trhu situace se přiblížila k hranici kritické regulační smyčky.</w:t>
      </w:r>
    </w:p>
    <w:p w14:paraId="49AF7812" w14:textId="60FC5AC7" w:rsidR="00F8266C" w:rsidRPr="00A95C26" w:rsidRDefault="0025412A" w:rsidP="00641F06">
      <w:pPr>
        <w:pStyle w:val="Normlnweb"/>
        <w:spacing w:before="0" w:beforeAutospacing="0" w:after="150" w:afterAutospacing="0" w:line="360" w:lineRule="auto"/>
        <w:jc w:val="both"/>
        <w:rPr>
          <w:color w:val="000000"/>
        </w:rPr>
      </w:pPr>
      <w:r w:rsidRPr="00A95C26">
        <w:rPr>
          <w:color w:val="000000"/>
        </w:rPr>
        <w:lastRenderedPageBreak/>
        <w:t>V jádru této krize je řada vážných ekonomických nerovnováh</w:t>
      </w:r>
      <w:r w:rsidR="00F8266C" w:rsidRPr="00A95C26">
        <w:rPr>
          <w:color w:val="000000"/>
        </w:rPr>
        <w:t>.</w:t>
      </w:r>
      <w:r w:rsidR="007B3992" w:rsidRPr="00A95C26">
        <w:rPr>
          <w:rStyle w:val="Znakapoznpodarou"/>
          <w:color w:val="000000"/>
        </w:rPr>
        <w:footnoteReference w:id="47"/>
      </w:r>
      <w:r w:rsidR="00F8266C" w:rsidRPr="00A95C26">
        <w:rPr>
          <w:color w:val="000000"/>
        </w:rPr>
        <w:t xml:space="preserve"> </w:t>
      </w:r>
      <w:r w:rsidRPr="00A95C26">
        <w:rPr>
          <w:color w:val="000000"/>
        </w:rPr>
        <w:t>Čína má podobný problém jako USA. Čína má podobné problémy s USA, zavádí stejné strategie jako západní země. Podstatou těchto strategií je, že růst ukazatelů ekonomického rozvoje je konstruován uměle v důsledku růstu cen nemovitostí, růstu cen akcií a nadměrné výrobní kapacity. Přestože opatření vlády ČLR zaměřená na stimulaci infrastrukturních programů pomohla udržet růst čínské ekonomiky na 7,5 %, tempo růstu HDP rychle klesalo a podíl uměle nafouknutých finančních a akciových ukazatelů dále rostl. Celkové zatížení veřejného a soukromého dluhu Číny dosáhlo v roce 2014 250 % HDP. Další pozornost by měla být věnována obzvláště rychlému nárůstu dluhu finančního sektoru. V roce 2000 činil podíl finančního sektoru na celkovém dluhu Číny 5,8 %, v roce 2007 15,2 % a v roce 2014 dosáhl 23 %.</w:t>
      </w:r>
    </w:p>
    <w:p w14:paraId="069E9179" w14:textId="77777777" w:rsidR="00A61A7C" w:rsidRPr="00A95C26" w:rsidRDefault="00A61A7C" w:rsidP="00641F06">
      <w:pPr>
        <w:pStyle w:val="Normlnweb"/>
        <w:spacing w:after="150" w:line="360" w:lineRule="auto"/>
        <w:jc w:val="both"/>
        <w:rPr>
          <w:color w:val="000000"/>
        </w:rPr>
      </w:pPr>
      <w:r w:rsidRPr="00A95C26">
        <w:rPr>
          <w:color w:val="000000"/>
        </w:rPr>
        <w:t>Vzhledem k průměrnému tempu růstu čínské ekonomiky ve výši 9–10 % ročně přispěla čínská finanční politika k dobrovolnému nucenému stažení finančních prostředků od obyvatelstva ve veřejném bankovním a výrobním sektoru a poskytla levný zdroj finanční základny pro investice. Zároveň bylo obyvatelstvo připraveno o většinu přebytečných finančních prostředků, které by mohly zajistit poptávku po rostoucí produkci čínských podniků. Dříve byl růst spotřeby čínského zboží zajišťován spotřebiteli ve Spojených státech a Evropské unii. To však bylo pozorováno až do roku 2008: finanční krize snížila poptávku, a to i po čínském zboží, což vedlo k problému existence přebytečných investičních a výrobních kapacit v Číně.</w:t>
      </w:r>
    </w:p>
    <w:p w14:paraId="52CEE906" w14:textId="77777777" w:rsidR="00A61A7C" w:rsidRPr="00A95C26" w:rsidRDefault="00A61A7C" w:rsidP="00641F06">
      <w:pPr>
        <w:pStyle w:val="Normlnweb"/>
        <w:spacing w:before="0" w:beforeAutospacing="0" w:after="150" w:afterAutospacing="0" w:line="360" w:lineRule="auto"/>
        <w:jc w:val="both"/>
        <w:rPr>
          <w:color w:val="000000"/>
        </w:rPr>
      </w:pPr>
      <w:r w:rsidRPr="00A95C26">
        <w:rPr>
          <w:color w:val="000000"/>
        </w:rPr>
        <w:t>(např. kapacity čínských metalurgů umožňují výrobu až 1,2 mld. tun výrobků, i když v roce 2015 se předpokládá výroba ve výši cca 800 mil. tun)</w:t>
      </w:r>
    </w:p>
    <w:p w14:paraId="55CE7E81" w14:textId="77777777" w:rsidR="00A61A7C" w:rsidRPr="00A95C26" w:rsidRDefault="00A61A7C" w:rsidP="00641F06">
      <w:pPr>
        <w:pStyle w:val="Normlnweb"/>
        <w:spacing w:after="150" w:line="360" w:lineRule="auto"/>
        <w:jc w:val="both"/>
        <w:rPr>
          <w:color w:val="000000"/>
        </w:rPr>
      </w:pPr>
      <w:r w:rsidRPr="00A95C26">
        <w:rPr>
          <w:color w:val="000000"/>
        </w:rPr>
        <w:t>Podstatné je, že i přes pokles efektivnosti investic se jejich podíl na čínském HDP po roce 2008 prudce zvýšil ze 42 na 48,8 %.</w:t>
      </w:r>
    </w:p>
    <w:p w14:paraId="65D45000" w14:textId="35744ED7" w:rsidR="001B4B88" w:rsidRPr="00A95C26" w:rsidRDefault="00A61A7C" w:rsidP="00641F06">
      <w:pPr>
        <w:pStyle w:val="Normlnweb"/>
        <w:spacing w:before="0" w:beforeAutospacing="0" w:after="150" w:afterAutospacing="0" w:line="360" w:lineRule="auto"/>
        <w:jc w:val="both"/>
        <w:rPr>
          <w:color w:val="000000"/>
        </w:rPr>
      </w:pPr>
      <w:r w:rsidRPr="00A95C26">
        <w:rPr>
          <w:color w:val="000000"/>
        </w:rPr>
        <w:t xml:space="preserve">Tento proces charakterizuje podstatu čínské investiční politiky – důraz není kladen na zisk čínských podniků, ale na udržení vysokého tempa hospodářského růstu jakýmkoli způsobem. Moderní čínské investice provádějí především státní podniky na úkor veřejných prostředků a jsou zaměřeny na realizaci infrastrukturních projektů. To znamená, že kvazi poptávku po produktech čínských podniků zajišťuje výhradně stát v rámci realizace Taková politika vede k soustavnému zvyšování dluhového zatížení čínského národního hospodářství a s extrémně kontroverzními vyhlídkami na návratnost v blízké budoucnosti, přičemž hromadí přebytečnou </w:t>
      </w:r>
      <w:r w:rsidRPr="00A95C26">
        <w:rPr>
          <w:color w:val="000000"/>
        </w:rPr>
        <w:lastRenderedPageBreak/>
        <w:t>likviditu, hledá uplatnění v čínské ekonomice prostřednictvím zvýšené spekulace na čínském akciovém trhu. s přihlédnutím k omezením čínských soukromých investic v zahraničí</w:t>
      </w:r>
      <w:r w:rsidR="009F4A23" w:rsidRPr="00A95C26">
        <w:rPr>
          <w:color w:val="000000"/>
        </w:rPr>
        <w:t>.</w:t>
      </w:r>
      <w:r w:rsidR="00111CB9" w:rsidRPr="00A95C26">
        <w:rPr>
          <w:rStyle w:val="Znakapoznpodarou"/>
          <w:color w:val="000000"/>
        </w:rPr>
        <w:footnoteReference w:id="48"/>
      </w:r>
    </w:p>
    <w:p w14:paraId="734C97F2" w14:textId="77777777" w:rsidR="00A61A7C" w:rsidRPr="00A95C26" w:rsidRDefault="00A61A7C" w:rsidP="00641F06">
      <w:pPr>
        <w:pStyle w:val="Normlnweb"/>
        <w:spacing w:after="150" w:line="360" w:lineRule="auto"/>
        <w:jc w:val="both"/>
        <w:rPr>
          <w:color w:val="000000"/>
        </w:rPr>
      </w:pPr>
      <w:r w:rsidRPr="00A95C26">
        <w:rPr>
          <w:color w:val="000000"/>
        </w:rPr>
        <w:t>Čína má exportně orientovanou ekonomiku. To znamená, že hlavní zisk v tuzemsku pochází z prodeje zboží nikoli v tuzemsku, ale v zahraničí.</w:t>
      </w:r>
      <w:r w:rsidR="009F4A23" w:rsidRPr="00A95C26">
        <w:rPr>
          <w:color w:val="000000"/>
        </w:rPr>
        <w:t>,</w:t>
      </w:r>
      <w:r w:rsidR="00E331AE" w:rsidRPr="00A95C26">
        <w:rPr>
          <w:rStyle w:val="Znakapoznpodarou"/>
          <w:color w:val="000000"/>
        </w:rPr>
        <w:footnoteReference w:id="49"/>
      </w:r>
      <w:r w:rsidR="009F4A23" w:rsidRPr="00A95C26">
        <w:rPr>
          <w:color w:val="000000"/>
        </w:rPr>
        <w:t xml:space="preserve"> </w:t>
      </w:r>
      <w:r w:rsidRPr="00A95C26">
        <w:rPr>
          <w:color w:val="000000"/>
        </w:rPr>
        <w:t>to znamená, že investice implikují zvýšení exportu. Zpomalení růstu exportu nebo, což je extrémně nebezpečné, pokles exportu vede k podobnému návratu zátěže na státní rozpočet, jako tomu bylo například v SSSR.</w:t>
      </w:r>
    </w:p>
    <w:p w14:paraId="70F1D5C3" w14:textId="5C6E2243" w:rsidR="00485E6A" w:rsidRPr="00A95C26" w:rsidRDefault="00A61A7C" w:rsidP="00641F06">
      <w:pPr>
        <w:pStyle w:val="Normlnweb"/>
        <w:spacing w:before="0" w:beforeAutospacing="0" w:after="150" w:afterAutospacing="0" w:line="360" w:lineRule="auto"/>
        <w:jc w:val="both"/>
        <w:rPr>
          <w:color w:val="000000"/>
        </w:rPr>
      </w:pPr>
      <w:r w:rsidRPr="00A95C26">
        <w:rPr>
          <w:color w:val="000000"/>
        </w:rPr>
        <w:t>Snížení tempa růstu čínského zahraničního obchodu v roce 2015 nabralo katastrofální tempo. V březnu 2015 klesly čínské exportní tržby o 15 % procent a dovozy klesají nejrychlejším tempem od začátku světové finanční krize V dolarovém vyjádření se čínský export v květnu 2015 propadl o 2,5 % ve srovnání se stejným měsícem roku 2014, import o 17,6 %.</w:t>
      </w:r>
    </w:p>
    <w:p w14:paraId="374906B9" w14:textId="77777777" w:rsidR="00A61A7C" w:rsidRPr="00A95C26" w:rsidRDefault="00A61A7C" w:rsidP="00641F06">
      <w:pPr>
        <w:pStyle w:val="Normlnweb"/>
        <w:spacing w:before="0" w:beforeAutospacing="0" w:after="150" w:afterAutospacing="0" w:line="360" w:lineRule="auto"/>
        <w:jc w:val="both"/>
        <w:rPr>
          <w:color w:val="000000"/>
        </w:rPr>
      </w:pPr>
      <w:r w:rsidRPr="00A95C26">
        <w:rPr>
          <w:color w:val="000000"/>
        </w:rPr>
        <w:t>Celkově v lednu až květnu 2015 celkový obrat zahraničního obchodu Číny klesl o 8 % ve srovnání se stejným obdobím roku 2014, zatímco vláda ČLR očekává, že tento ukazatel v roce 2015 poroste o 6 %.</w:t>
      </w:r>
    </w:p>
    <w:p w14:paraId="243C8915" w14:textId="77777777" w:rsidR="008A42FD" w:rsidRPr="00A95C26" w:rsidRDefault="008A42FD" w:rsidP="00641F06">
      <w:pPr>
        <w:pStyle w:val="Normlnweb"/>
        <w:spacing w:after="150" w:line="360" w:lineRule="auto"/>
        <w:jc w:val="both"/>
        <w:rPr>
          <w:color w:val="000000"/>
        </w:rPr>
      </w:pPr>
      <w:r w:rsidRPr="00A95C26">
        <w:rPr>
          <w:color w:val="000000"/>
        </w:rPr>
        <w:t>Rok 2014 byl ve velkých čínských městech rokem neustálého poklesu cen nemovitostí o více než 90 %. To způsobilo ke konci roku celý boom prodeje domů.</w:t>
      </w:r>
    </w:p>
    <w:p w14:paraId="41639F9A" w14:textId="77777777" w:rsidR="008A42FD" w:rsidRPr="00A95C26" w:rsidRDefault="008A42FD" w:rsidP="00641F06">
      <w:pPr>
        <w:pStyle w:val="Normlnweb"/>
        <w:spacing w:after="150" w:line="360" w:lineRule="auto"/>
        <w:jc w:val="both"/>
        <w:rPr>
          <w:color w:val="000000"/>
        </w:rPr>
      </w:pPr>
      <w:r w:rsidRPr="00A95C26">
        <w:rPr>
          <w:color w:val="000000"/>
        </w:rPr>
        <w:t>Klesající ceny domů znamenají pokles nové výstavby, hrozbu nesplácení bankovních úvěrů ze strany stavebních firem a realitních kanceláří a hypoteční krizi v USA, která v roce 2008 postupně eskalovala do finanční krize.</w:t>
      </w:r>
    </w:p>
    <w:p w14:paraId="25EEC0E5" w14:textId="1363DE5D" w:rsidR="008A42FD" w:rsidRPr="00A95C26" w:rsidRDefault="008A42FD" w:rsidP="00641F06">
      <w:pPr>
        <w:pStyle w:val="Normlnweb"/>
        <w:spacing w:after="150" w:line="360" w:lineRule="auto"/>
        <w:jc w:val="both"/>
        <w:rPr>
          <w:color w:val="000000"/>
        </w:rPr>
      </w:pPr>
      <w:r w:rsidRPr="00A95C26">
        <w:rPr>
          <w:color w:val="000000"/>
        </w:rPr>
        <w:t>Obchodní aktivita ve zpracovatelském průmyslu v Číně dosáhla nejnižší úrovně v roce 2015, v dubnu byl index obchodní aktivity PMI 49,2 %. Hodnota tohoto indexu pod 50 % značí růst. V březnu 2015 byl index 49,6 a v únoru 2015 měl kladnou hodnotu -50,7. Index tak nadále označuje vleklý pokles čínské ekonomiky.</w:t>
      </w:r>
    </w:p>
    <w:p w14:paraId="3C3EE205" w14:textId="536AE4E3" w:rsidR="00EB6FD9" w:rsidRPr="00A95C26" w:rsidRDefault="008A42FD" w:rsidP="00641F06">
      <w:pPr>
        <w:pStyle w:val="Normlnweb"/>
        <w:spacing w:before="0" w:beforeAutospacing="0" w:after="150" w:afterAutospacing="0" w:line="360" w:lineRule="auto"/>
        <w:jc w:val="both"/>
        <w:rPr>
          <w:color w:val="000000"/>
        </w:rPr>
      </w:pPr>
      <w:r w:rsidRPr="00A95C26">
        <w:rPr>
          <w:color w:val="000000"/>
        </w:rPr>
        <w:t xml:space="preserve">Nepřímým, ale velmi důležitým ukazatelem je spotřeba elektřiny, která od začátku roku 2015 do června vzrostla v Číně o 1,3 %, což je minimum za posledních 30 let. To znamená, že během tohoto období nedošlo k žádnému nárůstu skutečné výroby spotřebovávající energii. Čínská ekonomika vzrostla v roce 2010 o 12 %, v roce 2013 o 7,7 % a v roce 2014 o 7,4 %. Jde o </w:t>
      </w:r>
      <w:r w:rsidRPr="00A95C26">
        <w:rPr>
          <w:color w:val="000000"/>
        </w:rPr>
        <w:lastRenderedPageBreak/>
        <w:t>nejnižší hodnotu za posledních 24 let. Oficiální růst HDP Číny za 1. čtvrtletí 2015 činil 7 %. To je nejhorší výsledek za posledních 7 let</w:t>
      </w:r>
      <w:r w:rsidR="00DA3C8A" w:rsidRPr="00A95C26">
        <w:rPr>
          <w:color w:val="000000"/>
        </w:rPr>
        <w:t>.</w:t>
      </w:r>
      <w:r w:rsidR="00AB5ECC" w:rsidRPr="00A95C26">
        <w:rPr>
          <w:rStyle w:val="Znakapoznpodarou"/>
          <w:color w:val="000000"/>
        </w:rPr>
        <w:footnoteReference w:id="50"/>
      </w:r>
    </w:p>
    <w:p w14:paraId="41E87C5E" w14:textId="478C196E" w:rsidR="00906980" w:rsidRPr="00A95C26" w:rsidRDefault="00906980" w:rsidP="00641F06">
      <w:pPr>
        <w:pStyle w:val="Normlnweb"/>
        <w:spacing w:before="0" w:beforeAutospacing="0" w:after="150" w:afterAutospacing="0" w:line="360" w:lineRule="auto"/>
        <w:jc w:val="both"/>
        <w:rPr>
          <w:color w:val="000000"/>
        </w:rPr>
      </w:pPr>
      <w:r w:rsidRPr="00A95C26">
        <w:rPr>
          <w:color w:val="000000"/>
        </w:rPr>
        <w:t>Čínská lidová republika potřebuje nahradit vysloužilé faktory, které dříve stimulovaly hospodářský růst, zejména klesající poptávku po produktech čínských podniků, to znamená, že je nutné změnit strategický model rozvoje čínské ekonomiky</w:t>
      </w:r>
      <w:r w:rsidR="002F09A7" w:rsidRPr="00A95C26">
        <w:rPr>
          <w:color w:val="000000"/>
        </w:rPr>
        <w:t>.</w:t>
      </w:r>
      <w:r w:rsidR="00AB5ECC" w:rsidRPr="00A95C26">
        <w:rPr>
          <w:rStyle w:val="Znakapoznpodarou"/>
          <w:color w:val="000000"/>
        </w:rPr>
        <w:footnoteReference w:id="51"/>
      </w:r>
    </w:p>
    <w:p w14:paraId="1233EF98" w14:textId="289D9EF9" w:rsidR="00906980" w:rsidRPr="00A95C26" w:rsidRDefault="00906980" w:rsidP="00641F06">
      <w:pPr>
        <w:pStyle w:val="Normlnweb"/>
        <w:spacing w:before="0" w:beforeAutospacing="0" w:after="150" w:afterAutospacing="0" w:line="360" w:lineRule="auto"/>
        <w:jc w:val="both"/>
        <w:rPr>
          <w:color w:val="000000"/>
        </w:rPr>
      </w:pPr>
      <w:r w:rsidRPr="00A95C26">
        <w:rPr>
          <w:color w:val="000000"/>
        </w:rPr>
        <w:t>Spolu s čerpáním investic, v návaznosti na zkušenosti a obdobu Spojených států, Čína aktivně zavedla opatření na uvolnění měnové politiky. Uvolnění věřitelské měnové politiky tak na pozadí zpomalení hospodářského růstu vytvořilo kolosální množství finančních zdrojů hledajících uplatnění, což vedlo k nejaktivnějšímu růstu akciových investic do rizikových aktiv.</w:t>
      </w:r>
    </w:p>
    <w:p w14:paraId="17C61EDA" w14:textId="20DB2555" w:rsidR="002F09A7" w:rsidRPr="00A95C26" w:rsidRDefault="00906980" w:rsidP="00641F06">
      <w:pPr>
        <w:pStyle w:val="Normlnweb"/>
        <w:spacing w:before="0" w:beforeAutospacing="0" w:after="150" w:afterAutospacing="0" w:line="360" w:lineRule="auto"/>
        <w:jc w:val="both"/>
        <w:rPr>
          <w:color w:val="000000"/>
        </w:rPr>
      </w:pPr>
      <w:r w:rsidRPr="00A95C26">
        <w:rPr>
          <w:color w:val="000000"/>
        </w:rPr>
        <w:t xml:space="preserve"> Za období předchozího roku do začátku krize 2015 čínský akciový trh vzrostl téměř dvojnásobně díky retailovým investičním cenným papírům a nárůstu objemu obchodů s pákovými cennými papíry, tedy s vypůjčenými prostředky</w:t>
      </w:r>
      <w:r w:rsidR="00D50709" w:rsidRPr="00A95C26">
        <w:rPr>
          <w:color w:val="000000"/>
        </w:rPr>
        <w:t>.</w:t>
      </w:r>
      <w:r w:rsidR="00AB5ECC" w:rsidRPr="00A95C26">
        <w:rPr>
          <w:rStyle w:val="Znakapoznpodarou"/>
          <w:color w:val="000000"/>
        </w:rPr>
        <w:footnoteReference w:id="52"/>
      </w:r>
    </w:p>
    <w:p w14:paraId="74F98D6E" w14:textId="15CBAA1B" w:rsidR="002F09A7" w:rsidRPr="00A95C26" w:rsidRDefault="00906980" w:rsidP="00641F06">
      <w:pPr>
        <w:pStyle w:val="Normlnweb"/>
        <w:spacing w:before="0" w:beforeAutospacing="0" w:after="150" w:afterAutospacing="0" w:line="360" w:lineRule="auto"/>
        <w:jc w:val="both"/>
        <w:rPr>
          <w:color w:val="000000"/>
        </w:rPr>
      </w:pPr>
      <w:r w:rsidRPr="00A95C26">
        <w:rPr>
          <w:color w:val="000000"/>
        </w:rPr>
        <w:t>Lavinový nárůst soukromých investic na akciovém trhu v Číně byl z velké části veden vznikem příležitostí, které vám umožňují provádět transakce s vypůjčenými penězi. Do května 2015 se počet účtů, ze kterých investoři obchodovali s pákovým efektem, rozrostl na 7,2 milionu jednotek, což je dvojnásobek oproti květnu 2014. Výsledkem byla obří finanční bublina na čínském akciovém trhu, která v létě 2015 praskla.</w:t>
      </w:r>
    </w:p>
    <w:p w14:paraId="60AA835F" w14:textId="2C6DE066" w:rsidR="00CE3202" w:rsidRPr="00A95C26" w:rsidRDefault="00A21EC7" w:rsidP="00641F06">
      <w:pPr>
        <w:pStyle w:val="Nadpis2"/>
        <w:jc w:val="both"/>
        <w:rPr>
          <w:lang w:val="cs-CZ"/>
        </w:rPr>
      </w:pPr>
      <w:bookmarkStart w:id="72" w:name="_Toc99636469"/>
      <w:bookmarkStart w:id="73" w:name="_Toc99657958"/>
      <w:bookmarkStart w:id="74" w:name="_Toc99659318"/>
      <w:r w:rsidRPr="00A95C26">
        <w:rPr>
          <w:lang w:val="cs-CZ"/>
        </w:rPr>
        <w:t>4</w:t>
      </w:r>
      <w:r w:rsidR="00D64834" w:rsidRPr="00A95C26">
        <w:rPr>
          <w:lang w:val="cs-CZ"/>
        </w:rPr>
        <w:t xml:space="preserve">.6 </w:t>
      </w:r>
      <w:r w:rsidR="008B7226" w:rsidRPr="00A95C26">
        <w:rPr>
          <w:lang w:val="cs-CZ"/>
        </w:rPr>
        <w:t>Směrem ke strukturálnímu přizpůsobení</w:t>
      </w:r>
      <w:bookmarkEnd w:id="72"/>
      <w:bookmarkEnd w:id="73"/>
      <w:bookmarkEnd w:id="74"/>
    </w:p>
    <w:p w14:paraId="744F1D1A" w14:textId="7230297E" w:rsidR="00162B71" w:rsidRPr="00A95C26" w:rsidRDefault="00162B71" w:rsidP="00641F06">
      <w:pPr>
        <w:pStyle w:val="Normlnweb"/>
        <w:spacing w:after="150" w:line="360" w:lineRule="auto"/>
        <w:jc w:val="both"/>
        <w:rPr>
          <w:color w:val="000000"/>
        </w:rPr>
      </w:pPr>
      <w:r w:rsidRPr="00A95C26">
        <w:rPr>
          <w:color w:val="000000"/>
        </w:rPr>
        <w:t>Existuje mnohem více důvodů se domnívat, že jak pokles v Číně, tak pokles akciových trhů většiny ostatních rozvojových zemí východní Asie jsou způsobeny společnými příčinami (včetně vnějších), podobností modelů hospodářského růstu a strategií v předkrizové období.</w:t>
      </w:r>
    </w:p>
    <w:p w14:paraId="03A12FC3" w14:textId="15737226" w:rsidR="00CE3202" w:rsidRPr="00A95C26" w:rsidRDefault="00162B71" w:rsidP="00641F06">
      <w:pPr>
        <w:pStyle w:val="Normlnweb"/>
        <w:spacing w:before="0" w:beforeAutospacing="0" w:after="150" w:afterAutospacing="0" w:line="360" w:lineRule="auto"/>
        <w:jc w:val="both"/>
        <w:rPr>
          <w:color w:val="000000"/>
        </w:rPr>
      </w:pPr>
      <w:r w:rsidRPr="00A95C26">
        <w:rPr>
          <w:color w:val="000000"/>
        </w:rPr>
        <w:t>Silný hospodářský růst ve většině zemí regionu je již mnoho let podporován exportně orientovanou strategií. Průměrné tempo růstu vývozu zboží a služeb před krizí v letech 2002–2007 bylo 13,3 % pro Korejskou republiku a 12,2 % pro Singapur. Ve Vietnamu se vývoz zboží a služeb zvýšil v průměru o 11,3</w:t>
      </w:r>
      <w:r w:rsidR="00BD7A1E" w:rsidRPr="00A95C26">
        <w:rPr>
          <w:color w:val="000000"/>
        </w:rPr>
        <w:t xml:space="preserve"> </w:t>
      </w:r>
      <w:r w:rsidRPr="00A95C26">
        <w:rPr>
          <w:color w:val="000000"/>
        </w:rPr>
        <w:t xml:space="preserve">%, v </w:t>
      </w:r>
      <w:r w:rsidR="00BD7A1E" w:rsidRPr="00A95C26">
        <w:rPr>
          <w:color w:val="000000"/>
        </w:rPr>
        <w:t>Thajsku – o</w:t>
      </w:r>
      <w:r w:rsidRPr="00A95C26">
        <w:rPr>
          <w:color w:val="000000"/>
        </w:rPr>
        <w:t xml:space="preserve"> 9,7</w:t>
      </w:r>
      <w:r w:rsidR="00BD7A1E" w:rsidRPr="00A95C26">
        <w:rPr>
          <w:color w:val="000000"/>
        </w:rPr>
        <w:t xml:space="preserve"> </w:t>
      </w:r>
      <w:r w:rsidRPr="00A95C26">
        <w:rPr>
          <w:color w:val="000000"/>
        </w:rPr>
        <w:t xml:space="preserve">%, v </w:t>
      </w:r>
      <w:r w:rsidR="00AD48EF" w:rsidRPr="00A95C26">
        <w:rPr>
          <w:color w:val="000000"/>
        </w:rPr>
        <w:t>Malajsii – o</w:t>
      </w:r>
      <w:r w:rsidRPr="00A95C26">
        <w:rPr>
          <w:color w:val="000000"/>
        </w:rPr>
        <w:t xml:space="preserve"> 7,5</w:t>
      </w:r>
      <w:r w:rsidR="00BD7A1E" w:rsidRPr="00A95C26">
        <w:rPr>
          <w:color w:val="000000"/>
        </w:rPr>
        <w:t xml:space="preserve"> </w:t>
      </w:r>
      <w:r w:rsidRPr="00A95C26">
        <w:rPr>
          <w:color w:val="000000"/>
        </w:rPr>
        <w:t>%. Čína zaznamenává rekordní 21,2</w:t>
      </w:r>
      <w:r w:rsidR="00AD48EF">
        <w:rPr>
          <w:color w:val="000000"/>
        </w:rPr>
        <w:t xml:space="preserve"> </w:t>
      </w:r>
      <w:r w:rsidRPr="00A95C26">
        <w:rPr>
          <w:color w:val="000000"/>
        </w:rPr>
        <w:t>% meziroční růst</w:t>
      </w:r>
      <w:r w:rsidR="00CE3202" w:rsidRPr="00A95C26">
        <w:rPr>
          <w:color w:val="000000"/>
        </w:rPr>
        <w:t>.</w:t>
      </w:r>
      <w:r w:rsidRPr="00A95C26">
        <w:rPr>
          <w:rStyle w:val="Znakapoznpodarou"/>
          <w:color w:val="000000"/>
        </w:rPr>
        <w:footnoteReference w:id="53"/>
      </w:r>
      <w:r w:rsidR="00AD48EF">
        <w:rPr>
          <w:color w:val="000000"/>
        </w:rPr>
        <w:t xml:space="preserve"> </w:t>
      </w:r>
      <w:r w:rsidRPr="00A95C26">
        <w:rPr>
          <w:color w:val="000000"/>
        </w:rPr>
        <w:t xml:space="preserve">Vysoká míra růstu exportu vedla k chronickým </w:t>
      </w:r>
      <w:r w:rsidRPr="00A95C26">
        <w:rPr>
          <w:color w:val="000000"/>
        </w:rPr>
        <w:lastRenderedPageBreak/>
        <w:t>přebytkům obchodu a běžného účtu a byla doprovázena přebytky státního rozpočtu ve většině zemí.</w:t>
      </w:r>
      <w:r w:rsidRPr="00A95C26">
        <w:rPr>
          <w:rStyle w:val="Znakapoznpodarou"/>
          <w:color w:val="000000"/>
        </w:rPr>
        <w:footnoteReference w:id="54"/>
      </w:r>
    </w:p>
    <w:p w14:paraId="02C280F3" w14:textId="77777777" w:rsidR="004B4F32" w:rsidRPr="00A95C26" w:rsidRDefault="004B4F32" w:rsidP="00641F06">
      <w:pPr>
        <w:pStyle w:val="Normlnweb"/>
        <w:spacing w:after="150" w:line="360" w:lineRule="auto"/>
        <w:jc w:val="both"/>
        <w:rPr>
          <w:color w:val="000000"/>
        </w:rPr>
      </w:pPr>
      <w:r w:rsidRPr="00A95C26">
        <w:rPr>
          <w:color w:val="000000"/>
        </w:rPr>
        <w:t>Pokles poptávky na zahraničních trzích v důsledku krize v letech 2008–2009. vedlo ke zpomalení zahraničního obchodu – v letech 2012–2014 v průměru až o 2,3 %. ve srovnání se 7,5 % u exportu v letech 2005–2007</w:t>
      </w:r>
      <w:r w:rsidR="00CE3202" w:rsidRPr="00A95C26">
        <w:rPr>
          <w:color w:val="000000"/>
        </w:rPr>
        <w:t xml:space="preserve">. </w:t>
      </w:r>
      <w:r w:rsidR="00162B71" w:rsidRPr="00A95C26">
        <w:rPr>
          <w:rStyle w:val="Znakapoznpodarou"/>
          <w:color w:val="000000"/>
        </w:rPr>
        <w:footnoteReference w:id="55"/>
      </w:r>
      <w:r w:rsidRPr="00A95C26">
        <w:rPr>
          <w:color w:val="000000"/>
        </w:rPr>
        <w:t>Asijské státy přišly o významnou část svých exportních příjmů. Došlo ke zhoršení řady makroekonomických ukazatelů, přezásobení trhů, prudkému snížení inflace a nárůstu deflačních tlaků v důsledku převisu nabídky nad poptávkou.</w:t>
      </w:r>
    </w:p>
    <w:p w14:paraId="71E8CBD7" w14:textId="385B3B36" w:rsidR="00CE3202" w:rsidRPr="00A95C26" w:rsidRDefault="004B4F32" w:rsidP="00641F06">
      <w:pPr>
        <w:pStyle w:val="Normlnweb"/>
        <w:spacing w:before="0" w:beforeAutospacing="0" w:after="150" w:afterAutospacing="0" w:line="360" w:lineRule="auto"/>
        <w:jc w:val="both"/>
        <w:rPr>
          <w:color w:val="000000"/>
        </w:rPr>
      </w:pPr>
      <w:r w:rsidRPr="00A95C26">
        <w:rPr>
          <w:color w:val="000000"/>
        </w:rPr>
        <w:t>Došlo také ke snížení přebytků běžného účtu. V Číně se tak přebytek běžného účtu snížil v roce 2011 o 42,8 % oproti roku 2010. V Indonésii dosáhlo snížení přebytku ve stejném roce více než 67 %, ale již v roce 2012 došlo k nárůstu schodku, který pokračoval až do roku 2014. Saldo běžného účtu Thajska se poté, co bylo kladné, v roce 2012 změnilo ve schodek, tažený především prudkým poklesem obchodního přebytku. Filipíny měly zápornou obchodní bilanci po dobu pěti let od roku 2010 do roku 2014</w:t>
      </w:r>
      <w:r w:rsidR="00CE3202" w:rsidRPr="00A95C26">
        <w:rPr>
          <w:color w:val="000000"/>
        </w:rPr>
        <w:t>.</w:t>
      </w:r>
      <w:r w:rsidRPr="00A95C26">
        <w:rPr>
          <w:rStyle w:val="Znakapoznpodarou"/>
          <w:color w:val="000000"/>
        </w:rPr>
        <w:footnoteReference w:id="56"/>
      </w:r>
      <w:r w:rsidR="00E73DAB">
        <w:rPr>
          <w:color w:val="000000"/>
        </w:rPr>
        <w:t xml:space="preserve"> </w:t>
      </w:r>
      <w:r w:rsidRPr="00A95C26">
        <w:rPr>
          <w:color w:val="000000"/>
        </w:rPr>
        <w:t>V Korejské republice byl pokles o 35,3 % v roce 2011 kompenzován rychlým oživením a růstem, který pokračoval až do roku 2014. V Malajsii se přebytek běžného účtu v roce 2012 snížil o 44,4 %, který se navzdory trendu v roce 2013 zpomalil.</w:t>
      </w:r>
      <w:r w:rsidRPr="00A95C26">
        <w:rPr>
          <w:rStyle w:val="Znakapoznpodarou"/>
          <w:color w:val="000000"/>
        </w:rPr>
        <w:footnoteReference w:id="57"/>
      </w:r>
      <w:r w:rsidRPr="00A95C26">
        <w:rPr>
          <w:color w:val="000000"/>
        </w:rPr>
        <w:t xml:space="preserve"> </w:t>
      </w:r>
    </w:p>
    <w:p w14:paraId="71A7D873" w14:textId="44B4FFC1" w:rsidR="00CE3202" w:rsidRPr="00A95C26" w:rsidRDefault="00CE3202" w:rsidP="00641F06">
      <w:pPr>
        <w:spacing w:line="360" w:lineRule="auto"/>
        <w:jc w:val="both"/>
        <w:rPr>
          <w:color w:val="000000"/>
        </w:rPr>
      </w:pPr>
    </w:p>
    <w:p w14:paraId="54636A7B" w14:textId="77777777" w:rsidR="004B4F32" w:rsidRPr="00A95C26" w:rsidRDefault="004B4F32" w:rsidP="00641F06">
      <w:pPr>
        <w:spacing w:line="360" w:lineRule="auto"/>
        <w:jc w:val="both"/>
        <w:rPr>
          <w:color w:val="000000"/>
        </w:rPr>
      </w:pPr>
      <w:r w:rsidRPr="00A95C26">
        <w:rPr>
          <w:color w:val="000000"/>
        </w:rPr>
        <w:t>Krize odhalila akutní závislost asijských zemí na exportu. Mnoho z nich bylo nuceno revidovat své strategie hospodářského rozvoje směrem k diverzifikaci zdrojů růstu, stimulaci domácí poptávky a snižování míry úspor prostřednictvím nástrojů fiskální a měnové politiky.</w:t>
      </w:r>
    </w:p>
    <w:p w14:paraId="5E6BFC37" w14:textId="2CBE9988" w:rsidR="004B4F32" w:rsidRPr="00A95C26" w:rsidRDefault="004B4F32" w:rsidP="00641F06">
      <w:pPr>
        <w:pStyle w:val="Normlnweb"/>
        <w:spacing w:before="0" w:beforeAutospacing="0" w:after="150" w:afterAutospacing="0" w:line="360" w:lineRule="auto"/>
        <w:jc w:val="both"/>
        <w:rPr>
          <w:color w:val="000000"/>
        </w:rPr>
      </w:pPr>
      <w:r w:rsidRPr="00A95C26">
        <w:rPr>
          <w:color w:val="000000"/>
        </w:rPr>
        <w:t>Relativně vysoká – na úrovni 3 % HDP – zůstává úroveň výdajů na sociální ochranu obyvatelstva v Malajsii, Singapuru a Vietnamu. Thajsko schválilo v říjnu 2014 balíček fiskálních stimulů ve výši 2,8 % HDP. V Korejské republice byla poté, co míra inflace klesla na 1,3 % (s cílem 2 %), přijata opatření ke stimulaci spotřeby, zvýšení cen a snížení deflačních očekávání. Úrokové sazby tak byly v roce 2014 a jednou v roce 2015 dvakrát upraveny směrem dolů, přičemž výše počáteční úrokové sazby dosáhla historického minima 1,75 %</w:t>
      </w:r>
      <w:r w:rsidR="00CE3202" w:rsidRPr="00A95C26">
        <w:rPr>
          <w:color w:val="000000"/>
        </w:rPr>
        <w:t>.</w:t>
      </w:r>
      <w:r w:rsidRPr="00A95C26">
        <w:rPr>
          <w:rStyle w:val="Znakapoznpodarou"/>
          <w:color w:val="000000"/>
        </w:rPr>
        <w:footnoteReference w:id="58"/>
      </w:r>
      <w:r w:rsidRPr="00A95C26">
        <w:t xml:space="preserve"> </w:t>
      </w:r>
      <w:r w:rsidRPr="00A95C26">
        <w:rPr>
          <w:color w:val="000000"/>
        </w:rPr>
        <w:t xml:space="preserve">Od konce roku 2014 čínské </w:t>
      </w:r>
      <w:proofErr w:type="spellStart"/>
      <w:r w:rsidRPr="00A95C26">
        <w:rPr>
          <w:color w:val="000000"/>
        </w:rPr>
        <w:t>měnověpolitické</w:t>
      </w:r>
      <w:proofErr w:type="spellEnd"/>
      <w:r w:rsidRPr="00A95C26">
        <w:rPr>
          <w:color w:val="000000"/>
        </w:rPr>
        <w:t xml:space="preserve"> orgány od konce roku 2014 dvakrát snížily klíčové sazby ve </w:t>
      </w:r>
      <w:r w:rsidRPr="00A95C26">
        <w:rPr>
          <w:color w:val="000000"/>
        </w:rPr>
        <w:lastRenderedPageBreak/>
        <w:t xml:space="preserve">snaze zvýšit likviditu. V únoru 2015 byly povinné minimální rezervy sníženy o </w:t>
      </w:r>
      <w:proofErr w:type="gramStart"/>
      <w:r w:rsidRPr="00A95C26">
        <w:rPr>
          <w:color w:val="000000"/>
        </w:rPr>
        <w:t>0,5 procentního</w:t>
      </w:r>
      <w:proofErr w:type="gramEnd"/>
      <w:r w:rsidRPr="00A95C26">
        <w:rPr>
          <w:color w:val="000000"/>
        </w:rPr>
        <w:t xml:space="preserve"> bodu (z 20 % na 19,5 %)</w:t>
      </w:r>
      <w:r w:rsidR="00CE3202" w:rsidRPr="00A95C26">
        <w:rPr>
          <w:color w:val="000000"/>
        </w:rPr>
        <w:t>.</w:t>
      </w:r>
      <w:r w:rsidRPr="00A95C26">
        <w:rPr>
          <w:rStyle w:val="Znakapoznpodarou"/>
          <w:color w:val="000000"/>
        </w:rPr>
        <w:footnoteReference w:id="59"/>
      </w:r>
    </w:p>
    <w:p w14:paraId="3E4DB73E" w14:textId="2DD41E99" w:rsidR="00CE3202" w:rsidRPr="00A95C26" w:rsidRDefault="004B4F32" w:rsidP="00641F06">
      <w:pPr>
        <w:pStyle w:val="Normlnweb"/>
        <w:spacing w:before="0" w:beforeAutospacing="0" w:after="150" w:afterAutospacing="0" w:line="360" w:lineRule="auto"/>
        <w:jc w:val="both"/>
        <w:rPr>
          <w:color w:val="000000"/>
        </w:rPr>
      </w:pPr>
      <w:r w:rsidRPr="00A95C26">
        <w:rPr>
          <w:color w:val="000000"/>
        </w:rPr>
        <w:t xml:space="preserve">V Thajsku byla referenční úroková sazba (minimální sazba vyžadovaná investorem při investování do cenných papírů mimo státní pokladnu) v březnu 2015 snížena o </w:t>
      </w:r>
      <w:proofErr w:type="gramStart"/>
      <w:r w:rsidRPr="00A95C26">
        <w:rPr>
          <w:color w:val="000000"/>
        </w:rPr>
        <w:t>25 procentních</w:t>
      </w:r>
      <w:proofErr w:type="gramEnd"/>
      <w:r w:rsidRPr="00A95C26">
        <w:rPr>
          <w:color w:val="000000"/>
        </w:rPr>
        <w:t xml:space="preserve"> bodů na 1,75</w:t>
      </w:r>
      <w:r w:rsidR="00BD7A1E" w:rsidRPr="00A95C26">
        <w:rPr>
          <w:color w:val="000000"/>
        </w:rPr>
        <w:t xml:space="preserve"> </w:t>
      </w:r>
      <w:r w:rsidR="00CE3202" w:rsidRPr="00A95C26">
        <w:rPr>
          <w:color w:val="000000"/>
        </w:rPr>
        <w:t>%</w:t>
      </w:r>
      <w:r w:rsidRPr="00A95C26">
        <w:rPr>
          <w:color w:val="000000"/>
        </w:rPr>
        <w:t>.</w:t>
      </w:r>
      <w:r w:rsidRPr="00A95C26">
        <w:rPr>
          <w:rStyle w:val="Znakapoznpodarou"/>
          <w:color w:val="000000"/>
        </w:rPr>
        <w:footnoteReference w:id="60"/>
      </w:r>
      <w:r w:rsidRPr="00A95C26">
        <w:rPr>
          <w:color w:val="000000"/>
        </w:rPr>
        <w:t xml:space="preserve"> </w:t>
      </w:r>
    </w:p>
    <w:p w14:paraId="562C0438" w14:textId="77777777" w:rsidR="004B4F32" w:rsidRPr="00A95C26" w:rsidRDefault="004B4F32" w:rsidP="00641F06">
      <w:pPr>
        <w:pStyle w:val="Normlnweb"/>
        <w:spacing w:after="150" w:line="360" w:lineRule="auto"/>
        <w:jc w:val="both"/>
        <w:rPr>
          <w:color w:val="000000"/>
        </w:rPr>
      </w:pPr>
      <w:r w:rsidRPr="00A95C26">
        <w:rPr>
          <w:color w:val="000000"/>
        </w:rPr>
        <w:t>Krize odhalila akutní závislost asijských zemí na exportu.</w:t>
      </w:r>
    </w:p>
    <w:p w14:paraId="0F61272D" w14:textId="3D0DCA5A" w:rsidR="00CE3202" w:rsidRPr="00A95C26" w:rsidRDefault="004B4F32" w:rsidP="00641F06">
      <w:pPr>
        <w:pStyle w:val="Normlnweb"/>
        <w:spacing w:before="0" w:beforeAutospacing="0" w:after="150" w:afterAutospacing="0" w:line="360" w:lineRule="auto"/>
        <w:jc w:val="both"/>
        <w:rPr>
          <w:color w:val="000000"/>
        </w:rPr>
      </w:pPr>
      <w:r w:rsidRPr="00A95C26">
        <w:rPr>
          <w:color w:val="000000"/>
        </w:rPr>
        <w:t>Akumulace vnitřní strukturální nerovnováhy, vysoká závislost asijských ekonomik na vnější poptávce a zranitelnost jejich strategií hospodářského růstu vůči globálním krizím byly tedy hlavními důvody zhoršení dynamiky akciových trhů ve většině východoasijských zemí v roce 2015. Čínský kolaps poněkud zrychlil tempo poklesu</w:t>
      </w:r>
      <w:r w:rsidR="00CE3202" w:rsidRPr="00A95C26">
        <w:rPr>
          <w:color w:val="000000"/>
        </w:rPr>
        <w:t>.</w:t>
      </w:r>
    </w:p>
    <w:p w14:paraId="1D28A631" w14:textId="52A7480D" w:rsidR="00CE3202" w:rsidRPr="00A95C26" w:rsidRDefault="00A21EC7" w:rsidP="00641F06">
      <w:pPr>
        <w:pStyle w:val="Nadpis2"/>
        <w:jc w:val="both"/>
        <w:rPr>
          <w:lang w:val="cs-CZ"/>
        </w:rPr>
      </w:pPr>
      <w:bookmarkStart w:id="75" w:name="_Toc99636470"/>
      <w:bookmarkStart w:id="76" w:name="_Toc99657959"/>
      <w:bookmarkStart w:id="77" w:name="_Toc99659319"/>
      <w:r w:rsidRPr="00A95C26">
        <w:rPr>
          <w:lang w:val="cs-CZ"/>
        </w:rPr>
        <w:t>4</w:t>
      </w:r>
      <w:r w:rsidR="00D64834" w:rsidRPr="00A95C26">
        <w:rPr>
          <w:lang w:val="cs-CZ"/>
        </w:rPr>
        <w:t xml:space="preserve">.7 </w:t>
      </w:r>
      <w:r w:rsidR="008B7226" w:rsidRPr="00A95C26">
        <w:rPr>
          <w:lang w:val="cs-CZ"/>
        </w:rPr>
        <w:t>Změna trendu</w:t>
      </w:r>
      <w:bookmarkEnd w:id="75"/>
      <w:bookmarkEnd w:id="76"/>
      <w:bookmarkEnd w:id="77"/>
    </w:p>
    <w:p w14:paraId="4E847E5F" w14:textId="77777777" w:rsidR="004B4F32" w:rsidRPr="00A95C26" w:rsidRDefault="004B4F32" w:rsidP="00641F06">
      <w:pPr>
        <w:pStyle w:val="Normlnweb"/>
        <w:spacing w:after="150" w:line="360" w:lineRule="auto"/>
        <w:jc w:val="both"/>
        <w:rPr>
          <w:color w:val="000000"/>
        </w:rPr>
      </w:pPr>
      <w:r w:rsidRPr="00A95C26">
        <w:rPr>
          <w:color w:val="000000"/>
        </w:rPr>
        <w:t>Asymetrické informace dnes, stejně jako na konci 90. let, stále mohou přispět k rozvoji krizové epidemie a kolaps trhu jednoho státu může vyvolat paniku investorů a rozšířit se na trhy sousedních zemí. Současný stav se však od roku 1997 výrazně liší.</w:t>
      </w:r>
    </w:p>
    <w:p w14:paraId="3D84D9E2" w14:textId="3DA69A3D" w:rsidR="004B4F32" w:rsidRPr="00A95C26" w:rsidRDefault="004B4F32" w:rsidP="00641F06">
      <w:pPr>
        <w:pStyle w:val="Normlnweb"/>
        <w:spacing w:after="150" w:line="360" w:lineRule="auto"/>
        <w:jc w:val="both"/>
        <w:rPr>
          <w:color w:val="000000"/>
        </w:rPr>
      </w:pPr>
      <w:r w:rsidRPr="00A95C26">
        <w:rPr>
          <w:color w:val="000000"/>
        </w:rPr>
        <w:t xml:space="preserve">Ať tak či onak, hospodářská politika a podmínky vnitřního rozvoje se staly pro investory transparentnějšími při posuzování potenciálních rizik. Dnes se většina zemí v regionu vyznačuje více tržní tvorbou směnných kurzů, </w:t>
      </w:r>
      <w:r w:rsidR="00D86452" w:rsidRPr="00A95C26">
        <w:rPr>
          <w:rStyle w:val="Znakapoznpodarou"/>
          <w:color w:val="000000"/>
        </w:rPr>
        <w:footnoteReference w:id="61"/>
      </w:r>
      <w:r w:rsidRPr="00A95C26">
        <w:rPr>
          <w:color w:val="000000"/>
        </w:rPr>
        <w:t>a tedy i větší nezávislostí při provádění měnové politiky</w:t>
      </w:r>
      <w:r w:rsidR="00CE3202" w:rsidRPr="00A95C26">
        <w:rPr>
          <w:color w:val="000000"/>
        </w:rPr>
        <w:t xml:space="preserve">. </w:t>
      </w:r>
      <w:r w:rsidRPr="00A95C26">
        <w:rPr>
          <w:rStyle w:val="Znakapoznpodarou"/>
          <w:color w:val="000000"/>
        </w:rPr>
        <w:footnoteReference w:id="62"/>
      </w:r>
      <w:r w:rsidRPr="00A95C26">
        <w:t xml:space="preserve"> </w:t>
      </w:r>
      <w:r w:rsidRPr="00A95C26">
        <w:rPr>
          <w:color w:val="000000"/>
        </w:rPr>
        <w:t xml:space="preserve">Úspěšné provádění mnohostranných iniciativ finanční spolupráce (Iniciativa </w:t>
      </w:r>
      <w:proofErr w:type="spellStart"/>
      <w:r w:rsidRPr="00A95C26">
        <w:rPr>
          <w:color w:val="000000"/>
        </w:rPr>
        <w:t>Chiang</w:t>
      </w:r>
      <w:proofErr w:type="spellEnd"/>
      <w:r w:rsidRPr="00A95C26">
        <w:rPr>
          <w:color w:val="000000"/>
        </w:rPr>
        <w:t xml:space="preserve"> Mai, Iniciativa rozvoje dluhopisového trhu) a také domácí reformy ve finančním sektoru vedly k posílení národních finančních systémů, zvýšení transparentnosti a stability bankovního sektoru. Tedy oproti situaci v 90. letech. investoři mají více příležitostí a informací pro nezávislé a objektivnější posouzení potenciálních rizik, na základě specifik vývoje každé země zvlášť. Proto se při rozhodování řídí v relativně menší míře obecnými náladami a méně pravděpodobně budou jednat v souladu s „chováním davu“. Čínský kolaps tempo poklesu do určité míry urychlil, ale jen stěží jej lze považovat za klíčový důvod negativních trendů.</w:t>
      </w:r>
    </w:p>
    <w:p w14:paraId="3AF69C29" w14:textId="32607020" w:rsidR="00CE3202" w:rsidRPr="00A95C26" w:rsidRDefault="004B4F32" w:rsidP="00641F06">
      <w:pPr>
        <w:pStyle w:val="Normlnweb"/>
        <w:spacing w:before="0" w:beforeAutospacing="0" w:after="150" w:afterAutospacing="0" w:line="360" w:lineRule="auto"/>
        <w:jc w:val="both"/>
        <w:rPr>
          <w:color w:val="000000"/>
        </w:rPr>
      </w:pPr>
      <w:r w:rsidRPr="00A95C26">
        <w:rPr>
          <w:color w:val="000000"/>
        </w:rPr>
        <w:lastRenderedPageBreak/>
        <w:t>Dynamika měnových kurzů a akciových indexů odráží ve větší míře vnitřní strukturální nerovnováhu a přímo závisí na efektivitě realizace strategií diverzifikace zdrojů ekonomického růstu než na procesech v okolních zemích.</w:t>
      </w:r>
      <w:r w:rsidRPr="00A95C26">
        <w:t xml:space="preserve"> </w:t>
      </w:r>
      <w:r w:rsidRPr="00A95C26">
        <w:rPr>
          <w:color w:val="000000"/>
        </w:rPr>
        <w:t>Reformy prováděné v řadě východoasijských zemí zaměřené na rozšíření domácí spotřeby přinášejí pozitivní výsledky, zejména míra úspor klesá v Malajsii a Singapuru.</w:t>
      </w:r>
      <w:r w:rsidR="00D86452" w:rsidRPr="00A95C26">
        <w:rPr>
          <w:rStyle w:val="Znakapoznpodarou"/>
          <w:color w:val="000000"/>
        </w:rPr>
        <w:footnoteReference w:id="63"/>
      </w:r>
      <w:r w:rsidR="00BD7A1E" w:rsidRPr="00A95C26">
        <w:rPr>
          <w:color w:val="000000"/>
        </w:rPr>
        <w:t xml:space="preserve"> </w:t>
      </w:r>
      <w:r w:rsidRPr="00A95C26">
        <w:rPr>
          <w:color w:val="000000"/>
        </w:rPr>
        <w:t>Zmírnění vnitřních disproporcí se odráží i v dynamice akciových trhů. V prvních měsících roku 2016 bylo na akciových trzích většiny zemí regionu pozorováno oživení, prudký sestupný trend vystřídal vzestupný, i když ne tak rychlý. Jihokorejský KOSPI vzrostl o 3,8 %, zatímco malajský FTSE</w:t>
      </w:r>
      <w:r w:rsidR="001C6AF0" w:rsidRPr="00A95C26">
        <w:rPr>
          <w:color w:val="000000"/>
        </w:rPr>
        <w:t xml:space="preserve"> </w:t>
      </w:r>
      <w:r w:rsidRPr="00A95C26">
        <w:rPr>
          <w:color w:val="000000"/>
        </w:rPr>
        <w:t>Bursa</w:t>
      </w:r>
      <w:r w:rsidR="001C6AF0" w:rsidRPr="00A95C26">
        <w:rPr>
          <w:color w:val="000000"/>
        </w:rPr>
        <w:t xml:space="preserve"> </w:t>
      </w:r>
      <w:proofErr w:type="spellStart"/>
      <w:r w:rsidRPr="00A95C26">
        <w:rPr>
          <w:color w:val="000000"/>
        </w:rPr>
        <w:t>Malaysia</w:t>
      </w:r>
      <w:proofErr w:type="spellEnd"/>
      <w:r w:rsidR="001C6AF0" w:rsidRPr="00A95C26">
        <w:rPr>
          <w:color w:val="000000"/>
        </w:rPr>
        <w:t xml:space="preserve"> </w:t>
      </w:r>
      <w:r w:rsidRPr="00A95C26">
        <w:rPr>
          <w:color w:val="000000"/>
        </w:rPr>
        <w:t xml:space="preserve">KLCI a singapurský STI Index vzrostl o 3,7 % a 4,7 %. </w:t>
      </w:r>
      <w:proofErr w:type="spellStart"/>
      <w:r w:rsidRPr="00A95C26">
        <w:rPr>
          <w:color w:val="000000"/>
        </w:rPr>
        <w:t>iShares</w:t>
      </w:r>
      <w:proofErr w:type="spellEnd"/>
      <w:r w:rsidRPr="00A95C26">
        <w:rPr>
          <w:color w:val="000000"/>
        </w:rPr>
        <w:t xml:space="preserve"> MSCI </w:t>
      </w:r>
      <w:proofErr w:type="spellStart"/>
      <w:r w:rsidRPr="00A95C26">
        <w:rPr>
          <w:color w:val="000000"/>
        </w:rPr>
        <w:t>Thailand</w:t>
      </w:r>
      <w:proofErr w:type="spellEnd"/>
      <w:r w:rsidRPr="00A95C26">
        <w:rPr>
          <w:color w:val="000000"/>
        </w:rPr>
        <w:t xml:space="preserve"> </w:t>
      </w:r>
      <w:proofErr w:type="spellStart"/>
      <w:r w:rsidRPr="00A95C26">
        <w:rPr>
          <w:color w:val="000000"/>
        </w:rPr>
        <w:t>Capped</w:t>
      </w:r>
      <w:proofErr w:type="spellEnd"/>
      <w:r w:rsidRPr="00A95C26">
        <w:rPr>
          <w:color w:val="000000"/>
        </w:rPr>
        <w:t xml:space="preserve"> zaznamenal rekordní růst o 22,2 % od začátku ledna 2016. Významného pokroku bylo dosaženo také v Indonésii, kde oživení trhu začalo v říjnu 2015 a do března 2016 byl růst 16 %.</w:t>
      </w:r>
      <w:r w:rsidRPr="00A95C26">
        <w:rPr>
          <w:rStyle w:val="Znakapoznpodarou"/>
          <w:color w:val="000000"/>
        </w:rPr>
        <w:footnoteReference w:id="64"/>
      </w:r>
      <w:r w:rsidRPr="00A95C26">
        <w:rPr>
          <w:color w:val="000000"/>
        </w:rPr>
        <w:t xml:space="preserve">  V Číně zatím nepodařilo dosáhnout výrazného nárůstu spotřeby, a to i přes vládní opatření na stimulaci růstu příjmů domácností. Přetrvávání vnitřních problémů se odráží také v nedostatečné pozitivní dynamice na akciovém trhu: SSE </w:t>
      </w:r>
      <w:proofErr w:type="spellStart"/>
      <w:r w:rsidRPr="00A95C26">
        <w:rPr>
          <w:color w:val="000000"/>
        </w:rPr>
        <w:t>Composite</w:t>
      </w:r>
      <w:proofErr w:type="spellEnd"/>
      <w:r w:rsidRPr="00A95C26">
        <w:rPr>
          <w:color w:val="000000"/>
        </w:rPr>
        <w:t xml:space="preserve"> Index pokračoval v poklesu, když za necelé 3 měsíce klesl o 5,3 %.</w:t>
      </w:r>
    </w:p>
    <w:p w14:paraId="21D1971B" w14:textId="56DC9EF1" w:rsidR="00CE3202" w:rsidRPr="00A95C26" w:rsidRDefault="004B4F32" w:rsidP="00641F06">
      <w:pPr>
        <w:pStyle w:val="Normlnweb"/>
        <w:spacing w:before="0" w:beforeAutospacing="0" w:after="150" w:afterAutospacing="0" w:line="360" w:lineRule="auto"/>
        <w:jc w:val="both"/>
        <w:rPr>
          <w:color w:val="000000"/>
        </w:rPr>
      </w:pPr>
      <w:r w:rsidRPr="00A95C26">
        <w:rPr>
          <w:color w:val="000000"/>
        </w:rPr>
        <w:t>Krizové procesy pozorované v zemích regionu tak mají společné kořeny díky jednotné exportně orientované strategii hospodářského růstu v předkrizovém období. Přitom bez ohledu na události odehrávající se v Číně se propad akciového trhu ukázal jako méně výrazný právě v těch zemích, kde byla relativně příznivější makroekonomická situace – v Malajsii a Korejské republice.</w:t>
      </w:r>
    </w:p>
    <w:p w14:paraId="3FAF2C9C" w14:textId="615E16E6" w:rsidR="00D86452" w:rsidRDefault="00542186" w:rsidP="00641F06">
      <w:pPr>
        <w:pStyle w:val="Normlnweb"/>
        <w:spacing w:before="0" w:beforeAutospacing="0" w:after="150" w:afterAutospacing="0" w:line="360" w:lineRule="auto"/>
        <w:jc w:val="both"/>
        <w:rPr>
          <w:color w:val="000000"/>
        </w:rPr>
      </w:pPr>
      <w:r w:rsidRPr="00A95C26">
        <w:rPr>
          <w:color w:val="000000"/>
        </w:rPr>
        <w:t>Proces překonání krize do značné míry závisí na intenzitě a účinnosti reforem zaměřených na stimulaci soukromé spotřeby domácností. V zemích ASEAN-5 lze očekávat relativně rychlejší oživení ve srovnání s Čínou. Předpokládá se, že obecný trend v roce 2016 pro tuto skupinu zemí bude vzestupný, ale mírný, neboť východoasijské státy bedlivě sledují zachování finanční stability, provádějí vyváženou hospodářskou politiku a snaží se minimalizovat rizika „mýdlových bublin“. “ na trzích aktiv, včetně finančních trhů. Účinek probíhajících reforem v Číně může být opožděný.</w:t>
      </w:r>
    </w:p>
    <w:p w14:paraId="71A1560F" w14:textId="5A393EAF" w:rsidR="00E73DAB" w:rsidRDefault="00E73DAB" w:rsidP="00641F06">
      <w:pPr>
        <w:pStyle w:val="Normlnweb"/>
        <w:spacing w:before="0" w:beforeAutospacing="0" w:after="150" w:afterAutospacing="0" w:line="360" w:lineRule="auto"/>
        <w:jc w:val="both"/>
        <w:rPr>
          <w:color w:val="000000"/>
        </w:rPr>
      </w:pPr>
    </w:p>
    <w:p w14:paraId="61269A63" w14:textId="77777777" w:rsidR="0091726E" w:rsidRPr="00E73DAB" w:rsidRDefault="0091726E" w:rsidP="00641F06">
      <w:pPr>
        <w:pStyle w:val="Normlnweb"/>
        <w:spacing w:before="0" w:beforeAutospacing="0" w:after="150" w:afterAutospacing="0" w:line="360" w:lineRule="auto"/>
        <w:jc w:val="both"/>
        <w:rPr>
          <w:color w:val="000000"/>
        </w:rPr>
      </w:pPr>
    </w:p>
    <w:p w14:paraId="01AE5CF6" w14:textId="38BA38D8" w:rsidR="00D86452" w:rsidRPr="00A95C26" w:rsidRDefault="00A21EC7" w:rsidP="00641F06">
      <w:pPr>
        <w:pStyle w:val="Nadpis2"/>
        <w:jc w:val="both"/>
        <w:rPr>
          <w:lang w:val="cs-CZ"/>
        </w:rPr>
      </w:pPr>
      <w:bookmarkStart w:id="78" w:name="_Toc99636471"/>
      <w:bookmarkStart w:id="79" w:name="_Toc99657960"/>
      <w:bookmarkStart w:id="80" w:name="_Toc99659320"/>
      <w:r w:rsidRPr="00A95C26">
        <w:rPr>
          <w:lang w:val="cs-CZ"/>
        </w:rPr>
        <w:lastRenderedPageBreak/>
        <w:t>4</w:t>
      </w:r>
      <w:r w:rsidR="00D64834" w:rsidRPr="00A95C26">
        <w:rPr>
          <w:lang w:val="cs-CZ"/>
        </w:rPr>
        <w:t xml:space="preserve">.8 </w:t>
      </w:r>
      <w:r w:rsidR="003D6F99" w:rsidRPr="00A95C26">
        <w:rPr>
          <w:lang w:val="cs-CZ"/>
        </w:rPr>
        <w:t>Reakce a opatření čínské vlády</w:t>
      </w:r>
      <w:bookmarkEnd w:id="78"/>
      <w:bookmarkEnd w:id="79"/>
      <w:bookmarkEnd w:id="80"/>
    </w:p>
    <w:p w14:paraId="0815D400" w14:textId="77777777" w:rsidR="00D86452" w:rsidRPr="00A95C26" w:rsidRDefault="00D86452" w:rsidP="00641F06">
      <w:pPr>
        <w:jc w:val="both"/>
      </w:pPr>
    </w:p>
    <w:p w14:paraId="48C9D705" w14:textId="77777777" w:rsidR="003D6F99" w:rsidRPr="00A95C26" w:rsidRDefault="003D6F99" w:rsidP="00641F06">
      <w:pPr>
        <w:spacing w:line="360" w:lineRule="auto"/>
        <w:jc w:val="both"/>
      </w:pPr>
      <w:r w:rsidRPr="00A95C26">
        <w:t>S nástupem krize finanční regulátoři rychle zahájili širokou škálu protikrizových opatření, včetně řady poměrně tvrdých netržních rozhodnutí.</w:t>
      </w:r>
    </w:p>
    <w:p w14:paraId="024AB209" w14:textId="77777777" w:rsidR="003D6F99" w:rsidRPr="00A95C26" w:rsidRDefault="003D6F99" w:rsidP="00641F06">
      <w:pPr>
        <w:spacing w:line="360" w:lineRule="auto"/>
        <w:jc w:val="both"/>
      </w:pPr>
    </w:p>
    <w:p w14:paraId="069CC73C" w14:textId="77777777" w:rsidR="003D6F99" w:rsidRPr="00A95C26" w:rsidRDefault="003D6F99" w:rsidP="00641F06">
      <w:pPr>
        <w:spacing w:line="360" w:lineRule="auto"/>
        <w:jc w:val="both"/>
      </w:pPr>
      <w:r w:rsidRPr="00A95C26">
        <w:t xml:space="preserve">27. června oznámila Čínská lidová banka (PBOC) snížení povinných minimálních rezerv a základní úrokové sazby o </w:t>
      </w:r>
      <w:proofErr w:type="gramStart"/>
      <w:r w:rsidRPr="00A95C26">
        <w:t>0,25 procentního</w:t>
      </w:r>
      <w:proofErr w:type="gramEnd"/>
      <w:r w:rsidRPr="00A95C26">
        <w:t xml:space="preserve"> bodu. na 4,85 %, sazba z ročních vkladů byla snížena na 2 %. Makléři mohou vydávat krátkodobé dluhopisy k financování svých maržových půjček.</w:t>
      </w:r>
    </w:p>
    <w:p w14:paraId="4793F29C" w14:textId="77777777" w:rsidR="003D6F99" w:rsidRPr="00A95C26" w:rsidRDefault="003D6F99" w:rsidP="00641F06">
      <w:pPr>
        <w:spacing w:line="360" w:lineRule="auto"/>
        <w:jc w:val="both"/>
      </w:pPr>
      <w:r w:rsidRPr="00A95C26">
        <w:t xml:space="preserve">1. července burzy v Šanghaji a </w:t>
      </w:r>
      <w:proofErr w:type="spellStart"/>
      <w:r w:rsidRPr="00A95C26">
        <w:t>Shenzhenu</w:t>
      </w:r>
      <w:proofErr w:type="spellEnd"/>
      <w:r w:rsidRPr="00A95C26">
        <w:t xml:space="preserve"> snížily kolkovné na transakce s cennými papíry o jednu třetinu.</w:t>
      </w:r>
    </w:p>
    <w:p w14:paraId="46677774" w14:textId="49B96A88" w:rsidR="00516A7E" w:rsidRPr="00A95C26" w:rsidRDefault="003D6F99" w:rsidP="00641F06">
      <w:pPr>
        <w:spacing w:line="360" w:lineRule="auto"/>
        <w:jc w:val="both"/>
      </w:pPr>
      <w:r w:rsidRPr="00A95C26">
        <w:t xml:space="preserve">Aby se zabránilo dalším masivním prodejům akcií firemními </w:t>
      </w:r>
      <w:proofErr w:type="spellStart"/>
      <w:r w:rsidRPr="00A95C26">
        <w:t>insidery</w:t>
      </w:r>
      <w:proofErr w:type="spellEnd"/>
      <w:r w:rsidRPr="00A95C26">
        <w:t>, bylo 8. července zavedeno šestiměsíční moratorium na prodej akcií veřejných společností akcionáři (včetně vrcholových manažerů) s podílem vyšším než 5 %. V důsledku toho byla zablokována významná část investorů, více než 1,3 tisíce společností pozastavilo své kotace na burzách, což přispělo ke zmrazení akcií o 2,6 bilionu dolarů (40 % tržní kapitalizace</w:t>
      </w:r>
      <w:proofErr w:type="gramStart"/>
      <w:r w:rsidRPr="00A95C26">
        <w:t>)</w:t>
      </w:r>
      <w:r w:rsidR="00516A7E" w:rsidRPr="00A95C26">
        <w:t xml:space="preserve"> .</w:t>
      </w:r>
      <w:proofErr w:type="gramEnd"/>
    </w:p>
    <w:p w14:paraId="0A5E8A9D" w14:textId="77777777" w:rsidR="00516A7E" w:rsidRPr="00A95C26" w:rsidRDefault="00516A7E" w:rsidP="00641F06">
      <w:pPr>
        <w:spacing w:line="360" w:lineRule="auto"/>
        <w:jc w:val="both"/>
      </w:pPr>
    </w:p>
    <w:p w14:paraId="61A0920F" w14:textId="77777777" w:rsidR="003D6F99" w:rsidRPr="00A95C26" w:rsidRDefault="003D6F99" w:rsidP="00641F06">
      <w:pPr>
        <w:spacing w:line="360" w:lineRule="auto"/>
        <w:jc w:val="both"/>
      </w:pPr>
      <w:r w:rsidRPr="00A95C26">
        <w:t>Rozhodnutím Státního výboru pro kontrolu a správu státního majetku je také jemu podřízeným státním společnostem zakázán prodej akcií na burzách po dobu abnormálních tržních výkyvů.</w:t>
      </w:r>
    </w:p>
    <w:p w14:paraId="681027B5" w14:textId="77777777" w:rsidR="003D6F99" w:rsidRPr="00A95C26" w:rsidRDefault="003D6F99" w:rsidP="00641F06">
      <w:pPr>
        <w:spacing w:line="360" w:lineRule="auto"/>
        <w:jc w:val="both"/>
      </w:pPr>
    </w:p>
    <w:p w14:paraId="4ED037ED" w14:textId="77777777" w:rsidR="003D6F99" w:rsidRPr="00A95C26" w:rsidRDefault="003D6F99" w:rsidP="00641F06">
      <w:pPr>
        <w:spacing w:line="360" w:lineRule="auto"/>
        <w:jc w:val="both"/>
      </w:pPr>
      <w:r w:rsidRPr="00A95C26">
        <w:t>Dočasný zákaz se vztahuje na několik desítek největších čínských korporací, včetně holdingů v oblasti letectví, stavby lodí, energetiky, telekomunikací, automobilového průmyslu, oceli, chemie, stavebnictví a těžby uhlí.</w:t>
      </w:r>
    </w:p>
    <w:p w14:paraId="24FE4B87" w14:textId="77777777" w:rsidR="003D6F99" w:rsidRPr="00A95C26" w:rsidRDefault="003D6F99" w:rsidP="00641F06">
      <w:pPr>
        <w:spacing w:line="360" w:lineRule="auto"/>
        <w:jc w:val="both"/>
      </w:pPr>
    </w:p>
    <w:p w14:paraId="4AA43802" w14:textId="77777777" w:rsidR="003D6F99" w:rsidRPr="00A95C26" w:rsidRDefault="003D6F99" w:rsidP="00641F06">
      <w:pPr>
        <w:spacing w:line="360" w:lineRule="auto"/>
        <w:jc w:val="both"/>
      </w:pPr>
      <w:r w:rsidRPr="00A95C26">
        <w:t>Více než 20 velkých brokerů oznámilo svou připravenost založit stabilizační fond ve výši minimálně 20 miliard USD, do kterého investují částku rovnající se 15 % vlastních čistých aktiv. Prostředky budou použity na nákup akcií burzovně obchodovaných fondů (ETF), které investují do velkých společností.</w:t>
      </w:r>
    </w:p>
    <w:p w14:paraId="31E70A23" w14:textId="77777777" w:rsidR="003D6F99" w:rsidRPr="00A95C26" w:rsidRDefault="003D6F99" w:rsidP="00641F06">
      <w:pPr>
        <w:spacing w:line="360" w:lineRule="auto"/>
        <w:jc w:val="both"/>
      </w:pPr>
      <w:r w:rsidRPr="00A95C26">
        <w:t xml:space="preserve">Nejrozsáhlejším protikrizovým směrem byla injekce likvidity do specializované státní agentury </w:t>
      </w:r>
      <w:proofErr w:type="spellStart"/>
      <w:r w:rsidRPr="00A95C26">
        <w:t>China</w:t>
      </w:r>
      <w:proofErr w:type="spellEnd"/>
      <w:r w:rsidRPr="00A95C26">
        <w:t xml:space="preserve"> </w:t>
      </w:r>
      <w:proofErr w:type="spellStart"/>
      <w:r w:rsidRPr="00A95C26">
        <w:t>Securities</w:t>
      </w:r>
      <w:proofErr w:type="spellEnd"/>
      <w:r w:rsidRPr="00A95C26">
        <w:t xml:space="preserve"> Finance (CSF), v r. mezi jehož úkoly patří finanční podpora brokerů především v segmentu maržových úvěrů. Podle zpráv médií obdržel CSF v červenci od Čínské lidové banky a velkých komerčních bank až 3 biliony </w:t>
      </w:r>
      <w:proofErr w:type="spellStart"/>
      <w:r w:rsidRPr="00A95C26">
        <w:t>juanů</w:t>
      </w:r>
      <w:proofErr w:type="spellEnd"/>
      <w:r w:rsidRPr="00A95C26">
        <w:t xml:space="preserve"> (483 miliard dolarů), které budou použity k doplnění likvidity brokerů a také k masivnímu nákupu akcií a akcií investiční fondy na burzách.</w:t>
      </w:r>
    </w:p>
    <w:p w14:paraId="52959EBB" w14:textId="1DCB3178" w:rsidR="003D6F99" w:rsidRPr="00A95C26" w:rsidRDefault="003D6F99" w:rsidP="00641F06">
      <w:pPr>
        <w:spacing w:line="360" w:lineRule="auto"/>
        <w:jc w:val="both"/>
      </w:pPr>
      <w:r w:rsidRPr="00A95C26">
        <w:lastRenderedPageBreak/>
        <w:t xml:space="preserve">Každá z pěti největších bank v Číně poskytla CSF® úvěry ve výši nejméně 100 miliard </w:t>
      </w:r>
      <w:proofErr w:type="spellStart"/>
      <w:r w:rsidRPr="00A95C26">
        <w:t>juanů</w:t>
      </w:r>
      <w:proofErr w:type="spellEnd"/>
      <w:r w:rsidRPr="00A95C26">
        <w:t xml:space="preserve">, celkem do 13. července poskytlo agentuře mezibankovní půjčky 17 bank ve výši až 1,3 bilionu </w:t>
      </w:r>
      <w:proofErr w:type="spellStart"/>
      <w:r w:rsidRPr="00A95C26">
        <w:t>juanů</w:t>
      </w:r>
      <w:proofErr w:type="spellEnd"/>
      <w:r w:rsidRPr="00A95C26">
        <w:t xml:space="preserve"> (209 miliard dolarů). Největší úvěr ve výši 186 miliard </w:t>
      </w:r>
      <w:proofErr w:type="spellStart"/>
      <w:r w:rsidRPr="00A95C26">
        <w:t>j</w:t>
      </w:r>
      <w:r w:rsidR="00BD7A1E" w:rsidRPr="00A95C26">
        <w:t>u</w:t>
      </w:r>
      <w:r w:rsidRPr="00A95C26">
        <w:t>anů</w:t>
      </w:r>
      <w:proofErr w:type="spellEnd"/>
      <w:r w:rsidRPr="00A95C26">
        <w:t xml:space="preserve"> poskytla šestá největší banka v Číně – </w:t>
      </w:r>
      <w:proofErr w:type="spellStart"/>
      <w:r w:rsidRPr="00A95C26">
        <w:t>China</w:t>
      </w:r>
      <w:proofErr w:type="spellEnd"/>
      <w:r w:rsidRPr="00A95C26">
        <w:t xml:space="preserve"> </w:t>
      </w:r>
      <w:proofErr w:type="spellStart"/>
      <w:r w:rsidRPr="00A95C26">
        <w:t>Merchants</w:t>
      </w:r>
      <w:proofErr w:type="spellEnd"/>
      <w:r w:rsidRPr="00A95C26">
        <w:t xml:space="preserve"> Bank. Nezveřejněné množství úvěrů agentura přijala přímo od NBK a CSF aktivně vydává a prodává dluhopisy a krátkodobé cenné papíry na trhu.</w:t>
      </w:r>
    </w:p>
    <w:p w14:paraId="50F73BE2" w14:textId="77777777" w:rsidR="003D6F99" w:rsidRPr="00A95C26" w:rsidRDefault="003D6F99" w:rsidP="00641F06">
      <w:pPr>
        <w:spacing w:line="360" w:lineRule="auto"/>
        <w:jc w:val="both"/>
      </w:pPr>
    </w:p>
    <w:p w14:paraId="3D585C4D" w14:textId="23C6E5F2" w:rsidR="008A1E54" w:rsidRPr="00A95C26" w:rsidRDefault="003D6F99" w:rsidP="002B025E">
      <w:pPr>
        <w:spacing w:line="360" w:lineRule="auto"/>
        <w:jc w:val="both"/>
      </w:pPr>
      <w:r w:rsidRPr="00A95C26">
        <w:t xml:space="preserve">V úvodní fázi realizace protikrizového plánu, do poloviny srpna, index stoupl o 18 % z minimální úrovně dosažené 8. července, nicméně posledních deset srpnových dnů bylo ve znamení prudkého zvratu a dalšího pětidenní pokles trhu, nejdelší od roku 1996. Za dva dny, 24. až 25. srpna, klesl kompozitní index SSE o 15 %, obecně pokles přesáhl 20 % za pět dní. V první řadě pád vyvolaly fámy o konci intervencí ze strany státu. Společnost </w:t>
      </w:r>
      <w:proofErr w:type="spellStart"/>
      <w:r w:rsidRPr="00A95C26">
        <w:t>China</w:t>
      </w:r>
      <w:proofErr w:type="spellEnd"/>
      <w:r w:rsidRPr="00A95C26">
        <w:t xml:space="preserve"> </w:t>
      </w:r>
      <w:proofErr w:type="spellStart"/>
      <w:r w:rsidRPr="00A95C26">
        <w:t>Securities</w:t>
      </w:r>
      <w:proofErr w:type="spellEnd"/>
      <w:r w:rsidRPr="00A95C26">
        <w:t xml:space="preserve"> Finance 14. srpna uvedla, že zůstane na trhu, ale zasáhne pouze v případě nadměrné volatility nebo hrozby systémových rizik. K počáteční panice významně přispěl propad amerických indexů 21. srpna a dvoudenní nezasahování NBK do situace na trhu.</w:t>
      </w:r>
    </w:p>
    <w:p w14:paraId="0E1DBEDC" w14:textId="4CD93742" w:rsidR="00AA79F1" w:rsidRPr="00A95C26" w:rsidRDefault="00A21EC7" w:rsidP="002B025E">
      <w:pPr>
        <w:pStyle w:val="Nadpis2"/>
        <w:ind w:left="0"/>
        <w:jc w:val="both"/>
        <w:rPr>
          <w:lang w:val="cs-CZ"/>
        </w:rPr>
      </w:pPr>
      <w:bookmarkStart w:id="81" w:name="_Toc99636472"/>
      <w:bookmarkStart w:id="82" w:name="_Toc99657961"/>
      <w:bookmarkStart w:id="83" w:name="_Toc99659321"/>
      <w:r w:rsidRPr="00A95C26">
        <w:rPr>
          <w:lang w:val="cs-CZ"/>
        </w:rPr>
        <w:t>4</w:t>
      </w:r>
      <w:r w:rsidR="00D64834" w:rsidRPr="00A95C26">
        <w:rPr>
          <w:lang w:val="cs-CZ"/>
        </w:rPr>
        <w:t xml:space="preserve">.9 </w:t>
      </w:r>
      <w:r w:rsidR="00D86452" w:rsidRPr="00A95C26">
        <w:rPr>
          <w:lang w:val="cs-CZ"/>
        </w:rPr>
        <w:t xml:space="preserve">Vliv na vedlejší </w:t>
      </w:r>
      <w:bookmarkEnd w:id="81"/>
      <w:r w:rsidR="00BD7A1E" w:rsidRPr="00A95C26">
        <w:rPr>
          <w:lang w:val="cs-CZ"/>
        </w:rPr>
        <w:t>státy</w:t>
      </w:r>
      <w:bookmarkEnd w:id="82"/>
      <w:bookmarkEnd w:id="83"/>
    </w:p>
    <w:p w14:paraId="44CDC5CB" w14:textId="09DF29A6" w:rsidR="00271907" w:rsidRPr="00A95C26" w:rsidRDefault="003D6F99" w:rsidP="00641F06">
      <w:pPr>
        <w:spacing w:line="360" w:lineRule="auto"/>
        <w:jc w:val="both"/>
      </w:pPr>
      <w:r w:rsidRPr="00A95C26">
        <w:t>Nyní bych se rád zamyslel nad tím, jak finanční bublina v Číně ovlivnila sousední země. Finanční bublina ve Spojených státech, která vznikla v důsledku infekce z trhu hypotečních úvěrů, se stala jednou z příčin globální finanční krize. Jeho kolaps v roce 2008 znamenal začátek dlouhého období recese jak v USA, tak v dalších zemích. Dopady čínské akciové bubliny byly slabší. Ta sice nezpůsobila globální krizi: vedla ke kolapsu světových akciových indexů a posloužila jako jeden z důvodů revize tempa růstu čínské ekonomiky, což vedlo i ke zhoršení očekávání investorů. Zaznamenáváme také, že čínský akciový trh má vliv na indexy Indie a Brazílie a také na dynamiku kotací na asijských akciových trzích. Z toho vzešlo očekávání, že se mu podaří vyvolat akciové bubliny na jemu blízkých trzích.</w:t>
      </w:r>
      <w:r w:rsidR="00426D4B" w:rsidRPr="00A95C26">
        <w:rPr>
          <w:rStyle w:val="Znakapoznpodarou"/>
        </w:rPr>
        <w:footnoteReference w:id="65"/>
      </w:r>
    </w:p>
    <w:p w14:paraId="45D3320E" w14:textId="77777777" w:rsidR="00813B6E" w:rsidRPr="00A95C26" w:rsidRDefault="00813B6E" w:rsidP="00641F06">
      <w:pPr>
        <w:spacing w:line="360" w:lineRule="auto"/>
        <w:jc w:val="both"/>
      </w:pPr>
    </w:p>
    <w:p w14:paraId="01DA4D4F" w14:textId="5BF5D7F9" w:rsidR="001C6AF0" w:rsidRPr="00A95C26" w:rsidRDefault="00813B6E" w:rsidP="00641F06">
      <w:pPr>
        <w:spacing w:line="360" w:lineRule="auto"/>
        <w:jc w:val="both"/>
      </w:pPr>
      <w:r w:rsidRPr="00A95C26">
        <w:t>Graf 6. Dynamika akciových indexů USA, Číny, Indie, Ruska, Brazílie a světového akciového indexu v letech 2002–2010, ceny jsou normalizovány na hodnotu k 1. 1. 2002 (cena k tomuto datu je 1,00) / Dynamika akciových indexů USA, Číny, Indie, Brazílie a světa v letech 2012–2017.</w:t>
      </w:r>
    </w:p>
    <w:p w14:paraId="51E3411C" w14:textId="029EC94D" w:rsidR="00271907" w:rsidRPr="00A95C26" w:rsidRDefault="001C6AF0" w:rsidP="00641F06">
      <w:pPr>
        <w:spacing w:line="360" w:lineRule="auto"/>
        <w:jc w:val="both"/>
      </w:pPr>
      <w:r w:rsidRPr="00A95C26">
        <w:rPr>
          <w:noProof/>
        </w:rPr>
        <w:lastRenderedPageBreak/>
        <w:drawing>
          <wp:inline distT="0" distB="0" distL="0" distR="0" wp14:anchorId="209D3EC7" wp14:editId="5FC97E35">
            <wp:extent cx="5580380" cy="36106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2-03-31 в 10.30.19.png"/>
                    <pic:cNvPicPr/>
                  </pic:nvPicPr>
                  <pic:blipFill>
                    <a:blip r:embed="rId21">
                      <a:extLst>
                        <a:ext uri="{28A0092B-C50C-407E-A947-70E740481C1C}">
                          <a14:useLocalDpi xmlns:a14="http://schemas.microsoft.com/office/drawing/2010/main" val="0"/>
                        </a:ext>
                      </a:extLst>
                    </a:blip>
                    <a:stretch>
                      <a:fillRect/>
                    </a:stretch>
                  </pic:blipFill>
                  <pic:spPr>
                    <a:xfrm>
                      <a:off x="0" y="0"/>
                      <a:ext cx="5580380" cy="3610610"/>
                    </a:xfrm>
                    <a:prstGeom prst="rect">
                      <a:avLst/>
                    </a:prstGeom>
                  </pic:spPr>
                </pic:pic>
              </a:graphicData>
            </a:graphic>
          </wp:inline>
        </w:drawing>
      </w:r>
    </w:p>
    <w:p w14:paraId="5F220BBD" w14:textId="255B941B" w:rsidR="00271907" w:rsidRPr="00A95C26" w:rsidRDefault="00813B6E" w:rsidP="00641F06">
      <w:pPr>
        <w:spacing w:line="360" w:lineRule="auto"/>
        <w:jc w:val="both"/>
      </w:pPr>
      <w:r w:rsidRPr="00A95C26">
        <w:t xml:space="preserve"> Zdroj: MSCI: </w:t>
      </w:r>
      <w:hyperlink r:id="rId22" w:history="1">
        <w:r w:rsidRPr="00A95C26">
          <w:rPr>
            <w:rStyle w:val="Hypertextovodkaz"/>
          </w:rPr>
          <w:t>https://www.msci.com/end-of-day-data-country</w:t>
        </w:r>
      </w:hyperlink>
    </w:p>
    <w:p w14:paraId="116F18BF" w14:textId="56449C18" w:rsidR="00426D4B" w:rsidRPr="00A95C26" w:rsidRDefault="00426D4B" w:rsidP="00641F06">
      <w:pPr>
        <w:spacing w:line="360" w:lineRule="auto"/>
        <w:jc w:val="both"/>
      </w:pPr>
      <w:r w:rsidRPr="00A95C26">
        <w:t xml:space="preserve">Nicméně v prvním případě, jak je </w:t>
      </w:r>
      <w:proofErr w:type="gramStart"/>
      <w:r w:rsidRPr="00A95C26">
        <w:t>znázorněno ,</w:t>
      </w:r>
      <w:proofErr w:type="gramEnd"/>
      <w:r w:rsidRPr="00A95C26">
        <w:t xml:space="preserve"> efekt nákazy byl pozorován jak v rozvojových zemích, tak na celém světě: v poměru k ceně k 1. lednu 2002 se ceny v zemích BRIC (Brazílie, Rusko, Indie, Čína) zvýšily 6–8krát. Po splasknutí bubliny přitom ceny propadly v průměru 3x (v Rusku 6x) a následně se stabilizovaly na úrovni 2–3x nižší, než jsou maximální hodnoty.</w:t>
      </w:r>
    </w:p>
    <w:p w14:paraId="7FB07A9E" w14:textId="354A1EFF" w:rsidR="00271907" w:rsidRPr="00A95C26" w:rsidRDefault="00426D4B" w:rsidP="00641F06">
      <w:pPr>
        <w:spacing w:line="360" w:lineRule="auto"/>
        <w:jc w:val="both"/>
      </w:pPr>
      <w:r w:rsidRPr="00A95C26">
        <w:t>Pokud vezmeme v úvahu finanční bublinu v Číně, tak ta nevedla k vytvoření bublin ani na indickém trhu, ani na jiných asijských akciových trzích (včetně Tchaj-wanu).</w:t>
      </w:r>
    </w:p>
    <w:p w14:paraId="7793E96F" w14:textId="006F4E80" w:rsidR="00813B6E" w:rsidRPr="00A95C26" w:rsidRDefault="00813B6E" w:rsidP="00641F06">
      <w:pPr>
        <w:spacing w:line="360" w:lineRule="auto"/>
        <w:jc w:val="both"/>
      </w:pPr>
    </w:p>
    <w:p w14:paraId="53FC88C3" w14:textId="77777777" w:rsidR="00D325F4" w:rsidRPr="00A95C26" w:rsidRDefault="00D325F4" w:rsidP="00D325F4">
      <w:pPr>
        <w:spacing w:line="360" w:lineRule="auto"/>
        <w:jc w:val="both"/>
      </w:pPr>
      <w:r w:rsidRPr="00A95C26">
        <w:t>V Koreji lze zaznamenat nárůst cenových nabídek o 9 %. Tento nárůst je však těžké rozpoznat jako vytvoření finanční bubliny, neboť necelých 12 měsíců před tímto nárůstem dosahoval index výrazně vyšších hodnot.</w:t>
      </w:r>
    </w:p>
    <w:p w14:paraId="6F844E05" w14:textId="77777777" w:rsidR="00D325F4" w:rsidRPr="00A95C26" w:rsidRDefault="00D325F4" w:rsidP="00D325F4">
      <w:pPr>
        <w:spacing w:line="360" w:lineRule="auto"/>
        <w:jc w:val="both"/>
      </w:pPr>
      <w:r w:rsidRPr="00A95C26">
        <w:t xml:space="preserve">S vysokou mírou jistoty lze říci, že splasknutí finanční bubliny v Číně v roce 2015 vedlo v těchto zemích ke vzniku nakažlivých krizí. Toto tvrzení potvrzuje mimo jiné i studie. </w:t>
      </w:r>
      <w:r w:rsidRPr="00A95C26">
        <w:rPr>
          <w:rStyle w:val="Znakapoznpodarou"/>
        </w:rPr>
        <w:footnoteReference w:id="66"/>
      </w:r>
      <w:r w:rsidRPr="00A95C26">
        <w:t xml:space="preserve">Ke vzniku infekční bubliny však nedošlo. To vyvolává otázku: proč mechanismus </w:t>
      </w:r>
      <w:proofErr w:type="spellStart"/>
      <w:r w:rsidRPr="00A95C26">
        <w:t>rebalancování</w:t>
      </w:r>
      <w:proofErr w:type="spellEnd"/>
      <w:r w:rsidRPr="00A95C26">
        <w:t>, který v letech 2007–2008 podněcoval finanční bubliny, nefungoval v roce 2015, a to ani na souvisejících trzích. K zodpovězení této otázky je nutné analyzovat hlavní rozdíly mezi těmito bublinami.</w:t>
      </w:r>
    </w:p>
    <w:p w14:paraId="39718B5F" w14:textId="77777777" w:rsidR="00D325F4" w:rsidRDefault="00D325F4" w:rsidP="00641F06">
      <w:pPr>
        <w:spacing w:line="360" w:lineRule="auto"/>
        <w:jc w:val="both"/>
      </w:pPr>
    </w:p>
    <w:p w14:paraId="49232BB0" w14:textId="097DC815" w:rsidR="00813B6E" w:rsidRPr="00A95C26" w:rsidRDefault="00813B6E" w:rsidP="00641F06">
      <w:pPr>
        <w:spacing w:line="360" w:lineRule="auto"/>
        <w:jc w:val="both"/>
      </w:pPr>
      <w:r w:rsidRPr="00A95C26">
        <w:lastRenderedPageBreak/>
        <w:t>Graf 7. Dynamika akciových indexů v Číně, Indii, Tchaj-wanu a Koreji v letech 2012–2017 ceny jsou normalizovány na hodnotu k 1.10.2012 (cena k tomuto datu je 1,00)</w:t>
      </w:r>
    </w:p>
    <w:p w14:paraId="7CA0D346" w14:textId="77777777" w:rsidR="00271907" w:rsidRPr="00A95C26" w:rsidRDefault="00271907" w:rsidP="00641F06">
      <w:pPr>
        <w:spacing w:line="360" w:lineRule="auto"/>
        <w:jc w:val="both"/>
      </w:pPr>
    </w:p>
    <w:p w14:paraId="73CC3B36" w14:textId="28C01DBD" w:rsidR="00271907" w:rsidRPr="00A95C26" w:rsidRDefault="00F64D2B" w:rsidP="00641F06">
      <w:pPr>
        <w:spacing w:line="360" w:lineRule="auto"/>
        <w:jc w:val="both"/>
      </w:pPr>
      <w:r w:rsidRPr="00A95C26">
        <w:rPr>
          <w:noProof/>
        </w:rPr>
        <w:drawing>
          <wp:inline distT="0" distB="0" distL="0" distR="0" wp14:anchorId="16E91E28" wp14:editId="2DBD6F8F">
            <wp:extent cx="5580380" cy="2568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2-03-31 в 10.28.20.png"/>
                    <pic:cNvPicPr/>
                  </pic:nvPicPr>
                  <pic:blipFill>
                    <a:blip r:embed="rId23">
                      <a:extLst>
                        <a:ext uri="{28A0092B-C50C-407E-A947-70E740481C1C}">
                          <a14:useLocalDpi xmlns:a14="http://schemas.microsoft.com/office/drawing/2010/main" val="0"/>
                        </a:ext>
                      </a:extLst>
                    </a:blip>
                    <a:stretch>
                      <a:fillRect/>
                    </a:stretch>
                  </pic:blipFill>
                  <pic:spPr>
                    <a:xfrm>
                      <a:off x="0" y="0"/>
                      <a:ext cx="5580380" cy="2568575"/>
                    </a:xfrm>
                    <a:prstGeom prst="rect">
                      <a:avLst/>
                    </a:prstGeom>
                  </pic:spPr>
                </pic:pic>
              </a:graphicData>
            </a:graphic>
          </wp:inline>
        </w:drawing>
      </w:r>
    </w:p>
    <w:p w14:paraId="6D419354" w14:textId="6BA43BCD" w:rsidR="00813B6E" w:rsidRPr="00A95C26" w:rsidRDefault="00813B6E" w:rsidP="00641F06">
      <w:pPr>
        <w:spacing w:line="360" w:lineRule="auto"/>
        <w:jc w:val="both"/>
      </w:pPr>
      <w:r w:rsidRPr="00A95C26">
        <w:t xml:space="preserve">Zdroj: MSCI: </w:t>
      </w:r>
      <w:hyperlink r:id="rId24" w:history="1">
        <w:r w:rsidR="00E73DAB" w:rsidRPr="00F77E28">
          <w:rPr>
            <w:rStyle w:val="Hypertextovodkaz"/>
          </w:rPr>
          <w:t>https://www.msci.com/end-of-day-data-country</w:t>
        </w:r>
      </w:hyperlink>
      <w:r w:rsidR="00E73DAB">
        <w:t xml:space="preserve"> </w:t>
      </w:r>
    </w:p>
    <w:p w14:paraId="1E7EF062" w14:textId="77777777" w:rsidR="00813B6E" w:rsidRPr="00A95C26" w:rsidRDefault="00813B6E" w:rsidP="00641F06">
      <w:pPr>
        <w:spacing w:line="360" w:lineRule="auto"/>
        <w:jc w:val="both"/>
      </w:pPr>
    </w:p>
    <w:p w14:paraId="2EA1E7FB" w14:textId="02A865E0" w:rsidR="00426D4B" w:rsidRPr="00A95C26" w:rsidRDefault="00426D4B" w:rsidP="00641F06">
      <w:pPr>
        <w:spacing w:line="360" w:lineRule="auto"/>
        <w:jc w:val="both"/>
      </w:pPr>
      <w:r w:rsidRPr="00A95C26">
        <w:t>První rozdíl, který je třeba poznamenat, je rozdíl ve struktuře investorů. Charakteristickým rysem čínského akciového trhu je nízký podíl penzijních fondů a pojišťoven, které se drží konzervativnější strategie</w:t>
      </w:r>
      <w:r w:rsidR="00F64D2B" w:rsidRPr="00A95C26">
        <w:t xml:space="preserve"> </w:t>
      </w:r>
      <w:r w:rsidRPr="00A95C26">
        <w:t>„</w:t>
      </w:r>
      <w:proofErr w:type="spellStart"/>
      <w:r w:rsidRPr="00A95C26">
        <w:t>buy</w:t>
      </w:r>
      <w:proofErr w:type="spellEnd"/>
      <w:r w:rsidRPr="00A95C26">
        <w:t xml:space="preserve"> and hold“ (koupit a držet). Dynamika kotací na čínském akciovém trhu je tedy určována jednáním malých a středních investorů, jejichž chování závisí na</w:t>
      </w:r>
      <w:r w:rsidR="00F64D2B" w:rsidRPr="00A95C26">
        <w:t xml:space="preserve"> </w:t>
      </w:r>
      <w:r w:rsidRPr="00A95C26">
        <w:t xml:space="preserve">charakteristikách chování. </w:t>
      </w:r>
      <w:r w:rsidR="00F64D2B" w:rsidRPr="00A95C26">
        <w:rPr>
          <w:rStyle w:val="Znakapoznpodarou"/>
        </w:rPr>
        <w:footnoteReference w:id="67"/>
      </w:r>
      <w:r w:rsidRPr="00A95C26">
        <w:t>V souladu s tím hlavní důsledky splasknutí finanční bubliny dopadly na tyto investory.</w:t>
      </w:r>
    </w:p>
    <w:p w14:paraId="144D549D" w14:textId="1158E4C5" w:rsidR="00426D4B" w:rsidRPr="00A95C26" w:rsidRDefault="00426D4B" w:rsidP="00641F06">
      <w:pPr>
        <w:spacing w:line="360" w:lineRule="auto"/>
        <w:jc w:val="both"/>
      </w:pPr>
      <w:r w:rsidRPr="00A95C26">
        <w:t xml:space="preserve">Zahraniční investoři na čínském akciovém trhu navíc hrají poměrně skromnou roli, protože po dlouhou dobu byli velmi omezeni v investičních objektech. </w:t>
      </w:r>
      <w:r w:rsidRPr="00A95C26">
        <w:rPr>
          <w:rStyle w:val="Znakapoznpodarou"/>
        </w:rPr>
        <w:footnoteReference w:id="68"/>
      </w:r>
      <w:r w:rsidRPr="00A95C26">
        <w:t>Navzdory liberalizaci těchto zákazů zatím zahraniční investoři nezačali výrazněji ovlivňovat čínský akciový trh. Vliv nahromadění finanční bubliny tedy nemusel mít významný dopad na portfolia mezinárodních investorů.</w:t>
      </w:r>
    </w:p>
    <w:p w14:paraId="75B3C8FF" w14:textId="3E449BE8" w:rsidR="00426D4B" w:rsidRPr="00A95C26" w:rsidRDefault="00426D4B" w:rsidP="00641F06">
      <w:pPr>
        <w:spacing w:line="360" w:lineRule="auto"/>
        <w:jc w:val="both"/>
      </w:pPr>
      <w:r w:rsidRPr="00A95C26">
        <w:t>Na druhou stranu objem portfoliových investic z Číny na akciových trzích jiných zemí je nesrovnatelně nižší než ve Spojených státech: jak ukazuje tabulka, podíl portfoliových investic z Číny na akciových trzích v roce 2015 činil cca 1 %, zatímco z USA - 9 %.</w:t>
      </w:r>
    </w:p>
    <w:p w14:paraId="0D32E729" w14:textId="77777777" w:rsidR="00426D4B" w:rsidRPr="00A95C26" w:rsidRDefault="00426D4B" w:rsidP="00641F06">
      <w:pPr>
        <w:spacing w:line="360" w:lineRule="auto"/>
        <w:jc w:val="both"/>
      </w:pPr>
      <w:r w:rsidRPr="00A95C26">
        <w:lastRenderedPageBreak/>
        <w:t>Podle MMF přitom značná část investic z Číny směřuje do Spojených států: 62 209 milionů USD z pevninské Číny (35 % z celkového počtu) a 21 116 milionů USD z Hongkongu (1 % z celkového počtu). Investice do akcií společností ze zemí asijského regionu přitom zaujímají nevýznamný podíl: každá země tvoří méně než 1 % celkových investic. Relativně slabá přítomnost čínských investorů na zahraničních trzích omezuje možnost migrace finanční bubliny.</w:t>
      </w:r>
    </w:p>
    <w:p w14:paraId="697F8E97" w14:textId="15AE78A8" w:rsidR="00426D4B" w:rsidRPr="00A95C26" w:rsidRDefault="00426D4B" w:rsidP="00641F06">
      <w:pPr>
        <w:spacing w:line="360" w:lineRule="auto"/>
        <w:jc w:val="both"/>
      </w:pPr>
      <w:r w:rsidRPr="00A95C26">
        <w:t xml:space="preserve">Nutno podotknout, že relativně krátká životnost finanční bubliny na čínském akciovém trhu by mohla hrát další omezovač vzniku nakažlivých bublin. Pokud se finanční bublina na americkém akciovém trhu vyvíjela několik let, pak životnost čínské finanční bubliny byla asi šest měsíců. Vzhledem k výše popsaným charakteristikám čínského akciového trhu (vysoký podíl drobných investorů) mohli velcí investoři zpočátku vnímat vývoj cen v Číně jako spekulativní bublinu. V souladu s tím konzervativnější investoři s největší pravděpodobností odešli předčasně a minimalizovali svá rizika. Je třeba upozornit, že kromě zásadních rozdílů na akciových trzích existovaly i vnější faktory, které zabránily infekci finančních trhů v roce 2015. Jak již bylo uvedeno výše, jedním z přenosových mechanismů je infekce komoditních a dluhových trhů. V roce 2008 se infikoval trh s ropou </w:t>
      </w:r>
      <w:r w:rsidRPr="00A95C26">
        <w:rPr>
          <w:rStyle w:val="Znakapoznpodarou"/>
        </w:rPr>
        <w:footnoteReference w:id="69"/>
      </w:r>
      <w:r w:rsidRPr="00A95C26">
        <w:t>, trh klíčového obchodovatelného zdroje současnosti. Země vyvážející ropu tak získaly neočekávané zisky, což se pozitivně odrazilo na jejich fundamentální hodnotě a v důsledku i na jejich atraktivitě pro investory. V roce 2015 byly ceny ropy na rekordně nízkých úrovních, k čemuž přispělo mnoho faktorů, mimo jiné: růst těžby břidlicové ropy ve Spojených státech a také neschopnost členských zemí OPEC a dalších producentů ropy se dohodnout. V důsledku toho akciové trhy Ruska, Kataru a dalších zemí, jejichž ekonomická situace byla do značné míry závislá na příjmech z ropy, čelily odlivu kapitálu a poklesu kotací. Vytvoření finančních bublin na těchto trzích bylo téměř nemožné.</w:t>
      </w:r>
    </w:p>
    <w:p w14:paraId="5D8E3316" w14:textId="77777777" w:rsidR="00426D4B" w:rsidRPr="00A95C26" w:rsidRDefault="00426D4B" w:rsidP="00641F06">
      <w:pPr>
        <w:spacing w:line="360" w:lineRule="auto"/>
        <w:jc w:val="both"/>
      </w:pPr>
    </w:p>
    <w:p w14:paraId="0B2ABF72" w14:textId="77777777" w:rsidR="001B6C64" w:rsidRDefault="00426D4B" w:rsidP="00641F06">
      <w:pPr>
        <w:spacing w:line="360" w:lineRule="auto"/>
        <w:jc w:val="both"/>
      </w:pPr>
      <w:r w:rsidRPr="00A95C26">
        <w:t>Je také důležité si všimnout růstu globální nejistoty. Na rozdíl od roku 2008 se v roce 2015 investoři potýkali s mnoha faktory, které zvyšovaly nejistotu, mezi něž patří: konflikt na Ukrajině a zhoršení vztahů mezi Ruskem a západními zeměmi, eskalace vojenského konfliktu v Sýrii, migrační krize v Evropské unii a další. ostatní Tyto faktory vedly ke zvýšené volatilitě na globálních akciových trzích. V důsledku toho se snížila míra optimismu investorů, omezila se jejich chuť podstupovat riziko, a tedy i pravděpodobnost šíření nakažlivých finančních bublin.</w:t>
      </w:r>
      <w:bookmarkStart w:id="84" w:name="_Toc99636473"/>
    </w:p>
    <w:p w14:paraId="33639119" w14:textId="77777777" w:rsidR="001B6C64" w:rsidRDefault="001B6C64" w:rsidP="00641F06">
      <w:pPr>
        <w:spacing w:line="360" w:lineRule="auto"/>
        <w:jc w:val="both"/>
      </w:pPr>
    </w:p>
    <w:p w14:paraId="0EC6A6F4" w14:textId="431F26A8" w:rsidR="00A15F1C" w:rsidRDefault="00426D4B" w:rsidP="00641F06">
      <w:pPr>
        <w:spacing w:line="360" w:lineRule="auto"/>
        <w:jc w:val="both"/>
      </w:pPr>
      <w:r w:rsidRPr="00A95C26">
        <w:lastRenderedPageBreak/>
        <w:t>Obecně lze říci, že výše uvedené závěry umožňují konstatovat, že v současné fázi může</w:t>
      </w:r>
      <w:r w:rsidR="00101A8C" w:rsidRPr="00A95C26">
        <w:t xml:space="preserve"> </w:t>
      </w:r>
      <w:r w:rsidRPr="00A95C26">
        <w:t>finanční bublina vzniknout pouze pod vlivem vyspělých trhů, především pod vlivem Spojených států. Akciové trhy rozvíjejících se zemí ještě nedosáhly úrovně rozvoje nezbytné k vyvolání nakažlivých bublin. Přitom mohou způsobit zvýšenou volatilitu na globálních akciových trzích a vytvářet nakažlivé krize.</w:t>
      </w:r>
      <w:bookmarkEnd w:id="84"/>
    </w:p>
    <w:p w14:paraId="1D1AD2ED" w14:textId="77777777" w:rsidR="00A15F1C" w:rsidRDefault="00A15F1C">
      <w:r>
        <w:br w:type="page"/>
      </w:r>
    </w:p>
    <w:p w14:paraId="531E0E80" w14:textId="389AE512" w:rsidR="00204836" w:rsidRPr="00A15F1C" w:rsidRDefault="00A15F1C" w:rsidP="00A15F1C">
      <w:pPr>
        <w:pStyle w:val="Nadpis1"/>
      </w:pPr>
      <w:bookmarkStart w:id="85" w:name="_Toc99659322"/>
      <w:r w:rsidRPr="00A15F1C">
        <w:lastRenderedPageBreak/>
        <w:t>5 Výsledky a diskuze</w:t>
      </w:r>
      <w:bookmarkEnd w:id="85"/>
    </w:p>
    <w:p w14:paraId="70EEF898" w14:textId="77777777" w:rsidR="00185EFA" w:rsidRPr="00A95C26" w:rsidRDefault="00185EFA" w:rsidP="00641F06">
      <w:pPr>
        <w:pStyle w:val="Normlnweb"/>
        <w:spacing w:before="285" w:beforeAutospacing="0" w:after="0" w:afterAutospacing="0" w:line="360" w:lineRule="auto"/>
        <w:jc w:val="both"/>
        <w:outlineLvl w:val="1"/>
        <w:rPr>
          <w:b/>
          <w:bCs/>
          <w:iCs/>
          <w:sz w:val="28"/>
          <w:szCs w:val="28"/>
        </w:rPr>
      </w:pPr>
      <w:bookmarkStart w:id="86" w:name="_Toc99636474"/>
      <w:bookmarkStart w:id="87" w:name="_Toc99657962"/>
      <w:bookmarkStart w:id="88" w:name="_Toc83234778"/>
      <w:bookmarkStart w:id="89" w:name="_Toc99659323"/>
      <w:r w:rsidRPr="00A95C26">
        <w:rPr>
          <w:b/>
          <w:bCs/>
          <w:iCs/>
          <w:sz w:val="28"/>
          <w:szCs w:val="28"/>
        </w:rPr>
        <w:t>5.1 Příznaky bublin na trhu</w:t>
      </w:r>
      <w:bookmarkEnd w:id="86"/>
      <w:bookmarkEnd w:id="87"/>
      <w:bookmarkEnd w:id="89"/>
    </w:p>
    <w:p w14:paraId="70679B98" w14:textId="77777777" w:rsidR="001551F5" w:rsidRPr="00A95C26" w:rsidRDefault="001551F5" w:rsidP="00641F06">
      <w:pPr>
        <w:pStyle w:val="Normlnweb"/>
        <w:spacing w:before="285" w:line="360" w:lineRule="auto"/>
        <w:jc w:val="both"/>
        <w:rPr>
          <w:color w:val="1E2A32"/>
        </w:rPr>
      </w:pPr>
      <w:r w:rsidRPr="00A95C26">
        <w:rPr>
          <w:color w:val="1E2A32"/>
        </w:rPr>
        <w:t>V ekonomii neexistuje jediný koncept, který by mohl přesně definovat bublinu podle jakýchkoli kritérií. Tento jev však aktivně studují specialisté. A můžeme mluvit o přítomnosti znaků, jejichž kombinace naznačuje nafouknutí bublin.</w:t>
      </w:r>
    </w:p>
    <w:p w14:paraId="20FC2409" w14:textId="77777777" w:rsidR="0091726E" w:rsidRDefault="001551F5" w:rsidP="00641F06">
      <w:pPr>
        <w:pStyle w:val="Normlnweb"/>
        <w:spacing w:before="285" w:line="360" w:lineRule="auto"/>
        <w:jc w:val="both"/>
        <w:rPr>
          <w:color w:val="1E2A32"/>
        </w:rPr>
      </w:pPr>
      <w:r w:rsidRPr="00A95C26">
        <w:rPr>
          <w:color w:val="1E2A32"/>
        </w:rPr>
        <w:t>Hlavním znakem je prudký nárůst hodnoty aktiva, často násobný – tedy 300-600 % i více. Cena ale může růst z různých důvodů. Proto je zde stále důležitým kritériem spravedlivé posouzení hodnoty. Za mnoho let existence burzy finančníci vyvinuli různé modely, které takové hodnocení umožňují. U akcií jsou ukazatele vytvořené na základě poměru výkonnosti firmy. Nejběžnější z nich je poměr tržní hodnoty k ročnímu výnosu (P/</w:t>
      </w:r>
      <w:proofErr w:type="gramStart"/>
      <w:r w:rsidRPr="00A95C26">
        <w:rPr>
          <w:color w:val="1E2A32"/>
        </w:rPr>
        <w:t xml:space="preserve">S - </w:t>
      </w:r>
      <w:proofErr w:type="spellStart"/>
      <w:r w:rsidRPr="00A95C26">
        <w:rPr>
          <w:color w:val="1E2A32"/>
        </w:rPr>
        <w:t>Price</w:t>
      </w:r>
      <w:proofErr w:type="spellEnd"/>
      <w:proofErr w:type="gramEnd"/>
      <w:r w:rsidRPr="00A95C26">
        <w:rPr>
          <w:color w:val="1E2A32"/>
        </w:rPr>
        <w:t xml:space="preserve">/Sales). Historicky by u poměrně ceněné společnosti neměla překročit 3-5. Pokud je P/S větší než 5, pak je společnost považována za nadhodnocenou (kotace akcií jsou příliš vysoké). </w:t>
      </w:r>
    </w:p>
    <w:p w14:paraId="715DE59A" w14:textId="77777777" w:rsidR="0091726E" w:rsidRDefault="001551F5" w:rsidP="00641F06">
      <w:pPr>
        <w:pStyle w:val="Normlnweb"/>
        <w:spacing w:before="285" w:line="360" w:lineRule="auto"/>
        <w:jc w:val="both"/>
        <w:rPr>
          <w:color w:val="1E2A32"/>
        </w:rPr>
      </w:pPr>
      <w:r w:rsidRPr="00A95C26">
        <w:rPr>
          <w:color w:val="1E2A32"/>
        </w:rPr>
        <w:t>Existují i ​​další ukazatele. Všechny se aplikují společně. Pokud například vysoce zadlužená společnost, která nevykazuje nárůst tržeb a trpí zmenšujícím se prodejním trhem, má mnohonásobný nárůst cen akcií na burze, pak s největší pravděpodobností mluvíme o bublině.</w:t>
      </w:r>
      <w:r w:rsidRPr="00A95C26">
        <w:t xml:space="preserve"> </w:t>
      </w:r>
      <w:r w:rsidRPr="00A95C26">
        <w:rPr>
          <w:color w:val="1E2A32"/>
        </w:rPr>
        <w:t xml:space="preserve">U komodit je reálné ocenění určeno především nabídkou a poptávkou. Pokud cena komodity navzdory vážnému převisu nabídky nad poptávkou rychle roste, může jít o bublinu. Inflaci bubliny často předchází skutečný nárůst poptávky ze strany průmyslu. To znamená, že nejprve náklady rostou kvůli skutečnosti, že výrobní podniky skutečně cítí potřebu konkrétního produktu. Ale v určitém okamžiku se do hry zapojí spekulanti s akciemi. A pak se ceny, spěchající nahoru, začnou výrazně vymykat spravedlivému hodnocení. </w:t>
      </w:r>
    </w:p>
    <w:p w14:paraId="59D87A4A" w14:textId="03FF39ED" w:rsidR="001551F5" w:rsidRPr="00A95C26" w:rsidRDefault="001551F5" w:rsidP="00641F06">
      <w:pPr>
        <w:pStyle w:val="Normlnweb"/>
        <w:spacing w:before="285" w:line="360" w:lineRule="auto"/>
        <w:jc w:val="both"/>
        <w:rPr>
          <w:color w:val="1E2A32"/>
        </w:rPr>
      </w:pPr>
      <w:r w:rsidRPr="00A95C26">
        <w:rPr>
          <w:color w:val="1E2A32"/>
        </w:rPr>
        <w:t>Finanční experti se snaží neustále analyzovat hodnotu aktiva na základě různých metodik. V některých případech může být rozpoznání bubliny obtížné i pro specialistu. A někdy je jeho přítomnost na trhu jasná i osobě nezkušené ve směnárenských záležitostech. Zde hraje důležitou roli běžná racionalita, přiměřenost, schopnost rozumně posoudit situaci, chladně, bez emocí, kritická analýza.</w:t>
      </w:r>
      <w:r w:rsidRPr="00A95C26">
        <w:t xml:space="preserve"> </w:t>
      </w:r>
      <w:r w:rsidRPr="00A95C26">
        <w:rPr>
          <w:color w:val="1E2A32"/>
        </w:rPr>
        <w:t xml:space="preserve">Dalším důležitým znakem vzniku bubliny je humbuk. Když se velké masy lidí snaží koupit. To znamená, že ve společnosti se formuje určitý módní trend nákupu tohoto produktu. Lidé zároveň nemohou vždy vysvětlit, proč nakupují, za jakým účelem. To jen vytváří určitou náladu davu. Každý chce něco vlastnit. Poptávka po něm roste jako lavina. A tak cena letí do nebeských výšin. Obvykle se to stane, když se k obchodování na burze připojí </w:t>
      </w:r>
      <w:r w:rsidRPr="00A95C26">
        <w:rPr>
          <w:color w:val="1E2A32"/>
        </w:rPr>
        <w:lastRenderedPageBreak/>
        <w:t>nekvalifikovaní investoři – tedy lidé, kteří zpočátku nedokážou spravedlivě posoudit hodnotu aktiva. Nakupují, protože každý nakupuje, aniž by přemýšlel nad tím, jak je to v současných podmínkách racionální. K bublinové inflaci však někdy dochází v těch segmentech trhu, které jsou přístupné pouze profesionálním investorům. To se stává zřídka. Ale také se to stává.</w:t>
      </w:r>
    </w:p>
    <w:p w14:paraId="60D84CE9" w14:textId="77777777" w:rsidR="001551F5" w:rsidRPr="00A95C26" w:rsidRDefault="001551F5" w:rsidP="00641F06">
      <w:pPr>
        <w:pStyle w:val="Normlnweb"/>
        <w:spacing w:before="285" w:line="360" w:lineRule="auto"/>
        <w:jc w:val="both"/>
        <w:rPr>
          <w:color w:val="1E2A32"/>
        </w:rPr>
      </w:pPr>
      <w:r w:rsidRPr="00A95C26">
        <w:rPr>
          <w:color w:val="1E2A32"/>
        </w:rPr>
        <w:t>Existují tedy tři hlavní vlastnosti:</w:t>
      </w:r>
    </w:p>
    <w:p w14:paraId="650B734A" w14:textId="77777777" w:rsidR="001551F5" w:rsidRPr="00A95C26" w:rsidRDefault="001551F5" w:rsidP="00641F06">
      <w:pPr>
        <w:pStyle w:val="Normlnweb"/>
        <w:spacing w:before="285" w:line="360" w:lineRule="auto"/>
        <w:jc w:val="both"/>
        <w:rPr>
          <w:i/>
          <w:iCs/>
          <w:color w:val="1E2A32"/>
        </w:rPr>
      </w:pPr>
      <w:r w:rsidRPr="00A95C26">
        <w:rPr>
          <w:i/>
          <w:iCs/>
          <w:color w:val="1E2A32"/>
        </w:rPr>
        <w:t>Rychlý a mnohonásobný růst hodnoty aktiva.</w:t>
      </w:r>
    </w:p>
    <w:p w14:paraId="0352C643" w14:textId="77777777" w:rsidR="001551F5" w:rsidRPr="00A95C26" w:rsidRDefault="001551F5" w:rsidP="00641F06">
      <w:pPr>
        <w:pStyle w:val="Normlnweb"/>
        <w:spacing w:before="285" w:line="360" w:lineRule="auto"/>
        <w:jc w:val="both"/>
        <w:rPr>
          <w:i/>
          <w:iCs/>
          <w:color w:val="1E2A32"/>
        </w:rPr>
      </w:pPr>
      <w:r w:rsidRPr="00A95C26">
        <w:rPr>
          <w:i/>
          <w:iCs/>
          <w:color w:val="1E2A32"/>
        </w:rPr>
        <w:t>Nepřiměřené zvýšení nákladů. Nárůst hodnoty je mnohem vyšší než reálné odhady.</w:t>
      </w:r>
    </w:p>
    <w:p w14:paraId="198CACCB" w14:textId="77777777" w:rsidR="001551F5" w:rsidRPr="00A95C26" w:rsidRDefault="001551F5" w:rsidP="00641F06">
      <w:pPr>
        <w:pStyle w:val="Normlnweb"/>
        <w:spacing w:before="285" w:line="360" w:lineRule="auto"/>
        <w:jc w:val="both"/>
        <w:rPr>
          <w:i/>
          <w:iCs/>
          <w:color w:val="1E2A32"/>
        </w:rPr>
      </w:pPr>
      <w:r w:rsidRPr="00A95C26">
        <w:rPr>
          <w:i/>
          <w:iCs/>
          <w:color w:val="1E2A32"/>
        </w:rPr>
        <w:t>Masové vzrušení. Lidé nakupují pod vlivem davu.</w:t>
      </w:r>
    </w:p>
    <w:p w14:paraId="44CDA0EB" w14:textId="77777777" w:rsidR="001551F5" w:rsidRPr="00A95C26" w:rsidRDefault="001551F5" w:rsidP="00641F06">
      <w:pPr>
        <w:pStyle w:val="Normlnweb"/>
        <w:spacing w:before="285" w:line="360" w:lineRule="auto"/>
        <w:jc w:val="both"/>
        <w:rPr>
          <w:color w:val="1E2A32"/>
        </w:rPr>
      </w:pPr>
      <w:r w:rsidRPr="00A95C26">
        <w:rPr>
          <w:color w:val="1E2A32"/>
        </w:rPr>
        <w:t>Kombinace těchto tří znaků obvykle naznačuje inflaci bublin.</w:t>
      </w:r>
    </w:p>
    <w:p w14:paraId="5695BC07" w14:textId="1FA3388E" w:rsidR="00185EFA" w:rsidRPr="00A95C26" w:rsidRDefault="001551F5" w:rsidP="00641F06">
      <w:pPr>
        <w:pStyle w:val="Normlnweb"/>
        <w:spacing w:before="285" w:line="360" w:lineRule="auto"/>
        <w:jc w:val="both"/>
        <w:rPr>
          <w:color w:val="1E2A32"/>
        </w:rPr>
      </w:pPr>
      <w:r w:rsidRPr="00A95C26">
        <w:rPr>
          <w:color w:val="1E2A32"/>
        </w:rPr>
        <w:t>Nafukování bubliny na trhu vždy představuje určitou hrozbu. I když se bavíme jen o finančních platformách. Když bublina splaskne, když kotace prudce klesnou, investoři přijdou o peníze. To ovlivňuje jejich kupní sílu. V důsledku toho je zpomalena budoucí spotřeba zboží. Samozřejmě na burze jsou vždy nějaké výkyvy a někdo přijde o peníze.</w:t>
      </w:r>
    </w:p>
    <w:p w14:paraId="07052E02" w14:textId="77777777" w:rsidR="001551F5" w:rsidRPr="00A95C26" w:rsidRDefault="001551F5" w:rsidP="00641F06">
      <w:pPr>
        <w:spacing w:line="360" w:lineRule="auto"/>
        <w:jc w:val="both"/>
        <w:rPr>
          <w:color w:val="1E2A32"/>
        </w:rPr>
      </w:pPr>
      <w:r w:rsidRPr="00A95C26">
        <w:rPr>
          <w:color w:val="1E2A32"/>
        </w:rPr>
        <w:t>Ale bublina, která má velký rozsah, vede k obrovským ztrátám statisíců a milionů lidí. A tyto ztráty jsou značně zesíleny, pokud k obchodování s marží (na vypůjčených prostředcích) došlo dříve. Investiční společnosti a makléři navíc mohou v případě prudkého kolapsu kotací zkrachovat. Přesně to se stalo v roce 2008. A dále v řetězci začal bankrot velkých bank. Pokud bylo aktivum, ve kterém byla bublina nafouknutá, zastaveno jako zástava za jakékoli půjčky nebo dlouhodobé investice, pak se během splasknutí bubliny kvůli znehodnocení aktiva peníze jednoduše vypaří.</w:t>
      </w:r>
    </w:p>
    <w:p w14:paraId="6CC2AB8F" w14:textId="77777777" w:rsidR="001551F5" w:rsidRPr="00A95C26" w:rsidRDefault="001551F5" w:rsidP="00641F06">
      <w:pPr>
        <w:spacing w:line="360" w:lineRule="auto"/>
        <w:jc w:val="both"/>
        <w:rPr>
          <w:color w:val="1E2A32"/>
        </w:rPr>
      </w:pPr>
      <w:r w:rsidRPr="00A95C26">
        <w:rPr>
          <w:color w:val="1E2A32"/>
        </w:rPr>
        <w:t>Mnohem horší je, pokud se bublina nenafukuje jen na burze, ale i v určitých sektorech ekonomiky. Výroba jakéhokoli zboží nebo služeb je nadměrná, nadbytečná. Když se to vyjasní, společnosti utrpí ztráty tím, že nebudou schopny prodat svůj produkt. Například ve skutečné výrobě v Číně je nyní bublina. Se zpomalením globální ekonomiky nebudou továrny schopny prodat své výrobky a utrpí ztráty. Tím se spustí celý řetězec událostí: propouštění pracovníků, pokles jejich spotřebitelské aktivity, ještě větší pokles poptávky po výrobcích – a dále v kruhu.</w:t>
      </w:r>
    </w:p>
    <w:p w14:paraId="79679294" w14:textId="42A6351D" w:rsidR="00185EFA" w:rsidRPr="00A95C26" w:rsidRDefault="001551F5" w:rsidP="00641F06">
      <w:pPr>
        <w:spacing w:line="360" w:lineRule="auto"/>
        <w:jc w:val="both"/>
        <w:rPr>
          <w:color w:val="1E2A32"/>
        </w:rPr>
      </w:pPr>
      <w:r w:rsidRPr="00A95C26">
        <w:rPr>
          <w:color w:val="1E2A32"/>
        </w:rPr>
        <w:t xml:space="preserve">Bubliny mohou způsobit vážné problémy. Vydělávat na nich dokážou pouze ty jednotky, které správně posoudí reálnou hodnotu aktiva a včas z něj vystoupí se ziskem na vrcholu trendu. Ale taková hra je docela nebezpečná. Bublina může každou chvíli prasknout. A pokud je aktivum </w:t>
      </w:r>
      <w:r w:rsidRPr="00A95C26">
        <w:rPr>
          <w:color w:val="1E2A32"/>
        </w:rPr>
        <w:lastRenderedPageBreak/>
        <w:t>správně oceněno, je obvykle zlikvidováno dříve, než bublina vůbec začne praskat. Vedeni racionálními úvahami kupují to, co je levné. A nadále držet aktivum, které je již vysoce nadhodnocené, je vždy riziko.</w:t>
      </w:r>
    </w:p>
    <w:p w14:paraId="776F7106" w14:textId="77777777" w:rsidR="001551F5" w:rsidRPr="00A95C26" w:rsidRDefault="001551F5" w:rsidP="00641F06">
      <w:pPr>
        <w:spacing w:line="360" w:lineRule="auto"/>
        <w:jc w:val="both"/>
      </w:pPr>
      <w:r w:rsidRPr="00A95C26">
        <w:t>Na jedné straně, když se nafukuje finanční bublina ve sféře investic, zvyšuje se i množství peněžních toků. To ale většinou netrvá dlouho. Z toho budou mít prospěch pouze ti, kteří investovali v počáteční fázi. Drtivá většina kupujících investovala během růstu bubliny. To znamená, že již platili nadsazenou cenu, takže když bublina praskne, tito lidé o své peníze přijdou.</w:t>
      </w:r>
    </w:p>
    <w:p w14:paraId="094FF52F" w14:textId="77777777" w:rsidR="001551F5" w:rsidRPr="00A95C26" w:rsidRDefault="001551F5" w:rsidP="00641F06">
      <w:pPr>
        <w:spacing w:line="360" w:lineRule="auto"/>
        <w:jc w:val="both"/>
      </w:pPr>
      <w:r w:rsidRPr="00A95C26">
        <w:t>V souladu s tím také ekonomika ztratí část svých peněžních toků: pokud lidé nemají peníze, nemohou investovat do jiných produktů. Ano, jsou tam investice – sníží se i kupní síla.</w:t>
      </w:r>
    </w:p>
    <w:p w14:paraId="7D507060" w14:textId="0CE0C2D2" w:rsidR="001551F5" w:rsidRPr="00A95C26" w:rsidRDefault="001551F5" w:rsidP="00641F06">
      <w:pPr>
        <w:spacing w:line="360" w:lineRule="auto"/>
        <w:jc w:val="both"/>
      </w:pPr>
      <w:r w:rsidRPr="00A95C26">
        <w:t>Negativní důsledky splasknutí bubliny se mohou rozšířit do ekonomik dalších zemí světa. Objem vývozu se sníží kvůli poklesu poptávky po zboží v zahraničí a dovozu kvůli nedostatku peněz na domácím trhu.</w:t>
      </w:r>
    </w:p>
    <w:p w14:paraId="259EB49A" w14:textId="77777777" w:rsidR="00D64834" w:rsidRPr="00A95C26" w:rsidRDefault="00D64834" w:rsidP="00641F06">
      <w:pPr>
        <w:spacing w:line="360" w:lineRule="auto"/>
        <w:jc w:val="both"/>
      </w:pPr>
    </w:p>
    <w:p w14:paraId="559C7719" w14:textId="415655F2" w:rsidR="00AA79F1" w:rsidRPr="00A95C26" w:rsidRDefault="00D64834" w:rsidP="00641F06">
      <w:pPr>
        <w:pStyle w:val="Nadpis2"/>
        <w:jc w:val="both"/>
        <w:rPr>
          <w:lang w:val="cs-CZ"/>
        </w:rPr>
      </w:pPr>
      <w:bookmarkStart w:id="90" w:name="_Toc99657963"/>
      <w:bookmarkStart w:id="91" w:name="_Toc99659324"/>
      <w:bookmarkEnd w:id="88"/>
      <w:r w:rsidRPr="00A95C26">
        <w:rPr>
          <w:lang w:val="cs-CZ"/>
        </w:rPr>
        <w:t xml:space="preserve">5.2 </w:t>
      </w:r>
      <w:bookmarkStart w:id="92" w:name="_Toc99636475"/>
      <w:r w:rsidR="00E73DAB">
        <w:rPr>
          <w:lang w:val="cs-CZ"/>
        </w:rPr>
        <w:t>Příčiny</w:t>
      </w:r>
      <w:r w:rsidR="00185EFA" w:rsidRPr="00A95C26">
        <w:rPr>
          <w:lang w:val="cs-CZ"/>
        </w:rPr>
        <w:t xml:space="preserve"> vzniku </w:t>
      </w:r>
      <w:r w:rsidR="00BD7A1E" w:rsidRPr="00A95C26">
        <w:rPr>
          <w:lang w:val="cs-CZ"/>
        </w:rPr>
        <w:t>cenových</w:t>
      </w:r>
      <w:r w:rsidR="00185EFA" w:rsidRPr="00A95C26">
        <w:rPr>
          <w:lang w:val="cs-CZ"/>
        </w:rPr>
        <w:t xml:space="preserve"> bublin</w:t>
      </w:r>
      <w:bookmarkEnd w:id="90"/>
      <w:bookmarkEnd w:id="92"/>
      <w:bookmarkEnd w:id="91"/>
    </w:p>
    <w:p w14:paraId="393B0142" w14:textId="77777777" w:rsidR="00D64834" w:rsidRPr="00A95C26" w:rsidRDefault="00D64834" w:rsidP="00641F06">
      <w:pPr>
        <w:jc w:val="both"/>
      </w:pPr>
    </w:p>
    <w:p w14:paraId="7FF5E999" w14:textId="77777777" w:rsidR="001551F5" w:rsidRPr="00A95C26" w:rsidRDefault="001551F5" w:rsidP="00641F06">
      <w:pPr>
        <w:pStyle w:val="Normlnweb"/>
        <w:spacing w:line="360" w:lineRule="auto"/>
        <w:jc w:val="both"/>
        <w:textAlignment w:val="baseline"/>
        <w:rPr>
          <w:color w:val="000000"/>
          <w:bdr w:val="none" w:sz="0" w:space="0" w:color="auto" w:frame="1"/>
        </w:rPr>
      </w:pPr>
      <w:r w:rsidRPr="00A95C26">
        <w:rPr>
          <w:b/>
          <w:bCs/>
          <w:i/>
          <w:iCs/>
          <w:color w:val="000000"/>
          <w:bdr w:val="none" w:sz="0" w:space="0" w:color="auto" w:frame="1"/>
        </w:rPr>
        <w:t>Iracionální hojnost.</w:t>
      </w:r>
      <w:r w:rsidRPr="00A95C26">
        <w:rPr>
          <w:color w:val="000000"/>
          <w:bdr w:val="none" w:sz="0" w:space="0" w:color="auto" w:frame="1"/>
        </w:rPr>
        <w:t xml:space="preserve"> V tomto případě investoři nakupují aktivum pod silným psychickým tlakem. Například silná marketingová kampaň, která byla typická pro mnoho </w:t>
      </w:r>
      <w:proofErr w:type="spellStart"/>
      <w:r w:rsidRPr="00A95C26">
        <w:rPr>
          <w:color w:val="000000"/>
          <w:bdr w:val="none" w:sz="0" w:space="0" w:color="auto" w:frame="1"/>
        </w:rPr>
        <w:t>dot-com</w:t>
      </w:r>
      <w:proofErr w:type="spellEnd"/>
      <w:r w:rsidRPr="00A95C26">
        <w:rPr>
          <w:color w:val="000000"/>
          <w:bdr w:val="none" w:sz="0" w:space="0" w:color="auto" w:frame="1"/>
        </w:rPr>
        <w:t xml:space="preserve"> startupů.</w:t>
      </w:r>
    </w:p>
    <w:p w14:paraId="180F993B" w14:textId="77777777" w:rsidR="001551F5" w:rsidRPr="00A95C26" w:rsidRDefault="001551F5" w:rsidP="00641F06">
      <w:pPr>
        <w:pStyle w:val="Normlnweb"/>
        <w:spacing w:line="360" w:lineRule="auto"/>
        <w:jc w:val="both"/>
        <w:textAlignment w:val="baseline"/>
        <w:rPr>
          <w:color w:val="000000"/>
          <w:bdr w:val="none" w:sz="0" w:space="0" w:color="auto" w:frame="1"/>
        </w:rPr>
      </w:pPr>
      <w:r w:rsidRPr="00A95C26">
        <w:rPr>
          <w:b/>
          <w:bCs/>
          <w:i/>
          <w:iCs/>
          <w:color w:val="000000"/>
          <w:bdr w:val="none" w:sz="0" w:space="0" w:color="auto" w:frame="1"/>
        </w:rPr>
        <w:t>Stádové chování.</w:t>
      </w:r>
      <w:r w:rsidRPr="00A95C26">
        <w:rPr>
          <w:color w:val="000000"/>
          <w:bdr w:val="none" w:sz="0" w:space="0" w:color="auto" w:frame="1"/>
        </w:rPr>
        <w:t xml:space="preserve"> Lidé si často myslí, že jejich idoly se nemohou mýlit. Když vidí, jak nějaká celebrita kupuje to či ono aktivum, slouží jim to jako určitý spouštěč.</w:t>
      </w:r>
    </w:p>
    <w:p w14:paraId="29762FA5" w14:textId="77777777" w:rsidR="001551F5" w:rsidRPr="00A95C26" w:rsidRDefault="001551F5" w:rsidP="00641F06">
      <w:pPr>
        <w:pStyle w:val="Normlnweb"/>
        <w:spacing w:line="360" w:lineRule="auto"/>
        <w:jc w:val="both"/>
        <w:textAlignment w:val="baseline"/>
        <w:rPr>
          <w:color w:val="000000"/>
          <w:bdr w:val="none" w:sz="0" w:space="0" w:color="auto" w:frame="1"/>
        </w:rPr>
      </w:pPr>
      <w:r w:rsidRPr="00A95C26">
        <w:rPr>
          <w:color w:val="000000"/>
          <w:bdr w:val="none" w:sz="0" w:space="0" w:color="auto" w:frame="1"/>
        </w:rPr>
        <w:t xml:space="preserve">Vzpomeňte si, jak na YouTube v době rychlého růstu </w:t>
      </w:r>
      <w:proofErr w:type="spellStart"/>
      <w:r w:rsidRPr="00A95C26">
        <w:rPr>
          <w:color w:val="000000"/>
          <w:bdr w:val="none" w:sz="0" w:space="0" w:color="auto" w:frame="1"/>
        </w:rPr>
        <w:t>bitcoinu</w:t>
      </w:r>
      <w:proofErr w:type="spellEnd"/>
      <w:r w:rsidRPr="00A95C26">
        <w:rPr>
          <w:color w:val="000000"/>
          <w:bdr w:val="none" w:sz="0" w:space="0" w:color="auto" w:frame="1"/>
        </w:rPr>
        <w:t xml:space="preserve"> natáčelo mnoho blogerů videa s výsledky svých investic do kryptoměn. Myslím, že 20 procent jejich předplatitelů, aniž by přemýšleli „za celý řízek“, také koupilo </w:t>
      </w:r>
      <w:proofErr w:type="spellStart"/>
      <w:r w:rsidRPr="00A95C26">
        <w:rPr>
          <w:color w:val="000000"/>
          <w:bdr w:val="none" w:sz="0" w:space="0" w:color="auto" w:frame="1"/>
        </w:rPr>
        <w:t>bitcoiny</w:t>
      </w:r>
      <w:proofErr w:type="spellEnd"/>
      <w:r w:rsidRPr="00A95C26">
        <w:rPr>
          <w:color w:val="000000"/>
          <w:bdr w:val="none" w:sz="0" w:space="0" w:color="auto" w:frame="1"/>
        </w:rPr>
        <w:t>.</w:t>
      </w:r>
    </w:p>
    <w:p w14:paraId="6ABC7CDA" w14:textId="24820F8A" w:rsidR="001551F5" w:rsidRPr="00A95C26" w:rsidRDefault="001551F5" w:rsidP="00641F06">
      <w:pPr>
        <w:pStyle w:val="Normlnweb"/>
        <w:spacing w:line="360" w:lineRule="auto"/>
        <w:jc w:val="both"/>
        <w:textAlignment w:val="baseline"/>
        <w:rPr>
          <w:color w:val="000000"/>
          <w:bdr w:val="none" w:sz="0" w:space="0" w:color="auto" w:frame="1"/>
        </w:rPr>
      </w:pPr>
      <w:r w:rsidRPr="00A95C26">
        <w:rPr>
          <w:b/>
          <w:bCs/>
          <w:i/>
          <w:iCs/>
          <w:color w:val="000000"/>
          <w:bdr w:val="none" w:sz="0" w:space="0" w:color="auto" w:frame="1"/>
        </w:rPr>
        <w:t>Krátkodobé cíle.</w:t>
      </w:r>
      <w:r w:rsidRPr="00A95C26">
        <w:rPr>
          <w:color w:val="000000"/>
          <w:bdr w:val="none" w:sz="0" w:space="0" w:color="auto" w:frame="1"/>
        </w:rPr>
        <w:t xml:space="preserve"> Většinu drobných investorů během bubliny fascinují krátkodobé výnosy. Například stejná tulipánová mánie. Návratnost 78,5 % za 5 měsíců přiměla Nizozemce k větším investicím a nafouknutí této bubliny. Investoři chápou, že na trhu není něco v pořádku a že to celé vypadá jako nějaká finanční bublina. Ale většina si myslí, že dokážou sundat nohy, než to praskne.</w:t>
      </w:r>
    </w:p>
    <w:p w14:paraId="3A2BC669" w14:textId="77777777" w:rsidR="001551F5" w:rsidRPr="00A95C26" w:rsidRDefault="001551F5" w:rsidP="00641F06">
      <w:pPr>
        <w:pStyle w:val="Normlnweb"/>
        <w:spacing w:line="360" w:lineRule="auto"/>
        <w:jc w:val="both"/>
        <w:textAlignment w:val="baseline"/>
        <w:rPr>
          <w:color w:val="000000"/>
          <w:bdr w:val="none" w:sz="0" w:space="0" w:color="auto" w:frame="1"/>
        </w:rPr>
      </w:pPr>
      <w:r w:rsidRPr="00A95C26">
        <w:rPr>
          <w:b/>
          <w:bCs/>
          <w:i/>
          <w:iCs/>
          <w:color w:val="000000"/>
          <w:bdr w:val="none" w:sz="0" w:space="0" w:color="auto" w:frame="1"/>
        </w:rPr>
        <w:t>Kognitivní disonance</w:t>
      </w:r>
      <w:r w:rsidRPr="00A95C26">
        <w:rPr>
          <w:color w:val="000000"/>
          <w:bdr w:val="none" w:sz="0" w:space="0" w:color="auto" w:frame="1"/>
        </w:rPr>
        <w:t>. Mozek mnoha drobných investorů přijímá jako důvěryhodné pouze informace, které odpovídají jejich přesvědčení. Všechny skutečně negativní signály neprojdou.</w:t>
      </w:r>
    </w:p>
    <w:p w14:paraId="695C166F" w14:textId="4E7E8C71" w:rsidR="001551F5" w:rsidRPr="00A95C26" w:rsidRDefault="001551F5" w:rsidP="00641F06">
      <w:pPr>
        <w:pStyle w:val="Normlnweb"/>
        <w:spacing w:line="360" w:lineRule="auto"/>
        <w:jc w:val="both"/>
        <w:textAlignment w:val="baseline"/>
        <w:rPr>
          <w:color w:val="000000"/>
          <w:bdr w:val="none" w:sz="0" w:space="0" w:color="auto" w:frame="1"/>
        </w:rPr>
      </w:pPr>
      <w:r w:rsidRPr="00A95C26">
        <w:rPr>
          <w:b/>
          <w:bCs/>
          <w:i/>
          <w:iCs/>
          <w:color w:val="000000"/>
          <w:bdr w:val="none" w:sz="0" w:space="0" w:color="auto" w:frame="1"/>
        </w:rPr>
        <w:lastRenderedPageBreak/>
        <w:t>Hypotéza finanční nestability.</w:t>
      </w:r>
      <w:r w:rsidRPr="00A95C26">
        <w:rPr>
          <w:color w:val="000000"/>
          <w:bdr w:val="none" w:sz="0" w:space="0" w:color="auto" w:frame="1"/>
        </w:rPr>
        <w:t xml:space="preserve"> Tato teorie říká, že když ekonomika vzkvétá, racionální myšlení se zatemňuje. Banky například nejprve vydávají hypotéky zajištěné vklady a také pečlivě prověřují dlužníky podle kritérií bonity.</w:t>
      </w:r>
    </w:p>
    <w:p w14:paraId="0CD58C60" w14:textId="77777777" w:rsidR="001551F5" w:rsidRPr="00A95C26" w:rsidRDefault="001551F5" w:rsidP="00641F06">
      <w:pPr>
        <w:pStyle w:val="Normlnweb"/>
        <w:spacing w:line="360" w:lineRule="auto"/>
        <w:jc w:val="both"/>
        <w:textAlignment w:val="baseline"/>
        <w:rPr>
          <w:color w:val="000000"/>
          <w:bdr w:val="none" w:sz="0" w:space="0" w:color="auto" w:frame="1"/>
        </w:rPr>
      </w:pPr>
      <w:r w:rsidRPr="00A95C26">
        <w:rPr>
          <w:color w:val="000000"/>
          <w:bdr w:val="none" w:sz="0" w:space="0" w:color="auto" w:frame="1"/>
        </w:rPr>
        <w:t>Pak rostou ceny domů a roste ekonomika jako celek. V tomto případě jsou věřitel i dlužník připraveni podstoupit velká rizika. Banky mohou půjčovat za menší vklady a jsou ochotny půjčovat i větší násobky příjmu. Půjčky jsou čím dál atraktivnější.</w:t>
      </w:r>
    </w:p>
    <w:p w14:paraId="27D78FB2" w14:textId="77777777" w:rsidR="001551F5" w:rsidRPr="00A95C26" w:rsidRDefault="001551F5" w:rsidP="00641F06">
      <w:pPr>
        <w:pStyle w:val="Normlnweb"/>
        <w:spacing w:before="0" w:beforeAutospacing="0" w:after="0" w:afterAutospacing="0" w:line="360" w:lineRule="auto"/>
        <w:jc w:val="both"/>
        <w:textAlignment w:val="baseline"/>
        <w:rPr>
          <w:color w:val="000000"/>
          <w:bdr w:val="none" w:sz="0" w:space="0" w:color="auto" w:frame="1"/>
        </w:rPr>
      </w:pPr>
      <w:r w:rsidRPr="00A95C26">
        <w:rPr>
          <w:color w:val="000000"/>
          <w:bdr w:val="none" w:sz="0" w:space="0" w:color="auto" w:frame="1"/>
        </w:rPr>
        <w:t>Nárůst úvěrů sám o sobě způsobuje zvýšení cen aktiv, což dále zvyšuje důvěru. Lidé čekají, až ceny porostou a začnou více nakupovat.</w:t>
      </w:r>
    </w:p>
    <w:p w14:paraId="0981F0E3" w14:textId="77C055C1" w:rsidR="001551F5" w:rsidRPr="00A95C26" w:rsidRDefault="001551F5" w:rsidP="00641F06">
      <w:pPr>
        <w:pStyle w:val="Normlnweb"/>
        <w:spacing w:before="0" w:beforeAutospacing="0" w:after="0" w:afterAutospacing="0" w:line="360" w:lineRule="auto"/>
        <w:jc w:val="both"/>
        <w:textAlignment w:val="baseline"/>
        <w:rPr>
          <w:color w:val="000000"/>
        </w:rPr>
      </w:pPr>
      <w:r w:rsidRPr="00A95C26">
        <w:rPr>
          <w:b/>
          <w:bCs/>
          <w:color w:val="000000"/>
          <w:bdr w:val="none" w:sz="0" w:space="0" w:color="auto" w:frame="1"/>
        </w:rPr>
        <w:t xml:space="preserve">Monetární politika. </w:t>
      </w:r>
      <w:bookmarkStart w:id="93" w:name="_Toc83234781"/>
      <w:r w:rsidRPr="00A95C26">
        <w:rPr>
          <w:color w:val="000000"/>
        </w:rPr>
        <w:t>Jsou případy, kdy v důsledku měnové politiky země vznikly bubliny. Například rozhodnutí Federálního rezervního systému držet úrokové sazby nízko vedlo k úvěrové bublině po roce 2000. Banky rozdávaly levné peníze a lidé měli přebytečnou likviditu, kterou bylo třeba někam investovat.</w:t>
      </w:r>
    </w:p>
    <w:p w14:paraId="28A6D57C" w14:textId="49D9B5FE" w:rsidR="000971B7" w:rsidRPr="00A95C26" w:rsidRDefault="000971B7" w:rsidP="00641F06">
      <w:pPr>
        <w:pStyle w:val="Normlnweb"/>
        <w:spacing w:before="0" w:beforeAutospacing="0" w:after="0" w:afterAutospacing="0" w:line="360" w:lineRule="auto"/>
        <w:jc w:val="both"/>
        <w:textAlignment w:val="baseline"/>
        <w:rPr>
          <w:color w:val="000000"/>
        </w:rPr>
      </w:pPr>
    </w:p>
    <w:p w14:paraId="4D6951CB" w14:textId="76E0C7AC" w:rsidR="003F62DA" w:rsidRPr="00A95C26" w:rsidRDefault="00D64834" w:rsidP="00641F06">
      <w:pPr>
        <w:pStyle w:val="Nadpis2"/>
        <w:jc w:val="both"/>
        <w:rPr>
          <w:lang w:val="cs-CZ"/>
        </w:rPr>
      </w:pPr>
      <w:bookmarkStart w:id="94" w:name="_Toc99636476"/>
      <w:bookmarkStart w:id="95" w:name="_Toc99657964"/>
      <w:bookmarkStart w:id="96" w:name="_Toc99659325"/>
      <w:r w:rsidRPr="00A95C26">
        <w:rPr>
          <w:lang w:val="cs-CZ"/>
        </w:rPr>
        <w:t xml:space="preserve">5.3 </w:t>
      </w:r>
      <w:r w:rsidR="003F62DA" w:rsidRPr="00A95C26">
        <w:rPr>
          <w:lang w:val="cs-CZ"/>
        </w:rPr>
        <w:t>Mravenčí model na příkladu Číny v roce 2015</w:t>
      </w:r>
      <w:bookmarkEnd w:id="94"/>
      <w:bookmarkEnd w:id="95"/>
      <w:bookmarkEnd w:id="96"/>
    </w:p>
    <w:p w14:paraId="26036E35" w14:textId="667B9756" w:rsidR="000971B7" w:rsidRPr="00A95C26" w:rsidRDefault="003F62DA" w:rsidP="00641F06">
      <w:pPr>
        <w:pStyle w:val="Normlnweb"/>
        <w:spacing w:line="360" w:lineRule="auto"/>
        <w:jc w:val="both"/>
        <w:textAlignment w:val="baseline"/>
        <w:rPr>
          <w:color w:val="000000"/>
        </w:rPr>
      </w:pPr>
      <w:r w:rsidRPr="00A95C26">
        <w:rPr>
          <w:color w:val="000000"/>
        </w:rPr>
        <w:t>Během roku 2015 vzrostl čínský akciový trh téměř 2,5krát díky retailovým investičním papírům a nárůstu obchodování s cennými papíry s pákovým efektem. Faktory, které umožnily největší asijské burze růst takovým tempem, zároveň způsobily, že čínský trh byl nestabilní a nepředvídatelný.</w:t>
      </w:r>
    </w:p>
    <w:p w14:paraId="000F3254" w14:textId="79EED6CA" w:rsidR="003F62DA" w:rsidRPr="00A95C26" w:rsidRDefault="003F62DA" w:rsidP="00641F06">
      <w:pPr>
        <w:pStyle w:val="Normlnweb"/>
        <w:spacing w:line="360" w:lineRule="auto"/>
        <w:jc w:val="both"/>
        <w:textAlignment w:val="baseline"/>
        <w:rPr>
          <w:color w:val="000000"/>
        </w:rPr>
      </w:pPr>
      <w:r w:rsidRPr="00A95C26">
        <w:rPr>
          <w:color w:val="000000"/>
        </w:rPr>
        <w:t xml:space="preserve">Podle statistik </w:t>
      </w:r>
      <w:proofErr w:type="spellStart"/>
      <w:r w:rsidRPr="00A95C26">
        <w:rPr>
          <w:color w:val="000000"/>
        </w:rPr>
        <w:t>China</w:t>
      </w:r>
      <w:proofErr w:type="spellEnd"/>
      <w:r w:rsidRPr="00A95C26">
        <w:rPr>
          <w:color w:val="000000"/>
        </w:rPr>
        <w:t xml:space="preserve"> </w:t>
      </w:r>
      <w:proofErr w:type="spellStart"/>
      <w:r w:rsidRPr="00A95C26">
        <w:rPr>
          <w:color w:val="000000"/>
        </w:rPr>
        <w:t>Securities</w:t>
      </w:r>
      <w:proofErr w:type="spellEnd"/>
      <w:r w:rsidRPr="00A95C26">
        <w:rPr>
          <w:color w:val="000000"/>
        </w:rPr>
        <w:t xml:space="preserve"> </w:t>
      </w:r>
      <w:proofErr w:type="spellStart"/>
      <w:r w:rsidRPr="00A95C26">
        <w:rPr>
          <w:color w:val="000000"/>
        </w:rPr>
        <w:t>Depository</w:t>
      </w:r>
      <w:proofErr w:type="spellEnd"/>
      <w:r w:rsidRPr="00A95C26">
        <w:rPr>
          <w:color w:val="000000"/>
        </w:rPr>
        <w:t xml:space="preserve"> and Clearing </w:t>
      </w:r>
      <w:proofErr w:type="spellStart"/>
      <w:r w:rsidRPr="00A95C26">
        <w:rPr>
          <w:color w:val="000000"/>
        </w:rPr>
        <w:t>Corporation</w:t>
      </w:r>
      <w:proofErr w:type="spellEnd"/>
      <w:r w:rsidRPr="00A95C26">
        <w:rPr>
          <w:color w:val="000000"/>
        </w:rPr>
        <w:t xml:space="preserve"> bylo od začátku roku na šanghajské burze otevřeno asi 10 milionů investičních účtů, více než v letech 2012 a 2013 dohromady. Dvě třetiny nových investorů školu nikdy nedokončily, opouštějí ji ve věku 15 let, třetina </w:t>
      </w:r>
      <w:r w:rsidR="005C0A72" w:rsidRPr="00A95C26">
        <w:rPr>
          <w:color w:val="000000"/>
        </w:rPr>
        <w:t>ještě</w:t>
      </w:r>
      <w:r w:rsidRPr="00A95C26">
        <w:rPr>
          <w:color w:val="000000"/>
        </w:rPr>
        <w:t xml:space="preserve"> před 12 lety. Bylo také poznamenáno, že 6 % nových investorů neumí číst a psát.</w:t>
      </w:r>
    </w:p>
    <w:p w14:paraId="7497914B" w14:textId="620A6587" w:rsidR="000971B7" w:rsidRPr="00A95C26" w:rsidRDefault="003F62DA" w:rsidP="00641F06">
      <w:pPr>
        <w:pStyle w:val="Normlnweb"/>
        <w:spacing w:line="360" w:lineRule="auto"/>
        <w:jc w:val="both"/>
        <w:textAlignment w:val="baseline"/>
        <w:rPr>
          <w:color w:val="000000"/>
        </w:rPr>
      </w:pPr>
      <w:r w:rsidRPr="00A95C26">
        <w:rPr>
          <w:color w:val="000000"/>
        </w:rPr>
        <w:t xml:space="preserve">Během růstu čínských akcií, který začal ve druhé polovině roku 2014, tvořili soukromí investoři asi 90 % denního objemu obchodů. Lidé často obchodovali na základě výkladu fám, vládních záměrů, krátkodobého sentimentu. Jedná se o nejméně zkušené investory na trhu. Takové chování při práci s finančními nástroji a bez určitých dovedností lze přirovnat k mravenčímu modelu diskutovanému výše, protože investoři se nespoléhali na své vlastní znalosti a dovednosti, neanalyzovali informace, ale spoléhali na veřejné mínění a každý z nich se řídil druhý šel za většinou. Samozřejmě, že vznik nástrojů, které umožňují obchodovat s vypůjčenými prostředky, vedl do značné míry k rozmachu soukromých investic. Do května </w:t>
      </w:r>
      <w:r w:rsidRPr="00A95C26">
        <w:rPr>
          <w:color w:val="000000"/>
        </w:rPr>
        <w:lastRenderedPageBreak/>
        <w:t xml:space="preserve">2015 se počet účtů s pákovým efektem zvýšil na 7,2 milionu, což je zdvojnásobení od května 2014. Objem vypůjčených prostředků používaných k hraní na akciovém trhu vzrostl na 2,3 bilionu </w:t>
      </w:r>
      <w:proofErr w:type="spellStart"/>
      <w:r w:rsidRPr="00A95C26">
        <w:rPr>
          <w:color w:val="000000"/>
        </w:rPr>
        <w:t>juanů</w:t>
      </w:r>
      <w:proofErr w:type="spellEnd"/>
      <w:r w:rsidRPr="00A95C26">
        <w:rPr>
          <w:color w:val="000000"/>
        </w:rPr>
        <w:t xml:space="preserve"> (370 miliard dolarů), což je 9 % celkové tržní kapitalizace.</w:t>
      </w:r>
    </w:p>
    <w:p w14:paraId="4E33B0EC" w14:textId="77777777" w:rsidR="00C45F54" w:rsidRPr="00A95C26" w:rsidRDefault="00C45F54" w:rsidP="00641F06">
      <w:pPr>
        <w:pStyle w:val="Nzev"/>
        <w:jc w:val="both"/>
      </w:pPr>
      <w:bookmarkStart w:id="97" w:name="_Toc99636477"/>
    </w:p>
    <w:p w14:paraId="278E462D" w14:textId="77777777" w:rsidR="00842B25" w:rsidRDefault="00842B25" w:rsidP="00641F06">
      <w:pPr>
        <w:jc w:val="both"/>
        <w:rPr>
          <w:b/>
          <w:bCs/>
          <w:kern w:val="28"/>
          <w:sz w:val="32"/>
          <w:szCs w:val="32"/>
        </w:rPr>
      </w:pPr>
      <w:r>
        <w:br w:type="page"/>
      </w:r>
    </w:p>
    <w:p w14:paraId="53B06AEB" w14:textId="6477AC58" w:rsidR="00413809" w:rsidRPr="00A95C26" w:rsidRDefault="00A21EC7" w:rsidP="002B025E">
      <w:pPr>
        <w:pStyle w:val="Nadpis1"/>
      </w:pPr>
      <w:bookmarkStart w:id="98" w:name="_Toc99657965"/>
      <w:bookmarkStart w:id="99" w:name="_Toc99659326"/>
      <w:r w:rsidRPr="00A95C26">
        <w:lastRenderedPageBreak/>
        <w:t xml:space="preserve">6 </w:t>
      </w:r>
      <w:r w:rsidR="00204836" w:rsidRPr="00A95C26">
        <w:t>Závěr</w:t>
      </w:r>
      <w:bookmarkEnd w:id="93"/>
      <w:bookmarkEnd w:id="97"/>
      <w:bookmarkEnd w:id="98"/>
      <w:bookmarkEnd w:id="99"/>
    </w:p>
    <w:p w14:paraId="0E99A30A" w14:textId="37106C0F" w:rsidR="00ED0A4D" w:rsidRPr="00A95C26" w:rsidRDefault="00ED0A4D" w:rsidP="00641F06">
      <w:pPr>
        <w:spacing w:line="360" w:lineRule="auto"/>
        <w:ind w:left="578"/>
        <w:jc w:val="both"/>
      </w:pPr>
    </w:p>
    <w:p w14:paraId="31BF4723" w14:textId="77777777" w:rsidR="003A47EC" w:rsidRPr="00A95C26" w:rsidRDefault="003A47EC" w:rsidP="00641F06">
      <w:pPr>
        <w:spacing w:line="360" w:lineRule="auto"/>
        <w:jc w:val="both"/>
      </w:pPr>
      <w:r w:rsidRPr="00A95C26">
        <w:t>Během posledních čtyř století se trhy s různými produkty potýkaly s problémy, jako jsou finanční bubliny. Postupně se zvětšoval rozsah bublin a jejich poškození. Nikdo se však nenaučil spolehlivě rozlišovat a identifikovat finanční bubliny dříve, než dosáhnou nebezpečné velikosti.</w:t>
      </w:r>
    </w:p>
    <w:p w14:paraId="1218C80F" w14:textId="77777777" w:rsidR="003A47EC" w:rsidRPr="00A95C26" w:rsidRDefault="003A47EC" w:rsidP="00641F06">
      <w:pPr>
        <w:spacing w:line="360" w:lineRule="auto"/>
        <w:jc w:val="both"/>
      </w:pPr>
    </w:p>
    <w:p w14:paraId="5BBF9FB8" w14:textId="5AB30682" w:rsidR="003A47EC" w:rsidRPr="00A95C26" w:rsidRDefault="003A47EC" w:rsidP="00641F06">
      <w:pPr>
        <w:spacing w:line="360" w:lineRule="auto"/>
        <w:jc w:val="both"/>
      </w:pPr>
      <w:r w:rsidRPr="00A95C26">
        <w:t>Finanční bublina je fenomén na finančních trzích, kde hodnocení lidí převyšuje reálnou hodnotu. S ohledem na tento jev to znamená, že se průběh produktu nebo služby výrazně odchyluje od historických trendů a následně kolabuje. Za prvé jsou potřeba přesné údaje o trhu a za druhé, finanční bubliny je velmi obtížné předvídat, protože každá finanční bublina je na každém trhu a čase jiná situace.</w:t>
      </w:r>
      <w:r w:rsidR="005C0A72" w:rsidRPr="00A95C26">
        <w:t xml:space="preserve"> </w:t>
      </w:r>
      <w:r w:rsidRPr="00A95C26">
        <w:t>Existují však charakteristické znaky vzniku finanční bubliny, které lze rozlišit z běžného zvýšení cen.</w:t>
      </w:r>
    </w:p>
    <w:p w14:paraId="615F3F7E" w14:textId="77777777" w:rsidR="003A47EC" w:rsidRPr="00A95C26" w:rsidRDefault="003A47EC" w:rsidP="00641F06">
      <w:pPr>
        <w:spacing w:line="360" w:lineRule="auto"/>
        <w:jc w:val="both"/>
      </w:pPr>
    </w:p>
    <w:p w14:paraId="1E13A2F6" w14:textId="77777777" w:rsidR="003A47EC" w:rsidRPr="00A95C26" w:rsidRDefault="003A47EC" w:rsidP="00641F06">
      <w:pPr>
        <w:spacing w:line="360" w:lineRule="auto"/>
        <w:jc w:val="both"/>
      </w:pPr>
      <w:r w:rsidRPr="00A95C26">
        <w:t>Volba tohoto tématu je dána tím, že v současnosti neexistují přesné prognózy a prostředky, jak zabránit finančním bublinám. Existují různé výrazy a metody založené na minulých pozorováních, které mohou naznačovat podezřelé trendy na trhu, ale vzhledem k tomu, že informace o činnosti společnosti jsou téměř důvěrné, ceny akcií, počet hráčů atd. Trh je v současné době stále více získává přístup ke spekulantům, kteří vydělávají na rozdílech v cenách, a tím pouze otřásají trhem.</w:t>
      </w:r>
    </w:p>
    <w:p w14:paraId="32028FC4" w14:textId="7EC0A61E" w:rsidR="00204836" w:rsidRPr="00A95C26" w:rsidRDefault="00C45F54" w:rsidP="00641F06">
      <w:pPr>
        <w:spacing w:line="360" w:lineRule="auto"/>
        <w:jc w:val="both"/>
      </w:pPr>
      <w:r w:rsidRPr="00A95C26">
        <w:t>Diplomová práce</w:t>
      </w:r>
      <w:r w:rsidR="003A47EC" w:rsidRPr="00A95C26">
        <w:t xml:space="preserve"> také vypráví o příčině finanční bubliny na trhu v Číně v roce 2015 a zkoumá důsledky, které nastaly v sousedních zemích poté, co tato bublina splaskla. Mimo jiné se dotýká mravenčího modelu, který odhaluje psychologické aspekty chování investorů na trhu.</w:t>
      </w:r>
    </w:p>
    <w:p w14:paraId="067ACD7E" w14:textId="4F49984E" w:rsidR="006F238B" w:rsidRPr="00A95C26" w:rsidRDefault="00413809" w:rsidP="002B025E">
      <w:pPr>
        <w:pStyle w:val="Nadpis1"/>
      </w:pPr>
      <w:r w:rsidRPr="00A95C26">
        <w:br w:type="page"/>
      </w:r>
      <w:bookmarkStart w:id="100" w:name="_Toc83234782"/>
      <w:bookmarkStart w:id="101" w:name="_Toc99636478"/>
      <w:bookmarkStart w:id="102" w:name="_Toc99657966"/>
      <w:bookmarkStart w:id="103" w:name="_Toc99659327"/>
      <w:r w:rsidR="00954371">
        <w:lastRenderedPageBreak/>
        <w:t xml:space="preserve">7 </w:t>
      </w:r>
      <w:r w:rsidR="00DD0754" w:rsidRPr="00A95C26">
        <w:t>Seznam použitých zdrojů</w:t>
      </w:r>
      <w:bookmarkEnd w:id="100"/>
      <w:bookmarkEnd w:id="101"/>
      <w:bookmarkEnd w:id="102"/>
      <w:bookmarkEnd w:id="103"/>
    </w:p>
    <w:p w14:paraId="29531EC5" w14:textId="70C4E956" w:rsidR="006F238B" w:rsidRPr="00A95C26" w:rsidRDefault="006F238B" w:rsidP="00641F06">
      <w:pPr>
        <w:spacing w:line="360" w:lineRule="auto"/>
        <w:jc w:val="both"/>
        <w:rPr>
          <w:i/>
          <w:iCs/>
        </w:rPr>
      </w:pPr>
      <w:r w:rsidRPr="00A95C26">
        <w:rPr>
          <w:i/>
          <w:iCs/>
        </w:rPr>
        <w:t>Tištěné zdroje:</w:t>
      </w:r>
    </w:p>
    <w:p w14:paraId="2779BA4A" w14:textId="77777777" w:rsidR="00BD5C38" w:rsidRPr="00A95C26" w:rsidRDefault="00BD5C38" w:rsidP="00641F06">
      <w:pPr>
        <w:spacing w:before="100" w:beforeAutospacing="1" w:line="360" w:lineRule="auto"/>
        <w:jc w:val="both"/>
      </w:pPr>
      <w:r w:rsidRPr="00A95C26">
        <w:t>HOLMAN, R. A KOL. Dějiny ekonomického myšlení. 2. vydání. Praha: C. H. Beck, 2001. ISBN 80-7179-631-X</w:t>
      </w:r>
    </w:p>
    <w:p w14:paraId="6227F96A" w14:textId="183E23F1" w:rsidR="006F238B" w:rsidRPr="00A95C26" w:rsidRDefault="006F238B" w:rsidP="00641F06">
      <w:pPr>
        <w:spacing w:before="100" w:beforeAutospacing="1" w:line="360" w:lineRule="auto"/>
        <w:jc w:val="both"/>
      </w:pPr>
      <w:r w:rsidRPr="00A95C26">
        <w:t xml:space="preserve">HUNTER, W. </w:t>
      </w:r>
      <w:proofErr w:type="spellStart"/>
      <w:r w:rsidRPr="00A95C26">
        <w:t>Curt</w:t>
      </w:r>
      <w:proofErr w:type="spellEnd"/>
      <w:r w:rsidRPr="00A95C26">
        <w:t xml:space="preserve">, George G. KAUFMAN a Michael POMERLEANO. </w:t>
      </w:r>
      <w:proofErr w:type="spellStart"/>
      <w:r w:rsidRPr="00A95C26">
        <w:t>Asset</w:t>
      </w:r>
      <w:proofErr w:type="spellEnd"/>
      <w:r w:rsidRPr="00A95C26">
        <w:t xml:space="preserve"> </w:t>
      </w:r>
      <w:proofErr w:type="spellStart"/>
      <w:r w:rsidRPr="00A95C26">
        <w:t>price</w:t>
      </w:r>
      <w:proofErr w:type="spellEnd"/>
      <w:r w:rsidRPr="00A95C26">
        <w:t xml:space="preserve"> </w:t>
      </w:r>
      <w:proofErr w:type="spellStart"/>
      <w:r w:rsidRPr="00A95C26">
        <w:t>bubbles</w:t>
      </w:r>
      <w:proofErr w:type="spellEnd"/>
      <w:r w:rsidRPr="00A95C26">
        <w:t xml:space="preserve">: </w:t>
      </w:r>
      <w:proofErr w:type="spellStart"/>
      <w:r w:rsidRPr="00A95C26">
        <w:t>implications</w:t>
      </w:r>
      <w:proofErr w:type="spellEnd"/>
      <w:r w:rsidRPr="00A95C26">
        <w:t xml:space="preserve"> </w:t>
      </w:r>
      <w:proofErr w:type="spellStart"/>
      <w:r w:rsidRPr="00A95C26">
        <w:t>for</w:t>
      </w:r>
      <w:proofErr w:type="spellEnd"/>
      <w:r w:rsidRPr="00A95C26">
        <w:t xml:space="preserve"> </w:t>
      </w:r>
      <w:proofErr w:type="spellStart"/>
      <w:r w:rsidRPr="00A95C26">
        <w:t>monetary</w:t>
      </w:r>
      <w:proofErr w:type="spellEnd"/>
      <w:r w:rsidRPr="00A95C26">
        <w:t xml:space="preserve">, </w:t>
      </w:r>
      <w:proofErr w:type="spellStart"/>
      <w:r w:rsidRPr="00A95C26">
        <w:t>regulatory</w:t>
      </w:r>
      <w:proofErr w:type="spellEnd"/>
      <w:r w:rsidRPr="00A95C26">
        <w:t xml:space="preserve">, and </w:t>
      </w:r>
      <w:proofErr w:type="spellStart"/>
      <w:r w:rsidRPr="00A95C26">
        <w:t>international</w:t>
      </w:r>
      <w:proofErr w:type="spellEnd"/>
      <w:r w:rsidRPr="00A95C26">
        <w:t xml:space="preserve"> </w:t>
      </w:r>
      <w:proofErr w:type="spellStart"/>
      <w:r w:rsidRPr="00A95C26">
        <w:t>policies</w:t>
      </w:r>
      <w:proofErr w:type="spellEnd"/>
      <w:r w:rsidRPr="00A95C26">
        <w:t xml:space="preserve">. Cambridge, </w:t>
      </w:r>
      <w:proofErr w:type="spellStart"/>
      <w:r w:rsidRPr="00A95C26">
        <w:t>Mass</w:t>
      </w:r>
      <w:proofErr w:type="spellEnd"/>
      <w:r w:rsidRPr="00A95C26">
        <w:t xml:space="preserve">.: MIT </w:t>
      </w:r>
      <w:proofErr w:type="spellStart"/>
      <w:r w:rsidRPr="00A95C26">
        <w:t>Press</w:t>
      </w:r>
      <w:proofErr w:type="spellEnd"/>
      <w:r w:rsidRPr="00A95C26">
        <w:t>, 2005. ISBN 0-262-08314-0.</w:t>
      </w:r>
    </w:p>
    <w:p w14:paraId="6998B1B3" w14:textId="71169434" w:rsidR="00BD5C38" w:rsidRPr="00A95C26" w:rsidRDefault="00BD5C38" w:rsidP="00641F06">
      <w:pPr>
        <w:spacing w:before="100" w:beforeAutospacing="1" w:line="360" w:lineRule="auto"/>
        <w:jc w:val="both"/>
      </w:pPr>
      <w:r w:rsidRPr="00A95C26">
        <w:t xml:space="preserve">KAMPPETER, W. International </w:t>
      </w:r>
      <w:proofErr w:type="spellStart"/>
      <w:r w:rsidRPr="00A95C26">
        <w:t>Financial</w:t>
      </w:r>
      <w:proofErr w:type="spellEnd"/>
      <w:r w:rsidRPr="00A95C26">
        <w:t xml:space="preserve"> </w:t>
      </w:r>
      <w:proofErr w:type="spellStart"/>
      <w:r w:rsidRPr="00A95C26">
        <w:t>Crises</w:t>
      </w:r>
      <w:proofErr w:type="spellEnd"/>
      <w:r w:rsidRPr="00A95C26">
        <w:t xml:space="preserve"> in </w:t>
      </w:r>
      <w:proofErr w:type="spellStart"/>
      <w:r w:rsidRPr="00A95C26">
        <w:t>Comparison</w:t>
      </w:r>
      <w:proofErr w:type="spellEnd"/>
      <w:r w:rsidRPr="00A95C26">
        <w:t xml:space="preserve">. </w:t>
      </w:r>
      <w:proofErr w:type="spellStart"/>
      <w:r w:rsidRPr="00A95C26">
        <w:t>Lessons</w:t>
      </w:r>
      <w:proofErr w:type="spellEnd"/>
      <w:r w:rsidRPr="00A95C26">
        <w:t xml:space="preserve"> </w:t>
      </w:r>
      <w:proofErr w:type="spellStart"/>
      <w:r w:rsidRPr="00A95C26">
        <w:t>for</w:t>
      </w:r>
      <w:proofErr w:type="spellEnd"/>
      <w:r w:rsidRPr="00A95C26">
        <w:t xml:space="preserve"> </w:t>
      </w:r>
      <w:proofErr w:type="spellStart"/>
      <w:r w:rsidRPr="00A95C26">
        <w:t>Managing</w:t>
      </w:r>
      <w:proofErr w:type="spellEnd"/>
      <w:r w:rsidRPr="00A95C26">
        <w:t xml:space="preserve"> </w:t>
      </w:r>
      <w:proofErr w:type="spellStart"/>
      <w:r w:rsidRPr="00A95C26">
        <w:t>the</w:t>
      </w:r>
      <w:proofErr w:type="spellEnd"/>
      <w:r w:rsidRPr="00A95C26">
        <w:t xml:space="preserve"> </w:t>
      </w:r>
      <w:proofErr w:type="spellStart"/>
      <w:r w:rsidRPr="00A95C26">
        <w:t>Current</w:t>
      </w:r>
      <w:proofErr w:type="spellEnd"/>
      <w:r w:rsidRPr="00A95C26">
        <w:t xml:space="preserve"> </w:t>
      </w:r>
      <w:proofErr w:type="spellStart"/>
      <w:r w:rsidRPr="00A95C26">
        <w:t>Crisis</w:t>
      </w:r>
      <w:proofErr w:type="spellEnd"/>
      <w:r w:rsidRPr="00A95C26">
        <w:t xml:space="preserve">. Friedrich </w:t>
      </w:r>
      <w:proofErr w:type="spellStart"/>
      <w:r w:rsidRPr="00A95C26">
        <w:t>Ebert</w:t>
      </w:r>
      <w:proofErr w:type="spellEnd"/>
      <w:r w:rsidRPr="00A95C26">
        <w:t xml:space="preserve"> </w:t>
      </w:r>
      <w:proofErr w:type="spellStart"/>
      <w:r w:rsidRPr="00A95C26">
        <w:t>Stiftung</w:t>
      </w:r>
      <w:proofErr w:type="spellEnd"/>
      <w:r w:rsidRPr="00A95C26">
        <w:t xml:space="preserve"> </w:t>
      </w:r>
      <w:proofErr w:type="spellStart"/>
      <w:r w:rsidRPr="00A95C26">
        <w:t>Foundation</w:t>
      </w:r>
      <w:proofErr w:type="spellEnd"/>
      <w:r w:rsidRPr="00A95C26">
        <w:t>, May 2011, p. 7-10.</w:t>
      </w:r>
    </w:p>
    <w:p w14:paraId="44B9A545" w14:textId="7ACCE754" w:rsidR="00BD5C38" w:rsidRPr="00A95C26" w:rsidRDefault="00BD5C38" w:rsidP="00641F06">
      <w:pPr>
        <w:spacing w:before="100" w:beforeAutospacing="1" w:line="360" w:lineRule="auto"/>
        <w:jc w:val="both"/>
      </w:pPr>
      <w:r w:rsidRPr="00A95C26">
        <w:t xml:space="preserve">KIRMAN, A. </w:t>
      </w:r>
      <w:proofErr w:type="spellStart"/>
      <w:r w:rsidRPr="00A95C26">
        <w:t>The</w:t>
      </w:r>
      <w:proofErr w:type="spellEnd"/>
      <w:r w:rsidRPr="00A95C26">
        <w:t xml:space="preserve"> </w:t>
      </w:r>
      <w:proofErr w:type="spellStart"/>
      <w:r w:rsidRPr="00A95C26">
        <w:t>crisis</w:t>
      </w:r>
      <w:proofErr w:type="spellEnd"/>
      <w:r w:rsidRPr="00A95C26">
        <w:t xml:space="preserve"> in </w:t>
      </w:r>
      <w:proofErr w:type="spellStart"/>
      <w:r w:rsidRPr="00A95C26">
        <w:t>economic</w:t>
      </w:r>
      <w:proofErr w:type="spellEnd"/>
      <w:r w:rsidRPr="00A95C26">
        <w:t xml:space="preserve"> </w:t>
      </w:r>
      <w:proofErr w:type="spellStart"/>
      <w:r w:rsidRPr="00A95C26">
        <w:t>theory</w:t>
      </w:r>
      <w:proofErr w:type="spellEnd"/>
      <w:r w:rsidRPr="00A95C26">
        <w:t xml:space="preserve">. </w:t>
      </w:r>
      <w:proofErr w:type="spellStart"/>
      <w:r w:rsidRPr="00A95C26">
        <w:t>Rivista</w:t>
      </w:r>
      <w:proofErr w:type="spellEnd"/>
      <w:r w:rsidRPr="00A95C26">
        <w:t xml:space="preserve"> </w:t>
      </w:r>
      <w:proofErr w:type="spellStart"/>
      <w:r w:rsidRPr="00A95C26">
        <w:t>Italiana</w:t>
      </w:r>
      <w:proofErr w:type="spellEnd"/>
      <w:r w:rsidRPr="00A95C26">
        <w:t xml:space="preserve"> </w:t>
      </w:r>
      <w:proofErr w:type="spellStart"/>
      <w:r w:rsidRPr="00A95C26">
        <w:t>degli</w:t>
      </w:r>
      <w:proofErr w:type="spellEnd"/>
      <w:r w:rsidRPr="00A95C26">
        <w:t xml:space="preserve"> </w:t>
      </w:r>
      <w:proofErr w:type="spellStart"/>
      <w:r w:rsidRPr="00A95C26">
        <w:t>Economisti</w:t>
      </w:r>
      <w:proofErr w:type="spellEnd"/>
      <w:r w:rsidRPr="00A95C26">
        <w:t xml:space="preserve">, Vol. 1, </w:t>
      </w:r>
      <w:proofErr w:type="spellStart"/>
      <w:r w:rsidRPr="00A95C26">
        <w:t>April</w:t>
      </w:r>
      <w:proofErr w:type="spellEnd"/>
      <w:r w:rsidRPr="00A95C26">
        <w:t xml:space="preserve"> 2011, p. 9-36.</w:t>
      </w:r>
    </w:p>
    <w:p w14:paraId="210F9F86" w14:textId="77777777" w:rsidR="00BD5C38" w:rsidRPr="00A95C26" w:rsidRDefault="00BD5C38" w:rsidP="00641F06">
      <w:pPr>
        <w:spacing w:before="100" w:beforeAutospacing="1" w:line="360" w:lineRule="auto"/>
        <w:jc w:val="both"/>
      </w:pPr>
      <w:r w:rsidRPr="00A95C26">
        <w:t xml:space="preserve">KOHOUT, Pavel. Finance po krizi: Evropa na cestě do neznáma. 3. </w:t>
      </w:r>
      <w:proofErr w:type="spellStart"/>
      <w:r w:rsidRPr="00A95C26">
        <w:t>rozš</w:t>
      </w:r>
      <w:proofErr w:type="spellEnd"/>
      <w:r w:rsidRPr="00A95C26">
        <w:t>. Vyd. Praha: Grada, 2011. Finanční trhy a instituce. ISBN 978-80-247-4019-5.</w:t>
      </w:r>
    </w:p>
    <w:p w14:paraId="15E03B88" w14:textId="6E467970" w:rsidR="006F238B" w:rsidRPr="00A95C26" w:rsidRDefault="006F238B" w:rsidP="00641F06">
      <w:pPr>
        <w:spacing w:before="100" w:beforeAutospacing="1" w:line="360" w:lineRule="auto"/>
        <w:jc w:val="both"/>
      </w:pPr>
      <w:r w:rsidRPr="00A95C26">
        <w:t xml:space="preserve">MINSKY, </w:t>
      </w:r>
      <w:proofErr w:type="spellStart"/>
      <w:r w:rsidRPr="00A95C26">
        <w:t>Hyman</w:t>
      </w:r>
      <w:proofErr w:type="spellEnd"/>
      <w:r w:rsidRPr="00A95C26">
        <w:t xml:space="preserve"> P. </w:t>
      </w:r>
      <w:proofErr w:type="spellStart"/>
      <w:r w:rsidRPr="00A95C26">
        <w:t>The</w:t>
      </w:r>
      <w:proofErr w:type="spellEnd"/>
      <w:r w:rsidRPr="00A95C26">
        <w:t xml:space="preserve"> </w:t>
      </w:r>
      <w:proofErr w:type="spellStart"/>
      <w:r w:rsidRPr="00A95C26">
        <w:t>Financial</w:t>
      </w:r>
      <w:proofErr w:type="spellEnd"/>
      <w:r w:rsidRPr="00A95C26">
        <w:t xml:space="preserve"> Instability </w:t>
      </w:r>
      <w:proofErr w:type="spellStart"/>
      <w:r w:rsidRPr="00A95C26">
        <w:t>Hypothesis</w:t>
      </w:r>
      <w:proofErr w:type="spellEnd"/>
      <w:r w:rsidRPr="00A95C26">
        <w:t xml:space="preserve">: An </w:t>
      </w:r>
      <w:proofErr w:type="spellStart"/>
      <w:r w:rsidRPr="00A95C26">
        <w:t>Interpretation</w:t>
      </w:r>
      <w:proofErr w:type="spellEnd"/>
      <w:r w:rsidRPr="00A95C26">
        <w:t xml:space="preserve"> </w:t>
      </w:r>
      <w:proofErr w:type="spellStart"/>
      <w:r w:rsidRPr="00A95C26">
        <w:t>of</w:t>
      </w:r>
      <w:proofErr w:type="spellEnd"/>
      <w:r w:rsidRPr="00A95C26">
        <w:t xml:space="preserve"> </w:t>
      </w:r>
      <w:proofErr w:type="spellStart"/>
      <w:r w:rsidRPr="00A95C26">
        <w:t>Keynes</w:t>
      </w:r>
      <w:proofErr w:type="spellEnd"/>
      <w:r w:rsidRPr="00A95C26">
        <w:t xml:space="preserve"> and </w:t>
      </w:r>
      <w:proofErr w:type="spellStart"/>
      <w:r w:rsidRPr="00A95C26">
        <w:t>an</w:t>
      </w:r>
      <w:proofErr w:type="spellEnd"/>
      <w:r w:rsidRPr="00A95C26">
        <w:t xml:space="preserve"> </w:t>
      </w:r>
      <w:proofErr w:type="spellStart"/>
      <w:r w:rsidRPr="00A95C26">
        <w:t>Alternative</w:t>
      </w:r>
      <w:proofErr w:type="spellEnd"/>
      <w:r w:rsidRPr="00A95C26">
        <w:t xml:space="preserve"> to "Standard" </w:t>
      </w:r>
      <w:proofErr w:type="spellStart"/>
      <w:r w:rsidRPr="00A95C26">
        <w:t>Theory</w:t>
      </w:r>
      <w:proofErr w:type="spellEnd"/>
      <w:r w:rsidRPr="00A95C26">
        <w:t xml:space="preserve">. Nebraska </w:t>
      </w:r>
      <w:proofErr w:type="spellStart"/>
      <w:r w:rsidRPr="00A95C26">
        <w:t>Journal</w:t>
      </w:r>
      <w:proofErr w:type="spellEnd"/>
      <w:r w:rsidRPr="00A95C26">
        <w:t xml:space="preserve"> of </w:t>
      </w:r>
      <w:proofErr w:type="spellStart"/>
      <w:r w:rsidRPr="00A95C26">
        <w:t>Economics</w:t>
      </w:r>
      <w:proofErr w:type="spellEnd"/>
      <w:r w:rsidRPr="00A95C26">
        <w:t xml:space="preserve"> and Business. 1977.</w:t>
      </w:r>
    </w:p>
    <w:p w14:paraId="21A81159" w14:textId="77C230A5" w:rsidR="00BD5C38" w:rsidRPr="00A95C26" w:rsidRDefault="00BD5C38" w:rsidP="00641F06">
      <w:pPr>
        <w:spacing w:before="100" w:beforeAutospacing="1" w:line="360" w:lineRule="auto"/>
        <w:jc w:val="both"/>
      </w:pPr>
      <w:r w:rsidRPr="00A95C26">
        <w:t xml:space="preserve">PLUMMER, Tony. Prognóza finančních trhů: psychologie úspěšného investování. 2. vyd. Brno: </w:t>
      </w:r>
      <w:proofErr w:type="spellStart"/>
      <w:r w:rsidRPr="00A95C26">
        <w:t>BizBooks</w:t>
      </w:r>
      <w:proofErr w:type="spellEnd"/>
      <w:r w:rsidRPr="00A95C26">
        <w:t>, 2014. ISBN 978-80-265-0063-6.</w:t>
      </w:r>
    </w:p>
    <w:p w14:paraId="417DA67A" w14:textId="0CC38BF2" w:rsidR="00BD5C38" w:rsidRPr="00A95C26" w:rsidRDefault="00BD5C38" w:rsidP="00641F06">
      <w:pPr>
        <w:spacing w:before="100" w:beforeAutospacing="1" w:line="360" w:lineRule="auto"/>
        <w:jc w:val="both"/>
      </w:pPr>
      <w:r w:rsidRPr="00A95C26">
        <w:t xml:space="preserve">REJNUŠ, Oldřich. Finanční trhy. 4. </w:t>
      </w:r>
      <w:proofErr w:type="spellStart"/>
      <w:r w:rsidRPr="00A95C26">
        <w:t>aktualiz</w:t>
      </w:r>
      <w:proofErr w:type="spellEnd"/>
      <w:r w:rsidRPr="00A95C26">
        <w:t xml:space="preserve">. A </w:t>
      </w:r>
      <w:proofErr w:type="spellStart"/>
      <w:r w:rsidRPr="00A95C26">
        <w:t>rozš</w:t>
      </w:r>
      <w:proofErr w:type="spellEnd"/>
      <w:r w:rsidRPr="00A95C26">
        <w:t xml:space="preserve">. Vyd. Praha: Grada, 2014. </w:t>
      </w:r>
      <w:proofErr w:type="spellStart"/>
      <w:r w:rsidRPr="00A95C26">
        <w:t>Partners</w:t>
      </w:r>
      <w:proofErr w:type="spellEnd"/>
      <w:r w:rsidRPr="00A95C26">
        <w:t>. ISBN 978-80-247-3671-6.</w:t>
      </w:r>
    </w:p>
    <w:p w14:paraId="56587D36" w14:textId="6B8EBFC6" w:rsidR="006F238B" w:rsidRPr="00A95C26" w:rsidRDefault="006F238B" w:rsidP="00641F06">
      <w:pPr>
        <w:spacing w:before="100" w:beforeAutospacing="1" w:line="360" w:lineRule="auto"/>
        <w:jc w:val="both"/>
      </w:pPr>
      <w:r w:rsidRPr="00A95C26">
        <w:t>SHILLER, Robert J. Investiční horečka: iracionální nadšení na kapitálových trzích. Praha: Grada, 2010. Investice. ISBN 978-80-247-2482-9.</w:t>
      </w:r>
    </w:p>
    <w:p w14:paraId="0AFD0872" w14:textId="7F466D08" w:rsidR="006F238B" w:rsidRPr="00A95C26" w:rsidRDefault="006F238B" w:rsidP="00641F06">
      <w:pPr>
        <w:spacing w:before="100" w:beforeAutospacing="1" w:line="360" w:lineRule="auto"/>
        <w:jc w:val="both"/>
      </w:pPr>
      <w:r w:rsidRPr="00A95C26">
        <w:t>STROUKAL, Dominik. Ekonomické bubliny: kdo je nafukuje, proč praskají a jak v další krizi neztratit vše. Praha: Grada, 2019. ISBN 978-80-271-2194-6.</w:t>
      </w:r>
    </w:p>
    <w:p w14:paraId="2839A26E" w14:textId="7D31ABF1" w:rsidR="006F238B" w:rsidRPr="00A95C26" w:rsidRDefault="006F238B" w:rsidP="00641F06">
      <w:pPr>
        <w:spacing w:before="100" w:beforeAutospacing="1" w:line="360" w:lineRule="auto"/>
        <w:jc w:val="both"/>
      </w:pPr>
      <w:r w:rsidRPr="00A95C26">
        <w:t xml:space="preserve">ŠAFAŘÍK, Pavel. Spekulativní mánie a burzovní krachy: když svět financí šílí. Vydání I. Praha: </w:t>
      </w:r>
      <w:proofErr w:type="spellStart"/>
      <w:r w:rsidRPr="00A95C26">
        <w:t>Ekopress</w:t>
      </w:r>
      <w:proofErr w:type="spellEnd"/>
      <w:r w:rsidRPr="00A95C26">
        <w:t>, 2015. ISBN 978-80-87865-21-7.</w:t>
      </w:r>
    </w:p>
    <w:p w14:paraId="759E3076" w14:textId="3838ED22" w:rsidR="00B55721" w:rsidRPr="00A95C26" w:rsidRDefault="00B55721" w:rsidP="00641F06">
      <w:pPr>
        <w:spacing w:before="100" w:beforeAutospacing="1" w:line="360" w:lineRule="auto"/>
        <w:jc w:val="both"/>
      </w:pPr>
      <w:r w:rsidRPr="00A95C26">
        <w:lastRenderedPageBreak/>
        <w:t xml:space="preserve">ORMEROD, Paul. </w:t>
      </w:r>
      <w:proofErr w:type="spellStart"/>
      <w:r w:rsidRPr="00A95C26">
        <w:t>Butterfly</w:t>
      </w:r>
      <w:proofErr w:type="spellEnd"/>
      <w:r w:rsidRPr="00A95C26">
        <w:t xml:space="preserve"> </w:t>
      </w:r>
      <w:proofErr w:type="spellStart"/>
      <w:r w:rsidRPr="00A95C26">
        <w:t>Economics</w:t>
      </w:r>
      <w:proofErr w:type="spellEnd"/>
      <w:r w:rsidRPr="00A95C26">
        <w:t xml:space="preserve">: A New General </w:t>
      </w:r>
      <w:proofErr w:type="spellStart"/>
      <w:r w:rsidRPr="00A95C26">
        <w:t>Theory</w:t>
      </w:r>
      <w:proofErr w:type="spellEnd"/>
      <w:r w:rsidRPr="00A95C26">
        <w:t xml:space="preserve"> </w:t>
      </w:r>
      <w:proofErr w:type="spellStart"/>
      <w:r w:rsidRPr="00A95C26">
        <w:t>of</w:t>
      </w:r>
      <w:proofErr w:type="spellEnd"/>
      <w:r w:rsidRPr="00A95C26">
        <w:t xml:space="preserve"> </w:t>
      </w:r>
      <w:proofErr w:type="spellStart"/>
      <w:r w:rsidRPr="00A95C26">
        <w:t>Social</w:t>
      </w:r>
      <w:proofErr w:type="spellEnd"/>
      <w:r w:rsidRPr="00A95C26">
        <w:t xml:space="preserve"> and </w:t>
      </w:r>
      <w:proofErr w:type="spellStart"/>
      <w:r w:rsidRPr="00A95C26">
        <w:t>Economic</w:t>
      </w:r>
      <w:proofErr w:type="spellEnd"/>
      <w:r w:rsidRPr="00A95C26">
        <w:t xml:space="preserve"> </w:t>
      </w:r>
      <w:proofErr w:type="spellStart"/>
      <w:r w:rsidRPr="00A95C26">
        <w:t>Behavior</w:t>
      </w:r>
      <w:proofErr w:type="spellEnd"/>
      <w:r w:rsidRPr="00A95C26">
        <w:t xml:space="preserve">. USA: </w:t>
      </w:r>
      <w:proofErr w:type="spellStart"/>
      <w:r w:rsidRPr="00A95C26">
        <w:t>Knopf</w:t>
      </w:r>
      <w:proofErr w:type="spellEnd"/>
      <w:r w:rsidRPr="00A95C26">
        <w:t xml:space="preserve"> </w:t>
      </w:r>
      <w:proofErr w:type="spellStart"/>
      <w:r w:rsidRPr="00A95C26">
        <w:t>Doubleday</w:t>
      </w:r>
      <w:proofErr w:type="spellEnd"/>
      <w:r w:rsidRPr="00A95C26">
        <w:t xml:space="preserve"> </w:t>
      </w:r>
      <w:proofErr w:type="spellStart"/>
      <w:r w:rsidRPr="00A95C26">
        <w:t>Publishing</w:t>
      </w:r>
      <w:proofErr w:type="spellEnd"/>
      <w:r w:rsidRPr="00A95C26">
        <w:t xml:space="preserve"> Group, 2012. ISBN 9780307819413.</w:t>
      </w:r>
    </w:p>
    <w:p w14:paraId="57B3C775" w14:textId="26D0170E" w:rsidR="006F238B" w:rsidRPr="00A95C26" w:rsidRDefault="00B55721" w:rsidP="00641F06">
      <w:pPr>
        <w:spacing w:before="100" w:beforeAutospacing="1" w:line="360" w:lineRule="auto"/>
        <w:jc w:val="both"/>
      </w:pPr>
      <w:proofErr w:type="spellStart"/>
      <w:r w:rsidRPr="00A95C26">
        <w:t>Galbraith</w:t>
      </w:r>
      <w:proofErr w:type="spellEnd"/>
      <w:r w:rsidRPr="00A95C26">
        <w:t xml:space="preserve"> J.K.,</w:t>
      </w:r>
      <w:r w:rsidR="005C0A72" w:rsidRPr="00A95C26">
        <w:t xml:space="preserve"> </w:t>
      </w:r>
      <w:r w:rsidRPr="00A95C26">
        <w:t xml:space="preserve">Great </w:t>
      </w:r>
      <w:proofErr w:type="spellStart"/>
      <w:r w:rsidRPr="00A95C26">
        <w:t>Crash</w:t>
      </w:r>
      <w:proofErr w:type="spellEnd"/>
      <w:r w:rsidRPr="00A95C26">
        <w:t xml:space="preserve"> 1929, </w:t>
      </w:r>
      <w:proofErr w:type="spellStart"/>
      <w:r w:rsidRPr="00A95C26">
        <w:t>Penguin</w:t>
      </w:r>
      <w:proofErr w:type="spellEnd"/>
      <w:r w:rsidRPr="00A95C26">
        <w:t xml:space="preserve"> </w:t>
      </w:r>
      <w:proofErr w:type="spellStart"/>
      <w:r w:rsidRPr="00A95C26">
        <w:t>Books</w:t>
      </w:r>
      <w:proofErr w:type="spellEnd"/>
      <w:r w:rsidRPr="00A95C26">
        <w:t xml:space="preserve"> ISBN: 014103825X</w:t>
      </w:r>
    </w:p>
    <w:p w14:paraId="0734D579" w14:textId="21CEAEFF" w:rsidR="006F238B" w:rsidRPr="00A95C26" w:rsidRDefault="006F238B" w:rsidP="00641F06">
      <w:pPr>
        <w:spacing w:before="100" w:beforeAutospacing="1" w:line="360" w:lineRule="auto"/>
        <w:jc w:val="both"/>
        <w:rPr>
          <w:i/>
          <w:iCs/>
        </w:rPr>
      </w:pPr>
      <w:r w:rsidRPr="00A95C26">
        <w:rPr>
          <w:i/>
          <w:iCs/>
        </w:rPr>
        <w:t>Elektronické zdroje:</w:t>
      </w:r>
    </w:p>
    <w:p w14:paraId="0C00EB78" w14:textId="730693BC" w:rsidR="00BD5C38" w:rsidRPr="00A95C26" w:rsidRDefault="00BD5C38" w:rsidP="00641F06">
      <w:pPr>
        <w:spacing w:before="100" w:beforeAutospacing="1" w:line="360" w:lineRule="auto"/>
        <w:jc w:val="both"/>
      </w:pPr>
      <w:r w:rsidRPr="00A95C26">
        <w:t xml:space="preserve">ATHREYEA S., SAEEDB A., BALOCHB M.S. </w:t>
      </w:r>
      <w:proofErr w:type="spellStart"/>
      <w:r w:rsidRPr="00A95C26">
        <w:t>Financial</w:t>
      </w:r>
      <w:proofErr w:type="spellEnd"/>
      <w:r w:rsidRPr="00A95C26">
        <w:t xml:space="preserve"> </w:t>
      </w:r>
      <w:proofErr w:type="spellStart"/>
      <w:r w:rsidRPr="00A95C26">
        <w:t>crisis</w:t>
      </w:r>
      <w:proofErr w:type="spellEnd"/>
      <w:r w:rsidRPr="00A95C26">
        <w:t xml:space="preserve"> </w:t>
      </w:r>
      <w:proofErr w:type="spellStart"/>
      <w:r w:rsidRPr="00A95C26">
        <w:t>of</w:t>
      </w:r>
      <w:proofErr w:type="spellEnd"/>
      <w:r w:rsidRPr="00A95C26">
        <w:t xml:space="preserve"> 2008 and </w:t>
      </w:r>
      <w:proofErr w:type="spellStart"/>
      <w:r w:rsidRPr="00A95C26">
        <w:t>outward</w:t>
      </w:r>
      <w:proofErr w:type="spellEnd"/>
      <w:r w:rsidRPr="00A95C26">
        <w:t xml:space="preserve"> </w:t>
      </w:r>
      <w:proofErr w:type="spellStart"/>
      <w:r w:rsidRPr="00A95C26">
        <w:t>foreign</w:t>
      </w:r>
      <w:proofErr w:type="spellEnd"/>
      <w:r w:rsidRPr="00A95C26">
        <w:t xml:space="preserve"> </w:t>
      </w:r>
      <w:proofErr w:type="spellStart"/>
      <w:r w:rsidRPr="00A95C26">
        <w:t>investments</w:t>
      </w:r>
      <w:proofErr w:type="spellEnd"/>
      <w:r w:rsidRPr="00A95C26">
        <w:t xml:space="preserve"> </w:t>
      </w:r>
      <w:proofErr w:type="spellStart"/>
      <w:r w:rsidRPr="00A95C26">
        <w:t>from</w:t>
      </w:r>
      <w:proofErr w:type="spellEnd"/>
      <w:r w:rsidRPr="00A95C26">
        <w:t xml:space="preserve"> </w:t>
      </w:r>
      <w:proofErr w:type="spellStart"/>
      <w:r w:rsidRPr="00A95C26">
        <w:t>China</w:t>
      </w:r>
      <w:proofErr w:type="spellEnd"/>
      <w:r w:rsidRPr="00A95C26">
        <w:t xml:space="preserve"> and India. &lt;https://doi.org/10.1016/j.jwb.2021.101190&gt;</w:t>
      </w:r>
    </w:p>
    <w:p w14:paraId="443A8224" w14:textId="260AEF86" w:rsidR="00BD5C38" w:rsidRPr="00A95C26" w:rsidRDefault="00BD5C38" w:rsidP="00641F06">
      <w:pPr>
        <w:spacing w:before="100" w:beforeAutospacing="1" w:line="360" w:lineRule="auto"/>
        <w:jc w:val="both"/>
      </w:pPr>
      <w:proofErr w:type="spellStart"/>
      <w:r w:rsidRPr="00A95C26">
        <w:t>Global</w:t>
      </w:r>
      <w:proofErr w:type="spellEnd"/>
      <w:r w:rsidRPr="00A95C26">
        <w:t xml:space="preserve"> </w:t>
      </w:r>
      <w:proofErr w:type="spellStart"/>
      <w:r w:rsidRPr="00A95C26">
        <w:t>Financial</w:t>
      </w:r>
      <w:proofErr w:type="spellEnd"/>
      <w:r w:rsidRPr="00A95C26">
        <w:t xml:space="preserve"> Stability Report, </w:t>
      </w:r>
      <w:proofErr w:type="spellStart"/>
      <w:r w:rsidRPr="00A95C26">
        <w:t>October</w:t>
      </w:r>
      <w:proofErr w:type="spellEnd"/>
      <w:r w:rsidRPr="00A95C26">
        <w:t xml:space="preserve"> 2010: </w:t>
      </w:r>
      <w:proofErr w:type="spellStart"/>
      <w:r w:rsidRPr="00A95C26">
        <w:t>Sovereigns</w:t>
      </w:r>
      <w:proofErr w:type="spellEnd"/>
      <w:r w:rsidRPr="00A95C26">
        <w:t xml:space="preserve">, </w:t>
      </w:r>
      <w:proofErr w:type="spellStart"/>
      <w:r w:rsidRPr="00A95C26">
        <w:t>Funding</w:t>
      </w:r>
      <w:proofErr w:type="spellEnd"/>
      <w:r w:rsidRPr="00A95C26">
        <w:t xml:space="preserve">, and </w:t>
      </w:r>
      <w:proofErr w:type="spellStart"/>
      <w:r w:rsidRPr="00A95C26">
        <w:t>Systemic</w:t>
      </w:r>
      <w:proofErr w:type="spellEnd"/>
      <w:r w:rsidRPr="00A95C26">
        <w:t xml:space="preserve"> </w:t>
      </w:r>
      <w:proofErr w:type="spellStart"/>
      <w:r w:rsidRPr="00A95C26">
        <w:t>Liquidity</w:t>
      </w:r>
      <w:proofErr w:type="spellEnd"/>
      <w:r w:rsidRPr="00A95C26">
        <w:t xml:space="preserve">. </w:t>
      </w:r>
      <w:proofErr w:type="spellStart"/>
      <w:r w:rsidRPr="00A95C26">
        <w:t>October</w:t>
      </w:r>
      <w:proofErr w:type="spellEnd"/>
      <w:r w:rsidRPr="00A95C26">
        <w:t xml:space="preserve"> 29, 2010. ISBN/ISSN:9781589069480/</w:t>
      </w:r>
      <w:proofErr w:type="gramStart"/>
      <w:r w:rsidRPr="00A95C26">
        <w:t>1729-701X</w:t>
      </w:r>
      <w:proofErr w:type="gramEnd"/>
    </w:p>
    <w:p w14:paraId="139F6823" w14:textId="446D12D9" w:rsidR="00BD5C38" w:rsidRPr="00A95C26" w:rsidRDefault="00BD5C38" w:rsidP="00641F06">
      <w:pPr>
        <w:spacing w:before="100" w:beforeAutospacing="1" w:line="360" w:lineRule="auto"/>
        <w:jc w:val="both"/>
      </w:pPr>
      <w:proofErr w:type="spellStart"/>
      <w:r w:rsidRPr="00A95C26">
        <w:t>Global</w:t>
      </w:r>
      <w:proofErr w:type="spellEnd"/>
      <w:r w:rsidRPr="00A95C26">
        <w:t xml:space="preserve"> </w:t>
      </w:r>
      <w:proofErr w:type="spellStart"/>
      <w:r w:rsidRPr="00A95C26">
        <w:t>Financial</w:t>
      </w:r>
      <w:proofErr w:type="spellEnd"/>
      <w:r w:rsidRPr="00A95C26">
        <w:t xml:space="preserve"> Stability Report, </w:t>
      </w:r>
      <w:proofErr w:type="spellStart"/>
      <w:r w:rsidRPr="00A95C26">
        <w:t>October</w:t>
      </w:r>
      <w:proofErr w:type="spellEnd"/>
      <w:r w:rsidRPr="00A95C26">
        <w:t xml:space="preserve"> 2008: </w:t>
      </w:r>
      <w:proofErr w:type="spellStart"/>
      <w:r w:rsidRPr="00A95C26">
        <w:t>Financial</w:t>
      </w:r>
      <w:proofErr w:type="spellEnd"/>
      <w:r w:rsidRPr="00A95C26">
        <w:t xml:space="preserve"> Stress and </w:t>
      </w:r>
      <w:proofErr w:type="spellStart"/>
      <w:r w:rsidRPr="00A95C26">
        <w:t>Deleveraging</w:t>
      </w:r>
      <w:proofErr w:type="spellEnd"/>
      <w:r w:rsidRPr="00A95C26">
        <w:t xml:space="preserve"> </w:t>
      </w:r>
      <w:proofErr w:type="spellStart"/>
      <w:r w:rsidRPr="00A95C26">
        <w:t>Macrofi</w:t>
      </w:r>
      <w:proofErr w:type="spellEnd"/>
      <w:r w:rsidRPr="00A95C26">
        <w:t xml:space="preserve"> </w:t>
      </w:r>
      <w:proofErr w:type="spellStart"/>
      <w:r w:rsidRPr="00A95C26">
        <w:t>nancial</w:t>
      </w:r>
      <w:proofErr w:type="spellEnd"/>
      <w:r w:rsidRPr="00A95C26">
        <w:t xml:space="preserve"> </w:t>
      </w:r>
      <w:proofErr w:type="spellStart"/>
      <w:r w:rsidRPr="00A95C26">
        <w:t>Implications</w:t>
      </w:r>
      <w:proofErr w:type="spellEnd"/>
      <w:r w:rsidRPr="00A95C26">
        <w:t xml:space="preserve"> and </w:t>
      </w:r>
      <w:proofErr w:type="spellStart"/>
      <w:r w:rsidRPr="00A95C26">
        <w:t>Policy</w:t>
      </w:r>
      <w:proofErr w:type="spellEnd"/>
      <w:r w:rsidRPr="00A95C26">
        <w:t xml:space="preserve">. </w:t>
      </w:r>
      <w:proofErr w:type="spellStart"/>
      <w:r w:rsidRPr="00A95C26">
        <w:t>October</w:t>
      </w:r>
      <w:proofErr w:type="spellEnd"/>
      <w:r w:rsidRPr="00A95C26">
        <w:t xml:space="preserve"> 11, 2008. ISBN/ISSN:9781616352332/</w:t>
      </w:r>
      <w:proofErr w:type="gramStart"/>
      <w:r w:rsidRPr="00A95C26">
        <w:t>1729-701X</w:t>
      </w:r>
      <w:proofErr w:type="gramEnd"/>
    </w:p>
    <w:p w14:paraId="72FEC771" w14:textId="6E99A925" w:rsidR="00BD5C38" w:rsidRPr="00A95C26" w:rsidRDefault="00BD5C38" w:rsidP="00641F06">
      <w:pPr>
        <w:spacing w:before="100" w:beforeAutospacing="1" w:line="360" w:lineRule="auto"/>
        <w:jc w:val="both"/>
      </w:pPr>
      <w:r w:rsidRPr="00A95C26">
        <w:t xml:space="preserve">TOARNA A., COJANU V. </w:t>
      </w:r>
      <w:proofErr w:type="spellStart"/>
      <w:r w:rsidRPr="00A95C26">
        <w:t>The</w:t>
      </w:r>
      <w:proofErr w:type="spellEnd"/>
      <w:r w:rsidRPr="00A95C26">
        <w:t xml:space="preserve"> 2008 </w:t>
      </w:r>
      <w:proofErr w:type="spellStart"/>
      <w:r w:rsidRPr="00A95C26">
        <w:t>Crisis</w:t>
      </w:r>
      <w:proofErr w:type="spellEnd"/>
      <w:r w:rsidRPr="00A95C26">
        <w:t xml:space="preserve">: </w:t>
      </w:r>
      <w:proofErr w:type="spellStart"/>
      <w:r w:rsidRPr="00A95C26">
        <w:t>Causes</w:t>
      </w:r>
      <w:proofErr w:type="spellEnd"/>
      <w:r w:rsidRPr="00A95C26">
        <w:t xml:space="preserve"> and </w:t>
      </w:r>
      <w:proofErr w:type="spellStart"/>
      <w:r w:rsidRPr="00A95C26">
        <w:t>Future</w:t>
      </w:r>
      <w:proofErr w:type="spellEnd"/>
      <w:r w:rsidRPr="00A95C26">
        <w:t xml:space="preserve"> </w:t>
      </w:r>
      <w:proofErr w:type="spellStart"/>
      <w:r w:rsidRPr="00A95C26">
        <w:t>Direction</w:t>
      </w:r>
      <w:proofErr w:type="spellEnd"/>
      <w:r w:rsidRPr="00A95C26">
        <w:t xml:space="preserve"> </w:t>
      </w:r>
      <w:proofErr w:type="spellStart"/>
      <w:r w:rsidRPr="00A95C26">
        <w:t>for</w:t>
      </w:r>
      <w:proofErr w:type="spellEnd"/>
      <w:r w:rsidRPr="00A95C26">
        <w:t xml:space="preserve"> </w:t>
      </w:r>
      <w:proofErr w:type="spellStart"/>
      <w:r w:rsidRPr="00A95C26">
        <w:t>the</w:t>
      </w:r>
      <w:proofErr w:type="spellEnd"/>
      <w:r w:rsidRPr="00A95C26">
        <w:t xml:space="preserve"> </w:t>
      </w:r>
      <w:proofErr w:type="spellStart"/>
      <w:r w:rsidRPr="00A95C26">
        <w:t>Academic</w:t>
      </w:r>
      <w:proofErr w:type="spellEnd"/>
      <w:r w:rsidRPr="00A95C26">
        <w:t xml:space="preserve"> </w:t>
      </w:r>
      <w:proofErr w:type="spellStart"/>
      <w:r w:rsidRPr="00A95C26">
        <w:t>Research</w:t>
      </w:r>
      <w:proofErr w:type="spellEnd"/>
      <w:r w:rsidRPr="00A95C26">
        <w:t>. &lt;</w:t>
      </w:r>
      <w:hyperlink r:id="rId25" w:history="1">
        <w:r w:rsidRPr="00A95C26">
          <w:t>https://doi.org/10.1016/S2212-5671(15)01010-2</w:t>
        </w:r>
      </w:hyperlink>
      <w:r w:rsidRPr="00A95C26">
        <w:t>&gt;</w:t>
      </w:r>
    </w:p>
    <w:p w14:paraId="3FCABF5D" w14:textId="0CBDB47B" w:rsidR="00BD5C38" w:rsidRPr="00A95C26" w:rsidRDefault="00BD5C38" w:rsidP="00641F06">
      <w:pPr>
        <w:spacing w:before="100" w:beforeAutospacing="1" w:line="360" w:lineRule="auto"/>
        <w:jc w:val="both"/>
      </w:pPr>
      <w:proofErr w:type="spellStart"/>
      <w:r w:rsidRPr="00A95C26">
        <w:t>Trade</w:t>
      </w:r>
      <w:proofErr w:type="spellEnd"/>
      <w:r w:rsidRPr="00A95C26">
        <w:t xml:space="preserve"> </w:t>
      </w:r>
      <w:proofErr w:type="spellStart"/>
      <w:r w:rsidRPr="00A95C26">
        <w:t>growth</w:t>
      </w:r>
      <w:proofErr w:type="spellEnd"/>
      <w:r w:rsidRPr="00A95C26">
        <w:t xml:space="preserve"> to </w:t>
      </w:r>
      <w:proofErr w:type="spellStart"/>
      <w:r w:rsidRPr="00A95C26">
        <w:t>slow</w:t>
      </w:r>
      <w:proofErr w:type="spellEnd"/>
      <w:r w:rsidRPr="00A95C26">
        <w:t xml:space="preserve"> in 2012 </w:t>
      </w:r>
      <w:proofErr w:type="spellStart"/>
      <w:r w:rsidRPr="00A95C26">
        <w:t>after</w:t>
      </w:r>
      <w:proofErr w:type="spellEnd"/>
      <w:r w:rsidRPr="00A95C26">
        <w:t xml:space="preserve"> </w:t>
      </w:r>
      <w:proofErr w:type="spellStart"/>
      <w:r w:rsidRPr="00A95C26">
        <w:t>strong</w:t>
      </w:r>
      <w:proofErr w:type="spellEnd"/>
      <w:r w:rsidRPr="00A95C26">
        <w:t xml:space="preserve"> </w:t>
      </w:r>
      <w:proofErr w:type="spellStart"/>
      <w:r w:rsidRPr="00A95C26">
        <w:t>deceleration</w:t>
      </w:r>
      <w:proofErr w:type="spellEnd"/>
      <w:r w:rsidRPr="00A95C26">
        <w:t xml:space="preserve"> in 2011. WTO: 2012 </w:t>
      </w:r>
      <w:proofErr w:type="spellStart"/>
      <w:r w:rsidRPr="00A95C26">
        <w:t>press</w:t>
      </w:r>
      <w:proofErr w:type="spellEnd"/>
      <w:r w:rsidRPr="00A95C26">
        <w:t xml:space="preserve"> </w:t>
      </w:r>
      <w:proofErr w:type="spellStart"/>
      <w:r w:rsidRPr="00A95C26">
        <w:t>releases</w:t>
      </w:r>
      <w:proofErr w:type="spellEnd"/>
      <w:r w:rsidRPr="00A95C26">
        <w:t xml:space="preserve">. Dostupné </w:t>
      </w:r>
      <w:proofErr w:type="gramStart"/>
      <w:r w:rsidR="00631089" w:rsidRPr="00A95C26">
        <w:t xml:space="preserve">z </w:t>
      </w:r>
      <w:r w:rsidRPr="00A95C26">
        <w:t>:</w:t>
      </w:r>
      <w:proofErr w:type="gramEnd"/>
      <w:r w:rsidRPr="00A95C26">
        <w:t xml:space="preserve"> </w:t>
      </w:r>
      <w:hyperlink r:id="rId26" w:anchor="table1" w:history="1">
        <w:r w:rsidR="00631089" w:rsidRPr="00A95C26">
          <w:rPr>
            <w:rStyle w:val="Hypertextovodkaz"/>
          </w:rPr>
          <w:t>https://www.wto.org/english/news_e/pres12_e/pr658_e.htm#table1</w:t>
        </w:r>
      </w:hyperlink>
    </w:p>
    <w:p w14:paraId="2D714FB7" w14:textId="11B9D291" w:rsidR="00631089" w:rsidRPr="00A95C26" w:rsidRDefault="00631089" w:rsidP="00641F06">
      <w:pPr>
        <w:spacing w:before="100" w:beforeAutospacing="1" w:line="360" w:lineRule="auto"/>
        <w:jc w:val="both"/>
      </w:pPr>
      <w:proofErr w:type="spellStart"/>
      <w:r w:rsidRPr="00A95C26">
        <w:t>Tan</w:t>
      </w:r>
      <w:proofErr w:type="spellEnd"/>
      <w:r w:rsidRPr="00A95C26">
        <w:t xml:space="preserve"> L., et al. </w:t>
      </w:r>
      <w:proofErr w:type="spellStart"/>
      <w:r w:rsidRPr="00A95C26">
        <w:t>Herding</w:t>
      </w:r>
      <w:proofErr w:type="spellEnd"/>
      <w:r w:rsidRPr="00A95C26">
        <w:t xml:space="preserve"> </w:t>
      </w:r>
      <w:proofErr w:type="spellStart"/>
      <w:r w:rsidRPr="00A95C26">
        <w:t>behavior</w:t>
      </w:r>
      <w:proofErr w:type="spellEnd"/>
      <w:r w:rsidRPr="00A95C26">
        <w:t xml:space="preserve"> in </w:t>
      </w:r>
      <w:proofErr w:type="spellStart"/>
      <w:r w:rsidRPr="00A95C26">
        <w:t>Chinese</w:t>
      </w:r>
      <w:proofErr w:type="spellEnd"/>
      <w:r w:rsidRPr="00A95C26">
        <w:t xml:space="preserve"> </w:t>
      </w:r>
      <w:proofErr w:type="spellStart"/>
      <w:r w:rsidRPr="00A95C26">
        <w:t>stock</w:t>
      </w:r>
      <w:proofErr w:type="spellEnd"/>
      <w:r w:rsidRPr="00A95C26">
        <w:t xml:space="preserve"> </w:t>
      </w:r>
      <w:proofErr w:type="spellStart"/>
      <w:r w:rsidRPr="00A95C26">
        <w:t>markets</w:t>
      </w:r>
      <w:proofErr w:type="spellEnd"/>
      <w:r w:rsidRPr="00A95C26">
        <w:t xml:space="preserve">: An </w:t>
      </w:r>
      <w:proofErr w:type="spellStart"/>
      <w:r w:rsidRPr="00A95C26">
        <w:t>examination</w:t>
      </w:r>
      <w:proofErr w:type="spellEnd"/>
      <w:r w:rsidRPr="00A95C26">
        <w:t xml:space="preserve"> </w:t>
      </w:r>
      <w:proofErr w:type="spellStart"/>
      <w:r w:rsidRPr="00A95C26">
        <w:t>of</w:t>
      </w:r>
      <w:proofErr w:type="spellEnd"/>
      <w:r w:rsidRPr="00A95C26">
        <w:t xml:space="preserve"> A and B </w:t>
      </w:r>
      <w:proofErr w:type="spellStart"/>
      <w:r w:rsidRPr="00A95C26">
        <w:t>shares</w:t>
      </w:r>
      <w:proofErr w:type="spellEnd"/>
      <w:r w:rsidRPr="00A95C26">
        <w:t xml:space="preserve">. </w:t>
      </w:r>
      <w:proofErr w:type="spellStart"/>
      <w:r w:rsidRPr="00A95C26">
        <w:t>Pacific-Basin</w:t>
      </w:r>
      <w:proofErr w:type="spellEnd"/>
      <w:r w:rsidRPr="00A95C26">
        <w:t xml:space="preserve"> Finance </w:t>
      </w:r>
      <w:proofErr w:type="spellStart"/>
      <w:r w:rsidRPr="00A95C26">
        <w:t>Journal</w:t>
      </w:r>
      <w:proofErr w:type="spellEnd"/>
      <w:r w:rsidRPr="00A95C26">
        <w:t>, 2008, vol. 16, no. 1, pp. 61–77</w:t>
      </w:r>
    </w:p>
    <w:p w14:paraId="20CFC125" w14:textId="1E39F416" w:rsidR="00631089" w:rsidRPr="00A95C26" w:rsidRDefault="00631089" w:rsidP="00641F06">
      <w:pPr>
        <w:spacing w:before="100" w:beforeAutospacing="1" w:line="360" w:lineRule="auto"/>
        <w:jc w:val="both"/>
      </w:pPr>
      <w:proofErr w:type="spellStart"/>
      <w:r w:rsidRPr="00A95C26">
        <w:t>Sornette</w:t>
      </w:r>
      <w:proofErr w:type="spellEnd"/>
      <w:r w:rsidRPr="00A95C26">
        <w:t xml:space="preserve"> D., </w:t>
      </w:r>
      <w:proofErr w:type="spellStart"/>
      <w:r w:rsidRPr="00A95C26">
        <w:t>Woodard</w:t>
      </w:r>
      <w:proofErr w:type="spellEnd"/>
      <w:r w:rsidRPr="00A95C26">
        <w:t xml:space="preserve"> R., </w:t>
      </w:r>
      <w:proofErr w:type="spellStart"/>
      <w:r w:rsidRPr="00A95C26">
        <w:t>Zhou</w:t>
      </w:r>
      <w:proofErr w:type="spellEnd"/>
      <w:r w:rsidRPr="00A95C26">
        <w:t xml:space="preserve"> W.X. </w:t>
      </w:r>
      <w:proofErr w:type="spellStart"/>
      <w:r w:rsidRPr="00A95C26">
        <w:t>The</w:t>
      </w:r>
      <w:proofErr w:type="spellEnd"/>
      <w:r w:rsidRPr="00A95C26">
        <w:t xml:space="preserve"> 2006–2008 </w:t>
      </w:r>
      <w:proofErr w:type="spellStart"/>
      <w:r w:rsidRPr="00A95C26">
        <w:t>oil</w:t>
      </w:r>
      <w:proofErr w:type="spellEnd"/>
      <w:r w:rsidRPr="00A95C26">
        <w:t xml:space="preserve"> </w:t>
      </w:r>
      <w:proofErr w:type="spellStart"/>
      <w:r w:rsidRPr="00A95C26">
        <w:t>bubble</w:t>
      </w:r>
      <w:proofErr w:type="spellEnd"/>
      <w:r w:rsidRPr="00A95C26">
        <w:t xml:space="preserve">: Evidence </w:t>
      </w:r>
      <w:proofErr w:type="spellStart"/>
      <w:r w:rsidRPr="00A95C26">
        <w:t>of</w:t>
      </w:r>
      <w:proofErr w:type="spellEnd"/>
      <w:r w:rsidRPr="00A95C26">
        <w:t xml:space="preserve"> </w:t>
      </w:r>
      <w:proofErr w:type="spellStart"/>
      <w:r w:rsidRPr="00A95C26">
        <w:t>speculation</w:t>
      </w:r>
      <w:proofErr w:type="spellEnd"/>
      <w:r w:rsidRPr="00A95C26">
        <w:t xml:space="preserve">, and </w:t>
      </w:r>
      <w:proofErr w:type="spellStart"/>
      <w:r w:rsidRPr="00A95C26">
        <w:t>prediction</w:t>
      </w:r>
      <w:proofErr w:type="spellEnd"/>
      <w:r w:rsidRPr="00A95C26">
        <w:t xml:space="preserve">. </w:t>
      </w:r>
      <w:proofErr w:type="spellStart"/>
      <w:r w:rsidRPr="00A95C26">
        <w:t>Physica</w:t>
      </w:r>
      <w:proofErr w:type="spellEnd"/>
      <w:r w:rsidRPr="00A95C26">
        <w:t xml:space="preserve"> A: </w:t>
      </w:r>
      <w:proofErr w:type="spellStart"/>
      <w:r w:rsidRPr="00A95C26">
        <w:t>Statistical</w:t>
      </w:r>
      <w:proofErr w:type="spellEnd"/>
      <w:r w:rsidRPr="00A95C26">
        <w:t xml:space="preserve"> </w:t>
      </w:r>
      <w:proofErr w:type="spellStart"/>
      <w:r w:rsidRPr="00A95C26">
        <w:t>Mechanics</w:t>
      </w:r>
      <w:proofErr w:type="spellEnd"/>
      <w:r w:rsidRPr="00A95C26">
        <w:t xml:space="preserve"> and </w:t>
      </w:r>
      <w:proofErr w:type="spellStart"/>
      <w:r w:rsidRPr="00A95C26">
        <w:t>its</w:t>
      </w:r>
      <w:proofErr w:type="spellEnd"/>
      <w:r w:rsidRPr="00A95C26">
        <w:t xml:space="preserve"> </w:t>
      </w:r>
      <w:proofErr w:type="spellStart"/>
      <w:r w:rsidRPr="00A95C26">
        <w:t>Applications</w:t>
      </w:r>
      <w:proofErr w:type="spellEnd"/>
      <w:r w:rsidRPr="00A95C26">
        <w:t>, 2009, vol. 388, no. 8, pp. 1571–1576.</w:t>
      </w:r>
    </w:p>
    <w:p w14:paraId="1BE4E66F" w14:textId="5EBEBD67" w:rsidR="006F238B" w:rsidRPr="00A95C26" w:rsidRDefault="00631089" w:rsidP="00641F06">
      <w:pPr>
        <w:spacing w:before="100" w:beforeAutospacing="1" w:line="360" w:lineRule="auto"/>
        <w:jc w:val="both"/>
      </w:pPr>
      <w:proofErr w:type="spellStart"/>
      <w:r w:rsidRPr="00A95C26">
        <w:t>Arslanalp</w:t>
      </w:r>
      <w:proofErr w:type="spellEnd"/>
      <w:r w:rsidRPr="00A95C26">
        <w:t xml:space="preserve"> S. et al. </w:t>
      </w:r>
      <w:proofErr w:type="spellStart"/>
      <w:r w:rsidRPr="00A95C26">
        <w:t>China’s</w:t>
      </w:r>
      <w:proofErr w:type="spellEnd"/>
      <w:r w:rsidRPr="00A95C26">
        <w:t xml:space="preserve"> </w:t>
      </w:r>
      <w:proofErr w:type="spellStart"/>
      <w:r w:rsidRPr="00A95C26">
        <w:t>Growing</w:t>
      </w:r>
      <w:proofErr w:type="spellEnd"/>
      <w:r w:rsidRPr="00A95C26">
        <w:t xml:space="preserve"> Influence on </w:t>
      </w:r>
      <w:proofErr w:type="spellStart"/>
      <w:r w:rsidRPr="00A95C26">
        <w:t>Asian</w:t>
      </w:r>
      <w:proofErr w:type="spellEnd"/>
      <w:r w:rsidRPr="00A95C26">
        <w:t xml:space="preserve"> </w:t>
      </w:r>
      <w:proofErr w:type="spellStart"/>
      <w:r w:rsidRPr="00A95C26">
        <w:t>Financial</w:t>
      </w:r>
      <w:proofErr w:type="spellEnd"/>
      <w:r w:rsidRPr="00A95C26">
        <w:t xml:space="preserve"> </w:t>
      </w:r>
      <w:proofErr w:type="spellStart"/>
      <w:r w:rsidRPr="00A95C26">
        <w:t>Markets</w:t>
      </w:r>
      <w:proofErr w:type="spellEnd"/>
      <w:r w:rsidRPr="00A95C26">
        <w:t xml:space="preserve">. </w:t>
      </w:r>
      <w:proofErr w:type="spellStart"/>
      <w:r w:rsidRPr="00A95C26">
        <w:t>Journal</w:t>
      </w:r>
      <w:proofErr w:type="spellEnd"/>
      <w:r w:rsidRPr="00A95C26">
        <w:t xml:space="preserve"> </w:t>
      </w:r>
      <w:proofErr w:type="spellStart"/>
      <w:r w:rsidRPr="00A95C26">
        <w:t>Issue</w:t>
      </w:r>
      <w:proofErr w:type="spellEnd"/>
      <w:r w:rsidRPr="00A95C26">
        <w:t>, 2016, p. 173.</w:t>
      </w:r>
    </w:p>
    <w:p w14:paraId="5674FCE5" w14:textId="57D3BAAB" w:rsidR="00631089" w:rsidRPr="00A95C26" w:rsidRDefault="00631089" w:rsidP="00641F06">
      <w:pPr>
        <w:spacing w:before="100" w:beforeAutospacing="1" w:line="360" w:lineRule="auto"/>
        <w:jc w:val="both"/>
      </w:pPr>
      <w:r w:rsidRPr="00A95C26">
        <w:t xml:space="preserve">Forbes K. et al. </w:t>
      </w:r>
      <w:proofErr w:type="spellStart"/>
      <w:r w:rsidRPr="00A95C26">
        <w:t>Bubble</w:t>
      </w:r>
      <w:proofErr w:type="spellEnd"/>
      <w:r w:rsidRPr="00A95C26">
        <w:t xml:space="preserve"> </w:t>
      </w:r>
      <w:proofErr w:type="spellStart"/>
      <w:r w:rsidRPr="00A95C26">
        <w:t>thy</w:t>
      </w:r>
      <w:proofErr w:type="spellEnd"/>
      <w:r w:rsidRPr="00A95C26">
        <w:t xml:space="preserve"> </w:t>
      </w:r>
      <w:proofErr w:type="spellStart"/>
      <w:r w:rsidRPr="00A95C26">
        <w:t>neighbour</w:t>
      </w:r>
      <w:proofErr w:type="spellEnd"/>
      <w:r w:rsidRPr="00A95C26">
        <w:t xml:space="preserve">: Portfolio </w:t>
      </w:r>
      <w:proofErr w:type="spellStart"/>
      <w:r w:rsidRPr="00A95C26">
        <w:t>effects</w:t>
      </w:r>
      <w:proofErr w:type="spellEnd"/>
      <w:r w:rsidRPr="00A95C26">
        <w:t xml:space="preserve"> and </w:t>
      </w:r>
      <w:proofErr w:type="spellStart"/>
      <w:r w:rsidRPr="00A95C26">
        <w:t>externalities</w:t>
      </w:r>
      <w:proofErr w:type="spellEnd"/>
      <w:r w:rsidRPr="00A95C26">
        <w:t xml:space="preserve"> </w:t>
      </w:r>
      <w:proofErr w:type="spellStart"/>
      <w:r w:rsidRPr="00A95C26">
        <w:t>from</w:t>
      </w:r>
      <w:proofErr w:type="spellEnd"/>
      <w:r w:rsidRPr="00A95C26">
        <w:t xml:space="preserve"> </w:t>
      </w:r>
      <w:proofErr w:type="spellStart"/>
      <w:r w:rsidRPr="00A95C26">
        <w:t>capital</w:t>
      </w:r>
      <w:proofErr w:type="spellEnd"/>
      <w:r w:rsidRPr="00A95C26">
        <w:t xml:space="preserve"> </w:t>
      </w:r>
      <w:proofErr w:type="spellStart"/>
      <w:r w:rsidRPr="00A95C26">
        <w:t>controls</w:t>
      </w:r>
      <w:proofErr w:type="spellEnd"/>
      <w:r w:rsidRPr="00A95C26">
        <w:t xml:space="preserve">. </w:t>
      </w:r>
      <w:proofErr w:type="spellStart"/>
      <w:r w:rsidRPr="00A95C26">
        <w:t>Journal</w:t>
      </w:r>
      <w:proofErr w:type="spellEnd"/>
      <w:r w:rsidRPr="00A95C26">
        <w:t xml:space="preserve"> of International </w:t>
      </w:r>
      <w:proofErr w:type="spellStart"/>
      <w:r w:rsidRPr="00A95C26">
        <w:t>Economics</w:t>
      </w:r>
      <w:proofErr w:type="spellEnd"/>
      <w:r w:rsidRPr="00A95C26">
        <w:t>, 2016, vol. 99, pp. 85–104</w:t>
      </w:r>
    </w:p>
    <w:p w14:paraId="70AD15B3" w14:textId="6DCBD2EA" w:rsidR="00631089" w:rsidRPr="00A95C26" w:rsidRDefault="00631089" w:rsidP="00641F06">
      <w:pPr>
        <w:spacing w:before="100" w:beforeAutospacing="1" w:line="360" w:lineRule="auto"/>
        <w:jc w:val="both"/>
      </w:pPr>
      <w:proofErr w:type="spellStart"/>
      <w:r w:rsidRPr="00A95C26">
        <w:t>Economic</w:t>
      </w:r>
      <w:proofErr w:type="spellEnd"/>
      <w:r w:rsidRPr="00A95C26">
        <w:t xml:space="preserve"> and </w:t>
      </w:r>
      <w:proofErr w:type="spellStart"/>
      <w:r w:rsidRPr="00A95C26">
        <w:t>Social</w:t>
      </w:r>
      <w:proofErr w:type="spellEnd"/>
      <w:r w:rsidRPr="00A95C26">
        <w:t xml:space="preserve"> </w:t>
      </w:r>
      <w:proofErr w:type="spellStart"/>
      <w:r w:rsidRPr="00A95C26">
        <w:t>Survey</w:t>
      </w:r>
      <w:proofErr w:type="spellEnd"/>
      <w:r w:rsidRPr="00A95C26">
        <w:t xml:space="preserve"> </w:t>
      </w:r>
      <w:proofErr w:type="spellStart"/>
      <w:r w:rsidRPr="00A95C26">
        <w:t>of</w:t>
      </w:r>
      <w:proofErr w:type="spellEnd"/>
      <w:r w:rsidRPr="00A95C26">
        <w:t xml:space="preserve"> </w:t>
      </w:r>
      <w:proofErr w:type="spellStart"/>
      <w:r w:rsidRPr="00A95C26">
        <w:t>Asia</w:t>
      </w:r>
      <w:proofErr w:type="spellEnd"/>
      <w:r w:rsidRPr="00A95C26">
        <w:t xml:space="preserve"> and </w:t>
      </w:r>
      <w:proofErr w:type="spellStart"/>
      <w:r w:rsidRPr="00A95C26">
        <w:t>the</w:t>
      </w:r>
      <w:proofErr w:type="spellEnd"/>
      <w:r w:rsidRPr="00A95C26">
        <w:t xml:space="preserve"> </w:t>
      </w:r>
      <w:proofErr w:type="spellStart"/>
      <w:r w:rsidRPr="00A95C26">
        <w:t>Pacific</w:t>
      </w:r>
      <w:proofErr w:type="spellEnd"/>
      <w:r w:rsidRPr="00A95C26">
        <w:t xml:space="preserve"> 2015. UNESCAP. Bangkok, 2015.</w:t>
      </w:r>
    </w:p>
    <w:p w14:paraId="3F674315" w14:textId="712511AA" w:rsidR="00631089" w:rsidRPr="00A95C26" w:rsidRDefault="00631089" w:rsidP="00641F06">
      <w:pPr>
        <w:spacing w:before="100" w:beforeAutospacing="1" w:line="360" w:lineRule="auto"/>
        <w:jc w:val="both"/>
      </w:pPr>
      <w:proofErr w:type="spellStart"/>
      <w:r w:rsidRPr="00A95C26">
        <w:lastRenderedPageBreak/>
        <w:t>Annual</w:t>
      </w:r>
      <w:proofErr w:type="spellEnd"/>
      <w:r w:rsidRPr="00A95C26">
        <w:t xml:space="preserve"> Report on Exchange </w:t>
      </w:r>
      <w:proofErr w:type="spellStart"/>
      <w:r w:rsidRPr="00A95C26">
        <w:t>Arrangements</w:t>
      </w:r>
      <w:proofErr w:type="spellEnd"/>
      <w:r w:rsidRPr="00A95C26">
        <w:t xml:space="preserve"> and Exchange </w:t>
      </w:r>
      <w:proofErr w:type="spellStart"/>
      <w:r w:rsidRPr="00A95C26">
        <w:t>Restrictions</w:t>
      </w:r>
      <w:proofErr w:type="spellEnd"/>
      <w:r w:rsidRPr="00A95C26">
        <w:t xml:space="preserve"> 2014. IMF. Washington D.C., 2014. Pp. 5–6.</w:t>
      </w:r>
    </w:p>
    <w:p w14:paraId="769E4099" w14:textId="77777777" w:rsidR="00631089" w:rsidRPr="00A95C26" w:rsidRDefault="00631089" w:rsidP="00641F06">
      <w:pPr>
        <w:spacing w:before="100" w:beforeAutospacing="1" w:line="360" w:lineRule="auto"/>
        <w:jc w:val="both"/>
      </w:pPr>
      <w:r w:rsidRPr="00A95C26">
        <w:t xml:space="preserve">IMF. Balance </w:t>
      </w:r>
      <w:proofErr w:type="spellStart"/>
      <w:r w:rsidRPr="00A95C26">
        <w:t>of</w:t>
      </w:r>
      <w:proofErr w:type="spellEnd"/>
      <w:r w:rsidRPr="00A95C26">
        <w:t xml:space="preserve"> </w:t>
      </w:r>
      <w:proofErr w:type="spellStart"/>
      <w:r w:rsidRPr="00A95C26">
        <w:t>Payment</w:t>
      </w:r>
      <w:proofErr w:type="spellEnd"/>
      <w:r w:rsidRPr="00A95C26">
        <w:t xml:space="preserve"> </w:t>
      </w:r>
      <w:proofErr w:type="spellStart"/>
      <w:r w:rsidRPr="00A95C26">
        <w:t>Statistics</w:t>
      </w:r>
      <w:proofErr w:type="spellEnd"/>
      <w:r w:rsidRPr="00A95C26">
        <w:t>. BOP and IIP Data by Country. 2015.</w:t>
      </w:r>
    </w:p>
    <w:p w14:paraId="458E4C5E" w14:textId="1356739E" w:rsidR="00631089" w:rsidRPr="00A95C26" w:rsidRDefault="00631089" w:rsidP="00641F06">
      <w:pPr>
        <w:spacing w:before="100" w:beforeAutospacing="1" w:line="360" w:lineRule="auto"/>
        <w:jc w:val="both"/>
      </w:pPr>
      <w:proofErr w:type="spellStart"/>
      <w:r w:rsidRPr="00A95C26">
        <w:t>Adjusting</w:t>
      </w:r>
      <w:proofErr w:type="spellEnd"/>
      <w:r w:rsidRPr="00A95C26">
        <w:t xml:space="preserve"> to a </w:t>
      </w:r>
      <w:proofErr w:type="spellStart"/>
      <w:r w:rsidRPr="00A95C26">
        <w:t>Changing</w:t>
      </w:r>
      <w:proofErr w:type="spellEnd"/>
      <w:r w:rsidRPr="00A95C26">
        <w:t xml:space="preserve"> </w:t>
      </w:r>
      <w:proofErr w:type="spellStart"/>
      <w:r w:rsidRPr="00A95C26">
        <w:t>World</w:t>
      </w:r>
      <w:proofErr w:type="spellEnd"/>
      <w:r w:rsidRPr="00A95C26">
        <w:t xml:space="preserve">. East </w:t>
      </w:r>
      <w:proofErr w:type="spellStart"/>
      <w:r w:rsidRPr="00A95C26">
        <w:t>Asia</w:t>
      </w:r>
      <w:proofErr w:type="spellEnd"/>
      <w:r w:rsidRPr="00A95C26">
        <w:t xml:space="preserve"> and </w:t>
      </w:r>
      <w:proofErr w:type="spellStart"/>
      <w:r w:rsidRPr="00A95C26">
        <w:t>Pacific</w:t>
      </w:r>
      <w:proofErr w:type="spellEnd"/>
      <w:r w:rsidRPr="00A95C26">
        <w:t xml:space="preserve"> </w:t>
      </w:r>
      <w:proofErr w:type="spellStart"/>
      <w:r w:rsidRPr="00A95C26">
        <w:t>Economic</w:t>
      </w:r>
      <w:proofErr w:type="spellEnd"/>
      <w:r w:rsidRPr="00A95C26">
        <w:t xml:space="preserve"> Update. </w:t>
      </w:r>
      <w:proofErr w:type="spellStart"/>
      <w:r w:rsidRPr="00A95C26">
        <w:t>World</w:t>
      </w:r>
      <w:proofErr w:type="spellEnd"/>
      <w:r w:rsidRPr="00A95C26">
        <w:t xml:space="preserve"> Bank. </w:t>
      </w:r>
      <w:proofErr w:type="spellStart"/>
      <w:r w:rsidRPr="00A95C26">
        <w:t>April</w:t>
      </w:r>
      <w:proofErr w:type="spellEnd"/>
      <w:r w:rsidRPr="00A95C26">
        <w:t xml:space="preserve"> 2015. Pp. 10–11.</w:t>
      </w:r>
    </w:p>
    <w:p w14:paraId="4DBE83BB" w14:textId="0256BBAC" w:rsidR="006F238B" w:rsidRPr="00A95C26" w:rsidRDefault="00631089" w:rsidP="00641F06">
      <w:pPr>
        <w:spacing w:before="100" w:beforeAutospacing="1" w:line="360" w:lineRule="auto"/>
        <w:jc w:val="both"/>
      </w:pPr>
      <w:proofErr w:type="spellStart"/>
      <w:r w:rsidRPr="00A95C26">
        <w:t>Economic</w:t>
      </w:r>
      <w:proofErr w:type="spellEnd"/>
      <w:r w:rsidRPr="00A95C26">
        <w:t xml:space="preserve"> and </w:t>
      </w:r>
      <w:proofErr w:type="spellStart"/>
      <w:r w:rsidRPr="00A95C26">
        <w:t>Social</w:t>
      </w:r>
      <w:proofErr w:type="spellEnd"/>
      <w:r w:rsidRPr="00A95C26">
        <w:t xml:space="preserve"> </w:t>
      </w:r>
      <w:proofErr w:type="spellStart"/>
      <w:r w:rsidRPr="00A95C26">
        <w:t>Survey</w:t>
      </w:r>
      <w:proofErr w:type="spellEnd"/>
      <w:r w:rsidRPr="00A95C26">
        <w:t xml:space="preserve"> </w:t>
      </w:r>
      <w:proofErr w:type="spellStart"/>
      <w:r w:rsidRPr="00A95C26">
        <w:t>of</w:t>
      </w:r>
      <w:proofErr w:type="spellEnd"/>
      <w:r w:rsidRPr="00A95C26">
        <w:t xml:space="preserve"> </w:t>
      </w:r>
      <w:proofErr w:type="spellStart"/>
      <w:r w:rsidRPr="00A95C26">
        <w:t>Asia</w:t>
      </w:r>
      <w:proofErr w:type="spellEnd"/>
      <w:r w:rsidRPr="00A95C26">
        <w:t xml:space="preserve"> and </w:t>
      </w:r>
      <w:proofErr w:type="spellStart"/>
      <w:r w:rsidRPr="00A95C26">
        <w:t>the</w:t>
      </w:r>
      <w:proofErr w:type="spellEnd"/>
      <w:r w:rsidRPr="00A95C26">
        <w:t xml:space="preserve"> </w:t>
      </w:r>
      <w:proofErr w:type="spellStart"/>
      <w:r w:rsidRPr="00A95C26">
        <w:t>Pacific</w:t>
      </w:r>
      <w:proofErr w:type="spellEnd"/>
      <w:r w:rsidRPr="00A95C26">
        <w:t xml:space="preserve"> 2015. Op. cit. P. 52.</w:t>
      </w:r>
    </w:p>
    <w:p w14:paraId="4D3FDD6D" w14:textId="77777777" w:rsidR="00B55721" w:rsidRPr="00A95C26" w:rsidRDefault="00B55721" w:rsidP="00641F06">
      <w:pPr>
        <w:spacing w:before="100" w:beforeAutospacing="1" w:line="360" w:lineRule="auto"/>
        <w:jc w:val="both"/>
      </w:pPr>
      <w:r w:rsidRPr="00A95C26">
        <w:t xml:space="preserve">IMF </w:t>
      </w:r>
      <w:proofErr w:type="spellStart"/>
      <w:r w:rsidRPr="00A95C26">
        <w:t>Working</w:t>
      </w:r>
      <w:proofErr w:type="spellEnd"/>
      <w:r w:rsidRPr="00A95C26">
        <w:t xml:space="preserve"> </w:t>
      </w:r>
      <w:proofErr w:type="spellStart"/>
      <w:r w:rsidRPr="00A95C26">
        <w:t>Papers</w:t>
      </w:r>
      <w:proofErr w:type="spellEnd"/>
      <w:r w:rsidRPr="00A95C26">
        <w:t xml:space="preserve"> </w:t>
      </w:r>
      <w:proofErr w:type="spellStart"/>
      <w:r w:rsidRPr="00A95C26">
        <w:t>Volume</w:t>
      </w:r>
      <w:proofErr w:type="spellEnd"/>
      <w:r w:rsidRPr="00A95C26">
        <w:t xml:space="preserve"> 1999 </w:t>
      </w:r>
      <w:proofErr w:type="spellStart"/>
      <w:r w:rsidRPr="00A95C26">
        <w:t>Issue</w:t>
      </w:r>
      <w:proofErr w:type="spellEnd"/>
      <w:r w:rsidRPr="00A95C26">
        <w:t xml:space="preserve"> 064: </w:t>
      </w:r>
      <w:proofErr w:type="spellStart"/>
      <w:r w:rsidRPr="00A95C26">
        <w:t>Survey</w:t>
      </w:r>
      <w:proofErr w:type="spellEnd"/>
      <w:r w:rsidRPr="00A95C26">
        <w:t xml:space="preserve"> </w:t>
      </w:r>
      <w:proofErr w:type="spellStart"/>
      <w:r w:rsidRPr="00A95C26">
        <w:t>of</w:t>
      </w:r>
      <w:proofErr w:type="spellEnd"/>
      <w:r w:rsidRPr="00A95C26">
        <w:t xml:space="preserve"> </w:t>
      </w:r>
      <w:proofErr w:type="spellStart"/>
      <w:r w:rsidRPr="00A95C26">
        <w:t>Literature</w:t>
      </w:r>
      <w:proofErr w:type="spellEnd"/>
      <w:r w:rsidRPr="00A95C26">
        <w:t xml:space="preserve"> on </w:t>
      </w:r>
      <w:proofErr w:type="spellStart"/>
      <w:r w:rsidRPr="00A95C26">
        <w:t>Demand</w:t>
      </w:r>
      <w:proofErr w:type="spellEnd"/>
      <w:r w:rsidRPr="00A95C26">
        <w:t xml:space="preserve"> </w:t>
      </w:r>
      <w:proofErr w:type="spellStart"/>
      <w:r w:rsidRPr="00A95C26">
        <w:t>for</w:t>
      </w:r>
      <w:proofErr w:type="spellEnd"/>
      <w:r w:rsidRPr="00A95C26">
        <w:t xml:space="preserve"> Money: </w:t>
      </w:r>
      <w:proofErr w:type="spellStart"/>
      <w:r w:rsidRPr="00A95C26">
        <w:t>Theoretical</w:t>
      </w:r>
      <w:proofErr w:type="spellEnd"/>
      <w:r w:rsidRPr="00A95C26">
        <w:t xml:space="preserve"> and </w:t>
      </w:r>
      <w:proofErr w:type="spellStart"/>
      <w:r w:rsidRPr="00A95C26">
        <w:t>Empirical</w:t>
      </w:r>
      <w:proofErr w:type="spellEnd"/>
      <w:r w:rsidRPr="00A95C26">
        <w:t xml:space="preserve"> </w:t>
      </w:r>
      <w:proofErr w:type="spellStart"/>
      <w:r w:rsidRPr="00A95C26">
        <w:t>Work</w:t>
      </w:r>
      <w:proofErr w:type="spellEnd"/>
      <w:r w:rsidRPr="00A95C26">
        <w:t xml:space="preserve"> </w:t>
      </w:r>
      <w:proofErr w:type="spellStart"/>
      <w:r w:rsidRPr="00A95C26">
        <w:t>with</w:t>
      </w:r>
      <w:proofErr w:type="spellEnd"/>
      <w:r w:rsidRPr="00A95C26">
        <w:t xml:space="preserve"> </w:t>
      </w:r>
      <w:proofErr w:type="spellStart"/>
      <w:r w:rsidRPr="00A95C26">
        <w:t>Special</w:t>
      </w:r>
      <w:proofErr w:type="spellEnd"/>
      <w:r w:rsidRPr="00A95C26">
        <w:t xml:space="preserve"> Reference to </w:t>
      </w:r>
      <w:proofErr w:type="spellStart"/>
      <w:r w:rsidRPr="00A95C26">
        <w:t>Error-Correction</w:t>
      </w:r>
      <w:proofErr w:type="spellEnd"/>
      <w:r w:rsidRPr="00A95C26">
        <w:t xml:space="preserve"> </w:t>
      </w:r>
      <w:proofErr w:type="spellStart"/>
      <w:r w:rsidRPr="00A95C26">
        <w:t>Models</w:t>
      </w:r>
      <w:proofErr w:type="spellEnd"/>
      <w:r w:rsidRPr="00A95C26">
        <w:t xml:space="preserve"> (1999)</w:t>
      </w:r>
    </w:p>
    <w:p w14:paraId="261E7657" w14:textId="0AD45030" w:rsidR="00B55721" w:rsidRPr="00A95C26" w:rsidRDefault="00B55721" w:rsidP="00641F06">
      <w:pPr>
        <w:spacing w:before="100" w:beforeAutospacing="1" w:line="360" w:lineRule="auto"/>
        <w:jc w:val="both"/>
      </w:pPr>
      <w:proofErr w:type="spellStart"/>
      <w:r w:rsidRPr="00A95C26">
        <w:t>Ssekuma</w:t>
      </w:r>
      <w:proofErr w:type="spellEnd"/>
      <w:r w:rsidRPr="00A95C26">
        <w:t xml:space="preserve"> R.A Study </w:t>
      </w:r>
      <w:proofErr w:type="spellStart"/>
      <w:r w:rsidRPr="00A95C26">
        <w:t>of</w:t>
      </w:r>
      <w:proofErr w:type="spellEnd"/>
      <w:r w:rsidRPr="00A95C26">
        <w:t xml:space="preserve"> </w:t>
      </w:r>
      <w:proofErr w:type="spellStart"/>
      <w:r w:rsidRPr="00A95C26">
        <w:t>Cointegration</w:t>
      </w:r>
      <w:proofErr w:type="spellEnd"/>
      <w:r w:rsidRPr="00A95C26">
        <w:t xml:space="preserve"> </w:t>
      </w:r>
      <w:proofErr w:type="spellStart"/>
      <w:r w:rsidRPr="00A95C26">
        <w:t>Models</w:t>
      </w:r>
      <w:proofErr w:type="spellEnd"/>
      <w:r w:rsidRPr="00A95C26">
        <w:t xml:space="preserve"> </w:t>
      </w:r>
      <w:proofErr w:type="spellStart"/>
      <w:r w:rsidRPr="00A95C26">
        <w:t>with</w:t>
      </w:r>
      <w:proofErr w:type="spellEnd"/>
      <w:r w:rsidRPr="00A95C26">
        <w:t xml:space="preserve"> </w:t>
      </w:r>
      <w:proofErr w:type="spellStart"/>
      <w:r w:rsidRPr="00A95C26">
        <w:t>Application</w:t>
      </w:r>
      <w:proofErr w:type="spellEnd"/>
      <w:r w:rsidRPr="00A95C26">
        <w:t xml:space="preserve">. </w:t>
      </w:r>
      <w:proofErr w:type="spellStart"/>
      <w:r w:rsidRPr="00A95C26">
        <w:t>Unoversity</w:t>
      </w:r>
      <w:proofErr w:type="spellEnd"/>
      <w:r w:rsidRPr="00A95C26">
        <w:t xml:space="preserve"> </w:t>
      </w:r>
      <w:proofErr w:type="spellStart"/>
      <w:r w:rsidRPr="00A95C26">
        <w:t>of</w:t>
      </w:r>
      <w:proofErr w:type="spellEnd"/>
      <w:r w:rsidRPr="00A95C26">
        <w:t xml:space="preserve"> </w:t>
      </w:r>
      <w:proofErr w:type="spellStart"/>
      <w:r w:rsidRPr="00A95C26">
        <w:t>South</w:t>
      </w:r>
      <w:proofErr w:type="spellEnd"/>
      <w:r w:rsidRPr="00A95C26">
        <w:t xml:space="preserve"> Africa,2011.</w:t>
      </w:r>
    </w:p>
    <w:p w14:paraId="6B1A2BBC" w14:textId="627CAF9C" w:rsidR="006F238B" w:rsidRPr="00A95C26" w:rsidRDefault="00B55721" w:rsidP="00641F06">
      <w:pPr>
        <w:spacing w:before="100" w:beforeAutospacing="1" w:line="360" w:lineRule="auto"/>
        <w:jc w:val="both"/>
      </w:pPr>
      <w:proofErr w:type="spellStart"/>
      <w:r w:rsidRPr="00A95C26">
        <w:t>MacKinnon</w:t>
      </w:r>
      <w:proofErr w:type="spellEnd"/>
      <w:r w:rsidRPr="00A95C26">
        <w:t>, James G. “</w:t>
      </w:r>
      <w:proofErr w:type="spellStart"/>
      <w:r w:rsidRPr="00A95C26">
        <w:t>Numerical</w:t>
      </w:r>
      <w:proofErr w:type="spellEnd"/>
      <w:r w:rsidRPr="00A95C26">
        <w:t xml:space="preserve"> </w:t>
      </w:r>
      <w:proofErr w:type="spellStart"/>
      <w:r w:rsidRPr="00A95C26">
        <w:t>Distribution</w:t>
      </w:r>
      <w:proofErr w:type="spellEnd"/>
      <w:r w:rsidRPr="00A95C26">
        <w:t xml:space="preserve"> </w:t>
      </w:r>
      <w:proofErr w:type="spellStart"/>
      <w:r w:rsidRPr="00A95C26">
        <w:t>Functions</w:t>
      </w:r>
      <w:proofErr w:type="spellEnd"/>
      <w:r w:rsidRPr="00A95C26">
        <w:t xml:space="preserve"> </w:t>
      </w:r>
      <w:proofErr w:type="spellStart"/>
      <w:r w:rsidRPr="00A95C26">
        <w:t>for</w:t>
      </w:r>
      <w:proofErr w:type="spellEnd"/>
      <w:r w:rsidRPr="00A95C26">
        <w:t xml:space="preserve"> Unit </w:t>
      </w:r>
      <w:proofErr w:type="spellStart"/>
      <w:r w:rsidRPr="00A95C26">
        <w:t>Root</w:t>
      </w:r>
      <w:proofErr w:type="spellEnd"/>
      <w:r w:rsidRPr="00A95C26">
        <w:t xml:space="preserve"> and </w:t>
      </w:r>
      <w:proofErr w:type="spellStart"/>
      <w:r w:rsidRPr="00A95C26">
        <w:t>Cointegration</w:t>
      </w:r>
      <w:proofErr w:type="spellEnd"/>
      <w:r w:rsidRPr="00A95C26">
        <w:t xml:space="preserve"> </w:t>
      </w:r>
      <w:proofErr w:type="spellStart"/>
      <w:r w:rsidRPr="00A95C26">
        <w:t>Tests</w:t>
      </w:r>
      <w:proofErr w:type="spellEnd"/>
      <w:r w:rsidRPr="00A95C26">
        <w:t xml:space="preserve">.” </w:t>
      </w:r>
      <w:proofErr w:type="spellStart"/>
      <w:r w:rsidRPr="00A95C26">
        <w:t>Journal</w:t>
      </w:r>
      <w:proofErr w:type="spellEnd"/>
      <w:r w:rsidRPr="00A95C26">
        <w:t xml:space="preserve"> </w:t>
      </w:r>
      <w:proofErr w:type="spellStart"/>
      <w:r w:rsidRPr="00A95C26">
        <w:t>of</w:t>
      </w:r>
      <w:proofErr w:type="spellEnd"/>
      <w:r w:rsidRPr="00A95C26">
        <w:t xml:space="preserve"> </w:t>
      </w:r>
      <w:proofErr w:type="spellStart"/>
      <w:r w:rsidRPr="00A95C26">
        <w:t>Applied</w:t>
      </w:r>
      <w:proofErr w:type="spellEnd"/>
      <w:r w:rsidRPr="00A95C26">
        <w:t xml:space="preserve"> </w:t>
      </w:r>
      <w:proofErr w:type="spellStart"/>
      <w:r w:rsidRPr="00A95C26">
        <w:t>Econometrics</w:t>
      </w:r>
      <w:proofErr w:type="spellEnd"/>
      <w:r w:rsidRPr="00A95C26">
        <w:t xml:space="preserve"> 11, no. 6 (1996): 601–18. </w:t>
      </w:r>
      <w:hyperlink r:id="rId27" w:history="1">
        <w:r w:rsidRPr="00A95C26">
          <w:rPr>
            <w:rStyle w:val="Hypertextovodkaz"/>
          </w:rPr>
          <w:t>http://www.jstor.org/stable/22851</w:t>
        </w:r>
      </w:hyperlink>
    </w:p>
    <w:p w14:paraId="0A7685C4" w14:textId="77777777" w:rsidR="00B55721" w:rsidRPr="00A95C26" w:rsidRDefault="00B55721" w:rsidP="00641F06">
      <w:pPr>
        <w:spacing w:before="100" w:beforeAutospacing="1" w:line="360" w:lineRule="auto"/>
        <w:jc w:val="both"/>
      </w:pPr>
      <w:r w:rsidRPr="00A95C26">
        <w:t xml:space="preserve"> </w:t>
      </w:r>
      <w:proofErr w:type="spellStart"/>
      <w:r w:rsidRPr="00A95C26">
        <w:t>Ray</w:t>
      </w:r>
      <w:proofErr w:type="spellEnd"/>
      <w:r w:rsidRPr="00A95C26">
        <w:t xml:space="preserve">, S. (2012): </w:t>
      </w:r>
      <w:proofErr w:type="spellStart"/>
      <w:r w:rsidRPr="00A95C26">
        <w:t>Empirical</w:t>
      </w:r>
      <w:proofErr w:type="spellEnd"/>
      <w:r w:rsidRPr="00A95C26">
        <w:t xml:space="preserve"> Testing </w:t>
      </w:r>
      <w:proofErr w:type="spellStart"/>
      <w:r w:rsidRPr="00A95C26">
        <w:t>of</w:t>
      </w:r>
      <w:proofErr w:type="spellEnd"/>
      <w:r w:rsidRPr="00A95C26">
        <w:t xml:space="preserve"> International </w:t>
      </w:r>
      <w:proofErr w:type="spellStart"/>
      <w:r w:rsidRPr="00A95C26">
        <w:t>Fisher</w:t>
      </w:r>
      <w:proofErr w:type="spellEnd"/>
      <w:r w:rsidRPr="00A95C26">
        <w:t xml:space="preserve"> </w:t>
      </w:r>
      <w:proofErr w:type="spellStart"/>
      <w:r w:rsidRPr="00A95C26">
        <w:t>Effect</w:t>
      </w:r>
      <w:proofErr w:type="spellEnd"/>
      <w:r w:rsidRPr="00A95C26">
        <w:t xml:space="preserve"> in United </w:t>
      </w:r>
      <w:proofErr w:type="spellStart"/>
      <w:r w:rsidRPr="00A95C26">
        <w:t>States</w:t>
      </w:r>
      <w:proofErr w:type="spellEnd"/>
      <w:r w:rsidRPr="00A95C26">
        <w:t xml:space="preserve"> and </w:t>
      </w:r>
      <w:proofErr w:type="spellStart"/>
      <w:r w:rsidRPr="00A95C26">
        <w:t>Selected</w:t>
      </w:r>
      <w:proofErr w:type="spellEnd"/>
      <w:r w:rsidRPr="00A95C26">
        <w:t xml:space="preserve"> </w:t>
      </w:r>
      <w:proofErr w:type="spellStart"/>
      <w:r w:rsidRPr="00A95C26">
        <w:t>AsianEconomies</w:t>
      </w:r>
      <w:proofErr w:type="spellEnd"/>
      <w:r w:rsidRPr="00A95C26">
        <w:t xml:space="preserve">. </w:t>
      </w:r>
      <w:proofErr w:type="spellStart"/>
      <w:r w:rsidRPr="00A95C26">
        <w:t>Advances</w:t>
      </w:r>
      <w:proofErr w:type="spellEnd"/>
      <w:r w:rsidRPr="00A95C26">
        <w:t xml:space="preserve"> in </w:t>
      </w:r>
      <w:proofErr w:type="spellStart"/>
      <w:r w:rsidRPr="00A95C26">
        <w:t>Information</w:t>
      </w:r>
      <w:proofErr w:type="spellEnd"/>
      <w:r w:rsidRPr="00A95C26">
        <w:t xml:space="preserve"> Technology and Management 2(1): 216–228.</w:t>
      </w:r>
    </w:p>
    <w:p w14:paraId="4DE07F84" w14:textId="5E916257" w:rsidR="00B55721" w:rsidRPr="00A95C26" w:rsidRDefault="00B55721" w:rsidP="00641F06">
      <w:pPr>
        <w:spacing w:before="100" w:beforeAutospacing="1" w:line="360" w:lineRule="auto"/>
        <w:jc w:val="both"/>
      </w:pPr>
      <w:r w:rsidRPr="00A95C26">
        <w:t xml:space="preserve"> C. W. J. </w:t>
      </w:r>
      <w:proofErr w:type="spellStart"/>
      <w:r w:rsidRPr="00A95C26">
        <w:t>Granger</w:t>
      </w:r>
      <w:proofErr w:type="spellEnd"/>
      <w:r w:rsidRPr="00A95C26">
        <w:t xml:space="preserve"> and P. </w:t>
      </w:r>
      <w:proofErr w:type="spellStart"/>
      <w:r w:rsidRPr="00A95C26">
        <w:t>Newbold</w:t>
      </w:r>
      <w:proofErr w:type="spellEnd"/>
      <w:r w:rsidRPr="00A95C26">
        <w:t>, “</w:t>
      </w:r>
      <w:proofErr w:type="spellStart"/>
      <w:r w:rsidRPr="00A95C26">
        <w:t>Spurious</w:t>
      </w:r>
      <w:proofErr w:type="spellEnd"/>
      <w:r w:rsidRPr="00A95C26">
        <w:t xml:space="preserve"> </w:t>
      </w:r>
      <w:proofErr w:type="spellStart"/>
      <w:r w:rsidRPr="00A95C26">
        <w:t>regressions</w:t>
      </w:r>
      <w:proofErr w:type="spellEnd"/>
      <w:r w:rsidRPr="00A95C26">
        <w:t xml:space="preserve"> in </w:t>
      </w:r>
      <w:proofErr w:type="spellStart"/>
      <w:r w:rsidRPr="00A95C26">
        <w:t>econometrics</w:t>
      </w:r>
      <w:proofErr w:type="spellEnd"/>
      <w:r w:rsidRPr="00A95C26">
        <w:t xml:space="preserve">,” </w:t>
      </w:r>
      <w:proofErr w:type="spellStart"/>
      <w:r w:rsidRPr="00A95C26">
        <w:t>Journal</w:t>
      </w:r>
      <w:proofErr w:type="spellEnd"/>
      <w:r w:rsidRPr="00A95C26">
        <w:t xml:space="preserve"> </w:t>
      </w:r>
      <w:proofErr w:type="spellStart"/>
      <w:r w:rsidRPr="00A95C26">
        <w:t>of</w:t>
      </w:r>
      <w:proofErr w:type="spellEnd"/>
      <w:r w:rsidRPr="00A95C26">
        <w:t xml:space="preserve"> </w:t>
      </w:r>
      <w:proofErr w:type="spellStart"/>
      <w:proofErr w:type="gramStart"/>
      <w:r w:rsidRPr="00A95C26">
        <w:t>Econometrics,vol</w:t>
      </w:r>
      <w:proofErr w:type="spellEnd"/>
      <w:r w:rsidRPr="00A95C26">
        <w:t>.</w:t>
      </w:r>
      <w:proofErr w:type="gramEnd"/>
      <w:r w:rsidRPr="00A95C26">
        <w:t xml:space="preserve"> 2, no. 2, pp. 111–120, 1974.</w:t>
      </w:r>
    </w:p>
    <w:p w14:paraId="2B00D229" w14:textId="54925C2E" w:rsidR="00B55721" w:rsidRPr="00A95C26" w:rsidRDefault="00B55721" w:rsidP="00641F06">
      <w:pPr>
        <w:spacing w:before="100" w:beforeAutospacing="1" w:line="360" w:lineRule="auto"/>
        <w:jc w:val="both"/>
      </w:pPr>
      <w:r w:rsidRPr="00A95C26">
        <w:t xml:space="preserve"> </w:t>
      </w:r>
      <w:proofErr w:type="spellStart"/>
      <w:r w:rsidRPr="00A95C26">
        <w:t>Fisher</w:t>
      </w:r>
      <w:proofErr w:type="spellEnd"/>
      <w:r w:rsidRPr="00A95C26">
        <w:t xml:space="preserve"> </w:t>
      </w:r>
      <w:proofErr w:type="gramStart"/>
      <w:r w:rsidRPr="00A95C26">
        <w:t>I.,</w:t>
      </w:r>
      <w:proofErr w:type="spellStart"/>
      <w:r w:rsidRPr="00A95C26">
        <w:t>The</w:t>
      </w:r>
      <w:proofErr w:type="spellEnd"/>
      <w:proofErr w:type="gramEnd"/>
      <w:r w:rsidRPr="00A95C26">
        <w:t xml:space="preserve"> </w:t>
      </w:r>
      <w:proofErr w:type="spellStart"/>
      <w:r w:rsidRPr="00A95C26">
        <w:t>Theory</w:t>
      </w:r>
      <w:proofErr w:type="spellEnd"/>
      <w:r w:rsidRPr="00A95C26">
        <w:t xml:space="preserve"> </w:t>
      </w:r>
      <w:proofErr w:type="spellStart"/>
      <w:r w:rsidRPr="00A95C26">
        <w:t>of</w:t>
      </w:r>
      <w:proofErr w:type="spellEnd"/>
      <w:r w:rsidRPr="00A95C26">
        <w:t xml:space="preserve"> </w:t>
      </w:r>
      <w:proofErr w:type="spellStart"/>
      <w:r w:rsidRPr="00A95C26">
        <w:t>Interest</w:t>
      </w:r>
      <w:proofErr w:type="spellEnd"/>
      <w:r w:rsidRPr="00A95C26">
        <w:t xml:space="preserve"> – </w:t>
      </w:r>
      <w:proofErr w:type="spellStart"/>
      <w:r w:rsidRPr="00A95C26">
        <w:t>Econlib</w:t>
      </w:r>
      <w:proofErr w:type="spellEnd"/>
      <w:r w:rsidRPr="00A95C26">
        <w:t xml:space="preserve">, New York, </w:t>
      </w:r>
      <w:proofErr w:type="spellStart"/>
      <w:r w:rsidRPr="00A95C26">
        <w:t>The</w:t>
      </w:r>
      <w:proofErr w:type="spellEnd"/>
      <w:r w:rsidRPr="00A95C26">
        <w:t xml:space="preserve"> </w:t>
      </w:r>
      <w:proofErr w:type="spellStart"/>
      <w:r w:rsidRPr="00A95C26">
        <w:t>Macmillan</w:t>
      </w:r>
      <w:proofErr w:type="spellEnd"/>
      <w:r w:rsidRPr="00A95C26">
        <w:t xml:space="preserve"> Co.,1930, </w:t>
      </w:r>
      <w:proofErr w:type="spellStart"/>
      <w:r w:rsidRPr="00A95C26">
        <w:t>Dostupne</w:t>
      </w:r>
      <w:proofErr w:type="spellEnd"/>
      <w:r w:rsidRPr="00A95C26">
        <w:t xml:space="preserve"> z: </w:t>
      </w:r>
      <w:hyperlink r:id="rId28" w:history="1">
        <w:r w:rsidRPr="00A95C26">
          <w:rPr>
            <w:rStyle w:val="Hypertextovodkaz"/>
          </w:rPr>
          <w:t>https://www.econlib.org/library/YPDBooks/Fisher/fshToI.html</w:t>
        </w:r>
      </w:hyperlink>
    </w:p>
    <w:p w14:paraId="6F153405" w14:textId="77777777" w:rsidR="00B55721" w:rsidRPr="00A95C26" w:rsidRDefault="00B55721" w:rsidP="00641F06">
      <w:pPr>
        <w:spacing w:before="100" w:beforeAutospacing="1" w:line="360" w:lineRule="auto"/>
        <w:jc w:val="both"/>
      </w:pPr>
      <w:r w:rsidRPr="00A95C26">
        <w:t xml:space="preserve">  </w:t>
      </w:r>
      <w:proofErr w:type="spellStart"/>
      <w:r w:rsidRPr="00A95C26">
        <w:t>Carpenter</w:t>
      </w:r>
      <w:proofErr w:type="spellEnd"/>
      <w:r w:rsidRPr="00A95C26">
        <w:t xml:space="preserve"> J.N., </w:t>
      </w:r>
      <w:proofErr w:type="spellStart"/>
      <w:r w:rsidRPr="00A95C26">
        <w:t>Fangzhou</w:t>
      </w:r>
      <w:proofErr w:type="spellEnd"/>
      <w:r w:rsidRPr="00A95C26">
        <w:t xml:space="preserve"> </w:t>
      </w:r>
      <w:proofErr w:type="spellStart"/>
      <w:r w:rsidRPr="00A95C26">
        <w:t>Lu</w:t>
      </w:r>
      <w:proofErr w:type="spellEnd"/>
      <w:r w:rsidRPr="00A95C26">
        <w:t xml:space="preserve">, </w:t>
      </w:r>
      <w:proofErr w:type="spellStart"/>
      <w:r w:rsidRPr="00A95C26">
        <w:t>Whitelaw</w:t>
      </w:r>
      <w:proofErr w:type="spellEnd"/>
      <w:r w:rsidRPr="00A95C26">
        <w:t xml:space="preserve"> R.F. </w:t>
      </w:r>
      <w:proofErr w:type="spellStart"/>
      <w:r w:rsidRPr="00A95C26">
        <w:t>The</w:t>
      </w:r>
      <w:proofErr w:type="spellEnd"/>
      <w:r w:rsidRPr="00A95C26">
        <w:t xml:space="preserve"> Real </w:t>
      </w:r>
      <w:proofErr w:type="spellStart"/>
      <w:r w:rsidRPr="00A95C26">
        <w:t>Value</w:t>
      </w:r>
      <w:proofErr w:type="spellEnd"/>
      <w:r w:rsidRPr="00A95C26">
        <w:t xml:space="preserve"> </w:t>
      </w:r>
      <w:proofErr w:type="spellStart"/>
      <w:r w:rsidRPr="00A95C26">
        <w:t>of</w:t>
      </w:r>
      <w:proofErr w:type="spellEnd"/>
      <w:r w:rsidRPr="00A95C26">
        <w:t xml:space="preserve"> </w:t>
      </w:r>
      <w:proofErr w:type="spellStart"/>
      <w:r w:rsidRPr="00A95C26">
        <w:t>China’s</w:t>
      </w:r>
      <w:proofErr w:type="spellEnd"/>
      <w:r w:rsidRPr="00A95C26">
        <w:t xml:space="preserve"> </w:t>
      </w:r>
      <w:proofErr w:type="spellStart"/>
      <w:r w:rsidRPr="00A95C26">
        <w:t>Stock</w:t>
      </w:r>
      <w:proofErr w:type="spellEnd"/>
      <w:r w:rsidRPr="00A95C26">
        <w:t xml:space="preserve"> Market // NBER </w:t>
      </w:r>
      <w:proofErr w:type="spellStart"/>
      <w:r w:rsidRPr="00A95C26">
        <w:t>Working</w:t>
      </w:r>
      <w:proofErr w:type="spellEnd"/>
      <w:r w:rsidRPr="00A95C26">
        <w:t xml:space="preserve"> </w:t>
      </w:r>
      <w:proofErr w:type="spellStart"/>
      <w:r w:rsidRPr="00A95C26">
        <w:t>Paper</w:t>
      </w:r>
      <w:proofErr w:type="spellEnd"/>
      <w:r w:rsidRPr="00A95C26">
        <w:t xml:space="preserve"> 20957. </w:t>
      </w:r>
      <w:proofErr w:type="spellStart"/>
      <w:r w:rsidRPr="00A95C26">
        <w:t>February</w:t>
      </w:r>
      <w:proofErr w:type="spellEnd"/>
      <w:r w:rsidRPr="00A95C26">
        <w:t xml:space="preserve"> 2015.</w:t>
      </w:r>
    </w:p>
    <w:p w14:paraId="1B7983F4" w14:textId="0AB22C94" w:rsidR="00B55721" w:rsidRPr="00A95C26" w:rsidRDefault="00B55721" w:rsidP="00641F06">
      <w:pPr>
        <w:spacing w:before="100" w:beforeAutospacing="1" w:line="360" w:lineRule="auto"/>
        <w:jc w:val="both"/>
      </w:pPr>
      <w:r w:rsidRPr="00A95C26">
        <w:t xml:space="preserve"> </w:t>
      </w:r>
      <w:proofErr w:type="spellStart"/>
      <w:r w:rsidRPr="00A95C26">
        <w:t>Basel</w:t>
      </w:r>
      <w:proofErr w:type="spellEnd"/>
      <w:r w:rsidRPr="00A95C26">
        <w:t xml:space="preserve"> </w:t>
      </w:r>
      <w:proofErr w:type="spellStart"/>
      <w:proofErr w:type="gramStart"/>
      <w:r w:rsidRPr="00A95C26">
        <w:t>Standards</w:t>
      </w:r>
      <w:proofErr w:type="spellEnd"/>
      <w:r w:rsidRPr="00A95C26">
        <w:t xml:space="preserve"> ,</w:t>
      </w:r>
      <w:proofErr w:type="gramEnd"/>
      <w:r w:rsidRPr="00A95C26">
        <w:t xml:space="preserve"> </w:t>
      </w:r>
      <w:proofErr w:type="spellStart"/>
      <w:r w:rsidRPr="00A95C26">
        <w:t>Dostupne</w:t>
      </w:r>
      <w:proofErr w:type="spellEnd"/>
      <w:r w:rsidRPr="00A95C26">
        <w:t xml:space="preserve"> z:</w:t>
      </w:r>
      <w:r w:rsidR="005C0A72" w:rsidRPr="00A95C26">
        <w:t xml:space="preserve"> </w:t>
      </w:r>
      <w:hyperlink r:id="rId29" w:history="1">
        <w:r w:rsidR="005C0A72" w:rsidRPr="00A95C26">
          <w:rPr>
            <w:rStyle w:val="Hypertextovodkaz"/>
          </w:rPr>
          <w:t>https://www.bis.org/list/bcbs/page_1.htm</w:t>
        </w:r>
      </w:hyperlink>
      <w:r w:rsidR="005C0A72" w:rsidRPr="00A95C26">
        <w:t xml:space="preserve"> </w:t>
      </w:r>
    </w:p>
    <w:p w14:paraId="014CF404" w14:textId="1B302D00" w:rsidR="00B55721" w:rsidRPr="00A95C26" w:rsidRDefault="00B55721" w:rsidP="00641F06">
      <w:pPr>
        <w:spacing w:before="100" w:beforeAutospacing="1" w:line="360" w:lineRule="auto"/>
        <w:jc w:val="both"/>
      </w:pPr>
      <w:r w:rsidRPr="00A95C26">
        <w:t xml:space="preserve"> </w:t>
      </w:r>
      <w:proofErr w:type="spellStart"/>
      <w:r w:rsidRPr="00A95C26">
        <w:t>Regional</w:t>
      </w:r>
      <w:proofErr w:type="spellEnd"/>
      <w:r w:rsidRPr="00A95C26">
        <w:t xml:space="preserve"> </w:t>
      </w:r>
      <w:proofErr w:type="spellStart"/>
      <w:r w:rsidRPr="00A95C26">
        <w:t>Connectivity</w:t>
      </w:r>
      <w:proofErr w:type="spellEnd"/>
      <w:r w:rsidRPr="00A95C26">
        <w:t xml:space="preserve"> </w:t>
      </w:r>
      <w:proofErr w:type="spellStart"/>
      <w:r w:rsidRPr="00A95C26">
        <w:t>for</w:t>
      </w:r>
      <w:proofErr w:type="spellEnd"/>
      <w:r w:rsidRPr="00A95C26">
        <w:t xml:space="preserve"> </w:t>
      </w:r>
      <w:proofErr w:type="spellStart"/>
      <w:r w:rsidRPr="00A95C26">
        <w:t>Shared</w:t>
      </w:r>
      <w:proofErr w:type="spellEnd"/>
      <w:r w:rsidRPr="00A95C26">
        <w:t xml:space="preserve"> Prosperity // </w:t>
      </w:r>
      <w:proofErr w:type="spellStart"/>
      <w:r w:rsidRPr="00A95C26">
        <w:t>Economic</w:t>
      </w:r>
      <w:proofErr w:type="spellEnd"/>
      <w:r w:rsidRPr="00A95C26">
        <w:t xml:space="preserve"> and </w:t>
      </w:r>
      <w:proofErr w:type="spellStart"/>
      <w:r w:rsidRPr="00A95C26">
        <w:t>Social</w:t>
      </w:r>
      <w:proofErr w:type="spellEnd"/>
      <w:r w:rsidRPr="00A95C26">
        <w:t xml:space="preserve"> </w:t>
      </w:r>
      <w:proofErr w:type="spellStart"/>
      <w:r w:rsidRPr="00A95C26">
        <w:t>Survey</w:t>
      </w:r>
      <w:proofErr w:type="spellEnd"/>
      <w:r w:rsidRPr="00A95C26">
        <w:t xml:space="preserve"> </w:t>
      </w:r>
      <w:proofErr w:type="spellStart"/>
      <w:r w:rsidRPr="00A95C26">
        <w:t>of</w:t>
      </w:r>
      <w:proofErr w:type="spellEnd"/>
      <w:r w:rsidRPr="00A95C26">
        <w:t xml:space="preserve"> </w:t>
      </w:r>
      <w:proofErr w:type="spellStart"/>
      <w:r w:rsidRPr="00A95C26">
        <w:t>Asia</w:t>
      </w:r>
      <w:proofErr w:type="spellEnd"/>
      <w:r w:rsidRPr="00A95C26">
        <w:t xml:space="preserve"> and </w:t>
      </w:r>
      <w:proofErr w:type="spellStart"/>
      <w:r w:rsidRPr="00A95C26">
        <w:t>the</w:t>
      </w:r>
      <w:proofErr w:type="spellEnd"/>
      <w:r w:rsidRPr="00A95C26">
        <w:t xml:space="preserve"> </w:t>
      </w:r>
      <w:proofErr w:type="spellStart"/>
      <w:r w:rsidRPr="00A95C26">
        <w:t>Pacific</w:t>
      </w:r>
      <w:proofErr w:type="spellEnd"/>
      <w:r w:rsidRPr="00A95C26">
        <w:t>. UN. Bangkok, 2014. С. 39.</w:t>
      </w:r>
    </w:p>
    <w:p w14:paraId="2B63FE83" w14:textId="7064CD5B" w:rsidR="00B55721" w:rsidRPr="00A95C26" w:rsidRDefault="00B55721" w:rsidP="00641F06">
      <w:pPr>
        <w:spacing w:before="100" w:beforeAutospacing="1" w:line="360" w:lineRule="auto"/>
        <w:jc w:val="both"/>
      </w:pPr>
      <w:proofErr w:type="spellStart"/>
      <w:r w:rsidRPr="00A95C26">
        <w:t>CEICDataCompanyLTD</w:t>
      </w:r>
      <w:proofErr w:type="spellEnd"/>
      <w:r w:rsidRPr="00A95C26">
        <w:t xml:space="preserve">. </w:t>
      </w:r>
      <w:proofErr w:type="spellStart"/>
      <w:r w:rsidRPr="00A95C26">
        <w:t>World</w:t>
      </w:r>
      <w:proofErr w:type="spellEnd"/>
      <w:r w:rsidRPr="00A95C26">
        <w:t xml:space="preserve"> </w:t>
      </w:r>
      <w:proofErr w:type="spellStart"/>
      <w:r w:rsidRPr="00A95C26">
        <w:t>Bank.World</w:t>
      </w:r>
      <w:proofErr w:type="spellEnd"/>
      <w:r w:rsidRPr="00A95C26">
        <w:t xml:space="preserve"> Development Report 2003.</w:t>
      </w:r>
    </w:p>
    <w:p w14:paraId="0AB0EB0D" w14:textId="4D05452A" w:rsidR="00B55721" w:rsidRPr="00A95C26" w:rsidRDefault="00B55721" w:rsidP="00641F06">
      <w:pPr>
        <w:spacing w:before="100" w:beforeAutospacing="1" w:line="360" w:lineRule="auto"/>
        <w:jc w:val="both"/>
      </w:pPr>
      <w:proofErr w:type="spellStart"/>
      <w:r w:rsidRPr="00A95C26">
        <w:lastRenderedPageBreak/>
        <w:t>World</w:t>
      </w:r>
      <w:proofErr w:type="spellEnd"/>
      <w:r w:rsidRPr="00A95C26">
        <w:t xml:space="preserve"> Development</w:t>
      </w:r>
      <w:r w:rsidR="00FD66EC" w:rsidRPr="00A95C26">
        <w:t xml:space="preserve"> </w:t>
      </w:r>
      <w:r w:rsidRPr="00A95C26">
        <w:t xml:space="preserve">Report </w:t>
      </w:r>
      <w:proofErr w:type="gramStart"/>
      <w:r w:rsidRPr="00A95C26">
        <w:t>2003 ,</w:t>
      </w:r>
      <w:proofErr w:type="gramEnd"/>
      <w:r w:rsidRPr="00A95C26">
        <w:t xml:space="preserve"> </w:t>
      </w:r>
      <w:proofErr w:type="spellStart"/>
      <w:r w:rsidRPr="00A95C26">
        <w:t>World</w:t>
      </w:r>
      <w:proofErr w:type="spellEnd"/>
      <w:r w:rsidRPr="00A95C26">
        <w:t xml:space="preserve"> Bank </w:t>
      </w:r>
      <w:proofErr w:type="spellStart"/>
      <w:r w:rsidRPr="00A95C26">
        <w:t>Available</w:t>
      </w:r>
      <w:proofErr w:type="spellEnd"/>
      <w:r w:rsidRPr="00A95C26">
        <w:t xml:space="preserve"> </w:t>
      </w:r>
      <w:proofErr w:type="spellStart"/>
      <w:r w:rsidRPr="00A95C26">
        <w:t>at</w:t>
      </w:r>
      <w:proofErr w:type="spellEnd"/>
      <w:r w:rsidRPr="00A95C26">
        <w:t xml:space="preserve">: </w:t>
      </w:r>
      <w:hyperlink r:id="rId30" w:history="1">
        <w:r w:rsidRPr="00A95C26">
          <w:rPr>
            <w:rStyle w:val="Hypertextovodkaz"/>
          </w:rPr>
          <w:t>https://www.un.org/en/development/surveys/docs/worlddev2003.pdf</w:t>
        </w:r>
      </w:hyperlink>
    </w:p>
    <w:p w14:paraId="1F1913BE" w14:textId="2BE3AD8D" w:rsidR="00B55721" w:rsidRPr="00A95C26" w:rsidRDefault="00B55721" w:rsidP="00641F06">
      <w:pPr>
        <w:spacing w:before="100" w:beforeAutospacing="1" w:line="360" w:lineRule="auto"/>
        <w:jc w:val="both"/>
      </w:pPr>
      <w:r w:rsidRPr="00A95C26">
        <w:t xml:space="preserve"> </w:t>
      </w:r>
      <w:proofErr w:type="spellStart"/>
      <w:r w:rsidRPr="00A95C26">
        <w:t>Bustelo</w:t>
      </w:r>
      <w:proofErr w:type="spellEnd"/>
      <w:r w:rsidRPr="00A95C26">
        <w:t xml:space="preserve"> P. </w:t>
      </w:r>
      <w:proofErr w:type="spellStart"/>
      <w:r w:rsidRPr="00A95C26">
        <w:t>The</w:t>
      </w:r>
      <w:proofErr w:type="spellEnd"/>
      <w:r w:rsidRPr="00A95C26">
        <w:t xml:space="preserve"> East </w:t>
      </w:r>
      <w:proofErr w:type="spellStart"/>
      <w:r w:rsidRPr="00A95C26">
        <w:t>Asian</w:t>
      </w:r>
      <w:proofErr w:type="spellEnd"/>
      <w:r w:rsidRPr="00A95C26">
        <w:t xml:space="preserve"> </w:t>
      </w:r>
      <w:proofErr w:type="spellStart"/>
      <w:r w:rsidRPr="00A95C26">
        <w:t>Financial</w:t>
      </w:r>
      <w:proofErr w:type="spellEnd"/>
      <w:r w:rsidRPr="00A95C26">
        <w:t xml:space="preserve"> </w:t>
      </w:r>
      <w:proofErr w:type="spellStart"/>
      <w:r w:rsidRPr="00A95C26">
        <w:t>Crises</w:t>
      </w:r>
      <w:proofErr w:type="spellEnd"/>
      <w:r w:rsidRPr="00A95C26">
        <w:t xml:space="preserve">: An </w:t>
      </w:r>
      <w:proofErr w:type="spellStart"/>
      <w:r w:rsidRPr="00A95C26">
        <w:t>Analytical</w:t>
      </w:r>
      <w:proofErr w:type="spellEnd"/>
      <w:r w:rsidRPr="00A95C26">
        <w:t xml:space="preserve"> </w:t>
      </w:r>
      <w:proofErr w:type="spellStart"/>
      <w:r w:rsidRPr="00A95C26">
        <w:t>Survey</w:t>
      </w:r>
      <w:proofErr w:type="spellEnd"/>
      <w:r w:rsidRPr="00A95C26">
        <w:t xml:space="preserve"> // ICEI </w:t>
      </w:r>
      <w:proofErr w:type="spellStart"/>
      <w:r w:rsidRPr="00A95C26">
        <w:t>Working</w:t>
      </w:r>
      <w:proofErr w:type="spellEnd"/>
      <w:r w:rsidRPr="00A95C26">
        <w:t xml:space="preserve"> </w:t>
      </w:r>
      <w:proofErr w:type="spellStart"/>
      <w:r w:rsidRPr="00A95C26">
        <w:t>Papers</w:t>
      </w:r>
      <w:proofErr w:type="spellEnd"/>
      <w:r w:rsidRPr="00A95C26">
        <w:t>. 1998. № 10. Pp. 16–22.</w:t>
      </w:r>
    </w:p>
    <w:p w14:paraId="5885CD64" w14:textId="5564B73C" w:rsidR="00FD66EC" w:rsidRPr="00A95C26" w:rsidRDefault="00FD66EC" w:rsidP="00641F06">
      <w:pPr>
        <w:spacing w:before="100" w:beforeAutospacing="1" w:line="360" w:lineRule="auto"/>
        <w:jc w:val="both"/>
      </w:pPr>
      <w:r w:rsidRPr="00A95C26">
        <w:t xml:space="preserve">Brenda </w:t>
      </w:r>
      <w:proofErr w:type="spellStart"/>
      <w:r w:rsidRPr="00A95C26">
        <w:t>Goh</w:t>
      </w:r>
      <w:proofErr w:type="spellEnd"/>
      <w:r w:rsidRPr="00A95C26">
        <w:t xml:space="preserve">; </w:t>
      </w:r>
      <w:proofErr w:type="spellStart"/>
      <w:r w:rsidRPr="00A95C26">
        <w:t>Shri</w:t>
      </w:r>
      <w:proofErr w:type="spellEnd"/>
      <w:r w:rsidRPr="00A95C26">
        <w:t xml:space="preserve"> </w:t>
      </w:r>
      <w:proofErr w:type="spellStart"/>
      <w:r w:rsidRPr="00A95C26">
        <w:t>Navaratnam</w:t>
      </w:r>
      <w:proofErr w:type="spellEnd"/>
      <w:r w:rsidRPr="00A95C26">
        <w:t xml:space="preserve">., </w:t>
      </w:r>
      <w:proofErr w:type="spellStart"/>
      <w:r w:rsidRPr="00A95C26">
        <w:t>Over</w:t>
      </w:r>
      <w:proofErr w:type="spellEnd"/>
      <w:r w:rsidRPr="00A95C26">
        <w:t xml:space="preserve"> 500 </w:t>
      </w:r>
      <w:proofErr w:type="spellStart"/>
      <w:r w:rsidRPr="00A95C26">
        <w:t>China-listed</w:t>
      </w:r>
      <w:proofErr w:type="spellEnd"/>
      <w:r w:rsidRPr="00A95C26">
        <w:t xml:space="preserve"> </w:t>
      </w:r>
      <w:proofErr w:type="spellStart"/>
      <w:r w:rsidRPr="00A95C26">
        <w:t>firms</w:t>
      </w:r>
      <w:proofErr w:type="spellEnd"/>
      <w:r w:rsidRPr="00A95C26">
        <w:t xml:space="preserve"> </w:t>
      </w:r>
      <w:proofErr w:type="spellStart"/>
      <w:r w:rsidRPr="00A95C26">
        <w:t>suspend</w:t>
      </w:r>
      <w:proofErr w:type="spellEnd"/>
      <w:r w:rsidRPr="00A95C26">
        <w:t xml:space="preserve"> </w:t>
      </w:r>
      <w:proofErr w:type="spellStart"/>
      <w:r w:rsidRPr="00A95C26">
        <w:t>trading</w:t>
      </w:r>
      <w:proofErr w:type="spellEnd"/>
      <w:r w:rsidRPr="00A95C26">
        <w:t xml:space="preserve"> on </w:t>
      </w:r>
      <w:proofErr w:type="spellStart"/>
      <w:r w:rsidRPr="00A95C26">
        <w:t>Wednesday</w:t>
      </w:r>
      <w:proofErr w:type="spellEnd"/>
      <w:r w:rsidRPr="00A95C26">
        <w:t xml:space="preserve"> </w:t>
      </w:r>
      <w:proofErr w:type="spellStart"/>
      <w:r w:rsidRPr="00A95C26">
        <w:t>available</w:t>
      </w:r>
      <w:proofErr w:type="spellEnd"/>
      <w:r w:rsidR="00954371">
        <w:t xml:space="preserve"> </w:t>
      </w:r>
      <w:proofErr w:type="gramStart"/>
      <w:r w:rsidRPr="00A95C26">
        <w:t>at:https://www.reuters.com/article/uk-china-markets-halidUKKCN0PI05O20150708</w:t>
      </w:r>
      <w:proofErr w:type="gramEnd"/>
    </w:p>
    <w:p w14:paraId="66998DD9" w14:textId="77777777" w:rsidR="00FD66EC" w:rsidRPr="00A95C26" w:rsidRDefault="00FD66EC" w:rsidP="00EA17C1">
      <w:pPr>
        <w:pStyle w:val="Nadpis1"/>
      </w:pPr>
    </w:p>
    <w:p w14:paraId="0B02C16B" w14:textId="13D65CE7" w:rsidR="000F18CE" w:rsidRPr="00A95C26" w:rsidRDefault="000F18CE" w:rsidP="00EA17C1">
      <w:pPr>
        <w:pStyle w:val="Nadpis1"/>
      </w:pPr>
    </w:p>
    <w:sectPr w:rsidR="000F18CE" w:rsidRPr="00A95C26" w:rsidSect="00BB745B">
      <w:headerReference w:type="default" r:id="rId31"/>
      <w:type w:val="continuous"/>
      <w:pgSz w:w="11907" w:h="16839" w:code="9"/>
      <w:pgMar w:top="1418" w:right="851" w:bottom="1418" w:left="1985"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5019" w14:textId="77777777" w:rsidR="009F4F95" w:rsidRDefault="009F4F95">
      <w:r>
        <w:separator/>
      </w:r>
    </w:p>
    <w:p w14:paraId="3A32AD0B" w14:textId="77777777" w:rsidR="009F4F95" w:rsidRDefault="009F4F95"/>
    <w:p w14:paraId="4525504B" w14:textId="77777777" w:rsidR="009F4F95" w:rsidRDefault="009F4F95" w:rsidP="00D41882"/>
  </w:endnote>
  <w:endnote w:type="continuationSeparator" w:id="0">
    <w:p w14:paraId="0D0C235D" w14:textId="77777777" w:rsidR="009F4F95" w:rsidRDefault="009F4F95">
      <w:r>
        <w:continuationSeparator/>
      </w:r>
    </w:p>
    <w:p w14:paraId="25B570AB" w14:textId="77777777" w:rsidR="009F4F95" w:rsidRDefault="009F4F95"/>
    <w:p w14:paraId="3CB00758" w14:textId="77777777" w:rsidR="009F4F95" w:rsidRDefault="009F4F95" w:rsidP="00D41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Helvetica Neue">
    <w:altName w:val="Sylfaen"/>
    <w:charset w:val="00"/>
    <w:family w:val="auto"/>
    <w:pitch w:val="variable"/>
    <w:sig w:usb0="E50002FF" w:usb1="500079DB" w:usb2="00000010" w:usb3="00000000" w:csb0="00000001" w:csb1="00000000"/>
  </w:font>
  <w:font w:name="TimesNewRomanP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903594800"/>
      <w:docPartObj>
        <w:docPartGallery w:val="Page Numbers (Bottom of Page)"/>
        <w:docPartUnique/>
      </w:docPartObj>
    </w:sdtPr>
    <w:sdtEndPr>
      <w:rPr>
        <w:rStyle w:val="slostrnky"/>
      </w:rPr>
    </w:sdtEndPr>
    <w:sdtContent>
      <w:p w14:paraId="3BEE64C4" w14:textId="64CDD3D8" w:rsidR="00BB745B" w:rsidRDefault="00BB745B" w:rsidP="00A06CD7">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A6125A8" w14:textId="77777777" w:rsidR="00BB745B" w:rsidRDefault="00BB745B" w:rsidP="00BB745B">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171560470"/>
      <w:docPartObj>
        <w:docPartGallery w:val="Page Numbers (Bottom of Page)"/>
        <w:docPartUnique/>
      </w:docPartObj>
    </w:sdtPr>
    <w:sdtEndPr>
      <w:rPr>
        <w:rStyle w:val="slostrnky"/>
      </w:rPr>
    </w:sdtEndPr>
    <w:sdtContent>
      <w:p w14:paraId="3D609475" w14:textId="392F3A33" w:rsidR="00BB745B" w:rsidRDefault="00BB745B" w:rsidP="00A06CD7">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28B185A3" w14:textId="77777777" w:rsidR="00BB745B" w:rsidRDefault="00BB745B" w:rsidP="00BB745B">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34A96" w14:textId="77777777" w:rsidR="009F4F95" w:rsidRDefault="009F4F95" w:rsidP="00D41882">
      <w:r>
        <w:separator/>
      </w:r>
    </w:p>
  </w:footnote>
  <w:footnote w:type="continuationSeparator" w:id="0">
    <w:p w14:paraId="506CDCC6" w14:textId="77777777" w:rsidR="009F4F95" w:rsidRDefault="009F4F95">
      <w:r>
        <w:continuationSeparator/>
      </w:r>
    </w:p>
  </w:footnote>
  <w:footnote w:type="continuationNotice" w:id="1">
    <w:p w14:paraId="7092EBFF" w14:textId="77777777" w:rsidR="009F4F95" w:rsidRDefault="009F4F95"/>
  </w:footnote>
  <w:footnote w:id="2">
    <w:p w14:paraId="168A3B91" w14:textId="77777777" w:rsidR="00C45F54" w:rsidRPr="007A3344" w:rsidRDefault="00C45F54" w:rsidP="008B4B04">
      <w:pPr>
        <w:pStyle w:val="Textpoznpodarou"/>
        <w:jc w:val="both"/>
        <w:rPr>
          <w:lang w:val="en-US"/>
        </w:rPr>
      </w:pPr>
      <w:r w:rsidRPr="007A3344">
        <w:rPr>
          <w:rStyle w:val="Znakapoznpodarou"/>
        </w:rPr>
        <w:footnoteRef/>
      </w:r>
      <w:r w:rsidRPr="007A3344">
        <w:t xml:space="preserve"> KOHOUT, P. Finance po krizi: Evropa na cestě do neznáma. 3. rozš. Vyd. 2011, str. 35.</w:t>
      </w:r>
    </w:p>
  </w:footnote>
  <w:footnote w:id="3">
    <w:p w14:paraId="501BF221" w14:textId="77777777" w:rsidR="00C45F54" w:rsidRPr="007A3344" w:rsidRDefault="00C45F54" w:rsidP="008B4B04">
      <w:pPr>
        <w:pStyle w:val="Textpoznpodarou"/>
        <w:jc w:val="both"/>
        <w:rPr>
          <w:lang w:val="en-US"/>
        </w:rPr>
      </w:pPr>
      <w:r w:rsidRPr="007A3344">
        <w:rPr>
          <w:rStyle w:val="Znakapoznpodarou"/>
        </w:rPr>
        <w:footnoteRef/>
      </w:r>
      <w:r w:rsidRPr="007A3344">
        <w:t xml:space="preserve"> KOHOUT, P. Finance po krizi: Evropa na cestě do neznáma. 3. </w:t>
      </w:r>
      <w:r w:rsidRPr="007A3344">
        <w:t>rozš. Vyd. 2011, str. 3</w:t>
      </w:r>
      <w:r w:rsidRPr="007A3344">
        <w:rPr>
          <w:lang w:val="en-US"/>
        </w:rPr>
        <w:t>5-37.</w:t>
      </w:r>
    </w:p>
  </w:footnote>
  <w:footnote w:id="4">
    <w:p w14:paraId="5B24CEA1" w14:textId="77777777" w:rsidR="00C45F54" w:rsidRPr="007A3344" w:rsidRDefault="00C45F54" w:rsidP="008B4B04">
      <w:pPr>
        <w:pStyle w:val="Textpoznpodarou"/>
        <w:jc w:val="both"/>
        <w:rPr>
          <w:lang w:val="en-US"/>
        </w:rPr>
      </w:pPr>
      <w:r w:rsidRPr="007A3344">
        <w:rPr>
          <w:rStyle w:val="Znakapoznpodarou"/>
        </w:rPr>
        <w:footnoteRef/>
      </w:r>
      <w:r w:rsidRPr="007A3344">
        <w:t xml:space="preserve"> KOHOUT, P. Finance po krizi: Evropa na cestě do neznáma. 3. </w:t>
      </w:r>
      <w:r w:rsidRPr="007A3344">
        <w:t>rozš. Vyd. 2011, str. 35</w:t>
      </w:r>
      <w:r w:rsidRPr="007A3344">
        <w:rPr>
          <w:lang w:val="en-US"/>
        </w:rPr>
        <w:t>-37.</w:t>
      </w:r>
    </w:p>
  </w:footnote>
  <w:footnote w:id="5">
    <w:p w14:paraId="4E645C94" w14:textId="77777777" w:rsidR="00C45F54" w:rsidRPr="007A3344" w:rsidRDefault="00C45F54" w:rsidP="006F238B">
      <w:pPr>
        <w:pStyle w:val="Textpoznpodarou"/>
        <w:jc w:val="both"/>
        <w:rPr>
          <w:lang w:val="en-US"/>
        </w:rPr>
      </w:pPr>
      <w:r w:rsidRPr="007A3344">
        <w:rPr>
          <w:rStyle w:val="Znakapoznpodarou"/>
        </w:rPr>
        <w:footnoteRef/>
      </w:r>
      <w:r w:rsidRPr="007A3344">
        <w:t xml:space="preserve"> HUNTER, W., G.G. KAUFMAN a M. POMERLEANO. </w:t>
      </w:r>
      <w:r w:rsidRPr="007A3344">
        <w:t>Asset price bubbles: implications for monetary, regulatory, and international policies. 2005, p. 56-60.</w:t>
      </w:r>
    </w:p>
  </w:footnote>
  <w:footnote w:id="6">
    <w:p w14:paraId="7B407627" w14:textId="77777777" w:rsidR="00C45F54" w:rsidRPr="007A3344" w:rsidRDefault="00C45F54" w:rsidP="006F238B">
      <w:pPr>
        <w:pStyle w:val="Textpoznpodarou"/>
        <w:jc w:val="both"/>
        <w:rPr>
          <w:lang w:val="en-US"/>
        </w:rPr>
      </w:pPr>
      <w:r w:rsidRPr="007A3344">
        <w:rPr>
          <w:rStyle w:val="Znakapoznpodarou"/>
        </w:rPr>
        <w:footnoteRef/>
      </w:r>
      <w:r w:rsidRPr="007A3344">
        <w:t xml:space="preserve"> HOLMAN, R. A KOL. Dějiny ekonomického myšlení. 2001, str. 56-70.</w:t>
      </w:r>
    </w:p>
  </w:footnote>
  <w:footnote w:id="7">
    <w:p w14:paraId="2E17CCE2" w14:textId="77777777" w:rsidR="00C45F54" w:rsidRPr="007A3344" w:rsidRDefault="00C45F54" w:rsidP="008B4B04">
      <w:pPr>
        <w:pStyle w:val="Textpoznpodarou"/>
        <w:jc w:val="both"/>
        <w:rPr>
          <w:lang w:val="en-US"/>
        </w:rPr>
      </w:pPr>
      <w:r w:rsidRPr="007A3344">
        <w:rPr>
          <w:rStyle w:val="Znakapoznpodarou"/>
        </w:rPr>
        <w:footnoteRef/>
      </w:r>
      <w:r w:rsidRPr="007A3344">
        <w:t xml:space="preserve"> HUNTER, W., G.G. KAUFMAN a M. POMERLEANO. </w:t>
      </w:r>
      <w:r w:rsidRPr="007A3344">
        <w:t>Asset price bubbles: implications for monetary, regulatory, and international policies. 2005, p. 56-60.</w:t>
      </w:r>
    </w:p>
  </w:footnote>
  <w:footnote w:id="8">
    <w:p w14:paraId="64EB83E9" w14:textId="77777777" w:rsidR="00C45F54" w:rsidRPr="007A3344" w:rsidRDefault="00C45F54" w:rsidP="008B4B04">
      <w:pPr>
        <w:pStyle w:val="Textpoznpodarou"/>
        <w:jc w:val="both"/>
      </w:pPr>
      <w:r w:rsidRPr="007A3344">
        <w:rPr>
          <w:rStyle w:val="Znakapoznpodarou"/>
        </w:rPr>
        <w:footnoteRef/>
      </w:r>
      <w:r w:rsidRPr="007A3344">
        <w:t xml:space="preserve"> MINSKY, H. P. </w:t>
      </w:r>
      <w:r w:rsidRPr="007A3344">
        <w:t>The Financial Instability Hypothesis: An Interpretation of Keynes and an Alternative to "Standard" Theory. 1977, roč. 16, čís. 1, s. 5–16.</w:t>
      </w:r>
    </w:p>
  </w:footnote>
  <w:footnote w:id="9">
    <w:p w14:paraId="3A307C4E" w14:textId="77777777" w:rsidR="00C45F54" w:rsidRPr="007A3344" w:rsidRDefault="00C45F54" w:rsidP="008B4B04">
      <w:pPr>
        <w:pStyle w:val="Textpoznpodarou"/>
        <w:jc w:val="both"/>
      </w:pPr>
      <w:r w:rsidRPr="007A3344">
        <w:rPr>
          <w:rStyle w:val="Znakapoznpodarou"/>
        </w:rPr>
        <w:footnoteRef/>
      </w:r>
      <w:r w:rsidRPr="007A3344">
        <w:t xml:space="preserve"> SHILLER, R. J. Investiční horečka: iracionální nadšení na kapitálových trzích. 2010, str. 87-88.</w:t>
      </w:r>
    </w:p>
  </w:footnote>
  <w:footnote w:id="10">
    <w:p w14:paraId="711D7D12" w14:textId="77777777" w:rsidR="00C45F54" w:rsidRPr="007A3344" w:rsidRDefault="00C45F54" w:rsidP="008B4B04">
      <w:pPr>
        <w:pStyle w:val="Textpoznpodarou"/>
        <w:jc w:val="both"/>
      </w:pPr>
      <w:r w:rsidRPr="007A3344">
        <w:rPr>
          <w:rStyle w:val="Znakapoznpodarou"/>
        </w:rPr>
        <w:footnoteRef/>
      </w:r>
      <w:r w:rsidRPr="007A3344">
        <w:t xml:space="preserve"> REJNUŠ, O. Finanční trhy. 2014, str. 91-104.</w:t>
      </w:r>
    </w:p>
  </w:footnote>
  <w:footnote w:id="11">
    <w:p w14:paraId="7BF4840E" w14:textId="77777777" w:rsidR="00C45F54" w:rsidRPr="007A3344" w:rsidRDefault="00C45F54" w:rsidP="009148E2">
      <w:pPr>
        <w:pStyle w:val="Textpoznpodarou"/>
        <w:jc w:val="both"/>
        <w:rPr>
          <w:lang w:val="en-US"/>
        </w:rPr>
      </w:pPr>
      <w:r w:rsidRPr="007A3344">
        <w:rPr>
          <w:rStyle w:val="Znakapoznpodarou"/>
        </w:rPr>
        <w:footnoteRef/>
      </w:r>
      <w:r w:rsidRPr="007A3344">
        <w:t xml:space="preserve"> PLUMMER, T. Prognóza finančních trhů: psychologie úspěšného investování. 2014, str. 77.</w:t>
      </w:r>
    </w:p>
  </w:footnote>
  <w:footnote w:id="12">
    <w:p w14:paraId="69B3DA19" w14:textId="77777777" w:rsidR="00D962E9" w:rsidRPr="007A3344" w:rsidRDefault="00D962E9" w:rsidP="00D962E9">
      <w:pPr>
        <w:pStyle w:val="Textpoznpodarou"/>
        <w:jc w:val="both"/>
      </w:pPr>
      <w:r w:rsidRPr="007A3344">
        <w:rPr>
          <w:rStyle w:val="Znakapoznpodarou"/>
        </w:rPr>
        <w:footnoteRef/>
      </w:r>
      <w:r w:rsidRPr="007A3344">
        <w:t xml:space="preserve"> PLUMMER, T. Prognóza finančních trhů: psychologie úspěšného investování. 2014, str. 80-81.</w:t>
      </w:r>
    </w:p>
  </w:footnote>
  <w:footnote w:id="13">
    <w:p w14:paraId="3A60051A" w14:textId="77777777" w:rsidR="00C45F54" w:rsidRPr="007A3344" w:rsidRDefault="00C45F54" w:rsidP="009148E2">
      <w:pPr>
        <w:pStyle w:val="Textpoznpodarou"/>
        <w:jc w:val="both"/>
      </w:pPr>
      <w:r w:rsidRPr="007A3344">
        <w:rPr>
          <w:rStyle w:val="Znakapoznpodarou"/>
        </w:rPr>
        <w:footnoteRef/>
      </w:r>
      <w:r w:rsidRPr="007A3344">
        <w:t xml:space="preserve"> KOHOUT, P. Finance po krizi: Evropa na cestě do neznáma. 2011. str. 65-77.</w:t>
      </w:r>
    </w:p>
  </w:footnote>
  <w:footnote w:id="14">
    <w:p w14:paraId="5F239185" w14:textId="77777777" w:rsidR="00C45F54" w:rsidRPr="007A3344" w:rsidRDefault="00C45F54" w:rsidP="009148E2">
      <w:pPr>
        <w:pStyle w:val="Textpoznpodarou"/>
        <w:jc w:val="both"/>
      </w:pPr>
      <w:r w:rsidRPr="007A3344">
        <w:rPr>
          <w:rStyle w:val="Znakapoznpodarou"/>
        </w:rPr>
        <w:footnoteRef/>
      </w:r>
      <w:r w:rsidRPr="007A3344">
        <w:t xml:space="preserve"> PLUMMER, T. Prognóza finančních trhů: psychologie úspěšného investování. 2014, str. 81.</w:t>
      </w:r>
    </w:p>
  </w:footnote>
  <w:footnote w:id="15">
    <w:p w14:paraId="729272AE" w14:textId="77777777" w:rsidR="00C45F54" w:rsidRPr="007A3344" w:rsidRDefault="00C45F54" w:rsidP="009148E2">
      <w:pPr>
        <w:pStyle w:val="Textpoznpodarou"/>
        <w:jc w:val="both"/>
      </w:pPr>
      <w:r w:rsidRPr="007A3344">
        <w:rPr>
          <w:rStyle w:val="Znakapoznpodarou"/>
        </w:rPr>
        <w:footnoteRef/>
      </w:r>
      <w:r w:rsidRPr="007A3344">
        <w:t xml:space="preserve"> KOHOUT, P. Finance po krizi: Evropa na cestě do neznáma. 2011. str. 65-66.</w:t>
      </w:r>
    </w:p>
  </w:footnote>
  <w:footnote w:id="16">
    <w:p w14:paraId="77467578" w14:textId="77777777" w:rsidR="00C45F54" w:rsidRPr="007A3344" w:rsidRDefault="00C45F54" w:rsidP="009148E2">
      <w:pPr>
        <w:pStyle w:val="Textpoznpodarou"/>
        <w:jc w:val="both"/>
      </w:pPr>
      <w:r w:rsidRPr="007A3344">
        <w:rPr>
          <w:rStyle w:val="Znakapoznpodarou"/>
        </w:rPr>
        <w:footnoteRef/>
      </w:r>
      <w:r w:rsidRPr="007A3344">
        <w:t xml:space="preserve"> KOHOUT, P. Finance po krizi: Evropa na cestě do neznáma. 2011. str. 65-77.</w:t>
      </w:r>
    </w:p>
  </w:footnote>
  <w:footnote w:id="17">
    <w:p w14:paraId="1FE618D2" w14:textId="77777777" w:rsidR="00C45F54" w:rsidRPr="007A3344" w:rsidRDefault="00C45F54" w:rsidP="004A6299">
      <w:pPr>
        <w:pStyle w:val="Textpoznpodarou"/>
        <w:jc w:val="both"/>
      </w:pPr>
      <w:r w:rsidRPr="007A3344">
        <w:rPr>
          <w:rStyle w:val="Znakapoznpodarou"/>
        </w:rPr>
        <w:footnoteRef/>
      </w:r>
      <w:r w:rsidRPr="007A3344">
        <w:t xml:space="preserve"> STROUKAL, D. Ekonomické bubliny: kdo je nafukuje, proč praskají a jak v další krizi neztratit vše. 2019</w:t>
      </w:r>
    </w:p>
  </w:footnote>
  <w:footnote w:id="18">
    <w:p w14:paraId="5952E0C4" w14:textId="77777777" w:rsidR="00C45F54" w:rsidRPr="007A3344" w:rsidRDefault="00C45F54" w:rsidP="004A6299">
      <w:pPr>
        <w:pStyle w:val="Textpoznpodarou"/>
        <w:jc w:val="both"/>
      </w:pPr>
      <w:r w:rsidRPr="007A3344">
        <w:rPr>
          <w:rStyle w:val="Znakapoznpodarou"/>
        </w:rPr>
        <w:footnoteRef/>
      </w:r>
      <w:r w:rsidRPr="007A3344">
        <w:t xml:space="preserve"> STROUKAL, D. Ekonomické bubliny: kdo je nafukuje, proč praskají a jak v další krizi neztratit vše. 2019</w:t>
      </w:r>
    </w:p>
  </w:footnote>
  <w:footnote w:id="19">
    <w:p w14:paraId="5B85AD0C" w14:textId="77777777" w:rsidR="00C45F54" w:rsidRPr="007A3344" w:rsidRDefault="00C45F54" w:rsidP="004A6299">
      <w:pPr>
        <w:pStyle w:val="Textpoznpodarou"/>
        <w:jc w:val="both"/>
      </w:pPr>
      <w:r w:rsidRPr="007A3344">
        <w:rPr>
          <w:rStyle w:val="Znakapoznpodarou"/>
        </w:rPr>
        <w:footnoteRef/>
      </w:r>
      <w:r w:rsidRPr="007A3344">
        <w:t xml:space="preserve"> STROUKAL, D. Ekonomické bubliny: kdo je nafukuje, proč praskají a jak v další krizi neztratit vše. 2019</w:t>
      </w:r>
    </w:p>
  </w:footnote>
  <w:footnote w:id="20">
    <w:p w14:paraId="324C8A24" w14:textId="77777777" w:rsidR="00C45F54" w:rsidRPr="007A3344" w:rsidRDefault="00C45F54" w:rsidP="004A6299">
      <w:pPr>
        <w:pStyle w:val="Textpoznpodarou"/>
        <w:jc w:val="both"/>
        <w:rPr>
          <w:lang w:val="en-US"/>
        </w:rPr>
      </w:pPr>
      <w:r w:rsidRPr="007A3344">
        <w:rPr>
          <w:rStyle w:val="Znakapoznpodarou"/>
        </w:rPr>
        <w:footnoteRef/>
      </w:r>
      <w:r w:rsidRPr="007A3344">
        <w:t xml:space="preserve"> ŠAFAŘÍK, P. Spekulativní mánie a burzovní krachy: když svět financí šílí. 2015</w:t>
      </w:r>
    </w:p>
  </w:footnote>
  <w:footnote w:id="21">
    <w:p w14:paraId="3D5C4651" w14:textId="77777777" w:rsidR="00C45F54" w:rsidRPr="007A3344" w:rsidRDefault="00C45F54" w:rsidP="004A6299">
      <w:pPr>
        <w:pStyle w:val="Textpoznpodarou"/>
        <w:jc w:val="both"/>
        <w:rPr>
          <w:lang w:val="en-US"/>
        </w:rPr>
      </w:pPr>
      <w:r w:rsidRPr="007A3344">
        <w:rPr>
          <w:rStyle w:val="Znakapoznpodarou"/>
        </w:rPr>
        <w:footnoteRef/>
      </w:r>
      <w:r w:rsidRPr="007A3344">
        <w:t xml:space="preserve"> TOARNA A., COJANU V. </w:t>
      </w:r>
      <w:r w:rsidRPr="007A3344">
        <w:t>The 2008 Crisis: Causes and Future Direction for the Academic Research.</w:t>
      </w:r>
    </w:p>
  </w:footnote>
  <w:footnote w:id="22">
    <w:p w14:paraId="180276F5" w14:textId="77777777" w:rsidR="00C45F54" w:rsidRPr="007A3344" w:rsidRDefault="00C45F54" w:rsidP="004A6299">
      <w:pPr>
        <w:pStyle w:val="Textpoznpodarou"/>
        <w:jc w:val="both"/>
        <w:rPr>
          <w:lang w:val="en-US"/>
        </w:rPr>
      </w:pPr>
      <w:r w:rsidRPr="007A3344">
        <w:rPr>
          <w:rStyle w:val="Znakapoznpodarou"/>
        </w:rPr>
        <w:footnoteRef/>
      </w:r>
      <w:r w:rsidRPr="007A3344">
        <w:t xml:space="preserve"> </w:t>
      </w:r>
      <w:bookmarkStart w:id="33" w:name="OLE_LINK1"/>
      <w:r w:rsidRPr="007A3344">
        <w:t xml:space="preserve">TOARNA A., COJANU V. </w:t>
      </w:r>
      <w:r w:rsidRPr="007A3344">
        <w:t>The 2008 Crisis: Causes and Future Direction for the Academic Research.</w:t>
      </w:r>
      <w:bookmarkEnd w:id="33"/>
    </w:p>
  </w:footnote>
  <w:footnote w:id="23">
    <w:p w14:paraId="319A4D34" w14:textId="77777777" w:rsidR="00C45F54" w:rsidRPr="007A3344" w:rsidRDefault="00C45F54" w:rsidP="004A6299">
      <w:pPr>
        <w:pStyle w:val="Textpoznpodarou"/>
        <w:jc w:val="both"/>
        <w:rPr>
          <w:lang w:val="en-US"/>
        </w:rPr>
      </w:pPr>
      <w:r w:rsidRPr="007A3344">
        <w:rPr>
          <w:rStyle w:val="Znakapoznpodarou"/>
        </w:rPr>
        <w:footnoteRef/>
      </w:r>
      <w:r w:rsidRPr="007A3344">
        <w:t xml:space="preserve"> KIRMAN, A. </w:t>
      </w:r>
      <w:r w:rsidRPr="007A3344">
        <w:t>The crisis in economic theory. Rivista Italiana degli Economisti, Vol. 1, April 2011, p. 9-36.</w:t>
      </w:r>
    </w:p>
  </w:footnote>
  <w:footnote w:id="24">
    <w:p w14:paraId="07908036" w14:textId="77777777" w:rsidR="00C45F54" w:rsidRPr="007A3344" w:rsidRDefault="00C45F54" w:rsidP="004A6299">
      <w:pPr>
        <w:pStyle w:val="Textpoznpodarou"/>
        <w:jc w:val="both"/>
        <w:rPr>
          <w:lang w:val="en-US"/>
        </w:rPr>
      </w:pPr>
      <w:r w:rsidRPr="007A3344">
        <w:rPr>
          <w:rStyle w:val="Znakapoznpodarou"/>
        </w:rPr>
        <w:footnoteRef/>
      </w:r>
      <w:r w:rsidRPr="007A3344">
        <w:t xml:space="preserve"> KIRMAN, A. </w:t>
      </w:r>
      <w:r w:rsidRPr="007A3344">
        <w:t>The crisis in economic theory. Rivista Italiana degli Economisti, Vol. 1, April 2011, p. 9-36.</w:t>
      </w:r>
    </w:p>
  </w:footnote>
  <w:footnote w:id="25">
    <w:p w14:paraId="4D93538F" w14:textId="77777777" w:rsidR="00C45F54" w:rsidRPr="007A3344" w:rsidRDefault="00C45F54" w:rsidP="004A6299">
      <w:pPr>
        <w:pStyle w:val="Textpoznpodarou"/>
        <w:jc w:val="both"/>
        <w:rPr>
          <w:lang w:val="en-US"/>
        </w:rPr>
      </w:pPr>
      <w:r w:rsidRPr="007A3344">
        <w:rPr>
          <w:rStyle w:val="Znakapoznpodarou"/>
        </w:rPr>
        <w:footnoteRef/>
      </w:r>
      <w:r w:rsidRPr="007A3344">
        <w:t xml:space="preserve"> KAMPPETER, W. International </w:t>
      </w:r>
      <w:r w:rsidRPr="007A3344">
        <w:t>Financial Crises in Comparison. Lessons for Managing the Current Crisis. Friedrich Ebert Stiftung Foundation, May 2011, p. 7-10.</w:t>
      </w:r>
    </w:p>
  </w:footnote>
  <w:footnote w:id="26">
    <w:p w14:paraId="2E1199A6" w14:textId="77777777" w:rsidR="00C45F54" w:rsidRPr="007A3344" w:rsidRDefault="00C45F54" w:rsidP="006F238B">
      <w:pPr>
        <w:pStyle w:val="Textpoznpodarou"/>
        <w:jc w:val="both"/>
        <w:rPr>
          <w:lang w:val="en-US"/>
        </w:rPr>
      </w:pPr>
      <w:r w:rsidRPr="007A3344">
        <w:rPr>
          <w:rStyle w:val="Znakapoznpodarou"/>
        </w:rPr>
        <w:footnoteRef/>
      </w:r>
      <w:r w:rsidRPr="007A3344">
        <w:t xml:space="preserve"> ATHREYEA S., SAEEDB A., BALOCHB M.S. </w:t>
      </w:r>
      <w:r w:rsidRPr="007A3344">
        <w:t>Financial crisis of 2008 and outward foreign investments from China and India.</w:t>
      </w:r>
    </w:p>
  </w:footnote>
  <w:footnote w:id="27">
    <w:p w14:paraId="74403E6F" w14:textId="4C9F287C" w:rsidR="00C45F54" w:rsidRPr="007A3344" w:rsidRDefault="00C45F54" w:rsidP="006F238B">
      <w:pPr>
        <w:pStyle w:val="Textpoznpodarou"/>
        <w:jc w:val="both"/>
        <w:rPr>
          <w:lang w:val="en-US"/>
        </w:rPr>
      </w:pPr>
      <w:r w:rsidRPr="007A3344">
        <w:rPr>
          <w:rStyle w:val="Znakapoznpodarou"/>
        </w:rPr>
        <w:footnoteRef/>
      </w:r>
      <w:r w:rsidRPr="007A3344">
        <w:t xml:space="preserve"> </w:t>
      </w:r>
      <w:r w:rsidRPr="007A3344">
        <w:t>Global Financial Stability Report, October 2010: Sovereigns, Funding, and Systemic Liquidity</w:t>
      </w:r>
    </w:p>
  </w:footnote>
  <w:footnote w:id="28">
    <w:p w14:paraId="5FA80CF4" w14:textId="21AB714B" w:rsidR="00C45F54" w:rsidRPr="007A3344" w:rsidRDefault="00C45F54" w:rsidP="006F238B">
      <w:pPr>
        <w:pStyle w:val="Textpoznpodarou"/>
        <w:jc w:val="both"/>
        <w:rPr>
          <w:lang w:val="en-US"/>
        </w:rPr>
      </w:pPr>
      <w:r w:rsidRPr="007A3344">
        <w:rPr>
          <w:rStyle w:val="Znakapoznpodarou"/>
        </w:rPr>
        <w:footnoteRef/>
      </w:r>
      <w:r w:rsidRPr="007A3344">
        <w:t xml:space="preserve"> </w:t>
      </w:r>
      <w:r w:rsidRPr="007A3344">
        <w:t>Global Financial Stability Report, October 2008: Financial Stress and Deleveraging Macrofi nancial Implications and Policy</w:t>
      </w:r>
      <w:r w:rsidRPr="007A3344">
        <w:rPr>
          <w:lang w:val="en-US"/>
        </w:rPr>
        <w:t>. Str. 14-15.</w:t>
      </w:r>
    </w:p>
  </w:footnote>
  <w:footnote w:id="29">
    <w:p w14:paraId="4D05C462" w14:textId="77777777" w:rsidR="00C45F54" w:rsidRPr="007A3344" w:rsidRDefault="00C45F54" w:rsidP="006F238B">
      <w:pPr>
        <w:pStyle w:val="Textpoznpodarou"/>
        <w:jc w:val="both"/>
        <w:rPr>
          <w:lang w:val="en-US"/>
        </w:rPr>
      </w:pPr>
      <w:r w:rsidRPr="007A3344">
        <w:rPr>
          <w:rStyle w:val="Znakapoznpodarou"/>
        </w:rPr>
        <w:footnoteRef/>
      </w:r>
      <w:r w:rsidRPr="007A3344">
        <w:t xml:space="preserve"> TOARNA A., COJANU V. </w:t>
      </w:r>
      <w:r w:rsidRPr="007A3344">
        <w:t>The 2008 Crisis: Causes and Future Direction for the Academic Research.</w:t>
      </w:r>
    </w:p>
  </w:footnote>
  <w:footnote w:id="30">
    <w:p w14:paraId="714BB1F9" w14:textId="77777777" w:rsidR="00C45F54" w:rsidRPr="007A3344" w:rsidRDefault="00C45F54" w:rsidP="006F238B">
      <w:pPr>
        <w:pStyle w:val="Textpoznpodarou"/>
        <w:jc w:val="both"/>
        <w:rPr>
          <w:lang w:val="en-US"/>
        </w:rPr>
      </w:pPr>
      <w:r w:rsidRPr="007A3344">
        <w:rPr>
          <w:rStyle w:val="Znakapoznpodarou"/>
        </w:rPr>
        <w:footnoteRef/>
      </w:r>
      <w:r w:rsidRPr="007A3344">
        <w:t xml:space="preserve"> </w:t>
      </w:r>
      <w:r w:rsidRPr="007A3344">
        <w:t>Trade growth to slow in 2012 after strong deceleration in 2011. WTO: 2012 press releases.</w:t>
      </w:r>
    </w:p>
  </w:footnote>
  <w:footnote w:id="31">
    <w:p w14:paraId="7FF79D82" w14:textId="77777777" w:rsidR="00C45F54" w:rsidRPr="007A3344" w:rsidRDefault="00C45F54" w:rsidP="006F238B">
      <w:pPr>
        <w:pStyle w:val="Textpoznpodarou"/>
        <w:jc w:val="both"/>
        <w:rPr>
          <w:lang w:val="en-US"/>
        </w:rPr>
      </w:pPr>
      <w:r w:rsidRPr="007A3344">
        <w:rPr>
          <w:rStyle w:val="Znakapoznpodarou"/>
        </w:rPr>
        <w:footnoteRef/>
      </w:r>
      <w:r w:rsidRPr="007A3344">
        <w:t xml:space="preserve"> TOARNA A., COJANU V. </w:t>
      </w:r>
      <w:r w:rsidRPr="007A3344">
        <w:t>The 2008 Crisis: Causes and Future Direction for the Academic Research.</w:t>
      </w:r>
    </w:p>
  </w:footnote>
  <w:footnote w:id="32">
    <w:p w14:paraId="5957C16B" w14:textId="75B299F9" w:rsidR="00C45F54" w:rsidRPr="00E508B8" w:rsidRDefault="00C45F54" w:rsidP="00E508B8">
      <w:pPr>
        <w:pStyle w:val="Textpoznpodarou"/>
        <w:rPr>
          <w:lang w:val="en-US"/>
        </w:rPr>
      </w:pPr>
      <w:r>
        <w:rPr>
          <w:rStyle w:val="Znakapoznpodarou"/>
        </w:rPr>
        <w:footnoteRef/>
      </w:r>
      <w:r>
        <w:t xml:space="preserve"> D. Cohen ,</w:t>
      </w:r>
      <w:r w:rsidRPr="0062253E">
        <w:t>Wiley, 2001. Paperback. New. Fear, Greed And Panic: The Psychology of the Stock MarketDavid Cohen Business Management</w:t>
      </w:r>
      <w:r>
        <w:rPr>
          <w:lang w:val="en-US"/>
        </w:rPr>
        <w:t>;</w:t>
      </w:r>
      <w:r w:rsidRPr="00E508B8">
        <w:t xml:space="preserve"> </w:t>
      </w:r>
      <w:r w:rsidRPr="00E508B8">
        <w:rPr>
          <w:lang w:val="en-US"/>
        </w:rPr>
        <w:t>ISBN 139780471486596</w:t>
      </w:r>
    </w:p>
  </w:footnote>
  <w:footnote w:id="33">
    <w:p w14:paraId="1B68C0F8" w14:textId="77777777" w:rsidR="00C45F54" w:rsidRPr="00E508B8" w:rsidRDefault="00C45F54" w:rsidP="00CF69E4">
      <w:pPr>
        <w:pStyle w:val="Textpoznpodarou"/>
        <w:rPr>
          <w:lang w:val="en-US"/>
        </w:rPr>
      </w:pPr>
      <w:r>
        <w:rPr>
          <w:rStyle w:val="Znakapoznpodarou"/>
        </w:rPr>
        <w:footnoteRef/>
      </w:r>
      <w:r>
        <w:t xml:space="preserve"> D. Cohen </w:t>
      </w:r>
      <w:r w:rsidRPr="0062253E">
        <w:t>Wiley, 2001. Paperback. New. Fear, Greed And Panic: The Psychology of the Stock MarketDavid Cohen Business Management</w:t>
      </w:r>
      <w:r>
        <w:t xml:space="preserve">; </w:t>
      </w:r>
      <w:r w:rsidRPr="00E508B8">
        <w:rPr>
          <w:lang w:val="en-US"/>
        </w:rPr>
        <w:t>ISBN 139780471486596</w:t>
      </w:r>
    </w:p>
    <w:p w14:paraId="13DA606D" w14:textId="1CBFA13E" w:rsidR="00C45F54" w:rsidRPr="00CF69E4" w:rsidRDefault="00C45F54">
      <w:pPr>
        <w:pStyle w:val="Textpoznpodarou"/>
        <w:rPr>
          <w:lang w:val="en-US"/>
        </w:rPr>
      </w:pPr>
    </w:p>
  </w:footnote>
  <w:footnote w:id="34">
    <w:p w14:paraId="3F5CE507" w14:textId="2B1DCEC3" w:rsidR="00C45F54" w:rsidRDefault="00C45F54">
      <w:pPr>
        <w:pStyle w:val="Textpoznpodarou"/>
      </w:pPr>
      <w:r>
        <w:rPr>
          <w:rStyle w:val="Znakapoznpodarou"/>
        </w:rPr>
        <w:footnoteRef/>
      </w:r>
      <w:r>
        <w:t xml:space="preserve"> </w:t>
      </w:r>
      <w:r w:rsidRPr="0062253E">
        <w:t>Wiley, 2001. Paperback. New. Fear, Greed And Panic: The Psychology of the Stock MarketDavid Cohen Business Management</w:t>
      </w:r>
    </w:p>
  </w:footnote>
  <w:footnote w:id="35">
    <w:p w14:paraId="50A57769" w14:textId="77777777" w:rsidR="00C45F54" w:rsidRPr="00E508B8" w:rsidRDefault="00C45F54" w:rsidP="00CF69E4">
      <w:pPr>
        <w:pStyle w:val="Textpoznpodarou"/>
        <w:rPr>
          <w:lang w:val="en-US"/>
        </w:rPr>
      </w:pPr>
      <w:r>
        <w:rPr>
          <w:rStyle w:val="Znakapoznpodarou"/>
        </w:rPr>
        <w:footnoteRef/>
      </w:r>
      <w:r>
        <w:t xml:space="preserve"> D. </w:t>
      </w:r>
      <w:r>
        <w:t>Cohen,</w:t>
      </w:r>
      <w:r w:rsidRPr="0062253E">
        <w:t>Wiley, 2001. Paperback. New. Fear, Greed And Panic: The Psychology of the Stock MarketDavid Cohen Business Management</w:t>
      </w:r>
      <w:r>
        <w:rPr>
          <w:lang w:val="en-US"/>
        </w:rPr>
        <w:t>;</w:t>
      </w:r>
      <w:r w:rsidRPr="00E508B8">
        <w:t xml:space="preserve"> </w:t>
      </w:r>
      <w:r w:rsidRPr="00E508B8">
        <w:rPr>
          <w:lang w:val="en-US"/>
        </w:rPr>
        <w:t>ISBN 139780471486596</w:t>
      </w:r>
    </w:p>
    <w:p w14:paraId="1276BE4A" w14:textId="76E2C79D" w:rsidR="00C45F54" w:rsidRPr="00CF69E4" w:rsidRDefault="00C45F54">
      <w:pPr>
        <w:pStyle w:val="Textpoznpodarou"/>
      </w:pPr>
    </w:p>
  </w:footnote>
  <w:footnote w:id="36">
    <w:p w14:paraId="534FECD3" w14:textId="05224FB5" w:rsidR="00C45F54" w:rsidRPr="00850A66" w:rsidRDefault="00C45F54">
      <w:pPr>
        <w:pStyle w:val="Textpoznpodarou"/>
      </w:pPr>
      <w:r>
        <w:rPr>
          <w:rStyle w:val="Znakapoznpodarou"/>
        </w:rPr>
        <w:footnoteRef/>
      </w:r>
      <w:r>
        <w:t xml:space="preserve"> </w:t>
      </w:r>
      <w:r w:rsidRPr="00850A66">
        <w:t>Shiller, Robert J. “Do Stock Prices Move Too Much to Be Justified by Subsequent Changes in Dividends?” The American Economic Review 71, no. 3 (1981): 421–36. http://www.jstor.org/stable/1802789.</w:t>
      </w:r>
    </w:p>
  </w:footnote>
  <w:footnote w:id="37">
    <w:p w14:paraId="01156082" w14:textId="3C9BF130" w:rsidR="00C45F54" w:rsidRPr="00B55721" w:rsidRDefault="00C45F54">
      <w:pPr>
        <w:pStyle w:val="Textpoznpodarou"/>
        <w:rPr>
          <w:lang w:val="en-US"/>
        </w:rPr>
      </w:pPr>
      <w:r>
        <w:rPr>
          <w:rStyle w:val="Znakapoznpodarou"/>
        </w:rPr>
        <w:footnoteRef/>
      </w:r>
      <w:r>
        <w:t xml:space="preserve"> </w:t>
      </w:r>
      <w:r w:rsidRPr="00B55721">
        <w:t>Galbraith</w:t>
      </w:r>
      <w:r>
        <w:t xml:space="preserve"> J.K</w:t>
      </w:r>
      <w:r w:rsidR="006C2F3C">
        <w:rPr>
          <w:lang w:val="en-US"/>
        </w:rPr>
        <w:t>.</w:t>
      </w:r>
      <w:r>
        <w:t>,</w:t>
      </w:r>
      <w:r w:rsidR="00AD48EF">
        <w:t xml:space="preserve"> </w:t>
      </w:r>
      <w:r w:rsidRPr="00B55721">
        <w:t>Great Crash 1929</w:t>
      </w:r>
      <w:r>
        <w:t>,</w:t>
      </w:r>
      <w:r w:rsidRPr="00B55721">
        <w:t xml:space="preserve"> Penguin Books</w:t>
      </w:r>
      <w:r>
        <w:t xml:space="preserve"> </w:t>
      </w:r>
      <w:r w:rsidRPr="00B55721">
        <w:t>ISBN: 014103825X</w:t>
      </w:r>
    </w:p>
  </w:footnote>
  <w:footnote w:id="38">
    <w:p w14:paraId="32DC19D8" w14:textId="77777777" w:rsidR="00C45F54" w:rsidRDefault="00C45F54" w:rsidP="00F473EC">
      <w:pPr>
        <w:pStyle w:val="Normlnweb"/>
      </w:pPr>
      <w:r>
        <w:rPr>
          <w:rStyle w:val="Znakapoznpodarou"/>
        </w:rPr>
        <w:footnoteRef/>
      </w:r>
      <w:r>
        <w:t xml:space="preserve"> </w:t>
      </w:r>
      <w:r>
        <w:rPr>
          <w:rFonts w:ascii="TimesNewRomanPSMT" w:hAnsi="TimesNewRomanPSMT"/>
          <w:sz w:val="20"/>
          <w:szCs w:val="20"/>
        </w:rPr>
        <w:t xml:space="preserve">ORMEROD, Paul. </w:t>
      </w:r>
      <w:r>
        <w:rPr>
          <w:rFonts w:ascii="TimesNewRomanPS" w:hAnsi="TimesNewRomanPS"/>
          <w:i/>
          <w:iCs/>
          <w:sz w:val="20"/>
          <w:szCs w:val="20"/>
        </w:rPr>
        <w:t xml:space="preserve">Butterfly Economics: A New General Theory of Social and Economic Behavior. </w:t>
      </w:r>
      <w:r>
        <w:rPr>
          <w:rFonts w:ascii="TimesNewRomanPSMT" w:hAnsi="TimesNewRomanPSMT"/>
          <w:sz w:val="20"/>
          <w:szCs w:val="20"/>
        </w:rPr>
        <w:t xml:space="preserve">USA: Knopf Doubleday Publishing Group, 2012. ISBN 9780307819413. </w:t>
      </w:r>
    </w:p>
    <w:p w14:paraId="25B467C5" w14:textId="40D84691" w:rsidR="00C45F54" w:rsidRPr="00F473EC" w:rsidRDefault="00C45F54">
      <w:pPr>
        <w:pStyle w:val="Textpoznpodarou"/>
      </w:pPr>
    </w:p>
  </w:footnote>
  <w:footnote w:id="39">
    <w:p w14:paraId="27754909" w14:textId="677E861F" w:rsidR="00C45F54" w:rsidRPr="002F2171" w:rsidRDefault="00C45F54">
      <w:pPr>
        <w:pStyle w:val="Textpoznpodarou"/>
      </w:pPr>
      <w:r>
        <w:rPr>
          <w:rStyle w:val="Znakapoznpodarou"/>
        </w:rPr>
        <w:footnoteRef/>
      </w:r>
      <w:r>
        <w:t xml:space="preserve"> </w:t>
      </w:r>
      <w:r w:rsidRPr="002F2171">
        <w:t xml:space="preserve">Brenda </w:t>
      </w:r>
      <w:r w:rsidRPr="002F2171">
        <w:t>Goh; Shri Navaratnam</w:t>
      </w:r>
      <w:r>
        <w:t xml:space="preserve">., </w:t>
      </w:r>
      <w:r w:rsidRPr="002F2171">
        <w:t>Over 500 China-listed firms suspend trading on Wednesday</w:t>
      </w:r>
      <w:r w:rsidRPr="002F2171">
        <w:rPr>
          <w:lang w:val="en-US"/>
        </w:rPr>
        <w:t xml:space="preserve"> </w:t>
      </w:r>
      <w:r>
        <w:rPr>
          <w:lang w:val="en-US"/>
        </w:rPr>
        <w:t xml:space="preserve">available at: </w:t>
      </w:r>
      <w:r w:rsidRPr="002F2171">
        <w:t>https://www.reuters.com/article/uk-china-markets-halt-idUKKCN0PI05O20150708</w:t>
      </w:r>
    </w:p>
  </w:footnote>
  <w:footnote w:id="40">
    <w:p w14:paraId="2DC52CAF" w14:textId="74A03A18" w:rsidR="00C45F54" w:rsidRDefault="00C45F54">
      <w:pPr>
        <w:pStyle w:val="Textpoznpodarou"/>
      </w:pPr>
      <w:r>
        <w:rPr>
          <w:rStyle w:val="Znakapoznpodarou"/>
        </w:rPr>
        <w:footnoteRef/>
      </w:r>
      <w:r>
        <w:t xml:space="preserve"> </w:t>
      </w:r>
      <w:r w:rsidRPr="00FC0A44">
        <w:t>https://www.yumpu.com/en/document/read/24490810/etf-landscape-industry-review-q3-2010-blackrock</w:t>
      </w:r>
    </w:p>
  </w:footnote>
  <w:footnote w:id="41">
    <w:p w14:paraId="74C10CB3" w14:textId="35765D4E" w:rsidR="00C45F54" w:rsidRDefault="00C45F54">
      <w:pPr>
        <w:pStyle w:val="Textpoznpodarou"/>
      </w:pPr>
      <w:r>
        <w:rPr>
          <w:rStyle w:val="Znakapoznpodarou"/>
        </w:rPr>
        <w:footnoteRef/>
      </w:r>
      <w:r>
        <w:t xml:space="preserve"> </w:t>
      </w:r>
      <w:r w:rsidRPr="00FC0A44">
        <w:t xml:space="preserve">World Development Report 2003 </w:t>
      </w:r>
      <w:r>
        <w:t xml:space="preserve">, World Bank Available at: </w:t>
      </w:r>
      <w:r w:rsidRPr="00FC0A44">
        <w:t>https://www.un.org/en/development/surveys/docs/worlddev2003.pdf</w:t>
      </w:r>
    </w:p>
  </w:footnote>
  <w:footnote w:id="42">
    <w:p w14:paraId="18B2856B" w14:textId="705BFB77" w:rsidR="00C45F54" w:rsidRDefault="00C45F54">
      <w:pPr>
        <w:pStyle w:val="Textpoznpodarou"/>
      </w:pPr>
      <w:r>
        <w:rPr>
          <w:rStyle w:val="Znakapoznpodarou"/>
        </w:rPr>
        <w:footnoteRef/>
      </w:r>
      <w:r>
        <w:t xml:space="preserve"> </w:t>
      </w:r>
      <w:r w:rsidRPr="00EA7A5D">
        <w:t>Bustelo P. The East Asian Financial Crises: An Analytical Survey // ICEI Working Papers. 1998. № 10. Pp. 16–22.</w:t>
      </w:r>
    </w:p>
  </w:footnote>
  <w:footnote w:id="43">
    <w:p w14:paraId="5ED21211" w14:textId="45BB8272" w:rsidR="00C45F54" w:rsidRDefault="00C45F54">
      <w:pPr>
        <w:pStyle w:val="Textpoznpodarou"/>
      </w:pPr>
      <w:r>
        <w:rPr>
          <w:rStyle w:val="Znakapoznpodarou"/>
        </w:rPr>
        <w:footnoteRef/>
      </w:r>
      <w:r>
        <w:t xml:space="preserve"> </w:t>
      </w:r>
      <w:r w:rsidRPr="00EA7A5D">
        <w:t xml:space="preserve">CEICDataCompanyLTD. </w:t>
      </w:r>
      <w:r>
        <w:t>World Bank</w:t>
      </w:r>
      <w:r w:rsidRPr="00EA7A5D">
        <w:t>.</w:t>
      </w:r>
      <w:r w:rsidRPr="00FC0A44">
        <w:t xml:space="preserve">World Development Report 2003 </w:t>
      </w:r>
      <w:r w:rsidRPr="00EA7A5D">
        <w:t>.</w:t>
      </w:r>
    </w:p>
  </w:footnote>
  <w:footnote w:id="44">
    <w:p w14:paraId="0529E165" w14:textId="51959B8C" w:rsidR="00C45F54" w:rsidRPr="008B7226" w:rsidRDefault="00C45F54">
      <w:pPr>
        <w:pStyle w:val="Textpoznpodarou"/>
      </w:pPr>
      <w:r>
        <w:rPr>
          <w:rStyle w:val="Znakapoznpodarou"/>
        </w:rPr>
        <w:footnoteRef/>
      </w:r>
      <w:r>
        <w:t xml:space="preserve"> </w:t>
      </w:r>
      <w:r w:rsidRPr="008B7226">
        <w:t>Carpenter J.N., Fangzhou Lu, Whitelaw R.F. The Real Value of China’s Stock Market // NBER Working Paper 20957. February 2015.</w:t>
      </w:r>
    </w:p>
  </w:footnote>
  <w:footnote w:id="45">
    <w:p w14:paraId="4B057FC8" w14:textId="7878CCC1" w:rsidR="00C45F54" w:rsidRPr="00F724D4" w:rsidRDefault="00C45F54">
      <w:pPr>
        <w:pStyle w:val="Textpoznpodarou"/>
      </w:pPr>
      <w:r>
        <w:rPr>
          <w:rStyle w:val="Znakapoznpodarou"/>
        </w:rPr>
        <w:footnoteRef/>
      </w:r>
      <w:r>
        <w:t xml:space="preserve"> </w:t>
      </w:r>
      <w:r w:rsidRPr="00F724D4">
        <w:t>Basel Standards</w:t>
      </w:r>
      <w:r>
        <w:t xml:space="preserve"> , Dostupne z :</w:t>
      </w:r>
      <w:r w:rsidRPr="00F724D4">
        <w:t>https://www.bis.org/list/bcbs/page_1.htm</w:t>
      </w:r>
    </w:p>
  </w:footnote>
  <w:footnote w:id="46">
    <w:p w14:paraId="7F575987" w14:textId="70E7D1E1" w:rsidR="00C45F54" w:rsidRDefault="00C45F54">
      <w:pPr>
        <w:pStyle w:val="Textpoznpodarou"/>
      </w:pPr>
      <w:r>
        <w:rPr>
          <w:rStyle w:val="Znakapoznpodarou"/>
        </w:rPr>
        <w:footnoteRef/>
      </w:r>
      <w:r>
        <w:t xml:space="preserve"> </w:t>
      </w:r>
      <w:r w:rsidRPr="0025412A">
        <w:t>Regional Connectivity for Shared Prosperity // Economic and Social Survey of Asia and the Pacific. UN. Bangkok, 2014. С. 39.</w:t>
      </w:r>
    </w:p>
  </w:footnote>
  <w:footnote w:id="47">
    <w:p w14:paraId="43E72547" w14:textId="67D5A9A2" w:rsidR="00C45F54" w:rsidRPr="007B3992" w:rsidRDefault="00C45F54" w:rsidP="007B3992">
      <w:pPr>
        <w:pStyle w:val="Textpoznpodarou"/>
      </w:pPr>
      <w:r>
        <w:rPr>
          <w:rStyle w:val="Znakapoznpodarou"/>
        </w:rPr>
        <w:footnoteRef/>
      </w:r>
      <w:r>
        <w:t xml:space="preserve"> </w:t>
      </w:r>
      <w:r>
        <w:t xml:space="preserve">Fisher I.,The Theory of Interest – Econlib, New York, The Macmillan Co.,1930, </w:t>
      </w:r>
      <w:r w:rsidRPr="00323E47">
        <w:rPr>
          <w:i/>
          <w:iCs/>
          <w:lang w:val="en-US"/>
        </w:rPr>
        <w:t>Dostupne z</w:t>
      </w:r>
      <w:r>
        <w:t>: https://www.econlib.org/library/YPDBooks/Fisher/fshToI.html</w:t>
      </w:r>
    </w:p>
  </w:footnote>
  <w:footnote w:id="48">
    <w:p w14:paraId="33C043FB" w14:textId="1A13224F" w:rsidR="00C45F54" w:rsidRPr="00E331AE" w:rsidRDefault="00C45F54">
      <w:pPr>
        <w:pStyle w:val="Textpoznpodarou"/>
        <w:rPr>
          <w:lang w:val="en-US"/>
        </w:rPr>
      </w:pPr>
      <w:r>
        <w:rPr>
          <w:rStyle w:val="Znakapoznpodarou"/>
        </w:rPr>
        <w:footnoteRef/>
      </w:r>
      <w:r>
        <w:t xml:space="preserve"> </w:t>
      </w:r>
      <w:r w:rsidRPr="00111CB9">
        <w:t>Ray, S. (2012): Empirical Testing of International Fisher Effect in United States and Selected AsianEconomies. Advances in Information Technology and Management 2(1): 216–228.</w:t>
      </w:r>
    </w:p>
  </w:footnote>
  <w:footnote w:id="49">
    <w:p w14:paraId="2D2CFCC1" w14:textId="599B436B" w:rsidR="00C45F54" w:rsidRPr="00E331AE" w:rsidRDefault="00C45F54">
      <w:pPr>
        <w:pStyle w:val="Textpoznpodarou"/>
        <w:rPr>
          <w:lang w:val="en-US"/>
        </w:rPr>
      </w:pPr>
      <w:r>
        <w:rPr>
          <w:rStyle w:val="Znakapoznpodarou"/>
        </w:rPr>
        <w:footnoteRef/>
      </w:r>
      <w:r>
        <w:t xml:space="preserve"> </w:t>
      </w:r>
      <w:r w:rsidRPr="00E331AE">
        <w:t xml:space="preserve">C. W. J. </w:t>
      </w:r>
      <w:r w:rsidRPr="00E331AE">
        <w:t>Granger and P. Newbold, “Spurious regressions in econometrics,” Journal of Econometrics,vol. 2, no. 2, pp. 111–120, 1974.</w:t>
      </w:r>
    </w:p>
  </w:footnote>
  <w:footnote w:id="50">
    <w:p w14:paraId="05248213" w14:textId="42A84C2A" w:rsidR="00C45F54" w:rsidRPr="00AB5ECC" w:rsidRDefault="00C45F54">
      <w:pPr>
        <w:pStyle w:val="Textpoznpodarou"/>
        <w:rPr>
          <w:lang w:val="en-US"/>
        </w:rPr>
      </w:pPr>
      <w:r>
        <w:rPr>
          <w:rStyle w:val="Znakapoznpodarou"/>
        </w:rPr>
        <w:footnoteRef/>
      </w:r>
      <w:r>
        <w:t xml:space="preserve"> </w:t>
      </w:r>
      <w:r w:rsidRPr="00AB5ECC">
        <w:t xml:space="preserve">IMF </w:t>
      </w:r>
      <w:r w:rsidRPr="00AB5ECC">
        <w:t>Working Papers Volume 1999 Issue 064: Survey of Literature on Demand for Money: Theoretical and Empirical Work with Special Reference to Error-Correction Models (1999)</w:t>
      </w:r>
    </w:p>
  </w:footnote>
  <w:footnote w:id="51">
    <w:p w14:paraId="11E166B4" w14:textId="06768290" w:rsidR="00C45F54" w:rsidRPr="00AB5ECC" w:rsidRDefault="00C45F54">
      <w:pPr>
        <w:pStyle w:val="Textpoznpodarou"/>
        <w:rPr>
          <w:lang w:val="en-US"/>
        </w:rPr>
      </w:pPr>
      <w:r>
        <w:rPr>
          <w:rStyle w:val="Znakapoznpodarou"/>
        </w:rPr>
        <w:footnoteRef/>
      </w:r>
      <w:r>
        <w:t xml:space="preserve"> </w:t>
      </w:r>
      <w:r>
        <w:t>Ssekuma R.A Study of Cointegration Models with Application. Unoversity of South Africa,2011.</w:t>
      </w:r>
    </w:p>
  </w:footnote>
  <w:footnote w:id="52">
    <w:p w14:paraId="30FC775C" w14:textId="2C08C549" w:rsidR="00C45F54" w:rsidRPr="00AB5ECC" w:rsidRDefault="00C45F54">
      <w:pPr>
        <w:pStyle w:val="Textpoznpodarou"/>
        <w:rPr>
          <w:lang w:val="en-US"/>
        </w:rPr>
      </w:pPr>
      <w:r>
        <w:rPr>
          <w:rStyle w:val="Znakapoznpodarou"/>
        </w:rPr>
        <w:footnoteRef/>
      </w:r>
      <w:r>
        <w:t xml:space="preserve"> </w:t>
      </w:r>
      <w:r w:rsidRPr="00AB5ECC">
        <w:t>MacKinnon, James G. “Numerical Distribution Functions for Unit Root and Cointegration Tests.” Journal of Applied Econometrics 11, no. 6 (1996): 601–18. http://www.jstor.org/stable/22851</w:t>
      </w:r>
    </w:p>
  </w:footnote>
  <w:footnote w:id="53">
    <w:p w14:paraId="23A8165A" w14:textId="3CAA0A01" w:rsidR="00C45F54" w:rsidRPr="003B7B17" w:rsidRDefault="00C45F54">
      <w:pPr>
        <w:pStyle w:val="Textpoznpodarou"/>
        <w:rPr>
          <w:lang w:val="en-US"/>
        </w:rPr>
      </w:pPr>
      <w:r>
        <w:rPr>
          <w:rStyle w:val="Znakapoznpodarou"/>
        </w:rPr>
        <w:footnoteRef/>
      </w:r>
      <w:r>
        <w:t xml:space="preserve"> </w:t>
      </w:r>
      <w:r w:rsidRPr="00162B71">
        <w:t xml:space="preserve">IMF. </w:t>
      </w:r>
      <w:r w:rsidRPr="00162B71">
        <w:t>World Economic Outlook Statistic Database. April 2015.</w:t>
      </w:r>
    </w:p>
  </w:footnote>
  <w:footnote w:id="54">
    <w:p w14:paraId="1373398F" w14:textId="23746AE8" w:rsidR="00C45F54" w:rsidRPr="002714BA" w:rsidRDefault="00C45F54">
      <w:pPr>
        <w:pStyle w:val="Textpoznpodarou"/>
        <w:rPr>
          <w:lang w:val="en-US"/>
        </w:rPr>
      </w:pPr>
      <w:r>
        <w:rPr>
          <w:rStyle w:val="Znakapoznpodarou"/>
        </w:rPr>
        <w:footnoteRef/>
      </w:r>
      <w:r>
        <w:t xml:space="preserve"> </w:t>
      </w:r>
      <w:r w:rsidRPr="00162B71">
        <w:t xml:space="preserve">IMF. </w:t>
      </w:r>
      <w:r w:rsidRPr="00162B71">
        <w:t>World Economic Outlook Statistic Database. April 2015.</w:t>
      </w:r>
    </w:p>
  </w:footnote>
  <w:footnote w:id="55">
    <w:p w14:paraId="0B456C71" w14:textId="08EED355" w:rsidR="00C45F54" w:rsidRPr="002714BA" w:rsidRDefault="00C45F54">
      <w:pPr>
        <w:pStyle w:val="Textpoznpodarou"/>
        <w:rPr>
          <w:lang w:val="en-US"/>
        </w:rPr>
      </w:pPr>
      <w:r>
        <w:rPr>
          <w:rStyle w:val="Znakapoznpodarou"/>
        </w:rPr>
        <w:footnoteRef/>
      </w:r>
      <w:r>
        <w:t xml:space="preserve"> </w:t>
      </w:r>
      <w:r w:rsidRPr="00162B71">
        <w:t xml:space="preserve">IMF. </w:t>
      </w:r>
      <w:r w:rsidRPr="00162B71">
        <w:t>World Economic Outlook Statistic Database. April 2015.</w:t>
      </w:r>
    </w:p>
  </w:footnote>
  <w:footnote w:id="56">
    <w:p w14:paraId="3037CC57" w14:textId="23C3831E" w:rsidR="00C45F54" w:rsidRPr="002714BA" w:rsidRDefault="00C45F54">
      <w:pPr>
        <w:pStyle w:val="Textpoznpodarou"/>
        <w:rPr>
          <w:lang w:val="en-US"/>
        </w:rPr>
      </w:pPr>
      <w:r>
        <w:rPr>
          <w:rStyle w:val="Znakapoznpodarou"/>
        </w:rPr>
        <w:footnoteRef/>
      </w:r>
      <w:r>
        <w:t xml:space="preserve"> </w:t>
      </w:r>
      <w:r w:rsidRPr="004B4F32">
        <w:t xml:space="preserve">IMF. Balance </w:t>
      </w:r>
      <w:r w:rsidRPr="004B4F32">
        <w:t>of Payment Statistics. BOP and IIP Data by Country. 2015.</w:t>
      </w:r>
    </w:p>
  </w:footnote>
  <w:footnote w:id="57">
    <w:p w14:paraId="2B21476A" w14:textId="2579D029" w:rsidR="00C45F54" w:rsidRPr="002714BA" w:rsidRDefault="00C45F54">
      <w:pPr>
        <w:pStyle w:val="Textpoznpodarou"/>
        <w:rPr>
          <w:lang w:val="en-US"/>
        </w:rPr>
      </w:pPr>
      <w:r>
        <w:rPr>
          <w:rStyle w:val="Znakapoznpodarou"/>
        </w:rPr>
        <w:footnoteRef/>
      </w:r>
      <w:r>
        <w:t xml:space="preserve"> </w:t>
      </w:r>
      <w:r w:rsidRPr="004B4F32">
        <w:t xml:space="preserve">IMF. Balance </w:t>
      </w:r>
      <w:r w:rsidRPr="004B4F32">
        <w:t>of Payment Statistics. BOP and IIP Data by Country. 2015.</w:t>
      </w:r>
    </w:p>
  </w:footnote>
  <w:footnote w:id="58">
    <w:p w14:paraId="2465050E" w14:textId="1992880B" w:rsidR="00C45F54" w:rsidRPr="002714BA" w:rsidRDefault="00C45F54">
      <w:pPr>
        <w:pStyle w:val="Textpoznpodarou"/>
        <w:rPr>
          <w:lang w:val="en-US"/>
        </w:rPr>
      </w:pPr>
      <w:r>
        <w:rPr>
          <w:rStyle w:val="Znakapoznpodarou"/>
        </w:rPr>
        <w:footnoteRef/>
      </w:r>
      <w:r>
        <w:t xml:space="preserve"> </w:t>
      </w:r>
      <w:r w:rsidRPr="004B4F32">
        <w:t xml:space="preserve"> </w:t>
      </w:r>
      <w:r w:rsidRPr="004B4F32">
        <w:t>Adjusting to a Changing World. East Asia and Pacific Economic Update. World Bank. April 2015. Pp. 10–11.</w:t>
      </w:r>
    </w:p>
  </w:footnote>
  <w:footnote w:id="59">
    <w:p w14:paraId="7710F30C" w14:textId="33B16449" w:rsidR="00C45F54" w:rsidRPr="002714BA" w:rsidRDefault="00C45F54">
      <w:pPr>
        <w:pStyle w:val="Textpoznpodarou"/>
        <w:rPr>
          <w:lang w:val="en-US"/>
        </w:rPr>
      </w:pPr>
      <w:r>
        <w:rPr>
          <w:rStyle w:val="Znakapoznpodarou"/>
        </w:rPr>
        <w:footnoteRef/>
      </w:r>
      <w:r>
        <w:t xml:space="preserve"> </w:t>
      </w:r>
      <w:r w:rsidRPr="004B4F32">
        <w:t>Economic and Social Survey of Asia and the Pacific 2015. Op. cit. P. 52.</w:t>
      </w:r>
    </w:p>
  </w:footnote>
  <w:footnote w:id="60">
    <w:p w14:paraId="59C59E27" w14:textId="2D1E8717" w:rsidR="00C45F54" w:rsidRPr="002714BA" w:rsidRDefault="00C45F54">
      <w:pPr>
        <w:pStyle w:val="Textpoznpodarou"/>
        <w:rPr>
          <w:lang w:val="en-US"/>
        </w:rPr>
      </w:pPr>
      <w:r>
        <w:rPr>
          <w:rStyle w:val="Znakapoznpodarou"/>
        </w:rPr>
        <w:footnoteRef/>
      </w:r>
      <w:r>
        <w:t xml:space="preserve"> </w:t>
      </w:r>
      <w:r w:rsidRPr="004B4F32">
        <w:t>Economic and Social Survey of Asia and the Pacific 2015. Op. cit. P. 52.</w:t>
      </w:r>
    </w:p>
  </w:footnote>
  <w:footnote w:id="61">
    <w:p w14:paraId="1CBB45F8" w14:textId="3C463310" w:rsidR="00C45F54" w:rsidRPr="00D86452" w:rsidRDefault="00C45F54">
      <w:pPr>
        <w:pStyle w:val="Textpoznpodarou"/>
      </w:pPr>
      <w:r>
        <w:rPr>
          <w:rStyle w:val="Znakapoznpodarou"/>
        </w:rPr>
        <w:footnoteRef/>
      </w:r>
      <w:r>
        <w:t xml:space="preserve"> </w:t>
      </w:r>
      <w:r w:rsidRPr="00D86452">
        <w:t>Annual Report on Exchange Arrangements and Exchange Restrictions 2014. IMF. Washington D.C., 2014. Pp. 5–6.</w:t>
      </w:r>
    </w:p>
  </w:footnote>
  <w:footnote w:id="62">
    <w:p w14:paraId="21517DFD" w14:textId="5C973E02" w:rsidR="00C45F54" w:rsidRPr="00D86452" w:rsidRDefault="00C45F54">
      <w:pPr>
        <w:pStyle w:val="Textpoznpodarou"/>
        <w:rPr>
          <w:lang w:val="en-US"/>
        </w:rPr>
      </w:pPr>
      <w:r>
        <w:rPr>
          <w:rStyle w:val="Znakapoznpodarou"/>
        </w:rPr>
        <w:footnoteRef/>
      </w:r>
      <w:r>
        <w:t xml:space="preserve"> </w:t>
      </w:r>
      <w:r w:rsidRPr="004B4F32">
        <w:t>Annual Report on Exchange Arrangements and Exchange Restrictions 2014. IMF. Washington D.C., 2014. Pp. 5–6.</w:t>
      </w:r>
    </w:p>
  </w:footnote>
  <w:footnote w:id="63">
    <w:p w14:paraId="71077730" w14:textId="2A0337F6" w:rsidR="00C45F54" w:rsidRPr="00D86452" w:rsidRDefault="00C45F54">
      <w:pPr>
        <w:pStyle w:val="Textpoznpodarou"/>
      </w:pPr>
      <w:r>
        <w:rPr>
          <w:rStyle w:val="Znakapoznpodarou"/>
        </w:rPr>
        <w:footnoteRef/>
      </w:r>
      <w:r>
        <w:t xml:space="preserve"> </w:t>
      </w:r>
      <w:r w:rsidRPr="00D86452">
        <w:t>Economic and Social Survey of Asia and the Pacific 2015. UNESCAP. Bangkok, 2015.</w:t>
      </w:r>
    </w:p>
  </w:footnote>
  <w:footnote w:id="64">
    <w:p w14:paraId="2080C699" w14:textId="025322CD" w:rsidR="00C45F54" w:rsidRPr="004B4F32" w:rsidRDefault="00C45F54">
      <w:pPr>
        <w:pStyle w:val="Textpoznpodarou"/>
        <w:rPr>
          <w:lang w:val="en-US"/>
        </w:rPr>
      </w:pPr>
      <w:r>
        <w:rPr>
          <w:rStyle w:val="Znakapoznpodarou"/>
        </w:rPr>
        <w:footnoteRef/>
      </w:r>
      <w:r>
        <w:t xml:space="preserve"> </w:t>
      </w:r>
      <w:r w:rsidRPr="004B4F32">
        <w:t>Economic and Social Survey of Asia and the Pacific 2015. UNESCAP. Bangkok, 2015.</w:t>
      </w:r>
    </w:p>
  </w:footnote>
  <w:footnote w:id="65">
    <w:p w14:paraId="2CDB9963" w14:textId="59233B53" w:rsidR="00C45F54" w:rsidRPr="002714BA" w:rsidRDefault="00C45F54">
      <w:pPr>
        <w:pStyle w:val="Textpoznpodarou"/>
        <w:rPr>
          <w:lang w:val="en-US"/>
        </w:rPr>
      </w:pPr>
      <w:r>
        <w:rPr>
          <w:rStyle w:val="Znakapoznpodarou"/>
        </w:rPr>
        <w:footnoteRef/>
      </w:r>
      <w:r>
        <w:t xml:space="preserve"> </w:t>
      </w:r>
      <w:r w:rsidRPr="00426D4B">
        <w:t xml:space="preserve">Forbes K. et al. </w:t>
      </w:r>
      <w:r w:rsidRPr="00426D4B">
        <w:t>Bubble thy neighbour: Portfolio effects and externalities from capital controls. Journal of International Economics, 2016, vol. 99, pp. 85–104</w:t>
      </w:r>
    </w:p>
  </w:footnote>
  <w:footnote w:id="66">
    <w:p w14:paraId="41B1FCFE" w14:textId="77777777" w:rsidR="00D325F4" w:rsidRPr="00F64D2B" w:rsidRDefault="00D325F4" w:rsidP="00D325F4">
      <w:pPr>
        <w:pStyle w:val="Textpoznpodarou"/>
        <w:rPr>
          <w:lang w:val="en-US"/>
        </w:rPr>
      </w:pPr>
      <w:r>
        <w:rPr>
          <w:rStyle w:val="Znakapoznpodarou"/>
        </w:rPr>
        <w:footnoteRef/>
      </w:r>
      <w:r>
        <w:t xml:space="preserve"> </w:t>
      </w:r>
      <w:r w:rsidRPr="00F64D2B">
        <w:t>Arslanalp S. et al. China’s Growing Influence on Asian Financial Markets. Journal Issue, 2016, p. 173.</w:t>
      </w:r>
    </w:p>
  </w:footnote>
  <w:footnote w:id="67">
    <w:p w14:paraId="25F0E747" w14:textId="690691C4" w:rsidR="00C45F54" w:rsidRDefault="00C45F54" w:rsidP="00F64D2B">
      <w:pPr>
        <w:pStyle w:val="Textpoznpodarou"/>
      </w:pPr>
      <w:r>
        <w:rPr>
          <w:rStyle w:val="Znakapoznpodarou"/>
        </w:rPr>
        <w:footnoteRef/>
      </w:r>
      <w:r>
        <w:t xml:space="preserve"> </w:t>
      </w:r>
      <w:r>
        <w:t>Tan L., et al. Herding behavior in Chinese stock markets: An examination of A and B shares. Pacific-Basin Finance</w:t>
      </w:r>
    </w:p>
    <w:p w14:paraId="211945D6" w14:textId="25E561F7" w:rsidR="00C45F54" w:rsidRPr="00F64D2B" w:rsidRDefault="00C45F54" w:rsidP="00F64D2B">
      <w:pPr>
        <w:pStyle w:val="Textpoznpodarou"/>
        <w:rPr>
          <w:lang w:val="en-US"/>
        </w:rPr>
      </w:pPr>
      <w:r>
        <w:t>Journal, 2008, vol. 16, no. 1, pp. 61–77</w:t>
      </w:r>
    </w:p>
  </w:footnote>
  <w:footnote w:id="68">
    <w:p w14:paraId="5FBA5E54" w14:textId="3E368EA0" w:rsidR="00C45F54" w:rsidRDefault="00C45F54" w:rsidP="00426D4B">
      <w:pPr>
        <w:pStyle w:val="Textpoznpodarou"/>
      </w:pPr>
      <w:r>
        <w:rPr>
          <w:rStyle w:val="Znakapoznpodarou"/>
        </w:rPr>
        <w:footnoteRef/>
      </w:r>
      <w:r>
        <w:t xml:space="preserve"> </w:t>
      </w:r>
      <w:r>
        <w:t>Tan L., et al. Herding behavior in Chinese stock markets: An examination of A and B shares. Pacific-Basin Finance</w:t>
      </w:r>
    </w:p>
    <w:p w14:paraId="79A649EC" w14:textId="0BC19BE7" w:rsidR="00C45F54" w:rsidRPr="00426D4B" w:rsidRDefault="00C45F54" w:rsidP="00426D4B">
      <w:pPr>
        <w:pStyle w:val="Textpoznpodarou"/>
      </w:pPr>
      <w:r>
        <w:t>Journal, 2008, vol. 16, no. 1, pp. 61–77</w:t>
      </w:r>
    </w:p>
  </w:footnote>
  <w:footnote w:id="69">
    <w:p w14:paraId="6ADB4874" w14:textId="030D5B10" w:rsidR="00C45F54" w:rsidRPr="00426D4B" w:rsidRDefault="00C45F54">
      <w:pPr>
        <w:pStyle w:val="Textpoznpodarou"/>
        <w:rPr>
          <w:lang w:val="en-US"/>
        </w:rPr>
      </w:pPr>
      <w:r>
        <w:rPr>
          <w:rStyle w:val="Znakapoznpodarou"/>
        </w:rPr>
        <w:footnoteRef/>
      </w:r>
      <w:r>
        <w:t xml:space="preserve"> </w:t>
      </w:r>
      <w:r w:rsidRPr="00426D4B">
        <w:t>Sornette D., Woodard R., Zhou W.X. The 2006–2008 oil bubble: Evidence of speculation, and prediction. Physica A: Statistical Mechanics and its Applications, 2009, vol. 388, no. 8, pp. 1571–1576.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A3B8" w14:textId="77777777" w:rsidR="00C45F54" w:rsidRPr="00225164" w:rsidRDefault="00C45F54" w:rsidP="00903656">
    <w:pPr>
      <w:pStyle w:val="Zhlav"/>
      <w:rPr>
        <w:sz w:val="28"/>
        <w:szCs w:val="28"/>
      </w:rPr>
    </w:pPr>
  </w:p>
  <w:p w14:paraId="471D8590" w14:textId="77777777" w:rsidR="00C45F54" w:rsidRPr="00821A05" w:rsidRDefault="00C45F54" w:rsidP="00903656">
    <w:pPr>
      <w:pStyle w:val="Zhlav"/>
      <w:rPr>
        <w:sz w:val="14"/>
        <w:szCs w:val="14"/>
      </w:rPr>
    </w:pPr>
  </w:p>
  <w:p w14:paraId="5299B63C" w14:textId="77777777" w:rsidR="00C45F54" w:rsidRPr="004A4AED" w:rsidRDefault="00C45F54" w:rsidP="00903656">
    <w:pPr>
      <w:pStyle w:val="Zhlav"/>
      <w:rPr>
        <w:sz w:val="19"/>
        <w:szCs w:val="19"/>
      </w:rPr>
    </w:pPr>
  </w:p>
  <w:p w14:paraId="6DF0FC3A" w14:textId="77777777" w:rsidR="00C45F54" w:rsidRDefault="00C45F54" w:rsidP="0090365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4A06" w14:textId="77777777" w:rsidR="00C45F54" w:rsidRPr="00F44574" w:rsidRDefault="00C45F54" w:rsidP="00F445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587"/>
    <w:multiLevelType w:val="hybridMultilevel"/>
    <w:tmpl w:val="1E727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70362"/>
    <w:multiLevelType w:val="hybridMultilevel"/>
    <w:tmpl w:val="52CCBA70"/>
    <w:lvl w:ilvl="0" w:tplc="D9CC12E8">
      <w:numFmt w:val="bullet"/>
      <w:lvlText w:val="-"/>
      <w:lvlJc w:val="left"/>
      <w:pPr>
        <w:ind w:left="720" w:hanging="360"/>
      </w:pPr>
    </w:lvl>
    <w:lvl w:ilvl="1" w:tplc="25BE5C62" w:tentative="1">
      <w:start w:val="1"/>
      <w:numFmt w:val="bullet"/>
      <w:lvlText w:val="o"/>
      <w:lvlJc w:val="left"/>
      <w:pPr>
        <w:ind w:left="1440" w:hanging="360"/>
      </w:pPr>
    </w:lvl>
    <w:lvl w:ilvl="2" w:tplc="DC263D12" w:tentative="1">
      <w:start w:val="1"/>
      <w:numFmt w:val="bullet"/>
      <w:lvlText w:val=""/>
      <w:lvlJc w:val="left"/>
      <w:pPr>
        <w:ind w:left="2160" w:hanging="360"/>
      </w:pPr>
    </w:lvl>
    <w:lvl w:ilvl="3" w:tplc="4300AF14" w:tentative="1">
      <w:start w:val="1"/>
      <w:numFmt w:val="bullet"/>
      <w:lvlText w:val=""/>
      <w:lvlJc w:val="left"/>
      <w:pPr>
        <w:ind w:left="2880" w:hanging="360"/>
      </w:pPr>
    </w:lvl>
    <w:lvl w:ilvl="4" w:tplc="7A6C1FEA" w:tentative="1">
      <w:start w:val="1"/>
      <w:numFmt w:val="bullet"/>
      <w:lvlText w:val="o"/>
      <w:lvlJc w:val="left"/>
      <w:pPr>
        <w:ind w:left="3600" w:hanging="360"/>
      </w:pPr>
    </w:lvl>
    <w:lvl w:ilvl="5" w:tplc="AD760EA4" w:tentative="1">
      <w:start w:val="1"/>
      <w:numFmt w:val="bullet"/>
      <w:lvlText w:val=""/>
      <w:lvlJc w:val="left"/>
      <w:pPr>
        <w:ind w:left="4320" w:hanging="360"/>
      </w:pPr>
    </w:lvl>
    <w:lvl w:ilvl="6" w:tplc="4536BF88" w:tentative="1">
      <w:start w:val="1"/>
      <w:numFmt w:val="bullet"/>
      <w:lvlText w:val=""/>
      <w:lvlJc w:val="left"/>
      <w:pPr>
        <w:ind w:left="5040" w:hanging="360"/>
      </w:pPr>
    </w:lvl>
    <w:lvl w:ilvl="7" w:tplc="7738165E" w:tentative="1">
      <w:start w:val="1"/>
      <w:numFmt w:val="bullet"/>
      <w:lvlText w:val="o"/>
      <w:lvlJc w:val="left"/>
      <w:pPr>
        <w:ind w:left="5760" w:hanging="360"/>
      </w:pPr>
    </w:lvl>
    <w:lvl w:ilvl="8" w:tplc="14AA105A" w:tentative="1">
      <w:start w:val="1"/>
      <w:numFmt w:val="bullet"/>
      <w:lvlText w:val=""/>
      <w:lvlJc w:val="left"/>
      <w:pPr>
        <w:ind w:left="6480" w:hanging="360"/>
      </w:pPr>
    </w:lvl>
  </w:abstractNum>
  <w:abstractNum w:abstractNumId="2" w15:restartNumberingAfterBreak="0">
    <w:nsid w:val="04310809"/>
    <w:multiLevelType w:val="hybridMultilevel"/>
    <w:tmpl w:val="FD96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705B8"/>
    <w:multiLevelType w:val="hybridMultilevel"/>
    <w:tmpl w:val="1292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7F2F6E"/>
    <w:multiLevelType w:val="hybridMultilevel"/>
    <w:tmpl w:val="89E6D2D2"/>
    <w:lvl w:ilvl="0" w:tplc="9BFEE616">
      <w:start w:val="1"/>
      <w:numFmt w:val="bullet"/>
      <w:lvlText w:val=""/>
      <w:lvlJc w:val="left"/>
      <w:pPr>
        <w:tabs>
          <w:tab w:val="num" w:pos="717"/>
        </w:tabs>
        <w:ind w:left="717" w:hanging="357"/>
      </w:pPr>
    </w:lvl>
    <w:lvl w:ilvl="1" w:tplc="8E305DC4" w:tentative="1">
      <w:start w:val="1"/>
      <w:numFmt w:val="bullet"/>
      <w:lvlText w:val="o"/>
      <w:lvlJc w:val="left"/>
      <w:pPr>
        <w:tabs>
          <w:tab w:val="num" w:pos="1440"/>
        </w:tabs>
        <w:ind w:left="1440" w:hanging="360"/>
      </w:pPr>
    </w:lvl>
    <w:lvl w:ilvl="2" w:tplc="A2123C2C" w:tentative="1">
      <w:start w:val="1"/>
      <w:numFmt w:val="bullet"/>
      <w:lvlText w:val=""/>
      <w:lvlJc w:val="left"/>
      <w:pPr>
        <w:tabs>
          <w:tab w:val="num" w:pos="2160"/>
        </w:tabs>
        <w:ind w:left="2160" w:hanging="360"/>
      </w:pPr>
    </w:lvl>
    <w:lvl w:ilvl="3" w:tplc="EC923148" w:tentative="1">
      <w:start w:val="1"/>
      <w:numFmt w:val="bullet"/>
      <w:lvlText w:val=""/>
      <w:lvlJc w:val="left"/>
      <w:pPr>
        <w:tabs>
          <w:tab w:val="num" w:pos="2880"/>
        </w:tabs>
        <w:ind w:left="2880" w:hanging="360"/>
      </w:pPr>
    </w:lvl>
    <w:lvl w:ilvl="4" w:tplc="6D527EFE" w:tentative="1">
      <w:start w:val="1"/>
      <w:numFmt w:val="bullet"/>
      <w:lvlText w:val="o"/>
      <w:lvlJc w:val="left"/>
      <w:pPr>
        <w:tabs>
          <w:tab w:val="num" w:pos="3600"/>
        </w:tabs>
        <w:ind w:left="3600" w:hanging="360"/>
      </w:pPr>
    </w:lvl>
    <w:lvl w:ilvl="5" w:tplc="331E664C" w:tentative="1">
      <w:start w:val="1"/>
      <w:numFmt w:val="bullet"/>
      <w:lvlText w:val=""/>
      <w:lvlJc w:val="left"/>
      <w:pPr>
        <w:tabs>
          <w:tab w:val="num" w:pos="4320"/>
        </w:tabs>
        <w:ind w:left="4320" w:hanging="360"/>
      </w:pPr>
    </w:lvl>
    <w:lvl w:ilvl="6" w:tplc="FA120806" w:tentative="1">
      <w:start w:val="1"/>
      <w:numFmt w:val="bullet"/>
      <w:lvlText w:val=""/>
      <w:lvlJc w:val="left"/>
      <w:pPr>
        <w:tabs>
          <w:tab w:val="num" w:pos="5040"/>
        </w:tabs>
        <w:ind w:left="5040" w:hanging="360"/>
      </w:pPr>
    </w:lvl>
    <w:lvl w:ilvl="7" w:tplc="FC7A6566" w:tentative="1">
      <w:start w:val="1"/>
      <w:numFmt w:val="bullet"/>
      <w:lvlText w:val="o"/>
      <w:lvlJc w:val="left"/>
      <w:pPr>
        <w:tabs>
          <w:tab w:val="num" w:pos="5760"/>
        </w:tabs>
        <w:ind w:left="5760" w:hanging="360"/>
      </w:pPr>
    </w:lvl>
    <w:lvl w:ilvl="8" w:tplc="409CF09C" w:tentative="1">
      <w:start w:val="1"/>
      <w:numFmt w:val="bullet"/>
      <w:lvlText w:val=""/>
      <w:lvlJc w:val="left"/>
      <w:pPr>
        <w:tabs>
          <w:tab w:val="num" w:pos="6480"/>
        </w:tabs>
        <w:ind w:left="6480" w:hanging="360"/>
      </w:pPr>
    </w:lvl>
  </w:abstractNum>
  <w:abstractNum w:abstractNumId="5" w15:restartNumberingAfterBreak="0">
    <w:nsid w:val="126C5C81"/>
    <w:multiLevelType w:val="multilevel"/>
    <w:tmpl w:val="99A0269E"/>
    <w:lvl w:ilvl="0">
      <w:start w:val="1"/>
      <w:numFmt w:val="decimal"/>
      <w:lvlText w:val="%1"/>
      <w:lvlJc w:val="left"/>
      <w:pPr>
        <w:ind w:left="3550" w:hanging="432"/>
      </w:pPr>
    </w:lvl>
    <w:lvl w:ilvl="1">
      <w:start w:val="1"/>
      <w:numFmt w:val="decimal"/>
      <w:lvlText w:val="%1.%2"/>
      <w:lvlJc w:val="left"/>
      <w:pPr>
        <w:ind w:left="718" w:hanging="576"/>
      </w:pPr>
    </w:lvl>
    <w:lvl w:ilvl="2">
      <w:start w:val="1"/>
      <w:numFmt w:val="decimal"/>
      <w:pStyle w:val="Nadpis3"/>
      <w:lvlText w:val="%1.%2.%3"/>
      <w:lvlJc w:val="left"/>
      <w:pPr>
        <w:ind w:left="3552" w:hanging="720"/>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829"/>
        </w:tabs>
        <w:ind w:left="0" w:firstLine="2832"/>
      </w:pPr>
    </w:lvl>
    <w:lvl w:ilvl="4">
      <w:start w:val="1"/>
      <w:numFmt w:val="decimal"/>
      <w:lvlText w:val="%1.%2.%3.%4.%5"/>
      <w:lvlJc w:val="left"/>
      <w:pPr>
        <w:ind w:left="3840" w:hanging="1008"/>
      </w:pPr>
    </w:lvl>
    <w:lvl w:ilvl="5">
      <w:start w:val="1"/>
      <w:numFmt w:val="decimal"/>
      <w:lvlText w:val="%1.%2.%3.%4.%5.%6"/>
      <w:lvlJc w:val="left"/>
      <w:pPr>
        <w:ind w:left="3984" w:hanging="1152"/>
      </w:pPr>
    </w:lvl>
    <w:lvl w:ilvl="6">
      <w:start w:val="1"/>
      <w:numFmt w:val="decimal"/>
      <w:lvlText w:val="%1.%2.%3.%4.%5.%6.%7"/>
      <w:lvlJc w:val="left"/>
      <w:pPr>
        <w:ind w:left="4128" w:hanging="1296"/>
      </w:pPr>
    </w:lvl>
    <w:lvl w:ilvl="7">
      <w:start w:val="1"/>
      <w:numFmt w:val="decimal"/>
      <w:lvlText w:val="%1.%2.%3.%4.%5.%6.%7.%8"/>
      <w:lvlJc w:val="left"/>
      <w:pPr>
        <w:ind w:left="4272" w:hanging="1440"/>
      </w:pPr>
    </w:lvl>
    <w:lvl w:ilvl="8">
      <w:start w:val="1"/>
      <w:numFmt w:val="decimal"/>
      <w:lvlText w:val="%1.%2.%3.%4.%5.%6.%7.%8.%9"/>
      <w:lvlJc w:val="left"/>
      <w:pPr>
        <w:ind w:left="4416" w:hanging="1584"/>
      </w:pPr>
    </w:lvl>
  </w:abstractNum>
  <w:abstractNum w:abstractNumId="6" w15:restartNumberingAfterBreak="0">
    <w:nsid w:val="12F14D34"/>
    <w:multiLevelType w:val="hybridMultilevel"/>
    <w:tmpl w:val="0FFEC9A2"/>
    <w:lvl w:ilvl="0" w:tplc="051660AE">
      <w:start w:val="1"/>
      <w:numFmt w:val="bullet"/>
      <w:lvlText w:val=""/>
      <w:lvlJc w:val="left"/>
      <w:pPr>
        <w:tabs>
          <w:tab w:val="num" w:pos="717"/>
        </w:tabs>
        <w:ind w:left="717" w:hanging="357"/>
      </w:pPr>
    </w:lvl>
    <w:lvl w:ilvl="1" w:tplc="A5006FE2" w:tentative="1">
      <w:start w:val="1"/>
      <w:numFmt w:val="bullet"/>
      <w:lvlText w:val="o"/>
      <w:lvlJc w:val="left"/>
      <w:pPr>
        <w:tabs>
          <w:tab w:val="num" w:pos="1440"/>
        </w:tabs>
        <w:ind w:left="1440" w:hanging="360"/>
      </w:pPr>
    </w:lvl>
    <w:lvl w:ilvl="2" w:tplc="27BE2C40" w:tentative="1">
      <w:start w:val="1"/>
      <w:numFmt w:val="bullet"/>
      <w:lvlText w:val=""/>
      <w:lvlJc w:val="left"/>
      <w:pPr>
        <w:tabs>
          <w:tab w:val="num" w:pos="2160"/>
        </w:tabs>
        <w:ind w:left="2160" w:hanging="360"/>
      </w:pPr>
    </w:lvl>
    <w:lvl w:ilvl="3" w:tplc="893E8842" w:tentative="1">
      <w:start w:val="1"/>
      <w:numFmt w:val="bullet"/>
      <w:lvlText w:val=""/>
      <w:lvlJc w:val="left"/>
      <w:pPr>
        <w:tabs>
          <w:tab w:val="num" w:pos="2880"/>
        </w:tabs>
        <w:ind w:left="2880" w:hanging="360"/>
      </w:pPr>
    </w:lvl>
    <w:lvl w:ilvl="4" w:tplc="D7E89416" w:tentative="1">
      <w:start w:val="1"/>
      <w:numFmt w:val="bullet"/>
      <w:lvlText w:val="o"/>
      <w:lvlJc w:val="left"/>
      <w:pPr>
        <w:tabs>
          <w:tab w:val="num" w:pos="3600"/>
        </w:tabs>
        <w:ind w:left="3600" w:hanging="360"/>
      </w:pPr>
    </w:lvl>
    <w:lvl w:ilvl="5" w:tplc="AE9AC182" w:tentative="1">
      <w:start w:val="1"/>
      <w:numFmt w:val="bullet"/>
      <w:lvlText w:val=""/>
      <w:lvlJc w:val="left"/>
      <w:pPr>
        <w:tabs>
          <w:tab w:val="num" w:pos="4320"/>
        </w:tabs>
        <w:ind w:left="4320" w:hanging="360"/>
      </w:pPr>
    </w:lvl>
    <w:lvl w:ilvl="6" w:tplc="A672F106" w:tentative="1">
      <w:start w:val="1"/>
      <w:numFmt w:val="bullet"/>
      <w:lvlText w:val=""/>
      <w:lvlJc w:val="left"/>
      <w:pPr>
        <w:tabs>
          <w:tab w:val="num" w:pos="5040"/>
        </w:tabs>
        <w:ind w:left="5040" w:hanging="360"/>
      </w:pPr>
    </w:lvl>
    <w:lvl w:ilvl="7" w:tplc="1AC439C8" w:tentative="1">
      <w:start w:val="1"/>
      <w:numFmt w:val="bullet"/>
      <w:lvlText w:val="o"/>
      <w:lvlJc w:val="left"/>
      <w:pPr>
        <w:tabs>
          <w:tab w:val="num" w:pos="5760"/>
        </w:tabs>
        <w:ind w:left="5760" w:hanging="360"/>
      </w:pPr>
    </w:lvl>
    <w:lvl w:ilvl="8" w:tplc="F7D40F7C" w:tentative="1">
      <w:start w:val="1"/>
      <w:numFmt w:val="bullet"/>
      <w:lvlText w:val=""/>
      <w:lvlJc w:val="left"/>
      <w:pPr>
        <w:tabs>
          <w:tab w:val="num" w:pos="6480"/>
        </w:tabs>
        <w:ind w:left="6480" w:hanging="360"/>
      </w:pPr>
    </w:lvl>
  </w:abstractNum>
  <w:abstractNum w:abstractNumId="7" w15:restartNumberingAfterBreak="0">
    <w:nsid w:val="1B2E7202"/>
    <w:multiLevelType w:val="hybridMultilevel"/>
    <w:tmpl w:val="C2D05AC6"/>
    <w:lvl w:ilvl="0" w:tplc="C2B41FD8">
      <w:start w:val="1"/>
      <w:numFmt w:val="bullet"/>
      <w:lvlText w:val=""/>
      <w:lvlJc w:val="left"/>
      <w:pPr>
        <w:tabs>
          <w:tab w:val="num" w:pos="717"/>
        </w:tabs>
        <w:ind w:left="717" w:hanging="357"/>
      </w:pPr>
    </w:lvl>
    <w:lvl w:ilvl="1" w:tplc="6142ABDE" w:tentative="1">
      <w:start w:val="1"/>
      <w:numFmt w:val="bullet"/>
      <w:lvlText w:val="o"/>
      <w:lvlJc w:val="left"/>
      <w:pPr>
        <w:tabs>
          <w:tab w:val="num" w:pos="1440"/>
        </w:tabs>
        <w:ind w:left="1440" w:hanging="360"/>
      </w:pPr>
    </w:lvl>
    <w:lvl w:ilvl="2" w:tplc="79CAAB12" w:tentative="1">
      <w:start w:val="1"/>
      <w:numFmt w:val="bullet"/>
      <w:lvlText w:val=""/>
      <w:lvlJc w:val="left"/>
      <w:pPr>
        <w:tabs>
          <w:tab w:val="num" w:pos="2160"/>
        </w:tabs>
        <w:ind w:left="2160" w:hanging="360"/>
      </w:pPr>
    </w:lvl>
    <w:lvl w:ilvl="3" w:tplc="CB5ACDF2" w:tentative="1">
      <w:start w:val="1"/>
      <w:numFmt w:val="bullet"/>
      <w:lvlText w:val=""/>
      <w:lvlJc w:val="left"/>
      <w:pPr>
        <w:tabs>
          <w:tab w:val="num" w:pos="2880"/>
        </w:tabs>
        <w:ind w:left="2880" w:hanging="360"/>
      </w:pPr>
    </w:lvl>
    <w:lvl w:ilvl="4" w:tplc="74DED466" w:tentative="1">
      <w:start w:val="1"/>
      <w:numFmt w:val="bullet"/>
      <w:lvlText w:val="o"/>
      <w:lvlJc w:val="left"/>
      <w:pPr>
        <w:tabs>
          <w:tab w:val="num" w:pos="3600"/>
        </w:tabs>
        <w:ind w:left="3600" w:hanging="360"/>
      </w:pPr>
    </w:lvl>
    <w:lvl w:ilvl="5" w:tplc="037E3722" w:tentative="1">
      <w:start w:val="1"/>
      <w:numFmt w:val="bullet"/>
      <w:lvlText w:val=""/>
      <w:lvlJc w:val="left"/>
      <w:pPr>
        <w:tabs>
          <w:tab w:val="num" w:pos="4320"/>
        </w:tabs>
        <w:ind w:left="4320" w:hanging="360"/>
      </w:pPr>
    </w:lvl>
    <w:lvl w:ilvl="6" w:tplc="289A220C" w:tentative="1">
      <w:start w:val="1"/>
      <w:numFmt w:val="bullet"/>
      <w:lvlText w:val=""/>
      <w:lvlJc w:val="left"/>
      <w:pPr>
        <w:tabs>
          <w:tab w:val="num" w:pos="5040"/>
        </w:tabs>
        <w:ind w:left="5040" w:hanging="360"/>
      </w:pPr>
    </w:lvl>
    <w:lvl w:ilvl="7" w:tplc="4FCE1E6E" w:tentative="1">
      <w:start w:val="1"/>
      <w:numFmt w:val="bullet"/>
      <w:lvlText w:val="o"/>
      <w:lvlJc w:val="left"/>
      <w:pPr>
        <w:tabs>
          <w:tab w:val="num" w:pos="5760"/>
        </w:tabs>
        <w:ind w:left="5760" w:hanging="360"/>
      </w:pPr>
    </w:lvl>
    <w:lvl w:ilvl="8" w:tplc="F28A57C8" w:tentative="1">
      <w:start w:val="1"/>
      <w:numFmt w:val="bullet"/>
      <w:lvlText w:val=""/>
      <w:lvlJc w:val="left"/>
      <w:pPr>
        <w:tabs>
          <w:tab w:val="num" w:pos="6480"/>
        </w:tabs>
        <w:ind w:left="6480" w:hanging="360"/>
      </w:pPr>
    </w:lvl>
  </w:abstractNum>
  <w:abstractNum w:abstractNumId="8" w15:restartNumberingAfterBreak="0">
    <w:nsid w:val="1BBB1C80"/>
    <w:multiLevelType w:val="multilevel"/>
    <w:tmpl w:val="FD486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C04423"/>
    <w:multiLevelType w:val="hybridMultilevel"/>
    <w:tmpl w:val="9544B88A"/>
    <w:lvl w:ilvl="0" w:tplc="8D825248">
      <w:numFmt w:val="bullet"/>
      <w:lvlText w:val="-"/>
      <w:lvlJc w:val="left"/>
      <w:pPr>
        <w:ind w:left="720" w:hanging="360"/>
      </w:pPr>
    </w:lvl>
    <w:lvl w:ilvl="1" w:tplc="B4C8F19C" w:tentative="1">
      <w:start w:val="1"/>
      <w:numFmt w:val="bullet"/>
      <w:lvlText w:val="o"/>
      <w:lvlJc w:val="left"/>
      <w:pPr>
        <w:ind w:left="1440" w:hanging="360"/>
      </w:pPr>
    </w:lvl>
    <w:lvl w:ilvl="2" w:tplc="A0F8BA7A" w:tentative="1">
      <w:start w:val="1"/>
      <w:numFmt w:val="bullet"/>
      <w:lvlText w:val=""/>
      <w:lvlJc w:val="left"/>
      <w:pPr>
        <w:ind w:left="2160" w:hanging="360"/>
      </w:pPr>
    </w:lvl>
    <w:lvl w:ilvl="3" w:tplc="9D36A72E" w:tentative="1">
      <w:start w:val="1"/>
      <w:numFmt w:val="bullet"/>
      <w:lvlText w:val=""/>
      <w:lvlJc w:val="left"/>
      <w:pPr>
        <w:ind w:left="2880" w:hanging="360"/>
      </w:pPr>
    </w:lvl>
    <w:lvl w:ilvl="4" w:tplc="344E19C4" w:tentative="1">
      <w:start w:val="1"/>
      <w:numFmt w:val="bullet"/>
      <w:lvlText w:val="o"/>
      <w:lvlJc w:val="left"/>
      <w:pPr>
        <w:ind w:left="3600" w:hanging="360"/>
      </w:pPr>
    </w:lvl>
    <w:lvl w:ilvl="5" w:tplc="3CD042CA" w:tentative="1">
      <w:start w:val="1"/>
      <w:numFmt w:val="bullet"/>
      <w:lvlText w:val=""/>
      <w:lvlJc w:val="left"/>
      <w:pPr>
        <w:ind w:left="4320" w:hanging="360"/>
      </w:pPr>
    </w:lvl>
    <w:lvl w:ilvl="6" w:tplc="0AA6E774" w:tentative="1">
      <w:start w:val="1"/>
      <w:numFmt w:val="bullet"/>
      <w:lvlText w:val=""/>
      <w:lvlJc w:val="left"/>
      <w:pPr>
        <w:ind w:left="5040" w:hanging="360"/>
      </w:pPr>
    </w:lvl>
    <w:lvl w:ilvl="7" w:tplc="DBAC07DA" w:tentative="1">
      <w:start w:val="1"/>
      <w:numFmt w:val="bullet"/>
      <w:lvlText w:val="o"/>
      <w:lvlJc w:val="left"/>
      <w:pPr>
        <w:ind w:left="5760" w:hanging="360"/>
      </w:pPr>
    </w:lvl>
    <w:lvl w:ilvl="8" w:tplc="010ECD3E" w:tentative="1">
      <w:start w:val="1"/>
      <w:numFmt w:val="bullet"/>
      <w:lvlText w:val=""/>
      <w:lvlJc w:val="left"/>
      <w:pPr>
        <w:ind w:left="6480" w:hanging="360"/>
      </w:pPr>
    </w:lvl>
  </w:abstractNum>
  <w:abstractNum w:abstractNumId="10" w15:restartNumberingAfterBreak="0">
    <w:nsid w:val="2069234D"/>
    <w:multiLevelType w:val="hybridMultilevel"/>
    <w:tmpl w:val="95FC4984"/>
    <w:lvl w:ilvl="0" w:tplc="1A0A4536">
      <w:start w:val="1"/>
      <w:numFmt w:val="bullet"/>
      <w:lvlText w:val=""/>
      <w:lvlJc w:val="left"/>
      <w:pPr>
        <w:ind w:left="720" w:hanging="360"/>
      </w:pPr>
    </w:lvl>
    <w:lvl w:ilvl="1" w:tplc="CAAE14DE" w:tentative="1">
      <w:start w:val="1"/>
      <w:numFmt w:val="bullet"/>
      <w:lvlText w:val="o"/>
      <w:lvlJc w:val="left"/>
      <w:pPr>
        <w:ind w:left="1440" w:hanging="360"/>
      </w:pPr>
    </w:lvl>
    <w:lvl w:ilvl="2" w:tplc="DBF8323C" w:tentative="1">
      <w:start w:val="1"/>
      <w:numFmt w:val="bullet"/>
      <w:lvlText w:val=""/>
      <w:lvlJc w:val="left"/>
      <w:pPr>
        <w:ind w:left="2160" w:hanging="360"/>
      </w:pPr>
    </w:lvl>
    <w:lvl w:ilvl="3" w:tplc="A008C0F4" w:tentative="1">
      <w:start w:val="1"/>
      <w:numFmt w:val="bullet"/>
      <w:lvlText w:val=""/>
      <w:lvlJc w:val="left"/>
      <w:pPr>
        <w:ind w:left="2880" w:hanging="360"/>
      </w:pPr>
    </w:lvl>
    <w:lvl w:ilvl="4" w:tplc="6616C792" w:tentative="1">
      <w:start w:val="1"/>
      <w:numFmt w:val="bullet"/>
      <w:lvlText w:val="o"/>
      <w:lvlJc w:val="left"/>
      <w:pPr>
        <w:ind w:left="3600" w:hanging="360"/>
      </w:pPr>
    </w:lvl>
    <w:lvl w:ilvl="5" w:tplc="F7866530" w:tentative="1">
      <w:start w:val="1"/>
      <w:numFmt w:val="bullet"/>
      <w:lvlText w:val=""/>
      <w:lvlJc w:val="left"/>
      <w:pPr>
        <w:ind w:left="4320" w:hanging="360"/>
      </w:pPr>
    </w:lvl>
    <w:lvl w:ilvl="6" w:tplc="BED0C1C8" w:tentative="1">
      <w:start w:val="1"/>
      <w:numFmt w:val="bullet"/>
      <w:lvlText w:val=""/>
      <w:lvlJc w:val="left"/>
      <w:pPr>
        <w:ind w:left="5040" w:hanging="360"/>
      </w:pPr>
    </w:lvl>
    <w:lvl w:ilvl="7" w:tplc="6560913E" w:tentative="1">
      <w:start w:val="1"/>
      <w:numFmt w:val="bullet"/>
      <w:lvlText w:val="o"/>
      <w:lvlJc w:val="left"/>
      <w:pPr>
        <w:ind w:left="5760" w:hanging="360"/>
      </w:pPr>
    </w:lvl>
    <w:lvl w:ilvl="8" w:tplc="B9C2B7FA" w:tentative="1">
      <w:start w:val="1"/>
      <w:numFmt w:val="bullet"/>
      <w:lvlText w:val=""/>
      <w:lvlJc w:val="left"/>
      <w:pPr>
        <w:ind w:left="6480" w:hanging="360"/>
      </w:pPr>
    </w:lvl>
  </w:abstractNum>
  <w:abstractNum w:abstractNumId="11" w15:restartNumberingAfterBreak="0">
    <w:nsid w:val="2B1907D5"/>
    <w:multiLevelType w:val="multilevel"/>
    <w:tmpl w:val="67349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0787E"/>
    <w:multiLevelType w:val="hybridMultilevel"/>
    <w:tmpl w:val="8EDC1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46767E"/>
    <w:multiLevelType w:val="hybridMultilevel"/>
    <w:tmpl w:val="8CAC297C"/>
    <w:lvl w:ilvl="0" w:tplc="A0F08526">
      <w:start w:val="1"/>
      <w:numFmt w:val="bullet"/>
      <w:lvlText w:val=""/>
      <w:lvlJc w:val="left"/>
      <w:pPr>
        <w:tabs>
          <w:tab w:val="num" w:pos="717"/>
        </w:tabs>
        <w:ind w:left="717" w:hanging="357"/>
      </w:pPr>
    </w:lvl>
    <w:lvl w:ilvl="1" w:tplc="A542436A" w:tentative="1">
      <w:start w:val="1"/>
      <w:numFmt w:val="bullet"/>
      <w:lvlText w:val="o"/>
      <w:lvlJc w:val="left"/>
      <w:pPr>
        <w:tabs>
          <w:tab w:val="num" w:pos="1440"/>
        </w:tabs>
        <w:ind w:left="1440" w:hanging="360"/>
      </w:pPr>
    </w:lvl>
    <w:lvl w:ilvl="2" w:tplc="6D468B90" w:tentative="1">
      <w:start w:val="1"/>
      <w:numFmt w:val="bullet"/>
      <w:lvlText w:val=""/>
      <w:lvlJc w:val="left"/>
      <w:pPr>
        <w:tabs>
          <w:tab w:val="num" w:pos="2160"/>
        </w:tabs>
        <w:ind w:left="2160" w:hanging="360"/>
      </w:pPr>
    </w:lvl>
    <w:lvl w:ilvl="3" w:tplc="661EEFBC" w:tentative="1">
      <w:start w:val="1"/>
      <w:numFmt w:val="bullet"/>
      <w:lvlText w:val=""/>
      <w:lvlJc w:val="left"/>
      <w:pPr>
        <w:tabs>
          <w:tab w:val="num" w:pos="2880"/>
        </w:tabs>
        <w:ind w:left="2880" w:hanging="360"/>
      </w:pPr>
    </w:lvl>
    <w:lvl w:ilvl="4" w:tplc="B296D396" w:tentative="1">
      <w:start w:val="1"/>
      <w:numFmt w:val="bullet"/>
      <w:lvlText w:val="o"/>
      <w:lvlJc w:val="left"/>
      <w:pPr>
        <w:tabs>
          <w:tab w:val="num" w:pos="3600"/>
        </w:tabs>
        <w:ind w:left="3600" w:hanging="360"/>
      </w:pPr>
    </w:lvl>
    <w:lvl w:ilvl="5" w:tplc="E7207CE4" w:tentative="1">
      <w:start w:val="1"/>
      <w:numFmt w:val="bullet"/>
      <w:lvlText w:val=""/>
      <w:lvlJc w:val="left"/>
      <w:pPr>
        <w:tabs>
          <w:tab w:val="num" w:pos="4320"/>
        </w:tabs>
        <w:ind w:left="4320" w:hanging="360"/>
      </w:pPr>
    </w:lvl>
    <w:lvl w:ilvl="6" w:tplc="809C6EEA" w:tentative="1">
      <w:start w:val="1"/>
      <w:numFmt w:val="bullet"/>
      <w:lvlText w:val=""/>
      <w:lvlJc w:val="left"/>
      <w:pPr>
        <w:tabs>
          <w:tab w:val="num" w:pos="5040"/>
        </w:tabs>
        <w:ind w:left="5040" w:hanging="360"/>
      </w:pPr>
    </w:lvl>
    <w:lvl w:ilvl="7" w:tplc="44AE17FC" w:tentative="1">
      <w:start w:val="1"/>
      <w:numFmt w:val="bullet"/>
      <w:lvlText w:val="o"/>
      <w:lvlJc w:val="left"/>
      <w:pPr>
        <w:tabs>
          <w:tab w:val="num" w:pos="5760"/>
        </w:tabs>
        <w:ind w:left="5760" w:hanging="360"/>
      </w:pPr>
    </w:lvl>
    <w:lvl w:ilvl="8" w:tplc="DAC411EC" w:tentative="1">
      <w:start w:val="1"/>
      <w:numFmt w:val="bullet"/>
      <w:lvlText w:val=""/>
      <w:lvlJc w:val="left"/>
      <w:pPr>
        <w:tabs>
          <w:tab w:val="num" w:pos="6480"/>
        </w:tabs>
        <w:ind w:left="6480" w:hanging="360"/>
      </w:pPr>
    </w:lvl>
  </w:abstractNum>
  <w:abstractNum w:abstractNumId="14" w15:restartNumberingAfterBreak="0">
    <w:nsid w:val="30C52C4E"/>
    <w:multiLevelType w:val="multilevel"/>
    <w:tmpl w:val="96AE2FF4"/>
    <w:lvl w:ilvl="0">
      <w:start w:val="1"/>
      <w:numFmt w:val="bullet"/>
      <w:lvlText w:val=""/>
      <w:lvlJc w:val="left"/>
      <w:pPr>
        <w:tabs>
          <w:tab w:val="num" w:pos="720"/>
        </w:tabs>
        <w:ind w:left="720" w:hanging="360"/>
      </w:pPr>
    </w:lvl>
    <w:lvl w:ilvl="1" w:tentative="1">
      <w:start w:val="1"/>
      <w:numFmt w:val="bullet"/>
      <w:lvlText w:val="o"/>
      <w:lvlJc w:val="left"/>
      <w:pPr>
        <w:tabs>
          <w:tab w:val="num" w:pos="1440"/>
        </w:tabs>
        <w:ind w:left="1440" w:hanging="360"/>
      </w:pPr>
    </w:lvl>
    <w:lvl w:ilvl="2" w:tentative="1">
      <w:start w:val="1"/>
      <w:numFmt w:val="bullet"/>
      <w:lvlText w:val=""/>
      <w:lvlJc w:val="left"/>
      <w:pPr>
        <w:tabs>
          <w:tab w:val="num" w:pos="2160"/>
        </w:tabs>
        <w:ind w:left="2160" w:hanging="360"/>
      </w:pPr>
    </w:lvl>
    <w:lvl w:ilvl="3" w:tentative="1">
      <w:start w:val="1"/>
      <w:numFmt w:val="bullet"/>
      <w:lvlText w:val=""/>
      <w:lvlJc w:val="left"/>
      <w:pPr>
        <w:tabs>
          <w:tab w:val="num" w:pos="2880"/>
        </w:tabs>
        <w:ind w:left="2880" w:hanging="360"/>
      </w:pPr>
    </w:lvl>
    <w:lvl w:ilvl="4" w:tentative="1">
      <w:start w:val="1"/>
      <w:numFmt w:val="bullet"/>
      <w:lvlText w:val=""/>
      <w:lvlJc w:val="left"/>
      <w:pPr>
        <w:tabs>
          <w:tab w:val="num" w:pos="3600"/>
        </w:tabs>
        <w:ind w:left="3600" w:hanging="360"/>
      </w:pPr>
    </w:lvl>
    <w:lvl w:ilvl="5" w:tentative="1">
      <w:start w:val="1"/>
      <w:numFmt w:val="bullet"/>
      <w:lvlText w:val=""/>
      <w:lvlJc w:val="left"/>
      <w:pPr>
        <w:tabs>
          <w:tab w:val="num" w:pos="4320"/>
        </w:tabs>
        <w:ind w:left="4320" w:hanging="360"/>
      </w:pPr>
    </w:lvl>
    <w:lvl w:ilvl="6" w:tentative="1">
      <w:start w:val="1"/>
      <w:numFmt w:val="bullet"/>
      <w:lvlText w:val=""/>
      <w:lvlJc w:val="left"/>
      <w:pPr>
        <w:tabs>
          <w:tab w:val="num" w:pos="5040"/>
        </w:tabs>
        <w:ind w:left="5040" w:hanging="360"/>
      </w:pPr>
    </w:lvl>
    <w:lvl w:ilvl="7" w:tentative="1">
      <w:start w:val="1"/>
      <w:numFmt w:val="bullet"/>
      <w:lvlText w:val=""/>
      <w:lvlJc w:val="left"/>
      <w:pPr>
        <w:tabs>
          <w:tab w:val="num" w:pos="5760"/>
        </w:tabs>
        <w:ind w:left="5760" w:hanging="360"/>
      </w:pPr>
    </w:lvl>
    <w:lvl w:ilvl="8" w:tentative="1">
      <w:start w:val="1"/>
      <w:numFmt w:val="bullet"/>
      <w:lvlText w:val=""/>
      <w:lvlJc w:val="left"/>
      <w:pPr>
        <w:tabs>
          <w:tab w:val="num" w:pos="6480"/>
        </w:tabs>
        <w:ind w:left="6480" w:hanging="360"/>
      </w:pPr>
    </w:lvl>
  </w:abstractNum>
  <w:abstractNum w:abstractNumId="15" w15:restartNumberingAfterBreak="0">
    <w:nsid w:val="368C642D"/>
    <w:multiLevelType w:val="multilevel"/>
    <w:tmpl w:val="DDB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E3277"/>
    <w:multiLevelType w:val="multilevel"/>
    <w:tmpl w:val="FA5C5A86"/>
    <w:lvl w:ilvl="0">
      <w:start w:val="1"/>
      <w:numFmt w:val="decimal"/>
      <w:lvlText w:val="%1"/>
      <w:lvlJc w:val="left"/>
      <w:pPr>
        <w:ind w:left="3550" w:hanging="432"/>
      </w:pPr>
    </w:lvl>
    <w:lvl w:ilvl="1">
      <w:start w:val="1"/>
      <w:numFmt w:val="decimal"/>
      <w:lvlText w:val="%1.%2"/>
      <w:lvlJc w:val="left"/>
      <w:pPr>
        <w:ind w:left="718" w:hanging="576"/>
      </w:pPr>
    </w:lvl>
    <w:lvl w:ilvl="2">
      <w:start w:val="1"/>
      <w:numFmt w:val="decimal"/>
      <w:lvlText w:val="%1.%2.%3"/>
      <w:lvlJc w:val="left"/>
      <w:pPr>
        <w:ind w:left="3552" w:hanging="720"/>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829"/>
        </w:tabs>
        <w:ind w:left="0" w:firstLine="2832"/>
      </w:pPr>
    </w:lvl>
    <w:lvl w:ilvl="4">
      <w:start w:val="1"/>
      <w:numFmt w:val="decimal"/>
      <w:lvlText w:val="%1.%2.%3.%4.%5"/>
      <w:lvlJc w:val="left"/>
      <w:pPr>
        <w:ind w:left="3840" w:hanging="1008"/>
      </w:pPr>
    </w:lvl>
    <w:lvl w:ilvl="5">
      <w:start w:val="1"/>
      <w:numFmt w:val="decimal"/>
      <w:lvlText w:val="%1.%2.%3.%4.%5.%6"/>
      <w:lvlJc w:val="left"/>
      <w:pPr>
        <w:ind w:left="3984" w:hanging="1152"/>
      </w:pPr>
    </w:lvl>
    <w:lvl w:ilvl="6">
      <w:start w:val="1"/>
      <w:numFmt w:val="decimal"/>
      <w:lvlText w:val="%1.%2.%3.%4.%5.%6.%7"/>
      <w:lvlJc w:val="left"/>
      <w:pPr>
        <w:ind w:left="4128" w:hanging="1296"/>
      </w:pPr>
    </w:lvl>
    <w:lvl w:ilvl="7">
      <w:start w:val="1"/>
      <w:numFmt w:val="decimal"/>
      <w:lvlText w:val="%1.%2.%3.%4.%5.%6.%7.%8"/>
      <w:lvlJc w:val="left"/>
      <w:pPr>
        <w:ind w:left="4272" w:hanging="1440"/>
      </w:pPr>
    </w:lvl>
    <w:lvl w:ilvl="8">
      <w:start w:val="1"/>
      <w:numFmt w:val="decimal"/>
      <w:lvlText w:val="%1.%2.%3.%4.%5.%6.%7.%8.%9"/>
      <w:lvlJc w:val="left"/>
      <w:pPr>
        <w:ind w:left="4416" w:hanging="1584"/>
      </w:pPr>
    </w:lvl>
  </w:abstractNum>
  <w:abstractNum w:abstractNumId="17" w15:restartNumberingAfterBreak="0">
    <w:nsid w:val="3F3C1639"/>
    <w:multiLevelType w:val="hybridMultilevel"/>
    <w:tmpl w:val="91F875EE"/>
    <w:lvl w:ilvl="0" w:tplc="6EDC491A">
      <w:start w:val="1"/>
      <w:numFmt w:val="bullet"/>
      <w:lvlText w:val=""/>
      <w:lvlJc w:val="left"/>
      <w:pPr>
        <w:ind w:left="720" w:hanging="360"/>
      </w:pPr>
    </w:lvl>
    <w:lvl w:ilvl="1" w:tplc="F3047568" w:tentative="1">
      <w:start w:val="1"/>
      <w:numFmt w:val="bullet"/>
      <w:lvlText w:val="o"/>
      <w:lvlJc w:val="left"/>
      <w:pPr>
        <w:ind w:left="1440" w:hanging="360"/>
      </w:pPr>
    </w:lvl>
    <w:lvl w:ilvl="2" w:tplc="40A6834A" w:tentative="1">
      <w:start w:val="1"/>
      <w:numFmt w:val="bullet"/>
      <w:lvlText w:val=""/>
      <w:lvlJc w:val="left"/>
      <w:pPr>
        <w:ind w:left="2160" w:hanging="360"/>
      </w:pPr>
    </w:lvl>
    <w:lvl w:ilvl="3" w:tplc="E51C032E" w:tentative="1">
      <w:start w:val="1"/>
      <w:numFmt w:val="bullet"/>
      <w:lvlText w:val=""/>
      <w:lvlJc w:val="left"/>
      <w:pPr>
        <w:ind w:left="2880" w:hanging="360"/>
      </w:pPr>
    </w:lvl>
    <w:lvl w:ilvl="4" w:tplc="86DACE6E" w:tentative="1">
      <w:start w:val="1"/>
      <w:numFmt w:val="bullet"/>
      <w:lvlText w:val="o"/>
      <w:lvlJc w:val="left"/>
      <w:pPr>
        <w:ind w:left="3600" w:hanging="360"/>
      </w:pPr>
    </w:lvl>
    <w:lvl w:ilvl="5" w:tplc="71F084D0" w:tentative="1">
      <w:start w:val="1"/>
      <w:numFmt w:val="bullet"/>
      <w:lvlText w:val=""/>
      <w:lvlJc w:val="left"/>
      <w:pPr>
        <w:ind w:left="4320" w:hanging="360"/>
      </w:pPr>
    </w:lvl>
    <w:lvl w:ilvl="6" w:tplc="28B89A56" w:tentative="1">
      <w:start w:val="1"/>
      <w:numFmt w:val="bullet"/>
      <w:lvlText w:val=""/>
      <w:lvlJc w:val="left"/>
      <w:pPr>
        <w:ind w:left="5040" w:hanging="360"/>
      </w:pPr>
    </w:lvl>
    <w:lvl w:ilvl="7" w:tplc="C9B6F362" w:tentative="1">
      <w:start w:val="1"/>
      <w:numFmt w:val="bullet"/>
      <w:lvlText w:val="o"/>
      <w:lvlJc w:val="left"/>
      <w:pPr>
        <w:ind w:left="5760" w:hanging="360"/>
      </w:pPr>
    </w:lvl>
    <w:lvl w:ilvl="8" w:tplc="8A4C2F08" w:tentative="1">
      <w:start w:val="1"/>
      <w:numFmt w:val="bullet"/>
      <w:lvlText w:val=""/>
      <w:lvlJc w:val="left"/>
      <w:pPr>
        <w:ind w:left="6480" w:hanging="360"/>
      </w:pPr>
    </w:lvl>
  </w:abstractNum>
  <w:abstractNum w:abstractNumId="18" w15:restartNumberingAfterBreak="0">
    <w:nsid w:val="41DB2519"/>
    <w:multiLevelType w:val="hybridMultilevel"/>
    <w:tmpl w:val="14F20AD8"/>
    <w:lvl w:ilvl="0" w:tplc="A71C4C2A">
      <w:start w:val="1"/>
      <w:numFmt w:val="bullet"/>
      <w:lvlText w:val=""/>
      <w:lvlJc w:val="left"/>
      <w:pPr>
        <w:tabs>
          <w:tab w:val="num" w:pos="717"/>
        </w:tabs>
        <w:ind w:left="717" w:hanging="357"/>
      </w:pPr>
    </w:lvl>
    <w:lvl w:ilvl="1" w:tplc="A51224A4" w:tentative="1">
      <w:start w:val="1"/>
      <w:numFmt w:val="bullet"/>
      <w:lvlText w:val="o"/>
      <w:lvlJc w:val="left"/>
      <w:pPr>
        <w:tabs>
          <w:tab w:val="num" w:pos="1440"/>
        </w:tabs>
        <w:ind w:left="1440" w:hanging="360"/>
      </w:pPr>
    </w:lvl>
    <w:lvl w:ilvl="2" w:tplc="02F846D8" w:tentative="1">
      <w:start w:val="1"/>
      <w:numFmt w:val="bullet"/>
      <w:lvlText w:val=""/>
      <w:lvlJc w:val="left"/>
      <w:pPr>
        <w:tabs>
          <w:tab w:val="num" w:pos="2160"/>
        </w:tabs>
        <w:ind w:left="2160" w:hanging="360"/>
      </w:pPr>
    </w:lvl>
    <w:lvl w:ilvl="3" w:tplc="49349FCA" w:tentative="1">
      <w:start w:val="1"/>
      <w:numFmt w:val="bullet"/>
      <w:lvlText w:val=""/>
      <w:lvlJc w:val="left"/>
      <w:pPr>
        <w:tabs>
          <w:tab w:val="num" w:pos="2880"/>
        </w:tabs>
        <w:ind w:left="2880" w:hanging="360"/>
      </w:pPr>
    </w:lvl>
    <w:lvl w:ilvl="4" w:tplc="EB94443A" w:tentative="1">
      <w:start w:val="1"/>
      <w:numFmt w:val="bullet"/>
      <w:lvlText w:val="o"/>
      <w:lvlJc w:val="left"/>
      <w:pPr>
        <w:tabs>
          <w:tab w:val="num" w:pos="3600"/>
        </w:tabs>
        <w:ind w:left="3600" w:hanging="360"/>
      </w:pPr>
    </w:lvl>
    <w:lvl w:ilvl="5" w:tplc="AF7E10A8" w:tentative="1">
      <w:start w:val="1"/>
      <w:numFmt w:val="bullet"/>
      <w:lvlText w:val=""/>
      <w:lvlJc w:val="left"/>
      <w:pPr>
        <w:tabs>
          <w:tab w:val="num" w:pos="4320"/>
        </w:tabs>
        <w:ind w:left="4320" w:hanging="360"/>
      </w:pPr>
    </w:lvl>
    <w:lvl w:ilvl="6" w:tplc="2B84DA7E" w:tentative="1">
      <w:start w:val="1"/>
      <w:numFmt w:val="bullet"/>
      <w:lvlText w:val=""/>
      <w:lvlJc w:val="left"/>
      <w:pPr>
        <w:tabs>
          <w:tab w:val="num" w:pos="5040"/>
        </w:tabs>
        <w:ind w:left="5040" w:hanging="360"/>
      </w:pPr>
    </w:lvl>
    <w:lvl w:ilvl="7" w:tplc="93FCD168" w:tentative="1">
      <w:start w:val="1"/>
      <w:numFmt w:val="bullet"/>
      <w:lvlText w:val="o"/>
      <w:lvlJc w:val="left"/>
      <w:pPr>
        <w:tabs>
          <w:tab w:val="num" w:pos="5760"/>
        </w:tabs>
        <w:ind w:left="5760" w:hanging="360"/>
      </w:pPr>
    </w:lvl>
    <w:lvl w:ilvl="8" w:tplc="409AAC82" w:tentative="1">
      <w:start w:val="1"/>
      <w:numFmt w:val="bullet"/>
      <w:lvlText w:val=""/>
      <w:lvlJc w:val="left"/>
      <w:pPr>
        <w:tabs>
          <w:tab w:val="num" w:pos="6480"/>
        </w:tabs>
        <w:ind w:left="6480" w:hanging="360"/>
      </w:pPr>
    </w:lvl>
  </w:abstractNum>
  <w:abstractNum w:abstractNumId="19" w15:restartNumberingAfterBreak="0">
    <w:nsid w:val="43973F1B"/>
    <w:multiLevelType w:val="multilevel"/>
    <w:tmpl w:val="79007DC6"/>
    <w:lvl w:ilvl="0">
      <w:start w:val="1"/>
      <w:numFmt w:val="decimal"/>
      <w:lvlText w:val="%1"/>
      <w:lvlJc w:val="left"/>
      <w:pPr>
        <w:ind w:left="718" w:hanging="432"/>
      </w:pPr>
      <w:rPr>
        <w:rFonts w:hint="default"/>
      </w:rPr>
    </w:lvl>
    <w:lvl w:ilvl="1">
      <w:start w:val="1"/>
      <w:numFmt w:val="decimal"/>
      <w:lvlText w:val="%1.%2"/>
      <w:lvlJc w:val="left"/>
      <w:pPr>
        <w:ind w:left="-2114" w:hanging="576"/>
      </w:pPr>
      <w:rPr>
        <w:rFonts w:hint="default"/>
      </w:rPr>
    </w:lvl>
    <w:lvl w:ilvl="2">
      <w:start w:val="3"/>
      <w:numFmt w:val="decimal"/>
      <w:pStyle w:val="2"/>
      <w:lvlText w:val="%1.%2.%3"/>
      <w:lvlJc w:val="left"/>
      <w:pPr>
        <w:ind w:left="720" w:hanging="72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Nadpis4"/>
      <w:lvlText w:val="%1.%2.%3.%4"/>
      <w:lvlJc w:val="left"/>
      <w:pPr>
        <w:tabs>
          <w:tab w:val="num" w:pos="-3"/>
        </w:tabs>
        <w:ind w:left="-2832" w:firstLine="2832"/>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0" w15:restartNumberingAfterBreak="0">
    <w:nsid w:val="47386D64"/>
    <w:multiLevelType w:val="hybridMultilevel"/>
    <w:tmpl w:val="9E769A30"/>
    <w:lvl w:ilvl="0" w:tplc="A302EAFE">
      <w:numFmt w:val="bullet"/>
      <w:lvlText w:val="-"/>
      <w:lvlJc w:val="left"/>
      <w:pPr>
        <w:ind w:left="720" w:hanging="360"/>
      </w:pPr>
    </w:lvl>
    <w:lvl w:ilvl="1" w:tplc="364EA518" w:tentative="1">
      <w:start w:val="1"/>
      <w:numFmt w:val="bullet"/>
      <w:lvlText w:val="o"/>
      <w:lvlJc w:val="left"/>
      <w:pPr>
        <w:ind w:left="1440" w:hanging="360"/>
      </w:pPr>
    </w:lvl>
    <w:lvl w:ilvl="2" w:tplc="E30616D4" w:tentative="1">
      <w:start w:val="1"/>
      <w:numFmt w:val="bullet"/>
      <w:lvlText w:val=""/>
      <w:lvlJc w:val="left"/>
      <w:pPr>
        <w:ind w:left="2160" w:hanging="360"/>
      </w:pPr>
    </w:lvl>
    <w:lvl w:ilvl="3" w:tplc="7FD80ADA" w:tentative="1">
      <w:start w:val="1"/>
      <w:numFmt w:val="bullet"/>
      <w:lvlText w:val=""/>
      <w:lvlJc w:val="left"/>
      <w:pPr>
        <w:ind w:left="2880" w:hanging="360"/>
      </w:pPr>
    </w:lvl>
    <w:lvl w:ilvl="4" w:tplc="878812E6" w:tentative="1">
      <w:start w:val="1"/>
      <w:numFmt w:val="bullet"/>
      <w:lvlText w:val="o"/>
      <w:lvlJc w:val="left"/>
      <w:pPr>
        <w:ind w:left="3600" w:hanging="360"/>
      </w:pPr>
    </w:lvl>
    <w:lvl w:ilvl="5" w:tplc="96581F26" w:tentative="1">
      <w:start w:val="1"/>
      <w:numFmt w:val="bullet"/>
      <w:lvlText w:val=""/>
      <w:lvlJc w:val="left"/>
      <w:pPr>
        <w:ind w:left="4320" w:hanging="360"/>
      </w:pPr>
    </w:lvl>
    <w:lvl w:ilvl="6" w:tplc="49EC4C36" w:tentative="1">
      <w:start w:val="1"/>
      <w:numFmt w:val="bullet"/>
      <w:lvlText w:val=""/>
      <w:lvlJc w:val="left"/>
      <w:pPr>
        <w:ind w:left="5040" w:hanging="360"/>
      </w:pPr>
    </w:lvl>
    <w:lvl w:ilvl="7" w:tplc="6C103CA2" w:tentative="1">
      <w:start w:val="1"/>
      <w:numFmt w:val="bullet"/>
      <w:lvlText w:val="o"/>
      <w:lvlJc w:val="left"/>
      <w:pPr>
        <w:ind w:left="5760" w:hanging="360"/>
      </w:pPr>
    </w:lvl>
    <w:lvl w:ilvl="8" w:tplc="97D4358E" w:tentative="1">
      <w:start w:val="1"/>
      <w:numFmt w:val="bullet"/>
      <w:lvlText w:val=""/>
      <w:lvlJc w:val="left"/>
      <w:pPr>
        <w:ind w:left="6480" w:hanging="360"/>
      </w:pPr>
    </w:lvl>
  </w:abstractNum>
  <w:abstractNum w:abstractNumId="21" w15:restartNumberingAfterBreak="0">
    <w:nsid w:val="4896692F"/>
    <w:multiLevelType w:val="multilevel"/>
    <w:tmpl w:val="FD008260"/>
    <w:lvl w:ilvl="0">
      <w:start w:val="1"/>
      <w:numFmt w:val="bullet"/>
      <w:lvlText w:val=""/>
      <w:lvlJc w:val="left"/>
      <w:pPr>
        <w:tabs>
          <w:tab w:val="num" w:pos="720"/>
        </w:tabs>
        <w:ind w:left="720" w:hanging="360"/>
      </w:pPr>
    </w:lvl>
    <w:lvl w:ilvl="1" w:tentative="1">
      <w:start w:val="1"/>
      <w:numFmt w:val="bullet"/>
      <w:lvlText w:val="o"/>
      <w:lvlJc w:val="left"/>
      <w:pPr>
        <w:tabs>
          <w:tab w:val="num" w:pos="1440"/>
        </w:tabs>
        <w:ind w:left="1440" w:hanging="360"/>
      </w:pPr>
    </w:lvl>
    <w:lvl w:ilvl="2" w:tentative="1">
      <w:start w:val="1"/>
      <w:numFmt w:val="bullet"/>
      <w:lvlText w:val=""/>
      <w:lvlJc w:val="left"/>
      <w:pPr>
        <w:tabs>
          <w:tab w:val="num" w:pos="2160"/>
        </w:tabs>
        <w:ind w:left="2160" w:hanging="360"/>
      </w:pPr>
    </w:lvl>
    <w:lvl w:ilvl="3" w:tentative="1">
      <w:start w:val="1"/>
      <w:numFmt w:val="bullet"/>
      <w:lvlText w:val=""/>
      <w:lvlJc w:val="left"/>
      <w:pPr>
        <w:tabs>
          <w:tab w:val="num" w:pos="2880"/>
        </w:tabs>
        <w:ind w:left="2880" w:hanging="360"/>
      </w:pPr>
    </w:lvl>
    <w:lvl w:ilvl="4" w:tentative="1">
      <w:start w:val="1"/>
      <w:numFmt w:val="bullet"/>
      <w:lvlText w:val=""/>
      <w:lvlJc w:val="left"/>
      <w:pPr>
        <w:tabs>
          <w:tab w:val="num" w:pos="3600"/>
        </w:tabs>
        <w:ind w:left="3600" w:hanging="360"/>
      </w:pPr>
    </w:lvl>
    <w:lvl w:ilvl="5" w:tentative="1">
      <w:start w:val="1"/>
      <w:numFmt w:val="bullet"/>
      <w:lvlText w:val=""/>
      <w:lvlJc w:val="left"/>
      <w:pPr>
        <w:tabs>
          <w:tab w:val="num" w:pos="4320"/>
        </w:tabs>
        <w:ind w:left="4320" w:hanging="360"/>
      </w:pPr>
    </w:lvl>
    <w:lvl w:ilvl="6" w:tentative="1">
      <w:start w:val="1"/>
      <w:numFmt w:val="bullet"/>
      <w:lvlText w:val=""/>
      <w:lvlJc w:val="left"/>
      <w:pPr>
        <w:tabs>
          <w:tab w:val="num" w:pos="5040"/>
        </w:tabs>
        <w:ind w:left="5040" w:hanging="360"/>
      </w:pPr>
    </w:lvl>
    <w:lvl w:ilvl="7" w:tentative="1">
      <w:start w:val="1"/>
      <w:numFmt w:val="bullet"/>
      <w:lvlText w:val=""/>
      <w:lvlJc w:val="left"/>
      <w:pPr>
        <w:tabs>
          <w:tab w:val="num" w:pos="5760"/>
        </w:tabs>
        <w:ind w:left="5760" w:hanging="360"/>
      </w:pPr>
    </w:lvl>
    <w:lvl w:ilvl="8" w:tentative="1">
      <w:start w:val="1"/>
      <w:numFmt w:val="bullet"/>
      <w:lvlText w:val=""/>
      <w:lvlJc w:val="left"/>
      <w:pPr>
        <w:tabs>
          <w:tab w:val="num" w:pos="6480"/>
        </w:tabs>
        <w:ind w:left="6480" w:hanging="360"/>
      </w:pPr>
    </w:lvl>
  </w:abstractNum>
  <w:abstractNum w:abstractNumId="22" w15:restartNumberingAfterBreak="0">
    <w:nsid w:val="4A00174F"/>
    <w:multiLevelType w:val="hybridMultilevel"/>
    <w:tmpl w:val="774ADFF6"/>
    <w:lvl w:ilvl="0" w:tplc="395001D2">
      <w:start w:val="1"/>
      <w:numFmt w:val="bullet"/>
      <w:lvlText w:val=""/>
      <w:lvlJc w:val="left"/>
      <w:pPr>
        <w:ind w:left="1287" w:hanging="360"/>
      </w:pPr>
    </w:lvl>
    <w:lvl w:ilvl="1" w:tplc="839A34DE" w:tentative="1">
      <w:start w:val="1"/>
      <w:numFmt w:val="bullet"/>
      <w:lvlText w:val="o"/>
      <w:lvlJc w:val="left"/>
      <w:pPr>
        <w:ind w:left="2007" w:hanging="360"/>
      </w:pPr>
    </w:lvl>
    <w:lvl w:ilvl="2" w:tplc="6F70A92C" w:tentative="1">
      <w:start w:val="1"/>
      <w:numFmt w:val="bullet"/>
      <w:lvlText w:val=""/>
      <w:lvlJc w:val="left"/>
      <w:pPr>
        <w:ind w:left="2727" w:hanging="360"/>
      </w:pPr>
    </w:lvl>
    <w:lvl w:ilvl="3" w:tplc="1C52D9F4" w:tentative="1">
      <w:start w:val="1"/>
      <w:numFmt w:val="bullet"/>
      <w:lvlText w:val=""/>
      <w:lvlJc w:val="left"/>
      <w:pPr>
        <w:ind w:left="3447" w:hanging="360"/>
      </w:pPr>
    </w:lvl>
    <w:lvl w:ilvl="4" w:tplc="5D201B98" w:tentative="1">
      <w:start w:val="1"/>
      <w:numFmt w:val="bullet"/>
      <w:lvlText w:val="o"/>
      <w:lvlJc w:val="left"/>
      <w:pPr>
        <w:ind w:left="4167" w:hanging="360"/>
      </w:pPr>
    </w:lvl>
    <w:lvl w:ilvl="5" w:tplc="EF1228FA" w:tentative="1">
      <w:start w:val="1"/>
      <w:numFmt w:val="bullet"/>
      <w:lvlText w:val=""/>
      <w:lvlJc w:val="left"/>
      <w:pPr>
        <w:ind w:left="4887" w:hanging="360"/>
      </w:pPr>
    </w:lvl>
    <w:lvl w:ilvl="6" w:tplc="0A92F166" w:tentative="1">
      <w:start w:val="1"/>
      <w:numFmt w:val="bullet"/>
      <w:lvlText w:val=""/>
      <w:lvlJc w:val="left"/>
      <w:pPr>
        <w:ind w:left="5607" w:hanging="360"/>
      </w:pPr>
    </w:lvl>
    <w:lvl w:ilvl="7" w:tplc="108AFAF6" w:tentative="1">
      <w:start w:val="1"/>
      <w:numFmt w:val="bullet"/>
      <w:lvlText w:val="o"/>
      <w:lvlJc w:val="left"/>
      <w:pPr>
        <w:ind w:left="6327" w:hanging="360"/>
      </w:pPr>
    </w:lvl>
    <w:lvl w:ilvl="8" w:tplc="A106EACC" w:tentative="1">
      <w:start w:val="1"/>
      <w:numFmt w:val="bullet"/>
      <w:lvlText w:val=""/>
      <w:lvlJc w:val="left"/>
      <w:pPr>
        <w:ind w:left="7047" w:hanging="360"/>
      </w:pPr>
    </w:lvl>
  </w:abstractNum>
  <w:abstractNum w:abstractNumId="23" w15:restartNumberingAfterBreak="0">
    <w:nsid w:val="573A0D50"/>
    <w:multiLevelType w:val="multilevel"/>
    <w:tmpl w:val="038C4D96"/>
    <w:lvl w:ilvl="0">
      <w:start w:val="1"/>
      <w:numFmt w:val="bullet"/>
      <w:lvlText w:val=""/>
      <w:lvlJc w:val="left"/>
      <w:pPr>
        <w:tabs>
          <w:tab w:val="num" w:pos="720"/>
        </w:tabs>
        <w:ind w:left="720" w:hanging="360"/>
      </w:pPr>
    </w:lvl>
    <w:lvl w:ilvl="1" w:tentative="1">
      <w:start w:val="1"/>
      <w:numFmt w:val="bullet"/>
      <w:lvlText w:val="o"/>
      <w:lvlJc w:val="left"/>
      <w:pPr>
        <w:tabs>
          <w:tab w:val="num" w:pos="1440"/>
        </w:tabs>
        <w:ind w:left="1440" w:hanging="360"/>
      </w:pPr>
    </w:lvl>
    <w:lvl w:ilvl="2" w:tentative="1">
      <w:start w:val="1"/>
      <w:numFmt w:val="bullet"/>
      <w:lvlText w:val=""/>
      <w:lvlJc w:val="left"/>
      <w:pPr>
        <w:tabs>
          <w:tab w:val="num" w:pos="2160"/>
        </w:tabs>
        <w:ind w:left="2160" w:hanging="360"/>
      </w:pPr>
    </w:lvl>
    <w:lvl w:ilvl="3" w:tentative="1">
      <w:start w:val="1"/>
      <w:numFmt w:val="bullet"/>
      <w:lvlText w:val=""/>
      <w:lvlJc w:val="left"/>
      <w:pPr>
        <w:tabs>
          <w:tab w:val="num" w:pos="2880"/>
        </w:tabs>
        <w:ind w:left="2880" w:hanging="360"/>
      </w:pPr>
    </w:lvl>
    <w:lvl w:ilvl="4" w:tentative="1">
      <w:start w:val="1"/>
      <w:numFmt w:val="bullet"/>
      <w:lvlText w:val=""/>
      <w:lvlJc w:val="left"/>
      <w:pPr>
        <w:tabs>
          <w:tab w:val="num" w:pos="3600"/>
        </w:tabs>
        <w:ind w:left="3600" w:hanging="360"/>
      </w:pPr>
    </w:lvl>
    <w:lvl w:ilvl="5" w:tentative="1">
      <w:start w:val="1"/>
      <w:numFmt w:val="bullet"/>
      <w:lvlText w:val=""/>
      <w:lvlJc w:val="left"/>
      <w:pPr>
        <w:tabs>
          <w:tab w:val="num" w:pos="4320"/>
        </w:tabs>
        <w:ind w:left="4320" w:hanging="360"/>
      </w:pPr>
    </w:lvl>
    <w:lvl w:ilvl="6" w:tentative="1">
      <w:start w:val="1"/>
      <w:numFmt w:val="bullet"/>
      <w:lvlText w:val=""/>
      <w:lvlJc w:val="left"/>
      <w:pPr>
        <w:tabs>
          <w:tab w:val="num" w:pos="5040"/>
        </w:tabs>
        <w:ind w:left="5040" w:hanging="360"/>
      </w:pPr>
    </w:lvl>
    <w:lvl w:ilvl="7" w:tentative="1">
      <w:start w:val="1"/>
      <w:numFmt w:val="bullet"/>
      <w:lvlText w:val=""/>
      <w:lvlJc w:val="left"/>
      <w:pPr>
        <w:tabs>
          <w:tab w:val="num" w:pos="5760"/>
        </w:tabs>
        <w:ind w:left="5760" w:hanging="360"/>
      </w:pPr>
    </w:lvl>
    <w:lvl w:ilvl="8" w:tentative="1">
      <w:start w:val="1"/>
      <w:numFmt w:val="bullet"/>
      <w:lvlText w:val=""/>
      <w:lvlJc w:val="left"/>
      <w:pPr>
        <w:tabs>
          <w:tab w:val="num" w:pos="6480"/>
        </w:tabs>
        <w:ind w:left="6480" w:hanging="360"/>
      </w:pPr>
    </w:lvl>
  </w:abstractNum>
  <w:abstractNum w:abstractNumId="24" w15:restartNumberingAfterBreak="0">
    <w:nsid w:val="59AC711E"/>
    <w:multiLevelType w:val="hybridMultilevel"/>
    <w:tmpl w:val="C56E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5666E0"/>
    <w:multiLevelType w:val="hybridMultilevel"/>
    <w:tmpl w:val="054477C8"/>
    <w:lvl w:ilvl="0" w:tplc="BB08A37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F201E4C"/>
    <w:multiLevelType w:val="multilevel"/>
    <w:tmpl w:val="E28A5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C4390B"/>
    <w:multiLevelType w:val="hybridMultilevel"/>
    <w:tmpl w:val="844E049C"/>
    <w:lvl w:ilvl="0" w:tplc="6C6612C6">
      <w:start w:val="1"/>
      <w:numFmt w:val="bullet"/>
      <w:lvlText w:val=""/>
      <w:lvlJc w:val="left"/>
      <w:pPr>
        <w:tabs>
          <w:tab w:val="num" w:pos="717"/>
        </w:tabs>
        <w:ind w:left="717" w:hanging="357"/>
      </w:pPr>
    </w:lvl>
    <w:lvl w:ilvl="1" w:tplc="265CF77C" w:tentative="1">
      <w:start w:val="1"/>
      <w:numFmt w:val="bullet"/>
      <w:lvlText w:val="o"/>
      <w:lvlJc w:val="left"/>
      <w:pPr>
        <w:tabs>
          <w:tab w:val="num" w:pos="1440"/>
        </w:tabs>
        <w:ind w:left="1440" w:hanging="360"/>
      </w:pPr>
    </w:lvl>
    <w:lvl w:ilvl="2" w:tplc="86EED864" w:tentative="1">
      <w:start w:val="1"/>
      <w:numFmt w:val="bullet"/>
      <w:lvlText w:val=""/>
      <w:lvlJc w:val="left"/>
      <w:pPr>
        <w:tabs>
          <w:tab w:val="num" w:pos="2160"/>
        </w:tabs>
        <w:ind w:left="2160" w:hanging="360"/>
      </w:pPr>
    </w:lvl>
    <w:lvl w:ilvl="3" w:tplc="C0B80632" w:tentative="1">
      <w:start w:val="1"/>
      <w:numFmt w:val="bullet"/>
      <w:lvlText w:val=""/>
      <w:lvlJc w:val="left"/>
      <w:pPr>
        <w:tabs>
          <w:tab w:val="num" w:pos="2880"/>
        </w:tabs>
        <w:ind w:left="2880" w:hanging="360"/>
      </w:pPr>
    </w:lvl>
    <w:lvl w:ilvl="4" w:tplc="05FE304C" w:tentative="1">
      <w:start w:val="1"/>
      <w:numFmt w:val="bullet"/>
      <w:lvlText w:val="o"/>
      <w:lvlJc w:val="left"/>
      <w:pPr>
        <w:tabs>
          <w:tab w:val="num" w:pos="3600"/>
        </w:tabs>
        <w:ind w:left="3600" w:hanging="360"/>
      </w:pPr>
    </w:lvl>
    <w:lvl w:ilvl="5" w:tplc="A446ACB6" w:tentative="1">
      <w:start w:val="1"/>
      <w:numFmt w:val="bullet"/>
      <w:lvlText w:val=""/>
      <w:lvlJc w:val="left"/>
      <w:pPr>
        <w:tabs>
          <w:tab w:val="num" w:pos="4320"/>
        </w:tabs>
        <w:ind w:left="4320" w:hanging="360"/>
      </w:pPr>
    </w:lvl>
    <w:lvl w:ilvl="6" w:tplc="66F2D07C" w:tentative="1">
      <w:start w:val="1"/>
      <w:numFmt w:val="bullet"/>
      <w:lvlText w:val=""/>
      <w:lvlJc w:val="left"/>
      <w:pPr>
        <w:tabs>
          <w:tab w:val="num" w:pos="5040"/>
        </w:tabs>
        <w:ind w:left="5040" w:hanging="360"/>
      </w:pPr>
    </w:lvl>
    <w:lvl w:ilvl="7" w:tplc="2A22D83E" w:tentative="1">
      <w:start w:val="1"/>
      <w:numFmt w:val="bullet"/>
      <w:lvlText w:val="o"/>
      <w:lvlJc w:val="left"/>
      <w:pPr>
        <w:tabs>
          <w:tab w:val="num" w:pos="5760"/>
        </w:tabs>
        <w:ind w:left="5760" w:hanging="360"/>
      </w:pPr>
    </w:lvl>
    <w:lvl w:ilvl="8" w:tplc="2EBEA8B4" w:tentative="1">
      <w:start w:val="1"/>
      <w:numFmt w:val="bullet"/>
      <w:lvlText w:val=""/>
      <w:lvlJc w:val="left"/>
      <w:pPr>
        <w:tabs>
          <w:tab w:val="num" w:pos="6480"/>
        </w:tabs>
        <w:ind w:left="6480" w:hanging="360"/>
      </w:pPr>
    </w:lvl>
  </w:abstractNum>
  <w:abstractNum w:abstractNumId="28" w15:restartNumberingAfterBreak="0">
    <w:nsid w:val="6BB37F79"/>
    <w:multiLevelType w:val="hybridMultilevel"/>
    <w:tmpl w:val="57D01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8873F7"/>
    <w:multiLevelType w:val="hybridMultilevel"/>
    <w:tmpl w:val="00AAEAAA"/>
    <w:lvl w:ilvl="0" w:tplc="9C1A0E5E">
      <w:numFmt w:val="bullet"/>
      <w:lvlText w:val="-"/>
      <w:lvlJc w:val="left"/>
      <w:pPr>
        <w:ind w:left="720" w:hanging="360"/>
      </w:pPr>
    </w:lvl>
    <w:lvl w:ilvl="1" w:tplc="078E526A" w:tentative="1">
      <w:start w:val="1"/>
      <w:numFmt w:val="bullet"/>
      <w:lvlText w:val="o"/>
      <w:lvlJc w:val="left"/>
      <w:pPr>
        <w:ind w:left="1440" w:hanging="360"/>
      </w:pPr>
    </w:lvl>
    <w:lvl w:ilvl="2" w:tplc="F1502AE6" w:tentative="1">
      <w:start w:val="1"/>
      <w:numFmt w:val="bullet"/>
      <w:lvlText w:val=""/>
      <w:lvlJc w:val="left"/>
      <w:pPr>
        <w:ind w:left="2160" w:hanging="360"/>
      </w:pPr>
    </w:lvl>
    <w:lvl w:ilvl="3" w:tplc="89E24988" w:tentative="1">
      <w:start w:val="1"/>
      <w:numFmt w:val="bullet"/>
      <w:lvlText w:val=""/>
      <w:lvlJc w:val="left"/>
      <w:pPr>
        <w:ind w:left="2880" w:hanging="360"/>
      </w:pPr>
    </w:lvl>
    <w:lvl w:ilvl="4" w:tplc="594C1F38" w:tentative="1">
      <w:start w:val="1"/>
      <w:numFmt w:val="bullet"/>
      <w:lvlText w:val="o"/>
      <w:lvlJc w:val="left"/>
      <w:pPr>
        <w:ind w:left="3600" w:hanging="360"/>
      </w:pPr>
    </w:lvl>
    <w:lvl w:ilvl="5" w:tplc="0D9683AC" w:tentative="1">
      <w:start w:val="1"/>
      <w:numFmt w:val="bullet"/>
      <w:lvlText w:val=""/>
      <w:lvlJc w:val="left"/>
      <w:pPr>
        <w:ind w:left="4320" w:hanging="360"/>
      </w:pPr>
    </w:lvl>
    <w:lvl w:ilvl="6" w:tplc="73FE69D2" w:tentative="1">
      <w:start w:val="1"/>
      <w:numFmt w:val="bullet"/>
      <w:lvlText w:val=""/>
      <w:lvlJc w:val="left"/>
      <w:pPr>
        <w:ind w:left="5040" w:hanging="360"/>
      </w:pPr>
    </w:lvl>
    <w:lvl w:ilvl="7" w:tplc="256E684E" w:tentative="1">
      <w:start w:val="1"/>
      <w:numFmt w:val="bullet"/>
      <w:lvlText w:val="o"/>
      <w:lvlJc w:val="left"/>
      <w:pPr>
        <w:ind w:left="5760" w:hanging="360"/>
      </w:pPr>
    </w:lvl>
    <w:lvl w:ilvl="8" w:tplc="16AE962E" w:tentative="1">
      <w:start w:val="1"/>
      <w:numFmt w:val="bullet"/>
      <w:lvlText w:val=""/>
      <w:lvlJc w:val="left"/>
      <w:pPr>
        <w:ind w:left="6480" w:hanging="360"/>
      </w:pPr>
    </w:lvl>
  </w:abstractNum>
  <w:abstractNum w:abstractNumId="30" w15:restartNumberingAfterBreak="0">
    <w:nsid w:val="7DAD1A67"/>
    <w:multiLevelType w:val="hybridMultilevel"/>
    <w:tmpl w:val="493631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BA585D"/>
    <w:multiLevelType w:val="hybridMultilevel"/>
    <w:tmpl w:val="D634236A"/>
    <w:lvl w:ilvl="0" w:tplc="24949ED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4"/>
  </w:num>
  <w:num w:numId="3">
    <w:abstractNumId w:val="6"/>
  </w:num>
  <w:num w:numId="4">
    <w:abstractNumId w:val="13"/>
  </w:num>
  <w:num w:numId="5">
    <w:abstractNumId w:val="27"/>
  </w:num>
  <w:num w:numId="6">
    <w:abstractNumId w:val="7"/>
  </w:num>
  <w:num w:numId="7">
    <w:abstractNumId w:val="5"/>
  </w:num>
  <w:num w:numId="8">
    <w:abstractNumId w:val="29"/>
  </w:num>
  <w:num w:numId="9">
    <w:abstractNumId w:val="1"/>
  </w:num>
  <w:num w:numId="10">
    <w:abstractNumId w:val="9"/>
  </w:num>
  <w:num w:numId="11">
    <w:abstractNumId w:val="20"/>
  </w:num>
  <w:num w:numId="12">
    <w:abstractNumId w:val="14"/>
  </w:num>
  <w:num w:numId="13">
    <w:abstractNumId w:val="17"/>
  </w:num>
  <w:num w:numId="14">
    <w:abstractNumId w:val="23"/>
  </w:num>
  <w:num w:numId="15">
    <w:abstractNumId w:val="10"/>
  </w:num>
  <w:num w:numId="16">
    <w:abstractNumId w:val="21"/>
  </w:num>
  <w:num w:numId="17">
    <w:abstractNumId w:val="22"/>
  </w:num>
  <w:num w:numId="18">
    <w:abstractNumId w:val="31"/>
  </w:num>
  <w:num w:numId="19">
    <w:abstractNumId w:val="25"/>
  </w:num>
  <w:num w:numId="20">
    <w:abstractNumId w:val="2"/>
  </w:num>
  <w:num w:numId="21">
    <w:abstractNumId w:val="12"/>
  </w:num>
  <w:num w:numId="22">
    <w:abstractNumId w:val="5"/>
  </w:num>
  <w:num w:numId="23">
    <w:abstractNumId w:val="5"/>
  </w:num>
  <w:num w:numId="24">
    <w:abstractNumId w:val="28"/>
  </w:num>
  <w:num w:numId="25">
    <w:abstractNumId w:val="24"/>
  </w:num>
  <w:num w:numId="26">
    <w:abstractNumId w:val="11"/>
  </w:num>
  <w:num w:numId="27">
    <w:abstractNumId w:val="0"/>
  </w:num>
  <w:num w:numId="28">
    <w:abstractNumId w:val="26"/>
  </w:num>
  <w:num w:numId="29">
    <w:abstractNumId w:val="8"/>
  </w:num>
  <w:num w:numId="30">
    <w:abstractNumId w:val="15"/>
  </w:num>
  <w:num w:numId="31">
    <w:abstractNumId w:val="3"/>
  </w:num>
  <w:num w:numId="32">
    <w:abstractNumId w:val="16"/>
  </w:num>
  <w:num w:numId="33">
    <w:abstractNumId w:val="19"/>
  </w:num>
  <w:num w:numId="34">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cs-CZ"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en-GB" w:vendorID="64" w:dllVersion="4096" w:nlCheck="1" w:checkStyle="0"/>
  <w:activeWritingStyle w:appName="MSWord" w:lang="cs-CZ" w:vendorID="64" w:dllVersion="0" w:nlCheck="1" w:checkStyle="0"/>
  <w:activeWritingStyle w:appName="MSWord" w:lang="en-US" w:vendorID="64" w:dllVersion="0" w:nlCheck="1" w:checkStyle="0"/>
  <w:activeWritingStyle w:appName="MSWord" w:lang="en-GB" w:vendorID="64" w:dllVersion="0" w:nlCheck="1" w:checkStyle="0"/>
  <w:activeWritingStyle w:appName="MSWord" w:lang="cs-CZ" w:vendorID="7" w:dllVersion="513" w:checkStyle="1"/>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DB"/>
    <w:rsid w:val="00000F30"/>
    <w:rsid w:val="000034D7"/>
    <w:rsid w:val="00003842"/>
    <w:rsid w:val="00004560"/>
    <w:rsid w:val="000045CC"/>
    <w:rsid w:val="00004D61"/>
    <w:rsid w:val="00004D83"/>
    <w:rsid w:val="000051BC"/>
    <w:rsid w:val="00006361"/>
    <w:rsid w:val="0000709E"/>
    <w:rsid w:val="0000788C"/>
    <w:rsid w:val="000104B1"/>
    <w:rsid w:val="00011E83"/>
    <w:rsid w:val="000122AD"/>
    <w:rsid w:val="00012976"/>
    <w:rsid w:val="000139EA"/>
    <w:rsid w:val="00016D80"/>
    <w:rsid w:val="00017950"/>
    <w:rsid w:val="00017ADB"/>
    <w:rsid w:val="0002224A"/>
    <w:rsid w:val="00022EC2"/>
    <w:rsid w:val="000277A9"/>
    <w:rsid w:val="00030742"/>
    <w:rsid w:val="00031A08"/>
    <w:rsid w:val="00032749"/>
    <w:rsid w:val="00032772"/>
    <w:rsid w:val="000327B4"/>
    <w:rsid w:val="000344E8"/>
    <w:rsid w:val="0003559B"/>
    <w:rsid w:val="00036756"/>
    <w:rsid w:val="0003798D"/>
    <w:rsid w:val="00037B42"/>
    <w:rsid w:val="00037C9D"/>
    <w:rsid w:val="00040240"/>
    <w:rsid w:val="00041464"/>
    <w:rsid w:val="00041ADD"/>
    <w:rsid w:val="0004521B"/>
    <w:rsid w:val="0004619A"/>
    <w:rsid w:val="000479C2"/>
    <w:rsid w:val="000479D5"/>
    <w:rsid w:val="00051529"/>
    <w:rsid w:val="00053C64"/>
    <w:rsid w:val="00055C9F"/>
    <w:rsid w:val="00056673"/>
    <w:rsid w:val="00056D13"/>
    <w:rsid w:val="00057DCE"/>
    <w:rsid w:val="00060F1F"/>
    <w:rsid w:val="00061078"/>
    <w:rsid w:val="00063134"/>
    <w:rsid w:val="00063B4E"/>
    <w:rsid w:val="000651B3"/>
    <w:rsid w:val="000651C0"/>
    <w:rsid w:val="000658F2"/>
    <w:rsid w:val="00066DC7"/>
    <w:rsid w:val="0007006C"/>
    <w:rsid w:val="0007008E"/>
    <w:rsid w:val="00071B19"/>
    <w:rsid w:val="000741A2"/>
    <w:rsid w:val="00074F1B"/>
    <w:rsid w:val="000752D7"/>
    <w:rsid w:val="00075AA6"/>
    <w:rsid w:val="00075FE6"/>
    <w:rsid w:val="000774EE"/>
    <w:rsid w:val="000824EF"/>
    <w:rsid w:val="0008293F"/>
    <w:rsid w:val="00082BF3"/>
    <w:rsid w:val="000854FF"/>
    <w:rsid w:val="0008612F"/>
    <w:rsid w:val="00086C02"/>
    <w:rsid w:val="00087429"/>
    <w:rsid w:val="00087A27"/>
    <w:rsid w:val="00091AA9"/>
    <w:rsid w:val="00091C11"/>
    <w:rsid w:val="00091D91"/>
    <w:rsid w:val="00091D9D"/>
    <w:rsid w:val="00091EC8"/>
    <w:rsid w:val="00093E44"/>
    <w:rsid w:val="00095322"/>
    <w:rsid w:val="00095350"/>
    <w:rsid w:val="000965B9"/>
    <w:rsid w:val="000971B7"/>
    <w:rsid w:val="000A027F"/>
    <w:rsid w:val="000A29C8"/>
    <w:rsid w:val="000A513A"/>
    <w:rsid w:val="000A6D7F"/>
    <w:rsid w:val="000A7C45"/>
    <w:rsid w:val="000A7F24"/>
    <w:rsid w:val="000B2362"/>
    <w:rsid w:val="000B4796"/>
    <w:rsid w:val="000B6650"/>
    <w:rsid w:val="000B70F7"/>
    <w:rsid w:val="000C082F"/>
    <w:rsid w:val="000C0ECF"/>
    <w:rsid w:val="000C13D1"/>
    <w:rsid w:val="000C24B6"/>
    <w:rsid w:val="000C34C1"/>
    <w:rsid w:val="000C423B"/>
    <w:rsid w:val="000C53B9"/>
    <w:rsid w:val="000D1966"/>
    <w:rsid w:val="000D4D0C"/>
    <w:rsid w:val="000D6EFD"/>
    <w:rsid w:val="000E0CD4"/>
    <w:rsid w:val="000E0E90"/>
    <w:rsid w:val="000E18EB"/>
    <w:rsid w:val="000E229C"/>
    <w:rsid w:val="000E2E70"/>
    <w:rsid w:val="000E4A25"/>
    <w:rsid w:val="000E51C5"/>
    <w:rsid w:val="000E667A"/>
    <w:rsid w:val="000E73D0"/>
    <w:rsid w:val="000E7E53"/>
    <w:rsid w:val="000F07EF"/>
    <w:rsid w:val="000F18CE"/>
    <w:rsid w:val="000F3280"/>
    <w:rsid w:val="000F3C46"/>
    <w:rsid w:val="000F4CB8"/>
    <w:rsid w:val="000F52BC"/>
    <w:rsid w:val="000F6001"/>
    <w:rsid w:val="000F6021"/>
    <w:rsid w:val="000F7EA1"/>
    <w:rsid w:val="00100D2C"/>
    <w:rsid w:val="00101A8C"/>
    <w:rsid w:val="00102462"/>
    <w:rsid w:val="00103A28"/>
    <w:rsid w:val="00103BBE"/>
    <w:rsid w:val="0010661D"/>
    <w:rsid w:val="00111CB9"/>
    <w:rsid w:val="001122BD"/>
    <w:rsid w:val="00112470"/>
    <w:rsid w:val="0011277A"/>
    <w:rsid w:val="00114E6E"/>
    <w:rsid w:val="00114FE3"/>
    <w:rsid w:val="00116EEC"/>
    <w:rsid w:val="001170AB"/>
    <w:rsid w:val="001204FF"/>
    <w:rsid w:val="0012359A"/>
    <w:rsid w:val="0012385B"/>
    <w:rsid w:val="0012393F"/>
    <w:rsid w:val="00123BAC"/>
    <w:rsid w:val="00124508"/>
    <w:rsid w:val="00124D8F"/>
    <w:rsid w:val="00125E3C"/>
    <w:rsid w:val="00127138"/>
    <w:rsid w:val="00131EA3"/>
    <w:rsid w:val="001328EE"/>
    <w:rsid w:val="00133189"/>
    <w:rsid w:val="001332B4"/>
    <w:rsid w:val="001340B6"/>
    <w:rsid w:val="00134200"/>
    <w:rsid w:val="00134C1F"/>
    <w:rsid w:val="001405B3"/>
    <w:rsid w:val="00142FA2"/>
    <w:rsid w:val="00144ACA"/>
    <w:rsid w:val="001466D6"/>
    <w:rsid w:val="00146D04"/>
    <w:rsid w:val="00151234"/>
    <w:rsid w:val="00152A90"/>
    <w:rsid w:val="00152D0F"/>
    <w:rsid w:val="001551F5"/>
    <w:rsid w:val="00157A1F"/>
    <w:rsid w:val="00160F51"/>
    <w:rsid w:val="00161130"/>
    <w:rsid w:val="00162B71"/>
    <w:rsid w:val="00163607"/>
    <w:rsid w:val="0016413B"/>
    <w:rsid w:val="001666BF"/>
    <w:rsid w:val="00166CA6"/>
    <w:rsid w:val="00171EA8"/>
    <w:rsid w:val="001732DF"/>
    <w:rsid w:val="001744EA"/>
    <w:rsid w:val="00174700"/>
    <w:rsid w:val="00176379"/>
    <w:rsid w:val="001776D8"/>
    <w:rsid w:val="00180E48"/>
    <w:rsid w:val="00181496"/>
    <w:rsid w:val="00182983"/>
    <w:rsid w:val="001839A4"/>
    <w:rsid w:val="00183BD6"/>
    <w:rsid w:val="0018534E"/>
    <w:rsid w:val="00185C69"/>
    <w:rsid w:val="00185EFA"/>
    <w:rsid w:val="00186C5D"/>
    <w:rsid w:val="00186F5D"/>
    <w:rsid w:val="00187260"/>
    <w:rsid w:val="00191DB6"/>
    <w:rsid w:val="00194105"/>
    <w:rsid w:val="001947F5"/>
    <w:rsid w:val="001A5433"/>
    <w:rsid w:val="001A6F4F"/>
    <w:rsid w:val="001A7474"/>
    <w:rsid w:val="001B0868"/>
    <w:rsid w:val="001B36A2"/>
    <w:rsid w:val="001B4B88"/>
    <w:rsid w:val="001B59BF"/>
    <w:rsid w:val="001B60BF"/>
    <w:rsid w:val="001B6BAF"/>
    <w:rsid w:val="001B6C64"/>
    <w:rsid w:val="001B739E"/>
    <w:rsid w:val="001B76D9"/>
    <w:rsid w:val="001B7B01"/>
    <w:rsid w:val="001C0A04"/>
    <w:rsid w:val="001C156B"/>
    <w:rsid w:val="001C1E5E"/>
    <w:rsid w:val="001C2ABD"/>
    <w:rsid w:val="001C4FF0"/>
    <w:rsid w:val="001C6AF0"/>
    <w:rsid w:val="001C7870"/>
    <w:rsid w:val="001D169F"/>
    <w:rsid w:val="001D2728"/>
    <w:rsid w:val="001D43BB"/>
    <w:rsid w:val="001E069D"/>
    <w:rsid w:val="001E25F9"/>
    <w:rsid w:val="001E6F9A"/>
    <w:rsid w:val="001E70D8"/>
    <w:rsid w:val="001E73D2"/>
    <w:rsid w:val="001F256E"/>
    <w:rsid w:val="001F27E9"/>
    <w:rsid w:val="001F290F"/>
    <w:rsid w:val="001F33E1"/>
    <w:rsid w:val="001F44AC"/>
    <w:rsid w:val="001F487F"/>
    <w:rsid w:val="001F7760"/>
    <w:rsid w:val="001F7816"/>
    <w:rsid w:val="001F7874"/>
    <w:rsid w:val="00200666"/>
    <w:rsid w:val="002006D7"/>
    <w:rsid w:val="002029AA"/>
    <w:rsid w:val="002041B8"/>
    <w:rsid w:val="00204836"/>
    <w:rsid w:val="00207715"/>
    <w:rsid w:val="002127E9"/>
    <w:rsid w:val="0021294E"/>
    <w:rsid w:val="00212B64"/>
    <w:rsid w:val="0021422C"/>
    <w:rsid w:val="00214BD7"/>
    <w:rsid w:val="00215914"/>
    <w:rsid w:val="00215F6C"/>
    <w:rsid w:val="00215F7B"/>
    <w:rsid w:val="002167A5"/>
    <w:rsid w:val="002179F5"/>
    <w:rsid w:val="00220EAE"/>
    <w:rsid w:val="0022377E"/>
    <w:rsid w:val="00225164"/>
    <w:rsid w:val="00225F56"/>
    <w:rsid w:val="0023066E"/>
    <w:rsid w:val="00230966"/>
    <w:rsid w:val="002331F5"/>
    <w:rsid w:val="002335E2"/>
    <w:rsid w:val="00234AB5"/>
    <w:rsid w:val="002358EE"/>
    <w:rsid w:val="00236770"/>
    <w:rsid w:val="0024021F"/>
    <w:rsid w:val="00240B23"/>
    <w:rsid w:val="00241680"/>
    <w:rsid w:val="00241B7B"/>
    <w:rsid w:val="00242094"/>
    <w:rsid w:val="0024244D"/>
    <w:rsid w:val="00242DE1"/>
    <w:rsid w:val="002433EA"/>
    <w:rsid w:val="00246255"/>
    <w:rsid w:val="00246588"/>
    <w:rsid w:val="00246E2F"/>
    <w:rsid w:val="00246E89"/>
    <w:rsid w:val="00250246"/>
    <w:rsid w:val="00251B76"/>
    <w:rsid w:val="00252262"/>
    <w:rsid w:val="0025412A"/>
    <w:rsid w:val="00254F1D"/>
    <w:rsid w:val="0025528D"/>
    <w:rsid w:val="002556DB"/>
    <w:rsid w:val="0025722F"/>
    <w:rsid w:val="002575A8"/>
    <w:rsid w:val="002616E3"/>
    <w:rsid w:val="002617DF"/>
    <w:rsid w:val="00262F93"/>
    <w:rsid w:val="00263207"/>
    <w:rsid w:val="002635DD"/>
    <w:rsid w:val="00263D8C"/>
    <w:rsid w:val="00264824"/>
    <w:rsid w:val="00264BBA"/>
    <w:rsid w:val="00265868"/>
    <w:rsid w:val="0026664F"/>
    <w:rsid w:val="002672AB"/>
    <w:rsid w:val="0027065E"/>
    <w:rsid w:val="00270B68"/>
    <w:rsid w:val="002714BA"/>
    <w:rsid w:val="0027158F"/>
    <w:rsid w:val="00271907"/>
    <w:rsid w:val="002737EB"/>
    <w:rsid w:val="00275006"/>
    <w:rsid w:val="002754D4"/>
    <w:rsid w:val="00276593"/>
    <w:rsid w:val="00277A88"/>
    <w:rsid w:val="0028145A"/>
    <w:rsid w:val="002833C3"/>
    <w:rsid w:val="00285908"/>
    <w:rsid w:val="00286CCD"/>
    <w:rsid w:val="00293941"/>
    <w:rsid w:val="00293C21"/>
    <w:rsid w:val="00296937"/>
    <w:rsid w:val="00297584"/>
    <w:rsid w:val="00297BB1"/>
    <w:rsid w:val="002A0A6F"/>
    <w:rsid w:val="002A0C4A"/>
    <w:rsid w:val="002A1675"/>
    <w:rsid w:val="002A2CDA"/>
    <w:rsid w:val="002A2FEE"/>
    <w:rsid w:val="002A4A67"/>
    <w:rsid w:val="002A7FCD"/>
    <w:rsid w:val="002B025E"/>
    <w:rsid w:val="002B093D"/>
    <w:rsid w:val="002B0D2E"/>
    <w:rsid w:val="002B1191"/>
    <w:rsid w:val="002B15B7"/>
    <w:rsid w:val="002B1D16"/>
    <w:rsid w:val="002B3B5D"/>
    <w:rsid w:val="002B484D"/>
    <w:rsid w:val="002B66CD"/>
    <w:rsid w:val="002B68B3"/>
    <w:rsid w:val="002B708A"/>
    <w:rsid w:val="002B7A82"/>
    <w:rsid w:val="002C1DA8"/>
    <w:rsid w:val="002C2C26"/>
    <w:rsid w:val="002C2E24"/>
    <w:rsid w:val="002C5728"/>
    <w:rsid w:val="002C58A0"/>
    <w:rsid w:val="002C65F1"/>
    <w:rsid w:val="002C6A31"/>
    <w:rsid w:val="002C7A9E"/>
    <w:rsid w:val="002D1037"/>
    <w:rsid w:val="002D14A8"/>
    <w:rsid w:val="002D3970"/>
    <w:rsid w:val="002D455B"/>
    <w:rsid w:val="002D4BFE"/>
    <w:rsid w:val="002D5B9C"/>
    <w:rsid w:val="002D5BB3"/>
    <w:rsid w:val="002D6B64"/>
    <w:rsid w:val="002E126A"/>
    <w:rsid w:val="002E2338"/>
    <w:rsid w:val="002E306D"/>
    <w:rsid w:val="002E3B42"/>
    <w:rsid w:val="002E415E"/>
    <w:rsid w:val="002E44EA"/>
    <w:rsid w:val="002E4563"/>
    <w:rsid w:val="002E4883"/>
    <w:rsid w:val="002E4C8E"/>
    <w:rsid w:val="002E4D70"/>
    <w:rsid w:val="002E6C15"/>
    <w:rsid w:val="002E7085"/>
    <w:rsid w:val="002E7A83"/>
    <w:rsid w:val="002F09A7"/>
    <w:rsid w:val="002F1822"/>
    <w:rsid w:val="002F2171"/>
    <w:rsid w:val="002F4281"/>
    <w:rsid w:val="002F5EBA"/>
    <w:rsid w:val="00300FA4"/>
    <w:rsid w:val="00301B45"/>
    <w:rsid w:val="00302066"/>
    <w:rsid w:val="003025D6"/>
    <w:rsid w:val="0030268A"/>
    <w:rsid w:val="00303551"/>
    <w:rsid w:val="0030671C"/>
    <w:rsid w:val="00307B22"/>
    <w:rsid w:val="003118C8"/>
    <w:rsid w:val="00312243"/>
    <w:rsid w:val="00312526"/>
    <w:rsid w:val="003126C2"/>
    <w:rsid w:val="00313683"/>
    <w:rsid w:val="003159F4"/>
    <w:rsid w:val="00316F5B"/>
    <w:rsid w:val="0031702F"/>
    <w:rsid w:val="00317582"/>
    <w:rsid w:val="00320813"/>
    <w:rsid w:val="00323E47"/>
    <w:rsid w:val="0032438B"/>
    <w:rsid w:val="00327C05"/>
    <w:rsid w:val="0033150A"/>
    <w:rsid w:val="003317EF"/>
    <w:rsid w:val="00332F06"/>
    <w:rsid w:val="00333B2B"/>
    <w:rsid w:val="0033529F"/>
    <w:rsid w:val="00335311"/>
    <w:rsid w:val="003356D0"/>
    <w:rsid w:val="00340277"/>
    <w:rsid w:val="00340F8B"/>
    <w:rsid w:val="0034153B"/>
    <w:rsid w:val="00342937"/>
    <w:rsid w:val="00345EC3"/>
    <w:rsid w:val="0035052D"/>
    <w:rsid w:val="00350BC0"/>
    <w:rsid w:val="003510C9"/>
    <w:rsid w:val="00351914"/>
    <w:rsid w:val="003520B6"/>
    <w:rsid w:val="00354215"/>
    <w:rsid w:val="0035496D"/>
    <w:rsid w:val="00354ED3"/>
    <w:rsid w:val="0035579F"/>
    <w:rsid w:val="00355EB7"/>
    <w:rsid w:val="00356C08"/>
    <w:rsid w:val="00357CEB"/>
    <w:rsid w:val="003604A0"/>
    <w:rsid w:val="00362FCA"/>
    <w:rsid w:val="00365178"/>
    <w:rsid w:val="00366208"/>
    <w:rsid w:val="003669D1"/>
    <w:rsid w:val="003703B2"/>
    <w:rsid w:val="003710F4"/>
    <w:rsid w:val="00371558"/>
    <w:rsid w:val="003716C5"/>
    <w:rsid w:val="00371AFB"/>
    <w:rsid w:val="00371CA9"/>
    <w:rsid w:val="00372217"/>
    <w:rsid w:val="0037275F"/>
    <w:rsid w:val="00373385"/>
    <w:rsid w:val="00374855"/>
    <w:rsid w:val="00375DFA"/>
    <w:rsid w:val="0037621B"/>
    <w:rsid w:val="003762DF"/>
    <w:rsid w:val="003767BB"/>
    <w:rsid w:val="003767C4"/>
    <w:rsid w:val="0037705B"/>
    <w:rsid w:val="003812FA"/>
    <w:rsid w:val="00381F4F"/>
    <w:rsid w:val="00383CCA"/>
    <w:rsid w:val="0038483F"/>
    <w:rsid w:val="0038624F"/>
    <w:rsid w:val="00386C67"/>
    <w:rsid w:val="003900D7"/>
    <w:rsid w:val="003932A9"/>
    <w:rsid w:val="003969DB"/>
    <w:rsid w:val="003975CA"/>
    <w:rsid w:val="00397EC9"/>
    <w:rsid w:val="00397FF1"/>
    <w:rsid w:val="003A086E"/>
    <w:rsid w:val="003A0BB2"/>
    <w:rsid w:val="003A0D4A"/>
    <w:rsid w:val="003A15BC"/>
    <w:rsid w:val="003A47EC"/>
    <w:rsid w:val="003A4E4A"/>
    <w:rsid w:val="003A54BE"/>
    <w:rsid w:val="003A57FE"/>
    <w:rsid w:val="003B0035"/>
    <w:rsid w:val="003B00C3"/>
    <w:rsid w:val="003B34EE"/>
    <w:rsid w:val="003B49C8"/>
    <w:rsid w:val="003B690C"/>
    <w:rsid w:val="003B6AA4"/>
    <w:rsid w:val="003B6EB2"/>
    <w:rsid w:val="003B767C"/>
    <w:rsid w:val="003B7B17"/>
    <w:rsid w:val="003C035C"/>
    <w:rsid w:val="003C0EE6"/>
    <w:rsid w:val="003C104D"/>
    <w:rsid w:val="003C2405"/>
    <w:rsid w:val="003C52A6"/>
    <w:rsid w:val="003C5B5D"/>
    <w:rsid w:val="003C5CBE"/>
    <w:rsid w:val="003D08BE"/>
    <w:rsid w:val="003D31E1"/>
    <w:rsid w:val="003D4719"/>
    <w:rsid w:val="003D4BCD"/>
    <w:rsid w:val="003D560F"/>
    <w:rsid w:val="003D6F32"/>
    <w:rsid w:val="003D6F99"/>
    <w:rsid w:val="003D73D6"/>
    <w:rsid w:val="003D7799"/>
    <w:rsid w:val="003E1CB5"/>
    <w:rsid w:val="003E7C25"/>
    <w:rsid w:val="003F00BD"/>
    <w:rsid w:val="003F0855"/>
    <w:rsid w:val="003F28AE"/>
    <w:rsid w:val="003F2D3F"/>
    <w:rsid w:val="003F62DA"/>
    <w:rsid w:val="003F64D1"/>
    <w:rsid w:val="00400C49"/>
    <w:rsid w:val="00402516"/>
    <w:rsid w:val="00403E02"/>
    <w:rsid w:val="00404253"/>
    <w:rsid w:val="004046B2"/>
    <w:rsid w:val="00404C77"/>
    <w:rsid w:val="00405922"/>
    <w:rsid w:val="00405AA1"/>
    <w:rsid w:val="00405C91"/>
    <w:rsid w:val="0040664F"/>
    <w:rsid w:val="00406701"/>
    <w:rsid w:val="004101E9"/>
    <w:rsid w:val="00410F8F"/>
    <w:rsid w:val="00412716"/>
    <w:rsid w:val="00413809"/>
    <w:rsid w:val="004149C3"/>
    <w:rsid w:val="00414D9D"/>
    <w:rsid w:val="00415805"/>
    <w:rsid w:val="004177C4"/>
    <w:rsid w:val="0042201B"/>
    <w:rsid w:val="004222C3"/>
    <w:rsid w:val="00424DA3"/>
    <w:rsid w:val="00426057"/>
    <w:rsid w:val="004260B7"/>
    <w:rsid w:val="00426387"/>
    <w:rsid w:val="00426D4B"/>
    <w:rsid w:val="00427552"/>
    <w:rsid w:val="004331CC"/>
    <w:rsid w:val="00434C26"/>
    <w:rsid w:val="00435BD5"/>
    <w:rsid w:val="00440CB1"/>
    <w:rsid w:val="00442056"/>
    <w:rsid w:val="00444327"/>
    <w:rsid w:val="00444DDF"/>
    <w:rsid w:val="00446B3E"/>
    <w:rsid w:val="00451C80"/>
    <w:rsid w:val="004521DF"/>
    <w:rsid w:val="004532A8"/>
    <w:rsid w:val="004532F8"/>
    <w:rsid w:val="0045394E"/>
    <w:rsid w:val="00454668"/>
    <w:rsid w:val="00461CA9"/>
    <w:rsid w:val="00463BC8"/>
    <w:rsid w:val="00464772"/>
    <w:rsid w:val="004647E7"/>
    <w:rsid w:val="004650D2"/>
    <w:rsid w:val="00465C58"/>
    <w:rsid w:val="00466582"/>
    <w:rsid w:val="00471BDE"/>
    <w:rsid w:val="00472829"/>
    <w:rsid w:val="0047320B"/>
    <w:rsid w:val="0047368E"/>
    <w:rsid w:val="00474094"/>
    <w:rsid w:val="004750B5"/>
    <w:rsid w:val="004753BF"/>
    <w:rsid w:val="0047566A"/>
    <w:rsid w:val="004801C5"/>
    <w:rsid w:val="004811D9"/>
    <w:rsid w:val="00481B5C"/>
    <w:rsid w:val="00483499"/>
    <w:rsid w:val="00485E6A"/>
    <w:rsid w:val="00487711"/>
    <w:rsid w:val="00487A19"/>
    <w:rsid w:val="0049092B"/>
    <w:rsid w:val="00491204"/>
    <w:rsid w:val="0049142A"/>
    <w:rsid w:val="00492E96"/>
    <w:rsid w:val="0049308F"/>
    <w:rsid w:val="00494E96"/>
    <w:rsid w:val="004950A8"/>
    <w:rsid w:val="004A01A9"/>
    <w:rsid w:val="004A2316"/>
    <w:rsid w:val="004A4887"/>
    <w:rsid w:val="004A491A"/>
    <w:rsid w:val="004A4AED"/>
    <w:rsid w:val="004A6299"/>
    <w:rsid w:val="004B2213"/>
    <w:rsid w:val="004B2643"/>
    <w:rsid w:val="004B3058"/>
    <w:rsid w:val="004B3EDB"/>
    <w:rsid w:val="004B4F32"/>
    <w:rsid w:val="004B66CD"/>
    <w:rsid w:val="004B6739"/>
    <w:rsid w:val="004C1365"/>
    <w:rsid w:val="004C15C1"/>
    <w:rsid w:val="004C179D"/>
    <w:rsid w:val="004C18A7"/>
    <w:rsid w:val="004C2118"/>
    <w:rsid w:val="004C37DD"/>
    <w:rsid w:val="004C52D9"/>
    <w:rsid w:val="004C549C"/>
    <w:rsid w:val="004C5C15"/>
    <w:rsid w:val="004C7EF4"/>
    <w:rsid w:val="004D0604"/>
    <w:rsid w:val="004D29AC"/>
    <w:rsid w:val="004D4970"/>
    <w:rsid w:val="004D7E41"/>
    <w:rsid w:val="004E24F9"/>
    <w:rsid w:val="004E2B91"/>
    <w:rsid w:val="004E2C60"/>
    <w:rsid w:val="004E4C2A"/>
    <w:rsid w:val="004E557A"/>
    <w:rsid w:val="004E7051"/>
    <w:rsid w:val="004E7D3E"/>
    <w:rsid w:val="004F029D"/>
    <w:rsid w:val="004F12C2"/>
    <w:rsid w:val="004F5419"/>
    <w:rsid w:val="004F6574"/>
    <w:rsid w:val="0050151D"/>
    <w:rsid w:val="00502B19"/>
    <w:rsid w:val="00502B2F"/>
    <w:rsid w:val="00504A27"/>
    <w:rsid w:val="00504A29"/>
    <w:rsid w:val="00512146"/>
    <w:rsid w:val="0051258F"/>
    <w:rsid w:val="00513B4F"/>
    <w:rsid w:val="00514093"/>
    <w:rsid w:val="005152A4"/>
    <w:rsid w:val="00516A7E"/>
    <w:rsid w:val="00520051"/>
    <w:rsid w:val="0052130C"/>
    <w:rsid w:val="005213F9"/>
    <w:rsid w:val="00521F91"/>
    <w:rsid w:val="00524C54"/>
    <w:rsid w:val="00525623"/>
    <w:rsid w:val="005268C2"/>
    <w:rsid w:val="005278EE"/>
    <w:rsid w:val="00532038"/>
    <w:rsid w:val="005326BB"/>
    <w:rsid w:val="00532914"/>
    <w:rsid w:val="005330FC"/>
    <w:rsid w:val="005336A5"/>
    <w:rsid w:val="005349D8"/>
    <w:rsid w:val="00534FB4"/>
    <w:rsid w:val="0053669C"/>
    <w:rsid w:val="00537F1A"/>
    <w:rsid w:val="00540512"/>
    <w:rsid w:val="0054097F"/>
    <w:rsid w:val="00541326"/>
    <w:rsid w:val="00541AF2"/>
    <w:rsid w:val="00542186"/>
    <w:rsid w:val="00542203"/>
    <w:rsid w:val="00542ACB"/>
    <w:rsid w:val="0054353F"/>
    <w:rsid w:val="00543994"/>
    <w:rsid w:val="00544758"/>
    <w:rsid w:val="00545A73"/>
    <w:rsid w:val="00545C52"/>
    <w:rsid w:val="005502A6"/>
    <w:rsid w:val="00550426"/>
    <w:rsid w:val="0055119B"/>
    <w:rsid w:val="00553AF6"/>
    <w:rsid w:val="00560885"/>
    <w:rsid w:val="00563B9E"/>
    <w:rsid w:val="0056522F"/>
    <w:rsid w:val="00566438"/>
    <w:rsid w:val="005678FC"/>
    <w:rsid w:val="00570A48"/>
    <w:rsid w:val="00570EFE"/>
    <w:rsid w:val="005723B7"/>
    <w:rsid w:val="0057293C"/>
    <w:rsid w:val="00572C06"/>
    <w:rsid w:val="00573C66"/>
    <w:rsid w:val="00573D1E"/>
    <w:rsid w:val="0057487F"/>
    <w:rsid w:val="005762EB"/>
    <w:rsid w:val="00577B57"/>
    <w:rsid w:val="00577BCE"/>
    <w:rsid w:val="00581FE1"/>
    <w:rsid w:val="0058213A"/>
    <w:rsid w:val="00582204"/>
    <w:rsid w:val="00582773"/>
    <w:rsid w:val="00582A9D"/>
    <w:rsid w:val="00584F35"/>
    <w:rsid w:val="005902E2"/>
    <w:rsid w:val="00590340"/>
    <w:rsid w:val="005910CD"/>
    <w:rsid w:val="0059398C"/>
    <w:rsid w:val="00595075"/>
    <w:rsid w:val="005971AA"/>
    <w:rsid w:val="00597FDF"/>
    <w:rsid w:val="005A1F93"/>
    <w:rsid w:val="005A2367"/>
    <w:rsid w:val="005A2864"/>
    <w:rsid w:val="005A2B27"/>
    <w:rsid w:val="005A2C17"/>
    <w:rsid w:val="005A2C1C"/>
    <w:rsid w:val="005A3532"/>
    <w:rsid w:val="005A4A1B"/>
    <w:rsid w:val="005A617C"/>
    <w:rsid w:val="005A671E"/>
    <w:rsid w:val="005A6D65"/>
    <w:rsid w:val="005B0069"/>
    <w:rsid w:val="005B0CCB"/>
    <w:rsid w:val="005B20A3"/>
    <w:rsid w:val="005B3199"/>
    <w:rsid w:val="005B3428"/>
    <w:rsid w:val="005B456A"/>
    <w:rsid w:val="005B6A96"/>
    <w:rsid w:val="005C0A72"/>
    <w:rsid w:val="005C0D31"/>
    <w:rsid w:val="005C1276"/>
    <w:rsid w:val="005C1C86"/>
    <w:rsid w:val="005C2F0E"/>
    <w:rsid w:val="005C32BE"/>
    <w:rsid w:val="005C348D"/>
    <w:rsid w:val="005C39FC"/>
    <w:rsid w:val="005C66FC"/>
    <w:rsid w:val="005C674D"/>
    <w:rsid w:val="005D1383"/>
    <w:rsid w:val="005D36A0"/>
    <w:rsid w:val="005D6846"/>
    <w:rsid w:val="005D6D98"/>
    <w:rsid w:val="005D7599"/>
    <w:rsid w:val="005D799D"/>
    <w:rsid w:val="005E13CC"/>
    <w:rsid w:val="005E516E"/>
    <w:rsid w:val="005E616A"/>
    <w:rsid w:val="005E6894"/>
    <w:rsid w:val="005E6A07"/>
    <w:rsid w:val="005E6E3E"/>
    <w:rsid w:val="005E7361"/>
    <w:rsid w:val="005E7870"/>
    <w:rsid w:val="005E792A"/>
    <w:rsid w:val="005E7E7C"/>
    <w:rsid w:val="005F0439"/>
    <w:rsid w:val="005F05D2"/>
    <w:rsid w:val="005F3578"/>
    <w:rsid w:val="005F42EA"/>
    <w:rsid w:val="005F5898"/>
    <w:rsid w:val="005F5B12"/>
    <w:rsid w:val="005F60B3"/>
    <w:rsid w:val="005F7497"/>
    <w:rsid w:val="00600113"/>
    <w:rsid w:val="00600B71"/>
    <w:rsid w:val="00601652"/>
    <w:rsid w:val="00601D65"/>
    <w:rsid w:val="00602E49"/>
    <w:rsid w:val="0060347D"/>
    <w:rsid w:val="00603A3A"/>
    <w:rsid w:val="00603A83"/>
    <w:rsid w:val="00604919"/>
    <w:rsid w:val="00605BB5"/>
    <w:rsid w:val="006060F0"/>
    <w:rsid w:val="006068C6"/>
    <w:rsid w:val="00606AC9"/>
    <w:rsid w:val="00606FAE"/>
    <w:rsid w:val="0060774E"/>
    <w:rsid w:val="00607D20"/>
    <w:rsid w:val="00610A36"/>
    <w:rsid w:val="0061191D"/>
    <w:rsid w:val="00612BA4"/>
    <w:rsid w:val="00613810"/>
    <w:rsid w:val="00613CAC"/>
    <w:rsid w:val="00615155"/>
    <w:rsid w:val="006152E2"/>
    <w:rsid w:val="00615362"/>
    <w:rsid w:val="00616BDA"/>
    <w:rsid w:val="00617C13"/>
    <w:rsid w:val="0062156A"/>
    <w:rsid w:val="00621E08"/>
    <w:rsid w:val="00622145"/>
    <w:rsid w:val="0062253E"/>
    <w:rsid w:val="00622CAC"/>
    <w:rsid w:val="00623054"/>
    <w:rsid w:val="00623EB0"/>
    <w:rsid w:val="00625BC9"/>
    <w:rsid w:val="00626350"/>
    <w:rsid w:val="006265E4"/>
    <w:rsid w:val="0062770F"/>
    <w:rsid w:val="006305BA"/>
    <w:rsid w:val="00631089"/>
    <w:rsid w:val="006325CA"/>
    <w:rsid w:val="00633FF6"/>
    <w:rsid w:val="0063423E"/>
    <w:rsid w:val="00636174"/>
    <w:rsid w:val="00636380"/>
    <w:rsid w:val="00636462"/>
    <w:rsid w:val="00636F15"/>
    <w:rsid w:val="006412DE"/>
    <w:rsid w:val="00641F06"/>
    <w:rsid w:val="006425DD"/>
    <w:rsid w:val="00642658"/>
    <w:rsid w:val="0064325E"/>
    <w:rsid w:val="00643C02"/>
    <w:rsid w:val="00643F91"/>
    <w:rsid w:val="00643F9F"/>
    <w:rsid w:val="00652369"/>
    <w:rsid w:val="00655891"/>
    <w:rsid w:val="006566E8"/>
    <w:rsid w:val="00656A68"/>
    <w:rsid w:val="00656F6D"/>
    <w:rsid w:val="00661693"/>
    <w:rsid w:val="00667C27"/>
    <w:rsid w:val="00670103"/>
    <w:rsid w:val="006707AB"/>
    <w:rsid w:val="006718EA"/>
    <w:rsid w:val="00671E0D"/>
    <w:rsid w:val="0067238B"/>
    <w:rsid w:val="00673F24"/>
    <w:rsid w:val="0067484B"/>
    <w:rsid w:val="006754B9"/>
    <w:rsid w:val="00677B2E"/>
    <w:rsid w:val="00677F31"/>
    <w:rsid w:val="00682443"/>
    <w:rsid w:val="00683740"/>
    <w:rsid w:val="00686CEC"/>
    <w:rsid w:val="00686D26"/>
    <w:rsid w:val="00687535"/>
    <w:rsid w:val="00690FA4"/>
    <w:rsid w:val="00691870"/>
    <w:rsid w:val="006919ED"/>
    <w:rsid w:val="00692F47"/>
    <w:rsid w:val="00694BC0"/>
    <w:rsid w:val="006961A9"/>
    <w:rsid w:val="006974B0"/>
    <w:rsid w:val="006977F4"/>
    <w:rsid w:val="006A1058"/>
    <w:rsid w:val="006A1AEE"/>
    <w:rsid w:val="006A1D2F"/>
    <w:rsid w:val="006A1DFB"/>
    <w:rsid w:val="006A2E2D"/>
    <w:rsid w:val="006A4E33"/>
    <w:rsid w:val="006A5258"/>
    <w:rsid w:val="006A6DAE"/>
    <w:rsid w:val="006B0410"/>
    <w:rsid w:val="006B0428"/>
    <w:rsid w:val="006B08F9"/>
    <w:rsid w:val="006B0F2C"/>
    <w:rsid w:val="006B1036"/>
    <w:rsid w:val="006B3D5E"/>
    <w:rsid w:val="006B4545"/>
    <w:rsid w:val="006B4ECA"/>
    <w:rsid w:val="006B7205"/>
    <w:rsid w:val="006B7333"/>
    <w:rsid w:val="006C0173"/>
    <w:rsid w:val="006C05DD"/>
    <w:rsid w:val="006C0E48"/>
    <w:rsid w:val="006C2F3C"/>
    <w:rsid w:val="006C3115"/>
    <w:rsid w:val="006C33C9"/>
    <w:rsid w:val="006C4402"/>
    <w:rsid w:val="006C4403"/>
    <w:rsid w:val="006C535E"/>
    <w:rsid w:val="006C586D"/>
    <w:rsid w:val="006C61B7"/>
    <w:rsid w:val="006C6E5F"/>
    <w:rsid w:val="006D0AA9"/>
    <w:rsid w:val="006D1F1F"/>
    <w:rsid w:val="006D1FE1"/>
    <w:rsid w:val="006D3DCE"/>
    <w:rsid w:val="006D50EC"/>
    <w:rsid w:val="006D51B9"/>
    <w:rsid w:val="006D62D6"/>
    <w:rsid w:val="006D641C"/>
    <w:rsid w:val="006D6DA7"/>
    <w:rsid w:val="006E07F9"/>
    <w:rsid w:val="006E0D18"/>
    <w:rsid w:val="006E0DD6"/>
    <w:rsid w:val="006E29D8"/>
    <w:rsid w:val="006E3643"/>
    <w:rsid w:val="006E3C90"/>
    <w:rsid w:val="006E46EE"/>
    <w:rsid w:val="006E47B9"/>
    <w:rsid w:val="006E7666"/>
    <w:rsid w:val="006F1A78"/>
    <w:rsid w:val="006F238B"/>
    <w:rsid w:val="006F4CD7"/>
    <w:rsid w:val="006F61A8"/>
    <w:rsid w:val="006F662E"/>
    <w:rsid w:val="006F6B28"/>
    <w:rsid w:val="006F6E85"/>
    <w:rsid w:val="006F7D2B"/>
    <w:rsid w:val="007010B3"/>
    <w:rsid w:val="0070202E"/>
    <w:rsid w:val="007035E8"/>
    <w:rsid w:val="00705E4C"/>
    <w:rsid w:val="00706F55"/>
    <w:rsid w:val="00707A46"/>
    <w:rsid w:val="00712E98"/>
    <w:rsid w:val="00715B48"/>
    <w:rsid w:val="00720066"/>
    <w:rsid w:val="007213B8"/>
    <w:rsid w:val="00721C7D"/>
    <w:rsid w:val="00724163"/>
    <w:rsid w:val="0072460E"/>
    <w:rsid w:val="007247AF"/>
    <w:rsid w:val="00724A92"/>
    <w:rsid w:val="007256A3"/>
    <w:rsid w:val="00726C1C"/>
    <w:rsid w:val="00727BCF"/>
    <w:rsid w:val="007311FA"/>
    <w:rsid w:val="00731FEC"/>
    <w:rsid w:val="007323B3"/>
    <w:rsid w:val="00733928"/>
    <w:rsid w:val="00733C0D"/>
    <w:rsid w:val="0073444F"/>
    <w:rsid w:val="0073482F"/>
    <w:rsid w:val="007349A8"/>
    <w:rsid w:val="00736D10"/>
    <w:rsid w:val="00740D09"/>
    <w:rsid w:val="00741808"/>
    <w:rsid w:val="00741A16"/>
    <w:rsid w:val="00741ED4"/>
    <w:rsid w:val="00743F9E"/>
    <w:rsid w:val="00746BBA"/>
    <w:rsid w:val="007503DA"/>
    <w:rsid w:val="00752913"/>
    <w:rsid w:val="00754904"/>
    <w:rsid w:val="00754B8E"/>
    <w:rsid w:val="00754CCA"/>
    <w:rsid w:val="007565AB"/>
    <w:rsid w:val="00756B8E"/>
    <w:rsid w:val="00757CDF"/>
    <w:rsid w:val="00761928"/>
    <w:rsid w:val="00763DC8"/>
    <w:rsid w:val="007672C1"/>
    <w:rsid w:val="0077070E"/>
    <w:rsid w:val="00780677"/>
    <w:rsid w:val="00781898"/>
    <w:rsid w:val="00782B7D"/>
    <w:rsid w:val="007846F5"/>
    <w:rsid w:val="00784792"/>
    <w:rsid w:val="0078723B"/>
    <w:rsid w:val="0078750C"/>
    <w:rsid w:val="0079101B"/>
    <w:rsid w:val="007914E1"/>
    <w:rsid w:val="00791E6B"/>
    <w:rsid w:val="00795606"/>
    <w:rsid w:val="00796B22"/>
    <w:rsid w:val="00796E78"/>
    <w:rsid w:val="007971D3"/>
    <w:rsid w:val="007A2A87"/>
    <w:rsid w:val="007A4B7A"/>
    <w:rsid w:val="007A62C5"/>
    <w:rsid w:val="007A6AC5"/>
    <w:rsid w:val="007A752D"/>
    <w:rsid w:val="007B3992"/>
    <w:rsid w:val="007B420F"/>
    <w:rsid w:val="007B5F44"/>
    <w:rsid w:val="007C007D"/>
    <w:rsid w:val="007C1147"/>
    <w:rsid w:val="007C2549"/>
    <w:rsid w:val="007C3F32"/>
    <w:rsid w:val="007C4EDD"/>
    <w:rsid w:val="007D11D9"/>
    <w:rsid w:val="007D13A5"/>
    <w:rsid w:val="007D14BA"/>
    <w:rsid w:val="007D2834"/>
    <w:rsid w:val="007D4283"/>
    <w:rsid w:val="007D4452"/>
    <w:rsid w:val="007D7343"/>
    <w:rsid w:val="007E03F5"/>
    <w:rsid w:val="007E1547"/>
    <w:rsid w:val="007E1CD8"/>
    <w:rsid w:val="007E1FAF"/>
    <w:rsid w:val="007E2021"/>
    <w:rsid w:val="007E3701"/>
    <w:rsid w:val="007E374C"/>
    <w:rsid w:val="007E3BA3"/>
    <w:rsid w:val="007E4BBF"/>
    <w:rsid w:val="007E4E5D"/>
    <w:rsid w:val="007E4ECA"/>
    <w:rsid w:val="007E5005"/>
    <w:rsid w:val="007E5657"/>
    <w:rsid w:val="007E5925"/>
    <w:rsid w:val="007E79BE"/>
    <w:rsid w:val="007F084A"/>
    <w:rsid w:val="007F09D3"/>
    <w:rsid w:val="007F11C1"/>
    <w:rsid w:val="007F40A3"/>
    <w:rsid w:val="00800C69"/>
    <w:rsid w:val="0080131A"/>
    <w:rsid w:val="0080159D"/>
    <w:rsid w:val="008031DD"/>
    <w:rsid w:val="0080519F"/>
    <w:rsid w:val="008057F8"/>
    <w:rsid w:val="00806C2D"/>
    <w:rsid w:val="00806EDF"/>
    <w:rsid w:val="00807A44"/>
    <w:rsid w:val="00807E25"/>
    <w:rsid w:val="00810860"/>
    <w:rsid w:val="00812293"/>
    <w:rsid w:val="00812BB0"/>
    <w:rsid w:val="00813B6E"/>
    <w:rsid w:val="0081422F"/>
    <w:rsid w:val="0081434C"/>
    <w:rsid w:val="0081454F"/>
    <w:rsid w:val="008149A6"/>
    <w:rsid w:val="008149DB"/>
    <w:rsid w:val="00815188"/>
    <w:rsid w:val="00816AAF"/>
    <w:rsid w:val="008170B2"/>
    <w:rsid w:val="0081742A"/>
    <w:rsid w:val="008206F9"/>
    <w:rsid w:val="00820773"/>
    <w:rsid w:val="00820A9F"/>
    <w:rsid w:val="008210FB"/>
    <w:rsid w:val="00821A05"/>
    <w:rsid w:val="00821B1F"/>
    <w:rsid w:val="00822D32"/>
    <w:rsid w:val="00824D25"/>
    <w:rsid w:val="0082618A"/>
    <w:rsid w:val="00827C1F"/>
    <w:rsid w:val="00827C25"/>
    <w:rsid w:val="00827FD8"/>
    <w:rsid w:val="008312C5"/>
    <w:rsid w:val="008312EC"/>
    <w:rsid w:val="008318DF"/>
    <w:rsid w:val="00833D7C"/>
    <w:rsid w:val="00836295"/>
    <w:rsid w:val="008362CE"/>
    <w:rsid w:val="008372E7"/>
    <w:rsid w:val="0084068C"/>
    <w:rsid w:val="008425D7"/>
    <w:rsid w:val="00842954"/>
    <w:rsid w:val="00842B25"/>
    <w:rsid w:val="00842EC1"/>
    <w:rsid w:val="008447C3"/>
    <w:rsid w:val="00844FFA"/>
    <w:rsid w:val="008451E5"/>
    <w:rsid w:val="00846A04"/>
    <w:rsid w:val="00850A66"/>
    <w:rsid w:val="008521E7"/>
    <w:rsid w:val="00853969"/>
    <w:rsid w:val="00853D60"/>
    <w:rsid w:val="00854B43"/>
    <w:rsid w:val="008572DE"/>
    <w:rsid w:val="00860CAC"/>
    <w:rsid w:val="00861FD3"/>
    <w:rsid w:val="008629BF"/>
    <w:rsid w:val="00862A59"/>
    <w:rsid w:val="00865B4D"/>
    <w:rsid w:val="008661D4"/>
    <w:rsid w:val="00872C09"/>
    <w:rsid w:val="008735E3"/>
    <w:rsid w:val="008740AB"/>
    <w:rsid w:val="008754AC"/>
    <w:rsid w:val="00875DED"/>
    <w:rsid w:val="008763BF"/>
    <w:rsid w:val="00877BF0"/>
    <w:rsid w:val="008803A7"/>
    <w:rsid w:val="00880E9A"/>
    <w:rsid w:val="00880E9F"/>
    <w:rsid w:val="00880F88"/>
    <w:rsid w:val="0088218C"/>
    <w:rsid w:val="00882C9B"/>
    <w:rsid w:val="00882E79"/>
    <w:rsid w:val="008842E6"/>
    <w:rsid w:val="00884305"/>
    <w:rsid w:val="008853DF"/>
    <w:rsid w:val="00887F26"/>
    <w:rsid w:val="00893522"/>
    <w:rsid w:val="008935AD"/>
    <w:rsid w:val="00893B1D"/>
    <w:rsid w:val="00894090"/>
    <w:rsid w:val="00895EE8"/>
    <w:rsid w:val="00896EDA"/>
    <w:rsid w:val="0089789B"/>
    <w:rsid w:val="008A12C9"/>
    <w:rsid w:val="008A1E54"/>
    <w:rsid w:val="008A1FAD"/>
    <w:rsid w:val="008A2866"/>
    <w:rsid w:val="008A3389"/>
    <w:rsid w:val="008A42FD"/>
    <w:rsid w:val="008A567D"/>
    <w:rsid w:val="008A5D9D"/>
    <w:rsid w:val="008A6A9E"/>
    <w:rsid w:val="008A7119"/>
    <w:rsid w:val="008A7C90"/>
    <w:rsid w:val="008B2073"/>
    <w:rsid w:val="008B3B8E"/>
    <w:rsid w:val="008B4B04"/>
    <w:rsid w:val="008B53FF"/>
    <w:rsid w:val="008B5737"/>
    <w:rsid w:val="008B5E5D"/>
    <w:rsid w:val="008B6A55"/>
    <w:rsid w:val="008B7226"/>
    <w:rsid w:val="008B7505"/>
    <w:rsid w:val="008B77F9"/>
    <w:rsid w:val="008C0D2D"/>
    <w:rsid w:val="008C23B0"/>
    <w:rsid w:val="008C2524"/>
    <w:rsid w:val="008C64E1"/>
    <w:rsid w:val="008C6551"/>
    <w:rsid w:val="008C6C1A"/>
    <w:rsid w:val="008C70D5"/>
    <w:rsid w:val="008D0483"/>
    <w:rsid w:val="008D0837"/>
    <w:rsid w:val="008D11EB"/>
    <w:rsid w:val="008D16C7"/>
    <w:rsid w:val="008D7B80"/>
    <w:rsid w:val="008D7E16"/>
    <w:rsid w:val="008E08AB"/>
    <w:rsid w:val="008E0D0C"/>
    <w:rsid w:val="008E23BF"/>
    <w:rsid w:val="008E2957"/>
    <w:rsid w:val="008E2EF9"/>
    <w:rsid w:val="008E31D4"/>
    <w:rsid w:val="008E3E13"/>
    <w:rsid w:val="008E44B8"/>
    <w:rsid w:val="008E51DC"/>
    <w:rsid w:val="008E51E0"/>
    <w:rsid w:val="008F444B"/>
    <w:rsid w:val="008F4C5C"/>
    <w:rsid w:val="008F4F77"/>
    <w:rsid w:val="008F5684"/>
    <w:rsid w:val="008F7633"/>
    <w:rsid w:val="008F7743"/>
    <w:rsid w:val="00900C1D"/>
    <w:rsid w:val="0090145D"/>
    <w:rsid w:val="0090156A"/>
    <w:rsid w:val="0090171D"/>
    <w:rsid w:val="00903656"/>
    <w:rsid w:val="009037E6"/>
    <w:rsid w:val="00906980"/>
    <w:rsid w:val="00907E2A"/>
    <w:rsid w:val="0091306B"/>
    <w:rsid w:val="00913556"/>
    <w:rsid w:val="00913C4D"/>
    <w:rsid w:val="009144C4"/>
    <w:rsid w:val="009148E2"/>
    <w:rsid w:val="00915453"/>
    <w:rsid w:val="00916290"/>
    <w:rsid w:val="009167AB"/>
    <w:rsid w:val="00916BF9"/>
    <w:rsid w:val="0091726E"/>
    <w:rsid w:val="00921173"/>
    <w:rsid w:val="00921A73"/>
    <w:rsid w:val="0092214F"/>
    <w:rsid w:val="00922E3B"/>
    <w:rsid w:val="00923841"/>
    <w:rsid w:val="0092445D"/>
    <w:rsid w:val="00925A55"/>
    <w:rsid w:val="009263B6"/>
    <w:rsid w:val="00926489"/>
    <w:rsid w:val="00927911"/>
    <w:rsid w:val="00932A6E"/>
    <w:rsid w:val="00933A38"/>
    <w:rsid w:val="00934BA6"/>
    <w:rsid w:val="00935CE9"/>
    <w:rsid w:val="00936907"/>
    <w:rsid w:val="00936B59"/>
    <w:rsid w:val="0093703D"/>
    <w:rsid w:val="00937685"/>
    <w:rsid w:val="0094150F"/>
    <w:rsid w:val="00941B32"/>
    <w:rsid w:val="00943067"/>
    <w:rsid w:val="009444F3"/>
    <w:rsid w:val="009464D2"/>
    <w:rsid w:val="009464D7"/>
    <w:rsid w:val="009474ED"/>
    <w:rsid w:val="009509E6"/>
    <w:rsid w:val="00953371"/>
    <w:rsid w:val="009538C6"/>
    <w:rsid w:val="00954371"/>
    <w:rsid w:val="00956651"/>
    <w:rsid w:val="00957E18"/>
    <w:rsid w:val="0096020A"/>
    <w:rsid w:val="00962532"/>
    <w:rsid w:val="0096374B"/>
    <w:rsid w:val="009637FF"/>
    <w:rsid w:val="00964C40"/>
    <w:rsid w:val="009665D5"/>
    <w:rsid w:val="00967666"/>
    <w:rsid w:val="009676D2"/>
    <w:rsid w:val="00967A27"/>
    <w:rsid w:val="00972A51"/>
    <w:rsid w:val="00973114"/>
    <w:rsid w:val="00974125"/>
    <w:rsid w:val="0097521D"/>
    <w:rsid w:val="00976670"/>
    <w:rsid w:val="00976C77"/>
    <w:rsid w:val="0098057A"/>
    <w:rsid w:val="00982B1B"/>
    <w:rsid w:val="0098458C"/>
    <w:rsid w:val="00985F86"/>
    <w:rsid w:val="009903EF"/>
    <w:rsid w:val="00990719"/>
    <w:rsid w:val="00993021"/>
    <w:rsid w:val="00993E09"/>
    <w:rsid w:val="009967E8"/>
    <w:rsid w:val="0099688D"/>
    <w:rsid w:val="009A2B24"/>
    <w:rsid w:val="009A33D4"/>
    <w:rsid w:val="009A4B83"/>
    <w:rsid w:val="009A52C2"/>
    <w:rsid w:val="009A6414"/>
    <w:rsid w:val="009B0F8F"/>
    <w:rsid w:val="009B16B7"/>
    <w:rsid w:val="009B27A5"/>
    <w:rsid w:val="009B3597"/>
    <w:rsid w:val="009B6EDA"/>
    <w:rsid w:val="009C0BF4"/>
    <w:rsid w:val="009C1668"/>
    <w:rsid w:val="009C1EDE"/>
    <w:rsid w:val="009C282B"/>
    <w:rsid w:val="009C4648"/>
    <w:rsid w:val="009C4AD5"/>
    <w:rsid w:val="009C4AE1"/>
    <w:rsid w:val="009C503F"/>
    <w:rsid w:val="009C744F"/>
    <w:rsid w:val="009C7F48"/>
    <w:rsid w:val="009D12E8"/>
    <w:rsid w:val="009D15EA"/>
    <w:rsid w:val="009D1E67"/>
    <w:rsid w:val="009D2177"/>
    <w:rsid w:val="009D2CFF"/>
    <w:rsid w:val="009D3ABF"/>
    <w:rsid w:val="009D4FB9"/>
    <w:rsid w:val="009D5588"/>
    <w:rsid w:val="009E6013"/>
    <w:rsid w:val="009E62E9"/>
    <w:rsid w:val="009E78D5"/>
    <w:rsid w:val="009F156A"/>
    <w:rsid w:val="009F1E15"/>
    <w:rsid w:val="009F41B4"/>
    <w:rsid w:val="009F4A23"/>
    <w:rsid w:val="009F4F95"/>
    <w:rsid w:val="009F559C"/>
    <w:rsid w:val="009F63A9"/>
    <w:rsid w:val="009F7AAE"/>
    <w:rsid w:val="00A041E9"/>
    <w:rsid w:val="00A07AB4"/>
    <w:rsid w:val="00A11E9F"/>
    <w:rsid w:val="00A12EF9"/>
    <w:rsid w:val="00A12F8A"/>
    <w:rsid w:val="00A13ADA"/>
    <w:rsid w:val="00A15F1C"/>
    <w:rsid w:val="00A162F8"/>
    <w:rsid w:val="00A20FAD"/>
    <w:rsid w:val="00A219FD"/>
    <w:rsid w:val="00A21EC7"/>
    <w:rsid w:val="00A220A4"/>
    <w:rsid w:val="00A22256"/>
    <w:rsid w:val="00A22DD9"/>
    <w:rsid w:val="00A254B9"/>
    <w:rsid w:val="00A2574B"/>
    <w:rsid w:val="00A25B04"/>
    <w:rsid w:val="00A27E7E"/>
    <w:rsid w:val="00A3138E"/>
    <w:rsid w:val="00A32C25"/>
    <w:rsid w:val="00A34506"/>
    <w:rsid w:val="00A36A1E"/>
    <w:rsid w:val="00A407EC"/>
    <w:rsid w:val="00A40EA1"/>
    <w:rsid w:val="00A412C0"/>
    <w:rsid w:val="00A41694"/>
    <w:rsid w:val="00A41A24"/>
    <w:rsid w:val="00A42EF7"/>
    <w:rsid w:val="00A43AAE"/>
    <w:rsid w:val="00A43CC0"/>
    <w:rsid w:val="00A43F7A"/>
    <w:rsid w:val="00A4440E"/>
    <w:rsid w:val="00A449AE"/>
    <w:rsid w:val="00A453C1"/>
    <w:rsid w:val="00A50CE9"/>
    <w:rsid w:val="00A520EF"/>
    <w:rsid w:val="00A5390B"/>
    <w:rsid w:val="00A53E24"/>
    <w:rsid w:val="00A56067"/>
    <w:rsid w:val="00A5606B"/>
    <w:rsid w:val="00A57828"/>
    <w:rsid w:val="00A61A7C"/>
    <w:rsid w:val="00A64937"/>
    <w:rsid w:val="00A653A8"/>
    <w:rsid w:val="00A654D5"/>
    <w:rsid w:val="00A65EDC"/>
    <w:rsid w:val="00A66F8A"/>
    <w:rsid w:val="00A67797"/>
    <w:rsid w:val="00A7079A"/>
    <w:rsid w:val="00A7105D"/>
    <w:rsid w:val="00A72CF7"/>
    <w:rsid w:val="00A72DAD"/>
    <w:rsid w:val="00A73D3C"/>
    <w:rsid w:val="00A746E1"/>
    <w:rsid w:val="00A7493F"/>
    <w:rsid w:val="00A754A2"/>
    <w:rsid w:val="00A75B10"/>
    <w:rsid w:val="00A75F56"/>
    <w:rsid w:val="00A762EA"/>
    <w:rsid w:val="00A771CF"/>
    <w:rsid w:val="00A77524"/>
    <w:rsid w:val="00A77884"/>
    <w:rsid w:val="00A80EBA"/>
    <w:rsid w:val="00A825D7"/>
    <w:rsid w:val="00A849AF"/>
    <w:rsid w:val="00A85129"/>
    <w:rsid w:val="00A852B7"/>
    <w:rsid w:val="00A86714"/>
    <w:rsid w:val="00A8721C"/>
    <w:rsid w:val="00A901DA"/>
    <w:rsid w:val="00A90B3B"/>
    <w:rsid w:val="00A90D50"/>
    <w:rsid w:val="00A9240D"/>
    <w:rsid w:val="00A93B6B"/>
    <w:rsid w:val="00A9584F"/>
    <w:rsid w:val="00A95C26"/>
    <w:rsid w:val="00A96E3B"/>
    <w:rsid w:val="00A96FED"/>
    <w:rsid w:val="00A9757B"/>
    <w:rsid w:val="00AA03D6"/>
    <w:rsid w:val="00AA2654"/>
    <w:rsid w:val="00AA2AE3"/>
    <w:rsid w:val="00AA5947"/>
    <w:rsid w:val="00AA6531"/>
    <w:rsid w:val="00AA76D3"/>
    <w:rsid w:val="00AA79F1"/>
    <w:rsid w:val="00AA7BF9"/>
    <w:rsid w:val="00AA7D67"/>
    <w:rsid w:val="00AB1245"/>
    <w:rsid w:val="00AB14E9"/>
    <w:rsid w:val="00AB3F6B"/>
    <w:rsid w:val="00AB4D00"/>
    <w:rsid w:val="00AB5ECC"/>
    <w:rsid w:val="00AB6600"/>
    <w:rsid w:val="00AC0509"/>
    <w:rsid w:val="00AC0936"/>
    <w:rsid w:val="00AC0BB9"/>
    <w:rsid w:val="00AC10D6"/>
    <w:rsid w:val="00AC288A"/>
    <w:rsid w:val="00AC2DAB"/>
    <w:rsid w:val="00AC4E0D"/>
    <w:rsid w:val="00AC5074"/>
    <w:rsid w:val="00AC524A"/>
    <w:rsid w:val="00AC553F"/>
    <w:rsid w:val="00AC729F"/>
    <w:rsid w:val="00AC7C4C"/>
    <w:rsid w:val="00AD3013"/>
    <w:rsid w:val="00AD3F94"/>
    <w:rsid w:val="00AD42D7"/>
    <w:rsid w:val="00AD48EF"/>
    <w:rsid w:val="00AD4BE3"/>
    <w:rsid w:val="00AD4C47"/>
    <w:rsid w:val="00AD5B5D"/>
    <w:rsid w:val="00AD744B"/>
    <w:rsid w:val="00AD76F3"/>
    <w:rsid w:val="00AE13C6"/>
    <w:rsid w:val="00AE2C24"/>
    <w:rsid w:val="00AE44BC"/>
    <w:rsid w:val="00AE72C7"/>
    <w:rsid w:val="00AF0A1E"/>
    <w:rsid w:val="00AF1B7A"/>
    <w:rsid w:val="00AF31D1"/>
    <w:rsid w:val="00AF4D3D"/>
    <w:rsid w:val="00AF654A"/>
    <w:rsid w:val="00AF7B8C"/>
    <w:rsid w:val="00B01457"/>
    <w:rsid w:val="00B02272"/>
    <w:rsid w:val="00B026E5"/>
    <w:rsid w:val="00B035B0"/>
    <w:rsid w:val="00B0461C"/>
    <w:rsid w:val="00B04EC0"/>
    <w:rsid w:val="00B0649F"/>
    <w:rsid w:val="00B064B0"/>
    <w:rsid w:val="00B11248"/>
    <w:rsid w:val="00B139B1"/>
    <w:rsid w:val="00B142A8"/>
    <w:rsid w:val="00B21131"/>
    <w:rsid w:val="00B2237B"/>
    <w:rsid w:val="00B25098"/>
    <w:rsid w:val="00B25FD3"/>
    <w:rsid w:val="00B26151"/>
    <w:rsid w:val="00B26806"/>
    <w:rsid w:val="00B26D4A"/>
    <w:rsid w:val="00B278F4"/>
    <w:rsid w:val="00B30C40"/>
    <w:rsid w:val="00B310C2"/>
    <w:rsid w:val="00B32CAB"/>
    <w:rsid w:val="00B33F41"/>
    <w:rsid w:val="00B36C58"/>
    <w:rsid w:val="00B406FD"/>
    <w:rsid w:val="00B413AE"/>
    <w:rsid w:val="00B41834"/>
    <w:rsid w:val="00B421A9"/>
    <w:rsid w:val="00B42B0A"/>
    <w:rsid w:val="00B44A44"/>
    <w:rsid w:val="00B45025"/>
    <w:rsid w:val="00B45E16"/>
    <w:rsid w:val="00B5245F"/>
    <w:rsid w:val="00B5267E"/>
    <w:rsid w:val="00B5540A"/>
    <w:rsid w:val="00B55721"/>
    <w:rsid w:val="00B5606E"/>
    <w:rsid w:val="00B56F54"/>
    <w:rsid w:val="00B603C6"/>
    <w:rsid w:val="00B61E73"/>
    <w:rsid w:val="00B62722"/>
    <w:rsid w:val="00B637FE"/>
    <w:rsid w:val="00B63B48"/>
    <w:rsid w:val="00B6475A"/>
    <w:rsid w:val="00B705D7"/>
    <w:rsid w:val="00B706C5"/>
    <w:rsid w:val="00B71ACF"/>
    <w:rsid w:val="00B75307"/>
    <w:rsid w:val="00B7681C"/>
    <w:rsid w:val="00B8042F"/>
    <w:rsid w:val="00B816FF"/>
    <w:rsid w:val="00B81811"/>
    <w:rsid w:val="00B81D27"/>
    <w:rsid w:val="00B81D33"/>
    <w:rsid w:val="00B81E3A"/>
    <w:rsid w:val="00B82516"/>
    <w:rsid w:val="00B83223"/>
    <w:rsid w:val="00B83C2E"/>
    <w:rsid w:val="00B8418C"/>
    <w:rsid w:val="00B8773C"/>
    <w:rsid w:val="00B9082A"/>
    <w:rsid w:val="00B90A31"/>
    <w:rsid w:val="00B90E1E"/>
    <w:rsid w:val="00B93534"/>
    <w:rsid w:val="00B935A5"/>
    <w:rsid w:val="00B943B8"/>
    <w:rsid w:val="00B96251"/>
    <w:rsid w:val="00B97588"/>
    <w:rsid w:val="00BA1994"/>
    <w:rsid w:val="00BA66BF"/>
    <w:rsid w:val="00BA6CEE"/>
    <w:rsid w:val="00BA6F1A"/>
    <w:rsid w:val="00BA7C39"/>
    <w:rsid w:val="00BB205D"/>
    <w:rsid w:val="00BB2AF8"/>
    <w:rsid w:val="00BB3FC7"/>
    <w:rsid w:val="00BB4599"/>
    <w:rsid w:val="00BB45E0"/>
    <w:rsid w:val="00BB585A"/>
    <w:rsid w:val="00BB62E8"/>
    <w:rsid w:val="00BB745B"/>
    <w:rsid w:val="00BC31A3"/>
    <w:rsid w:val="00BC4CF1"/>
    <w:rsid w:val="00BC5DB0"/>
    <w:rsid w:val="00BC62AF"/>
    <w:rsid w:val="00BC66D1"/>
    <w:rsid w:val="00BD00B9"/>
    <w:rsid w:val="00BD0113"/>
    <w:rsid w:val="00BD20EA"/>
    <w:rsid w:val="00BD47A5"/>
    <w:rsid w:val="00BD4AEF"/>
    <w:rsid w:val="00BD5044"/>
    <w:rsid w:val="00BD519F"/>
    <w:rsid w:val="00BD5516"/>
    <w:rsid w:val="00BD5C38"/>
    <w:rsid w:val="00BD74F8"/>
    <w:rsid w:val="00BD7A1E"/>
    <w:rsid w:val="00BD7BA2"/>
    <w:rsid w:val="00BE04C8"/>
    <w:rsid w:val="00BE1118"/>
    <w:rsid w:val="00BE24B0"/>
    <w:rsid w:val="00BE3088"/>
    <w:rsid w:val="00BE4C99"/>
    <w:rsid w:val="00BE6CED"/>
    <w:rsid w:val="00BF03E8"/>
    <w:rsid w:val="00BF09A5"/>
    <w:rsid w:val="00BF3CC5"/>
    <w:rsid w:val="00BF3FAD"/>
    <w:rsid w:val="00BF4FF8"/>
    <w:rsid w:val="00BF6DB0"/>
    <w:rsid w:val="00BF79D1"/>
    <w:rsid w:val="00C02459"/>
    <w:rsid w:val="00C030B0"/>
    <w:rsid w:val="00C03BAF"/>
    <w:rsid w:val="00C06880"/>
    <w:rsid w:val="00C07230"/>
    <w:rsid w:val="00C0726F"/>
    <w:rsid w:val="00C07546"/>
    <w:rsid w:val="00C078BE"/>
    <w:rsid w:val="00C11648"/>
    <w:rsid w:val="00C13609"/>
    <w:rsid w:val="00C13F76"/>
    <w:rsid w:val="00C14DC7"/>
    <w:rsid w:val="00C1576D"/>
    <w:rsid w:val="00C159E9"/>
    <w:rsid w:val="00C207F1"/>
    <w:rsid w:val="00C2215B"/>
    <w:rsid w:val="00C2299B"/>
    <w:rsid w:val="00C26921"/>
    <w:rsid w:val="00C2740D"/>
    <w:rsid w:val="00C279F0"/>
    <w:rsid w:val="00C27BDA"/>
    <w:rsid w:val="00C30E57"/>
    <w:rsid w:val="00C31B60"/>
    <w:rsid w:val="00C3303E"/>
    <w:rsid w:val="00C3556A"/>
    <w:rsid w:val="00C36998"/>
    <w:rsid w:val="00C37AF6"/>
    <w:rsid w:val="00C404F6"/>
    <w:rsid w:val="00C40923"/>
    <w:rsid w:val="00C409C4"/>
    <w:rsid w:val="00C4115D"/>
    <w:rsid w:val="00C41AF1"/>
    <w:rsid w:val="00C41BD5"/>
    <w:rsid w:val="00C42411"/>
    <w:rsid w:val="00C42D9D"/>
    <w:rsid w:val="00C42F27"/>
    <w:rsid w:val="00C43C17"/>
    <w:rsid w:val="00C45F54"/>
    <w:rsid w:val="00C470B6"/>
    <w:rsid w:val="00C474FD"/>
    <w:rsid w:val="00C47B5E"/>
    <w:rsid w:val="00C50854"/>
    <w:rsid w:val="00C51B5B"/>
    <w:rsid w:val="00C52CDE"/>
    <w:rsid w:val="00C530D9"/>
    <w:rsid w:val="00C55C64"/>
    <w:rsid w:val="00C5653B"/>
    <w:rsid w:val="00C565FC"/>
    <w:rsid w:val="00C56679"/>
    <w:rsid w:val="00C56C45"/>
    <w:rsid w:val="00C572D9"/>
    <w:rsid w:val="00C61D74"/>
    <w:rsid w:val="00C62D77"/>
    <w:rsid w:val="00C64C72"/>
    <w:rsid w:val="00C650F2"/>
    <w:rsid w:val="00C70B44"/>
    <w:rsid w:val="00C70C18"/>
    <w:rsid w:val="00C719F6"/>
    <w:rsid w:val="00C72277"/>
    <w:rsid w:val="00C7319A"/>
    <w:rsid w:val="00C73301"/>
    <w:rsid w:val="00C7737B"/>
    <w:rsid w:val="00C777D3"/>
    <w:rsid w:val="00C778AA"/>
    <w:rsid w:val="00C82444"/>
    <w:rsid w:val="00C827F9"/>
    <w:rsid w:val="00C82F84"/>
    <w:rsid w:val="00C84370"/>
    <w:rsid w:val="00C86F54"/>
    <w:rsid w:val="00C9061D"/>
    <w:rsid w:val="00C929E9"/>
    <w:rsid w:val="00C9338A"/>
    <w:rsid w:val="00C95568"/>
    <w:rsid w:val="00C956D1"/>
    <w:rsid w:val="00C95FA0"/>
    <w:rsid w:val="00C96158"/>
    <w:rsid w:val="00C969AD"/>
    <w:rsid w:val="00CA6192"/>
    <w:rsid w:val="00CA681E"/>
    <w:rsid w:val="00CB247D"/>
    <w:rsid w:val="00CB2C42"/>
    <w:rsid w:val="00CB3503"/>
    <w:rsid w:val="00CB36F5"/>
    <w:rsid w:val="00CB3C3C"/>
    <w:rsid w:val="00CB55FF"/>
    <w:rsid w:val="00CB6736"/>
    <w:rsid w:val="00CC0176"/>
    <w:rsid w:val="00CC15ED"/>
    <w:rsid w:val="00CC37BE"/>
    <w:rsid w:val="00CC3836"/>
    <w:rsid w:val="00CC6083"/>
    <w:rsid w:val="00CD0599"/>
    <w:rsid w:val="00CD0AF6"/>
    <w:rsid w:val="00CD0F9D"/>
    <w:rsid w:val="00CD11CB"/>
    <w:rsid w:val="00CD1853"/>
    <w:rsid w:val="00CD18D2"/>
    <w:rsid w:val="00CD3E65"/>
    <w:rsid w:val="00CD4A47"/>
    <w:rsid w:val="00CD4A9B"/>
    <w:rsid w:val="00CD55FA"/>
    <w:rsid w:val="00CD5810"/>
    <w:rsid w:val="00CD603C"/>
    <w:rsid w:val="00CE10D0"/>
    <w:rsid w:val="00CE1542"/>
    <w:rsid w:val="00CE1FF8"/>
    <w:rsid w:val="00CE2C89"/>
    <w:rsid w:val="00CE3202"/>
    <w:rsid w:val="00CE4A08"/>
    <w:rsid w:val="00CF01A2"/>
    <w:rsid w:val="00CF117E"/>
    <w:rsid w:val="00CF1253"/>
    <w:rsid w:val="00CF1BAD"/>
    <w:rsid w:val="00CF1FA7"/>
    <w:rsid w:val="00CF202E"/>
    <w:rsid w:val="00CF3336"/>
    <w:rsid w:val="00CF4523"/>
    <w:rsid w:val="00CF47AF"/>
    <w:rsid w:val="00CF4E11"/>
    <w:rsid w:val="00CF69E4"/>
    <w:rsid w:val="00CF720B"/>
    <w:rsid w:val="00D005AF"/>
    <w:rsid w:val="00D0185E"/>
    <w:rsid w:val="00D02D03"/>
    <w:rsid w:val="00D048AA"/>
    <w:rsid w:val="00D060A0"/>
    <w:rsid w:val="00D064E3"/>
    <w:rsid w:val="00D06A60"/>
    <w:rsid w:val="00D077F5"/>
    <w:rsid w:val="00D10D44"/>
    <w:rsid w:val="00D11435"/>
    <w:rsid w:val="00D12C28"/>
    <w:rsid w:val="00D12F74"/>
    <w:rsid w:val="00D139D5"/>
    <w:rsid w:val="00D140FC"/>
    <w:rsid w:val="00D14BF9"/>
    <w:rsid w:val="00D14C60"/>
    <w:rsid w:val="00D21AEA"/>
    <w:rsid w:val="00D2283B"/>
    <w:rsid w:val="00D229CC"/>
    <w:rsid w:val="00D22E5B"/>
    <w:rsid w:val="00D22F3F"/>
    <w:rsid w:val="00D23F79"/>
    <w:rsid w:val="00D26A52"/>
    <w:rsid w:val="00D30F3A"/>
    <w:rsid w:val="00D3186E"/>
    <w:rsid w:val="00D325F4"/>
    <w:rsid w:val="00D341D7"/>
    <w:rsid w:val="00D359C4"/>
    <w:rsid w:val="00D35D6C"/>
    <w:rsid w:val="00D372B4"/>
    <w:rsid w:val="00D40200"/>
    <w:rsid w:val="00D41882"/>
    <w:rsid w:val="00D42C18"/>
    <w:rsid w:val="00D43428"/>
    <w:rsid w:val="00D4584D"/>
    <w:rsid w:val="00D5058A"/>
    <w:rsid w:val="00D50709"/>
    <w:rsid w:val="00D532F5"/>
    <w:rsid w:val="00D53FA6"/>
    <w:rsid w:val="00D54B87"/>
    <w:rsid w:val="00D57A18"/>
    <w:rsid w:val="00D6083C"/>
    <w:rsid w:val="00D60A19"/>
    <w:rsid w:val="00D61570"/>
    <w:rsid w:val="00D6411B"/>
    <w:rsid w:val="00D64834"/>
    <w:rsid w:val="00D649F8"/>
    <w:rsid w:val="00D64EC2"/>
    <w:rsid w:val="00D65689"/>
    <w:rsid w:val="00D65897"/>
    <w:rsid w:val="00D667CA"/>
    <w:rsid w:val="00D673AE"/>
    <w:rsid w:val="00D702B6"/>
    <w:rsid w:val="00D70D2C"/>
    <w:rsid w:val="00D744EA"/>
    <w:rsid w:val="00D74A06"/>
    <w:rsid w:val="00D756FA"/>
    <w:rsid w:val="00D77B37"/>
    <w:rsid w:val="00D824C6"/>
    <w:rsid w:val="00D83A4B"/>
    <w:rsid w:val="00D86452"/>
    <w:rsid w:val="00D866AD"/>
    <w:rsid w:val="00D87758"/>
    <w:rsid w:val="00D90748"/>
    <w:rsid w:val="00D90A14"/>
    <w:rsid w:val="00D9130C"/>
    <w:rsid w:val="00D91AB5"/>
    <w:rsid w:val="00D91E45"/>
    <w:rsid w:val="00D921C8"/>
    <w:rsid w:val="00D92BB8"/>
    <w:rsid w:val="00D93118"/>
    <w:rsid w:val="00D93639"/>
    <w:rsid w:val="00D95F98"/>
    <w:rsid w:val="00D962E9"/>
    <w:rsid w:val="00DA3C8A"/>
    <w:rsid w:val="00DA4AE4"/>
    <w:rsid w:val="00DA5E9B"/>
    <w:rsid w:val="00DA6462"/>
    <w:rsid w:val="00DA6D6C"/>
    <w:rsid w:val="00DB178E"/>
    <w:rsid w:val="00DB238B"/>
    <w:rsid w:val="00DB2438"/>
    <w:rsid w:val="00DB288C"/>
    <w:rsid w:val="00DB6021"/>
    <w:rsid w:val="00DB7277"/>
    <w:rsid w:val="00DB7D32"/>
    <w:rsid w:val="00DB7D39"/>
    <w:rsid w:val="00DC009F"/>
    <w:rsid w:val="00DC2266"/>
    <w:rsid w:val="00DC3850"/>
    <w:rsid w:val="00DC3C34"/>
    <w:rsid w:val="00DC6728"/>
    <w:rsid w:val="00DC6F10"/>
    <w:rsid w:val="00DD0754"/>
    <w:rsid w:val="00DD0E68"/>
    <w:rsid w:val="00DD10B1"/>
    <w:rsid w:val="00DD1181"/>
    <w:rsid w:val="00DD1A93"/>
    <w:rsid w:val="00DD22ED"/>
    <w:rsid w:val="00DD2C05"/>
    <w:rsid w:val="00DD5744"/>
    <w:rsid w:val="00DD5B06"/>
    <w:rsid w:val="00DD5B3E"/>
    <w:rsid w:val="00DE0AEE"/>
    <w:rsid w:val="00DE0D12"/>
    <w:rsid w:val="00DE1BE3"/>
    <w:rsid w:val="00DE418A"/>
    <w:rsid w:val="00DE4305"/>
    <w:rsid w:val="00DE4986"/>
    <w:rsid w:val="00DE4D31"/>
    <w:rsid w:val="00DE6387"/>
    <w:rsid w:val="00DF0515"/>
    <w:rsid w:val="00DF0F6A"/>
    <w:rsid w:val="00DF15C8"/>
    <w:rsid w:val="00DF179C"/>
    <w:rsid w:val="00DF3034"/>
    <w:rsid w:val="00DF356A"/>
    <w:rsid w:val="00DF3E9E"/>
    <w:rsid w:val="00DF42AE"/>
    <w:rsid w:val="00DF6D7F"/>
    <w:rsid w:val="00E018AF"/>
    <w:rsid w:val="00E01B9A"/>
    <w:rsid w:val="00E0310E"/>
    <w:rsid w:val="00E0438E"/>
    <w:rsid w:val="00E04CBB"/>
    <w:rsid w:val="00E053AE"/>
    <w:rsid w:val="00E056C1"/>
    <w:rsid w:val="00E07008"/>
    <w:rsid w:val="00E076F3"/>
    <w:rsid w:val="00E10032"/>
    <w:rsid w:val="00E11BC5"/>
    <w:rsid w:val="00E11F8B"/>
    <w:rsid w:val="00E14811"/>
    <w:rsid w:val="00E14B79"/>
    <w:rsid w:val="00E15C83"/>
    <w:rsid w:val="00E16755"/>
    <w:rsid w:val="00E17C65"/>
    <w:rsid w:val="00E206B3"/>
    <w:rsid w:val="00E20F89"/>
    <w:rsid w:val="00E216D5"/>
    <w:rsid w:val="00E21D67"/>
    <w:rsid w:val="00E2339C"/>
    <w:rsid w:val="00E27D4D"/>
    <w:rsid w:val="00E30D12"/>
    <w:rsid w:val="00E31307"/>
    <w:rsid w:val="00E31358"/>
    <w:rsid w:val="00E31A99"/>
    <w:rsid w:val="00E31C29"/>
    <w:rsid w:val="00E331AE"/>
    <w:rsid w:val="00E335F3"/>
    <w:rsid w:val="00E33E1A"/>
    <w:rsid w:val="00E403F4"/>
    <w:rsid w:val="00E407BF"/>
    <w:rsid w:val="00E4092E"/>
    <w:rsid w:val="00E4378B"/>
    <w:rsid w:val="00E43A99"/>
    <w:rsid w:val="00E43DC1"/>
    <w:rsid w:val="00E44022"/>
    <w:rsid w:val="00E44977"/>
    <w:rsid w:val="00E45048"/>
    <w:rsid w:val="00E45A07"/>
    <w:rsid w:val="00E45A60"/>
    <w:rsid w:val="00E45AEF"/>
    <w:rsid w:val="00E467B6"/>
    <w:rsid w:val="00E47D2C"/>
    <w:rsid w:val="00E508B8"/>
    <w:rsid w:val="00E51672"/>
    <w:rsid w:val="00E519D6"/>
    <w:rsid w:val="00E525BD"/>
    <w:rsid w:val="00E52751"/>
    <w:rsid w:val="00E527EC"/>
    <w:rsid w:val="00E52848"/>
    <w:rsid w:val="00E57212"/>
    <w:rsid w:val="00E57569"/>
    <w:rsid w:val="00E604F1"/>
    <w:rsid w:val="00E60FBB"/>
    <w:rsid w:val="00E62F2E"/>
    <w:rsid w:val="00E651BC"/>
    <w:rsid w:val="00E66241"/>
    <w:rsid w:val="00E67DC6"/>
    <w:rsid w:val="00E70B6E"/>
    <w:rsid w:val="00E718E3"/>
    <w:rsid w:val="00E71AC3"/>
    <w:rsid w:val="00E73747"/>
    <w:rsid w:val="00E73DAB"/>
    <w:rsid w:val="00E73FC0"/>
    <w:rsid w:val="00E749AD"/>
    <w:rsid w:val="00E75517"/>
    <w:rsid w:val="00E75C1A"/>
    <w:rsid w:val="00E7620A"/>
    <w:rsid w:val="00E806F6"/>
    <w:rsid w:val="00E80B20"/>
    <w:rsid w:val="00E81A06"/>
    <w:rsid w:val="00E81B83"/>
    <w:rsid w:val="00E81EFF"/>
    <w:rsid w:val="00E8374C"/>
    <w:rsid w:val="00E84145"/>
    <w:rsid w:val="00E85F6A"/>
    <w:rsid w:val="00E87030"/>
    <w:rsid w:val="00E87058"/>
    <w:rsid w:val="00E873F0"/>
    <w:rsid w:val="00E87EC6"/>
    <w:rsid w:val="00E91343"/>
    <w:rsid w:val="00E91866"/>
    <w:rsid w:val="00E91EEA"/>
    <w:rsid w:val="00E935ED"/>
    <w:rsid w:val="00E93FAD"/>
    <w:rsid w:val="00E94FED"/>
    <w:rsid w:val="00E9523E"/>
    <w:rsid w:val="00EA0AFC"/>
    <w:rsid w:val="00EA17C1"/>
    <w:rsid w:val="00EA1960"/>
    <w:rsid w:val="00EA3401"/>
    <w:rsid w:val="00EA44C6"/>
    <w:rsid w:val="00EA4561"/>
    <w:rsid w:val="00EA4C21"/>
    <w:rsid w:val="00EA53B0"/>
    <w:rsid w:val="00EA5F0C"/>
    <w:rsid w:val="00EA761C"/>
    <w:rsid w:val="00EA776D"/>
    <w:rsid w:val="00EA7A5D"/>
    <w:rsid w:val="00EA7D1F"/>
    <w:rsid w:val="00EB0DAB"/>
    <w:rsid w:val="00EB19EF"/>
    <w:rsid w:val="00EB1B65"/>
    <w:rsid w:val="00EB2843"/>
    <w:rsid w:val="00EB2D80"/>
    <w:rsid w:val="00EB3689"/>
    <w:rsid w:val="00EB52B9"/>
    <w:rsid w:val="00EB6F66"/>
    <w:rsid w:val="00EB6FD9"/>
    <w:rsid w:val="00EB709D"/>
    <w:rsid w:val="00EC21CF"/>
    <w:rsid w:val="00EC37C0"/>
    <w:rsid w:val="00EC3A9A"/>
    <w:rsid w:val="00EC3C7F"/>
    <w:rsid w:val="00EC51AF"/>
    <w:rsid w:val="00EC529A"/>
    <w:rsid w:val="00EC59D0"/>
    <w:rsid w:val="00EC5D3F"/>
    <w:rsid w:val="00EC661F"/>
    <w:rsid w:val="00ED0035"/>
    <w:rsid w:val="00ED0A4D"/>
    <w:rsid w:val="00ED1CC7"/>
    <w:rsid w:val="00ED28D6"/>
    <w:rsid w:val="00ED2B91"/>
    <w:rsid w:val="00ED3E04"/>
    <w:rsid w:val="00ED4EA7"/>
    <w:rsid w:val="00ED7F4B"/>
    <w:rsid w:val="00ED7FAC"/>
    <w:rsid w:val="00EE05D3"/>
    <w:rsid w:val="00EE0F3A"/>
    <w:rsid w:val="00EE127E"/>
    <w:rsid w:val="00EE22C9"/>
    <w:rsid w:val="00EE2B25"/>
    <w:rsid w:val="00EE32D3"/>
    <w:rsid w:val="00EE5799"/>
    <w:rsid w:val="00EE5DC0"/>
    <w:rsid w:val="00EE6342"/>
    <w:rsid w:val="00EE68B4"/>
    <w:rsid w:val="00EF3B55"/>
    <w:rsid w:val="00EF3B8F"/>
    <w:rsid w:val="00EF47A8"/>
    <w:rsid w:val="00EF5670"/>
    <w:rsid w:val="00EF721C"/>
    <w:rsid w:val="00EF7E10"/>
    <w:rsid w:val="00F00D85"/>
    <w:rsid w:val="00F019CF"/>
    <w:rsid w:val="00F01F7D"/>
    <w:rsid w:val="00F04570"/>
    <w:rsid w:val="00F05303"/>
    <w:rsid w:val="00F057EC"/>
    <w:rsid w:val="00F05D78"/>
    <w:rsid w:val="00F06D26"/>
    <w:rsid w:val="00F10280"/>
    <w:rsid w:val="00F10C61"/>
    <w:rsid w:val="00F125DC"/>
    <w:rsid w:val="00F14358"/>
    <w:rsid w:val="00F148BE"/>
    <w:rsid w:val="00F15D89"/>
    <w:rsid w:val="00F17030"/>
    <w:rsid w:val="00F176A5"/>
    <w:rsid w:val="00F207DB"/>
    <w:rsid w:val="00F20F0F"/>
    <w:rsid w:val="00F218D2"/>
    <w:rsid w:val="00F21F0D"/>
    <w:rsid w:val="00F23727"/>
    <w:rsid w:val="00F23EE7"/>
    <w:rsid w:val="00F243F7"/>
    <w:rsid w:val="00F25032"/>
    <w:rsid w:val="00F25C35"/>
    <w:rsid w:val="00F30AF7"/>
    <w:rsid w:val="00F31928"/>
    <w:rsid w:val="00F320C9"/>
    <w:rsid w:val="00F3297D"/>
    <w:rsid w:val="00F34AAE"/>
    <w:rsid w:val="00F34B0E"/>
    <w:rsid w:val="00F36676"/>
    <w:rsid w:val="00F40819"/>
    <w:rsid w:val="00F40A71"/>
    <w:rsid w:val="00F40D7B"/>
    <w:rsid w:val="00F41218"/>
    <w:rsid w:val="00F43DC7"/>
    <w:rsid w:val="00F444A2"/>
    <w:rsid w:val="00F44574"/>
    <w:rsid w:val="00F44639"/>
    <w:rsid w:val="00F45274"/>
    <w:rsid w:val="00F473EC"/>
    <w:rsid w:val="00F4774B"/>
    <w:rsid w:val="00F50D60"/>
    <w:rsid w:val="00F53992"/>
    <w:rsid w:val="00F54A2E"/>
    <w:rsid w:val="00F55118"/>
    <w:rsid w:val="00F56074"/>
    <w:rsid w:val="00F57B94"/>
    <w:rsid w:val="00F604AD"/>
    <w:rsid w:val="00F615CE"/>
    <w:rsid w:val="00F6200D"/>
    <w:rsid w:val="00F62DD4"/>
    <w:rsid w:val="00F64D2B"/>
    <w:rsid w:val="00F65C5D"/>
    <w:rsid w:val="00F65CBA"/>
    <w:rsid w:val="00F6639A"/>
    <w:rsid w:val="00F70472"/>
    <w:rsid w:val="00F70644"/>
    <w:rsid w:val="00F70D56"/>
    <w:rsid w:val="00F716DE"/>
    <w:rsid w:val="00F724D4"/>
    <w:rsid w:val="00F72583"/>
    <w:rsid w:val="00F73A33"/>
    <w:rsid w:val="00F74195"/>
    <w:rsid w:val="00F74332"/>
    <w:rsid w:val="00F74390"/>
    <w:rsid w:val="00F7488D"/>
    <w:rsid w:val="00F75BAC"/>
    <w:rsid w:val="00F761B1"/>
    <w:rsid w:val="00F81757"/>
    <w:rsid w:val="00F8266C"/>
    <w:rsid w:val="00F83C65"/>
    <w:rsid w:val="00F840C0"/>
    <w:rsid w:val="00F84FD1"/>
    <w:rsid w:val="00F902EA"/>
    <w:rsid w:val="00F90B6E"/>
    <w:rsid w:val="00F91886"/>
    <w:rsid w:val="00F920A9"/>
    <w:rsid w:val="00F93B2C"/>
    <w:rsid w:val="00F959A1"/>
    <w:rsid w:val="00F95EC9"/>
    <w:rsid w:val="00F96C96"/>
    <w:rsid w:val="00FA0414"/>
    <w:rsid w:val="00FA12BC"/>
    <w:rsid w:val="00FA409C"/>
    <w:rsid w:val="00FA60BA"/>
    <w:rsid w:val="00FA6B57"/>
    <w:rsid w:val="00FB3253"/>
    <w:rsid w:val="00FB3CAB"/>
    <w:rsid w:val="00FB6811"/>
    <w:rsid w:val="00FB6D19"/>
    <w:rsid w:val="00FB6D9B"/>
    <w:rsid w:val="00FB7082"/>
    <w:rsid w:val="00FB7997"/>
    <w:rsid w:val="00FB7A0B"/>
    <w:rsid w:val="00FC0A44"/>
    <w:rsid w:val="00FC49F5"/>
    <w:rsid w:val="00FC59DA"/>
    <w:rsid w:val="00FC5B0B"/>
    <w:rsid w:val="00FC5B71"/>
    <w:rsid w:val="00FC792E"/>
    <w:rsid w:val="00FC7934"/>
    <w:rsid w:val="00FD1318"/>
    <w:rsid w:val="00FD29F6"/>
    <w:rsid w:val="00FD4402"/>
    <w:rsid w:val="00FD4A59"/>
    <w:rsid w:val="00FD66EC"/>
    <w:rsid w:val="00FE072F"/>
    <w:rsid w:val="00FE2D97"/>
    <w:rsid w:val="00FE3E5D"/>
    <w:rsid w:val="00FE4A72"/>
    <w:rsid w:val="00FE721B"/>
    <w:rsid w:val="00FF3E14"/>
    <w:rsid w:val="00FF4BFF"/>
    <w:rsid w:val="00FF54A4"/>
    <w:rsid w:val="00FF631F"/>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E696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112470"/>
    <w:rPr>
      <w:sz w:val="24"/>
      <w:szCs w:val="24"/>
    </w:rPr>
  </w:style>
  <w:style w:type="paragraph" w:styleId="Nadpis1">
    <w:name w:val="heading 1"/>
    <w:basedOn w:val="Normln"/>
    <w:next w:val="Normln"/>
    <w:link w:val="Nadpis1Char"/>
    <w:autoRedefine/>
    <w:qFormat/>
    <w:rsid w:val="00EA17C1"/>
    <w:pPr>
      <w:keepNext/>
      <w:spacing w:after="120" w:line="360" w:lineRule="auto"/>
      <w:ind w:left="431" w:hanging="431"/>
      <w:outlineLvl w:val="0"/>
    </w:pPr>
    <w:rPr>
      <w:b/>
      <w:kern w:val="32"/>
      <w:sz w:val="32"/>
    </w:rPr>
  </w:style>
  <w:style w:type="paragraph" w:styleId="Nadpis2">
    <w:name w:val="heading 2"/>
    <w:basedOn w:val="Normln"/>
    <w:next w:val="Normln"/>
    <w:link w:val="Nadpis2Char"/>
    <w:autoRedefine/>
    <w:unhideWhenUsed/>
    <w:qFormat/>
    <w:rsid w:val="000E4A25"/>
    <w:pPr>
      <w:keepNext/>
      <w:spacing w:before="240" w:after="280"/>
      <w:ind w:left="142"/>
      <w:outlineLvl w:val="1"/>
    </w:pPr>
    <w:rPr>
      <w:b/>
      <w:bCs/>
      <w:iCs/>
      <w:sz w:val="28"/>
      <w:szCs w:val="28"/>
      <w:lang w:val="en-US"/>
    </w:rPr>
  </w:style>
  <w:style w:type="paragraph" w:styleId="Nadpis3">
    <w:name w:val="heading 3"/>
    <w:basedOn w:val="Normln"/>
    <w:next w:val="Normln"/>
    <w:link w:val="Nadpis3Char"/>
    <w:unhideWhenUsed/>
    <w:qFormat/>
    <w:rsid w:val="00074F1B"/>
    <w:pPr>
      <w:keepNext/>
      <w:numPr>
        <w:ilvl w:val="2"/>
        <w:numId w:val="7"/>
      </w:numPr>
      <w:spacing w:before="240" w:after="240"/>
      <w:ind w:left="720"/>
      <w:outlineLvl w:val="2"/>
    </w:pPr>
    <w:rPr>
      <w:b/>
      <w:bCs/>
      <w:szCs w:val="26"/>
    </w:rPr>
  </w:style>
  <w:style w:type="paragraph" w:styleId="Nadpis4">
    <w:name w:val="heading 4"/>
    <w:basedOn w:val="Normln"/>
    <w:next w:val="Normln"/>
    <w:link w:val="Nadpis4Char"/>
    <w:autoRedefine/>
    <w:unhideWhenUsed/>
    <w:qFormat/>
    <w:rsid w:val="00074F1B"/>
    <w:pPr>
      <w:keepNext/>
      <w:numPr>
        <w:ilvl w:val="3"/>
        <w:numId w:val="33"/>
      </w:numPr>
      <w:tabs>
        <w:tab w:val="left" w:pos="794"/>
      </w:tabs>
      <w:spacing w:before="240" w:after="280"/>
      <w:outlineLvl w:val="3"/>
    </w:pPr>
    <w:rPr>
      <w:bCs/>
      <w:szCs w:val="28"/>
    </w:rPr>
  </w:style>
  <w:style w:type="paragraph" w:styleId="Nadpis5">
    <w:name w:val="heading 5"/>
    <w:basedOn w:val="Normln"/>
    <w:next w:val="Normln"/>
    <w:link w:val="Nadpis5Char"/>
    <w:unhideWhenUsed/>
    <w:qFormat/>
    <w:rsid w:val="00112470"/>
    <w:pPr>
      <w:numPr>
        <w:ilvl w:val="4"/>
        <w:numId w:val="33"/>
      </w:numPr>
      <w:spacing w:before="240" w:after="60"/>
      <w:outlineLvl w:val="4"/>
    </w:pPr>
    <w:rPr>
      <w:bCs/>
      <w:iCs/>
      <w:szCs w:val="26"/>
    </w:rPr>
  </w:style>
  <w:style w:type="paragraph" w:styleId="Nadpis6">
    <w:name w:val="heading 6"/>
    <w:basedOn w:val="Normln"/>
    <w:next w:val="Normln"/>
    <w:link w:val="Nadpis6Char"/>
    <w:unhideWhenUsed/>
    <w:qFormat/>
    <w:rsid w:val="00112470"/>
    <w:pPr>
      <w:numPr>
        <w:ilvl w:val="5"/>
        <w:numId w:val="33"/>
      </w:numPr>
      <w:spacing w:before="240" w:after="60"/>
      <w:outlineLvl w:val="5"/>
    </w:pPr>
    <w:rPr>
      <w:b/>
      <w:bCs/>
      <w:sz w:val="22"/>
      <w:szCs w:val="22"/>
    </w:rPr>
  </w:style>
  <w:style w:type="paragraph" w:styleId="Nadpis7">
    <w:name w:val="heading 7"/>
    <w:basedOn w:val="Normln"/>
    <w:next w:val="Normln"/>
    <w:link w:val="Nadpis7Char"/>
    <w:unhideWhenUsed/>
    <w:qFormat/>
    <w:rsid w:val="00112470"/>
    <w:pPr>
      <w:numPr>
        <w:ilvl w:val="6"/>
        <w:numId w:val="33"/>
      </w:numPr>
      <w:spacing w:before="240" w:after="60"/>
      <w:outlineLvl w:val="6"/>
    </w:pPr>
  </w:style>
  <w:style w:type="paragraph" w:styleId="Nadpis8">
    <w:name w:val="heading 8"/>
    <w:basedOn w:val="Normln"/>
    <w:next w:val="Normln"/>
    <w:link w:val="Nadpis8Char"/>
    <w:unhideWhenUsed/>
    <w:qFormat/>
    <w:rsid w:val="00112470"/>
    <w:pPr>
      <w:numPr>
        <w:ilvl w:val="7"/>
        <w:numId w:val="33"/>
      </w:numPr>
      <w:spacing w:before="240" w:after="60"/>
      <w:outlineLvl w:val="7"/>
    </w:pPr>
    <w:rPr>
      <w:i/>
      <w:iCs/>
    </w:rPr>
  </w:style>
  <w:style w:type="paragraph" w:styleId="Nadpis9">
    <w:name w:val="heading 9"/>
    <w:basedOn w:val="Normln"/>
    <w:next w:val="Normln"/>
    <w:link w:val="Nadpis9Char"/>
    <w:unhideWhenUsed/>
    <w:qFormat/>
    <w:rsid w:val="00112470"/>
    <w:pPr>
      <w:numPr>
        <w:ilvl w:val="8"/>
        <w:numId w:val="33"/>
      </w:num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2F1822"/>
    <w:rPr>
      <w:color w:val="0000FF"/>
      <w:u w:val="single"/>
    </w:rPr>
  </w:style>
  <w:style w:type="paragraph" w:styleId="Normlnweb">
    <w:name w:val="Normal (Web)"/>
    <w:basedOn w:val="Normln"/>
    <w:uiPriority w:val="99"/>
    <w:rsid w:val="00075AA6"/>
    <w:pPr>
      <w:spacing w:before="100" w:beforeAutospacing="1" w:after="100" w:afterAutospacing="1"/>
    </w:pPr>
  </w:style>
  <w:style w:type="character" w:customStyle="1" w:styleId="mw-headline">
    <w:name w:val="mw-headline"/>
    <w:basedOn w:val="Standardnpsmoodstavce"/>
    <w:rsid w:val="002358EE"/>
  </w:style>
  <w:style w:type="paragraph" w:styleId="Zhlav">
    <w:name w:val="header"/>
    <w:basedOn w:val="Normln"/>
    <w:link w:val="ZhlavChar"/>
    <w:uiPriority w:val="99"/>
    <w:rsid w:val="00903656"/>
    <w:pPr>
      <w:tabs>
        <w:tab w:val="center" w:pos="4536"/>
        <w:tab w:val="right" w:pos="9072"/>
      </w:tabs>
    </w:pPr>
  </w:style>
  <w:style w:type="paragraph" w:styleId="Zpat">
    <w:name w:val="footer"/>
    <w:basedOn w:val="Normln"/>
    <w:link w:val="ZpatChar"/>
    <w:uiPriority w:val="99"/>
    <w:rsid w:val="00903656"/>
    <w:pPr>
      <w:tabs>
        <w:tab w:val="center" w:pos="4536"/>
        <w:tab w:val="right" w:pos="9072"/>
      </w:tabs>
    </w:pPr>
  </w:style>
  <w:style w:type="character" w:styleId="slostrnky">
    <w:name w:val="page number"/>
    <w:basedOn w:val="Standardnpsmoodstavce"/>
    <w:rsid w:val="0002224A"/>
  </w:style>
  <w:style w:type="character" w:customStyle="1" w:styleId="Nadpis1Char">
    <w:name w:val="Nadpis 1 Char"/>
    <w:link w:val="Nadpis1"/>
    <w:rsid w:val="00EA17C1"/>
    <w:rPr>
      <w:b/>
      <w:kern w:val="32"/>
      <w:sz w:val="32"/>
      <w:szCs w:val="24"/>
    </w:rPr>
  </w:style>
  <w:style w:type="paragraph" w:styleId="Nadpisobsahu">
    <w:name w:val="TOC Heading"/>
    <w:basedOn w:val="Nadpis1"/>
    <w:next w:val="Normln"/>
    <w:uiPriority w:val="39"/>
    <w:unhideWhenUsed/>
    <w:qFormat/>
    <w:rsid w:val="0092445D"/>
    <w:pPr>
      <w:keepLines/>
      <w:spacing w:before="480" w:after="0" w:line="276" w:lineRule="auto"/>
      <w:outlineLvl w:val="9"/>
    </w:pPr>
    <w:rPr>
      <w:color w:val="365F91"/>
      <w:kern w:val="0"/>
      <w:sz w:val="28"/>
      <w:szCs w:val="28"/>
      <w:lang w:eastAsia="en-US"/>
    </w:rPr>
  </w:style>
  <w:style w:type="paragraph" w:styleId="Obsah2">
    <w:name w:val="toc 2"/>
    <w:basedOn w:val="Normln"/>
    <w:next w:val="Normln"/>
    <w:autoRedefine/>
    <w:uiPriority w:val="39"/>
    <w:unhideWhenUsed/>
    <w:qFormat/>
    <w:rsid w:val="00413809"/>
    <w:pPr>
      <w:spacing w:before="120"/>
      <w:ind w:left="240"/>
    </w:pPr>
    <w:rPr>
      <w:rFonts w:asciiTheme="minorHAnsi" w:hAnsiTheme="minorHAnsi"/>
      <w:b/>
      <w:bCs/>
      <w:sz w:val="22"/>
      <w:szCs w:val="22"/>
    </w:rPr>
  </w:style>
  <w:style w:type="paragraph" w:styleId="Obsah1">
    <w:name w:val="toc 1"/>
    <w:basedOn w:val="Normln"/>
    <w:next w:val="Normln"/>
    <w:autoRedefine/>
    <w:uiPriority w:val="39"/>
    <w:unhideWhenUsed/>
    <w:qFormat/>
    <w:rsid w:val="00413809"/>
    <w:pPr>
      <w:spacing w:before="120"/>
    </w:pPr>
    <w:rPr>
      <w:rFonts w:asciiTheme="minorHAnsi" w:hAnsiTheme="minorHAnsi"/>
      <w:b/>
      <w:bCs/>
      <w:i/>
      <w:iCs/>
    </w:rPr>
  </w:style>
  <w:style w:type="paragraph" w:styleId="Obsah3">
    <w:name w:val="toc 3"/>
    <w:basedOn w:val="Normln"/>
    <w:next w:val="Normln"/>
    <w:autoRedefine/>
    <w:uiPriority w:val="39"/>
    <w:unhideWhenUsed/>
    <w:qFormat/>
    <w:rsid w:val="00204836"/>
    <w:pPr>
      <w:ind w:left="480"/>
    </w:pPr>
    <w:rPr>
      <w:rFonts w:asciiTheme="minorHAnsi" w:hAnsiTheme="minorHAnsi"/>
      <w:sz w:val="20"/>
      <w:szCs w:val="20"/>
    </w:rPr>
  </w:style>
  <w:style w:type="paragraph" w:styleId="Textbubliny">
    <w:name w:val="Balloon Text"/>
    <w:basedOn w:val="Normln"/>
    <w:link w:val="TextbublinyChar"/>
    <w:rsid w:val="0092445D"/>
    <w:rPr>
      <w:rFonts w:ascii="Tahoma" w:hAnsi="Tahoma" w:cs="Tahoma"/>
      <w:sz w:val="16"/>
      <w:szCs w:val="16"/>
    </w:rPr>
  </w:style>
  <w:style w:type="character" w:customStyle="1" w:styleId="TextbublinyChar">
    <w:name w:val="Text bubliny Char"/>
    <w:link w:val="Textbubliny"/>
    <w:rsid w:val="0092445D"/>
    <w:rPr>
      <w:rFonts w:ascii="Tahoma" w:hAnsi="Tahoma" w:cs="Tahoma"/>
      <w:sz w:val="16"/>
      <w:szCs w:val="16"/>
    </w:rPr>
  </w:style>
  <w:style w:type="paragraph" w:customStyle="1" w:styleId="Rozvrendokumentu">
    <w:name w:val="Rozvržení dokumentu"/>
    <w:basedOn w:val="Normln"/>
    <w:link w:val="RozvrendokumentuChar"/>
    <w:rsid w:val="00B8042F"/>
    <w:rPr>
      <w:rFonts w:ascii="Tahoma" w:hAnsi="Tahoma" w:cs="Tahoma"/>
      <w:sz w:val="16"/>
      <w:szCs w:val="16"/>
    </w:rPr>
  </w:style>
  <w:style w:type="character" w:customStyle="1" w:styleId="RozvrendokumentuChar">
    <w:name w:val="Rozvržení dokumentu Char"/>
    <w:link w:val="Rozvrendokumentu"/>
    <w:rsid w:val="00B8042F"/>
    <w:rPr>
      <w:rFonts w:ascii="Tahoma" w:hAnsi="Tahoma" w:cs="Tahoma"/>
      <w:sz w:val="16"/>
      <w:szCs w:val="16"/>
    </w:rPr>
  </w:style>
  <w:style w:type="paragraph" w:styleId="Textpoznpodarou">
    <w:name w:val="footnote text"/>
    <w:basedOn w:val="Normln"/>
    <w:link w:val="TextpoznpodarouChar"/>
    <w:uiPriority w:val="99"/>
    <w:rsid w:val="00806EDF"/>
    <w:rPr>
      <w:sz w:val="20"/>
      <w:szCs w:val="20"/>
    </w:rPr>
  </w:style>
  <w:style w:type="character" w:customStyle="1" w:styleId="TextpoznpodarouChar">
    <w:name w:val="Text pozn. pod čarou Char"/>
    <w:basedOn w:val="Standardnpsmoodstavce"/>
    <w:link w:val="Textpoznpodarou"/>
    <w:uiPriority w:val="99"/>
    <w:rsid w:val="00806EDF"/>
  </w:style>
  <w:style w:type="character" w:styleId="Znakapoznpodarou">
    <w:name w:val="footnote reference"/>
    <w:uiPriority w:val="99"/>
    <w:rsid w:val="00806EDF"/>
    <w:rPr>
      <w:vertAlign w:val="superscript"/>
    </w:rPr>
  </w:style>
  <w:style w:type="character" w:styleId="KdHTML">
    <w:name w:val="HTML Code"/>
    <w:uiPriority w:val="99"/>
    <w:unhideWhenUsed/>
    <w:rsid w:val="004A2316"/>
    <w:rPr>
      <w:rFonts w:ascii="Arial" w:eastAsia="Times New Roman" w:hAnsi="Arial" w:cs="Arial" w:hint="default"/>
      <w:b/>
      <w:bCs/>
      <w:sz w:val="17"/>
      <w:szCs w:val="17"/>
    </w:rPr>
  </w:style>
  <w:style w:type="table" w:styleId="Mkatabulky">
    <w:name w:val="Table Grid"/>
    <w:basedOn w:val="Normlntabulka"/>
    <w:uiPriority w:val="39"/>
    <w:rsid w:val="006C44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dpis10">
    <w:name w:val="Nadpis1"/>
    <w:basedOn w:val="Normln"/>
    <w:link w:val="Nadpis1Char0"/>
    <w:qFormat/>
    <w:rsid w:val="00112470"/>
    <w:pPr>
      <w:spacing w:before="240" w:after="240"/>
      <w:outlineLvl w:val="0"/>
    </w:pPr>
    <w:rPr>
      <w:b/>
      <w:bCs/>
      <w:sz w:val="32"/>
      <w:szCs w:val="32"/>
    </w:rPr>
  </w:style>
  <w:style w:type="character" w:customStyle="1" w:styleId="Nadpis2Char">
    <w:name w:val="Nadpis 2 Char"/>
    <w:link w:val="Nadpis2"/>
    <w:rsid w:val="000E4A25"/>
    <w:rPr>
      <w:b/>
      <w:bCs/>
      <w:iCs/>
      <w:sz w:val="28"/>
      <w:szCs w:val="28"/>
      <w:lang w:val="en-US"/>
    </w:rPr>
  </w:style>
  <w:style w:type="character" w:customStyle="1" w:styleId="Nadpis1Char0">
    <w:name w:val="Nadpis1 Char"/>
    <w:link w:val="Nadpis10"/>
    <w:rsid w:val="00112470"/>
    <w:rPr>
      <w:b/>
      <w:bCs/>
      <w:sz w:val="32"/>
      <w:szCs w:val="32"/>
    </w:rPr>
  </w:style>
  <w:style w:type="character" w:customStyle="1" w:styleId="Nadpis3Char">
    <w:name w:val="Nadpis 3 Char"/>
    <w:link w:val="Nadpis3"/>
    <w:rsid w:val="00074F1B"/>
    <w:rPr>
      <w:b/>
      <w:bCs/>
      <w:sz w:val="24"/>
      <w:szCs w:val="26"/>
    </w:rPr>
  </w:style>
  <w:style w:type="character" w:customStyle="1" w:styleId="Nadpis4Char">
    <w:name w:val="Nadpis 4 Char"/>
    <w:link w:val="Nadpis4"/>
    <w:rsid w:val="00074F1B"/>
    <w:rPr>
      <w:bCs/>
      <w:sz w:val="24"/>
      <w:szCs w:val="28"/>
    </w:rPr>
  </w:style>
  <w:style w:type="character" w:customStyle="1" w:styleId="Nadpis5Char">
    <w:name w:val="Nadpis 5 Char"/>
    <w:link w:val="Nadpis5"/>
    <w:rsid w:val="00112470"/>
    <w:rPr>
      <w:bCs/>
      <w:iCs/>
      <w:sz w:val="24"/>
      <w:szCs w:val="26"/>
    </w:rPr>
  </w:style>
  <w:style w:type="character" w:customStyle="1" w:styleId="Nadpis6Char">
    <w:name w:val="Nadpis 6 Char"/>
    <w:link w:val="Nadpis6"/>
    <w:rsid w:val="00112470"/>
    <w:rPr>
      <w:b/>
      <w:bCs/>
      <w:sz w:val="22"/>
      <w:szCs w:val="22"/>
    </w:rPr>
  </w:style>
  <w:style w:type="character" w:customStyle="1" w:styleId="Nadpis7Char">
    <w:name w:val="Nadpis 7 Char"/>
    <w:link w:val="Nadpis7"/>
    <w:rsid w:val="00112470"/>
    <w:rPr>
      <w:sz w:val="24"/>
      <w:szCs w:val="24"/>
    </w:rPr>
  </w:style>
  <w:style w:type="character" w:customStyle="1" w:styleId="Nadpis8Char">
    <w:name w:val="Nadpis 8 Char"/>
    <w:link w:val="Nadpis8"/>
    <w:rsid w:val="00112470"/>
    <w:rPr>
      <w:i/>
      <w:iCs/>
      <w:sz w:val="24"/>
      <w:szCs w:val="24"/>
    </w:rPr>
  </w:style>
  <w:style w:type="character" w:customStyle="1" w:styleId="Nadpis9Char">
    <w:name w:val="Nadpis 9 Char"/>
    <w:link w:val="Nadpis9"/>
    <w:rsid w:val="00112470"/>
    <w:rPr>
      <w:sz w:val="22"/>
      <w:szCs w:val="22"/>
    </w:rPr>
  </w:style>
  <w:style w:type="paragraph" w:styleId="Obsah4">
    <w:name w:val="toc 4"/>
    <w:basedOn w:val="Normln"/>
    <w:next w:val="Normln"/>
    <w:autoRedefine/>
    <w:uiPriority w:val="39"/>
    <w:unhideWhenUsed/>
    <w:rsid w:val="00413809"/>
    <w:pPr>
      <w:ind w:left="720"/>
    </w:pPr>
    <w:rPr>
      <w:rFonts w:asciiTheme="minorHAnsi" w:hAnsiTheme="minorHAnsi"/>
      <w:sz w:val="20"/>
      <w:szCs w:val="20"/>
    </w:rPr>
  </w:style>
  <w:style w:type="paragraph" w:styleId="Obsah5">
    <w:name w:val="toc 5"/>
    <w:basedOn w:val="Normln"/>
    <w:next w:val="Normln"/>
    <w:autoRedefine/>
    <w:uiPriority w:val="39"/>
    <w:unhideWhenUsed/>
    <w:rsid w:val="00204836"/>
    <w:pPr>
      <w:ind w:left="960"/>
    </w:pPr>
    <w:rPr>
      <w:rFonts w:asciiTheme="minorHAnsi" w:hAnsiTheme="minorHAnsi"/>
      <w:sz w:val="20"/>
      <w:szCs w:val="20"/>
    </w:rPr>
  </w:style>
  <w:style w:type="paragraph" w:styleId="Obsah6">
    <w:name w:val="toc 6"/>
    <w:basedOn w:val="Normln"/>
    <w:next w:val="Normln"/>
    <w:autoRedefine/>
    <w:uiPriority w:val="39"/>
    <w:unhideWhenUsed/>
    <w:rsid w:val="00413809"/>
    <w:pPr>
      <w:ind w:left="1200"/>
    </w:pPr>
    <w:rPr>
      <w:rFonts w:asciiTheme="minorHAnsi" w:hAnsiTheme="minorHAnsi"/>
      <w:sz w:val="20"/>
      <w:szCs w:val="20"/>
    </w:rPr>
  </w:style>
  <w:style w:type="paragraph" w:styleId="Obsah7">
    <w:name w:val="toc 7"/>
    <w:basedOn w:val="Normln"/>
    <w:next w:val="Normln"/>
    <w:autoRedefine/>
    <w:uiPriority w:val="39"/>
    <w:unhideWhenUsed/>
    <w:rsid w:val="00413809"/>
    <w:pPr>
      <w:ind w:left="1440"/>
    </w:pPr>
    <w:rPr>
      <w:rFonts w:asciiTheme="minorHAnsi" w:hAnsiTheme="minorHAnsi"/>
      <w:sz w:val="20"/>
      <w:szCs w:val="20"/>
    </w:rPr>
  </w:style>
  <w:style w:type="paragraph" w:styleId="Obsah8">
    <w:name w:val="toc 8"/>
    <w:basedOn w:val="Normln"/>
    <w:next w:val="Normln"/>
    <w:autoRedefine/>
    <w:uiPriority w:val="39"/>
    <w:unhideWhenUsed/>
    <w:rsid w:val="00413809"/>
    <w:pPr>
      <w:ind w:left="1680"/>
    </w:pPr>
    <w:rPr>
      <w:rFonts w:asciiTheme="minorHAnsi" w:hAnsiTheme="minorHAnsi"/>
      <w:sz w:val="20"/>
      <w:szCs w:val="20"/>
    </w:rPr>
  </w:style>
  <w:style w:type="paragraph" w:styleId="Obsah9">
    <w:name w:val="toc 9"/>
    <w:basedOn w:val="Normln"/>
    <w:next w:val="Normln"/>
    <w:autoRedefine/>
    <w:uiPriority w:val="39"/>
    <w:unhideWhenUsed/>
    <w:rsid w:val="00413809"/>
    <w:pPr>
      <w:ind w:left="1920"/>
    </w:pPr>
    <w:rPr>
      <w:rFonts w:asciiTheme="minorHAnsi" w:hAnsiTheme="minorHAnsi"/>
      <w:sz w:val="20"/>
      <w:szCs w:val="20"/>
    </w:rPr>
  </w:style>
  <w:style w:type="table" w:styleId="Elegantntabulka">
    <w:name w:val="Table Elegant"/>
    <w:basedOn w:val="Normlntabulka"/>
    <w:rsid w:val="006718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2">
    <w:name w:val="Table Colorful 2"/>
    <w:basedOn w:val="Normlntabulka"/>
    <w:rsid w:val="009015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ZhlavChar">
    <w:name w:val="Záhlaví Char"/>
    <w:link w:val="Zhlav"/>
    <w:uiPriority w:val="99"/>
    <w:rsid w:val="009C282B"/>
    <w:rPr>
      <w:sz w:val="24"/>
      <w:szCs w:val="24"/>
    </w:rPr>
  </w:style>
  <w:style w:type="character" w:customStyle="1" w:styleId="ZpatChar">
    <w:name w:val="Zápatí Char"/>
    <w:link w:val="Zpat"/>
    <w:uiPriority w:val="99"/>
    <w:rsid w:val="009C282B"/>
    <w:rPr>
      <w:sz w:val="24"/>
      <w:szCs w:val="24"/>
    </w:rPr>
  </w:style>
  <w:style w:type="paragraph" w:customStyle="1" w:styleId="Titulka">
    <w:name w:val="Titulka"/>
    <w:basedOn w:val="Normln"/>
    <w:link w:val="TitulkaChar"/>
    <w:rsid w:val="00301B45"/>
    <w:pPr>
      <w:jc w:val="center"/>
    </w:pPr>
    <w:rPr>
      <w:rFonts w:cs="Arial"/>
      <w:b/>
      <w:bCs/>
      <w:sz w:val="36"/>
    </w:rPr>
  </w:style>
  <w:style w:type="character" w:customStyle="1" w:styleId="TitulkaChar">
    <w:name w:val="Titulka Char"/>
    <w:link w:val="Titulka"/>
    <w:rsid w:val="00301B45"/>
    <w:rPr>
      <w:rFonts w:cs="Arial"/>
      <w:b/>
      <w:bCs/>
      <w:sz w:val="36"/>
      <w:szCs w:val="24"/>
    </w:rPr>
  </w:style>
  <w:style w:type="paragraph" w:customStyle="1" w:styleId="Diplomka">
    <w:name w:val="Diplomka"/>
    <w:basedOn w:val="Normln"/>
    <w:link w:val="DiplomkaChar"/>
    <w:rsid w:val="00301B45"/>
    <w:pPr>
      <w:spacing w:line="360" w:lineRule="auto"/>
      <w:ind w:firstLine="720"/>
      <w:jc w:val="both"/>
    </w:pPr>
    <w:rPr>
      <w:rFonts w:cs="Arial"/>
      <w:lang w:eastAsia="en-US"/>
    </w:rPr>
  </w:style>
  <w:style w:type="character" w:customStyle="1" w:styleId="DiplomkaChar">
    <w:name w:val="Diplomka Char"/>
    <w:link w:val="Diplomka"/>
    <w:rsid w:val="00301B45"/>
    <w:rPr>
      <w:rFonts w:cs="Arial"/>
      <w:sz w:val="24"/>
      <w:szCs w:val="24"/>
      <w:lang w:eastAsia="en-US"/>
    </w:rPr>
  </w:style>
  <w:style w:type="paragraph" w:customStyle="1" w:styleId="ostatn">
    <w:name w:val="ostatní"/>
    <w:basedOn w:val="Normln"/>
    <w:rsid w:val="00301B45"/>
    <w:pPr>
      <w:jc w:val="center"/>
    </w:pPr>
    <w:rPr>
      <w:rFonts w:cs="Arial"/>
      <w:b/>
      <w:lang w:eastAsia="en-US"/>
    </w:rPr>
  </w:style>
  <w:style w:type="paragraph" w:customStyle="1" w:styleId="ostatnvlevo">
    <w:name w:val="ostatní vlevo"/>
    <w:basedOn w:val="ostatn"/>
    <w:rsid w:val="00D83A4B"/>
    <w:pPr>
      <w:ind w:firstLine="720"/>
      <w:jc w:val="left"/>
    </w:pPr>
    <w:rPr>
      <w:rFonts w:cs="Times New Roman"/>
      <w:b w:val="0"/>
      <w:bCs/>
      <w:szCs w:val="20"/>
    </w:rPr>
  </w:style>
  <w:style w:type="character" w:customStyle="1" w:styleId="shorttext">
    <w:name w:val="short_text"/>
    <w:basedOn w:val="Standardnpsmoodstavce"/>
    <w:rsid w:val="00435BD5"/>
  </w:style>
  <w:style w:type="character" w:customStyle="1" w:styleId="hps">
    <w:name w:val="hps"/>
    <w:basedOn w:val="Standardnpsmoodstavce"/>
    <w:rsid w:val="00435BD5"/>
  </w:style>
  <w:style w:type="paragraph" w:styleId="Bezmezer">
    <w:name w:val="No Spacing"/>
    <w:uiPriority w:val="1"/>
    <w:qFormat/>
    <w:rsid w:val="00112470"/>
    <w:rPr>
      <w:rFonts w:eastAsia="Calibri"/>
      <w:sz w:val="22"/>
      <w:szCs w:val="22"/>
      <w:lang w:eastAsia="en-US"/>
    </w:rPr>
  </w:style>
  <w:style w:type="paragraph" w:styleId="Odstavecseseznamem">
    <w:name w:val="List Paragraph"/>
    <w:basedOn w:val="Normln"/>
    <w:uiPriority w:val="34"/>
    <w:qFormat/>
    <w:rsid w:val="007D14BA"/>
    <w:pPr>
      <w:ind w:left="720"/>
      <w:contextualSpacing/>
    </w:pPr>
  </w:style>
  <w:style w:type="table" w:styleId="Stednmka2zvraznn1">
    <w:name w:val="Medium Grid 2 Accent 1"/>
    <w:basedOn w:val="Normlntabulka"/>
    <w:uiPriority w:val="68"/>
    <w:rsid w:val="0024021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vtlstnovnzvraznn1">
    <w:name w:val="Light Shading Accent 1"/>
    <w:basedOn w:val="Normlntabulka"/>
    <w:uiPriority w:val="60"/>
    <w:rsid w:val="00E85F6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ittHTML">
    <w:name w:val="HTML Cite"/>
    <w:uiPriority w:val="99"/>
    <w:unhideWhenUsed/>
    <w:rsid w:val="008170B2"/>
    <w:rPr>
      <w:i/>
      <w:iCs/>
    </w:rPr>
  </w:style>
  <w:style w:type="table" w:styleId="Svtlseznamzvraznn1">
    <w:name w:val="Light List Accent 1"/>
    <w:basedOn w:val="Normlntabulka"/>
    <w:uiPriority w:val="61"/>
    <w:rsid w:val="00BF4FF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Zvraznn">
    <w:name w:val="Zvýraznění"/>
    <w:uiPriority w:val="20"/>
    <w:qFormat/>
    <w:rsid w:val="00AD42D7"/>
    <w:rPr>
      <w:i/>
      <w:iCs/>
    </w:rPr>
  </w:style>
  <w:style w:type="character" w:customStyle="1" w:styleId="postbody">
    <w:name w:val="postbody"/>
    <w:basedOn w:val="Standardnpsmoodstavce"/>
    <w:rsid w:val="008D0837"/>
  </w:style>
  <w:style w:type="character" w:styleId="Sledovanodkaz">
    <w:name w:val="FollowedHyperlink"/>
    <w:rsid w:val="008803A7"/>
    <w:rPr>
      <w:color w:val="800080"/>
      <w:u w:val="single"/>
    </w:rPr>
  </w:style>
  <w:style w:type="paragraph" w:styleId="Nzev">
    <w:name w:val="Title"/>
    <w:basedOn w:val="Normln"/>
    <w:next w:val="Normln"/>
    <w:link w:val="NzevChar"/>
    <w:qFormat/>
    <w:rsid w:val="00112470"/>
    <w:pPr>
      <w:spacing w:before="240" w:after="60"/>
      <w:jc w:val="center"/>
      <w:outlineLvl w:val="0"/>
    </w:pPr>
    <w:rPr>
      <w:b/>
      <w:bCs/>
      <w:kern w:val="28"/>
      <w:sz w:val="32"/>
      <w:szCs w:val="32"/>
    </w:rPr>
  </w:style>
  <w:style w:type="character" w:customStyle="1" w:styleId="NzevChar">
    <w:name w:val="Název Char"/>
    <w:link w:val="Nzev"/>
    <w:rsid w:val="00112470"/>
    <w:rPr>
      <w:rFonts w:eastAsia="Times New Roman" w:cs="Times New Roman"/>
      <w:b/>
      <w:bCs/>
      <w:kern w:val="28"/>
      <w:sz w:val="32"/>
      <w:szCs w:val="32"/>
    </w:rPr>
  </w:style>
  <w:style w:type="paragraph" w:customStyle="1" w:styleId="Podtitul">
    <w:name w:val="Podtitul"/>
    <w:basedOn w:val="Normln"/>
    <w:next w:val="Normln"/>
    <w:link w:val="PodtitulChar"/>
    <w:qFormat/>
    <w:rsid w:val="00112470"/>
    <w:pPr>
      <w:spacing w:after="60"/>
      <w:jc w:val="center"/>
      <w:outlineLvl w:val="1"/>
    </w:pPr>
  </w:style>
  <w:style w:type="character" w:customStyle="1" w:styleId="PodtitulChar">
    <w:name w:val="Podtitul Char"/>
    <w:link w:val="Podtitul"/>
    <w:rsid w:val="00112470"/>
    <w:rPr>
      <w:rFonts w:eastAsia="Times New Roman" w:cs="Times New Roman"/>
      <w:sz w:val="24"/>
      <w:szCs w:val="24"/>
    </w:rPr>
  </w:style>
  <w:style w:type="character" w:customStyle="1" w:styleId="apple-converted-space">
    <w:name w:val="apple-converted-space"/>
    <w:basedOn w:val="Standardnpsmoodstavce"/>
    <w:rsid w:val="00185EFA"/>
  </w:style>
  <w:style w:type="character" w:styleId="Zdraznn">
    <w:name w:val="Emphasis"/>
    <w:basedOn w:val="Standardnpsmoodstavce"/>
    <w:uiPriority w:val="20"/>
    <w:qFormat/>
    <w:rsid w:val="005336A5"/>
    <w:rPr>
      <w:i/>
      <w:iCs/>
    </w:rPr>
  </w:style>
  <w:style w:type="paragraph" w:styleId="Textvysvtlivek">
    <w:name w:val="endnote text"/>
    <w:basedOn w:val="Normln"/>
    <w:link w:val="TextvysvtlivekChar"/>
    <w:rsid w:val="00D95F98"/>
    <w:rPr>
      <w:sz w:val="20"/>
      <w:szCs w:val="20"/>
    </w:rPr>
  </w:style>
  <w:style w:type="character" w:customStyle="1" w:styleId="TextvysvtlivekChar">
    <w:name w:val="Text vysvětlivek Char"/>
    <w:basedOn w:val="Standardnpsmoodstavce"/>
    <w:link w:val="Textvysvtlivek"/>
    <w:rsid w:val="00D95F98"/>
  </w:style>
  <w:style w:type="character" w:styleId="Odkaznavysvtlivky">
    <w:name w:val="endnote reference"/>
    <w:basedOn w:val="Standardnpsmoodstavce"/>
    <w:rsid w:val="00D95F98"/>
    <w:rPr>
      <w:vertAlign w:val="superscript"/>
    </w:rPr>
  </w:style>
  <w:style w:type="paragraph" w:styleId="Zkladntext">
    <w:name w:val="Body Text"/>
    <w:basedOn w:val="Normln"/>
    <w:link w:val="ZkladntextChar"/>
    <w:uiPriority w:val="1"/>
    <w:qFormat/>
    <w:rsid w:val="00532038"/>
    <w:pPr>
      <w:widowControl w:val="0"/>
      <w:autoSpaceDE w:val="0"/>
      <w:autoSpaceDN w:val="0"/>
    </w:pPr>
    <w:rPr>
      <w:sz w:val="20"/>
      <w:szCs w:val="20"/>
      <w:lang w:val="ru-RU" w:eastAsia="en-US"/>
    </w:rPr>
  </w:style>
  <w:style w:type="character" w:customStyle="1" w:styleId="ZkladntextChar">
    <w:name w:val="Základní text Char"/>
    <w:basedOn w:val="Standardnpsmoodstavce"/>
    <w:link w:val="Zkladntext"/>
    <w:uiPriority w:val="1"/>
    <w:rsid w:val="00532038"/>
    <w:rPr>
      <w:lang w:val="ru-RU" w:eastAsia="en-US"/>
    </w:rPr>
  </w:style>
  <w:style w:type="character" w:styleId="Nevyeenzmnka">
    <w:name w:val="Unresolved Mention"/>
    <w:basedOn w:val="Standardnpsmoodstavce"/>
    <w:uiPriority w:val="99"/>
    <w:semiHidden/>
    <w:unhideWhenUsed/>
    <w:rsid w:val="00F72583"/>
    <w:rPr>
      <w:color w:val="605E5C"/>
      <w:shd w:val="clear" w:color="auto" w:fill="E1DFDD"/>
    </w:rPr>
  </w:style>
  <w:style w:type="character" w:styleId="Siln">
    <w:name w:val="Strong"/>
    <w:basedOn w:val="Standardnpsmoodstavce"/>
    <w:uiPriority w:val="22"/>
    <w:qFormat/>
    <w:rsid w:val="00AF7B8C"/>
    <w:rPr>
      <w:b/>
      <w:bCs/>
    </w:rPr>
  </w:style>
  <w:style w:type="paragraph" w:customStyle="1" w:styleId="paragraph">
    <w:name w:val="paragraph"/>
    <w:basedOn w:val="Normln"/>
    <w:rsid w:val="00AF7B8C"/>
    <w:pPr>
      <w:spacing w:before="100" w:beforeAutospacing="1" w:after="100" w:afterAutospacing="1"/>
    </w:pPr>
    <w:rPr>
      <w:lang w:val="ru-RU" w:eastAsia="ru-RU"/>
    </w:rPr>
  </w:style>
  <w:style w:type="paragraph" w:customStyle="1" w:styleId="1">
    <w:name w:val="Стиль1"/>
    <w:basedOn w:val="Nadpis3"/>
    <w:qFormat/>
    <w:rsid w:val="00A21EC7"/>
  </w:style>
  <w:style w:type="paragraph" w:customStyle="1" w:styleId="2">
    <w:name w:val="Стиль2"/>
    <w:basedOn w:val="Nadpis3"/>
    <w:qFormat/>
    <w:rsid w:val="00A21EC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00770">
      <w:bodyDiv w:val="1"/>
      <w:marLeft w:val="0"/>
      <w:marRight w:val="0"/>
      <w:marTop w:val="0"/>
      <w:marBottom w:val="0"/>
      <w:divBdr>
        <w:top w:val="none" w:sz="0" w:space="0" w:color="auto"/>
        <w:left w:val="none" w:sz="0" w:space="0" w:color="auto"/>
        <w:bottom w:val="none" w:sz="0" w:space="0" w:color="auto"/>
        <w:right w:val="none" w:sz="0" w:space="0" w:color="auto"/>
      </w:divBdr>
    </w:div>
    <w:div w:id="75054513">
      <w:bodyDiv w:val="1"/>
      <w:marLeft w:val="0"/>
      <w:marRight w:val="0"/>
      <w:marTop w:val="0"/>
      <w:marBottom w:val="0"/>
      <w:divBdr>
        <w:top w:val="none" w:sz="0" w:space="0" w:color="auto"/>
        <w:left w:val="none" w:sz="0" w:space="0" w:color="auto"/>
        <w:bottom w:val="none" w:sz="0" w:space="0" w:color="auto"/>
        <w:right w:val="none" w:sz="0" w:space="0" w:color="auto"/>
      </w:divBdr>
    </w:div>
    <w:div w:id="84612059">
      <w:bodyDiv w:val="1"/>
      <w:marLeft w:val="0"/>
      <w:marRight w:val="0"/>
      <w:marTop w:val="0"/>
      <w:marBottom w:val="0"/>
      <w:divBdr>
        <w:top w:val="none" w:sz="0" w:space="0" w:color="auto"/>
        <w:left w:val="none" w:sz="0" w:space="0" w:color="auto"/>
        <w:bottom w:val="none" w:sz="0" w:space="0" w:color="auto"/>
        <w:right w:val="none" w:sz="0" w:space="0" w:color="auto"/>
      </w:divBdr>
    </w:div>
    <w:div w:id="92407036">
      <w:bodyDiv w:val="1"/>
      <w:marLeft w:val="0"/>
      <w:marRight w:val="0"/>
      <w:marTop w:val="0"/>
      <w:marBottom w:val="0"/>
      <w:divBdr>
        <w:top w:val="none" w:sz="0" w:space="0" w:color="auto"/>
        <w:left w:val="none" w:sz="0" w:space="0" w:color="auto"/>
        <w:bottom w:val="none" w:sz="0" w:space="0" w:color="auto"/>
        <w:right w:val="none" w:sz="0" w:space="0" w:color="auto"/>
      </w:divBdr>
    </w:div>
    <w:div w:id="131599245">
      <w:bodyDiv w:val="1"/>
      <w:marLeft w:val="0"/>
      <w:marRight w:val="0"/>
      <w:marTop w:val="0"/>
      <w:marBottom w:val="0"/>
      <w:divBdr>
        <w:top w:val="none" w:sz="0" w:space="0" w:color="auto"/>
        <w:left w:val="none" w:sz="0" w:space="0" w:color="auto"/>
        <w:bottom w:val="none" w:sz="0" w:space="0" w:color="auto"/>
        <w:right w:val="none" w:sz="0" w:space="0" w:color="auto"/>
      </w:divBdr>
    </w:div>
    <w:div w:id="143592002">
      <w:bodyDiv w:val="1"/>
      <w:marLeft w:val="0"/>
      <w:marRight w:val="0"/>
      <w:marTop w:val="0"/>
      <w:marBottom w:val="0"/>
      <w:divBdr>
        <w:top w:val="none" w:sz="0" w:space="0" w:color="auto"/>
        <w:left w:val="none" w:sz="0" w:space="0" w:color="auto"/>
        <w:bottom w:val="none" w:sz="0" w:space="0" w:color="auto"/>
        <w:right w:val="none" w:sz="0" w:space="0" w:color="auto"/>
      </w:divBdr>
    </w:div>
    <w:div w:id="155197496">
      <w:bodyDiv w:val="1"/>
      <w:marLeft w:val="0"/>
      <w:marRight w:val="0"/>
      <w:marTop w:val="0"/>
      <w:marBottom w:val="0"/>
      <w:divBdr>
        <w:top w:val="none" w:sz="0" w:space="0" w:color="auto"/>
        <w:left w:val="none" w:sz="0" w:space="0" w:color="auto"/>
        <w:bottom w:val="none" w:sz="0" w:space="0" w:color="auto"/>
        <w:right w:val="none" w:sz="0" w:space="0" w:color="auto"/>
      </w:divBdr>
    </w:div>
    <w:div w:id="191461648">
      <w:bodyDiv w:val="1"/>
      <w:marLeft w:val="0"/>
      <w:marRight w:val="0"/>
      <w:marTop w:val="0"/>
      <w:marBottom w:val="0"/>
      <w:divBdr>
        <w:top w:val="none" w:sz="0" w:space="0" w:color="auto"/>
        <w:left w:val="none" w:sz="0" w:space="0" w:color="auto"/>
        <w:bottom w:val="none" w:sz="0" w:space="0" w:color="auto"/>
        <w:right w:val="none" w:sz="0" w:space="0" w:color="auto"/>
      </w:divBdr>
    </w:div>
    <w:div w:id="194195334">
      <w:bodyDiv w:val="1"/>
      <w:marLeft w:val="0"/>
      <w:marRight w:val="0"/>
      <w:marTop w:val="0"/>
      <w:marBottom w:val="0"/>
      <w:divBdr>
        <w:top w:val="none" w:sz="0" w:space="0" w:color="auto"/>
        <w:left w:val="none" w:sz="0" w:space="0" w:color="auto"/>
        <w:bottom w:val="none" w:sz="0" w:space="0" w:color="auto"/>
        <w:right w:val="none" w:sz="0" w:space="0" w:color="auto"/>
      </w:divBdr>
    </w:div>
    <w:div w:id="194344938">
      <w:bodyDiv w:val="1"/>
      <w:marLeft w:val="0"/>
      <w:marRight w:val="0"/>
      <w:marTop w:val="0"/>
      <w:marBottom w:val="0"/>
      <w:divBdr>
        <w:top w:val="none" w:sz="0" w:space="0" w:color="auto"/>
        <w:left w:val="none" w:sz="0" w:space="0" w:color="auto"/>
        <w:bottom w:val="none" w:sz="0" w:space="0" w:color="auto"/>
        <w:right w:val="none" w:sz="0" w:space="0" w:color="auto"/>
      </w:divBdr>
      <w:divsChild>
        <w:div w:id="802310503">
          <w:marLeft w:val="0"/>
          <w:marRight w:val="0"/>
          <w:marTop w:val="0"/>
          <w:marBottom w:val="0"/>
          <w:divBdr>
            <w:top w:val="none" w:sz="0" w:space="0" w:color="auto"/>
            <w:left w:val="none" w:sz="0" w:space="0" w:color="auto"/>
            <w:bottom w:val="none" w:sz="0" w:space="0" w:color="auto"/>
            <w:right w:val="none" w:sz="0" w:space="0" w:color="auto"/>
          </w:divBdr>
          <w:divsChild>
            <w:div w:id="622152710">
              <w:marLeft w:val="0"/>
              <w:marRight w:val="0"/>
              <w:marTop w:val="0"/>
              <w:marBottom w:val="0"/>
              <w:divBdr>
                <w:top w:val="none" w:sz="0" w:space="0" w:color="auto"/>
                <w:left w:val="none" w:sz="0" w:space="0" w:color="auto"/>
                <w:bottom w:val="none" w:sz="0" w:space="0" w:color="auto"/>
                <w:right w:val="none" w:sz="0" w:space="0" w:color="auto"/>
              </w:divBdr>
              <w:divsChild>
                <w:div w:id="11955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7712">
      <w:bodyDiv w:val="1"/>
      <w:marLeft w:val="0"/>
      <w:marRight w:val="0"/>
      <w:marTop w:val="0"/>
      <w:marBottom w:val="0"/>
      <w:divBdr>
        <w:top w:val="none" w:sz="0" w:space="0" w:color="auto"/>
        <w:left w:val="none" w:sz="0" w:space="0" w:color="auto"/>
        <w:bottom w:val="none" w:sz="0" w:space="0" w:color="auto"/>
        <w:right w:val="none" w:sz="0" w:space="0" w:color="auto"/>
      </w:divBdr>
    </w:div>
    <w:div w:id="227688584">
      <w:bodyDiv w:val="1"/>
      <w:marLeft w:val="0"/>
      <w:marRight w:val="0"/>
      <w:marTop w:val="0"/>
      <w:marBottom w:val="0"/>
      <w:divBdr>
        <w:top w:val="none" w:sz="0" w:space="0" w:color="auto"/>
        <w:left w:val="none" w:sz="0" w:space="0" w:color="auto"/>
        <w:bottom w:val="none" w:sz="0" w:space="0" w:color="auto"/>
        <w:right w:val="none" w:sz="0" w:space="0" w:color="auto"/>
      </w:divBdr>
      <w:divsChild>
        <w:div w:id="126633981">
          <w:marLeft w:val="0"/>
          <w:marRight w:val="0"/>
          <w:marTop w:val="0"/>
          <w:marBottom w:val="0"/>
          <w:divBdr>
            <w:top w:val="none" w:sz="0" w:space="0" w:color="auto"/>
            <w:left w:val="none" w:sz="0" w:space="0" w:color="auto"/>
            <w:bottom w:val="none" w:sz="0" w:space="0" w:color="auto"/>
            <w:right w:val="none" w:sz="0" w:space="0" w:color="auto"/>
          </w:divBdr>
          <w:divsChild>
            <w:div w:id="1790006311">
              <w:marLeft w:val="300"/>
              <w:marRight w:val="0"/>
              <w:marTop w:val="0"/>
              <w:marBottom w:val="300"/>
              <w:divBdr>
                <w:top w:val="none" w:sz="0" w:space="0" w:color="auto"/>
                <w:left w:val="none" w:sz="0" w:space="0" w:color="auto"/>
                <w:bottom w:val="none" w:sz="0" w:space="0" w:color="auto"/>
                <w:right w:val="none" w:sz="0" w:space="0" w:color="auto"/>
              </w:divBdr>
            </w:div>
          </w:divsChild>
        </w:div>
        <w:div w:id="426733049">
          <w:marLeft w:val="0"/>
          <w:marRight w:val="0"/>
          <w:marTop w:val="0"/>
          <w:marBottom w:val="0"/>
          <w:divBdr>
            <w:top w:val="none" w:sz="0" w:space="0" w:color="auto"/>
            <w:left w:val="none" w:sz="0" w:space="0" w:color="auto"/>
            <w:bottom w:val="none" w:sz="0" w:space="0" w:color="auto"/>
            <w:right w:val="none" w:sz="0" w:space="0" w:color="auto"/>
          </w:divBdr>
          <w:divsChild>
            <w:div w:id="122521496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231669839">
      <w:bodyDiv w:val="1"/>
      <w:marLeft w:val="0"/>
      <w:marRight w:val="0"/>
      <w:marTop w:val="0"/>
      <w:marBottom w:val="0"/>
      <w:divBdr>
        <w:top w:val="none" w:sz="0" w:space="0" w:color="auto"/>
        <w:left w:val="none" w:sz="0" w:space="0" w:color="auto"/>
        <w:bottom w:val="none" w:sz="0" w:space="0" w:color="auto"/>
        <w:right w:val="none" w:sz="0" w:space="0" w:color="auto"/>
      </w:divBdr>
    </w:div>
    <w:div w:id="242185988">
      <w:bodyDiv w:val="1"/>
      <w:marLeft w:val="0"/>
      <w:marRight w:val="0"/>
      <w:marTop w:val="0"/>
      <w:marBottom w:val="0"/>
      <w:divBdr>
        <w:top w:val="none" w:sz="0" w:space="0" w:color="auto"/>
        <w:left w:val="none" w:sz="0" w:space="0" w:color="auto"/>
        <w:bottom w:val="none" w:sz="0" w:space="0" w:color="auto"/>
        <w:right w:val="none" w:sz="0" w:space="0" w:color="auto"/>
      </w:divBdr>
    </w:div>
    <w:div w:id="243533049">
      <w:bodyDiv w:val="1"/>
      <w:marLeft w:val="0"/>
      <w:marRight w:val="0"/>
      <w:marTop w:val="0"/>
      <w:marBottom w:val="0"/>
      <w:divBdr>
        <w:top w:val="none" w:sz="0" w:space="0" w:color="auto"/>
        <w:left w:val="none" w:sz="0" w:space="0" w:color="auto"/>
        <w:bottom w:val="none" w:sz="0" w:space="0" w:color="auto"/>
        <w:right w:val="none" w:sz="0" w:space="0" w:color="auto"/>
      </w:divBdr>
    </w:div>
    <w:div w:id="245311370">
      <w:bodyDiv w:val="1"/>
      <w:marLeft w:val="0"/>
      <w:marRight w:val="0"/>
      <w:marTop w:val="0"/>
      <w:marBottom w:val="0"/>
      <w:divBdr>
        <w:top w:val="none" w:sz="0" w:space="0" w:color="auto"/>
        <w:left w:val="none" w:sz="0" w:space="0" w:color="auto"/>
        <w:bottom w:val="none" w:sz="0" w:space="0" w:color="auto"/>
        <w:right w:val="none" w:sz="0" w:space="0" w:color="auto"/>
      </w:divBdr>
    </w:div>
    <w:div w:id="276723048">
      <w:bodyDiv w:val="1"/>
      <w:marLeft w:val="0"/>
      <w:marRight w:val="0"/>
      <w:marTop w:val="0"/>
      <w:marBottom w:val="0"/>
      <w:divBdr>
        <w:top w:val="none" w:sz="0" w:space="0" w:color="auto"/>
        <w:left w:val="none" w:sz="0" w:space="0" w:color="auto"/>
        <w:bottom w:val="none" w:sz="0" w:space="0" w:color="auto"/>
        <w:right w:val="none" w:sz="0" w:space="0" w:color="auto"/>
      </w:divBdr>
    </w:div>
    <w:div w:id="303437263">
      <w:bodyDiv w:val="1"/>
      <w:marLeft w:val="0"/>
      <w:marRight w:val="0"/>
      <w:marTop w:val="0"/>
      <w:marBottom w:val="0"/>
      <w:divBdr>
        <w:top w:val="none" w:sz="0" w:space="0" w:color="auto"/>
        <w:left w:val="none" w:sz="0" w:space="0" w:color="auto"/>
        <w:bottom w:val="none" w:sz="0" w:space="0" w:color="auto"/>
        <w:right w:val="none" w:sz="0" w:space="0" w:color="auto"/>
      </w:divBdr>
    </w:div>
    <w:div w:id="313027539">
      <w:bodyDiv w:val="1"/>
      <w:marLeft w:val="0"/>
      <w:marRight w:val="0"/>
      <w:marTop w:val="0"/>
      <w:marBottom w:val="0"/>
      <w:divBdr>
        <w:top w:val="none" w:sz="0" w:space="0" w:color="auto"/>
        <w:left w:val="none" w:sz="0" w:space="0" w:color="auto"/>
        <w:bottom w:val="none" w:sz="0" w:space="0" w:color="auto"/>
        <w:right w:val="none" w:sz="0" w:space="0" w:color="auto"/>
      </w:divBdr>
    </w:div>
    <w:div w:id="366179602">
      <w:bodyDiv w:val="1"/>
      <w:marLeft w:val="0"/>
      <w:marRight w:val="0"/>
      <w:marTop w:val="0"/>
      <w:marBottom w:val="0"/>
      <w:divBdr>
        <w:top w:val="none" w:sz="0" w:space="0" w:color="auto"/>
        <w:left w:val="none" w:sz="0" w:space="0" w:color="auto"/>
        <w:bottom w:val="none" w:sz="0" w:space="0" w:color="auto"/>
        <w:right w:val="none" w:sz="0" w:space="0" w:color="auto"/>
      </w:divBdr>
    </w:div>
    <w:div w:id="391197120">
      <w:bodyDiv w:val="1"/>
      <w:marLeft w:val="0"/>
      <w:marRight w:val="0"/>
      <w:marTop w:val="0"/>
      <w:marBottom w:val="0"/>
      <w:divBdr>
        <w:top w:val="none" w:sz="0" w:space="0" w:color="auto"/>
        <w:left w:val="none" w:sz="0" w:space="0" w:color="auto"/>
        <w:bottom w:val="none" w:sz="0" w:space="0" w:color="auto"/>
        <w:right w:val="none" w:sz="0" w:space="0" w:color="auto"/>
      </w:divBdr>
    </w:div>
    <w:div w:id="420028148">
      <w:bodyDiv w:val="1"/>
      <w:marLeft w:val="0"/>
      <w:marRight w:val="0"/>
      <w:marTop w:val="0"/>
      <w:marBottom w:val="0"/>
      <w:divBdr>
        <w:top w:val="none" w:sz="0" w:space="0" w:color="auto"/>
        <w:left w:val="none" w:sz="0" w:space="0" w:color="auto"/>
        <w:bottom w:val="none" w:sz="0" w:space="0" w:color="auto"/>
        <w:right w:val="none" w:sz="0" w:space="0" w:color="auto"/>
      </w:divBdr>
    </w:div>
    <w:div w:id="448472157">
      <w:bodyDiv w:val="1"/>
      <w:marLeft w:val="0"/>
      <w:marRight w:val="0"/>
      <w:marTop w:val="0"/>
      <w:marBottom w:val="0"/>
      <w:divBdr>
        <w:top w:val="none" w:sz="0" w:space="0" w:color="auto"/>
        <w:left w:val="none" w:sz="0" w:space="0" w:color="auto"/>
        <w:bottom w:val="none" w:sz="0" w:space="0" w:color="auto"/>
        <w:right w:val="none" w:sz="0" w:space="0" w:color="auto"/>
      </w:divBdr>
    </w:div>
    <w:div w:id="477652929">
      <w:bodyDiv w:val="1"/>
      <w:marLeft w:val="0"/>
      <w:marRight w:val="0"/>
      <w:marTop w:val="0"/>
      <w:marBottom w:val="0"/>
      <w:divBdr>
        <w:top w:val="none" w:sz="0" w:space="0" w:color="auto"/>
        <w:left w:val="none" w:sz="0" w:space="0" w:color="auto"/>
        <w:bottom w:val="none" w:sz="0" w:space="0" w:color="auto"/>
        <w:right w:val="none" w:sz="0" w:space="0" w:color="auto"/>
      </w:divBdr>
      <w:divsChild>
        <w:div w:id="2126652172">
          <w:marLeft w:val="0"/>
          <w:marRight w:val="0"/>
          <w:marTop w:val="0"/>
          <w:marBottom w:val="0"/>
          <w:divBdr>
            <w:top w:val="none" w:sz="0" w:space="0" w:color="auto"/>
            <w:left w:val="none" w:sz="0" w:space="0" w:color="auto"/>
            <w:bottom w:val="none" w:sz="0" w:space="0" w:color="auto"/>
            <w:right w:val="none" w:sz="0" w:space="0" w:color="auto"/>
          </w:divBdr>
        </w:div>
      </w:divsChild>
    </w:div>
    <w:div w:id="519124749">
      <w:bodyDiv w:val="1"/>
      <w:marLeft w:val="0"/>
      <w:marRight w:val="0"/>
      <w:marTop w:val="0"/>
      <w:marBottom w:val="0"/>
      <w:divBdr>
        <w:top w:val="none" w:sz="0" w:space="0" w:color="auto"/>
        <w:left w:val="none" w:sz="0" w:space="0" w:color="auto"/>
        <w:bottom w:val="none" w:sz="0" w:space="0" w:color="auto"/>
        <w:right w:val="none" w:sz="0" w:space="0" w:color="auto"/>
      </w:divBdr>
    </w:div>
    <w:div w:id="533688116">
      <w:bodyDiv w:val="1"/>
      <w:marLeft w:val="0"/>
      <w:marRight w:val="0"/>
      <w:marTop w:val="0"/>
      <w:marBottom w:val="0"/>
      <w:divBdr>
        <w:top w:val="none" w:sz="0" w:space="0" w:color="auto"/>
        <w:left w:val="none" w:sz="0" w:space="0" w:color="auto"/>
        <w:bottom w:val="none" w:sz="0" w:space="0" w:color="auto"/>
        <w:right w:val="none" w:sz="0" w:space="0" w:color="auto"/>
      </w:divBdr>
    </w:div>
    <w:div w:id="537855858">
      <w:bodyDiv w:val="1"/>
      <w:marLeft w:val="0"/>
      <w:marRight w:val="0"/>
      <w:marTop w:val="0"/>
      <w:marBottom w:val="0"/>
      <w:divBdr>
        <w:top w:val="none" w:sz="0" w:space="0" w:color="auto"/>
        <w:left w:val="none" w:sz="0" w:space="0" w:color="auto"/>
        <w:bottom w:val="none" w:sz="0" w:space="0" w:color="auto"/>
        <w:right w:val="none" w:sz="0" w:space="0" w:color="auto"/>
      </w:divBdr>
    </w:div>
    <w:div w:id="563639416">
      <w:bodyDiv w:val="1"/>
      <w:marLeft w:val="0"/>
      <w:marRight w:val="0"/>
      <w:marTop w:val="0"/>
      <w:marBottom w:val="0"/>
      <w:divBdr>
        <w:top w:val="none" w:sz="0" w:space="0" w:color="auto"/>
        <w:left w:val="none" w:sz="0" w:space="0" w:color="auto"/>
        <w:bottom w:val="none" w:sz="0" w:space="0" w:color="auto"/>
        <w:right w:val="none" w:sz="0" w:space="0" w:color="auto"/>
      </w:divBdr>
    </w:div>
    <w:div w:id="574095588">
      <w:bodyDiv w:val="1"/>
      <w:marLeft w:val="0"/>
      <w:marRight w:val="0"/>
      <w:marTop w:val="0"/>
      <w:marBottom w:val="0"/>
      <w:divBdr>
        <w:top w:val="none" w:sz="0" w:space="0" w:color="auto"/>
        <w:left w:val="none" w:sz="0" w:space="0" w:color="auto"/>
        <w:bottom w:val="none" w:sz="0" w:space="0" w:color="auto"/>
        <w:right w:val="none" w:sz="0" w:space="0" w:color="auto"/>
      </w:divBdr>
    </w:div>
    <w:div w:id="576939339">
      <w:bodyDiv w:val="1"/>
      <w:marLeft w:val="0"/>
      <w:marRight w:val="0"/>
      <w:marTop w:val="0"/>
      <w:marBottom w:val="0"/>
      <w:divBdr>
        <w:top w:val="none" w:sz="0" w:space="0" w:color="auto"/>
        <w:left w:val="none" w:sz="0" w:space="0" w:color="auto"/>
        <w:bottom w:val="none" w:sz="0" w:space="0" w:color="auto"/>
        <w:right w:val="none" w:sz="0" w:space="0" w:color="auto"/>
      </w:divBdr>
    </w:div>
    <w:div w:id="586352651">
      <w:bodyDiv w:val="1"/>
      <w:marLeft w:val="0"/>
      <w:marRight w:val="0"/>
      <w:marTop w:val="0"/>
      <w:marBottom w:val="0"/>
      <w:divBdr>
        <w:top w:val="none" w:sz="0" w:space="0" w:color="auto"/>
        <w:left w:val="none" w:sz="0" w:space="0" w:color="auto"/>
        <w:bottom w:val="none" w:sz="0" w:space="0" w:color="auto"/>
        <w:right w:val="none" w:sz="0" w:space="0" w:color="auto"/>
      </w:divBdr>
    </w:div>
    <w:div w:id="597712245">
      <w:bodyDiv w:val="1"/>
      <w:marLeft w:val="0"/>
      <w:marRight w:val="0"/>
      <w:marTop w:val="0"/>
      <w:marBottom w:val="0"/>
      <w:divBdr>
        <w:top w:val="none" w:sz="0" w:space="0" w:color="auto"/>
        <w:left w:val="none" w:sz="0" w:space="0" w:color="auto"/>
        <w:bottom w:val="none" w:sz="0" w:space="0" w:color="auto"/>
        <w:right w:val="none" w:sz="0" w:space="0" w:color="auto"/>
      </w:divBdr>
    </w:div>
    <w:div w:id="604965618">
      <w:bodyDiv w:val="1"/>
      <w:marLeft w:val="0"/>
      <w:marRight w:val="0"/>
      <w:marTop w:val="0"/>
      <w:marBottom w:val="0"/>
      <w:divBdr>
        <w:top w:val="none" w:sz="0" w:space="0" w:color="auto"/>
        <w:left w:val="none" w:sz="0" w:space="0" w:color="auto"/>
        <w:bottom w:val="none" w:sz="0" w:space="0" w:color="auto"/>
        <w:right w:val="none" w:sz="0" w:space="0" w:color="auto"/>
      </w:divBdr>
    </w:div>
    <w:div w:id="620192608">
      <w:bodyDiv w:val="1"/>
      <w:marLeft w:val="0"/>
      <w:marRight w:val="0"/>
      <w:marTop w:val="0"/>
      <w:marBottom w:val="0"/>
      <w:divBdr>
        <w:top w:val="none" w:sz="0" w:space="0" w:color="auto"/>
        <w:left w:val="none" w:sz="0" w:space="0" w:color="auto"/>
        <w:bottom w:val="none" w:sz="0" w:space="0" w:color="auto"/>
        <w:right w:val="none" w:sz="0" w:space="0" w:color="auto"/>
      </w:divBdr>
      <w:divsChild>
        <w:div w:id="315306242">
          <w:marLeft w:val="0"/>
          <w:marRight w:val="0"/>
          <w:marTop w:val="0"/>
          <w:marBottom w:val="0"/>
          <w:divBdr>
            <w:top w:val="none" w:sz="0" w:space="0" w:color="auto"/>
            <w:left w:val="none" w:sz="0" w:space="0" w:color="auto"/>
            <w:bottom w:val="none" w:sz="0" w:space="0" w:color="auto"/>
            <w:right w:val="none" w:sz="0" w:space="0" w:color="auto"/>
          </w:divBdr>
          <w:divsChild>
            <w:div w:id="1495955241">
              <w:marLeft w:val="0"/>
              <w:marRight w:val="0"/>
              <w:marTop w:val="0"/>
              <w:marBottom w:val="0"/>
              <w:divBdr>
                <w:top w:val="none" w:sz="0" w:space="0" w:color="auto"/>
                <w:left w:val="none" w:sz="0" w:space="0" w:color="auto"/>
                <w:bottom w:val="none" w:sz="0" w:space="0" w:color="auto"/>
                <w:right w:val="none" w:sz="0" w:space="0" w:color="auto"/>
              </w:divBdr>
              <w:divsChild>
                <w:div w:id="552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8845">
      <w:bodyDiv w:val="1"/>
      <w:marLeft w:val="0"/>
      <w:marRight w:val="0"/>
      <w:marTop w:val="0"/>
      <w:marBottom w:val="0"/>
      <w:divBdr>
        <w:top w:val="none" w:sz="0" w:space="0" w:color="auto"/>
        <w:left w:val="none" w:sz="0" w:space="0" w:color="auto"/>
        <w:bottom w:val="none" w:sz="0" w:space="0" w:color="auto"/>
        <w:right w:val="none" w:sz="0" w:space="0" w:color="auto"/>
      </w:divBdr>
    </w:div>
    <w:div w:id="651829703">
      <w:bodyDiv w:val="1"/>
      <w:marLeft w:val="0"/>
      <w:marRight w:val="0"/>
      <w:marTop w:val="0"/>
      <w:marBottom w:val="0"/>
      <w:divBdr>
        <w:top w:val="none" w:sz="0" w:space="0" w:color="auto"/>
        <w:left w:val="none" w:sz="0" w:space="0" w:color="auto"/>
        <w:bottom w:val="none" w:sz="0" w:space="0" w:color="auto"/>
        <w:right w:val="none" w:sz="0" w:space="0" w:color="auto"/>
      </w:divBdr>
    </w:div>
    <w:div w:id="662241699">
      <w:bodyDiv w:val="1"/>
      <w:marLeft w:val="0"/>
      <w:marRight w:val="0"/>
      <w:marTop w:val="0"/>
      <w:marBottom w:val="0"/>
      <w:divBdr>
        <w:top w:val="none" w:sz="0" w:space="0" w:color="auto"/>
        <w:left w:val="none" w:sz="0" w:space="0" w:color="auto"/>
        <w:bottom w:val="none" w:sz="0" w:space="0" w:color="auto"/>
        <w:right w:val="none" w:sz="0" w:space="0" w:color="auto"/>
      </w:divBdr>
    </w:div>
    <w:div w:id="710302214">
      <w:bodyDiv w:val="1"/>
      <w:marLeft w:val="0"/>
      <w:marRight w:val="0"/>
      <w:marTop w:val="0"/>
      <w:marBottom w:val="0"/>
      <w:divBdr>
        <w:top w:val="none" w:sz="0" w:space="0" w:color="auto"/>
        <w:left w:val="none" w:sz="0" w:space="0" w:color="auto"/>
        <w:bottom w:val="none" w:sz="0" w:space="0" w:color="auto"/>
        <w:right w:val="none" w:sz="0" w:space="0" w:color="auto"/>
      </w:divBdr>
    </w:div>
    <w:div w:id="726608193">
      <w:bodyDiv w:val="1"/>
      <w:marLeft w:val="0"/>
      <w:marRight w:val="0"/>
      <w:marTop w:val="0"/>
      <w:marBottom w:val="0"/>
      <w:divBdr>
        <w:top w:val="none" w:sz="0" w:space="0" w:color="auto"/>
        <w:left w:val="none" w:sz="0" w:space="0" w:color="auto"/>
        <w:bottom w:val="none" w:sz="0" w:space="0" w:color="auto"/>
        <w:right w:val="none" w:sz="0" w:space="0" w:color="auto"/>
      </w:divBdr>
    </w:div>
    <w:div w:id="753167862">
      <w:bodyDiv w:val="1"/>
      <w:marLeft w:val="0"/>
      <w:marRight w:val="0"/>
      <w:marTop w:val="0"/>
      <w:marBottom w:val="0"/>
      <w:divBdr>
        <w:top w:val="none" w:sz="0" w:space="0" w:color="auto"/>
        <w:left w:val="none" w:sz="0" w:space="0" w:color="auto"/>
        <w:bottom w:val="none" w:sz="0" w:space="0" w:color="auto"/>
        <w:right w:val="none" w:sz="0" w:space="0" w:color="auto"/>
      </w:divBdr>
      <w:divsChild>
        <w:div w:id="803888266">
          <w:marLeft w:val="0"/>
          <w:marRight w:val="0"/>
          <w:marTop w:val="0"/>
          <w:marBottom w:val="0"/>
          <w:divBdr>
            <w:top w:val="none" w:sz="0" w:space="0" w:color="auto"/>
            <w:left w:val="none" w:sz="0" w:space="0" w:color="auto"/>
            <w:bottom w:val="none" w:sz="0" w:space="0" w:color="auto"/>
            <w:right w:val="none" w:sz="0" w:space="0" w:color="auto"/>
          </w:divBdr>
          <w:divsChild>
            <w:div w:id="1205485887">
              <w:marLeft w:val="0"/>
              <w:marRight w:val="0"/>
              <w:marTop w:val="0"/>
              <w:marBottom w:val="0"/>
              <w:divBdr>
                <w:top w:val="none" w:sz="0" w:space="0" w:color="auto"/>
                <w:left w:val="none" w:sz="0" w:space="0" w:color="auto"/>
                <w:bottom w:val="none" w:sz="0" w:space="0" w:color="auto"/>
                <w:right w:val="none" w:sz="0" w:space="0" w:color="auto"/>
              </w:divBdr>
              <w:divsChild>
                <w:div w:id="173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6326">
      <w:bodyDiv w:val="1"/>
      <w:marLeft w:val="0"/>
      <w:marRight w:val="0"/>
      <w:marTop w:val="0"/>
      <w:marBottom w:val="0"/>
      <w:divBdr>
        <w:top w:val="none" w:sz="0" w:space="0" w:color="auto"/>
        <w:left w:val="none" w:sz="0" w:space="0" w:color="auto"/>
        <w:bottom w:val="none" w:sz="0" w:space="0" w:color="auto"/>
        <w:right w:val="none" w:sz="0" w:space="0" w:color="auto"/>
      </w:divBdr>
    </w:div>
    <w:div w:id="765809605">
      <w:bodyDiv w:val="1"/>
      <w:marLeft w:val="0"/>
      <w:marRight w:val="0"/>
      <w:marTop w:val="0"/>
      <w:marBottom w:val="0"/>
      <w:divBdr>
        <w:top w:val="none" w:sz="0" w:space="0" w:color="auto"/>
        <w:left w:val="none" w:sz="0" w:space="0" w:color="auto"/>
        <w:bottom w:val="none" w:sz="0" w:space="0" w:color="auto"/>
        <w:right w:val="none" w:sz="0" w:space="0" w:color="auto"/>
      </w:divBdr>
    </w:div>
    <w:div w:id="775294373">
      <w:bodyDiv w:val="1"/>
      <w:marLeft w:val="0"/>
      <w:marRight w:val="0"/>
      <w:marTop w:val="0"/>
      <w:marBottom w:val="0"/>
      <w:divBdr>
        <w:top w:val="none" w:sz="0" w:space="0" w:color="auto"/>
        <w:left w:val="none" w:sz="0" w:space="0" w:color="auto"/>
        <w:bottom w:val="none" w:sz="0" w:space="0" w:color="auto"/>
        <w:right w:val="none" w:sz="0" w:space="0" w:color="auto"/>
      </w:divBdr>
      <w:divsChild>
        <w:div w:id="1538615515">
          <w:marLeft w:val="0"/>
          <w:marRight w:val="0"/>
          <w:marTop w:val="0"/>
          <w:marBottom w:val="0"/>
          <w:divBdr>
            <w:top w:val="none" w:sz="0" w:space="0" w:color="auto"/>
            <w:left w:val="none" w:sz="0" w:space="0" w:color="auto"/>
            <w:bottom w:val="none" w:sz="0" w:space="0" w:color="auto"/>
            <w:right w:val="none" w:sz="0" w:space="0" w:color="auto"/>
          </w:divBdr>
          <w:divsChild>
            <w:div w:id="412580788">
              <w:marLeft w:val="0"/>
              <w:marRight w:val="0"/>
              <w:marTop w:val="0"/>
              <w:marBottom w:val="0"/>
              <w:divBdr>
                <w:top w:val="none" w:sz="0" w:space="0" w:color="auto"/>
                <w:left w:val="none" w:sz="0" w:space="0" w:color="auto"/>
                <w:bottom w:val="none" w:sz="0" w:space="0" w:color="auto"/>
                <w:right w:val="none" w:sz="0" w:space="0" w:color="auto"/>
              </w:divBdr>
              <w:divsChild>
                <w:div w:id="6397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9601">
      <w:bodyDiv w:val="1"/>
      <w:marLeft w:val="0"/>
      <w:marRight w:val="0"/>
      <w:marTop w:val="0"/>
      <w:marBottom w:val="0"/>
      <w:divBdr>
        <w:top w:val="none" w:sz="0" w:space="0" w:color="auto"/>
        <w:left w:val="none" w:sz="0" w:space="0" w:color="auto"/>
        <w:bottom w:val="none" w:sz="0" w:space="0" w:color="auto"/>
        <w:right w:val="none" w:sz="0" w:space="0" w:color="auto"/>
      </w:divBdr>
      <w:divsChild>
        <w:div w:id="98011217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sChild>
                <w:div w:id="8930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7458">
      <w:bodyDiv w:val="1"/>
      <w:marLeft w:val="0"/>
      <w:marRight w:val="0"/>
      <w:marTop w:val="0"/>
      <w:marBottom w:val="0"/>
      <w:divBdr>
        <w:top w:val="none" w:sz="0" w:space="0" w:color="auto"/>
        <w:left w:val="none" w:sz="0" w:space="0" w:color="auto"/>
        <w:bottom w:val="none" w:sz="0" w:space="0" w:color="auto"/>
        <w:right w:val="none" w:sz="0" w:space="0" w:color="auto"/>
      </w:divBdr>
    </w:div>
    <w:div w:id="864906115">
      <w:bodyDiv w:val="1"/>
      <w:marLeft w:val="0"/>
      <w:marRight w:val="0"/>
      <w:marTop w:val="0"/>
      <w:marBottom w:val="0"/>
      <w:divBdr>
        <w:top w:val="none" w:sz="0" w:space="0" w:color="auto"/>
        <w:left w:val="none" w:sz="0" w:space="0" w:color="auto"/>
        <w:bottom w:val="none" w:sz="0" w:space="0" w:color="auto"/>
        <w:right w:val="none" w:sz="0" w:space="0" w:color="auto"/>
      </w:divBdr>
    </w:div>
    <w:div w:id="868421257">
      <w:bodyDiv w:val="1"/>
      <w:marLeft w:val="0"/>
      <w:marRight w:val="0"/>
      <w:marTop w:val="0"/>
      <w:marBottom w:val="0"/>
      <w:divBdr>
        <w:top w:val="none" w:sz="0" w:space="0" w:color="auto"/>
        <w:left w:val="none" w:sz="0" w:space="0" w:color="auto"/>
        <w:bottom w:val="none" w:sz="0" w:space="0" w:color="auto"/>
        <w:right w:val="none" w:sz="0" w:space="0" w:color="auto"/>
      </w:divBdr>
      <w:divsChild>
        <w:div w:id="2049796420">
          <w:marLeft w:val="0"/>
          <w:marRight w:val="0"/>
          <w:marTop w:val="0"/>
          <w:marBottom w:val="0"/>
          <w:divBdr>
            <w:top w:val="none" w:sz="0" w:space="0" w:color="auto"/>
            <w:left w:val="none" w:sz="0" w:space="0" w:color="auto"/>
            <w:bottom w:val="none" w:sz="0" w:space="0" w:color="auto"/>
            <w:right w:val="none" w:sz="0" w:space="0" w:color="auto"/>
          </w:divBdr>
        </w:div>
        <w:div w:id="1309938213">
          <w:marLeft w:val="0"/>
          <w:marRight w:val="0"/>
          <w:marTop w:val="0"/>
          <w:marBottom w:val="0"/>
          <w:divBdr>
            <w:top w:val="none" w:sz="0" w:space="0" w:color="auto"/>
            <w:left w:val="none" w:sz="0" w:space="0" w:color="auto"/>
            <w:bottom w:val="none" w:sz="0" w:space="0" w:color="auto"/>
            <w:right w:val="none" w:sz="0" w:space="0" w:color="auto"/>
          </w:divBdr>
          <w:divsChild>
            <w:div w:id="539979606">
              <w:marLeft w:val="0"/>
              <w:marRight w:val="0"/>
              <w:marTop w:val="0"/>
              <w:marBottom w:val="0"/>
              <w:divBdr>
                <w:top w:val="none" w:sz="0" w:space="0" w:color="auto"/>
                <w:left w:val="none" w:sz="0" w:space="0" w:color="auto"/>
                <w:bottom w:val="none" w:sz="0" w:space="0" w:color="auto"/>
                <w:right w:val="none" w:sz="0" w:space="0" w:color="auto"/>
              </w:divBdr>
              <w:divsChild>
                <w:div w:id="1810895720">
                  <w:marLeft w:val="0"/>
                  <w:marRight w:val="0"/>
                  <w:marTop w:val="0"/>
                  <w:marBottom w:val="0"/>
                  <w:divBdr>
                    <w:top w:val="none" w:sz="0" w:space="0" w:color="auto"/>
                    <w:left w:val="none" w:sz="0" w:space="0" w:color="auto"/>
                    <w:bottom w:val="none" w:sz="0" w:space="0" w:color="auto"/>
                    <w:right w:val="none" w:sz="0" w:space="0" w:color="auto"/>
                  </w:divBdr>
                </w:div>
                <w:div w:id="1493718580">
                  <w:marLeft w:val="0"/>
                  <w:marRight w:val="0"/>
                  <w:marTop w:val="0"/>
                  <w:marBottom w:val="0"/>
                  <w:divBdr>
                    <w:top w:val="none" w:sz="0" w:space="0" w:color="auto"/>
                    <w:left w:val="none" w:sz="0" w:space="0" w:color="auto"/>
                    <w:bottom w:val="none" w:sz="0" w:space="0" w:color="auto"/>
                    <w:right w:val="none" w:sz="0" w:space="0" w:color="auto"/>
                  </w:divBdr>
                  <w:divsChild>
                    <w:div w:id="224687089">
                      <w:marLeft w:val="0"/>
                      <w:marRight w:val="0"/>
                      <w:marTop w:val="0"/>
                      <w:marBottom w:val="0"/>
                      <w:divBdr>
                        <w:top w:val="none" w:sz="0" w:space="0" w:color="auto"/>
                        <w:left w:val="none" w:sz="0" w:space="0" w:color="auto"/>
                        <w:bottom w:val="none" w:sz="0" w:space="0" w:color="auto"/>
                        <w:right w:val="none" w:sz="0" w:space="0" w:color="auto"/>
                      </w:divBdr>
                    </w:div>
                    <w:div w:id="378361552">
                      <w:marLeft w:val="0"/>
                      <w:marRight w:val="0"/>
                      <w:marTop w:val="0"/>
                      <w:marBottom w:val="0"/>
                      <w:divBdr>
                        <w:top w:val="none" w:sz="0" w:space="0" w:color="auto"/>
                        <w:left w:val="none" w:sz="0" w:space="0" w:color="auto"/>
                        <w:bottom w:val="none" w:sz="0" w:space="0" w:color="auto"/>
                        <w:right w:val="none" w:sz="0" w:space="0" w:color="auto"/>
                      </w:divBdr>
                    </w:div>
                    <w:div w:id="1969243156">
                      <w:marLeft w:val="0"/>
                      <w:marRight w:val="0"/>
                      <w:marTop w:val="100"/>
                      <w:marBottom w:val="0"/>
                      <w:divBdr>
                        <w:top w:val="none" w:sz="0" w:space="0" w:color="auto"/>
                        <w:left w:val="none" w:sz="0" w:space="0" w:color="auto"/>
                        <w:bottom w:val="none" w:sz="0" w:space="0" w:color="auto"/>
                        <w:right w:val="none" w:sz="0" w:space="0" w:color="auto"/>
                      </w:divBdr>
                      <w:divsChild>
                        <w:div w:id="1497264873">
                          <w:marLeft w:val="0"/>
                          <w:marRight w:val="0"/>
                          <w:marTop w:val="0"/>
                          <w:marBottom w:val="0"/>
                          <w:divBdr>
                            <w:top w:val="none" w:sz="0" w:space="0" w:color="auto"/>
                            <w:left w:val="none" w:sz="0" w:space="0" w:color="auto"/>
                            <w:bottom w:val="none" w:sz="0" w:space="0" w:color="auto"/>
                            <w:right w:val="none" w:sz="0" w:space="0" w:color="auto"/>
                          </w:divBdr>
                          <w:divsChild>
                            <w:div w:id="951011185">
                              <w:marLeft w:val="0"/>
                              <w:marRight w:val="0"/>
                              <w:marTop w:val="0"/>
                              <w:marBottom w:val="0"/>
                              <w:divBdr>
                                <w:top w:val="none" w:sz="0" w:space="0" w:color="auto"/>
                                <w:left w:val="none" w:sz="0" w:space="0" w:color="auto"/>
                                <w:bottom w:val="none" w:sz="0" w:space="0" w:color="auto"/>
                                <w:right w:val="none" w:sz="0" w:space="0" w:color="auto"/>
                              </w:divBdr>
                              <w:divsChild>
                                <w:div w:id="13848650">
                                  <w:marLeft w:val="0"/>
                                  <w:marRight w:val="0"/>
                                  <w:marTop w:val="0"/>
                                  <w:marBottom w:val="0"/>
                                  <w:divBdr>
                                    <w:top w:val="none" w:sz="0" w:space="0" w:color="auto"/>
                                    <w:left w:val="none" w:sz="0" w:space="0" w:color="auto"/>
                                    <w:bottom w:val="none" w:sz="0" w:space="0" w:color="auto"/>
                                    <w:right w:val="none" w:sz="0" w:space="0" w:color="auto"/>
                                  </w:divBdr>
                                  <w:divsChild>
                                    <w:div w:id="47657283">
                                      <w:marLeft w:val="0"/>
                                      <w:marRight w:val="0"/>
                                      <w:marTop w:val="0"/>
                                      <w:marBottom w:val="0"/>
                                      <w:divBdr>
                                        <w:top w:val="none" w:sz="0" w:space="0" w:color="auto"/>
                                        <w:left w:val="none" w:sz="0" w:space="0" w:color="auto"/>
                                        <w:bottom w:val="none" w:sz="0" w:space="0" w:color="auto"/>
                                        <w:right w:val="none" w:sz="0" w:space="0" w:color="auto"/>
                                      </w:divBdr>
                                      <w:divsChild>
                                        <w:div w:id="2132556929">
                                          <w:marLeft w:val="0"/>
                                          <w:marRight w:val="0"/>
                                          <w:marTop w:val="0"/>
                                          <w:marBottom w:val="0"/>
                                          <w:divBdr>
                                            <w:top w:val="none" w:sz="0" w:space="0" w:color="auto"/>
                                            <w:left w:val="none" w:sz="0" w:space="0" w:color="auto"/>
                                            <w:bottom w:val="none" w:sz="0" w:space="0" w:color="auto"/>
                                            <w:right w:val="none" w:sz="0" w:space="0" w:color="auto"/>
                                          </w:divBdr>
                                        </w:div>
                                        <w:div w:id="1117682483">
                                          <w:marLeft w:val="0"/>
                                          <w:marRight w:val="0"/>
                                          <w:marTop w:val="0"/>
                                          <w:marBottom w:val="0"/>
                                          <w:divBdr>
                                            <w:top w:val="none" w:sz="0" w:space="0" w:color="auto"/>
                                            <w:left w:val="none" w:sz="0" w:space="0" w:color="auto"/>
                                            <w:bottom w:val="none" w:sz="0" w:space="0" w:color="auto"/>
                                            <w:right w:val="none" w:sz="0" w:space="0" w:color="auto"/>
                                          </w:divBdr>
                                          <w:divsChild>
                                            <w:div w:id="993754476">
                                              <w:marLeft w:val="0"/>
                                              <w:marRight w:val="0"/>
                                              <w:marTop w:val="0"/>
                                              <w:marBottom w:val="0"/>
                                              <w:divBdr>
                                                <w:top w:val="none" w:sz="0" w:space="0" w:color="auto"/>
                                                <w:left w:val="none" w:sz="0" w:space="0" w:color="auto"/>
                                                <w:bottom w:val="none" w:sz="0" w:space="0" w:color="auto"/>
                                                <w:right w:val="none" w:sz="0" w:space="0" w:color="auto"/>
                                              </w:divBdr>
                                              <w:divsChild>
                                                <w:div w:id="9943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184221">
      <w:bodyDiv w:val="1"/>
      <w:marLeft w:val="0"/>
      <w:marRight w:val="0"/>
      <w:marTop w:val="0"/>
      <w:marBottom w:val="0"/>
      <w:divBdr>
        <w:top w:val="none" w:sz="0" w:space="0" w:color="auto"/>
        <w:left w:val="none" w:sz="0" w:space="0" w:color="auto"/>
        <w:bottom w:val="none" w:sz="0" w:space="0" w:color="auto"/>
        <w:right w:val="none" w:sz="0" w:space="0" w:color="auto"/>
      </w:divBdr>
    </w:div>
    <w:div w:id="894390479">
      <w:bodyDiv w:val="1"/>
      <w:marLeft w:val="0"/>
      <w:marRight w:val="0"/>
      <w:marTop w:val="0"/>
      <w:marBottom w:val="0"/>
      <w:divBdr>
        <w:top w:val="none" w:sz="0" w:space="0" w:color="auto"/>
        <w:left w:val="none" w:sz="0" w:space="0" w:color="auto"/>
        <w:bottom w:val="none" w:sz="0" w:space="0" w:color="auto"/>
        <w:right w:val="none" w:sz="0" w:space="0" w:color="auto"/>
      </w:divBdr>
    </w:div>
    <w:div w:id="898367721">
      <w:bodyDiv w:val="1"/>
      <w:marLeft w:val="214"/>
      <w:marRight w:val="214"/>
      <w:marTop w:val="214"/>
      <w:marBottom w:val="214"/>
      <w:divBdr>
        <w:top w:val="none" w:sz="0" w:space="0" w:color="auto"/>
        <w:left w:val="none" w:sz="0" w:space="0" w:color="auto"/>
        <w:bottom w:val="none" w:sz="0" w:space="0" w:color="auto"/>
        <w:right w:val="none" w:sz="0" w:space="0" w:color="auto"/>
      </w:divBdr>
      <w:divsChild>
        <w:div w:id="1747727315">
          <w:marLeft w:val="0"/>
          <w:marRight w:val="0"/>
          <w:marTop w:val="0"/>
          <w:marBottom w:val="0"/>
          <w:divBdr>
            <w:top w:val="none" w:sz="0" w:space="0" w:color="auto"/>
            <w:left w:val="none" w:sz="0" w:space="0" w:color="auto"/>
            <w:bottom w:val="none" w:sz="0" w:space="0" w:color="auto"/>
            <w:right w:val="none" w:sz="0" w:space="0" w:color="auto"/>
          </w:divBdr>
          <w:divsChild>
            <w:div w:id="1644843670">
              <w:marLeft w:val="0"/>
              <w:marRight w:val="0"/>
              <w:marTop w:val="0"/>
              <w:marBottom w:val="0"/>
              <w:divBdr>
                <w:top w:val="none" w:sz="0" w:space="0" w:color="auto"/>
                <w:left w:val="none" w:sz="0" w:space="0" w:color="auto"/>
                <w:bottom w:val="none" w:sz="0" w:space="0" w:color="auto"/>
                <w:right w:val="none" w:sz="0" w:space="0" w:color="auto"/>
              </w:divBdr>
              <w:divsChild>
                <w:div w:id="671302106">
                  <w:marLeft w:val="0"/>
                  <w:marRight w:val="0"/>
                  <w:marTop w:val="0"/>
                  <w:marBottom w:val="0"/>
                  <w:divBdr>
                    <w:top w:val="none" w:sz="0" w:space="0" w:color="auto"/>
                    <w:left w:val="none" w:sz="0" w:space="0" w:color="auto"/>
                    <w:bottom w:val="none" w:sz="0" w:space="0" w:color="auto"/>
                    <w:right w:val="none" w:sz="0" w:space="0" w:color="auto"/>
                  </w:divBdr>
                  <w:divsChild>
                    <w:div w:id="574705337">
                      <w:marLeft w:val="0"/>
                      <w:marRight w:val="0"/>
                      <w:marTop w:val="0"/>
                      <w:marBottom w:val="0"/>
                      <w:divBdr>
                        <w:top w:val="none" w:sz="0" w:space="0" w:color="auto"/>
                        <w:left w:val="none" w:sz="0" w:space="0" w:color="auto"/>
                        <w:bottom w:val="none" w:sz="0" w:space="0" w:color="auto"/>
                        <w:right w:val="none" w:sz="0" w:space="0" w:color="auto"/>
                      </w:divBdr>
                      <w:divsChild>
                        <w:div w:id="1954707809">
                          <w:marLeft w:val="0"/>
                          <w:marRight w:val="0"/>
                          <w:marTop w:val="0"/>
                          <w:marBottom w:val="0"/>
                          <w:divBdr>
                            <w:top w:val="none" w:sz="0" w:space="0" w:color="auto"/>
                            <w:left w:val="none" w:sz="0" w:space="0" w:color="auto"/>
                            <w:bottom w:val="none" w:sz="0" w:space="0" w:color="auto"/>
                            <w:right w:val="none" w:sz="0" w:space="0" w:color="auto"/>
                          </w:divBdr>
                          <w:divsChild>
                            <w:div w:id="378432549">
                              <w:marLeft w:val="0"/>
                              <w:marRight w:val="0"/>
                              <w:marTop w:val="0"/>
                              <w:marBottom w:val="0"/>
                              <w:divBdr>
                                <w:top w:val="none" w:sz="0" w:space="0" w:color="auto"/>
                                <w:left w:val="none" w:sz="0" w:space="0" w:color="auto"/>
                                <w:bottom w:val="none" w:sz="0" w:space="0" w:color="auto"/>
                                <w:right w:val="none" w:sz="0" w:space="0" w:color="auto"/>
                              </w:divBdr>
                              <w:divsChild>
                                <w:div w:id="1508133607">
                                  <w:marLeft w:val="0"/>
                                  <w:marRight w:val="0"/>
                                  <w:marTop w:val="0"/>
                                  <w:marBottom w:val="0"/>
                                  <w:divBdr>
                                    <w:top w:val="none" w:sz="0" w:space="0" w:color="auto"/>
                                    <w:left w:val="none" w:sz="0" w:space="0" w:color="auto"/>
                                    <w:bottom w:val="none" w:sz="0" w:space="0" w:color="auto"/>
                                    <w:right w:val="none" w:sz="0" w:space="0" w:color="auto"/>
                                  </w:divBdr>
                                  <w:divsChild>
                                    <w:div w:id="2091389138">
                                      <w:marLeft w:val="0"/>
                                      <w:marRight w:val="0"/>
                                      <w:marTop w:val="0"/>
                                      <w:marBottom w:val="0"/>
                                      <w:divBdr>
                                        <w:top w:val="none" w:sz="0" w:space="0" w:color="auto"/>
                                        <w:left w:val="none" w:sz="0" w:space="0" w:color="auto"/>
                                        <w:bottom w:val="none" w:sz="0" w:space="0" w:color="auto"/>
                                        <w:right w:val="none" w:sz="0" w:space="0" w:color="auto"/>
                                      </w:divBdr>
                                      <w:divsChild>
                                        <w:div w:id="420610805">
                                          <w:marLeft w:val="-285"/>
                                          <w:marRight w:val="-257"/>
                                          <w:marTop w:val="143"/>
                                          <w:marBottom w:val="0"/>
                                          <w:divBdr>
                                            <w:top w:val="none" w:sz="0" w:space="0" w:color="auto"/>
                                            <w:left w:val="none" w:sz="0" w:space="0" w:color="auto"/>
                                            <w:bottom w:val="none" w:sz="0" w:space="0" w:color="auto"/>
                                            <w:right w:val="none" w:sz="0" w:space="0" w:color="auto"/>
                                          </w:divBdr>
                                          <w:divsChild>
                                            <w:div w:id="1433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075799">
      <w:bodyDiv w:val="1"/>
      <w:marLeft w:val="0"/>
      <w:marRight w:val="0"/>
      <w:marTop w:val="0"/>
      <w:marBottom w:val="0"/>
      <w:divBdr>
        <w:top w:val="none" w:sz="0" w:space="0" w:color="auto"/>
        <w:left w:val="none" w:sz="0" w:space="0" w:color="auto"/>
        <w:bottom w:val="none" w:sz="0" w:space="0" w:color="auto"/>
        <w:right w:val="none" w:sz="0" w:space="0" w:color="auto"/>
      </w:divBdr>
      <w:divsChild>
        <w:div w:id="166477389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943151036">
      <w:bodyDiv w:val="1"/>
      <w:marLeft w:val="0"/>
      <w:marRight w:val="0"/>
      <w:marTop w:val="0"/>
      <w:marBottom w:val="0"/>
      <w:divBdr>
        <w:top w:val="none" w:sz="0" w:space="0" w:color="auto"/>
        <w:left w:val="none" w:sz="0" w:space="0" w:color="auto"/>
        <w:bottom w:val="none" w:sz="0" w:space="0" w:color="auto"/>
        <w:right w:val="none" w:sz="0" w:space="0" w:color="auto"/>
      </w:divBdr>
    </w:div>
    <w:div w:id="954023538">
      <w:bodyDiv w:val="1"/>
      <w:marLeft w:val="0"/>
      <w:marRight w:val="0"/>
      <w:marTop w:val="0"/>
      <w:marBottom w:val="0"/>
      <w:divBdr>
        <w:top w:val="none" w:sz="0" w:space="0" w:color="auto"/>
        <w:left w:val="none" w:sz="0" w:space="0" w:color="auto"/>
        <w:bottom w:val="none" w:sz="0" w:space="0" w:color="auto"/>
        <w:right w:val="none" w:sz="0" w:space="0" w:color="auto"/>
      </w:divBdr>
      <w:divsChild>
        <w:div w:id="380179068">
          <w:marLeft w:val="0"/>
          <w:marRight w:val="0"/>
          <w:marTop w:val="0"/>
          <w:marBottom w:val="0"/>
          <w:divBdr>
            <w:top w:val="none" w:sz="0" w:space="0" w:color="auto"/>
            <w:left w:val="none" w:sz="0" w:space="0" w:color="auto"/>
            <w:bottom w:val="none" w:sz="0" w:space="0" w:color="auto"/>
            <w:right w:val="none" w:sz="0" w:space="0" w:color="auto"/>
          </w:divBdr>
          <w:divsChild>
            <w:div w:id="655183217">
              <w:marLeft w:val="-2928"/>
              <w:marRight w:val="0"/>
              <w:marTop w:val="0"/>
              <w:marBottom w:val="144"/>
              <w:divBdr>
                <w:top w:val="none" w:sz="0" w:space="0" w:color="auto"/>
                <w:left w:val="none" w:sz="0" w:space="0" w:color="auto"/>
                <w:bottom w:val="none" w:sz="0" w:space="0" w:color="auto"/>
                <w:right w:val="none" w:sz="0" w:space="0" w:color="auto"/>
              </w:divBdr>
              <w:divsChild>
                <w:div w:id="268777450">
                  <w:marLeft w:val="2928"/>
                  <w:marRight w:val="0"/>
                  <w:marTop w:val="720"/>
                  <w:marBottom w:val="0"/>
                  <w:divBdr>
                    <w:top w:val="single" w:sz="6" w:space="0" w:color="AAAAAA"/>
                    <w:left w:val="single" w:sz="6" w:space="0" w:color="AAAAAA"/>
                    <w:bottom w:val="single" w:sz="6" w:space="0" w:color="AAAAAA"/>
                    <w:right w:val="none" w:sz="0" w:space="0" w:color="auto"/>
                  </w:divBdr>
                  <w:divsChild>
                    <w:div w:id="1721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1305">
      <w:bodyDiv w:val="1"/>
      <w:marLeft w:val="0"/>
      <w:marRight w:val="0"/>
      <w:marTop w:val="0"/>
      <w:marBottom w:val="0"/>
      <w:divBdr>
        <w:top w:val="none" w:sz="0" w:space="0" w:color="auto"/>
        <w:left w:val="none" w:sz="0" w:space="0" w:color="auto"/>
        <w:bottom w:val="none" w:sz="0" w:space="0" w:color="auto"/>
        <w:right w:val="none" w:sz="0" w:space="0" w:color="auto"/>
      </w:divBdr>
    </w:div>
    <w:div w:id="1006401707">
      <w:bodyDiv w:val="1"/>
      <w:marLeft w:val="0"/>
      <w:marRight w:val="0"/>
      <w:marTop w:val="0"/>
      <w:marBottom w:val="0"/>
      <w:divBdr>
        <w:top w:val="none" w:sz="0" w:space="0" w:color="auto"/>
        <w:left w:val="none" w:sz="0" w:space="0" w:color="auto"/>
        <w:bottom w:val="none" w:sz="0" w:space="0" w:color="auto"/>
        <w:right w:val="none" w:sz="0" w:space="0" w:color="auto"/>
      </w:divBdr>
    </w:div>
    <w:div w:id="1010721683">
      <w:bodyDiv w:val="1"/>
      <w:marLeft w:val="0"/>
      <w:marRight w:val="0"/>
      <w:marTop w:val="0"/>
      <w:marBottom w:val="0"/>
      <w:divBdr>
        <w:top w:val="none" w:sz="0" w:space="0" w:color="auto"/>
        <w:left w:val="none" w:sz="0" w:space="0" w:color="auto"/>
        <w:bottom w:val="none" w:sz="0" w:space="0" w:color="auto"/>
        <w:right w:val="none" w:sz="0" w:space="0" w:color="auto"/>
      </w:divBdr>
    </w:div>
    <w:div w:id="1025981736">
      <w:bodyDiv w:val="1"/>
      <w:marLeft w:val="0"/>
      <w:marRight w:val="0"/>
      <w:marTop w:val="0"/>
      <w:marBottom w:val="0"/>
      <w:divBdr>
        <w:top w:val="none" w:sz="0" w:space="0" w:color="auto"/>
        <w:left w:val="none" w:sz="0" w:space="0" w:color="auto"/>
        <w:bottom w:val="none" w:sz="0" w:space="0" w:color="auto"/>
        <w:right w:val="none" w:sz="0" w:space="0" w:color="auto"/>
      </w:divBdr>
    </w:div>
    <w:div w:id="1035616954">
      <w:bodyDiv w:val="1"/>
      <w:marLeft w:val="0"/>
      <w:marRight w:val="0"/>
      <w:marTop w:val="0"/>
      <w:marBottom w:val="0"/>
      <w:divBdr>
        <w:top w:val="none" w:sz="0" w:space="0" w:color="auto"/>
        <w:left w:val="none" w:sz="0" w:space="0" w:color="auto"/>
        <w:bottom w:val="none" w:sz="0" w:space="0" w:color="auto"/>
        <w:right w:val="none" w:sz="0" w:space="0" w:color="auto"/>
      </w:divBdr>
      <w:divsChild>
        <w:div w:id="116724922">
          <w:marLeft w:val="0"/>
          <w:marRight w:val="0"/>
          <w:marTop w:val="0"/>
          <w:marBottom w:val="0"/>
          <w:divBdr>
            <w:top w:val="none" w:sz="0" w:space="0" w:color="auto"/>
            <w:left w:val="none" w:sz="0" w:space="0" w:color="auto"/>
            <w:bottom w:val="none" w:sz="0" w:space="0" w:color="auto"/>
            <w:right w:val="none" w:sz="0" w:space="0" w:color="auto"/>
          </w:divBdr>
          <w:divsChild>
            <w:div w:id="955211586">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 w:id="1047072881">
          <w:marLeft w:val="0"/>
          <w:marRight w:val="0"/>
          <w:marTop w:val="0"/>
          <w:marBottom w:val="0"/>
          <w:divBdr>
            <w:top w:val="none" w:sz="0" w:space="0" w:color="auto"/>
            <w:left w:val="none" w:sz="0" w:space="0" w:color="auto"/>
            <w:bottom w:val="none" w:sz="0" w:space="0" w:color="auto"/>
            <w:right w:val="none" w:sz="0" w:space="0" w:color="auto"/>
          </w:divBdr>
          <w:divsChild>
            <w:div w:id="1928927492">
              <w:marLeft w:val="300"/>
              <w:marRight w:val="0"/>
              <w:marTop w:val="0"/>
              <w:marBottom w:val="300"/>
              <w:divBdr>
                <w:top w:val="none" w:sz="0" w:space="0" w:color="auto"/>
                <w:left w:val="none" w:sz="0" w:space="0" w:color="auto"/>
                <w:bottom w:val="none" w:sz="0" w:space="0" w:color="auto"/>
                <w:right w:val="none" w:sz="0" w:space="0" w:color="auto"/>
              </w:divBdr>
            </w:div>
          </w:divsChild>
        </w:div>
        <w:div w:id="1250768169">
          <w:marLeft w:val="0"/>
          <w:marRight w:val="0"/>
          <w:marTop w:val="0"/>
          <w:marBottom w:val="0"/>
          <w:divBdr>
            <w:top w:val="none" w:sz="0" w:space="0" w:color="auto"/>
            <w:left w:val="none" w:sz="0" w:space="0" w:color="auto"/>
            <w:bottom w:val="none" w:sz="0" w:space="0" w:color="auto"/>
            <w:right w:val="none" w:sz="0" w:space="0" w:color="auto"/>
          </w:divBdr>
          <w:divsChild>
            <w:div w:id="2055887747">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 w:id="1259288659">
          <w:marLeft w:val="0"/>
          <w:marRight w:val="0"/>
          <w:marTop w:val="0"/>
          <w:marBottom w:val="0"/>
          <w:divBdr>
            <w:top w:val="none" w:sz="0" w:space="0" w:color="auto"/>
            <w:left w:val="none" w:sz="0" w:space="0" w:color="auto"/>
            <w:bottom w:val="none" w:sz="0" w:space="0" w:color="auto"/>
            <w:right w:val="none" w:sz="0" w:space="0" w:color="auto"/>
          </w:divBdr>
          <w:divsChild>
            <w:div w:id="954294397">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 w:id="1381132260">
          <w:marLeft w:val="0"/>
          <w:marRight w:val="0"/>
          <w:marTop w:val="0"/>
          <w:marBottom w:val="0"/>
          <w:divBdr>
            <w:top w:val="none" w:sz="0" w:space="0" w:color="auto"/>
            <w:left w:val="none" w:sz="0" w:space="0" w:color="auto"/>
            <w:bottom w:val="none" w:sz="0" w:space="0" w:color="auto"/>
            <w:right w:val="none" w:sz="0" w:space="0" w:color="auto"/>
          </w:divBdr>
          <w:divsChild>
            <w:div w:id="1376537477">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040209244">
      <w:bodyDiv w:val="1"/>
      <w:marLeft w:val="0"/>
      <w:marRight w:val="0"/>
      <w:marTop w:val="0"/>
      <w:marBottom w:val="0"/>
      <w:divBdr>
        <w:top w:val="none" w:sz="0" w:space="0" w:color="auto"/>
        <w:left w:val="none" w:sz="0" w:space="0" w:color="auto"/>
        <w:bottom w:val="none" w:sz="0" w:space="0" w:color="auto"/>
        <w:right w:val="none" w:sz="0" w:space="0" w:color="auto"/>
      </w:divBdr>
    </w:div>
    <w:div w:id="1092972819">
      <w:bodyDiv w:val="1"/>
      <w:marLeft w:val="0"/>
      <w:marRight w:val="0"/>
      <w:marTop w:val="0"/>
      <w:marBottom w:val="0"/>
      <w:divBdr>
        <w:top w:val="none" w:sz="0" w:space="0" w:color="auto"/>
        <w:left w:val="none" w:sz="0" w:space="0" w:color="auto"/>
        <w:bottom w:val="none" w:sz="0" w:space="0" w:color="auto"/>
        <w:right w:val="none" w:sz="0" w:space="0" w:color="auto"/>
      </w:divBdr>
    </w:div>
    <w:div w:id="1104182837">
      <w:bodyDiv w:val="1"/>
      <w:marLeft w:val="0"/>
      <w:marRight w:val="0"/>
      <w:marTop w:val="0"/>
      <w:marBottom w:val="0"/>
      <w:divBdr>
        <w:top w:val="none" w:sz="0" w:space="0" w:color="auto"/>
        <w:left w:val="none" w:sz="0" w:space="0" w:color="auto"/>
        <w:bottom w:val="none" w:sz="0" w:space="0" w:color="auto"/>
        <w:right w:val="none" w:sz="0" w:space="0" w:color="auto"/>
      </w:divBdr>
    </w:div>
    <w:div w:id="1105886990">
      <w:bodyDiv w:val="1"/>
      <w:marLeft w:val="0"/>
      <w:marRight w:val="0"/>
      <w:marTop w:val="0"/>
      <w:marBottom w:val="0"/>
      <w:divBdr>
        <w:top w:val="none" w:sz="0" w:space="0" w:color="auto"/>
        <w:left w:val="none" w:sz="0" w:space="0" w:color="auto"/>
        <w:bottom w:val="none" w:sz="0" w:space="0" w:color="auto"/>
        <w:right w:val="none" w:sz="0" w:space="0" w:color="auto"/>
      </w:divBdr>
    </w:div>
    <w:div w:id="1108543937">
      <w:bodyDiv w:val="1"/>
      <w:marLeft w:val="0"/>
      <w:marRight w:val="0"/>
      <w:marTop w:val="0"/>
      <w:marBottom w:val="0"/>
      <w:divBdr>
        <w:top w:val="none" w:sz="0" w:space="0" w:color="auto"/>
        <w:left w:val="none" w:sz="0" w:space="0" w:color="auto"/>
        <w:bottom w:val="none" w:sz="0" w:space="0" w:color="auto"/>
        <w:right w:val="none" w:sz="0" w:space="0" w:color="auto"/>
      </w:divBdr>
    </w:div>
    <w:div w:id="1109425791">
      <w:bodyDiv w:val="1"/>
      <w:marLeft w:val="0"/>
      <w:marRight w:val="0"/>
      <w:marTop w:val="0"/>
      <w:marBottom w:val="0"/>
      <w:divBdr>
        <w:top w:val="none" w:sz="0" w:space="0" w:color="auto"/>
        <w:left w:val="none" w:sz="0" w:space="0" w:color="auto"/>
        <w:bottom w:val="none" w:sz="0" w:space="0" w:color="auto"/>
        <w:right w:val="none" w:sz="0" w:space="0" w:color="auto"/>
      </w:divBdr>
    </w:div>
    <w:div w:id="1115056105">
      <w:bodyDiv w:val="1"/>
      <w:marLeft w:val="0"/>
      <w:marRight w:val="0"/>
      <w:marTop w:val="0"/>
      <w:marBottom w:val="0"/>
      <w:divBdr>
        <w:top w:val="none" w:sz="0" w:space="0" w:color="auto"/>
        <w:left w:val="none" w:sz="0" w:space="0" w:color="auto"/>
        <w:bottom w:val="none" w:sz="0" w:space="0" w:color="auto"/>
        <w:right w:val="none" w:sz="0" w:space="0" w:color="auto"/>
      </w:divBdr>
    </w:div>
    <w:div w:id="1117526488">
      <w:bodyDiv w:val="1"/>
      <w:marLeft w:val="0"/>
      <w:marRight w:val="0"/>
      <w:marTop w:val="0"/>
      <w:marBottom w:val="0"/>
      <w:divBdr>
        <w:top w:val="none" w:sz="0" w:space="0" w:color="auto"/>
        <w:left w:val="none" w:sz="0" w:space="0" w:color="auto"/>
        <w:bottom w:val="none" w:sz="0" w:space="0" w:color="auto"/>
        <w:right w:val="none" w:sz="0" w:space="0" w:color="auto"/>
      </w:divBdr>
    </w:div>
    <w:div w:id="1118835080">
      <w:bodyDiv w:val="1"/>
      <w:marLeft w:val="0"/>
      <w:marRight w:val="0"/>
      <w:marTop w:val="0"/>
      <w:marBottom w:val="0"/>
      <w:divBdr>
        <w:top w:val="none" w:sz="0" w:space="0" w:color="auto"/>
        <w:left w:val="none" w:sz="0" w:space="0" w:color="auto"/>
        <w:bottom w:val="none" w:sz="0" w:space="0" w:color="auto"/>
        <w:right w:val="none" w:sz="0" w:space="0" w:color="auto"/>
      </w:divBdr>
      <w:divsChild>
        <w:div w:id="254943746">
          <w:marLeft w:val="0"/>
          <w:marRight w:val="0"/>
          <w:marTop w:val="0"/>
          <w:marBottom w:val="0"/>
          <w:divBdr>
            <w:top w:val="none" w:sz="0" w:space="0" w:color="auto"/>
            <w:left w:val="none" w:sz="0" w:space="0" w:color="auto"/>
            <w:bottom w:val="none" w:sz="0" w:space="0" w:color="auto"/>
            <w:right w:val="none" w:sz="0" w:space="0" w:color="auto"/>
          </w:divBdr>
          <w:divsChild>
            <w:div w:id="393284702">
              <w:marLeft w:val="0"/>
              <w:marRight w:val="0"/>
              <w:marTop w:val="0"/>
              <w:marBottom w:val="0"/>
              <w:divBdr>
                <w:top w:val="none" w:sz="0" w:space="0" w:color="auto"/>
                <w:left w:val="none" w:sz="0" w:space="0" w:color="auto"/>
                <w:bottom w:val="none" w:sz="0" w:space="0" w:color="auto"/>
                <w:right w:val="none" w:sz="0" w:space="0" w:color="auto"/>
              </w:divBdr>
              <w:divsChild>
                <w:div w:id="499931550">
                  <w:marLeft w:val="2928"/>
                  <w:marRight w:val="0"/>
                  <w:marTop w:val="720"/>
                  <w:marBottom w:val="0"/>
                  <w:divBdr>
                    <w:top w:val="none" w:sz="0" w:space="0" w:color="auto"/>
                    <w:left w:val="none" w:sz="0" w:space="0" w:color="auto"/>
                    <w:bottom w:val="none" w:sz="0" w:space="0" w:color="auto"/>
                    <w:right w:val="none" w:sz="0" w:space="0" w:color="auto"/>
                  </w:divBdr>
                  <w:divsChild>
                    <w:div w:id="10629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10238">
      <w:bodyDiv w:val="1"/>
      <w:marLeft w:val="0"/>
      <w:marRight w:val="0"/>
      <w:marTop w:val="0"/>
      <w:marBottom w:val="0"/>
      <w:divBdr>
        <w:top w:val="none" w:sz="0" w:space="0" w:color="auto"/>
        <w:left w:val="none" w:sz="0" w:space="0" w:color="auto"/>
        <w:bottom w:val="none" w:sz="0" w:space="0" w:color="auto"/>
        <w:right w:val="none" w:sz="0" w:space="0" w:color="auto"/>
      </w:divBdr>
      <w:divsChild>
        <w:div w:id="102893205">
          <w:marLeft w:val="0"/>
          <w:marRight w:val="0"/>
          <w:marTop w:val="0"/>
          <w:marBottom w:val="0"/>
          <w:divBdr>
            <w:top w:val="none" w:sz="0" w:space="0" w:color="auto"/>
            <w:left w:val="none" w:sz="0" w:space="0" w:color="auto"/>
            <w:bottom w:val="none" w:sz="0" w:space="0" w:color="auto"/>
            <w:right w:val="none" w:sz="0" w:space="0" w:color="auto"/>
          </w:divBdr>
        </w:div>
        <w:div w:id="171073800">
          <w:marLeft w:val="0"/>
          <w:marRight w:val="0"/>
          <w:marTop w:val="0"/>
          <w:marBottom w:val="0"/>
          <w:divBdr>
            <w:top w:val="none" w:sz="0" w:space="0" w:color="auto"/>
            <w:left w:val="none" w:sz="0" w:space="0" w:color="auto"/>
            <w:bottom w:val="none" w:sz="0" w:space="0" w:color="auto"/>
            <w:right w:val="none" w:sz="0" w:space="0" w:color="auto"/>
          </w:divBdr>
        </w:div>
        <w:div w:id="264313834">
          <w:marLeft w:val="0"/>
          <w:marRight w:val="0"/>
          <w:marTop w:val="0"/>
          <w:marBottom w:val="0"/>
          <w:divBdr>
            <w:top w:val="none" w:sz="0" w:space="0" w:color="auto"/>
            <w:left w:val="none" w:sz="0" w:space="0" w:color="auto"/>
            <w:bottom w:val="none" w:sz="0" w:space="0" w:color="auto"/>
            <w:right w:val="none" w:sz="0" w:space="0" w:color="auto"/>
          </w:divBdr>
        </w:div>
        <w:div w:id="276759276">
          <w:marLeft w:val="0"/>
          <w:marRight w:val="0"/>
          <w:marTop w:val="0"/>
          <w:marBottom w:val="0"/>
          <w:divBdr>
            <w:top w:val="none" w:sz="0" w:space="0" w:color="auto"/>
            <w:left w:val="none" w:sz="0" w:space="0" w:color="auto"/>
            <w:bottom w:val="none" w:sz="0" w:space="0" w:color="auto"/>
            <w:right w:val="none" w:sz="0" w:space="0" w:color="auto"/>
          </w:divBdr>
        </w:div>
        <w:div w:id="346293899">
          <w:marLeft w:val="0"/>
          <w:marRight w:val="0"/>
          <w:marTop w:val="0"/>
          <w:marBottom w:val="0"/>
          <w:divBdr>
            <w:top w:val="none" w:sz="0" w:space="0" w:color="auto"/>
            <w:left w:val="none" w:sz="0" w:space="0" w:color="auto"/>
            <w:bottom w:val="none" w:sz="0" w:space="0" w:color="auto"/>
            <w:right w:val="none" w:sz="0" w:space="0" w:color="auto"/>
          </w:divBdr>
        </w:div>
        <w:div w:id="351230454">
          <w:marLeft w:val="0"/>
          <w:marRight w:val="0"/>
          <w:marTop w:val="0"/>
          <w:marBottom w:val="0"/>
          <w:divBdr>
            <w:top w:val="none" w:sz="0" w:space="0" w:color="auto"/>
            <w:left w:val="none" w:sz="0" w:space="0" w:color="auto"/>
            <w:bottom w:val="none" w:sz="0" w:space="0" w:color="auto"/>
            <w:right w:val="none" w:sz="0" w:space="0" w:color="auto"/>
          </w:divBdr>
        </w:div>
        <w:div w:id="440496506">
          <w:marLeft w:val="0"/>
          <w:marRight w:val="0"/>
          <w:marTop w:val="0"/>
          <w:marBottom w:val="0"/>
          <w:divBdr>
            <w:top w:val="none" w:sz="0" w:space="0" w:color="auto"/>
            <w:left w:val="none" w:sz="0" w:space="0" w:color="auto"/>
            <w:bottom w:val="none" w:sz="0" w:space="0" w:color="auto"/>
            <w:right w:val="none" w:sz="0" w:space="0" w:color="auto"/>
          </w:divBdr>
        </w:div>
        <w:div w:id="900562232">
          <w:marLeft w:val="0"/>
          <w:marRight w:val="0"/>
          <w:marTop w:val="0"/>
          <w:marBottom w:val="0"/>
          <w:divBdr>
            <w:top w:val="none" w:sz="0" w:space="0" w:color="auto"/>
            <w:left w:val="none" w:sz="0" w:space="0" w:color="auto"/>
            <w:bottom w:val="none" w:sz="0" w:space="0" w:color="auto"/>
            <w:right w:val="none" w:sz="0" w:space="0" w:color="auto"/>
          </w:divBdr>
        </w:div>
        <w:div w:id="1140415426">
          <w:marLeft w:val="0"/>
          <w:marRight w:val="0"/>
          <w:marTop w:val="0"/>
          <w:marBottom w:val="0"/>
          <w:divBdr>
            <w:top w:val="none" w:sz="0" w:space="0" w:color="auto"/>
            <w:left w:val="none" w:sz="0" w:space="0" w:color="auto"/>
            <w:bottom w:val="none" w:sz="0" w:space="0" w:color="auto"/>
            <w:right w:val="none" w:sz="0" w:space="0" w:color="auto"/>
          </w:divBdr>
        </w:div>
        <w:div w:id="1515149775">
          <w:marLeft w:val="0"/>
          <w:marRight w:val="0"/>
          <w:marTop w:val="0"/>
          <w:marBottom w:val="0"/>
          <w:divBdr>
            <w:top w:val="none" w:sz="0" w:space="0" w:color="auto"/>
            <w:left w:val="none" w:sz="0" w:space="0" w:color="auto"/>
            <w:bottom w:val="none" w:sz="0" w:space="0" w:color="auto"/>
            <w:right w:val="none" w:sz="0" w:space="0" w:color="auto"/>
          </w:divBdr>
        </w:div>
        <w:div w:id="1553729560">
          <w:marLeft w:val="0"/>
          <w:marRight w:val="0"/>
          <w:marTop w:val="0"/>
          <w:marBottom w:val="0"/>
          <w:divBdr>
            <w:top w:val="none" w:sz="0" w:space="0" w:color="auto"/>
            <w:left w:val="none" w:sz="0" w:space="0" w:color="auto"/>
            <w:bottom w:val="none" w:sz="0" w:space="0" w:color="auto"/>
            <w:right w:val="none" w:sz="0" w:space="0" w:color="auto"/>
          </w:divBdr>
        </w:div>
        <w:div w:id="1707674151">
          <w:marLeft w:val="0"/>
          <w:marRight w:val="0"/>
          <w:marTop w:val="0"/>
          <w:marBottom w:val="0"/>
          <w:divBdr>
            <w:top w:val="none" w:sz="0" w:space="0" w:color="auto"/>
            <w:left w:val="none" w:sz="0" w:space="0" w:color="auto"/>
            <w:bottom w:val="none" w:sz="0" w:space="0" w:color="auto"/>
            <w:right w:val="none" w:sz="0" w:space="0" w:color="auto"/>
          </w:divBdr>
        </w:div>
        <w:div w:id="2130200626">
          <w:marLeft w:val="0"/>
          <w:marRight w:val="0"/>
          <w:marTop w:val="0"/>
          <w:marBottom w:val="0"/>
          <w:divBdr>
            <w:top w:val="none" w:sz="0" w:space="0" w:color="auto"/>
            <w:left w:val="none" w:sz="0" w:space="0" w:color="auto"/>
            <w:bottom w:val="none" w:sz="0" w:space="0" w:color="auto"/>
            <w:right w:val="none" w:sz="0" w:space="0" w:color="auto"/>
          </w:divBdr>
        </w:div>
        <w:div w:id="2141603940">
          <w:marLeft w:val="0"/>
          <w:marRight w:val="0"/>
          <w:marTop w:val="0"/>
          <w:marBottom w:val="0"/>
          <w:divBdr>
            <w:top w:val="none" w:sz="0" w:space="0" w:color="auto"/>
            <w:left w:val="none" w:sz="0" w:space="0" w:color="auto"/>
            <w:bottom w:val="none" w:sz="0" w:space="0" w:color="auto"/>
            <w:right w:val="none" w:sz="0" w:space="0" w:color="auto"/>
          </w:divBdr>
        </w:div>
      </w:divsChild>
    </w:div>
    <w:div w:id="1134251551">
      <w:bodyDiv w:val="1"/>
      <w:marLeft w:val="0"/>
      <w:marRight w:val="0"/>
      <w:marTop w:val="0"/>
      <w:marBottom w:val="0"/>
      <w:divBdr>
        <w:top w:val="none" w:sz="0" w:space="0" w:color="auto"/>
        <w:left w:val="none" w:sz="0" w:space="0" w:color="auto"/>
        <w:bottom w:val="none" w:sz="0" w:space="0" w:color="auto"/>
        <w:right w:val="none" w:sz="0" w:space="0" w:color="auto"/>
      </w:divBdr>
    </w:div>
    <w:div w:id="1139684203">
      <w:bodyDiv w:val="1"/>
      <w:marLeft w:val="0"/>
      <w:marRight w:val="0"/>
      <w:marTop w:val="0"/>
      <w:marBottom w:val="0"/>
      <w:divBdr>
        <w:top w:val="none" w:sz="0" w:space="0" w:color="auto"/>
        <w:left w:val="none" w:sz="0" w:space="0" w:color="auto"/>
        <w:bottom w:val="none" w:sz="0" w:space="0" w:color="auto"/>
        <w:right w:val="none" w:sz="0" w:space="0" w:color="auto"/>
      </w:divBdr>
    </w:div>
    <w:div w:id="1152334435">
      <w:bodyDiv w:val="1"/>
      <w:marLeft w:val="0"/>
      <w:marRight w:val="0"/>
      <w:marTop w:val="0"/>
      <w:marBottom w:val="0"/>
      <w:divBdr>
        <w:top w:val="none" w:sz="0" w:space="0" w:color="auto"/>
        <w:left w:val="none" w:sz="0" w:space="0" w:color="auto"/>
        <w:bottom w:val="none" w:sz="0" w:space="0" w:color="auto"/>
        <w:right w:val="none" w:sz="0" w:space="0" w:color="auto"/>
      </w:divBdr>
      <w:divsChild>
        <w:div w:id="996152743">
          <w:marLeft w:val="0"/>
          <w:marRight w:val="0"/>
          <w:marTop w:val="0"/>
          <w:marBottom w:val="0"/>
          <w:divBdr>
            <w:top w:val="none" w:sz="0" w:space="0" w:color="auto"/>
            <w:left w:val="none" w:sz="0" w:space="0" w:color="auto"/>
            <w:bottom w:val="none" w:sz="0" w:space="0" w:color="auto"/>
            <w:right w:val="none" w:sz="0" w:space="0" w:color="auto"/>
          </w:divBdr>
          <w:divsChild>
            <w:div w:id="1266572449">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184899961">
      <w:bodyDiv w:val="1"/>
      <w:marLeft w:val="0"/>
      <w:marRight w:val="0"/>
      <w:marTop w:val="0"/>
      <w:marBottom w:val="0"/>
      <w:divBdr>
        <w:top w:val="none" w:sz="0" w:space="0" w:color="auto"/>
        <w:left w:val="none" w:sz="0" w:space="0" w:color="auto"/>
        <w:bottom w:val="none" w:sz="0" w:space="0" w:color="auto"/>
        <w:right w:val="none" w:sz="0" w:space="0" w:color="auto"/>
      </w:divBdr>
    </w:div>
    <w:div w:id="1209991776">
      <w:bodyDiv w:val="1"/>
      <w:marLeft w:val="0"/>
      <w:marRight w:val="0"/>
      <w:marTop w:val="0"/>
      <w:marBottom w:val="0"/>
      <w:divBdr>
        <w:top w:val="none" w:sz="0" w:space="0" w:color="auto"/>
        <w:left w:val="none" w:sz="0" w:space="0" w:color="auto"/>
        <w:bottom w:val="none" w:sz="0" w:space="0" w:color="auto"/>
        <w:right w:val="none" w:sz="0" w:space="0" w:color="auto"/>
      </w:divBdr>
      <w:divsChild>
        <w:div w:id="1389458725">
          <w:marLeft w:val="0"/>
          <w:marRight w:val="0"/>
          <w:marTop w:val="0"/>
          <w:marBottom w:val="0"/>
          <w:divBdr>
            <w:top w:val="none" w:sz="0" w:space="0" w:color="auto"/>
            <w:left w:val="none" w:sz="0" w:space="0" w:color="auto"/>
            <w:bottom w:val="none" w:sz="0" w:space="0" w:color="auto"/>
            <w:right w:val="none" w:sz="0" w:space="0" w:color="auto"/>
          </w:divBdr>
          <w:divsChild>
            <w:div w:id="31926660">
              <w:blockQuote w:val="1"/>
              <w:marLeft w:val="300"/>
              <w:marRight w:val="0"/>
              <w:marTop w:val="0"/>
              <w:marBottom w:val="300"/>
              <w:divBdr>
                <w:top w:val="none" w:sz="0" w:space="0" w:color="auto"/>
                <w:left w:val="none" w:sz="0" w:space="0" w:color="auto"/>
                <w:bottom w:val="none" w:sz="0" w:space="0" w:color="auto"/>
                <w:right w:val="none" w:sz="0" w:space="0" w:color="auto"/>
              </w:divBdr>
            </w:div>
          </w:divsChild>
        </w:div>
        <w:div w:id="1527601041">
          <w:marLeft w:val="0"/>
          <w:marRight w:val="0"/>
          <w:marTop w:val="0"/>
          <w:marBottom w:val="0"/>
          <w:divBdr>
            <w:top w:val="none" w:sz="0" w:space="0" w:color="auto"/>
            <w:left w:val="none" w:sz="0" w:space="0" w:color="auto"/>
            <w:bottom w:val="none" w:sz="0" w:space="0" w:color="auto"/>
            <w:right w:val="none" w:sz="0" w:space="0" w:color="auto"/>
          </w:divBdr>
          <w:divsChild>
            <w:div w:id="180862241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214082773">
      <w:bodyDiv w:val="1"/>
      <w:marLeft w:val="0"/>
      <w:marRight w:val="0"/>
      <w:marTop w:val="0"/>
      <w:marBottom w:val="0"/>
      <w:divBdr>
        <w:top w:val="none" w:sz="0" w:space="0" w:color="auto"/>
        <w:left w:val="none" w:sz="0" w:space="0" w:color="auto"/>
        <w:bottom w:val="none" w:sz="0" w:space="0" w:color="auto"/>
        <w:right w:val="none" w:sz="0" w:space="0" w:color="auto"/>
      </w:divBdr>
    </w:div>
    <w:div w:id="1236474405">
      <w:bodyDiv w:val="1"/>
      <w:marLeft w:val="0"/>
      <w:marRight w:val="0"/>
      <w:marTop w:val="0"/>
      <w:marBottom w:val="0"/>
      <w:divBdr>
        <w:top w:val="none" w:sz="0" w:space="0" w:color="auto"/>
        <w:left w:val="none" w:sz="0" w:space="0" w:color="auto"/>
        <w:bottom w:val="none" w:sz="0" w:space="0" w:color="auto"/>
        <w:right w:val="none" w:sz="0" w:space="0" w:color="auto"/>
      </w:divBdr>
    </w:div>
    <w:div w:id="1263338555">
      <w:bodyDiv w:val="1"/>
      <w:marLeft w:val="0"/>
      <w:marRight w:val="0"/>
      <w:marTop w:val="0"/>
      <w:marBottom w:val="0"/>
      <w:divBdr>
        <w:top w:val="none" w:sz="0" w:space="0" w:color="auto"/>
        <w:left w:val="none" w:sz="0" w:space="0" w:color="auto"/>
        <w:bottom w:val="none" w:sz="0" w:space="0" w:color="auto"/>
        <w:right w:val="none" w:sz="0" w:space="0" w:color="auto"/>
      </w:divBdr>
    </w:div>
    <w:div w:id="1263686554">
      <w:bodyDiv w:val="1"/>
      <w:marLeft w:val="0"/>
      <w:marRight w:val="0"/>
      <w:marTop w:val="0"/>
      <w:marBottom w:val="0"/>
      <w:divBdr>
        <w:top w:val="none" w:sz="0" w:space="0" w:color="auto"/>
        <w:left w:val="none" w:sz="0" w:space="0" w:color="auto"/>
        <w:bottom w:val="none" w:sz="0" w:space="0" w:color="auto"/>
        <w:right w:val="none" w:sz="0" w:space="0" w:color="auto"/>
      </w:divBdr>
      <w:divsChild>
        <w:div w:id="1271166215">
          <w:marLeft w:val="0"/>
          <w:marRight w:val="0"/>
          <w:marTop w:val="0"/>
          <w:marBottom w:val="0"/>
          <w:divBdr>
            <w:top w:val="none" w:sz="0" w:space="0" w:color="auto"/>
            <w:left w:val="none" w:sz="0" w:space="0" w:color="auto"/>
            <w:bottom w:val="none" w:sz="0" w:space="0" w:color="auto"/>
            <w:right w:val="none" w:sz="0" w:space="0" w:color="auto"/>
          </w:divBdr>
          <w:divsChild>
            <w:div w:id="161168624">
              <w:marLeft w:val="0"/>
              <w:marRight w:val="0"/>
              <w:marTop w:val="0"/>
              <w:marBottom w:val="0"/>
              <w:divBdr>
                <w:top w:val="none" w:sz="0" w:space="0" w:color="auto"/>
                <w:left w:val="none" w:sz="0" w:space="0" w:color="auto"/>
                <w:bottom w:val="none" w:sz="0" w:space="0" w:color="auto"/>
                <w:right w:val="none" w:sz="0" w:space="0" w:color="auto"/>
              </w:divBdr>
              <w:divsChild>
                <w:div w:id="553005460">
                  <w:marLeft w:val="2794"/>
                  <w:marRight w:val="114"/>
                  <w:marTop w:val="0"/>
                  <w:marBottom w:val="0"/>
                  <w:divBdr>
                    <w:top w:val="none" w:sz="0" w:space="0" w:color="auto"/>
                    <w:left w:val="none" w:sz="0" w:space="0" w:color="auto"/>
                    <w:bottom w:val="none" w:sz="0" w:space="0" w:color="auto"/>
                    <w:right w:val="none" w:sz="0" w:space="0" w:color="auto"/>
                  </w:divBdr>
                </w:div>
              </w:divsChild>
            </w:div>
          </w:divsChild>
        </w:div>
      </w:divsChild>
    </w:div>
    <w:div w:id="1296136933">
      <w:bodyDiv w:val="1"/>
      <w:marLeft w:val="0"/>
      <w:marRight w:val="0"/>
      <w:marTop w:val="0"/>
      <w:marBottom w:val="0"/>
      <w:divBdr>
        <w:top w:val="none" w:sz="0" w:space="0" w:color="auto"/>
        <w:left w:val="none" w:sz="0" w:space="0" w:color="auto"/>
        <w:bottom w:val="none" w:sz="0" w:space="0" w:color="auto"/>
        <w:right w:val="none" w:sz="0" w:space="0" w:color="auto"/>
      </w:divBdr>
    </w:div>
    <w:div w:id="1298334998">
      <w:bodyDiv w:val="1"/>
      <w:marLeft w:val="0"/>
      <w:marRight w:val="0"/>
      <w:marTop w:val="0"/>
      <w:marBottom w:val="0"/>
      <w:divBdr>
        <w:top w:val="none" w:sz="0" w:space="0" w:color="auto"/>
        <w:left w:val="none" w:sz="0" w:space="0" w:color="auto"/>
        <w:bottom w:val="none" w:sz="0" w:space="0" w:color="auto"/>
        <w:right w:val="none" w:sz="0" w:space="0" w:color="auto"/>
      </w:divBdr>
      <w:divsChild>
        <w:div w:id="1745641397">
          <w:marLeft w:val="0"/>
          <w:marRight w:val="0"/>
          <w:marTop w:val="0"/>
          <w:marBottom w:val="0"/>
          <w:divBdr>
            <w:top w:val="none" w:sz="0" w:space="0" w:color="auto"/>
            <w:left w:val="none" w:sz="0" w:space="0" w:color="auto"/>
            <w:bottom w:val="none" w:sz="0" w:space="0" w:color="auto"/>
            <w:right w:val="none" w:sz="0" w:space="0" w:color="auto"/>
          </w:divBdr>
          <w:divsChild>
            <w:div w:id="1765178903">
              <w:marLeft w:val="0"/>
              <w:marRight w:val="0"/>
              <w:marTop w:val="0"/>
              <w:marBottom w:val="0"/>
              <w:divBdr>
                <w:top w:val="none" w:sz="0" w:space="0" w:color="auto"/>
                <w:left w:val="none" w:sz="0" w:space="0" w:color="auto"/>
                <w:bottom w:val="none" w:sz="0" w:space="0" w:color="auto"/>
                <w:right w:val="none" w:sz="0" w:space="0" w:color="auto"/>
              </w:divBdr>
              <w:divsChild>
                <w:div w:id="1675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8334">
      <w:bodyDiv w:val="1"/>
      <w:marLeft w:val="0"/>
      <w:marRight w:val="0"/>
      <w:marTop w:val="0"/>
      <w:marBottom w:val="0"/>
      <w:divBdr>
        <w:top w:val="none" w:sz="0" w:space="0" w:color="auto"/>
        <w:left w:val="none" w:sz="0" w:space="0" w:color="auto"/>
        <w:bottom w:val="none" w:sz="0" w:space="0" w:color="auto"/>
        <w:right w:val="none" w:sz="0" w:space="0" w:color="auto"/>
      </w:divBdr>
    </w:div>
    <w:div w:id="1328170806">
      <w:bodyDiv w:val="1"/>
      <w:marLeft w:val="0"/>
      <w:marRight w:val="0"/>
      <w:marTop w:val="0"/>
      <w:marBottom w:val="0"/>
      <w:divBdr>
        <w:top w:val="none" w:sz="0" w:space="0" w:color="auto"/>
        <w:left w:val="none" w:sz="0" w:space="0" w:color="auto"/>
        <w:bottom w:val="none" w:sz="0" w:space="0" w:color="auto"/>
        <w:right w:val="none" w:sz="0" w:space="0" w:color="auto"/>
      </w:divBdr>
    </w:div>
    <w:div w:id="1335113083">
      <w:bodyDiv w:val="1"/>
      <w:marLeft w:val="0"/>
      <w:marRight w:val="0"/>
      <w:marTop w:val="0"/>
      <w:marBottom w:val="0"/>
      <w:divBdr>
        <w:top w:val="none" w:sz="0" w:space="0" w:color="auto"/>
        <w:left w:val="none" w:sz="0" w:space="0" w:color="auto"/>
        <w:bottom w:val="none" w:sz="0" w:space="0" w:color="auto"/>
        <w:right w:val="none" w:sz="0" w:space="0" w:color="auto"/>
      </w:divBdr>
    </w:div>
    <w:div w:id="1347823573">
      <w:bodyDiv w:val="1"/>
      <w:marLeft w:val="0"/>
      <w:marRight w:val="0"/>
      <w:marTop w:val="0"/>
      <w:marBottom w:val="0"/>
      <w:divBdr>
        <w:top w:val="none" w:sz="0" w:space="0" w:color="auto"/>
        <w:left w:val="none" w:sz="0" w:space="0" w:color="auto"/>
        <w:bottom w:val="none" w:sz="0" w:space="0" w:color="auto"/>
        <w:right w:val="none" w:sz="0" w:space="0" w:color="auto"/>
      </w:divBdr>
    </w:div>
    <w:div w:id="1359158143">
      <w:bodyDiv w:val="1"/>
      <w:marLeft w:val="0"/>
      <w:marRight w:val="0"/>
      <w:marTop w:val="0"/>
      <w:marBottom w:val="0"/>
      <w:divBdr>
        <w:top w:val="none" w:sz="0" w:space="0" w:color="auto"/>
        <w:left w:val="none" w:sz="0" w:space="0" w:color="auto"/>
        <w:bottom w:val="none" w:sz="0" w:space="0" w:color="auto"/>
        <w:right w:val="none" w:sz="0" w:space="0" w:color="auto"/>
      </w:divBdr>
    </w:div>
    <w:div w:id="1364598198">
      <w:bodyDiv w:val="1"/>
      <w:marLeft w:val="0"/>
      <w:marRight w:val="0"/>
      <w:marTop w:val="0"/>
      <w:marBottom w:val="0"/>
      <w:divBdr>
        <w:top w:val="none" w:sz="0" w:space="0" w:color="auto"/>
        <w:left w:val="none" w:sz="0" w:space="0" w:color="auto"/>
        <w:bottom w:val="none" w:sz="0" w:space="0" w:color="auto"/>
        <w:right w:val="none" w:sz="0" w:space="0" w:color="auto"/>
      </w:divBdr>
    </w:div>
    <w:div w:id="1366446237">
      <w:bodyDiv w:val="1"/>
      <w:marLeft w:val="0"/>
      <w:marRight w:val="0"/>
      <w:marTop w:val="0"/>
      <w:marBottom w:val="0"/>
      <w:divBdr>
        <w:top w:val="none" w:sz="0" w:space="0" w:color="auto"/>
        <w:left w:val="none" w:sz="0" w:space="0" w:color="auto"/>
        <w:bottom w:val="none" w:sz="0" w:space="0" w:color="auto"/>
        <w:right w:val="none" w:sz="0" w:space="0" w:color="auto"/>
      </w:divBdr>
    </w:div>
    <w:div w:id="1371103145">
      <w:bodyDiv w:val="1"/>
      <w:marLeft w:val="0"/>
      <w:marRight w:val="0"/>
      <w:marTop w:val="0"/>
      <w:marBottom w:val="0"/>
      <w:divBdr>
        <w:top w:val="none" w:sz="0" w:space="0" w:color="auto"/>
        <w:left w:val="none" w:sz="0" w:space="0" w:color="auto"/>
        <w:bottom w:val="none" w:sz="0" w:space="0" w:color="auto"/>
        <w:right w:val="none" w:sz="0" w:space="0" w:color="auto"/>
      </w:divBdr>
      <w:divsChild>
        <w:div w:id="1895769606">
          <w:marLeft w:val="0"/>
          <w:marRight w:val="0"/>
          <w:marTop w:val="0"/>
          <w:marBottom w:val="0"/>
          <w:divBdr>
            <w:top w:val="none" w:sz="0" w:space="0" w:color="auto"/>
            <w:left w:val="none" w:sz="0" w:space="0" w:color="auto"/>
            <w:bottom w:val="none" w:sz="0" w:space="0" w:color="auto"/>
            <w:right w:val="none" w:sz="0" w:space="0" w:color="auto"/>
          </w:divBdr>
          <w:divsChild>
            <w:div w:id="1550603486">
              <w:marLeft w:val="0"/>
              <w:marRight w:val="0"/>
              <w:marTop w:val="0"/>
              <w:marBottom w:val="0"/>
              <w:divBdr>
                <w:top w:val="none" w:sz="0" w:space="0" w:color="auto"/>
                <w:left w:val="none" w:sz="0" w:space="0" w:color="auto"/>
                <w:bottom w:val="none" w:sz="0" w:space="0" w:color="auto"/>
                <w:right w:val="none" w:sz="0" w:space="0" w:color="auto"/>
              </w:divBdr>
              <w:divsChild>
                <w:div w:id="12244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39934">
      <w:bodyDiv w:val="1"/>
      <w:marLeft w:val="0"/>
      <w:marRight w:val="0"/>
      <w:marTop w:val="0"/>
      <w:marBottom w:val="0"/>
      <w:divBdr>
        <w:top w:val="none" w:sz="0" w:space="0" w:color="auto"/>
        <w:left w:val="none" w:sz="0" w:space="0" w:color="auto"/>
        <w:bottom w:val="none" w:sz="0" w:space="0" w:color="auto"/>
        <w:right w:val="none" w:sz="0" w:space="0" w:color="auto"/>
      </w:divBdr>
      <w:divsChild>
        <w:div w:id="1544901226">
          <w:marLeft w:val="0"/>
          <w:marRight w:val="0"/>
          <w:marTop w:val="0"/>
          <w:marBottom w:val="0"/>
          <w:divBdr>
            <w:top w:val="none" w:sz="0" w:space="0" w:color="auto"/>
            <w:left w:val="none" w:sz="0" w:space="0" w:color="auto"/>
            <w:bottom w:val="none" w:sz="0" w:space="0" w:color="auto"/>
            <w:right w:val="none" w:sz="0" w:space="0" w:color="auto"/>
          </w:divBdr>
          <w:divsChild>
            <w:div w:id="617219054">
              <w:marLeft w:val="0"/>
              <w:marRight w:val="0"/>
              <w:marTop w:val="0"/>
              <w:marBottom w:val="0"/>
              <w:divBdr>
                <w:top w:val="none" w:sz="0" w:space="0" w:color="auto"/>
                <w:left w:val="none" w:sz="0" w:space="0" w:color="auto"/>
                <w:bottom w:val="none" w:sz="0" w:space="0" w:color="auto"/>
                <w:right w:val="none" w:sz="0" w:space="0" w:color="auto"/>
              </w:divBdr>
              <w:divsChild>
                <w:div w:id="18430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4982">
      <w:bodyDiv w:val="1"/>
      <w:marLeft w:val="0"/>
      <w:marRight w:val="0"/>
      <w:marTop w:val="0"/>
      <w:marBottom w:val="0"/>
      <w:divBdr>
        <w:top w:val="none" w:sz="0" w:space="0" w:color="auto"/>
        <w:left w:val="none" w:sz="0" w:space="0" w:color="auto"/>
        <w:bottom w:val="none" w:sz="0" w:space="0" w:color="auto"/>
        <w:right w:val="none" w:sz="0" w:space="0" w:color="auto"/>
      </w:divBdr>
    </w:div>
    <w:div w:id="1385789778">
      <w:bodyDiv w:val="1"/>
      <w:marLeft w:val="0"/>
      <w:marRight w:val="0"/>
      <w:marTop w:val="0"/>
      <w:marBottom w:val="0"/>
      <w:divBdr>
        <w:top w:val="none" w:sz="0" w:space="0" w:color="auto"/>
        <w:left w:val="none" w:sz="0" w:space="0" w:color="auto"/>
        <w:bottom w:val="none" w:sz="0" w:space="0" w:color="auto"/>
        <w:right w:val="none" w:sz="0" w:space="0" w:color="auto"/>
      </w:divBdr>
    </w:div>
    <w:div w:id="1418138855">
      <w:bodyDiv w:val="1"/>
      <w:marLeft w:val="0"/>
      <w:marRight w:val="0"/>
      <w:marTop w:val="0"/>
      <w:marBottom w:val="0"/>
      <w:divBdr>
        <w:top w:val="none" w:sz="0" w:space="0" w:color="auto"/>
        <w:left w:val="none" w:sz="0" w:space="0" w:color="auto"/>
        <w:bottom w:val="none" w:sz="0" w:space="0" w:color="auto"/>
        <w:right w:val="none" w:sz="0" w:space="0" w:color="auto"/>
      </w:divBdr>
    </w:div>
    <w:div w:id="1421948474">
      <w:bodyDiv w:val="1"/>
      <w:marLeft w:val="0"/>
      <w:marRight w:val="0"/>
      <w:marTop w:val="0"/>
      <w:marBottom w:val="0"/>
      <w:divBdr>
        <w:top w:val="none" w:sz="0" w:space="0" w:color="auto"/>
        <w:left w:val="none" w:sz="0" w:space="0" w:color="auto"/>
        <w:bottom w:val="none" w:sz="0" w:space="0" w:color="auto"/>
        <w:right w:val="none" w:sz="0" w:space="0" w:color="auto"/>
      </w:divBdr>
    </w:div>
    <w:div w:id="1423454125">
      <w:bodyDiv w:val="1"/>
      <w:marLeft w:val="0"/>
      <w:marRight w:val="0"/>
      <w:marTop w:val="0"/>
      <w:marBottom w:val="0"/>
      <w:divBdr>
        <w:top w:val="none" w:sz="0" w:space="0" w:color="auto"/>
        <w:left w:val="none" w:sz="0" w:space="0" w:color="auto"/>
        <w:bottom w:val="none" w:sz="0" w:space="0" w:color="auto"/>
        <w:right w:val="none" w:sz="0" w:space="0" w:color="auto"/>
      </w:divBdr>
    </w:div>
    <w:div w:id="1443498739">
      <w:bodyDiv w:val="1"/>
      <w:marLeft w:val="0"/>
      <w:marRight w:val="0"/>
      <w:marTop w:val="0"/>
      <w:marBottom w:val="0"/>
      <w:divBdr>
        <w:top w:val="none" w:sz="0" w:space="0" w:color="auto"/>
        <w:left w:val="none" w:sz="0" w:space="0" w:color="auto"/>
        <w:bottom w:val="none" w:sz="0" w:space="0" w:color="auto"/>
        <w:right w:val="none" w:sz="0" w:space="0" w:color="auto"/>
      </w:divBdr>
    </w:div>
    <w:div w:id="1444300883">
      <w:bodyDiv w:val="1"/>
      <w:marLeft w:val="0"/>
      <w:marRight w:val="0"/>
      <w:marTop w:val="0"/>
      <w:marBottom w:val="0"/>
      <w:divBdr>
        <w:top w:val="none" w:sz="0" w:space="0" w:color="auto"/>
        <w:left w:val="none" w:sz="0" w:space="0" w:color="auto"/>
        <w:bottom w:val="none" w:sz="0" w:space="0" w:color="auto"/>
        <w:right w:val="none" w:sz="0" w:space="0" w:color="auto"/>
      </w:divBdr>
      <w:divsChild>
        <w:div w:id="1446344865">
          <w:marLeft w:val="0"/>
          <w:marRight w:val="0"/>
          <w:marTop w:val="0"/>
          <w:marBottom w:val="0"/>
          <w:divBdr>
            <w:top w:val="none" w:sz="0" w:space="0" w:color="auto"/>
            <w:left w:val="none" w:sz="0" w:space="0" w:color="auto"/>
            <w:bottom w:val="none" w:sz="0" w:space="0" w:color="auto"/>
            <w:right w:val="none" w:sz="0" w:space="0" w:color="auto"/>
          </w:divBdr>
          <w:divsChild>
            <w:div w:id="1009020961">
              <w:marLeft w:val="0"/>
              <w:marRight w:val="0"/>
              <w:marTop w:val="0"/>
              <w:marBottom w:val="0"/>
              <w:divBdr>
                <w:top w:val="none" w:sz="0" w:space="0" w:color="auto"/>
                <w:left w:val="none" w:sz="0" w:space="0" w:color="auto"/>
                <w:bottom w:val="none" w:sz="0" w:space="0" w:color="auto"/>
                <w:right w:val="none" w:sz="0" w:space="0" w:color="auto"/>
              </w:divBdr>
              <w:divsChild>
                <w:div w:id="9295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73184">
      <w:bodyDiv w:val="1"/>
      <w:marLeft w:val="0"/>
      <w:marRight w:val="0"/>
      <w:marTop w:val="0"/>
      <w:marBottom w:val="0"/>
      <w:divBdr>
        <w:top w:val="none" w:sz="0" w:space="0" w:color="auto"/>
        <w:left w:val="none" w:sz="0" w:space="0" w:color="auto"/>
        <w:bottom w:val="none" w:sz="0" w:space="0" w:color="auto"/>
        <w:right w:val="none" w:sz="0" w:space="0" w:color="auto"/>
      </w:divBdr>
    </w:div>
    <w:div w:id="1499005693">
      <w:bodyDiv w:val="1"/>
      <w:marLeft w:val="0"/>
      <w:marRight w:val="0"/>
      <w:marTop w:val="0"/>
      <w:marBottom w:val="0"/>
      <w:divBdr>
        <w:top w:val="none" w:sz="0" w:space="0" w:color="auto"/>
        <w:left w:val="none" w:sz="0" w:space="0" w:color="auto"/>
        <w:bottom w:val="none" w:sz="0" w:space="0" w:color="auto"/>
        <w:right w:val="none" w:sz="0" w:space="0" w:color="auto"/>
      </w:divBdr>
    </w:div>
    <w:div w:id="1540237225">
      <w:bodyDiv w:val="1"/>
      <w:marLeft w:val="0"/>
      <w:marRight w:val="0"/>
      <w:marTop w:val="0"/>
      <w:marBottom w:val="0"/>
      <w:divBdr>
        <w:top w:val="none" w:sz="0" w:space="0" w:color="auto"/>
        <w:left w:val="none" w:sz="0" w:space="0" w:color="auto"/>
        <w:bottom w:val="none" w:sz="0" w:space="0" w:color="auto"/>
        <w:right w:val="none" w:sz="0" w:space="0" w:color="auto"/>
      </w:divBdr>
      <w:divsChild>
        <w:div w:id="736976041">
          <w:marLeft w:val="0"/>
          <w:marRight w:val="0"/>
          <w:marTop w:val="0"/>
          <w:marBottom w:val="0"/>
          <w:divBdr>
            <w:top w:val="none" w:sz="0" w:space="0" w:color="auto"/>
            <w:left w:val="none" w:sz="0" w:space="0" w:color="auto"/>
            <w:bottom w:val="none" w:sz="0" w:space="0" w:color="auto"/>
            <w:right w:val="none" w:sz="0" w:space="0" w:color="auto"/>
          </w:divBdr>
          <w:divsChild>
            <w:div w:id="268779539">
              <w:marLeft w:val="0"/>
              <w:marRight w:val="0"/>
              <w:marTop w:val="0"/>
              <w:marBottom w:val="0"/>
              <w:divBdr>
                <w:top w:val="none" w:sz="0" w:space="0" w:color="auto"/>
                <w:left w:val="none" w:sz="0" w:space="0" w:color="auto"/>
                <w:bottom w:val="none" w:sz="0" w:space="0" w:color="auto"/>
                <w:right w:val="none" w:sz="0" w:space="0" w:color="auto"/>
              </w:divBdr>
              <w:divsChild>
                <w:div w:id="9715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97116">
      <w:bodyDiv w:val="1"/>
      <w:marLeft w:val="0"/>
      <w:marRight w:val="0"/>
      <w:marTop w:val="0"/>
      <w:marBottom w:val="0"/>
      <w:divBdr>
        <w:top w:val="none" w:sz="0" w:space="0" w:color="auto"/>
        <w:left w:val="none" w:sz="0" w:space="0" w:color="auto"/>
        <w:bottom w:val="none" w:sz="0" w:space="0" w:color="auto"/>
        <w:right w:val="none" w:sz="0" w:space="0" w:color="auto"/>
      </w:divBdr>
    </w:div>
    <w:div w:id="1562017320">
      <w:bodyDiv w:val="1"/>
      <w:marLeft w:val="0"/>
      <w:marRight w:val="0"/>
      <w:marTop w:val="0"/>
      <w:marBottom w:val="0"/>
      <w:divBdr>
        <w:top w:val="none" w:sz="0" w:space="0" w:color="auto"/>
        <w:left w:val="none" w:sz="0" w:space="0" w:color="auto"/>
        <w:bottom w:val="none" w:sz="0" w:space="0" w:color="auto"/>
        <w:right w:val="none" w:sz="0" w:space="0" w:color="auto"/>
      </w:divBdr>
    </w:div>
    <w:div w:id="1569993361">
      <w:bodyDiv w:val="1"/>
      <w:marLeft w:val="0"/>
      <w:marRight w:val="0"/>
      <w:marTop w:val="0"/>
      <w:marBottom w:val="0"/>
      <w:divBdr>
        <w:top w:val="none" w:sz="0" w:space="0" w:color="auto"/>
        <w:left w:val="none" w:sz="0" w:space="0" w:color="auto"/>
        <w:bottom w:val="none" w:sz="0" w:space="0" w:color="auto"/>
        <w:right w:val="none" w:sz="0" w:space="0" w:color="auto"/>
      </w:divBdr>
    </w:div>
    <w:div w:id="1577596350">
      <w:bodyDiv w:val="1"/>
      <w:marLeft w:val="0"/>
      <w:marRight w:val="0"/>
      <w:marTop w:val="0"/>
      <w:marBottom w:val="0"/>
      <w:divBdr>
        <w:top w:val="none" w:sz="0" w:space="0" w:color="auto"/>
        <w:left w:val="none" w:sz="0" w:space="0" w:color="auto"/>
        <w:bottom w:val="none" w:sz="0" w:space="0" w:color="auto"/>
        <w:right w:val="none" w:sz="0" w:space="0" w:color="auto"/>
      </w:divBdr>
    </w:div>
    <w:div w:id="1603687558">
      <w:bodyDiv w:val="1"/>
      <w:marLeft w:val="0"/>
      <w:marRight w:val="0"/>
      <w:marTop w:val="0"/>
      <w:marBottom w:val="0"/>
      <w:divBdr>
        <w:top w:val="none" w:sz="0" w:space="0" w:color="auto"/>
        <w:left w:val="none" w:sz="0" w:space="0" w:color="auto"/>
        <w:bottom w:val="none" w:sz="0" w:space="0" w:color="auto"/>
        <w:right w:val="none" w:sz="0" w:space="0" w:color="auto"/>
      </w:divBdr>
    </w:div>
    <w:div w:id="1674137537">
      <w:bodyDiv w:val="1"/>
      <w:marLeft w:val="0"/>
      <w:marRight w:val="0"/>
      <w:marTop w:val="0"/>
      <w:marBottom w:val="0"/>
      <w:divBdr>
        <w:top w:val="none" w:sz="0" w:space="0" w:color="auto"/>
        <w:left w:val="none" w:sz="0" w:space="0" w:color="auto"/>
        <w:bottom w:val="none" w:sz="0" w:space="0" w:color="auto"/>
        <w:right w:val="none" w:sz="0" w:space="0" w:color="auto"/>
      </w:divBdr>
    </w:div>
    <w:div w:id="1686707012">
      <w:bodyDiv w:val="1"/>
      <w:marLeft w:val="0"/>
      <w:marRight w:val="0"/>
      <w:marTop w:val="0"/>
      <w:marBottom w:val="0"/>
      <w:divBdr>
        <w:top w:val="none" w:sz="0" w:space="0" w:color="auto"/>
        <w:left w:val="none" w:sz="0" w:space="0" w:color="auto"/>
        <w:bottom w:val="none" w:sz="0" w:space="0" w:color="auto"/>
        <w:right w:val="none" w:sz="0" w:space="0" w:color="auto"/>
      </w:divBdr>
    </w:div>
    <w:div w:id="1721585736">
      <w:bodyDiv w:val="1"/>
      <w:marLeft w:val="0"/>
      <w:marRight w:val="0"/>
      <w:marTop w:val="0"/>
      <w:marBottom w:val="0"/>
      <w:divBdr>
        <w:top w:val="none" w:sz="0" w:space="0" w:color="auto"/>
        <w:left w:val="none" w:sz="0" w:space="0" w:color="auto"/>
        <w:bottom w:val="none" w:sz="0" w:space="0" w:color="auto"/>
        <w:right w:val="none" w:sz="0" w:space="0" w:color="auto"/>
      </w:divBdr>
    </w:div>
    <w:div w:id="1723097091">
      <w:bodyDiv w:val="1"/>
      <w:marLeft w:val="0"/>
      <w:marRight w:val="0"/>
      <w:marTop w:val="0"/>
      <w:marBottom w:val="0"/>
      <w:divBdr>
        <w:top w:val="none" w:sz="0" w:space="0" w:color="auto"/>
        <w:left w:val="none" w:sz="0" w:space="0" w:color="auto"/>
        <w:bottom w:val="none" w:sz="0" w:space="0" w:color="auto"/>
        <w:right w:val="none" w:sz="0" w:space="0" w:color="auto"/>
      </w:divBdr>
    </w:div>
    <w:div w:id="1723629016">
      <w:bodyDiv w:val="1"/>
      <w:marLeft w:val="0"/>
      <w:marRight w:val="0"/>
      <w:marTop w:val="0"/>
      <w:marBottom w:val="0"/>
      <w:divBdr>
        <w:top w:val="none" w:sz="0" w:space="0" w:color="auto"/>
        <w:left w:val="none" w:sz="0" w:space="0" w:color="auto"/>
        <w:bottom w:val="none" w:sz="0" w:space="0" w:color="auto"/>
        <w:right w:val="none" w:sz="0" w:space="0" w:color="auto"/>
      </w:divBdr>
    </w:div>
    <w:div w:id="1729062572">
      <w:bodyDiv w:val="1"/>
      <w:marLeft w:val="0"/>
      <w:marRight w:val="0"/>
      <w:marTop w:val="0"/>
      <w:marBottom w:val="0"/>
      <w:divBdr>
        <w:top w:val="none" w:sz="0" w:space="0" w:color="auto"/>
        <w:left w:val="none" w:sz="0" w:space="0" w:color="auto"/>
        <w:bottom w:val="none" w:sz="0" w:space="0" w:color="auto"/>
        <w:right w:val="none" w:sz="0" w:space="0" w:color="auto"/>
      </w:divBdr>
    </w:div>
    <w:div w:id="1735425881">
      <w:bodyDiv w:val="1"/>
      <w:marLeft w:val="0"/>
      <w:marRight w:val="0"/>
      <w:marTop w:val="0"/>
      <w:marBottom w:val="0"/>
      <w:divBdr>
        <w:top w:val="none" w:sz="0" w:space="0" w:color="auto"/>
        <w:left w:val="none" w:sz="0" w:space="0" w:color="auto"/>
        <w:bottom w:val="none" w:sz="0" w:space="0" w:color="auto"/>
        <w:right w:val="none" w:sz="0" w:space="0" w:color="auto"/>
      </w:divBdr>
    </w:div>
    <w:div w:id="1772356553">
      <w:bodyDiv w:val="1"/>
      <w:marLeft w:val="0"/>
      <w:marRight w:val="0"/>
      <w:marTop w:val="0"/>
      <w:marBottom w:val="0"/>
      <w:divBdr>
        <w:top w:val="none" w:sz="0" w:space="0" w:color="auto"/>
        <w:left w:val="none" w:sz="0" w:space="0" w:color="auto"/>
        <w:bottom w:val="none" w:sz="0" w:space="0" w:color="auto"/>
        <w:right w:val="none" w:sz="0" w:space="0" w:color="auto"/>
      </w:divBdr>
    </w:div>
    <w:div w:id="1823354003">
      <w:bodyDiv w:val="1"/>
      <w:marLeft w:val="0"/>
      <w:marRight w:val="0"/>
      <w:marTop w:val="0"/>
      <w:marBottom w:val="0"/>
      <w:divBdr>
        <w:top w:val="none" w:sz="0" w:space="0" w:color="auto"/>
        <w:left w:val="none" w:sz="0" w:space="0" w:color="auto"/>
        <w:bottom w:val="none" w:sz="0" w:space="0" w:color="auto"/>
        <w:right w:val="none" w:sz="0" w:space="0" w:color="auto"/>
      </w:divBdr>
    </w:div>
    <w:div w:id="1909996258">
      <w:bodyDiv w:val="1"/>
      <w:marLeft w:val="0"/>
      <w:marRight w:val="0"/>
      <w:marTop w:val="0"/>
      <w:marBottom w:val="0"/>
      <w:divBdr>
        <w:top w:val="none" w:sz="0" w:space="0" w:color="auto"/>
        <w:left w:val="none" w:sz="0" w:space="0" w:color="auto"/>
        <w:bottom w:val="none" w:sz="0" w:space="0" w:color="auto"/>
        <w:right w:val="none" w:sz="0" w:space="0" w:color="auto"/>
      </w:divBdr>
    </w:div>
    <w:div w:id="1910114633">
      <w:bodyDiv w:val="1"/>
      <w:marLeft w:val="0"/>
      <w:marRight w:val="0"/>
      <w:marTop w:val="0"/>
      <w:marBottom w:val="0"/>
      <w:divBdr>
        <w:top w:val="none" w:sz="0" w:space="0" w:color="auto"/>
        <w:left w:val="none" w:sz="0" w:space="0" w:color="auto"/>
        <w:bottom w:val="none" w:sz="0" w:space="0" w:color="auto"/>
        <w:right w:val="none" w:sz="0" w:space="0" w:color="auto"/>
      </w:divBdr>
    </w:div>
    <w:div w:id="1942029751">
      <w:bodyDiv w:val="1"/>
      <w:marLeft w:val="0"/>
      <w:marRight w:val="0"/>
      <w:marTop w:val="0"/>
      <w:marBottom w:val="0"/>
      <w:divBdr>
        <w:top w:val="none" w:sz="0" w:space="0" w:color="auto"/>
        <w:left w:val="none" w:sz="0" w:space="0" w:color="auto"/>
        <w:bottom w:val="none" w:sz="0" w:space="0" w:color="auto"/>
        <w:right w:val="none" w:sz="0" w:space="0" w:color="auto"/>
      </w:divBdr>
    </w:div>
    <w:div w:id="1958562577">
      <w:bodyDiv w:val="1"/>
      <w:marLeft w:val="0"/>
      <w:marRight w:val="0"/>
      <w:marTop w:val="0"/>
      <w:marBottom w:val="0"/>
      <w:divBdr>
        <w:top w:val="none" w:sz="0" w:space="0" w:color="auto"/>
        <w:left w:val="none" w:sz="0" w:space="0" w:color="auto"/>
        <w:bottom w:val="none" w:sz="0" w:space="0" w:color="auto"/>
        <w:right w:val="none" w:sz="0" w:space="0" w:color="auto"/>
      </w:divBdr>
    </w:div>
    <w:div w:id="1962035073">
      <w:bodyDiv w:val="1"/>
      <w:marLeft w:val="0"/>
      <w:marRight w:val="0"/>
      <w:marTop w:val="0"/>
      <w:marBottom w:val="0"/>
      <w:divBdr>
        <w:top w:val="none" w:sz="0" w:space="0" w:color="auto"/>
        <w:left w:val="none" w:sz="0" w:space="0" w:color="auto"/>
        <w:bottom w:val="none" w:sz="0" w:space="0" w:color="auto"/>
        <w:right w:val="none" w:sz="0" w:space="0" w:color="auto"/>
      </w:divBdr>
    </w:div>
    <w:div w:id="1974018131">
      <w:bodyDiv w:val="1"/>
      <w:marLeft w:val="0"/>
      <w:marRight w:val="0"/>
      <w:marTop w:val="0"/>
      <w:marBottom w:val="0"/>
      <w:divBdr>
        <w:top w:val="none" w:sz="0" w:space="0" w:color="auto"/>
        <w:left w:val="none" w:sz="0" w:space="0" w:color="auto"/>
        <w:bottom w:val="none" w:sz="0" w:space="0" w:color="auto"/>
        <w:right w:val="none" w:sz="0" w:space="0" w:color="auto"/>
      </w:divBdr>
    </w:div>
    <w:div w:id="1986619404">
      <w:bodyDiv w:val="1"/>
      <w:marLeft w:val="0"/>
      <w:marRight w:val="0"/>
      <w:marTop w:val="0"/>
      <w:marBottom w:val="0"/>
      <w:divBdr>
        <w:top w:val="none" w:sz="0" w:space="0" w:color="auto"/>
        <w:left w:val="none" w:sz="0" w:space="0" w:color="auto"/>
        <w:bottom w:val="none" w:sz="0" w:space="0" w:color="auto"/>
        <w:right w:val="none" w:sz="0" w:space="0" w:color="auto"/>
      </w:divBdr>
      <w:divsChild>
        <w:div w:id="1609389372">
          <w:marLeft w:val="0"/>
          <w:marRight w:val="0"/>
          <w:marTop w:val="0"/>
          <w:marBottom w:val="0"/>
          <w:divBdr>
            <w:top w:val="none" w:sz="0" w:space="0" w:color="auto"/>
            <w:left w:val="none" w:sz="0" w:space="0" w:color="auto"/>
            <w:bottom w:val="none" w:sz="0" w:space="0" w:color="auto"/>
            <w:right w:val="none" w:sz="0" w:space="0" w:color="auto"/>
          </w:divBdr>
          <w:divsChild>
            <w:div w:id="1472016680">
              <w:marLeft w:val="0"/>
              <w:marRight w:val="0"/>
              <w:marTop w:val="0"/>
              <w:marBottom w:val="0"/>
              <w:divBdr>
                <w:top w:val="none" w:sz="0" w:space="0" w:color="auto"/>
                <w:left w:val="none" w:sz="0" w:space="0" w:color="auto"/>
                <w:bottom w:val="none" w:sz="0" w:space="0" w:color="auto"/>
                <w:right w:val="none" w:sz="0" w:space="0" w:color="auto"/>
              </w:divBdr>
              <w:divsChild>
                <w:div w:id="18078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4840">
      <w:bodyDiv w:val="1"/>
      <w:marLeft w:val="0"/>
      <w:marRight w:val="0"/>
      <w:marTop w:val="0"/>
      <w:marBottom w:val="0"/>
      <w:divBdr>
        <w:top w:val="none" w:sz="0" w:space="0" w:color="auto"/>
        <w:left w:val="none" w:sz="0" w:space="0" w:color="auto"/>
        <w:bottom w:val="none" w:sz="0" w:space="0" w:color="auto"/>
        <w:right w:val="none" w:sz="0" w:space="0" w:color="auto"/>
      </w:divBdr>
    </w:div>
    <w:div w:id="2020891872">
      <w:bodyDiv w:val="1"/>
      <w:marLeft w:val="0"/>
      <w:marRight w:val="0"/>
      <w:marTop w:val="0"/>
      <w:marBottom w:val="0"/>
      <w:divBdr>
        <w:top w:val="none" w:sz="0" w:space="0" w:color="auto"/>
        <w:left w:val="none" w:sz="0" w:space="0" w:color="auto"/>
        <w:bottom w:val="none" w:sz="0" w:space="0" w:color="auto"/>
        <w:right w:val="none" w:sz="0" w:space="0" w:color="auto"/>
      </w:divBdr>
    </w:div>
    <w:div w:id="2032487923">
      <w:bodyDiv w:val="1"/>
      <w:marLeft w:val="0"/>
      <w:marRight w:val="0"/>
      <w:marTop w:val="0"/>
      <w:marBottom w:val="0"/>
      <w:divBdr>
        <w:top w:val="none" w:sz="0" w:space="0" w:color="auto"/>
        <w:left w:val="none" w:sz="0" w:space="0" w:color="auto"/>
        <w:bottom w:val="none" w:sz="0" w:space="0" w:color="auto"/>
        <w:right w:val="none" w:sz="0" w:space="0" w:color="auto"/>
      </w:divBdr>
    </w:div>
    <w:div w:id="2039575665">
      <w:bodyDiv w:val="1"/>
      <w:marLeft w:val="0"/>
      <w:marRight w:val="0"/>
      <w:marTop w:val="0"/>
      <w:marBottom w:val="0"/>
      <w:divBdr>
        <w:top w:val="none" w:sz="0" w:space="0" w:color="auto"/>
        <w:left w:val="none" w:sz="0" w:space="0" w:color="auto"/>
        <w:bottom w:val="none" w:sz="0" w:space="0" w:color="auto"/>
        <w:right w:val="none" w:sz="0" w:space="0" w:color="auto"/>
      </w:divBdr>
    </w:div>
    <w:div w:id="2064013669">
      <w:bodyDiv w:val="1"/>
      <w:marLeft w:val="0"/>
      <w:marRight w:val="0"/>
      <w:marTop w:val="0"/>
      <w:marBottom w:val="0"/>
      <w:divBdr>
        <w:top w:val="none" w:sz="0" w:space="0" w:color="auto"/>
        <w:left w:val="none" w:sz="0" w:space="0" w:color="auto"/>
        <w:bottom w:val="none" w:sz="0" w:space="0" w:color="auto"/>
        <w:right w:val="none" w:sz="0" w:space="0" w:color="auto"/>
      </w:divBdr>
    </w:div>
    <w:div w:id="2071926502">
      <w:bodyDiv w:val="1"/>
      <w:marLeft w:val="0"/>
      <w:marRight w:val="0"/>
      <w:marTop w:val="0"/>
      <w:marBottom w:val="0"/>
      <w:divBdr>
        <w:top w:val="none" w:sz="0" w:space="0" w:color="auto"/>
        <w:left w:val="none" w:sz="0" w:space="0" w:color="auto"/>
        <w:bottom w:val="none" w:sz="0" w:space="0" w:color="auto"/>
        <w:right w:val="none" w:sz="0" w:space="0" w:color="auto"/>
      </w:divBdr>
    </w:div>
    <w:div w:id="2095738067">
      <w:bodyDiv w:val="1"/>
      <w:marLeft w:val="0"/>
      <w:marRight w:val="0"/>
      <w:marTop w:val="0"/>
      <w:marBottom w:val="0"/>
      <w:divBdr>
        <w:top w:val="none" w:sz="0" w:space="0" w:color="auto"/>
        <w:left w:val="none" w:sz="0" w:space="0" w:color="auto"/>
        <w:bottom w:val="none" w:sz="0" w:space="0" w:color="auto"/>
        <w:right w:val="none" w:sz="0" w:space="0" w:color="auto"/>
      </w:divBdr>
    </w:div>
    <w:div w:id="2101871755">
      <w:bodyDiv w:val="1"/>
      <w:marLeft w:val="0"/>
      <w:marRight w:val="0"/>
      <w:marTop w:val="0"/>
      <w:marBottom w:val="0"/>
      <w:divBdr>
        <w:top w:val="none" w:sz="0" w:space="0" w:color="auto"/>
        <w:left w:val="none" w:sz="0" w:space="0" w:color="auto"/>
        <w:bottom w:val="none" w:sz="0" w:space="0" w:color="auto"/>
        <w:right w:val="none" w:sz="0" w:space="0" w:color="auto"/>
      </w:divBdr>
    </w:div>
    <w:div w:id="2119253821">
      <w:bodyDiv w:val="1"/>
      <w:marLeft w:val="0"/>
      <w:marRight w:val="0"/>
      <w:marTop w:val="0"/>
      <w:marBottom w:val="0"/>
      <w:divBdr>
        <w:top w:val="none" w:sz="0" w:space="0" w:color="auto"/>
        <w:left w:val="none" w:sz="0" w:space="0" w:color="auto"/>
        <w:bottom w:val="none" w:sz="0" w:space="0" w:color="auto"/>
        <w:right w:val="none" w:sz="0" w:space="0" w:color="auto"/>
      </w:divBdr>
      <w:divsChild>
        <w:div w:id="1645312489">
          <w:marLeft w:val="0"/>
          <w:marRight w:val="0"/>
          <w:marTop w:val="0"/>
          <w:marBottom w:val="0"/>
          <w:divBdr>
            <w:top w:val="none" w:sz="0" w:space="0" w:color="auto"/>
            <w:left w:val="none" w:sz="0" w:space="0" w:color="auto"/>
            <w:bottom w:val="none" w:sz="0" w:space="0" w:color="auto"/>
            <w:right w:val="none" w:sz="0" w:space="0" w:color="auto"/>
          </w:divBdr>
          <w:divsChild>
            <w:div w:id="434331167">
              <w:marLeft w:val="0"/>
              <w:marRight w:val="0"/>
              <w:marTop w:val="0"/>
              <w:marBottom w:val="0"/>
              <w:divBdr>
                <w:top w:val="none" w:sz="0" w:space="0" w:color="auto"/>
                <w:left w:val="none" w:sz="0" w:space="0" w:color="auto"/>
                <w:bottom w:val="none" w:sz="0" w:space="0" w:color="auto"/>
                <w:right w:val="none" w:sz="0" w:space="0" w:color="auto"/>
              </w:divBdr>
              <w:divsChild>
                <w:div w:id="8714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55985">
      <w:bodyDiv w:val="1"/>
      <w:marLeft w:val="0"/>
      <w:marRight w:val="0"/>
      <w:marTop w:val="0"/>
      <w:marBottom w:val="0"/>
      <w:divBdr>
        <w:top w:val="none" w:sz="0" w:space="0" w:color="auto"/>
        <w:left w:val="none" w:sz="0" w:space="0" w:color="auto"/>
        <w:bottom w:val="none" w:sz="0" w:space="0" w:color="auto"/>
        <w:right w:val="none" w:sz="0" w:space="0" w:color="auto"/>
      </w:divBdr>
    </w:div>
    <w:div w:id="213308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sciencedirect.com/science/article/pii/S1057521918306665" TargetMode="External"/><Relationship Id="rId26" Type="http://schemas.openxmlformats.org/officeDocument/2006/relationships/hyperlink" Target="https://www.wto.org/english/news_e/pres12_e/pr658_e.ht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doi.org/10.1016/S2212-5671(15)0101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asia.nikkei.com/Spotlight/Market-Spotlight/Why-China-s-stock-market-tumble-is-giving-India-s-a-lift" TargetMode="External"/><Relationship Id="rId29" Type="http://schemas.openxmlformats.org/officeDocument/2006/relationships/hyperlink" Target="https://www.bis.org/list/bcbs/page_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msci.com/end-of-day-data-countr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hyperlink" Target="https://www.econlib.org/library/YPDBooks/Fisher/fshToI.html"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www.msci.com/end-of-day-data-country" TargetMode="External"/><Relationship Id="rId27" Type="http://schemas.openxmlformats.org/officeDocument/2006/relationships/hyperlink" Target="http://www.jstor.org/stable/22851" TargetMode="External"/><Relationship Id="rId30" Type="http://schemas.openxmlformats.org/officeDocument/2006/relationships/hyperlink" Target="https://www.un.org/en/development/surveys/docs/worlddev200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2d2\Downloads\PB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2d2\Downloads\PB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2d2\Downloads\PB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Hrubý domácí produkt</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cs-CZ"/>
        </a:p>
      </c:txPr>
    </c:title>
    <c:autoTitleDeleted val="0"/>
    <c:plotArea>
      <c:layout/>
      <c:barChart>
        <c:barDir val="col"/>
        <c:grouping val="clustered"/>
        <c:varyColors val="0"/>
        <c:ser>
          <c:idx val="0"/>
          <c:order val="0"/>
          <c:tx>
            <c:strRef>
              <c:f>Лист1!$D$5</c:f>
              <c:strCache>
                <c:ptCount val="1"/>
                <c:pt idx="0">
                  <c:v>2009</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Лист1!$D$6:$D$21</c:f>
              <c:numCache>
                <c:formatCode>General</c:formatCode>
                <c:ptCount val="16"/>
                <c:pt idx="0">
                  <c:v>-2.6</c:v>
                </c:pt>
                <c:pt idx="1">
                  <c:v>-3.6</c:v>
                </c:pt>
                <c:pt idx="2">
                  <c:v>-3.5</c:v>
                </c:pt>
                <c:pt idx="3">
                  <c:v>-0.3</c:v>
                </c:pt>
                <c:pt idx="4">
                  <c:v>-4.0999999999999996</c:v>
                </c:pt>
                <c:pt idx="5">
                  <c:v>-4.3</c:v>
                </c:pt>
                <c:pt idx="6">
                  <c:v>-6.9</c:v>
                </c:pt>
                <c:pt idx="7">
                  <c:v>2.2000000000000002</c:v>
                </c:pt>
                <c:pt idx="8">
                  <c:v>1</c:v>
                </c:pt>
                <c:pt idx="9">
                  <c:v>-0.1</c:v>
                </c:pt>
                <c:pt idx="10">
                  <c:v>9.1999999999999993</c:v>
                </c:pt>
                <c:pt idx="11">
                  <c:v>-6.3</c:v>
                </c:pt>
                <c:pt idx="12">
                  <c:v>6.8</c:v>
                </c:pt>
                <c:pt idx="13">
                  <c:v>-0.6</c:v>
                </c:pt>
                <c:pt idx="14">
                  <c:v>-4.0999999999999996</c:v>
                </c:pt>
                <c:pt idx="15">
                  <c:v>2.2000000000000002</c:v>
                </c:pt>
              </c:numCache>
            </c:numRef>
          </c:val>
          <c:extLst>
            <c:ext xmlns:c16="http://schemas.microsoft.com/office/drawing/2014/chart" uri="{C3380CC4-5D6E-409C-BE32-E72D297353CC}">
              <c16:uniqueId val="{00000000-FB70-8046-A557-C12D21E22EBC}"/>
            </c:ext>
          </c:extLst>
        </c:ser>
        <c:ser>
          <c:idx val="1"/>
          <c:order val="1"/>
          <c:tx>
            <c:strRef>
              <c:f>Лист1!$E$5</c:f>
              <c:strCache>
                <c:ptCount val="1"/>
                <c:pt idx="0">
                  <c:v>2010</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Лист1!$E$6:$E$21</c:f>
              <c:numCache>
                <c:formatCode>General</c:formatCode>
                <c:ptCount val="16"/>
                <c:pt idx="0">
                  <c:v>3.8</c:v>
                </c:pt>
                <c:pt idx="1">
                  <c:v>3.2</c:v>
                </c:pt>
                <c:pt idx="2">
                  <c:v>3</c:v>
                </c:pt>
                <c:pt idx="3">
                  <c:v>6.1</c:v>
                </c:pt>
                <c:pt idx="4">
                  <c:v>2.2000000000000002</c:v>
                </c:pt>
                <c:pt idx="5">
                  <c:v>2.1</c:v>
                </c:pt>
                <c:pt idx="6">
                  <c:v>4.7</c:v>
                </c:pt>
                <c:pt idx="7">
                  <c:v>4.5999999999999996</c:v>
                </c:pt>
                <c:pt idx="8">
                  <c:v>4.5</c:v>
                </c:pt>
                <c:pt idx="9">
                  <c:v>6.4</c:v>
                </c:pt>
                <c:pt idx="10">
                  <c:v>10.4</c:v>
                </c:pt>
                <c:pt idx="11">
                  <c:v>4</c:v>
                </c:pt>
                <c:pt idx="12">
                  <c:v>10.1</c:v>
                </c:pt>
                <c:pt idx="13">
                  <c:v>8</c:v>
                </c:pt>
                <c:pt idx="14">
                  <c:v>2.9</c:v>
                </c:pt>
                <c:pt idx="15">
                  <c:v>7.2</c:v>
                </c:pt>
              </c:numCache>
            </c:numRef>
          </c:val>
          <c:extLst>
            <c:ext xmlns:c16="http://schemas.microsoft.com/office/drawing/2014/chart" uri="{C3380CC4-5D6E-409C-BE32-E72D297353CC}">
              <c16:uniqueId val="{00000001-FB70-8046-A557-C12D21E22EBC}"/>
            </c:ext>
          </c:extLst>
        </c:ser>
        <c:ser>
          <c:idx val="2"/>
          <c:order val="2"/>
          <c:tx>
            <c:strRef>
              <c:f>Лист1!$F$5</c:f>
              <c:strCache>
                <c:ptCount val="1"/>
                <c:pt idx="0">
                  <c:v>2011</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Лист1!$F$6:$F$21</c:f>
              <c:numCache>
                <c:formatCode>General</c:formatCode>
                <c:ptCount val="16"/>
                <c:pt idx="0">
                  <c:v>2.4</c:v>
                </c:pt>
                <c:pt idx="1">
                  <c:v>1.9</c:v>
                </c:pt>
                <c:pt idx="2">
                  <c:v>1.7</c:v>
                </c:pt>
                <c:pt idx="3">
                  <c:v>4.5</c:v>
                </c:pt>
                <c:pt idx="4">
                  <c:v>1.7</c:v>
                </c:pt>
                <c:pt idx="5">
                  <c:v>1.5</c:v>
                </c:pt>
                <c:pt idx="6">
                  <c:v>4.5999999999999996</c:v>
                </c:pt>
                <c:pt idx="7">
                  <c:v>2.2999999999999998</c:v>
                </c:pt>
                <c:pt idx="8">
                  <c:v>4.9000000000000004</c:v>
                </c:pt>
                <c:pt idx="9">
                  <c:v>3.5</c:v>
                </c:pt>
                <c:pt idx="10">
                  <c:v>9.1999999999999993</c:v>
                </c:pt>
                <c:pt idx="11">
                  <c:v>-0.5</c:v>
                </c:pt>
                <c:pt idx="12">
                  <c:v>7.8</c:v>
                </c:pt>
                <c:pt idx="13">
                  <c:v>4.2</c:v>
                </c:pt>
                <c:pt idx="14">
                  <c:v>1.5</c:v>
                </c:pt>
                <c:pt idx="15">
                  <c:v>5.7</c:v>
                </c:pt>
              </c:numCache>
            </c:numRef>
          </c:val>
          <c:extLst>
            <c:ext xmlns:c16="http://schemas.microsoft.com/office/drawing/2014/chart" uri="{C3380CC4-5D6E-409C-BE32-E72D297353CC}">
              <c16:uniqueId val="{00000002-FB70-8046-A557-C12D21E22EBC}"/>
            </c:ext>
          </c:extLst>
        </c:ser>
        <c:dLbls>
          <c:showLegendKey val="0"/>
          <c:showVal val="0"/>
          <c:showCatName val="0"/>
          <c:showSerName val="0"/>
          <c:showPercent val="0"/>
          <c:showBubbleSize val="0"/>
        </c:dLbls>
        <c:gapWidth val="315"/>
        <c:overlap val="-40"/>
        <c:axId val="1404822319"/>
        <c:axId val="1404823967"/>
      </c:barChart>
      <c:catAx>
        <c:axId val="1404822319"/>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4823967"/>
        <c:crosses val="autoZero"/>
        <c:auto val="1"/>
        <c:lblAlgn val="ctr"/>
        <c:lblOffset val="100"/>
        <c:noMultiLvlLbl val="0"/>
      </c:catAx>
      <c:valAx>
        <c:axId val="140482396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4822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Vývoz</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Лист1!$G$5</c:f>
              <c:strCache>
                <c:ptCount val="1"/>
                <c:pt idx="0">
                  <c:v>2009</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Лист1!$G$6:$G$21</c:f>
              <c:numCache>
                <c:formatCode>General</c:formatCode>
                <c:ptCount val="16"/>
                <c:pt idx="0">
                  <c:v>-12</c:v>
                </c:pt>
                <c:pt idx="1">
                  <c:v>-14.8</c:v>
                </c:pt>
                <c:pt idx="2">
                  <c:v>-14</c:v>
                </c:pt>
                <c:pt idx="3">
                  <c:v>-8.1</c:v>
                </c:pt>
                <c:pt idx="4">
                  <c:v>-14.1</c:v>
                </c:pt>
                <c:pt idx="5">
                  <c:v>-14.5</c:v>
                </c:pt>
                <c:pt idx="6">
                  <c:v>-4.8</c:v>
                </c:pt>
                <c:pt idx="7">
                  <c:v>-3.7</c:v>
                </c:pt>
                <c:pt idx="8">
                  <c:v>-4.5999999999999996</c:v>
                </c:pt>
                <c:pt idx="9">
                  <c:v>-11.4</c:v>
                </c:pt>
                <c:pt idx="10">
                  <c:v>-10.5</c:v>
                </c:pt>
                <c:pt idx="11">
                  <c:v>-24.9</c:v>
                </c:pt>
                <c:pt idx="12">
                  <c:v>-6</c:v>
                </c:pt>
                <c:pt idx="13">
                  <c:v>-5.7</c:v>
                </c:pt>
                <c:pt idx="14">
                  <c:v>-15.1</c:v>
                </c:pt>
                <c:pt idx="15">
                  <c:v>-7.4</c:v>
                </c:pt>
              </c:numCache>
            </c:numRef>
          </c:val>
          <c:extLst>
            <c:ext xmlns:c16="http://schemas.microsoft.com/office/drawing/2014/chart" uri="{C3380CC4-5D6E-409C-BE32-E72D297353CC}">
              <c16:uniqueId val="{00000000-93FB-8641-85DF-EFE6711AFDBD}"/>
            </c:ext>
          </c:extLst>
        </c:ser>
        <c:ser>
          <c:idx val="1"/>
          <c:order val="1"/>
          <c:tx>
            <c:strRef>
              <c:f>Лист1!$H$5</c:f>
              <c:strCache>
                <c:ptCount val="1"/>
                <c:pt idx="0">
                  <c:v>2010</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Лист1!$H$6:$H$21</c:f>
              <c:numCache>
                <c:formatCode>General</c:formatCode>
                <c:ptCount val="16"/>
                <c:pt idx="0">
                  <c:v>13.8</c:v>
                </c:pt>
                <c:pt idx="1">
                  <c:v>14.9</c:v>
                </c:pt>
                <c:pt idx="2">
                  <c:v>15.4</c:v>
                </c:pt>
                <c:pt idx="3">
                  <c:v>5.6</c:v>
                </c:pt>
                <c:pt idx="4">
                  <c:v>10.9</c:v>
                </c:pt>
                <c:pt idx="5">
                  <c:v>11.5</c:v>
                </c:pt>
                <c:pt idx="6">
                  <c:v>6</c:v>
                </c:pt>
                <c:pt idx="7">
                  <c:v>3</c:v>
                </c:pt>
                <c:pt idx="8">
                  <c:v>6.5</c:v>
                </c:pt>
                <c:pt idx="9">
                  <c:v>22.7</c:v>
                </c:pt>
                <c:pt idx="10">
                  <c:v>28.4</c:v>
                </c:pt>
                <c:pt idx="11">
                  <c:v>27.5</c:v>
                </c:pt>
                <c:pt idx="12">
                  <c:v>22</c:v>
                </c:pt>
                <c:pt idx="13">
                  <c:v>20.9</c:v>
                </c:pt>
                <c:pt idx="14">
                  <c:v>13</c:v>
                </c:pt>
                <c:pt idx="15">
                  <c:v>14.9</c:v>
                </c:pt>
              </c:numCache>
            </c:numRef>
          </c:val>
          <c:extLst>
            <c:ext xmlns:c16="http://schemas.microsoft.com/office/drawing/2014/chart" uri="{C3380CC4-5D6E-409C-BE32-E72D297353CC}">
              <c16:uniqueId val="{00000001-93FB-8641-85DF-EFE6711AFDBD}"/>
            </c:ext>
          </c:extLst>
        </c:ser>
        <c:ser>
          <c:idx val="2"/>
          <c:order val="2"/>
          <c:tx>
            <c:strRef>
              <c:f>Лист1!$I$5</c:f>
              <c:strCache>
                <c:ptCount val="1"/>
                <c:pt idx="0">
                  <c:v>2011</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Лист1!$I$6:$I$21</c:f>
              <c:numCache>
                <c:formatCode>General</c:formatCode>
                <c:ptCount val="16"/>
                <c:pt idx="0">
                  <c:v>5</c:v>
                </c:pt>
                <c:pt idx="1">
                  <c:v>6.2</c:v>
                </c:pt>
                <c:pt idx="2">
                  <c:v>7.2</c:v>
                </c:pt>
                <c:pt idx="3">
                  <c:v>5.3</c:v>
                </c:pt>
                <c:pt idx="4">
                  <c:v>5</c:v>
                </c:pt>
                <c:pt idx="5">
                  <c:v>5.2</c:v>
                </c:pt>
                <c:pt idx="6">
                  <c:v>1.8</c:v>
                </c:pt>
                <c:pt idx="7">
                  <c:v>-8.3000000000000007</c:v>
                </c:pt>
                <c:pt idx="8">
                  <c:v>5.4</c:v>
                </c:pt>
                <c:pt idx="9">
                  <c:v>6.6</c:v>
                </c:pt>
                <c:pt idx="10">
                  <c:v>9.3000000000000007</c:v>
                </c:pt>
                <c:pt idx="11">
                  <c:v>-0.5</c:v>
                </c:pt>
                <c:pt idx="12">
                  <c:v>16.100000000000001</c:v>
                </c:pt>
                <c:pt idx="13">
                  <c:v>6</c:v>
                </c:pt>
                <c:pt idx="14">
                  <c:v>4.7</c:v>
                </c:pt>
                <c:pt idx="15">
                  <c:v>5.4</c:v>
                </c:pt>
              </c:numCache>
            </c:numRef>
          </c:val>
          <c:extLst>
            <c:ext xmlns:c16="http://schemas.microsoft.com/office/drawing/2014/chart" uri="{C3380CC4-5D6E-409C-BE32-E72D297353CC}">
              <c16:uniqueId val="{00000002-93FB-8641-85DF-EFE6711AFDBD}"/>
            </c:ext>
          </c:extLst>
        </c:ser>
        <c:dLbls>
          <c:showLegendKey val="0"/>
          <c:showVal val="0"/>
          <c:showCatName val="0"/>
          <c:showSerName val="0"/>
          <c:showPercent val="0"/>
          <c:showBubbleSize val="0"/>
        </c:dLbls>
        <c:gapWidth val="315"/>
        <c:overlap val="-40"/>
        <c:axId val="1408251583"/>
        <c:axId val="1406961087"/>
      </c:barChart>
      <c:catAx>
        <c:axId val="1408251583"/>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6961087"/>
        <c:crosses val="autoZero"/>
        <c:auto val="1"/>
        <c:lblAlgn val="ctr"/>
        <c:lblOffset val="100"/>
        <c:noMultiLvlLbl val="0"/>
      </c:catAx>
      <c:valAx>
        <c:axId val="140696108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82515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Dovoz</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cs-CZ"/>
        </a:p>
      </c:txPr>
    </c:title>
    <c:autoTitleDeleted val="0"/>
    <c:plotArea>
      <c:layout/>
      <c:barChart>
        <c:barDir val="col"/>
        <c:grouping val="clustered"/>
        <c:varyColors val="0"/>
        <c:ser>
          <c:idx val="0"/>
          <c:order val="0"/>
          <c:tx>
            <c:strRef>
              <c:f>Лист1!$J$5</c:f>
              <c:strCache>
                <c:ptCount val="1"/>
                <c:pt idx="0">
                  <c:v>2009</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Лист1!$J$6:$J$21</c:f>
              <c:numCache>
                <c:formatCode>General</c:formatCode>
                <c:ptCount val="16"/>
                <c:pt idx="0">
                  <c:v>-12.9</c:v>
                </c:pt>
                <c:pt idx="1">
                  <c:v>-16.600000000000001</c:v>
                </c:pt>
                <c:pt idx="2">
                  <c:v>-16.399999999999999</c:v>
                </c:pt>
                <c:pt idx="3">
                  <c:v>-16.5</c:v>
                </c:pt>
                <c:pt idx="4">
                  <c:v>-14.1</c:v>
                </c:pt>
                <c:pt idx="5">
                  <c:v>-14.1</c:v>
                </c:pt>
                <c:pt idx="6">
                  <c:v>-28</c:v>
                </c:pt>
                <c:pt idx="7">
                  <c:v>-5.0999999999999996</c:v>
                </c:pt>
                <c:pt idx="8">
                  <c:v>-7.7</c:v>
                </c:pt>
                <c:pt idx="9">
                  <c:v>-7.7</c:v>
                </c:pt>
                <c:pt idx="10">
                  <c:v>2.9</c:v>
                </c:pt>
                <c:pt idx="11">
                  <c:v>-12.2</c:v>
                </c:pt>
                <c:pt idx="12">
                  <c:v>3.6</c:v>
                </c:pt>
                <c:pt idx="13">
                  <c:v>-11.4</c:v>
                </c:pt>
                <c:pt idx="14">
                  <c:v>-14.4</c:v>
                </c:pt>
                <c:pt idx="15">
                  <c:v>-10.5</c:v>
                </c:pt>
              </c:numCache>
            </c:numRef>
          </c:val>
          <c:extLst>
            <c:ext xmlns:c16="http://schemas.microsoft.com/office/drawing/2014/chart" uri="{C3380CC4-5D6E-409C-BE32-E72D297353CC}">
              <c16:uniqueId val="{00000000-73B2-F546-BA60-CA5D3EFFD1A8}"/>
            </c:ext>
          </c:extLst>
        </c:ser>
        <c:ser>
          <c:idx val="1"/>
          <c:order val="1"/>
          <c:tx>
            <c:strRef>
              <c:f>Лист1!$K$5</c:f>
              <c:strCache>
                <c:ptCount val="1"/>
                <c:pt idx="0">
                  <c:v>2010</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Лист1!$K$6:$K$21</c:f>
              <c:numCache>
                <c:formatCode>General</c:formatCode>
                <c:ptCount val="16"/>
                <c:pt idx="0">
                  <c:v>13.7</c:v>
                </c:pt>
                <c:pt idx="1">
                  <c:v>15.7</c:v>
                </c:pt>
                <c:pt idx="2">
                  <c:v>14.8</c:v>
                </c:pt>
                <c:pt idx="3">
                  <c:v>22.9</c:v>
                </c:pt>
                <c:pt idx="4">
                  <c:v>9.6999999999999993</c:v>
                </c:pt>
                <c:pt idx="5">
                  <c:v>9.5</c:v>
                </c:pt>
                <c:pt idx="6">
                  <c:v>18.600000000000001</c:v>
                </c:pt>
                <c:pt idx="7">
                  <c:v>7.3</c:v>
                </c:pt>
                <c:pt idx="8">
                  <c:v>7.5</c:v>
                </c:pt>
                <c:pt idx="9">
                  <c:v>18.2</c:v>
                </c:pt>
                <c:pt idx="10">
                  <c:v>22.1</c:v>
                </c:pt>
                <c:pt idx="11">
                  <c:v>10.1</c:v>
                </c:pt>
                <c:pt idx="12">
                  <c:v>22.7</c:v>
                </c:pt>
                <c:pt idx="13">
                  <c:v>17.899999999999999</c:v>
                </c:pt>
                <c:pt idx="14">
                  <c:v>10.9</c:v>
                </c:pt>
                <c:pt idx="15">
                  <c:v>18.100000000000001</c:v>
                </c:pt>
              </c:numCache>
            </c:numRef>
          </c:val>
          <c:extLst>
            <c:ext xmlns:c16="http://schemas.microsoft.com/office/drawing/2014/chart" uri="{C3380CC4-5D6E-409C-BE32-E72D297353CC}">
              <c16:uniqueId val="{00000001-73B2-F546-BA60-CA5D3EFFD1A8}"/>
            </c:ext>
          </c:extLst>
        </c:ser>
        <c:ser>
          <c:idx val="2"/>
          <c:order val="2"/>
          <c:tx>
            <c:strRef>
              <c:f>Лист1!$L$5</c:f>
              <c:strCache>
                <c:ptCount val="1"/>
                <c:pt idx="0">
                  <c:v>2011</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Лист1!$C$6:$C$21</c:f>
              <c:strCache>
                <c:ptCount val="16"/>
                <c:pt idx="0">
                  <c:v>Svět</c:v>
                </c:pt>
                <c:pt idx="1">
                  <c:v>Severní Amerika</c:v>
                </c:pt>
                <c:pt idx="2">
                  <c:v>USA</c:v>
                </c:pt>
                <c:pt idx="3">
                  <c:v>Jižní a Střední Amerika</c:v>
                </c:pt>
                <c:pt idx="4">
                  <c:v>Evropa</c:v>
                </c:pt>
                <c:pt idx="5">
                  <c:v>Evropská Unie</c:v>
                </c:pt>
                <c:pt idx="6">
                  <c:v>Svaz nezávislých států (SNS)</c:v>
                </c:pt>
                <c:pt idx="7">
                  <c:v>Afrika</c:v>
                </c:pt>
                <c:pt idx="8">
                  <c:v>Blízký východ</c:v>
                </c:pt>
                <c:pt idx="9">
                  <c:v>Asia</c:v>
                </c:pt>
                <c:pt idx="10">
                  <c:v>Čína</c:v>
                </c:pt>
                <c:pt idx="11">
                  <c:v>Japonsko</c:v>
                </c:pt>
                <c:pt idx="12">
                  <c:v>Indie</c:v>
                </c:pt>
                <c:pt idx="13">
                  <c:v>Nově industrializované ekonomiky</c:v>
                </c:pt>
                <c:pt idx="14">
                  <c:v>Vysoce rozvinuté ekonomiky</c:v>
                </c:pt>
                <c:pt idx="15">
                  <c:v>Rozvíjející se ekonomiky a SNS</c:v>
                </c:pt>
              </c:strCache>
            </c:strRef>
          </c:cat>
          <c:val>
            <c:numRef>
              <c:f>Лист1!$L$6:$L$21</c:f>
              <c:numCache>
                <c:formatCode>General</c:formatCode>
                <c:ptCount val="16"/>
                <c:pt idx="0">
                  <c:v>4.9000000000000004</c:v>
                </c:pt>
                <c:pt idx="1">
                  <c:v>4.7</c:v>
                </c:pt>
                <c:pt idx="2">
                  <c:v>3.7</c:v>
                </c:pt>
                <c:pt idx="3">
                  <c:v>10.4</c:v>
                </c:pt>
                <c:pt idx="4">
                  <c:v>2.4</c:v>
                </c:pt>
                <c:pt idx="5">
                  <c:v>2</c:v>
                </c:pt>
                <c:pt idx="6">
                  <c:v>16.7</c:v>
                </c:pt>
                <c:pt idx="7">
                  <c:v>5</c:v>
                </c:pt>
                <c:pt idx="8">
                  <c:v>5.3</c:v>
                </c:pt>
                <c:pt idx="9">
                  <c:v>6.4</c:v>
                </c:pt>
                <c:pt idx="10">
                  <c:v>9.6999999999999993</c:v>
                </c:pt>
                <c:pt idx="11">
                  <c:v>1.9</c:v>
                </c:pt>
                <c:pt idx="12">
                  <c:v>6.6</c:v>
                </c:pt>
                <c:pt idx="13">
                  <c:v>2</c:v>
                </c:pt>
                <c:pt idx="14">
                  <c:v>2.8</c:v>
                </c:pt>
                <c:pt idx="15">
                  <c:v>7.9</c:v>
                </c:pt>
              </c:numCache>
            </c:numRef>
          </c:val>
          <c:extLst>
            <c:ext xmlns:c16="http://schemas.microsoft.com/office/drawing/2014/chart" uri="{C3380CC4-5D6E-409C-BE32-E72D297353CC}">
              <c16:uniqueId val="{00000002-73B2-F546-BA60-CA5D3EFFD1A8}"/>
            </c:ext>
          </c:extLst>
        </c:ser>
        <c:dLbls>
          <c:showLegendKey val="0"/>
          <c:showVal val="0"/>
          <c:showCatName val="0"/>
          <c:showSerName val="0"/>
          <c:showPercent val="0"/>
          <c:showBubbleSize val="0"/>
        </c:dLbls>
        <c:gapWidth val="315"/>
        <c:overlap val="-40"/>
        <c:axId val="1404647807"/>
        <c:axId val="1404903695"/>
      </c:barChart>
      <c:catAx>
        <c:axId val="140464780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4903695"/>
        <c:crosses val="autoZero"/>
        <c:auto val="1"/>
        <c:lblAlgn val="ctr"/>
        <c:lblOffset val="100"/>
        <c:noMultiLvlLbl val="0"/>
      </c:catAx>
      <c:valAx>
        <c:axId val="1404903695"/>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crossAx val="14046478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DD46-FB2F-E748-A33D-D1385E2B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16221</Words>
  <Characters>95707</Characters>
  <Application>Microsoft Office Word</Application>
  <DocSecurity>0</DocSecurity>
  <Lines>797</Lines>
  <Paragraphs>223</Paragraphs>
  <ScaleCrop>false</ScaleCrop>
  <HeadingPairs>
    <vt:vector size="6" baseType="variant">
      <vt:variant>
        <vt:lpstr>Název</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111705</CharactersWithSpaces>
  <SharedDoc>false</SharedDoc>
  <HyperlinkBase/>
  <HLinks>
    <vt:vector size="132" baseType="variant">
      <vt:variant>
        <vt:i4>1572919</vt:i4>
      </vt:variant>
      <vt:variant>
        <vt:i4>167</vt:i4>
      </vt:variant>
      <vt:variant>
        <vt:i4>0</vt:i4>
      </vt:variant>
      <vt:variant>
        <vt:i4>5</vt:i4>
      </vt:variant>
      <vt:variant>
        <vt:lpwstr/>
      </vt:variant>
      <vt:variant>
        <vt:lpwstr>_Toc435779123</vt:lpwstr>
      </vt:variant>
      <vt:variant>
        <vt:i4>1572919</vt:i4>
      </vt:variant>
      <vt:variant>
        <vt:i4>161</vt:i4>
      </vt:variant>
      <vt:variant>
        <vt:i4>0</vt:i4>
      </vt:variant>
      <vt:variant>
        <vt:i4>5</vt:i4>
      </vt:variant>
      <vt:variant>
        <vt:lpwstr/>
      </vt:variant>
      <vt:variant>
        <vt:lpwstr>_Toc435779122</vt:lpwstr>
      </vt:variant>
      <vt:variant>
        <vt:i4>1572919</vt:i4>
      </vt:variant>
      <vt:variant>
        <vt:i4>155</vt:i4>
      </vt:variant>
      <vt:variant>
        <vt:i4>0</vt:i4>
      </vt:variant>
      <vt:variant>
        <vt:i4>5</vt:i4>
      </vt:variant>
      <vt:variant>
        <vt:lpwstr/>
      </vt:variant>
      <vt:variant>
        <vt:lpwstr>_Toc435779121</vt:lpwstr>
      </vt:variant>
      <vt:variant>
        <vt:i4>1572919</vt:i4>
      </vt:variant>
      <vt:variant>
        <vt:i4>149</vt:i4>
      </vt:variant>
      <vt:variant>
        <vt:i4>0</vt:i4>
      </vt:variant>
      <vt:variant>
        <vt:i4>5</vt:i4>
      </vt:variant>
      <vt:variant>
        <vt:lpwstr/>
      </vt:variant>
      <vt:variant>
        <vt:lpwstr>_Toc435779120</vt:lpwstr>
      </vt:variant>
      <vt:variant>
        <vt:i4>1769527</vt:i4>
      </vt:variant>
      <vt:variant>
        <vt:i4>143</vt:i4>
      </vt:variant>
      <vt:variant>
        <vt:i4>0</vt:i4>
      </vt:variant>
      <vt:variant>
        <vt:i4>5</vt:i4>
      </vt:variant>
      <vt:variant>
        <vt:lpwstr/>
      </vt:variant>
      <vt:variant>
        <vt:lpwstr>_Toc435779119</vt:lpwstr>
      </vt:variant>
      <vt:variant>
        <vt:i4>1769527</vt:i4>
      </vt:variant>
      <vt:variant>
        <vt:i4>137</vt:i4>
      </vt:variant>
      <vt:variant>
        <vt:i4>0</vt:i4>
      </vt:variant>
      <vt:variant>
        <vt:i4>5</vt:i4>
      </vt:variant>
      <vt:variant>
        <vt:lpwstr/>
      </vt:variant>
      <vt:variant>
        <vt:lpwstr>_Toc435779118</vt:lpwstr>
      </vt:variant>
      <vt:variant>
        <vt:i4>1769527</vt:i4>
      </vt:variant>
      <vt:variant>
        <vt:i4>131</vt:i4>
      </vt:variant>
      <vt:variant>
        <vt:i4>0</vt:i4>
      </vt:variant>
      <vt:variant>
        <vt:i4>5</vt:i4>
      </vt:variant>
      <vt:variant>
        <vt:lpwstr/>
      </vt:variant>
      <vt:variant>
        <vt:lpwstr>_Toc435779117</vt:lpwstr>
      </vt:variant>
      <vt:variant>
        <vt:i4>1769527</vt:i4>
      </vt:variant>
      <vt:variant>
        <vt:i4>125</vt:i4>
      </vt:variant>
      <vt:variant>
        <vt:i4>0</vt:i4>
      </vt:variant>
      <vt:variant>
        <vt:i4>5</vt:i4>
      </vt:variant>
      <vt:variant>
        <vt:lpwstr/>
      </vt:variant>
      <vt:variant>
        <vt:lpwstr>_Toc435779116</vt:lpwstr>
      </vt:variant>
      <vt:variant>
        <vt:i4>1769527</vt:i4>
      </vt:variant>
      <vt:variant>
        <vt:i4>119</vt:i4>
      </vt:variant>
      <vt:variant>
        <vt:i4>0</vt:i4>
      </vt:variant>
      <vt:variant>
        <vt:i4>5</vt:i4>
      </vt:variant>
      <vt:variant>
        <vt:lpwstr/>
      </vt:variant>
      <vt:variant>
        <vt:lpwstr>_Toc435779115</vt:lpwstr>
      </vt:variant>
      <vt:variant>
        <vt:i4>1769527</vt:i4>
      </vt:variant>
      <vt:variant>
        <vt:i4>113</vt:i4>
      </vt:variant>
      <vt:variant>
        <vt:i4>0</vt:i4>
      </vt:variant>
      <vt:variant>
        <vt:i4>5</vt:i4>
      </vt:variant>
      <vt:variant>
        <vt:lpwstr/>
      </vt:variant>
      <vt:variant>
        <vt:lpwstr>_Toc435779114</vt:lpwstr>
      </vt:variant>
      <vt:variant>
        <vt:i4>1769527</vt:i4>
      </vt:variant>
      <vt:variant>
        <vt:i4>107</vt:i4>
      </vt:variant>
      <vt:variant>
        <vt:i4>0</vt:i4>
      </vt:variant>
      <vt:variant>
        <vt:i4>5</vt:i4>
      </vt:variant>
      <vt:variant>
        <vt:lpwstr/>
      </vt:variant>
      <vt:variant>
        <vt:lpwstr>_Toc435779113</vt:lpwstr>
      </vt:variant>
      <vt:variant>
        <vt:i4>1769527</vt:i4>
      </vt:variant>
      <vt:variant>
        <vt:i4>101</vt:i4>
      </vt:variant>
      <vt:variant>
        <vt:i4>0</vt:i4>
      </vt:variant>
      <vt:variant>
        <vt:i4>5</vt:i4>
      </vt:variant>
      <vt:variant>
        <vt:lpwstr/>
      </vt:variant>
      <vt:variant>
        <vt:lpwstr>_Toc435779112</vt:lpwstr>
      </vt:variant>
      <vt:variant>
        <vt:i4>1769527</vt:i4>
      </vt:variant>
      <vt:variant>
        <vt:i4>95</vt:i4>
      </vt:variant>
      <vt:variant>
        <vt:i4>0</vt:i4>
      </vt:variant>
      <vt:variant>
        <vt:i4>5</vt:i4>
      </vt:variant>
      <vt:variant>
        <vt:lpwstr/>
      </vt:variant>
      <vt:variant>
        <vt:lpwstr>_Toc435779111</vt:lpwstr>
      </vt:variant>
      <vt:variant>
        <vt:i4>1769527</vt:i4>
      </vt:variant>
      <vt:variant>
        <vt:i4>89</vt:i4>
      </vt:variant>
      <vt:variant>
        <vt:i4>0</vt:i4>
      </vt:variant>
      <vt:variant>
        <vt:i4>5</vt:i4>
      </vt:variant>
      <vt:variant>
        <vt:lpwstr/>
      </vt:variant>
      <vt:variant>
        <vt:lpwstr>_Toc435779110</vt:lpwstr>
      </vt:variant>
      <vt:variant>
        <vt:i4>1703991</vt:i4>
      </vt:variant>
      <vt:variant>
        <vt:i4>83</vt:i4>
      </vt:variant>
      <vt:variant>
        <vt:i4>0</vt:i4>
      </vt:variant>
      <vt:variant>
        <vt:i4>5</vt:i4>
      </vt:variant>
      <vt:variant>
        <vt:lpwstr/>
      </vt:variant>
      <vt:variant>
        <vt:lpwstr>_Toc435779109</vt:lpwstr>
      </vt:variant>
      <vt:variant>
        <vt:i4>1703991</vt:i4>
      </vt:variant>
      <vt:variant>
        <vt:i4>77</vt:i4>
      </vt:variant>
      <vt:variant>
        <vt:i4>0</vt:i4>
      </vt:variant>
      <vt:variant>
        <vt:i4>5</vt:i4>
      </vt:variant>
      <vt:variant>
        <vt:lpwstr/>
      </vt:variant>
      <vt:variant>
        <vt:lpwstr>_Toc435779108</vt:lpwstr>
      </vt:variant>
      <vt:variant>
        <vt:i4>1703991</vt:i4>
      </vt:variant>
      <vt:variant>
        <vt:i4>71</vt:i4>
      </vt:variant>
      <vt:variant>
        <vt:i4>0</vt:i4>
      </vt:variant>
      <vt:variant>
        <vt:i4>5</vt:i4>
      </vt:variant>
      <vt:variant>
        <vt:lpwstr/>
      </vt:variant>
      <vt:variant>
        <vt:lpwstr>_Toc435779107</vt:lpwstr>
      </vt:variant>
      <vt:variant>
        <vt:i4>1703991</vt:i4>
      </vt:variant>
      <vt:variant>
        <vt:i4>65</vt:i4>
      </vt:variant>
      <vt:variant>
        <vt:i4>0</vt:i4>
      </vt:variant>
      <vt:variant>
        <vt:i4>5</vt:i4>
      </vt:variant>
      <vt:variant>
        <vt:lpwstr/>
      </vt:variant>
      <vt:variant>
        <vt:lpwstr>_Toc435779106</vt:lpwstr>
      </vt:variant>
      <vt:variant>
        <vt:i4>1703991</vt:i4>
      </vt:variant>
      <vt:variant>
        <vt:i4>59</vt:i4>
      </vt:variant>
      <vt:variant>
        <vt:i4>0</vt:i4>
      </vt:variant>
      <vt:variant>
        <vt:i4>5</vt:i4>
      </vt:variant>
      <vt:variant>
        <vt:lpwstr/>
      </vt:variant>
      <vt:variant>
        <vt:lpwstr>_Toc435779105</vt:lpwstr>
      </vt:variant>
      <vt:variant>
        <vt:i4>1703991</vt:i4>
      </vt:variant>
      <vt:variant>
        <vt:i4>53</vt:i4>
      </vt:variant>
      <vt:variant>
        <vt:i4>0</vt:i4>
      </vt:variant>
      <vt:variant>
        <vt:i4>5</vt:i4>
      </vt:variant>
      <vt:variant>
        <vt:lpwstr/>
      </vt:variant>
      <vt:variant>
        <vt:lpwstr>_Toc435779104</vt:lpwstr>
      </vt:variant>
      <vt:variant>
        <vt:i4>1703991</vt:i4>
      </vt:variant>
      <vt:variant>
        <vt:i4>47</vt:i4>
      </vt:variant>
      <vt:variant>
        <vt:i4>0</vt:i4>
      </vt:variant>
      <vt:variant>
        <vt:i4>5</vt:i4>
      </vt:variant>
      <vt:variant>
        <vt:lpwstr/>
      </vt:variant>
      <vt:variant>
        <vt:lpwstr>_Toc435779103</vt:lpwstr>
      </vt:variant>
      <vt:variant>
        <vt:i4>1703991</vt:i4>
      </vt:variant>
      <vt:variant>
        <vt:i4>41</vt:i4>
      </vt:variant>
      <vt:variant>
        <vt:i4>0</vt:i4>
      </vt:variant>
      <vt:variant>
        <vt:i4>5</vt:i4>
      </vt:variant>
      <vt:variant>
        <vt:lpwstr/>
      </vt:variant>
      <vt:variant>
        <vt:lpwstr>_Toc435779102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2012-01-07T19:20:00Z</cp:lastPrinted>
  <dcterms:created xsi:type="dcterms:W3CDTF">2022-03-31T20:49:00Z</dcterms:created>
  <dcterms:modified xsi:type="dcterms:W3CDTF">2022-03-31T20:49:00Z</dcterms:modified>
  <cp:category/>
</cp:coreProperties>
</file>